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7B35E" w14:textId="3C59A0F0" w:rsidR="0084515B" w:rsidRDefault="0084515B" w:rsidP="0084515B">
      <w:pPr>
        <w:autoSpaceDE w:val="0"/>
        <w:autoSpaceDN w:val="0"/>
        <w:adjustRightInd w:val="0"/>
        <w:jc w:val="center"/>
        <w:rPr>
          <w:rFonts w:eastAsia="Calibri"/>
          <w:b/>
          <w:bCs/>
          <w:color w:val="000000"/>
        </w:rPr>
      </w:pPr>
      <w:bookmarkStart w:id="0" w:name="_Hlk507781292"/>
      <w:bookmarkStart w:id="1" w:name="_GoBack"/>
      <w:bookmarkEnd w:id="1"/>
      <w:r>
        <w:rPr>
          <w:noProof/>
          <w:lang w:eastAsia="en-GB"/>
        </w:rPr>
        <w:drawing>
          <wp:inline distT="0" distB="0" distL="0" distR="0" wp14:anchorId="557FFB37" wp14:editId="29D559A1">
            <wp:extent cx="1600200" cy="68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4762" t="11905" r="28571" b="16667"/>
                    <a:stretch>
                      <a:fillRect/>
                    </a:stretch>
                  </pic:blipFill>
                  <pic:spPr bwMode="auto">
                    <a:xfrm>
                      <a:off x="0" y="0"/>
                      <a:ext cx="1600200" cy="685800"/>
                    </a:xfrm>
                    <a:prstGeom prst="rect">
                      <a:avLst/>
                    </a:prstGeom>
                    <a:noFill/>
                    <a:ln>
                      <a:noFill/>
                    </a:ln>
                  </pic:spPr>
                </pic:pic>
              </a:graphicData>
            </a:graphic>
          </wp:inline>
        </w:drawing>
      </w:r>
    </w:p>
    <w:p w14:paraId="5198CE27" w14:textId="77777777" w:rsidR="0084515B" w:rsidRPr="0084515B" w:rsidRDefault="0084515B" w:rsidP="0084515B">
      <w:pPr>
        <w:autoSpaceDE w:val="0"/>
        <w:autoSpaceDN w:val="0"/>
        <w:adjustRightInd w:val="0"/>
        <w:rPr>
          <w:rFonts w:eastAsia="Calibri" w:cs="Times New Roman"/>
          <w:b/>
          <w:bCs/>
          <w:color w:val="000000"/>
        </w:rPr>
      </w:pPr>
    </w:p>
    <w:p w14:paraId="7F9DA04B" w14:textId="0EAE79EE" w:rsidR="0084515B" w:rsidRPr="0084515B" w:rsidRDefault="004E6E9D" w:rsidP="0084515B">
      <w:pPr>
        <w:pStyle w:val="Header"/>
        <w:spacing w:line="360" w:lineRule="auto"/>
        <w:rPr>
          <w:rFonts w:eastAsia="Calibri" w:cs="Times New Roman"/>
          <w:b/>
          <w:bCs/>
          <w:color w:val="000000"/>
        </w:rPr>
      </w:pPr>
      <w:r w:rsidRPr="004E6E9D">
        <w:rPr>
          <w:rFonts w:eastAsia="Calibri" w:cs="Times New Roman"/>
          <w:b/>
          <w:bCs/>
          <w:color w:val="000000"/>
        </w:rPr>
        <w:t>Systematic review of Creutzfeldt-Jakob disease (CJD) risk via surgical interventional procedures and economic modelling of management policies</w:t>
      </w:r>
    </w:p>
    <w:p w14:paraId="5D1B6996" w14:textId="77777777" w:rsidR="0084515B" w:rsidRPr="0084515B" w:rsidRDefault="0084515B" w:rsidP="0084515B">
      <w:pPr>
        <w:pStyle w:val="Header"/>
        <w:spacing w:line="360" w:lineRule="auto"/>
        <w:rPr>
          <w:rFonts w:eastAsia="Calibri" w:cs="Times New Roman"/>
          <w:b/>
          <w:bCs/>
          <w:color w:val="000000"/>
        </w:rPr>
      </w:pPr>
    </w:p>
    <w:tbl>
      <w:tblPr>
        <w:tblW w:w="9286" w:type="dxa"/>
        <w:tblLayout w:type="fixed"/>
        <w:tblLook w:val="0000" w:firstRow="0" w:lastRow="0" w:firstColumn="0" w:lastColumn="0" w:noHBand="0" w:noVBand="0"/>
      </w:tblPr>
      <w:tblGrid>
        <w:gridCol w:w="2660"/>
        <w:gridCol w:w="6626"/>
      </w:tblGrid>
      <w:tr w:rsidR="0084515B" w:rsidRPr="0084515B" w14:paraId="77121195" w14:textId="77777777" w:rsidTr="00B53489">
        <w:tc>
          <w:tcPr>
            <w:tcW w:w="2660" w:type="dxa"/>
            <w:shd w:val="clear" w:color="auto" w:fill="auto"/>
          </w:tcPr>
          <w:p w14:paraId="7FAE8192" w14:textId="77777777" w:rsidR="0084515B" w:rsidRPr="0084515B" w:rsidRDefault="0084515B" w:rsidP="0084515B">
            <w:pPr>
              <w:pStyle w:val="Header"/>
              <w:spacing w:line="360" w:lineRule="auto"/>
              <w:rPr>
                <w:rFonts w:cs="Times New Roman"/>
                <w:b/>
              </w:rPr>
            </w:pPr>
            <w:r w:rsidRPr="0084515B">
              <w:rPr>
                <w:rFonts w:cs="Times New Roman"/>
                <w:b/>
              </w:rPr>
              <w:t>Produced by</w:t>
            </w:r>
          </w:p>
        </w:tc>
        <w:tc>
          <w:tcPr>
            <w:tcW w:w="6626" w:type="dxa"/>
            <w:shd w:val="clear" w:color="auto" w:fill="auto"/>
          </w:tcPr>
          <w:p w14:paraId="64ADB553" w14:textId="77777777" w:rsidR="0084515B" w:rsidRPr="0084515B" w:rsidRDefault="0084515B" w:rsidP="0084515B">
            <w:pPr>
              <w:pStyle w:val="Header"/>
              <w:spacing w:line="360" w:lineRule="auto"/>
              <w:rPr>
                <w:rFonts w:cs="Times New Roman"/>
                <w:i/>
              </w:rPr>
            </w:pPr>
            <w:r w:rsidRPr="0084515B">
              <w:rPr>
                <w:rFonts w:cs="Times New Roman"/>
              </w:rPr>
              <w:t>School of Health and Related Research (ScHARR), The University of Sheffield</w:t>
            </w:r>
          </w:p>
        </w:tc>
      </w:tr>
      <w:tr w:rsidR="0084515B" w:rsidRPr="0084515B" w14:paraId="7DE6FC5F" w14:textId="77777777" w:rsidTr="00B53489">
        <w:tc>
          <w:tcPr>
            <w:tcW w:w="2660" w:type="dxa"/>
            <w:shd w:val="clear" w:color="auto" w:fill="auto"/>
          </w:tcPr>
          <w:p w14:paraId="0B397891" w14:textId="77777777" w:rsidR="0084515B" w:rsidRPr="0084515B" w:rsidRDefault="0084515B" w:rsidP="0084515B">
            <w:pPr>
              <w:pStyle w:val="Header"/>
              <w:spacing w:line="360" w:lineRule="auto"/>
              <w:rPr>
                <w:rFonts w:cs="Times New Roman"/>
                <w:b/>
              </w:rPr>
            </w:pPr>
            <w:r w:rsidRPr="0084515B">
              <w:rPr>
                <w:rFonts w:cs="Times New Roman"/>
                <w:b/>
              </w:rPr>
              <w:t>Authors</w:t>
            </w:r>
          </w:p>
        </w:tc>
        <w:tc>
          <w:tcPr>
            <w:tcW w:w="6626" w:type="dxa"/>
            <w:shd w:val="clear" w:color="auto" w:fill="auto"/>
          </w:tcPr>
          <w:p w14:paraId="36D31AAF" w14:textId="4DAAB9FD" w:rsidR="0084515B" w:rsidRDefault="0084515B" w:rsidP="0084515B">
            <w:pPr>
              <w:pStyle w:val="Header"/>
              <w:spacing w:line="360" w:lineRule="auto"/>
              <w:rPr>
                <w:rFonts w:cs="Times New Roman"/>
              </w:rPr>
            </w:pPr>
            <w:r w:rsidRPr="0084515B">
              <w:rPr>
                <w:rFonts w:cs="Times New Roman"/>
              </w:rPr>
              <w:t xml:space="preserve">Matt Stevenson, </w:t>
            </w:r>
            <w:r w:rsidRPr="0084515B">
              <w:rPr>
                <w:rFonts w:cs="Times New Roman"/>
                <w:color w:val="222222"/>
              </w:rPr>
              <w:t>Professor of Health Technology Assessment</w:t>
            </w:r>
            <w:r w:rsidRPr="0084515B">
              <w:rPr>
                <w:rFonts w:cs="Times New Roman"/>
              </w:rPr>
              <w:t>, ScHARR, University of Sheffield, Sheffield, UK</w:t>
            </w:r>
          </w:p>
          <w:p w14:paraId="29ADFE5F" w14:textId="6A2AF445" w:rsidR="004E6E9D" w:rsidRPr="0084515B" w:rsidRDefault="004E6E9D" w:rsidP="0084515B">
            <w:pPr>
              <w:pStyle w:val="Header"/>
              <w:spacing w:line="360" w:lineRule="auto"/>
              <w:rPr>
                <w:rFonts w:cs="Times New Roman"/>
              </w:rPr>
            </w:pPr>
            <w:r w:rsidRPr="0084515B">
              <w:rPr>
                <w:rFonts w:cs="Times New Roman"/>
              </w:rPr>
              <w:t>Lesley Uttley, Research Fellow</w:t>
            </w:r>
            <w:r>
              <w:rPr>
                <w:rFonts w:cs="Times New Roman"/>
              </w:rPr>
              <w:t xml:space="preserve"> in Systematic Review</w:t>
            </w:r>
            <w:r w:rsidRPr="0084515B">
              <w:rPr>
                <w:rFonts w:cs="Times New Roman"/>
              </w:rPr>
              <w:t>, ScHARR, University of Sheffield, Sheffield, UK</w:t>
            </w:r>
          </w:p>
          <w:p w14:paraId="5BB37467" w14:textId="005D9E39" w:rsidR="0084515B" w:rsidRDefault="0084515B" w:rsidP="0084515B">
            <w:pPr>
              <w:pStyle w:val="Header"/>
              <w:spacing w:line="360" w:lineRule="auto"/>
              <w:rPr>
                <w:rFonts w:cs="Times New Roman"/>
              </w:rPr>
            </w:pPr>
            <w:r w:rsidRPr="0084515B">
              <w:rPr>
                <w:rFonts w:cs="Times New Roman"/>
              </w:rPr>
              <w:t>Jeremy Oakley, Professor of Statistics, School of Mathematics and Statistics, University of Sheffield, Sheffield, UK</w:t>
            </w:r>
          </w:p>
          <w:p w14:paraId="228B9BA5" w14:textId="0F53833B" w:rsidR="004E6E9D" w:rsidRDefault="004E6E9D" w:rsidP="0084515B">
            <w:pPr>
              <w:pStyle w:val="Header"/>
              <w:spacing w:line="360" w:lineRule="auto"/>
              <w:rPr>
                <w:rFonts w:cs="Times New Roman"/>
              </w:rPr>
            </w:pPr>
            <w:r>
              <w:rPr>
                <w:rFonts w:cs="Times New Roman"/>
              </w:rPr>
              <w:t>Chris</w:t>
            </w:r>
            <w:r w:rsidR="008E3211">
              <w:rPr>
                <w:rFonts w:cs="Times New Roman"/>
              </w:rPr>
              <w:t>topher</w:t>
            </w:r>
            <w:r>
              <w:rPr>
                <w:rFonts w:cs="Times New Roman"/>
              </w:rPr>
              <w:t xml:space="preserve"> Carroll, </w:t>
            </w:r>
            <w:r w:rsidRPr="004E6E9D">
              <w:rPr>
                <w:rFonts w:cs="Times New Roman"/>
              </w:rPr>
              <w:t>Reader</w:t>
            </w:r>
            <w:r>
              <w:rPr>
                <w:rFonts w:cs="Times New Roman"/>
              </w:rPr>
              <w:t xml:space="preserve"> in Systematic Review</w:t>
            </w:r>
            <w:r w:rsidR="008E3211">
              <w:rPr>
                <w:rFonts w:cs="Times New Roman"/>
              </w:rPr>
              <w:t xml:space="preserve"> and Evidence Synthesis</w:t>
            </w:r>
            <w:r>
              <w:rPr>
                <w:rFonts w:cs="Times New Roman"/>
              </w:rPr>
              <w:t xml:space="preserve">, </w:t>
            </w:r>
            <w:r w:rsidRPr="0084515B">
              <w:rPr>
                <w:rFonts w:cs="Times New Roman"/>
              </w:rPr>
              <w:t>ScHARR, University of Sheffield, Sheffield, UK</w:t>
            </w:r>
          </w:p>
          <w:p w14:paraId="32EDA9EC" w14:textId="6D3FF52C" w:rsidR="0084515B" w:rsidRPr="0084515B" w:rsidRDefault="008873FC" w:rsidP="0084515B">
            <w:pPr>
              <w:pStyle w:val="Header"/>
              <w:spacing w:line="360" w:lineRule="auto"/>
              <w:rPr>
                <w:rFonts w:cs="Times New Roman"/>
              </w:rPr>
            </w:pPr>
            <w:r>
              <w:rPr>
                <w:rFonts w:cs="Times New Roman"/>
              </w:rPr>
              <w:t>Steph</w:t>
            </w:r>
            <w:r w:rsidR="0084515B" w:rsidRPr="0084515B">
              <w:rPr>
                <w:rFonts w:cs="Times New Roman"/>
              </w:rPr>
              <w:t xml:space="preserve">en E Chick, Professor of Technology and Operations Management, </w:t>
            </w:r>
            <w:r w:rsidR="004E6E9D" w:rsidRPr="004E6E9D">
              <w:rPr>
                <w:rFonts w:cs="Times New Roman"/>
              </w:rPr>
              <w:t xml:space="preserve">INSEAD, </w:t>
            </w:r>
            <w:r>
              <w:rPr>
                <w:rFonts w:cs="Times New Roman"/>
              </w:rPr>
              <w:t>Fontainebleau</w:t>
            </w:r>
            <w:r w:rsidR="00852085">
              <w:rPr>
                <w:rFonts w:cs="Times New Roman"/>
              </w:rPr>
              <w:t xml:space="preserve">, </w:t>
            </w:r>
            <w:r w:rsidR="004E6E9D" w:rsidRPr="004E6E9D">
              <w:rPr>
                <w:rFonts w:cs="Times New Roman"/>
              </w:rPr>
              <w:t>France</w:t>
            </w:r>
          </w:p>
          <w:p w14:paraId="4B92D9D3" w14:textId="77777777" w:rsidR="00297774" w:rsidRPr="0084515B" w:rsidRDefault="00297774" w:rsidP="00297774">
            <w:pPr>
              <w:pStyle w:val="Header"/>
              <w:spacing w:line="360" w:lineRule="auto"/>
              <w:rPr>
                <w:rFonts w:cs="Times New Roman"/>
              </w:rPr>
            </w:pPr>
            <w:r>
              <w:rPr>
                <w:rFonts w:cs="Times New Roman"/>
              </w:rPr>
              <w:t xml:space="preserve">Ruth Wong, Information Specialist, </w:t>
            </w:r>
            <w:r w:rsidRPr="0084515B">
              <w:rPr>
                <w:rFonts w:cs="Times New Roman"/>
              </w:rPr>
              <w:t>ScHARR, University of Sheffield, Sheffield, UK</w:t>
            </w:r>
          </w:p>
          <w:p w14:paraId="629C88A4" w14:textId="77777777" w:rsidR="0084515B" w:rsidRPr="0084515B" w:rsidRDefault="0084515B" w:rsidP="0084515B">
            <w:pPr>
              <w:pStyle w:val="Header"/>
              <w:spacing w:line="360" w:lineRule="auto"/>
              <w:rPr>
                <w:rFonts w:cs="Times New Roman"/>
              </w:rPr>
            </w:pPr>
          </w:p>
          <w:p w14:paraId="2A32E77A" w14:textId="77777777" w:rsidR="0084515B" w:rsidRPr="0084515B" w:rsidRDefault="0084515B" w:rsidP="0084515B">
            <w:pPr>
              <w:pStyle w:val="Header"/>
              <w:spacing w:line="360" w:lineRule="auto"/>
              <w:rPr>
                <w:rFonts w:cs="Times New Roman"/>
              </w:rPr>
            </w:pPr>
          </w:p>
        </w:tc>
      </w:tr>
      <w:tr w:rsidR="0084515B" w:rsidRPr="0084515B" w14:paraId="2FFD57FC" w14:textId="77777777" w:rsidTr="00B53489">
        <w:tc>
          <w:tcPr>
            <w:tcW w:w="2660" w:type="dxa"/>
            <w:shd w:val="clear" w:color="auto" w:fill="auto"/>
          </w:tcPr>
          <w:p w14:paraId="216CCC8A" w14:textId="77777777" w:rsidR="0084515B" w:rsidRPr="0084515B" w:rsidRDefault="0084515B" w:rsidP="0084515B">
            <w:pPr>
              <w:pStyle w:val="Header"/>
              <w:spacing w:line="360" w:lineRule="auto"/>
              <w:rPr>
                <w:rFonts w:cs="Times New Roman"/>
                <w:b/>
              </w:rPr>
            </w:pPr>
            <w:r w:rsidRPr="0084515B">
              <w:rPr>
                <w:rFonts w:cs="Times New Roman"/>
                <w:b/>
              </w:rPr>
              <w:t>Correspondence Author</w:t>
            </w:r>
          </w:p>
        </w:tc>
        <w:tc>
          <w:tcPr>
            <w:tcW w:w="6626" w:type="dxa"/>
            <w:shd w:val="clear" w:color="auto" w:fill="auto"/>
          </w:tcPr>
          <w:p w14:paraId="65EF7F8E" w14:textId="77777777" w:rsidR="0084515B" w:rsidRPr="0084515B" w:rsidRDefault="0084515B" w:rsidP="0084515B">
            <w:pPr>
              <w:pStyle w:val="Header"/>
              <w:spacing w:line="360" w:lineRule="auto"/>
              <w:rPr>
                <w:rFonts w:cs="Times New Roman"/>
              </w:rPr>
            </w:pPr>
            <w:r w:rsidRPr="0084515B">
              <w:rPr>
                <w:rFonts w:cs="Times New Roman"/>
              </w:rPr>
              <w:t>Matt Stevenson, Professor of Health Technology Assessment, ScHARR, University of Sheffield, Sheffield, UK</w:t>
            </w:r>
          </w:p>
        </w:tc>
      </w:tr>
      <w:tr w:rsidR="0084515B" w:rsidRPr="0084515B" w14:paraId="02397EA8" w14:textId="77777777" w:rsidTr="00B53489">
        <w:tc>
          <w:tcPr>
            <w:tcW w:w="2660" w:type="dxa"/>
            <w:shd w:val="clear" w:color="auto" w:fill="auto"/>
          </w:tcPr>
          <w:p w14:paraId="25251984" w14:textId="77777777" w:rsidR="0084515B" w:rsidRPr="0084515B" w:rsidRDefault="0084515B" w:rsidP="0084515B">
            <w:pPr>
              <w:pStyle w:val="Header"/>
              <w:spacing w:line="360" w:lineRule="auto"/>
              <w:rPr>
                <w:rFonts w:cs="Times New Roman"/>
                <w:b/>
              </w:rPr>
            </w:pPr>
            <w:r w:rsidRPr="0084515B">
              <w:rPr>
                <w:rFonts w:cs="Times New Roman"/>
                <w:b/>
              </w:rPr>
              <w:t>Date completed</w:t>
            </w:r>
          </w:p>
        </w:tc>
        <w:tc>
          <w:tcPr>
            <w:tcW w:w="6626" w:type="dxa"/>
            <w:shd w:val="clear" w:color="auto" w:fill="auto"/>
          </w:tcPr>
          <w:p w14:paraId="1B50B4EC" w14:textId="77777777" w:rsidR="0084515B" w:rsidRPr="0084515B" w:rsidRDefault="0084515B" w:rsidP="0084515B">
            <w:pPr>
              <w:pStyle w:val="Header"/>
              <w:spacing w:line="360" w:lineRule="auto"/>
              <w:rPr>
                <w:rFonts w:cs="Times New Roman"/>
              </w:rPr>
            </w:pPr>
            <w:r w:rsidRPr="0084515B">
              <w:rPr>
                <w:rFonts w:cs="Times New Roman"/>
              </w:rPr>
              <w:t>Date completed (16/03/2018)</w:t>
            </w:r>
          </w:p>
        </w:tc>
      </w:tr>
    </w:tbl>
    <w:p w14:paraId="72BC99FE" w14:textId="77777777" w:rsidR="0084515B" w:rsidRPr="0084515B" w:rsidRDefault="0084515B" w:rsidP="0084515B">
      <w:pPr>
        <w:pStyle w:val="Header"/>
        <w:spacing w:line="360" w:lineRule="auto"/>
        <w:rPr>
          <w:rFonts w:cs="Times New Roman"/>
          <w:b/>
        </w:rPr>
      </w:pPr>
    </w:p>
    <w:p w14:paraId="486C907F" w14:textId="45E140B9" w:rsidR="0084515B" w:rsidRPr="0084515B" w:rsidRDefault="0084515B" w:rsidP="0084515B">
      <w:pPr>
        <w:pStyle w:val="Header"/>
        <w:spacing w:line="360" w:lineRule="auto"/>
        <w:rPr>
          <w:rFonts w:cs="Times New Roman"/>
        </w:rPr>
      </w:pPr>
      <w:r w:rsidRPr="0084515B">
        <w:rPr>
          <w:rFonts w:cs="Times New Roman"/>
          <w:b/>
        </w:rPr>
        <w:t>Source of funding</w:t>
      </w:r>
      <w:r w:rsidRPr="0084515B">
        <w:rPr>
          <w:rFonts w:cs="Times New Roman"/>
        </w:rPr>
        <w:t xml:space="preserve">: This report was commissioned by the NIHR HTA Programme as project number </w:t>
      </w:r>
      <w:r w:rsidR="007329B9">
        <w:rPr>
          <w:rFonts w:cs="Times New Roman"/>
        </w:rPr>
        <w:t>17</w:t>
      </w:r>
      <w:r w:rsidRPr="0084515B">
        <w:rPr>
          <w:rFonts w:cs="Times New Roman"/>
        </w:rPr>
        <w:t>/</w:t>
      </w:r>
      <w:r w:rsidR="007329B9">
        <w:rPr>
          <w:rFonts w:cs="Times New Roman"/>
        </w:rPr>
        <w:t>48</w:t>
      </w:r>
      <w:r w:rsidRPr="0084515B">
        <w:rPr>
          <w:rFonts w:cs="Times New Roman"/>
        </w:rPr>
        <w:t>/</w:t>
      </w:r>
      <w:r w:rsidR="007329B9">
        <w:rPr>
          <w:rFonts w:cs="Times New Roman"/>
        </w:rPr>
        <w:t>01</w:t>
      </w:r>
      <w:r w:rsidR="00690541">
        <w:rPr>
          <w:rFonts w:cs="Times New Roman"/>
        </w:rPr>
        <w:t>.</w:t>
      </w:r>
    </w:p>
    <w:bookmarkEnd w:id="0"/>
    <w:p w14:paraId="07F04636" w14:textId="77777777" w:rsidR="0084515B" w:rsidRPr="0084515B" w:rsidRDefault="0084515B" w:rsidP="0084515B">
      <w:pPr>
        <w:rPr>
          <w:rFonts w:eastAsia="Times New Roman" w:cs="Times New Roman"/>
          <w:b/>
          <w:bCs/>
          <w:kern w:val="32"/>
          <w:sz w:val="28"/>
          <w:szCs w:val="28"/>
          <w:lang w:eastAsia="en-GB"/>
        </w:rPr>
      </w:pPr>
      <w:r w:rsidRPr="0084515B">
        <w:rPr>
          <w:rFonts w:eastAsia="Times New Roman" w:cs="Times New Roman"/>
          <w:b/>
          <w:bCs/>
          <w:kern w:val="32"/>
          <w:sz w:val="28"/>
          <w:szCs w:val="28"/>
          <w:lang w:eastAsia="en-GB"/>
        </w:rPr>
        <w:br w:type="page"/>
      </w:r>
    </w:p>
    <w:p w14:paraId="5AA3C810" w14:textId="583EFD9B" w:rsidR="00DD794C" w:rsidRPr="00DD794C" w:rsidRDefault="00DD794C" w:rsidP="007A493F">
      <w:pPr>
        <w:pStyle w:val="TOC2"/>
        <w:rPr>
          <w:b/>
        </w:rPr>
      </w:pPr>
      <w:r w:rsidRPr="00DD794C">
        <w:rPr>
          <w:b/>
        </w:rPr>
        <w:lastRenderedPageBreak/>
        <w:t>Table of Contents</w:t>
      </w:r>
    </w:p>
    <w:p w14:paraId="6E44101F" w14:textId="77777777" w:rsidR="00690541" w:rsidRPr="00741B5A" w:rsidRDefault="00DD794C" w:rsidP="00741B5A">
      <w:pPr>
        <w:pStyle w:val="TOC2"/>
        <w:rPr>
          <w:rFonts w:eastAsiaTheme="minorEastAsia" w:cs="Times New Roman"/>
          <w:noProof/>
          <w:lang w:eastAsia="en-GB"/>
        </w:rPr>
      </w:pPr>
      <w:r w:rsidRPr="00741B5A">
        <w:rPr>
          <w:rFonts w:eastAsia="Calibri" w:cs="Times New Roman"/>
        </w:rPr>
        <w:fldChar w:fldCharType="begin"/>
      </w:r>
      <w:r w:rsidRPr="00741B5A">
        <w:rPr>
          <w:rFonts w:eastAsia="Calibri" w:cs="Times New Roman"/>
        </w:rPr>
        <w:instrText xml:space="preserve"> TOC \o "1-2" \h \z \u </w:instrText>
      </w:r>
      <w:r w:rsidRPr="00741B5A">
        <w:rPr>
          <w:rFonts w:eastAsia="Calibri" w:cs="Times New Roman"/>
        </w:rPr>
        <w:fldChar w:fldCharType="separate"/>
      </w:r>
      <w:hyperlink w:anchor="_Toc525106650" w:history="1">
        <w:r w:rsidR="00690541" w:rsidRPr="00741B5A">
          <w:rPr>
            <w:rStyle w:val="Hyperlink"/>
            <w:rFonts w:eastAsia="Calibri" w:cs="Times New Roman"/>
            <w:noProof/>
          </w:rPr>
          <w:t>List of abbreviations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_Toc525106650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6</w:t>
        </w:r>
        <w:r w:rsidR="00690541" w:rsidRPr="00741B5A">
          <w:rPr>
            <w:rFonts w:cs="Times New Roman"/>
            <w:noProof/>
            <w:webHidden/>
          </w:rPr>
          <w:fldChar w:fldCharType="end"/>
        </w:r>
      </w:hyperlink>
    </w:p>
    <w:p w14:paraId="442B601D" w14:textId="77777777" w:rsidR="00690541" w:rsidRPr="00741B5A" w:rsidRDefault="00EB4E00" w:rsidP="00741B5A">
      <w:pPr>
        <w:pStyle w:val="TOC1"/>
        <w:spacing w:after="0"/>
        <w:rPr>
          <w:rFonts w:eastAsiaTheme="minorEastAsia" w:cs="Times New Roman"/>
          <w:noProof/>
          <w:lang w:eastAsia="en-GB"/>
        </w:rPr>
      </w:pPr>
      <w:hyperlink w:anchor="_Toc525106651" w:history="1">
        <w:r w:rsidR="00690541" w:rsidRPr="00741B5A">
          <w:rPr>
            <w:rStyle w:val="Hyperlink"/>
            <w:rFonts w:eastAsia="Calibri" w:cs="Times New Roman"/>
            <w:noProof/>
          </w:rPr>
          <w:t>Plain English Summary</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_Toc525106651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8</w:t>
        </w:r>
        <w:r w:rsidR="00690541" w:rsidRPr="00741B5A">
          <w:rPr>
            <w:rFonts w:cs="Times New Roman"/>
            <w:noProof/>
            <w:webHidden/>
          </w:rPr>
          <w:fldChar w:fldCharType="end"/>
        </w:r>
      </w:hyperlink>
    </w:p>
    <w:p w14:paraId="4F1303B0" w14:textId="77777777" w:rsidR="00690541" w:rsidRPr="00741B5A" w:rsidRDefault="00EB4E00" w:rsidP="00741B5A">
      <w:pPr>
        <w:pStyle w:val="TOC1"/>
        <w:spacing w:after="0"/>
        <w:rPr>
          <w:rFonts w:eastAsiaTheme="minorEastAsia" w:cs="Times New Roman"/>
          <w:noProof/>
          <w:lang w:eastAsia="en-GB"/>
        </w:rPr>
      </w:pPr>
      <w:hyperlink w:anchor="_Toc525106652" w:history="1">
        <w:r w:rsidR="00690541" w:rsidRPr="00741B5A">
          <w:rPr>
            <w:rStyle w:val="Hyperlink"/>
            <w:rFonts w:eastAsia="Calibri" w:cs="Times New Roman"/>
            <w:noProof/>
          </w:rPr>
          <w:t>Scientific Summary</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_Toc525106652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w:t>
        </w:r>
        <w:r w:rsidR="00690541" w:rsidRPr="00741B5A">
          <w:rPr>
            <w:rFonts w:cs="Times New Roman"/>
            <w:noProof/>
            <w:webHidden/>
          </w:rPr>
          <w:fldChar w:fldCharType="end"/>
        </w:r>
      </w:hyperlink>
    </w:p>
    <w:p w14:paraId="278157E6" w14:textId="77777777" w:rsidR="00690541" w:rsidRPr="00741B5A" w:rsidRDefault="00EB4E00" w:rsidP="00741B5A">
      <w:pPr>
        <w:pStyle w:val="TOC2"/>
        <w:rPr>
          <w:rFonts w:eastAsiaTheme="minorEastAsia" w:cs="Times New Roman"/>
          <w:noProof/>
          <w:lang w:eastAsia="en-GB"/>
        </w:rPr>
      </w:pPr>
      <w:hyperlink w:anchor="_Toc525106653" w:history="1">
        <w:r w:rsidR="00690541" w:rsidRPr="00741B5A">
          <w:rPr>
            <w:rStyle w:val="Hyperlink"/>
            <w:rFonts w:cs="Times New Roman"/>
            <w:noProof/>
          </w:rPr>
          <w:t>Objectives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_Toc525106653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w:t>
        </w:r>
        <w:r w:rsidR="00690541" w:rsidRPr="00741B5A">
          <w:rPr>
            <w:rFonts w:cs="Times New Roman"/>
            <w:noProof/>
            <w:webHidden/>
          </w:rPr>
          <w:fldChar w:fldCharType="end"/>
        </w:r>
      </w:hyperlink>
    </w:p>
    <w:p w14:paraId="2815C7AE" w14:textId="77777777" w:rsidR="00690541" w:rsidRPr="00741B5A" w:rsidRDefault="00EB4E00" w:rsidP="00741B5A">
      <w:pPr>
        <w:pStyle w:val="TOC2"/>
        <w:rPr>
          <w:rFonts w:eastAsiaTheme="minorEastAsia" w:cs="Times New Roman"/>
          <w:noProof/>
          <w:lang w:eastAsia="en-GB"/>
        </w:rPr>
      </w:pPr>
      <w:hyperlink w:anchor="_Toc525106654" w:history="1">
        <w:r w:rsidR="00690541" w:rsidRPr="00741B5A">
          <w:rPr>
            <w:rStyle w:val="Hyperlink"/>
            <w:rFonts w:cs="Times New Roman"/>
            <w:noProof/>
          </w:rPr>
          <w:t>Methods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_Toc525106654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w:t>
        </w:r>
        <w:r w:rsidR="00690541" w:rsidRPr="00741B5A">
          <w:rPr>
            <w:rFonts w:cs="Times New Roman"/>
            <w:noProof/>
            <w:webHidden/>
          </w:rPr>
          <w:fldChar w:fldCharType="end"/>
        </w:r>
      </w:hyperlink>
    </w:p>
    <w:p w14:paraId="669A2FBB" w14:textId="77777777" w:rsidR="00690541" w:rsidRPr="00741B5A" w:rsidRDefault="00EB4E00" w:rsidP="00741B5A">
      <w:pPr>
        <w:pStyle w:val="TOC2"/>
        <w:rPr>
          <w:rFonts w:eastAsiaTheme="minorEastAsia" w:cs="Times New Roman"/>
          <w:noProof/>
          <w:lang w:eastAsia="en-GB"/>
        </w:rPr>
      </w:pPr>
      <w:hyperlink w:anchor="_Toc525106655" w:history="1">
        <w:r w:rsidR="00690541" w:rsidRPr="00741B5A">
          <w:rPr>
            <w:rStyle w:val="Hyperlink"/>
            <w:rFonts w:cs="Times New Roman"/>
            <w:noProof/>
          </w:rPr>
          <w:t>Results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_Toc525106655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10</w:t>
        </w:r>
        <w:r w:rsidR="00690541" w:rsidRPr="00741B5A">
          <w:rPr>
            <w:rFonts w:cs="Times New Roman"/>
            <w:noProof/>
            <w:webHidden/>
          </w:rPr>
          <w:fldChar w:fldCharType="end"/>
        </w:r>
      </w:hyperlink>
    </w:p>
    <w:p w14:paraId="44260AC0" w14:textId="77777777" w:rsidR="00690541" w:rsidRPr="00741B5A" w:rsidRDefault="00EB4E00" w:rsidP="00741B5A">
      <w:pPr>
        <w:pStyle w:val="TOC2"/>
        <w:rPr>
          <w:rFonts w:eastAsiaTheme="minorEastAsia" w:cs="Times New Roman"/>
          <w:noProof/>
          <w:lang w:eastAsia="en-GB"/>
        </w:rPr>
      </w:pPr>
      <w:hyperlink w:anchor="_Toc525106656" w:history="1">
        <w:r w:rsidR="00690541" w:rsidRPr="00741B5A">
          <w:rPr>
            <w:rStyle w:val="Hyperlink"/>
            <w:rFonts w:cs="Times New Roman"/>
            <w:noProof/>
          </w:rPr>
          <w:t>Discussion</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_Toc525106656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11</w:t>
        </w:r>
        <w:r w:rsidR="00690541" w:rsidRPr="00741B5A">
          <w:rPr>
            <w:rFonts w:cs="Times New Roman"/>
            <w:noProof/>
            <w:webHidden/>
          </w:rPr>
          <w:fldChar w:fldCharType="end"/>
        </w:r>
      </w:hyperlink>
    </w:p>
    <w:p w14:paraId="02773E39" w14:textId="77777777" w:rsidR="00690541" w:rsidRPr="00741B5A" w:rsidRDefault="00EB4E00" w:rsidP="00741B5A">
      <w:pPr>
        <w:pStyle w:val="TOC2"/>
        <w:rPr>
          <w:rFonts w:eastAsiaTheme="minorEastAsia" w:cs="Times New Roman"/>
          <w:noProof/>
          <w:lang w:eastAsia="en-GB"/>
        </w:rPr>
      </w:pPr>
      <w:hyperlink w:anchor="_Toc525106657" w:history="1">
        <w:r w:rsidR="00690541" w:rsidRPr="00741B5A">
          <w:rPr>
            <w:rStyle w:val="Hyperlink"/>
            <w:rFonts w:cs="Times New Roman"/>
            <w:noProof/>
          </w:rPr>
          <w:t>Conclusions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_Toc525106657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12</w:t>
        </w:r>
        <w:r w:rsidR="00690541" w:rsidRPr="00741B5A">
          <w:rPr>
            <w:rFonts w:cs="Times New Roman"/>
            <w:noProof/>
            <w:webHidden/>
          </w:rPr>
          <w:fldChar w:fldCharType="end"/>
        </w:r>
      </w:hyperlink>
    </w:p>
    <w:p w14:paraId="339AB559" w14:textId="77777777" w:rsidR="00690541" w:rsidRPr="00741B5A" w:rsidRDefault="00EB4E00" w:rsidP="00741B5A">
      <w:pPr>
        <w:pStyle w:val="TOC1"/>
        <w:spacing w:after="0"/>
        <w:rPr>
          <w:rFonts w:eastAsiaTheme="minorEastAsia" w:cs="Times New Roman"/>
          <w:noProof/>
          <w:lang w:eastAsia="en-GB"/>
        </w:rPr>
      </w:pPr>
      <w:hyperlink w:anchor="_Toc525106658" w:history="1">
        <w:r w:rsidR="00690541" w:rsidRPr="00741B5A">
          <w:rPr>
            <w:rStyle w:val="Hyperlink"/>
            <w:rFonts w:eastAsia="Calibri" w:cs="Times New Roman"/>
            <w:noProof/>
          </w:rPr>
          <w:t>1</w:t>
        </w:r>
        <w:r w:rsidR="00690541" w:rsidRPr="00741B5A">
          <w:rPr>
            <w:rFonts w:eastAsiaTheme="minorEastAsia" w:cs="Times New Roman"/>
            <w:noProof/>
            <w:lang w:eastAsia="en-GB"/>
          </w:rPr>
          <w:tab/>
        </w:r>
        <w:r w:rsidR="00690541" w:rsidRPr="00741B5A">
          <w:rPr>
            <w:rStyle w:val="Hyperlink"/>
            <w:rFonts w:eastAsia="Calibri" w:cs="Times New Roman"/>
            <w:noProof/>
          </w:rPr>
          <w:t>INTRODUCTION</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_Toc525106658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14</w:t>
        </w:r>
        <w:r w:rsidR="00690541" w:rsidRPr="00741B5A">
          <w:rPr>
            <w:rFonts w:cs="Times New Roman"/>
            <w:noProof/>
            <w:webHidden/>
          </w:rPr>
          <w:fldChar w:fldCharType="end"/>
        </w:r>
      </w:hyperlink>
    </w:p>
    <w:p w14:paraId="512BEA5B" w14:textId="77777777" w:rsidR="00690541" w:rsidRPr="00741B5A" w:rsidRDefault="00EB4E00" w:rsidP="00741B5A">
      <w:pPr>
        <w:pStyle w:val="TOC1"/>
        <w:spacing w:after="0"/>
        <w:rPr>
          <w:rFonts w:eastAsiaTheme="minorEastAsia" w:cs="Times New Roman"/>
          <w:noProof/>
          <w:lang w:eastAsia="en-GB"/>
        </w:rPr>
      </w:pPr>
      <w:hyperlink w:anchor="_Toc525106659" w:history="1">
        <w:r w:rsidR="00690541" w:rsidRPr="00741B5A">
          <w:rPr>
            <w:rStyle w:val="Hyperlink"/>
            <w:rFonts w:cs="Times New Roman"/>
            <w:noProof/>
          </w:rPr>
          <w:t>2</w:t>
        </w:r>
        <w:r w:rsidR="00690541" w:rsidRPr="00741B5A">
          <w:rPr>
            <w:rFonts w:eastAsiaTheme="minorEastAsia" w:cs="Times New Roman"/>
            <w:noProof/>
            <w:lang w:eastAsia="en-GB"/>
          </w:rPr>
          <w:tab/>
        </w:r>
        <w:r w:rsidR="00690541" w:rsidRPr="00741B5A">
          <w:rPr>
            <w:rStyle w:val="Hyperlink"/>
            <w:rFonts w:cs="Times New Roman"/>
            <w:noProof/>
          </w:rPr>
          <w:t>CLINICAL EVIDENCE</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_Toc525106659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17</w:t>
        </w:r>
        <w:r w:rsidR="00690541" w:rsidRPr="00741B5A">
          <w:rPr>
            <w:rFonts w:cs="Times New Roman"/>
            <w:noProof/>
            <w:webHidden/>
          </w:rPr>
          <w:fldChar w:fldCharType="end"/>
        </w:r>
      </w:hyperlink>
    </w:p>
    <w:p w14:paraId="1CCA796E" w14:textId="77777777" w:rsidR="00690541" w:rsidRPr="00741B5A" w:rsidRDefault="00EB4E00" w:rsidP="00741B5A">
      <w:pPr>
        <w:pStyle w:val="TOC2"/>
        <w:tabs>
          <w:tab w:val="left" w:pos="880"/>
        </w:tabs>
        <w:rPr>
          <w:rFonts w:eastAsiaTheme="minorEastAsia" w:cs="Times New Roman"/>
          <w:noProof/>
          <w:lang w:eastAsia="en-GB"/>
        </w:rPr>
      </w:pPr>
      <w:hyperlink w:anchor="_Toc525106660" w:history="1">
        <w:r w:rsidR="00690541" w:rsidRPr="00741B5A">
          <w:rPr>
            <w:rStyle w:val="Hyperlink"/>
            <w:rFonts w:eastAsia="Calibri" w:cs="Times New Roman"/>
            <w:noProof/>
          </w:rPr>
          <w:t>2.1</w:t>
        </w:r>
        <w:r w:rsidR="00690541" w:rsidRPr="00741B5A">
          <w:rPr>
            <w:rFonts w:eastAsiaTheme="minorEastAsia" w:cs="Times New Roman"/>
            <w:noProof/>
            <w:lang w:eastAsia="en-GB"/>
          </w:rPr>
          <w:tab/>
        </w:r>
        <w:r w:rsidR="00690541" w:rsidRPr="00741B5A">
          <w:rPr>
            <w:rStyle w:val="Hyperlink"/>
            <w:rFonts w:eastAsia="Calibri" w:cs="Times New Roman"/>
            <w:noProof/>
          </w:rPr>
          <w:t>Methods for systematic reviews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_Toc525106660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17</w:t>
        </w:r>
        <w:r w:rsidR="00690541" w:rsidRPr="00741B5A">
          <w:rPr>
            <w:rFonts w:cs="Times New Roman"/>
            <w:noProof/>
            <w:webHidden/>
          </w:rPr>
          <w:fldChar w:fldCharType="end"/>
        </w:r>
      </w:hyperlink>
    </w:p>
    <w:p w14:paraId="1EA138AB" w14:textId="77777777" w:rsidR="00690541" w:rsidRPr="00741B5A" w:rsidRDefault="00EB4E00" w:rsidP="00741B5A">
      <w:pPr>
        <w:pStyle w:val="TOC2"/>
        <w:tabs>
          <w:tab w:val="left" w:pos="880"/>
        </w:tabs>
        <w:rPr>
          <w:rFonts w:eastAsiaTheme="minorEastAsia" w:cs="Times New Roman"/>
          <w:noProof/>
          <w:lang w:eastAsia="en-GB"/>
        </w:rPr>
      </w:pPr>
      <w:hyperlink w:anchor="_Toc525106661" w:history="1">
        <w:r w:rsidR="00690541" w:rsidRPr="00741B5A">
          <w:rPr>
            <w:rStyle w:val="Hyperlink"/>
            <w:rFonts w:cs="Times New Roman"/>
            <w:noProof/>
          </w:rPr>
          <w:t>2.2</w:t>
        </w:r>
        <w:r w:rsidR="00690541" w:rsidRPr="00741B5A">
          <w:rPr>
            <w:rFonts w:eastAsiaTheme="minorEastAsia" w:cs="Times New Roman"/>
            <w:noProof/>
            <w:lang w:eastAsia="en-GB"/>
          </w:rPr>
          <w:tab/>
        </w:r>
        <w:r w:rsidR="00690541" w:rsidRPr="00741B5A">
          <w:rPr>
            <w:rStyle w:val="Hyperlink"/>
            <w:rFonts w:cs="Times New Roman"/>
            <w:noProof/>
          </w:rPr>
          <w:t>The incidence of CJD and the prevalence of CJD-related prions in humans in the UK</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_Toc525106661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25</w:t>
        </w:r>
        <w:r w:rsidR="00690541" w:rsidRPr="00741B5A">
          <w:rPr>
            <w:rFonts w:cs="Times New Roman"/>
            <w:noProof/>
            <w:webHidden/>
          </w:rPr>
          <w:fldChar w:fldCharType="end"/>
        </w:r>
      </w:hyperlink>
    </w:p>
    <w:p w14:paraId="2A07CB71" w14:textId="77777777" w:rsidR="00690541" w:rsidRPr="00741B5A" w:rsidRDefault="00EB4E00" w:rsidP="00741B5A">
      <w:pPr>
        <w:pStyle w:val="TOC2"/>
        <w:tabs>
          <w:tab w:val="left" w:pos="880"/>
        </w:tabs>
        <w:rPr>
          <w:rFonts w:eastAsiaTheme="minorEastAsia" w:cs="Times New Roman"/>
          <w:noProof/>
          <w:lang w:eastAsia="en-GB"/>
        </w:rPr>
      </w:pPr>
      <w:hyperlink w:anchor="_Toc525106662" w:history="1">
        <w:r w:rsidR="00690541" w:rsidRPr="00741B5A">
          <w:rPr>
            <w:rStyle w:val="Hyperlink"/>
            <w:rFonts w:cs="Times New Roman"/>
            <w:noProof/>
          </w:rPr>
          <w:t>2.3</w:t>
        </w:r>
        <w:r w:rsidR="00690541" w:rsidRPr="00741B5A">
          <w:rPr>
            <w:rFonts w:eastAsiaTheme="minorEastAsia" w:cs="Times New Roman"/>
            <w:noProof/>
            <w:lang w:eastAsia="en-GB"/>
          </w:rPr>
          <w:tab/>
        </w:r>
        <w:r w:rsidR="00690541" w:rsidRPr="00741B5A">
          <w:rPr>
            <w:rStyle w:val="Hyperlink"/>
            <w:rFonts w:cs="Times New Roman"/>
            <w:noProof/>
          </w:rPr>
          <w:t>The risk of CJD transmission via surgery</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_Toc525106662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39</w:t>
        </w:r>
        <w:r w:rsidR="00690541" w:rsidRPr="00741B5A">
          <w:rPr>
            <w:rFonts w:cs="Times New Roman"/>
            <w:noProof/>
            <w:webHidden/>
          </w:rPr>
          <w:fldChar w:fldCharType="end"/>
        </w:r>
      </w:hyperlink>
    </w:p>
    <w:p w14:paraId="0814874B" w14:textId="77777777" w:rsidR="00690541" w:rsidRPr="00741B5A" w:rsidRDefault="00EB4E00" w:rsidP="00741B5A">
      <w:pPr>
        <w:pStyle w:val="TOC2"/>
        <w:tabs>
          <w:tab w:val="left" w:pos="880"/>
        </w:tabs>
        <w:rPr>
          <w:rFonts w:eastAsiaTheme="minorEastAsia" w:cs="Times New Roman"/>
          <w:noProof/>
          <w:lang w:eastAsia="en-GB"/>
        </w:rPr>
      </w:pPr>
      <w:hyperlink w:anchor="_Toc525106663" w:history="1">
        <w:r w:rsidR="00690541" w:rsidRPr="00741B5A">
          <w:rPr>
            <w:rStyle w:val="Hyperlink"/>
            <w:rFonts w:cs="Times New Roman"/>
            <w:noProof/>
          </w:rPr>
          <w:t>2.4</w:t>
        </w:r>
        <w:r w:rsidR="00690541" w:rsidRPr="00741B5A">
          <w:rPr>
            <w:rFonts w:eastAsiaTheme="minorEastAsia" w:cs="Times New Roman"/>
            <w:noProof/>
            <w:lang w:eastAsia="en-GB"/>
          </w:rPr>
          <w:tab/>
        </w:r>
        <w:r w:rsidR="00690541" w:rsidRPr="00741B5A">
          <w:rPr>
            <w:rStyle w:val="Hyperlink"/>
            <w:rFonts w:cs="Times New Roman"/>
            <w:noProof/>
          </w:rPr>
          <w:t>Incubation periods of acquired TSEs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_Toc525106663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46</w:t>
        </w:r>
        <w:r w:rsidR="00690541" w:rsidRPr="00741B5A">
          <w:rPr>
            <w:rFonts w:cs="Times New Roman"/>
            <w:noProof/>
            <w:webHidden/>
          </w:rPr>
          <w:fldChar w:fldCharType="end"/>
        </w:r>
      </w:hyperlink>
    </w:p>
    <w:p w14:paraId="1697088A" w14:textId="77777777" w:rsidR="00690541" w:rsidRPr="00741B5A" w:rsidRDefault="00EB4E00" w:rsidP="00741B5A">
      <w:pPr>
        <w:pStyle w:val="TOC2"/>
        <w:tabs>
          <w:tab w:val="left" w:pos="880"/>
        </w:tabs>
        <w:rPr>
          <w:rFonts w:eastAsiaTheme="minorEastAsia" w:cs="Times New Roman"/>
          <w:noProof/>
          <w:lang w:eastAsia="en-GB"/>
        </w:rPr>
      </w:pPr>
      <w:hyperlink w:anchor="_Toc525106664" w:history="1">
        <w:r w:rsidR="00690541" w:rsidRPr="00741B5A">
          <w:rPr>
            <w:rStyle w:val="Hyperlink"/>
            <w:rFonts w:cs="Times New Roman"/>
            <w:noProof/>
          </w:rPr>
          <w:t>2.5</w:t>
        </w:r>
        <w:r w:rsidR="00690541" w:rsidRPr="00741B5A">
          <w:rPr>
            <w:rFonts w:eastAsiaTheme="minorEastAsia" w:cs="Times New Roman"/>
            <w:noProof/>
            <w:lang w:eastAsia="en-GB"/>
          </w:rPr>
          <w:tab/>
        </w:r>
        <w:r w:rsidR="00690541" w:rsidRPr="00741B5A">
          <w:rPr>
            <w:rStyle w:val="Hyperlink"/>
            <w:rFonts w:cs="Times New Roman"/>
            <w:noProof/>
          </w:rPr>
          <w:t>The infectivity of CJD</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_Toc525106664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53</w:t>
        </w:r>
        <w:r w:rsidR="00690541" w:rsidRPr="00741B5A">
          <w:rPr>
            <w:rFonts w:cs="Times New Roman"/>
            <w:noProof/>
            <w:webHidden/>
          </w:rPr>
          <w:fldChar w:fldCharType="end"/>
        </w:r>
      </w:hyperlink>
    </w:p>
    <w:p w14:paraId="3B2F43C4" w14:textId="08FFD3CF" w:rsidR="00690541" w:rsidRPr="00741B5A" w:rsidRDefault="00EB4E00" w:rsidP="00741B5A">
      <w:pPr>
        <w:pStyle w:val="TOC2"/>
        <w:tabs>
          <w:tab w:val="left" w:pos="880"/>
        </w:tabs>
        <w:rPr>
          <w:rFonts w:eastAsiaTheme="minorEastAsia" w:cs="Times New Roman"/>
          <w:noProof/>
          <w:lang w:eastAsia="en-GB"/>
        </w:rPr>
      </w:pPr>
      <w:hyperlink w:anchor="_Toc525106665" w:history="1">
        <w:r w:rsidR="00690541" w:rsidRPr="00741B5A">
          <w:rPr>
            <w:rStyle w:val="Hyperlink"/>
            <w:rFonts w:cs="Times New Roman"/>
            <w:noProof/>
          </w:rPr>
          <w:t>2.6</w:t>
        </w:r>
        <w:r w:rsidR="00690541" w:rsidRPr="00741B5A">
          <w:rPr>
            <w:rFonts w:eastAsiaTheme="minorEastAsia" w:cs="Times New Roman"/>
            <w:noProof/>
            <w:lang w:eastAsia="en-GB"/>
          </w:rPr>
          <w:tab/>
        </w:r>
        <w:r w:rsidR="00690541" w:rsidRPr="00741B5A">
          <w:rPr>
            <w:rStyle w:val="Hyperlink"/>
            <w:rFonts w:cs="Times New Roman"/>
            <w:noProof/>
          </w:rPr>
          <w:t>The evidence on the efficacy of prion decontamination procedures for surgical instruments</w:t>
        </w:r>
        <w:r w:rsidR="005266C7">
          <w:rPr>
            <w:rStyle w:val="Hyperlink"/>
            <w:rFonts w:cs="Times New Roman"/>
            <w:noProof/>
          </w:rPr>
          <w:tab/>
        </w:r>
        <w:r w:rsidR="005266C7">
          <w:rPr>
            <w:rStyle w:val="Hyperlink"/>
            <w:rFonts w:cs="Times New Roman"/>
            <w:noProof/>
          </w:rPr>
          <w:tab/>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_Toc525106665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59</w:t>
        </w:r>
        <w:r w:rsidR="00690541" w:rsidRPr="00741B5A">
          <w:rPr>
            <w:rFonts w:cs="Times New Roman"/>
            <w:noProof/>
            <w:webHidden/>
          </w:rPr>
          <w:fldChar w:fldCharType="end"/>
        </w:r>
      </w:hyperlink>
    </w:p>
    <w:p w14:paraId="1F47816F" w14:textId="596D70C2" w:rsidR="00690541" w:rsidRPr="00741B5A" w:rsidRDefault="00EB4E00" w:rsidP="00741B5A">
      <w:pPr>
        <w:pStyle w:val="TOC2"/>
        <w:tabs>
          <w:tab w:val="left" w:pos="880"/>
        </w:tabs>
        <w:rPr>
          <w:rFonts w:eastAsiaTheme="minorEastAsia" w:cs="Times New Roman"/>
          <w:noProof/>
          <w:lang w:eastAsia="en-GB"/>
        </w:rPr>
      </w:pPr>
      <w:hyperlink w:anchor="_Toc525106666" w:history="1">
        <w:r w:rsidR="00690541" w:rsidRPr="00741B5A">
          <w:rPr>
            <w:rStyle w:val="Hyperlink"/>
            <w:rFonts w:cs="Times New Roman"/>
            <w:noProof/>
          </w:rPr>
          <w:t>2.7</w:t>
        </w:r>
        <w:r w:rsidR="00690541" w:rsidRPr="00741B5A">
          <w:rPr>
            <w:rFonts w:eastAsiaTheme="minorEastAsia" w:cs="Times New Roman"/>
            <w:noProof/>
            <w:lang w:eastAsia="en-GB"/>
          </w:rPr>
          <w:tab/>
        </w:r>
        <w:r w:rsidR="00690541" w:rsidRPr="00741B5A">
          <w:rPr>
            <w:rStyle w:val="Hyperlink"/>
            <w:rFonts w:cs="Times New Roman"/>
            <w:noProof/>
          </w:rPr>
          <w:t xml:space="preserve">The evidence that instruments used for high-risk procedures remain in their original sets </w:t>
        </w:r>
        <w:r w:rsidR="005266C7">
          <w:rPr>
            <w:rStyle w:val="Hyperlink"/>
            <w:rFonts w:cs="Times New Roman"/>
            <w:noProof/>
          </w:rPr>
          <w:tab/>
        </w:r>
        <w:r w:rsidR="00690541" w:rsidRPr="00741B5A">
          <w:rPr>
            <w:rStyle w:val="Hyperlink"/>
            <w:rFonts w:cs="Times New Roman"/>
            <w:noProof/>
          </w:rPr>
          <w:t>after decontamination</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_Toc525106666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86</w:t>
        </w:r>
        <w:r w:rsidR="00690541" w:rsidRPr="00741B5A">
          <w:rPr>
            <w:rFonts w:cs="Times New Roman"/>
            <w:noProof/>
            <w:webHidden/>
          </w:rPr>
          <w:fldChar w:fldCharType="end"/>
        </w:r>
      </w:hyperlink>
    </w:p>
    <w:p w14:paraId="153D40E4" w14:textId="749CF339" w:rsidR="00690541" w:rsidRPr="00741B5A" w:rsidRDefault="00EB4E00" w:rsidP="00741B5A">
      <w:pPr>
        <w:pStyle w:val="TOC2"/>
        <w:tabs>
          <w:tab w:val="left" w:pos="880"/>
        </w:tabs>
        <w:rPr>
          <w:rFonts w:eastAsiaTheme="minorEastAsia" w:cs="Times New Roman"/>
          <w:noProof/>
          <w:lang w:eastAsia="en-GB"/>
        </w:rPr>
      </w:pPr>
      <w:hyperlink w:anchor="_Toc525106667" w:history="1">
        <w:r w:rsidR="00690541" w:rsidRPr="00741B5A">
          <w:rPr>
            <w:rStyle w:val="Hyperlink"/>
            <w:rFonts w:cs="Times New Roman"/>
            <w:noProof/>
          </w:rPr>
          <w:t>2.8</w:t>
        </w:r>
        <w:r w:rsidR="00690541" w:rsidRPr="00741B5A">
          <w:rPr>
            <w:rFonts w:eastAsiaTheme="minorEastAsia" w:cs="Times New Roman"/>
            <w:noProof/>
            <w:lang w:eastAsia="en-GB"/>
          </w:rPr>
          <w:tab/>
        </w:r>
        <w:r w:rsidR="00690541" w:rsidRPr="00741B5A">
          <w:rPr>
            <w:rStyle w:val="Hyperlink"/>
            <w:rFonts w:cs="Times New Roman"/>
            <w:noProof/>
          </w:rPr>
          <w:t xml:space="preserve">The evidence for complication rates of single-use compared with reusable instruments for </w:t>
        </w:r>
        <w:r w:rsidR="005266C7">
          <w:rPr>
            <w:rStyle w:val="Hyperlink"/>
            <w:rFonts w:cs="Times New Roman"/>
            <w:noProof/>
          </w:rPr>
          <w:tab/>
        </w:r>
        <w:r w:rsidR="00690541" w:rsidRPr="00741B5A">
          <w:rPr>
            <w:rStyle w:val="Hyperlink"/>
            <w:rFonts w:cs="Times New Roman"/>
            <w:noProof/>
          </w:rPr>
          <w:t>high-risk procedures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_Toc525106667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90</w:t>
        </w:r>
        <w:r w:rsidR="00690541" w:rsidRPr="00741B5A">
          <w:rPr>
            <w:rFonts w:cs="Times New Roman"/>
            <w:noProof/>
            <w:webHidden/>
          </w:rPr>
          <w:fldChar w:fldCharType="end"/>
        </w:r>
      </w:hyperlink>
    </w:p>
    <w:p w14:paraId="69EF1BD4" w14:textId="442BD5F5" w:rsidR="00690541" w:rsidRPr="00741B5A" w:rsidRDefault="00EB4E00" w:rsidP="00741B5A">
      <w:pPr>
        <w:pStyle w:val="TOC2"/>
        <w:tabs>
          <w:tab w:val="left" w:pos="880"/>
        </w:tabs>
        <w:rPr>
          <w:rFonts w:eastAsiaTheme="minorEastAsia" w:cs="Times New Roman"/>
          <w:noProof/>
          <w:lang w:eastAsia="en-GB"/>
        </w:rPr>
      </w:pPr>
      <w:hyperlink w:anchor="_Toc525106668" w:history="1">
        <w:r w:rsidR="00690541" w:rsidRPr="00741B5A">
          <w:rPr>
            <w:rStyle w:val="Hyperlink"/>
            <w:rFonts w:cs="Times New Roman"/>
            <w:noProof/>
          </w:rPr>
          <w:t>2.9</w:t>
        </w:r>
        <w:r w:rsidR="00690541" w:rsidRPr="00741B5A">
          <w:rPr>
            <w:rFonts w:eastAsiaTheme="minorEastAsia" w:cs="Times New Roman"/>
            <w:noProof/>
            <w:lang w:eastAsia="en-GB"/>
          </w:rPr>
          <w:tab/>
        </w:r>
        <w:r w:rsidR="00690541" w:rsidRPr="00741B5A">
          <w:rPr>
            <w:rStyle w:val="Hyperlink"/>
            <w:rFonts w:cs="Times New Roman"/>
            <w:noProof/>
          </w:rPr>
          <w:t xml:space="preserve">The evidence for the likelihood of future surgery for a patient undergoing high-risk </w:t>
        </w:r>
        <w:r w:rsidR="005266C7">
          <w:rPr>
            <w:rStyle w:val="Hyperlink"/>
            <w:rFonts w:cs="Times New Roman"/>
            <w:noProof/>
          </w:rPr>
          <w:tab/>
        </w:r>
        <w:r w:rsidR="00690541" w:rsidRPr="00741B5A">
          <w:rPr>
            <w:rStyle w:val="Hyperlink"/>
            <w:rFonts w:cs="Times New Roman"/>
            <w:noProof/>
          </w:rPr>
          <w:t>procedures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_Toc525106668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90</w:t>
        </w:r>
        <w:r w:rsidR="00690541" w:rsidRPr="00741B5A">
          <w:rPr>
            <w:rFonts w:cs="Times New Roman"/>
            <w:noProof/>
            <w:webHidden/>
          </w:rPr>
          <w:fldChar w:fldCharType="end"/>
        </w:r>
      </w:hyperlink>
    </w:p>
    <w:p w14:paraId="150B8C47" w14:textId="77777777" w:rsidR="00690541" w:rsidRPr="00741B5A" w:rsidRDefault="00EB4E00" w:rsidP="00741B5A">
      <w:pPr>
        <w:pStyle w:val="TOC1"/>
        <w:spacing w:after="0"/>
        <w:rPr>
          <w:rFonts w:eastAsiaTheme="minorEastAsia" w:cs="Times New Roman"/>
          <w:noProof/>
          <w:lang w:eastAsia="en-GB"/>
        </w:rPr>
      </w:pPr>
      <w:hyperlink w:anchor="_Toc525106669" w:history="1">
        <w:r w:rsidR="00690541" w:rsidRPr="00741B5A">
          <w:rPr>
            <w:rStyle w:val="Hyperlink"/>
            <w:rFonts w:cs="Times New Roman"/>
            <w:noProof/>
          </w:rPr>
          <w:t>3</w:t>
        </w:r>
        <w:r w:rsidR="00690541" w:rsidRPr="00741B5A">
          <w:rPr>
            <w:rFonts w:eastAsiaTheme="minorEastAsia" w:cs="Times New Roman"/>
            <w:noProof/>
            <w:lang w:eastAsia="en-GB"/>
          </w:rPr>
          <w:tab/>
        </w:r>
        <w:r w:rsidR="00690541" w:rsidRPr="00741B5A">
          <w:rPr>
            <w:rStyle w:val="Hyperlink"/>
            <w:rFonts w:cs="Times New Roman"/>
            <w:noProof/>
          </w:rPr>
          <w:t>COST EFFECTIVENESS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_Toc525106669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93</w:t>
        </w:r>
        <w:r w:rsidR="00690541" w:rsidRPr="00741B5A">
          <w:rPr>
            <w:rFonts w:cs="Times New Roman"/>
            <w:noProof/>
            <w:webHidden/>
          </w:rPr>
          <w:fldChar w:fldCharType="end"/>
        </w:r>
      </w:hyperlink>
    </w:p>
    <w:p w14:paraId="771147B9" w14:textId="77777777" w:rsidR="00690541" w:rsidRPr="00741B5A" w:rsidRDefault="00EB4E00" w:rsidP="00741B5A">
      <w:pPr>
        <w:pStyle w:val="TOC2"/>
        <w:tabs>
          <w:tab w:val="left" w:pos="880"/>
        </w:tabs>
        <w:rPr>
          <w:rFonts w:eastAsiaTheme="minorEastAsia" w:cs="Times New Roman"/>
          <w:noProof/>
          <w:lang w:eastAsia="en-GB"/>
        </w:rPr>
      </w:pPr>
      <w:hyperlink w:anchor="_Toc525106670" w:history="1">
        <w:r w:rsidR="00690541" w:rsidRPr="00741B5A">
          <w:rPr>
            <w:rStyle w:val="Hyperlink"/>
            <w:rFonts w:cs="Times New Roman"/>
            <w:noProof/>
          </w:rPr>
          <w:t>3.1</w:t>
        </w:r>
        <w:r w:rsidR="00690541" w:rsidRPr="00741B5A">
          <w:rPr>
            <w:rFonts w:eastAsiaTheme="minorEastAsia" w:cs="Times New Roman"/>
            <w:noProof/>
            <w:lang w:eastAsia="en-GB"/>
          </w:rPr>
          <w:tab/>
        </w:r>
        <w:r w:rsidR="00690541" w:rsidRPr="00741B5A">
          <w:rPr>
            <w:rStyle w:val="Hyperlink"/>
            <w:rFonts w:cs="Times New Roman"/>
            <w:noProof/>
          </w:rPr>
          <w:t>Background</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_Toc525106670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93</w:t>
        </w:r>
        <w:r w:rsidR="00690541" w:rsidRPr="00741B5A">
          <w:rPr>
            <w:rFonts w:cs="Times New Roman"/>
            <w:noProof/>
            <w:webHidden/>
          </w:rPr>
          <w:fldChar w:fldCharType="end"/>
        </w:r>
      </w:hyperlink>
    </w:p>
    <w:p w14:paraId="6CF96C6E" w14:textId="77777777" w:rsidR="00690541" w:rsidRPr="00741B5A" w:rsidRDefault="00EB4E00" w:rsidP="00741B5A">
      <w:pPr>
        <w:pStyle w:val="TOC2"/>
        <w:tabs>
          <w:tab w:val="left" w:pos="880"/>
        </w:tabs>
        <w:rPr>
          <w:rFonts w:eastAsiaTheme="minorEastAsia" w:cs="Times New Roman"/>
          <w:noProof/>
          <w:lang w:eastAsia="en-GB"/>
        </w:rPr>
      </w:pPr>
      <w:hyperlink w:anchor="_Toc525106671" w:history="1">
        <w:r w:rsidR="00690541" w:rsidRPr="00741B5A">
          <w:rPr>
            <w:rStyle w:val="Hyperlink"/>
            <w:rFonts w:cs="Times New Roman"/>
            <w:noProof/>
          </w:rPr>
          <w:t xml:space="preserve">3.2 </w:t>
        </w:r>
        <w:r w:rsidR="00690541" w:rsidRPr="00741B5A">
          <w:rPr>
            <w:rFonts w:eastAsiaTheme="minorEastAsia" w:cs="Times New Roman"/>
            <w:noProof/>
            <w:lang w:eastAsia="en-GB"/>
          </w:rPr>
          <w:tab/>
        </w:r>
        <w:r w:rsidR="00690541" w:rsidRPr="00741B5A">
          <w:rPr>
            <w:rStyle w:val="Hyperlink"/>
            <w:rFonts w:cs="Times New Roman"/>
            <w:noProof/>
          </w:rPr>
          <w:t>The conceptual model</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_Toc525106671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94</w:t>
        </w:r>
        <w:r w:rsidR="00690541" w:rsidRPr="00741B5A">
          <w:rPr>
            <w:rFonts w:cs="Times New Roman"/>
            <w:noProof/>
            <w:webHidden/>
          </w:rPr>
          <w:fldChar w:fldCharType="end"/>
        </w:r>
      </w:hyperlink>
    </w:p>
    <w:p w14:paraId="37C1AB47" w14:textId="77777777" w:rsidR="00690541" w:rsidRPr="00741B5A" w:rsidRDefault="00EB4E00" w:rsidP="00741B5A">
      <w:pPr>
        <w:pStyle w:val="TOC2"/>
        <w:tabs>
          <w:tab w:val="left" w:pos="880"/>
        </w:tabs>
        <w:rPr>
          <w:rFonts w:eastAsiaTheme="minorEastAsia" w:cs="Times New Roman"/>
          <w:noProof/>
          <w:lang w:eastAsia="en-GB"/>
        </w:rPr>
      </w:pPr>
      <w:hyperlink w:anchor="_Toc525106672" w:history="1">
        <w:r w:rsidR="00690541" w:rsidRPr="00741B5A">
          <w:rPr>
            <w:rStyle w:val="Hyperlink"/>
            <w:rFonts w:cs="Times New Roman"/>
            <w:noProof/>
          </w:rPr>
          <w:t>3.3</w:t>
        </w:r>
        <w:r w:rsidR="00690541" w:rsidRPr="00741B5A">
          <w:rPr>
            <w:rFonts w:eastAsiaTheme="minorEastAsia" w:cs="Times New Roman"/>
            <w:noProof/>
            <w:lang w:eastAsia="en-GB"/>
          </w:rPr>
          <w:tab/>
        </w:r>
        <w:r w:rsidR="00690541" w:rsidRPr="00741B5A">
          <w:rPr>
            <w:rStyle w:val="Hyperlink"/>
            <w:rFonts w:cs="Times New Roman"/>
            <w:noProof/>
          </w:rPr>
          <w:t>Key model parameters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_Toc525106672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98</w:t>
        </w:r>
        <w:r w:rsidR="00690541" w:rsidRPr="00741B5A">
          <w:rPr>
            <w:rFonts w:cs="Times New Roman"/>
            <w:noProof/>
            <w:webHidden/>
          </w:rPr>
          <w:fldChar w:fldCharType="end"/>
        </w:r>
      </w:hyperlink>
    </w:p>
    <w:p w14:paraId="1BD48B40" w14:textId="77777777" w:rsidR="00690541" w:rsidRPr="00741B5A" w:rsidRDefault="00EB4E00" w:rsidP="00741B5A">
      <w:pPr>
        <w:pStyle w:val="TOC2"/>
        <w:tabs>
          <w:tab w:val="left" w:pos="880"/>
        </w:tabs>
        <w:rPr>
          <w:rFonts w:eastAsiaTheme="minorEastAsia" w:cs="Times New Roman"/>
          <w:noProof/>
          <w:lang w:eastAsia="en-GB"/>
        </w:rPr>
      </w:pPr>
      <w:hyperlink w:anchor="_Toc525106673" w:history="1">
        <w:r w:rsidR="00690541" w:rsidRPr="00741B5A">
          <w:rPr>
            <w:rStyle w:val="Hyperlink"/>
            <w:rFonts w:cs="Times New Roman"/>
            <w:noProof/>
          </w:rPr>
          <w:t xml:space="preserve">3.4 </w:t>
        </w:r>
        <w:r w:rsidR="00690541" w:rsidRPr="00741B5A">
          <w:rPr>
            <w:rFonts w:eastAsiaTheme="minorEastAsia" w:cs="Times New Roman"/>
            <w:noProof/>
            <w:lang w:eastAsia="en-GB"/>
          </w:rPr>
          <w:tab/>
        </w:r>
        <w:r w:rsidR="00690541" w:rsidRPr="00741B5A">
          <w:rPr>
            <w:rStyle w:val="Hyperlink"/>
            <w:rFonts w:cs="Times New Roman"/>
            <w:noProof/>
          </w:rPr>
          <w:t>Calibration targets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_Toc525106673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115</w:t>
        </w:r>
        <w:r w:rsidR="00690541" w:rsidRPr="00741B5A">
          <w:rPr>
            <w:rFonts w:cs="Times New Roman"/>
            <w:noProof/>
            <w:webHidden/>
          </w:rPr>
          <w:fldChar w:fldCharType="end"/>
        </w:r>
      </w:hyperlink>
    </w:p>
    <w:p w14:paraId="43EEE287" w14:textId="60BBE268" w:rsidR="00690541" w:rsidRPr="00741B5A" w:rsidRDefault="00EB4E00" w:rsidP="00741B5A">
      <w:pPr>
        <w:pStyle w:val="TOC2"/>
        <w:tabs>
          <w:tab w:val="left" w:pos="880"/>
        </w:tabs>
        <w:rPr>
          <w:rFonts w:eastAsiaTheme="minorEastAsia" w:cs="Times New Roman"/>
          <w:noProof/>
          <w:lang w:eastAsia="en-GB"/>
        </w:rPr>
      </w:pPr>
      <w:hyperlink w:anchor="_Toc525106674" w:history="1">
        <w:r w:rsidR="00690541" w:rsidRPr="00741B5A">
          <w:rPr>
            <w:rStyle w:val="Hyperlink"/>
            <w:rFonts w:cs="Times New Roman"/>
            <w:noProof/>
          </w:rPr>
          <w:t xml:space="preserve">3.5 </w:t>
        </w:r>
        <w:r w:rsidR="00690541" w:rsidRPr="00741B5A">
          <w:rPr>
            <w:rFonts w:eastAsiaTheme="minorEastAsia" w:cs="Times New Roman"/>
            <w:noProof/>
            <w:lang w:eastAsia="en-GB"/>
          </w:rPr>
          <w:tab/>
        </w:r>
        <w:r w:rsidR="00690541" w:rsidRPr="00741B5A">
          <w:rPr>
            <w:rStyle w:val="Hyperlink"/>
            <w:rFonts w:cs="Times New Roman"/>
            <w:noProof/>
          </w:rPr>
          <w:t xml:space="preserve">Categorisation of surgical units, establishing PSA configurations that are plausible, and </w:t>
        </w:r>
        <w:r w:rsidR="005266C7">
          <w:rPr>
            <w:rStyle w:val="Hyperlink"/>
            <w:rFonts w:cs="Times New Roman"/>
            <w:noProof/>
          </w:rPr>
          <w:tab/>
        </w:r>
        <w:r w:rsidR="00690541" w:rsidRPr="00741B5A">
          <w:rPr>
            <w:rStyle w:val="Hyperlink"/>
            <w:rFonts w:cs="Times New Roman"/>
            <w:noProof/>
          </w:rPr>
          <w:t>generating likelihood functions for plausible PSA configurations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_Toc525106674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115</w:t>
        </w:r>
        <w:r w:rsidR="00690541" w:rsidRPr="00741B5A">
          <w:rPr>
            <w:rFonts w:cs="Times New Roman"/>
            <w:noProof/>
            <w:webHidden/>
          </w:rPr>
          <w:fldChar w:fldCharType="end"/>
        </w:r>
      </w:hyperlink>
    </w:p>
    <w:p w14:paraId="3E752B70" w14:textId="77777777" w:rsidR="00690541" w:rsidRPr="00741B5A" w:rsidRDefault="00EB4E00" w:rsidP="00741B5A">
      <w:pPr>
        <w:pStyle w:val="TOC2"/>
        <w:tabs>
          <w:tab w:val="left" w:pos="880"/>
        </w:tabs>
        <w:rPr>
          <w:rFonts w:eastAsiaTheme="minorEastAsia" w:cs="Times New Roman"/>
          <w:noProof/>
          <w:lang w:eastAsia="en-GB"/>
        </w:rPr>
      </w:pPr>
      <w:hyperlink w:anchor="_Toc525106675" w:history="1">
        <w:r w:rsidR="00690541" w:rsidRPr="00741B5A">
          <w:rPr>
            <w:rStyle w:val="Hyperlink"/>
            <w:rFonts w:cs="Times New Roman"/>
            <w:noProof/>
          </w:rPr>
          <w:t>3.6</w:t>
        </w:r>
        <w:r w:rsidR="00690541" w:rsidRPr="00741B5A">
          <w:rPr>
            <w:rFonts w:eastAsiaTheme="minorEastAsia" w:cs="Times New Roman"/>
            <w:noProof/>
            <w:lang w:eastAsia="en-GB"/>
          </w:rPr>
          <w:tab/>
        </w:r>
        <w:r w:rsidR="00690541" w:rsidRPr="00741B5A">
          <w:rPr>
            <w:rStyle w:val="Hyperlink"/>
            <w:rFonts w:cs="Times New Roman"/>
            <w:noProof/>
          </w:rPr>
          <w:t>Strategies modelled</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_Toc525106675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120</w:t>
        </w:r>
        <w:r w:rsidR="00690541" w:rsidRPr="00741B5A">
          <w:rPr>
            <w:rFonts w:cs="Times New Roman"/>
            <w:noProof/>
            <w:webHidden/>
          </w:rPr>
          <w:fldChar w:fldCharType="end"/>
        </w:r>
      </w:hyperlink>
    </w:p>
    <w:p w14:paraId="30102BB9" w14:textId="77777777" w:rsidR="00690541" w:rsidRPr="00741B5A" w:rsidRDefault="00EB4E00" w:rsidP="00741B5A">
      <w:pPr>
        <w:pStyle w:val="TOC2"/>
        <w:tabs>
          <w:tab w:val="left" w:pos="880"/>
        </w:tabs>
        <w:rPr>
          <w:rFonts w:eastAsiaTheme="minorEastAsia" w:cs="Times New Roman"/>
          <w:noProof/>
          <w:lang w:eastAsia="en-GB"/>
        </w:rPr>
      </w:pPr>
      <w:hyperlink w:anchor="_Toc525106676" w:history="1">
        <w:r w:rsidR="00690541" w:rsidRPr="00741B5A">
          <w:rPr>
            <w:rStyle w:val="Hyperlink"/>
            <w:rFonts w:cs="Times New Roman"/>
            <w:noProof/>
          </w:rPr>
          <w:t>3.7</w:t>
        </w:r>
        <w:r w:rsidR="00690541" w:rsidRPr="00741B5A">
          <w:rPr>
            <w:rFonts w:eastAsiaTheme="minorEastAsia" w:cs="Times New Roman"/>
            <w:noProof/>
            <w:lang w:eastAsia="en-GB"/>
          </w:rPr>
          <w:tab/>
        </w:r>
        <w:r w:rsidR="00690541" w:rsidRPr="00741B5A">
          <w:rPr>
            <w:rStyle w:val="Hyperlink"/>
            <w:rFonts w:cs="Times New Roman"/>
            <w:noProof/>
          </w:rPr>
          <w:t>Epidemiological results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_Toc525106676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120</w:t>
        </w:r>
        <w:r w:rsidR="00690541" w:rsidRPr="00741B5A">
          <w:rPr>
            <w:rFonts w:cs="Times New Roman"/>
            <w:noProof/>
            <w:webHidden/>
          </w:rPr>
          <w:fldChar w:fldCharType="end"/>
        </w:r>
      </w:hyperlink>
    </w:p>
    <w:p w14:paraId="776A2F58" w14:textId="77777777" w:rsidR="00690541" w:rsidRPr="00741B5A" w:rsidRDefault="00EB4E00" w:rsidP="00741B5A">
      <w:pPr>
        <w:pStyle w:val="TOC2"/>
        <w:tabs>
          <w:tab w:val="left" w:pos="880"/>
        </w:tabs>
        <w:rPr>
          <w:rFonts w:eastAsiaTheme="minorEastAsia" w:cs="Times New Roman"/>
          <w:noProof/>
          <w:lang w:eastAsia="en-GB"/>
        </w:rPr>
      </w:pPr>
      <w:hyperlink w:anchor="_Toc525106677" w:history="1">
        <w:r w:rsidR="00690541" w:rsidRPr="00741B5A">
          <w:rPr>
            <w:rStyle w:val="Hyperlink"/>
            <w:rFonts w:cs="Times New Roman"/>
            <w:noProof/>
          </w:rPr>
          <w:t>3.8</w:t>
        </w:r>
        <w:r w:rsidR="00690541" w:rsidRPr="00741B5A">
          <w:rPr>
            <w:rFonts w:eastAsiaTheme="minorEastAsia" w:cs="Times New Roman"/>
            <w:noProof/>
            <w:lang w:eastAsia="en-GB"/>
          </w:rPr>
          <w:tab/>
        </w:r>
        <w:r w:rsidR="00690541" w:rsidRPr="00741B5A">
          <w:rPr>
            <w:rStyle w:val="Hyperlink"/>
            <w:rFonts w:cs="Times New Roman"/>
            <w:noProof/>
          </w:rPr>
          <w:t>Cost-effectiveness results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_Toc525106677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125</w:t>
        </w:r>
        <w:r w:rsidR="00690541" w:rsidRPr="00741B5A">
          <w:rPr>
            <w:rFonts w:cs="Times New Roman"/>
            <w:noProof/>
            <w:webHidden/>
          </w:rPr>
          <w:fldChar w:fldCharType="end"/>
        </w:r>
      </w:hyperlink>
    </w:p>
    <w:p w14:paraId="3FA74CB0" w14:textId="77777777" w:rsidR="00690541" w:rsidRPr="00741B5A" w:rsidRDefault="00EB4E00" w:rsidP="00741B5A">
      <w:pPr>
        <w:pStyle w:val="TOC1"/>
        <w:spacing w:after="0"/>
        <w:rPr>
          <w:rFonts w:eastAsiaTheme="minorEastAsia" w:cs="Times New Roman"/>
          <w:noProof/>
          <w:lang w:eastAsia="en-GB"/>
        </w:rPr>
      </w:pPr>
      <w:hyperlink w:anchor="_Toc525106678" w:history="1">
        <w:r w:rsidR="00690541" w:rsidRPr="00741B5A">
          <w:rPr>
            <w:rStyle w:val="Hyperlink"/>
            <w:rFonts w:cs="Times New Roman"/>
            <w:noProof/>
          </w:rPr>
          <w:t>4</w:t>
        </w:r>
        <w:r w:rsidR="00690541" w:rsidRPr="00741B5A">
          <w:rPr>
            <w:rFonts w:eastAsiaTheme="minorEastAsia" w:cs="Times New Roman"/>
            <w:noProof/>
            <w:lang w:eastAsia="en-GB"/>
          </w:rPr>
          <w:tab/>
        </w:r>
        <w:r w:rsidR="00690541" w:rsidRPr="00741B5A">
          <w:rPr>
            <w:rStyle w:val="Hyperlink"/>
            <w:rFonts w:cs="Times New Roman"/>
            <w:noProof/>
          </w:rPr>
          <w:t>DISCUSSION AND CONCLUSIONS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_Toc525106678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131</w:t>
        </w:r>
        <w:r w:rsidR="00690541" w:rsidRPr="00741B5A">
          <w:rPr>
            <w:rFonts w:cs="Times New Roman"/>
            <w:noProof/>
            <w:webHidden/>
          </w:rPr>
          <w:fldChar w:fldCharType="end"/>
        </w:r>
      </w:hyperlink>
    </w:p>
    <w:p w14:paraId="1035D03C" w14:textId="77777777" w:rsidR="00690541" w:rsidRPr="00741B5A" w:rsidRDefault="00EB4E00" w:rsidP="00741B5A">
      <w:pPr>
        <w:pStyle w:val="TOC1"/>
        <w:spacing w:after="0"/>
        <w:rPr>
          <w:rFonts w:eastAsiaTheme="minorEastAsia" w:cs="Times New Roman"/>
          <w:noProof/>
          <w:lang w:eastAsia="en-GB"/>
        </w:rPr>
      </w:pPr>
      <w:hyperlink w:anchor="_Toc525106679" w:history="1">
        <w:r w:rsidR="00690541" w:rsidRPr="00741B5A">
          <w:rPr>
            <w:rStyle w:val="Hyperlink"/>
            <w:rFonts w:cs="Times New Roman"/>
            <w:noProof/>
          </w:rPr>
          <w:t>Acknowledgements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_Toc525106679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134</w:t>
        </w:r>
        <w:r w:rsidR="00690541" w:rsidRPr="00741B5A">
          <w:rPr>
            <w:rFonts w:cs="Times New Roman"/>
            <w:noProof/>
            <w:webHidden/>
          </w:rPr>
          <w:fldChar w:fldCharType="end"/>
        </w:r>
      </w:hyperlink>
    </w:p>
    <w:p w14:paraId="7B824E88" w14:textId="77777777" w:rsidR="00690541" w:rsidRPr="00741B5A" w:rsidRDefault="00EB4E00" w:rsidP="00741B5A">
      <w:pPr>
        <w:pStyle w:val="TOC1"/>
        <w:spacing w:after="0"/>
        <w:rPr>
          <w:rFonts w:eastAsiaTheme="minorEastAsia" w:cs="Times New Roman"/>
          <w:noProof/>
          <w:lang w:eastAsia="en-GB"/>
        </w:rPr>
      </w:pPr>
      <w:hyperlink w:anchor="_Toc525106680" w:history="1">
        <w:r w:rsidR="00690541" w:rsidRPr="00741B5A">
          <w:rPr>
            <w:rStyle w:val="Hyperlink"/>
            <w:rFonts w:cs="Times New Roman"/>
            <w:noProof/>
          </w:rPr>
          <w:t>REFERENCES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_Toc525106680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135</w:t>
        </w:r>
        <w:r w:rsidR="00690541" w:rsidRPr="00741B5A">
          <w:rPr>
            <w:rFonts w:cs="Times New Roman"/>
            <w:noProof/>
            <w:webHidden/>
          </w:rPr>
          <w:fldChar w:fldCharType="end"/>
        </w:r>
      </w:hyperlink>
    </w:p>
    <w:p w14:paraId="510BB536" w14:textId="77777777" w:rsidR="00690541" w:rsidRPr="00741B5A" w:rsidRDefault="00EB4E00" w:rsidP="00741B5A">
      <w:pPr>
        <w:pStyle w:val="TOC1"/>
        <w:tabs>
          <w:tab w:val="left" w:pos="1320"/>
        </w:tabs>
        <w:spacing w:after="0"/>
        <w:rPr>
          <w:rFonts w:eastAsiaTheme="minorEastAsia" w:cs="Times New Roman"/>
          <w:noProof/>
          <w:lang w:eastAsia="en-GB"/>
        </w:rPr>
      </w:pPr>
      <w:hyperlink w:anchor="_Toc525106681" w:history="1">
        <w:r w:rsidR="00690541" w:rsidRPr="00741B5A">
          <w:rPr>
            <w:rStyle w:val="Hyperlink"/>
            <w:rFonts w:cs="Times New Roman"/>
            <w:noProof/>
          </w:rPr>
          <w:t>Appendix 1:</w:t>
        </w:r>
        <w:r w:rsidR="00690541" w:rsidRPr="00741B5A">
          <w:rPr>
            <w:rFonts w:eastAsiaTheme="minorEastAsia" w:cs="Times New Roman"/>
            <w:noProof/>
            <w:lang w:eastAsia="en-GB"/>
          </w:rPr>
          <w:tab/>
        </w:r>
        <w:r w:rsidR="00690541" w:rsidRPr="00741B5A">
          <w:rPr>
            <w:rStyle w:val="Hyperlink"/>
            <w:rFonts w:cs="Times New Roman"/>
            <w:noProof/>
          </w:rPr>
          <w:t>Clinical Effectiveness Search Strategies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_Toc525106681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149</w:t>
        </w:r>
        <w:r w:rsidR="00690541" w:rsidRPr="00741B5A">
          <w:rPr>
            <w:rFonts w:cs="Times New Roman"/>
            <w:noProof/>
            <w:webHidden/>
          </w:rPr>
          <w:fldChar w:fldCharType="end"/>
        </w:r>
      </w:hyperlink>
    </w:p>
    <w:p w14:paraId="4933B18F" w14:textId="77777777" w:rsidR="00690541" w:rsidRPr="00741B5A" w:rsidRDefault="00EB4E00" w:rsidP="00741B5A">
      <w:pPr>
        <w:pStyle w:val="TOC1"/>
        <w:tabs>
          <w:tab w:val="left" w:pos="1320"/>
        </w:tabs>
        <w:spacing w:after="0"/>
        <w:rPr>
          <w:rFonts w:eastAsiaTheme="minorEastAsia" w:cs="Times New Roman"/>
          <w:noProof/>
          <w:lang w:eastAsia="en-GB"/>
        </w:rPr>
      </w:pPr>
      <w:hyperlink w:anchor="_Toc525106682" w:history="1">
        <w:r w:rsidR="00690541" w:rsidRPr="00741B5A">
          <w:rPr>
            <w:rStyle w:val="Hyperlink"/>
            <w:rFonts w:cs="Times New Roman"/>
            <w:noProof/>
          </w:rPr>
          <w:t>Appendix 2:</w:t>
        </w:r>
        <w:r w:rsidR="00690541" w:rsidRPr="00741B5A">
          <w:rPr>
            <w:rFonts w:eastAsiaTheme="minorEastAsia" w:cs="Times New Roman"/>
            <w:noProof/>
            <w:lang w:eastAsia="en-GB"/>
          </w:rPr>
          <w:tab/>
        </w:r>
        <w:r w:rsidR="00690541" w:rsidRPr="00741B5A">
          <w:rPr>
            <w:rStyle w:val="Hyperlink"/>
            <w:rFonts w:cs="Times New Roman"/>
            <w:noProof/>
          </w:rPr>
          <w:t>Cost Effectiveness Search Strategies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_Toc525106682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160</w:t>
        </w:r>
        <w:r w:rsidR="00690541" w:rsidRPr="00741B5A">
          <w:rPr>
            <w:rFonts w:cs="Times New Roman"/>
            <w:noProof/>
            <w:webHidden/>
          </w:rPr>
          <w:fldChar w:fldCharType="end"/>
        </w:r>
      </w:hyperlink>
    </w:p>
    <w:p w14:paraId="5F2F85BA" w14:textId="77777777" w:rsidR="00690541" w:rsidRPr="00741B5A" w:rsidRDefault="00EB4E00" w:rsidP="00741B5A">
      <w:pPr>
        <w:pStyle w:val="TOC1"/>
        <w:tabs>
          <w:tab w:val="left" w:pos="1320"/>
        </w:tabs>
        <w:spacing w:after="0"/>
        <w:rPr>
          <w:rFonts w:eastAsiaTheme="minorEastAsia" w:cs="Times New Roman"/>
          <w:noProof/>
          <w:lang w:eastAsia="en-GB"/>
        </w:rPr>
      </w:pPr>
      <w:hyperlink w:anchor="_Toc525106683" w:history="1">
        <w:r w:rsidR="00690541" w:rsidRPr="00741B5A">
          <w:rPr>
            <w:rStyle w:val="Hyperlink"/>
            <w:rFonts w:cs="Times New Roman"/>
            <w:noProof/>
          </w:rPr>
          <w:t>Appendix 3:</w:t>
        </w:r>
        <w:r w:rsidR="00690541" w:rsidRPr="00741B5A">
          <w:rPr>
            <w:rFonts w:eastAsiaTheme="minorEastAsia" w:cs="Times New Roman"/>
            <w:noProof/>
            <w:lang w:eastAsia="en-GB"/>
          </w:rPr>
          <w:tab/>
        </w:r>
        <w:r w:rsidR="00690541" w:rsidRPr="00741B5A">
          <w:rPr>
            <w:rStyle w:val="Hyperlink"/>
            <w:rFonts w:cs="Times New Roman"/>
            <w:noProof/>
          </w:rPr>
          <w:t>E</w:t>
        </w:r>
        <w:r w:rsidR="00690541" w:rsidRPr="00741B5A">
          <w:rPr>
            <w:rStyle w:val="Hyperlink"/>
            <w:rFonts w:cs="Times New Roman"/>
            <w:noProof/>
            <w:shd w:val="clear" w:color="auto" w:fill="FFFFFF"/>
          </w:rPr>
          <w:t>xcluded studies from the clinical reviews with reasons for exclusion</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_Toc525106683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163</w:t>
        </w:r>
        <w:r w:rsidR="00690541" w:rsidRPr="00741B5A">
          <w:rPr>
            <w:rFonts w:cs="Times New Roman"/>
            <w:noProof/>
            <w:webHidden/>
          </w:rPr>
          <w:fldChar w:fldCharType="end"/>
        </w:r>
      </w:hyperlink>
    </w:p>
    <w:p w14:paraId="3D2A150D" w14:textId="5C692B0C" w:rsidR="00690541" w:rsidRPr="00741B5A" w:rsidRDefault="00EB4E00" w:rsidP="00741B5A">
      <w:pPr>
        <w:pStyle w:val="TOC1"/>
        <w:tabs>
          <w:tab w:val="left" w:pos="1320"/>
        </w:tabs>
        <w:spacing w:after="0"/>
        <w:rPr>
          <w:rFonts w:eastAsiaTheme="minorEastAsia" w:cs="Times New Roman"/>
          <w:noProof/>
          <w:lang w:eastAsia="en-GB"/>
        </w:rPr>
      </w:pPr>
      <w:hyperlink w:anchor="_Toc525106684" w:history="1">
        <w:r w:rsidR="00690541" w:rsidRPr="00741B5A">
          <w:rPr>
            <w:rStyle w:val="Hyperlink"/>
            <w:rFonts w:cs="Times New Roman"/>
            <w:noProof/>
          </w:rPr>
          <w:t>Appendix 4:</w:t>
        </w:r>
        <w:r w:rsidR="00690541" w:rsidRPr="00741B5A">
          <w:rPr>
            <w:rFonts w:eastAsiaTheme="minorEastAsia" w:cs="Times New Roman"/>
            <w:noProof/>
            <w:lang w:eastAsia="en-GB"/>
          </w:rPr>
          <w:tab/>
        </w:r>
        <w:r w:rsidR="00690541" w:rsidRPr="00741B5A">
          <w:rPr>
            <w:rStyle w:val="Hyperlink"/>
            <w:rFonts w:cs="Times New Roman"/>
            <w:noProof/>
          </w:rPr>
          <w:t>Elicitation exercise relating to epidemiological parameters. Conducted 18</w:t>
        </w:r>
        <w:r w:rsidR="00690541" w:rsidRPr="00741B5A">
          <w:rPr>
            <w:rStyle w:val="Hyperlink"/>
            <w:rFonts w:cs="Times New Roman"/>
            <w:noProof/>
            <w:vertAlign w:val="superscript"/>
          </w:rPr>
          <w:t>th</w:t>
        </w:r>
        <w:r w:rsidR="00690541" w:rsidRPr="00741B5A">
          <w:rPr>
            <w:rStyle w:val="Hyperlink"/>
            <w:rFonts w:cs="Times New Roman"/>
            <w:noProof/>
          </w:rPr>
          <w:t xml:space="preserve"> January </w:t>
        </w:r>
        <w:r w:rsidR="005266C7">
          <w:rPr>
            <w:rStyle w:val="Hyperlink"/>
            <w:rFonts w:cs="Times New Roman"/>
            <w:noProof/>
          </w:rPr>
          <w:tab/>
        </w:r>
        <w:r w:rsidR="005266C7">
          <w:rPr>
            <w:rStyle w:val="Hyperlink"/>
            <w:rFonts w:cs="Times New Roman"/>
            <w:noProof/>
          </w:rPr>
          <w:tab/>
        </w:r>
        <w:r w:rsidR="005266C7">
          <w:rPr>
            <w:rStyle w:val="Hyperlink"/>
            <w:rFonts w:cs="Times New Roman"/>
            <w:noProof/>
          </w:rPr>
          <w:tab/>
        </w:r>
        <w:r w:rsidR="00690541" w:rsidRPr="00741B5A">
          <w:rPr>
            <w:rStyle w:val="Hyperlink"/>
            <w:rFonts w:cs="Times New Roman"/>
            <w:noProof/>
          </w:rPr>
          <w:t>2018</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_Toc525106684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165</w:t>
        </w:r>
        <w:r w:rsidR="00690541" w:rsidRPr="00741B5A">
          <w:rPr>
            <w:rFonts w:cs="Times New Roman"/>
            <w:noProof/>
            <w:webHidden/>
          </w:rPr>
          <w:fldChar w:fldCharType="end"/>
        </w:r>
      </w:hyperlink>
    </w:p>
    <w:p w14:paraId="12765D75" w14:textId="77777777" w:rsidR="00690541" w:rsidRPr="00741B5A" w:rsidRDefault="00EB4E00" w:rsidP="00741B5A">
      <w:pPr>
        <w:pStyle w:val="TOC1"/>
        <w:tabs>
          <w:tab w:val="left" w:pos="1320"/>
        </w:tabs>
        <w:spacing w:after="0"/>
        <w:rPr>
          <w:rFonts w:eastAsiaTheme="minorEastAsia" w:cs="Times New Roman"/>
          <w:noProof/>
          <w:lang w:eastAsia="en-GB"/>
        </w:rPr>
      </w:pPr>
      <w:hyperlink w:anchor="_Toc525106685" w:history="1">
        <w:r w:rsidR="00690541" w:rsidRPr="00741B5A">
          <w:rPr>
            <w:rStyle w:val="Hyperlink"/>
            <w:rFonts w:cs="Times New Roman"/>
            <w:noProof/>
          </w:rPr>
          <w:t>Appendix 5:</w:t>
        </w:r>
        <w:r w:rsidR="00690541" w:rsidRPr="00741B5A">
          <w:rPr>
            <w:rFonts w:eastAsiaTheme="minorEastAsia" w:cs="Times New Roman"/>
            <w:noProof/>
            <w:lang w:eastAsia="en-GB"/>
          </w:rPr>
          <w:tab/>
        </w:r>
        <w:r w:rsidR="00690541" w:rsidRPr="00741B5A">
          <w:rPr>
            <w:rStyle w:val="Hyperlink"/>
            <w:rFonts w:cs="Times New Roman"/>
            <w:noProof/>
          </w:rPr>
          <w:t>The operations considered to be at high risk</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_Toc525106685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175</w:t>
        </w:r>
        <w:r w:rsidR="00690541" w:rsidRPr="00741B5A">
          <w:rPr>
            <w:rFonts w:cs="Times New Roman"/>
            <w:noProof/>
            <w:webHidden/>
          </w:rPr>
          <w:fldChar w:fldCharType="end"/>
        </w:r>
      </w:hyperlink>
    </w:p>
    <w:p w14:paraId="61EBFACA" w14:textId="77777777" w:rsidR="00690541" w:rsidRPr="00741B5A" w:rsidRDefault="00EB4E00" w:rsidP="00741B5A">
      <w:pPr>
        <w:pStyle w:val="TOC1"/>
        <w:tabs>
          <w:tab w:val="left" w:pos="1320"/>
        </w:tabs>
        <w:spacing w:after="0"/>
        <w:rPr>
          <w:rFonts w:eastAsiaTheme="minorEastAsia" w:cs="Times New Roman"/>
          <w:noProof/>
          <w:lang w:eastAsia="en-GB"/>
        </w:rPr>
      </w:pPr>
      <w:hyperlink w:anchor="_Toc525106686" w:history="1">
        <w:r w:rsidR="00690541" w:rsidRPr="00741B5A">
          <w:rPr>
            <w:rStyle w:val="Hyperlink"/>
            <w:rFonts w:cs="Times New Roman"/>
            <w:noProof/>
          </w:rPr>
          <w:t>Appendix 6:</w:t>
        </w:r>
        <w:r w:rsidR="00690541" w:rsidRPr="00741B5A">
          <w:rPr>
            <w:rFonts w:eastAsiaTheme="minorEastAsia" w:cs="Times New Roman"/>
            <w:noProof/>
            <w:lang w:eastAsia="en-GB"/>
          </w:rPr>
          <w:tab/>
        </w:r>
        <w:r w:rsidR="00690541" w:rsidRPr="00741B5A">
          <w:rPr>
            <w:rStyle w:val="Hyperlink"/>
            <w:rFonts w:cs="Times New Roman"/>
            <w:noProof/>
          </w:rPr>
          <w:t>The assumed age profile of patients receiving each operation</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_Toc525106686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182</w:t>
        </w:r>
        <w:r w:rsidR="00690541" w:rsidRPr="00741B5A">
          <w:rPr>
            <w:rFonts w:cs="Times New Roman"/>
            <w:noProof/>
            <w:webHidden/>
          </w:rPr>
          <w:fldChar w:fldCharType="end"/>
        </w:r>
      </w:hyperlink>
    </w:p>
    <w:p w14:paraId="3500F472" w14:textId="77777777" w:rsidR="00690541" w:rsidRPr="00741B5A" w:rsidRDefault="00EB4E00" w:rsidP="00741B5A">
      <w:pPr>
        <w:pStyle w:val="TOC1"/>
        <w:tabs>
          <w:tab w:val="left" w:pos="1320"/>
        </w:tabs>
        <w:spacing w:after="0"/>
        <w:rPr>
          <w:rFonts w:eastAsiaTheme="minorEastAsia" w:cs="Times New Roman"/>
          <w:noProof/>
          <w:lang w:eastAsia="en-GB"/>
        </w:rPr>
      </w:pPr>
      <w:hyperlink w:anchor="_Toc525106687" w:history="1">
        <w:r w:rsidR="00690541" w:rsidRPr="00741B5A">
          <w:rPr>
            <w:rStyle w:val="Hyperlink"/>
            <w:rFonts w:cs="Times New Roman"/>
            <w:noProof/>
          </w:rPr>
          <w:t>Appendix 7:</w:t>
        </w:r>
        <w:r w:rsidR="00690541" w:rsidRPr="00741B5A">
          <w:rPr>
            <w:rFonts w:eastAsiaTheme="minorEastAsia" w:cs="Times New Roman"/>
            <w:noProof/>
            <w:lang w:eastAsia="en-GB"/>
          </w:rPr>
          <w:tab/>
        </w:r>
        <w:r w:rsidR="00690541" w:rsidRPr="00741B5A">
          <w:rPr>
            <w:rStyle w:val="Hyperlink"/>
            <w:rFonts w:cs="Times New Roman"/>
            <w:noProof/>
          </w:rPr>
          <w:t>The calibration methodology</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_Toc525106687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185</w:t>
        </w:r>
        <w:r w:rsidR="00690541" w:rsidRPr="00741B5A">
          <w:rPr>
            <w:rFonts w:cs="Times New Roman"/>
            <w:noProof/>
            <w:webHidden/>
          </w:rPr>
          <w:fldChar w:fldCharType="end"/>
        </w:r>
      </w:hyperlink>
    </w:p>
    <w:p w14:paraId="3D86E8F2" w14:textId="77777777" w:rsidR="00690541" w:rsidRPr="00741B5A" w:rsidRDefault="00DD794C" w:rsidP="00741B5A">
      <w:pPr>
        <w:ind w:left="1134" w:hanging="1134"/>
        <w:rPr>
          <w:rFonts w:cs="Times New Roman"/>
          <w:noProof/>
        </w:rPr>
      </w:pPr>
      <w:r w:rsidRPr="00741B5A">
        <w:rPr>
          <w:rFonts w:eastAsia="Calibri" w:cs="Times New Roman"/>
        </w:rPr>
        <w:fldChar w:fldCharType="end"/>
      </w:r>
      <w:r w:rsidR="00E70DD2" w:rsidRPr="00741B5A">
        <w:rPr>
          <w:rFonts w:eastAsia="Calibri" w:cs="Times New Roman"/>
        </w:rPr>
        <w:t>TABLES</w:t>
      </w:r>
      <w:r w:rsidRPr="00741B5A">
        <w:rPr>
          <w:rFonts w:eastAsia="Calibri" w:cs="Times New Roman"/>
        </w:rPr>
        <w:fldChar w:fldCharType="begin"/>
      </w:r>
      <w:r w:rsidRPr="00741B5A">
        <w:rPr>
          <w:rFonts w:eastAsia="Calibri" w:cs="Times New Roman"/>
        </w:rPr>
        <w:instrText xml:space="preserve"> TOC \h \z \c "Table" </w:instrText>
      </w:r>
      <w:r w:rsidRPr="00741B5A">
        <w:rPr>
          <w:rFonts w:eastAsia="Calibri" w:cs="Times New Roman"/>
        </w:rPr>
        <w:fldChar w:fldCharType="separate"/>
      </w:r>
    </w:p>
    <w:p w14:paraId="7BA36C6B"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688" w:history="1">
        <w:r w:rsidR="00690541" w:rsidRPr="00741B5A">
          <w:rPr>
            <w:rStyle w:val="Hyperlink"/>
            <w:rFonts w:eastAsia="Times New Roman" w:cs="Times New Roman"/>
            <w:bCs/>
            <w:noProof/>
            <w:lang w:eastAsia="en-GB"/>
          </w:rPr>
          <w:t>Table 1:</w:t>
        </w:r>
        <w:r w:rsidR="00690541" w:rsidRPr="00741B5A">
          <w:rPr>
            <w:rFonts w:eastAsiaTheme="minorEastAsia" w:cs="Times New Roman"/>
            <w:noProof/>
            <w:lang w:eastAsia="en-GB"/>
          </w:rPr>
          <w:tab/>
        </w:r>
        <w:r w:rsidR="00690541" w:rsidRPr="00741B5A">
          <w:rPr>
            <w:rStyle w:val="Hyperlink"/>
            <w:rFonts w:eastAsia="Times New Roman" w:cs="Times New Roman"/>
            <w:bCs/>
            <w:noProof/>
            <w:lang w:eastAsia="en-GB"/>
          </w:rPr>
          <w:t>Eligibility criteria for each review question</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_Toc525106688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18</w:t>
        </w:r>
        <w:r w:rsidR="00690541" w:rsidRPr="00741B5A">
          <w:rPr>
            <w:rFonts w:cs="Times New Roman"/>
            <w:noProof/>
            <w:webHidden/>
          </w:rPr>
          <w:fldChar w:fldCharType="end"/>
        </w:r>
      </w:hyperlink>
    </w:p>
    <w:p w14:paraId="47834346" w14:textId="197CABE1"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689" w:history="1">
        <w:r w:rsidR="00690541" w:rsidRPr="00741B5A">
          <w:rPr>
            <w:rStyle w:val="Hyperlink"/>
            <w:rFonts w:cs="Times New Roman"/>
            <w:noProof/>
          </w:rPr>
          <w:t>Table 2:</w:t>
        </w:r>
        <w:r w:rsidR="00690541" w:rsidRPr="00741B5A">
          <w:rPr>
            <w:rFonts w:eastAsiaTheme="minorEastAsia" w:cs="Times New Roman"/>
            <w:noProof/>
            <w:lang w:eastAsia="en-GB"/>
          </w:rPr>
          <w:tab/>
        </w:r>
        <w:r w:rsidR="00690541" w:rsidRPr="00741B5A">
          <w:rPr>
            <w:rStyle w:val="Hyperlink"/>
            <w:rFonts w:cs="Times New Roman"/>
            <w:noProof/>
          </w:rPr>
          <w:t>Global estimations of CJD incidence from studies published in 2005 or after</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_Toc525106689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26</w:t>
        </w:r>
        <w:r w:rsidR="00690541" w:rsidRPr="00741B5A">
          <w:rPr>
            <w:rFonts w:cs="Times New Roman"/>
            <w:noProof/>
            <w:webHidden/>
          </w:rPr>
          <w:fldChar w:fldCharType="end"/>
        </w:r>
      </w:hyperlink>
    </w:p>
    <w:p w14:paraId="11B8BEC2"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690" w:history="1">
        <w:r w:rsidR="00690541" w:rsidRPr="00741B5A">
          <w:rPr>
            <w:rStyle w:val="Hyperlink"/>
            <w:rFonts w:cs="Times New Roman"/>
            <w:noProof/>
          </w:rPr>
          <w:t>Table 3:</w:t>
        </w:r>
        <w:r w:rsidR="00690541" w:rsidRPr="00741B5A">
          <w:rPr>
            <w:rFonts w:eastAsiaTheme="minorEastAsia" w:cs="Times New Roman"/>
            <w:noProof/>
            <w:lang w:eastAsia="en-GB"/>
          </w:rPr>
          <w:tab/>
        </w:r>
        <w:r w:rsidR="00690541" w:rsidRPr="00741B5A">
          <w:rPr>
            <w:rStyle w:val="Hyperlink"/>
            <w:rFonts w:cs="Times New Roman"/>
            <w:noProof/>
          </w:rPr>
          <w:t>Results of the Appendix III study</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_Toc525106690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36</w:t>
        </w:r>
        <w:r w:rsidR="00690541" w:rsidRPr="00741B5A">
          <w:rPr>
            <w:rFonts w:cs="Times New Roman"/>
            <w:noProof/>
            <w:webHidden/>
          </w:rPr>
          <w:fldChar w:fldCharType="end"/>
        </w:r>
      </w:hyperlink>
    </w:p>
    <w:p w14:paraId="777AC249"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691" w:history="1">
        <w:r w:rsidR="00690541" w:rsidRPr="00741B5A">
          <w:rPr>
            <w:rStyle w:val="Hyperlink"/>
            <w:rFonts w:cs="Times New Roman"/>
            <w:noProof/>
          </w:rPr>
          <w:t>Table 4:</w:t>
        </w:r>
        <w:r w:rsidR="00690541" w:rsidRPr="00741B5A">
          <w:rPr>
            <w:rFonts w:eastAsiaTheme="minorEastAsia" w:cs="Times New Roman"/>
            <w:noProof/>
            <w:lang w:eastAsia="en-GB"/>
          </w:rPr>
          <w:tab/>
        </w:r>
        <w:r w:rsidR="00690541" w:rsidRPr="00741B5A">
          <w:rPr>
            <w:rStyle w:val="Hyperlink"/>
            <w:rFonts w:cs="Times New Roman"/>
            <w:noProof/>
          </w:rPr>
          <w:t>Studies estimating the prevalence of CJD from peripheral tissue samples, published after 2005</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_Toc525106691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38</w:t>
        </w:r>
        <w:r w:rsidR="00690541" w:rsidRPr="00741B5A">
          <w:rPr>
            <w:rFonts w:cs="Times New Roman"/>
            <w:noProof/>
            <w:webHidden/>
          </w:rPr>
          <w:fldChar w:fldCharType="end"/>
        </w:r>
      </w:hyperlink>
    </w:p>
    <w:p w14:paraId="3B7C51FF"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692" w:history="1">
        <w:r w:rsidR="00690541" w:rsidRPr="00741B5A">
          <w:rPr>
            <w:rStyle w:val="Hyperlink"/>
            <w:rFonts w:cs="Times New Roman"/>
            <w:noProof/>
          </w:rPr>
          <w:t>Table 5:</w:t>
        </w:r>
        <w:r w:rsidR="00690541" w:rsidRPr="00741B5A">
          <w:rPr>
            <w:rFonts w:eastAsiaTheme="minorEastAsia" w:cs="Times New Roman"/>
            <w:noProof/>
            <w:lang w:eastAsia="en-GB"/>
          </w:rPr>
          <w:tab/>
        </w:r>
        <w:r w:rsidR="00690541" w:rsidRPr="00741B5A">
          <w:rPr>
            <w:rStyle w:val="Hyperlink"/>
            <w:rFonts w:cs="Times New Roman"/>
            <w:noProof/>
          </w:rPr>
          <w:t>Studies reporting links between CJD and surgery published between 2005-2017</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_Toc525106692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40</w:t>
        </w:r>
        <w:r w:rsidR="00690541" w:rsidRPr="00741B5A">
          <w:rPr>
            <w:rFonts w:cs="Times New Roman"/>
            <w:noProof/>
            <w:webHidden/>
          </w:rPr>
          <w:fldChar w:fldCharType="end"/>
        </w:r>
      </w:hyperlink>
    </w:p>
    <w:p w14:paraId="2B6277A2"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693" w:history="1">
        <w:r w:rsidR="00690541" w:rsidRPr="00741B5A">
          <w:rPr>
            <w:rStyle w:val="Hyperlink"/>
            <w:rFonts w:cs="Times New Roman"/>
            <w:noProof/>
          </w:rPr>
          <w:t>Table 6:</w:t>
        </w:r>
        <w:r w:rsidR="00690541" w:rsidRPr="00741B5A">
          <w:rPr>
            <w:rFonts w:eastAsiaTheme="minorEastAsia" w:cs="Times New Roman"/>
            <w:noProof/>
            <w:lang w:eastAsia="en-GB"/>
          </w:rPr>
          <w:tab/>
        </w:r>
        <w:r w:rsidR="00690541" w:rsidRPr="00741B5A">
          <w:rPr>
            <w:rStyle w:val="Hyperlink"/>
            <w:rFonts w:cs="Times New Roman"/>
            <w:noProof/>
          </w:rPr>
          <w:t>Characteristics of included studies for incubation periods, ordered alphabetically</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_Toc525106693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47</w:t>
        </w:r>
        <w:r w:rsidR="00690541" w:rsidRPr="00741B5A">
          <w:rPr>
            <w:rFonts w:cs="Times New Roman"/>
            <w:noProof/>
            <w:webHidden/>
          </w:rPr>
          <w:fldChar w:fldCharType="end"/>
        </w:r>
      </w:hyperlink>
    </w:p>
    <w:p w14:paraId="7B944D14" w14:textId="49FCCABE"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694" w:history="1">
        <w:r w:rsidR="00690541" w:rsidRPr="00741B5A">
          <w:rPr>
            <w:rStyle w:val="Hyperlink"/>
            <w:rFonts w:cs="Times New Roman"/>
            <w:noProof/>
          </w:rPr>
          <w:t>Table 7:</w:t>
        </w:r>
        <w:r w:rsidR="00690541" w:rsidRPr="00741B5A">
          <w:rPr>
            <w:rFonts w:eastAsiaTheme="minorEastAsia" w:cs="Times New Roman"/>
            <w:noProof/>
            <w:lang w:eastAsia="en-GB"/>
          </w:rPr>
          <w:tab/>
        </w:r>
        <w:r w:rsidR="00690541" w:rsidRPr="00741B5A">
          <w:rPr>
            <w:rStyle w:val="Hyperlink"/>
            <w:rFonts w:cs="Times New Roman"/>
            <w:noProof/>
          </w:rPr>
          <w:t>Reported number of cases of iCJD (worldwide and UK) and incubation periods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_Toc525106694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48</w:t>
        </w:r>
        <w:r w:rsidR="00690541" w:rsidRPr="00741B5A">
          <w:rPr>
            <w:rFonts w:cs="Times New Roman"/>
            <w:noProof/>
            <w:webHidden/>
          </w:rPr>
          <w:fldChar w:fldCharType="end"/>
        </w:r>
      </w:hyperlink>
    </w:p>
    <w:p w14:paraId="035DE032" w14:textId="47F49262"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695" w:history="1">
        <w:r w:rsidR="00690541" w:rsidRPr="00741B5A">
          <w:rPr>
            <w:rStyle w:val="Hyperlink"/>
            <w:rFonts w:cs="Times New Roman"/>
            <w:noProof/>
          </w:rPr>
          <w:t>Table 8:</w:t>
        </w:r>
        <w:r w:rsidR="00690541" w:rsidRPr="00741B5A">
          <w:rPr>
            <w:rFonts w:eastAsiaTheme="minorEastAsia" w:cs="Times New Roman"/>
            <w:noProof/>
            <w:lang w:eastAsia="en-GB"/>
          </w:rPr>
          <w:tab/>
        </w:r>
        <w:r w:rsidR="00690541" w:rsidRPr="00741B5A">
          <w:rPr>
            <w:rStyle w:val="Hyperlink"/>
            <w:rFonts w:cs="Times New Roman"/>
            <w:noProof/>
          </w:rPr>
          <w:t>UK only data for iCJD incubation periods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_Toc525106695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49</w:t>
        </w:r>
        <w:r w:rsidR="00690541" w:rsidRPr="00741B5A">
          <w:rPr>
            <w:rFonts w:cs="Times New Roman"/>
            <w:noProof/>
            <w:webHidden/>
          </w:rPr>
          <w:fldChar w:fldCharType="end"/>
        </w:r>
      </w:hyperlink>
    </w:p>
    <w:p w14:paraId="436E8F3E"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696" w:history="1">
        <w:r w:rsidR="00690541" w:rsidRPr="00741B5A">
          <w:rPr>
            <w:rStyle w:val="Hyperlink"/>
            <w:rFonts w:cs="Times New Roman"/>
            <w:noProof/>
          </w:rPr>
          <w:t>Table 9:</w:t>
        </w:r>
        <w:r w:rsidR="00690541" w:rsidRPr="00741B5A">
          <w:rPr>
            <w:rFonts w:eastAsiaTheme="minorEastAsia" w:cs="Times New Roman"/>
            <w:noProof/>
            <w:lang w:eastAsia="en-GB"/>
          </w:rPr>
          <w:tab/>
        </w:r>
        <w:r w:rsidR="00690541" w:rsidRPr="00741B5A">
          <w:rPr>
            <w:rStyle w:val="Hyperlink"/>
            <w:rFonts w:cs="Times New Roman"/>
            <w:noProof/>
          </w:rPr>
          <w:t>Mean incubation periods by genotype for iCJD due to dura mater grafts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_Toc525106696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51</w:t>
        </w:r>
        <w:r w:rsidR="00690541" w:rsidRPr="00741B5A">
          <w:rPr>
            <w:rFonts w:cs="Times New Roman"/>
            <w:noProof/>
            <w:webHidden/>
          </w:rPr>
          <w:fldChar w:fldCharType="end"/>
        </w:r>
      </w:hyperlink>
    </w:p>
    <w:p w14:paraId="037A1664"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697" w:history="1">
        <w:r w:rsidR="00690541" w:rsidRPr="00741B5A">
          <w:rPr>
            <w:rStyle w:val="Hyperlink"/>
            <w:rFonts w:cs="Times New Roman"/>
            <w:noProof/>
          </w:rPr>
          <w:t>Table 10:</w:t>
        </w:r>
        <w:r w:rsidR="00690541" w:rsidRPr="00741B5A">
          <w:rPr>
            <w:rFonts w:eastAsiaTheme="minorEastAsia" w:cs="Times New Roman"/>
            <w:noProof/>
            <w:lang w:eastAsia="en-GB"/>
          </w:rPr>
          <w:tab/>
        </w:r>
        <w:r w:rsidR="00690541" w:rsidRPr="00741B5A">
          <w:rPr>
            <w:rStyle w:val="Hyperlink"/>
            <w:rFonts w:cs="Times New Roman"/>
            <w:noProof/>
          </w:rPr>
          <w:t>Mean incubation periods reported from included studies by genotype for iCJD due to human growth hormone</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_Toc525106697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52</w:t>
        </w:r>
        <w:r w:rsidR="00690541" w:rsidRPr="00741B5A">
          <w:rPr>
            <w:rFonts w:cs="Times New Roman"/>
            <w:noProof/>
            <w:webHidden/>
          </w:rPr>
          <w:fldChar w:fldCharType="end"/>
        </w:r>
      </w:hyperlink>
    </w:p>
    <w:p w14:paraId="7DB9BE23"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698" w:history="1">
        <w:r w:rsidR="00690541" w:rsidRPr="00741B5A">
          <w:rPr>
            <w:rStyle w:val="Hyperlink"/>
            <w:rFonts w:cs="Times New Roman"/>
            <w:noProof/>
          </w:rPr>
          <w:t>Table 11:</w:t>
        </w:r>
        <w:r w:rsidR="00690541" w:rsidRPr="00741B5A">
          <w:rPr>
            <w:rFonts w:eastAsiaTheme="minorEastAsia" w:cs="Times New Roman"/>
            <w:noProof/>
            <w:lang w:eastAsia="en-GB"/>
          </w:rPr>
          <w:tab/>
        </w:r>
        <w:r w:rsidR="00690541" w:rsidRPr="00741B5A">
          <w:rPr>
            <w:rStyle w:val="Hyperlink"/>
            <w:rFonts w:cs="Times New Roman"/>
            <w:noProof/>
          </w:rPr>
          <w:t>Estimated infectious titre of human tissue by surgical procedure in NICE IPG196</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_Toc525106698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54</w:t>
        </w:r>
        <w:r w:rsidR="00690541" w:rsidRPr="00741B5A">
          <w:rPr>
            <w:rFonts w:cs="Times New Roman"/>
            <w:noProof/>
            <w:webHidden/>
          </w:rPr>
          <w:fldChar w:fldCharType="end"/>
        </w:r>
      </w:hyperlink>
    </w:p>
    <w:p w14:paraId="59C02D50"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699" w:history="1">
        <w:r w:rsidR="00690541" w:rsidRPr="00741B5A">
          <w:rPr>
            <w:rStyle w:val="Hyperlink"/>
            <w:rFonts w:cs="Times New Roman"/>
            <w:noProof/>
          </w:rPr>
          <w:t>Table 12:</w:t>
        </w:r>
        <w:r w:rsidR="00690541" w:rsidRPr="00741B5A">
          <w:rPr>
            <w:rFonts w:eastAsiaTheme="minorEastAsia" w:cs="Times New Roman"/>
            <w:noProof/>
            <w:lang w:eastAsia="en-GB"/>
          </w:rPr>
          <w:tab/>
        </w:r>
        <w:r w:rsidR="00690541" w:rsidRPr="00741B5A">
          <w:rPr>
            <w:rStyle w:val="Hyperlink"/>
            <w:rFonts w:cs="Times New Roman"/>
            <w:noProof/>
          </w:rPr>
          <w:t>Characteristics of studies reporting log reductions in prion contamination on steel surfaces after autoclaving with and without other processes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_Toc525106699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62</w:t>
        </w:r>
        <w:r w:rsidR="00690541" w:rsidRPr="00741B5A">
          <w:rPr>
            <w:rFonts w:cs="Times New Roman"/>
            <w:noProof/>
            <w:webHidden/>
          </w:rPr>
          <w:fldChar w:fldCharType="end"/>
        </w:r>
      </w:hyperlink>
    </w:p>
    <w:p w14:paraId="3C9745C8"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00" w:history="1">
        <w:r w:rsidR="00690541" w:rsidRPr="00741B5A">
          <w:rPr>
            <w:rStyle w:val="Hyperlink"/>
            <w:rFonts w:cs="Times New Roman"/>
            <w:noProof/>
          </w:rPr>
          <w:t>Table 13:</w:t>
        </w:r>
        <w:r w:rsidR="00690541" w:rsidRPr="00741B5A">
          <w:rPr>
            <w:rFonts w:eastAsiaTheme="minorEastAsia" w:cs="Times New Roman"/>
            <w:noProof/>
            <w:lang w:eastAsia="en-GB"/>
          </w:rPr>
          <w:tab/>
        </w:r>
        <w:r w:rsidR="00690541" w:rsidRPr="00741B5A">
          <w:rPr>
            <w:rStyle w:val="Hyperlink"/>
            <w:rFonts w:cs="Times New Roman"/>
            <w:noProof/>
          </w:rPr>
          <w:t>Results of studies reporting log reductions in prion contamination on steel surfaces after autoclaving with and without other processes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_Toc525106700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63</w:t>
        </w:r>
        <w:r w:rsidR="00690541" w:rsidRPr="00741B5A">
          <w:rPr>
            <w:rFonts w:cs="Times New Roman"/>
            <w:noProof/>
            <w:webHidden/>
          </w:rPr>
          <w:fldChar w:fldCharType="end"/>
        </w:r>
      </w:hyperlink>
    </w:p>
    <w:p w14:paraId="125CDCD4"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01" w:history="1">
        <w:r w:rsidR="00690541" w:rsidRPr="00741B5A">
          <w:rPr>
            <w:rStyle w:val="Hyperlink"/>
            <w:rFonts w:cs="Times New Roman"/>
            <w:noProof/>
          </w:rPr>
          <w:t>Table 14:</w:t>
        </w:r>
        <w:r w:rsidR="00690541" w:rsidRPr="00741B5A">
          <w:rPr>
            <w:rFonts w:eastAsiaTheme="minorEastAsia" w:cs="Times New Roman"/>
            <w:noProof/>
            <w:lang w:eastAsia="en-GB"/>
          </w:rPr>
          <w:tab/>
        </w:r>
        <w:r w:rsidR="00690541" w:rsidRPr="00741B5A">
          <w:rPr>
            <w:rStyle w:val="Hyperlink"/>
            <w:rFonts w:cs="Times New Roman"/>
            <w:noProof/>
          </w:rPr>
          <w:t>Studies reporting log reductions in prion contamination on steel surfaces after decontamination processes other than autoclaving</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_Toc525106701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66</w:t>
        </w:r>
        <w:r w:rsidR="00690541" w:rsidRPr="00741B5A">
          <w:rPr>
            <w:rFonts w:cs="Times New Roman"/>
            <w:noProof/>
            <w:webHidden/>
          </w:rPr>
          <w:fldChar w:fldCharType="end"/>
        </w:r>
      </w:hyperlink>
    </w:p>
    <w:p w14:paraId="0F907C52"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02" w:history="1">
        <w:r w:rsidR="00690541" w:rsidRPr="00741B5A">
          <w:rPr>
            <w:rStyle w:val="Hyperlink"/>
            <w:rFonts w:cs="Times New Roman"/>
            <w:noProof/>
          </w:rPr>
          <w:t>Table 15:</w:t>
        </w:r>
        <w:r w:rsidR="00690541" w:rsidRPr="00741B5A">
          <w:rPr>
            <w:rFonts w:eastAsiaTheme="minorEastAsia" w:cs="Times New Roman"/>
            <w:noProof/>
            <w:lang w:eastAsia="en-GB"/>
          </w:rPr>
          <w:tab/>
        </w:r>
        <w:r w:rsidR="00690541" w:rsidRPr="00741B5A">
          <w:rPr>
            <w:rStyle w:val="Hyperlink"/>
            <w:rFonts w:cs="Times New Roman"/>
            <w:noProof/>
          </w:rPr>
          <w:t>Results of studies reporting log reductions in prion contamination on steel surfaces by processes other than autoclaving</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_Toc525106702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68</w:t>
        </w:r>
        <w:r w:rsidR="00690541" w:rsidRPr="00741B5A">
          <w:rPr>
            <w:rFonts w:cs="Times New Roman"/>
            <w:noProof/>
            <w:webHidden/>
          </w:rPr>
          <w:fldChar w:fldCharType="end"/>
        </w:r>
      </w:hyperlink>
    </w:p>
    <w:p w14:paraId="34FE1E52"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03" w:history="1">
        <w:r w:rsidR="00690541" w:rsidRPr="00741B5A">
          <w:rPr>
            <w:rStyle w:val="Hyperlink"/>
            <w:rFonts w:cs="Times New Roman"/>
            <w:noProof/>
          </w:rPr>
          <w:t>Table 16:</w:t>
        </w:r>
        <w:r w:rsidR="00690541" w:rsidRPr="00741B5A">
          <w:rPr>
            <w:rFonts w:eastAsiaTheme="minorEastAsia" w:cs="Times New Roman"/>
            <w:noProof/>
            <w:lang w:eastAsia="en-GB"/>
          </w:rPr>
          <w:tab/>
        </w:r>
        <w:r w:rsidR="00690541" w:rsidRPr="00741B5A">
          <w:rPr>
            <w:rStyle w:val="Hyperlink"/>
            <w:rFonts w:cs="Times New Roman"/>
            <w:noProof/>
          </w:rPr>
          <w:t>Studies reporting infectivity (but not log reductions) from prion contamination on steel surfaces after autoclaving with and without other processes or decontamination processes without autoclaving</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_Toc525106703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72</w:t>
        </w:r>
        <w:r w:rsidR="00690541" w:rsidRPr="00741B5A">
          <w:rPr>
            <w:rFonts w:cs="Times New Roman"/>
            <w:noProof/>
            <w:webHidden/>
          </w:rPr>
          <w:fldChar w:fldCharType="end"/>
        </w:r>
      </w:hyperlink>
    </w:p>
    <w:p w14:paraId="13DE030A"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04" w:history="1">
        <w:r w:rsidR="00690541" w:rsidRPr="00741B5A">
          <w:rPr>
            <w:rStyle w:val="Hyperlink"/>
            <w:rFonts w:cs="Times New Roman"/>
            <w:noProof/>
          </w:rPr>
          <w:t>Table 17:</w:t>
        </w:r>
        <w:r w:rsidR="00690541" w:rsidRPr="00741B5A">
          <w:rPr>
            <w:rFonts w:eastAsiaTheme="minorEastAsia" w:cs="Times New Roman"/>
            <w:noProof/>
            <w:lang w:eastAsia="en-GB"/>
          </w:rPr>
          <w:tab/>
        </w:r>
        <w:r w:rsidR="00690541" w:rsidRPr="00741B5A">
          <w:rPr>
            <w:rStyle w:val="Hyperlink"/>
            <w:rFonts w:cs="Times New Roman"/>
            <w:noProof/>
          </w:rPr>
          <w:t>Results of studies reporting infectivity (but not log reductions) from prion contamination on steel surfaces after autoclaving with and without other processes or decontamination processes without autoclaving</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_Toc525106704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74</w:t>
        </w:r>
        <w:r w:rsidR="00690541" w:rsidRPr="00741B5A">
          <w:rPr>
            <w:rFonts w:cs="Times New Roman"/>
            <w:noProof/>
            <w:webHidden/>
          </w:rPr>
          <w:fldChar w:fldCharType="end"/>
        </w:r>
      </w:hyperlink>
    </w:p>
    <w:p w14:paraId="4727428A"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05" w:history="1">
        <w:r w:rsidR="00690541" w:rsidRPr="00741B5A">
          <w:rPr>
            <w:rStyle w:val="Hyperlink"/>
            <w:rFonts w:cs="Times New Roman"/>
            <w:noProof/>
          </w:rPr>
          <w:t>Table 18:</w:t>
        </w:r>
        <w:r w:rsidR="00690541" w:rsidRPr="00741B5A">
          <w:rPr>
            <w:rFonts w:eastAsiaTheme="minorEastAsia" w:cs="Times New Roman"/>
            <w:noProof/>
            <w:lang w:eastAsia="en-GB"/>
          </w:rPr>
          <w:tab/>
        </w:r>
        <w:r w:rsidR="00690541" w:rsidRPr="00741B5A">
          <w:rPr>
            <w:rStyle w:val="Hyperlink"/>
            <w:rFonts w:cs="Times New Roman"/>
            <w:noProof/>
          </w:rPr>
          <w:t>Study characteristics and results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_Toc525106705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78</w:t>
        </w:r>
        <w:r w:rsidR="00690541" w:rsidRPr="00741B5A">
          <w:rPr>
            <w:rFonts w:cs="Times New Roman"/>
            <w:noProof/>
            <w:webHidden/>
          </w:rPr>
          <w:fldChar w:fldCharType="end"/>
        </w:r>
      </w:hyperlink>
    </w:p>
    <w:p w14:paraId="483092E8"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06" w:history="1">
        <w:r w:rsidR="00690541" w:rsidRPr="00741B5A">
          <w:rPr>
            <w:rStyle w:val="Hyperlink"/>
            <w:rFonts w:cs="Times New Roman"/>
            <w:noProof/>
          </w:rPr>
          <w:t>Table 19:</w:t>
        </w:r>
        <w:r w:rsidR="00690541" w:rsidRPr="00741B5A">
          <w:rPr>
            <w:rFonts w:eastAsiaTheme="minorEastAsia" w:cs="Times New Roman"/>
            <w:noProof/>
            <w:lang w:eastAsia="en-GB"/>
          </w:rPr>
          <w:tab/>
        </w:r>
        <w:r w:rsidR="00690541" w:rsidRPr="00741B5A">
          <w:rPr>
            <w:rStyle w:val="Hyperlink"/>
            <w:rFonts w:cs="Times New Roman"/>
            <w:noProof/>
          </w:rPr>
          <w:t>Study characteristics and results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_Toc525106706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82</w:t>
        </w:r>
        <w:r w:rsidR="00690541" w:rsidRPr="00741B5A">
          <w:rPr>
            <w:rFonts w:cs="Times New Roman"/>
            <w:noProof/>
            <w:webHidden/>
          </w:rPr>
          <w:fldChar w:fldCharType="end"/>
        </w:r>
      </w:hyperlink>
    </w:p>
    <w:p w14:paraId="0A80A1E8"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07" w:history="1">
        <w:r w:rsidR="00690541" w:rsidRPr="00741B5A">
          <w:rPr>
            <w:rStyle w:val="Hyperlink"/>
            <w:rFonts w:cs="Times New Roman"/>
            <w:noProof/>
          </w:rPr>
          <w:t>Table 20:</w:t>
        </w:r>
        <w:r w:rsidR="00690541" w:rsidRPr="00741B5A">
          <w:rPr>
            <w:rFonts w:eastAsiaTheme="minorEastAsia" w:cs="Times New Roman"/>
            <w:noProof/>
            <w:lang w:eastAsia="en-GB"/>
          </w:rPr>
          <w:tab/>
        </w:r>
        <w:r w:rsidR="00690541" w:rsidRPr="00741B5A">
          <w:rPr>
            <w:rStyle w:val="Hyperlink"/>
            <w:rFonts w:cs="Times New Roman"/>
            <w:noProof/>
          </w:rPr>
          <w:t>Characteristics of included studies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_Toc525106707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87</w:t>
        </w:r>
        <w:r w:rsidR="00690541" w:rsidRPr="00741B5A">
          <w:rPr>
            <w:rFonts w:cs="Times New Roman"/>
            <w:noProof/>
            <w:webHidden/>
          </w:rPr>
          <w:fldChar w:fldCharType="end"/>
        </w:r>
      </w:hyperlink>
    </w:p>
    <w:p w14:paraId="03CFE9AC"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08" w:history="1">
        <w:r w:rsidR="00690541" w:rsidRPr="00741B5A">
          <w:rPr>
            <w:rStyle w:val="Hyperlink"/>
            <w:rFonts w:cs="Times New Roman"/>
            <w:noProof/>
          </w:rPr>
          <w:t>Table 21:</w:t>
        </w:r>
        <w:r w:rsidR="00690541" w:rsidRPr="00741B5A">
          <w:rPr>
            <w:rFonts w:eastAsiaTheme="minorEastAsia" w:cs="Times New Roman"/>
            <w:noProof/>
            <w:lang w:eastAsia="en-GB"/>
          </w:rPr>
          <w:tab/>
        </w:r>
        <w:r w:rsidR="00690541" w:rsidRPr="00741B5A">
          <w:rPr>
            <w:rStyle w:val="Hyperlink"/>
            <w:rFonts w:cs="Times New Roman"/>
            <w:noProof/>
          </w:rPr>
          <w:t>Findings of included studies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_Toc525106708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89</w:t>
        </w:r>
        <w:r w:rsidR="00690541" w:rsidRPr="00741B5A">
          <w:rPr>
            <w:rFonts w:cs="Times New Roman"/>
            <w:noProof/>
            <w:webHidden/>
          </w:rPr>
          <w:fldChar w:fldCharType="end"/>
        </w:r>
      </w:hyperlink>
    </w:p>
    <w:p w14:paraId="5A441B4A"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09" w:history="1">
        <w:r w:rsidR="00690541" w:rsidRPr="00741B5A">
          <w:rPr>
            <w:rStyle w:val="Hyperlink"/>
            <w:rFonts w:cs="Times New Roman"/>
            <w:noProof/>
          </w:rPr>
          <w:t>Table 22:</w:t>
        </w:r>
        <w:r w:rsidR="00690541" w:rsidRPr="00741B5A">
          <w:rPr>
            <w:rFonts w:eastAsiaTheme="minorEastAsia" w:cs="Times New Roman"/>
            <w:noProof/>
            <w:lang w:eastAsia="en-GB"/>
          </w:rPr>
          <w:tab/>
        </w:r>
        <w:r w:rsidR="00690541" w:rsidRPr="00741B5A">
          <w:rPr>
            <w:rStyle w:val="Hyperlink"/>
            <w:rFonts w:cs="Times New Roman"/>
            <w:noProof/>
          </w:rPr>
          <w:t>Characteristics of included studies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_Toc525106709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91</w:t>
        </w:r>
        <w:r w:rsidR="00690541" w:rsidRPr="00741B5A">
          <w:rPr>
            <w:rFonts w:cs="Times New Roman"/>
            <w:noProof/>
            <w:webHidden/>
          </w:rPr>
          <w:fldChar w:fldCharType="end"/>
        </w:r>
      </w:hyperlink>
    </w:p>
    <w:p w14:paraId="01D7BB61"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10" w:history="1">
        <w:r w:rsidR="00690541" w:rsidRPr="00741B5A">
          <w:rPr>
            <w:rStyle w:val="Hyperlink"/>
            <w:rFonts w:cs="Times New Roman"/>
            <w:noProof/>
          </w:rPr>
          <w:t>Table 23:</w:t>
        </w:r>
        <w:r w:rsidR="00690541" w:rsidRPr="00741B5A">
          <w:rPr>
            <w:rFonts w:eastAsiaTheme="minorEastAsia" w:cs="Times New Roman"/>
            <w:noProof/>
            <w:lang w:eastAsia="en-GB"/>
          </w:rPr>
          <w:tab/>
        </w:r>
        <w:r w:rsidR="00690541" w:rsidRPr="00741B5A">
          <w:rPr>
            <w:rStyle w:val="Hyperlink"/>
            <w:rFonts w:cs="Times New Roman"/>
            <w:noProof/>
          </w:rPr>
          <w:t xml:space="preserve">Findings of Bird </w:t>
        </w:r>
        <w:r w:rsidR="00690541" w:rsidRPr="00741B5A">
          <w:rPr>
            <w:rStyle w:val="Hyperlink"/>
            <w:rFonts w:cs="Times New Roman"/>
            <w:i/>
            <w:noProof/>
          </w:rPr>
          <w:t>et al</w:t>
        </w:r>
        <w:r w:rsidR="00690541" w:rsidRPr="00741B5A">
          <w:rPr>
            <w:rStyle w:val="Hyperlink"/>
            <w:rFonts w:cs="Times New Roman"/>
            <w:noProof/>
          </w:rPr>
          <w:t xml:space="preserve"> (2009)</w:t>
        </w:r>
        <w:r w:rsidR="00690541" w:rsidRPr="00741B5A">
          <w:rPr>
            <w:rStyle w:val="Hyperlink"/>
            <w:rFonts w:eastAsia="Calibri" w:cs="Times New Roman"/>
            <w:noProof/>
            <w:vertAlign w:val="superscript"/>
          </w:rPr>
          <w:t>208</w:t>
        </w:r>
        <w:r w:rsidR="00690541" w:rsidRPr="00741B5A">
          <w:rPr>
            <w:rStyle w:val="Hyperlink"/>
            <w:rFonts w:cs="Times New Roman"/>
            <w:noProof/>
          </w:rPr>
          <w:t xml:space="preserve"> on subsequent event rates for selected neurosurgical procedures for any patient within the time period 1993-2001</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_Toc525106710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92</w:t>
        </w:r>
        <w:r w:rsidR="00690541" w:rsidRPr="00741B5A">
          <w:rPr>
            <w:rFonts w:cs="Times New Roman"/>
            <w:noProof/>
            <w:webHidden/>
          </w:rPr>
          <w:fldChar w:fldCharType="end"/>
        </w:r>
      </w:hyperlink>
    </w:p>
    <w:p w14:paraId="4C3C3561"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11" w:history="1">
        <w:r w:rsidR="00690541" w:rsidRPr="00741B5A">
          <w:rPr>
            <w:rStyle w:val="Hyperlink"/>
            <w:rFonts w:cs="Times New Roman"/>
            <w:noProof/>
          </w:rPr>
          <w:t>Table 24:</w:t>
        </w:r>
        <w:r w:rsidR="00690541" w:rsidRPr="00741B5A">
          <w:rPr>
            <w:rFonts w:eastAsiaTheme="minorEastAsia" w:cs="Times New Roman"/>
            <w:noProof/>
            <w:lang w:eastAsia="en-GB"/>
          </w:rPr>
          <w:tab/>
        </w:r>
        <w:r w:rsidR="00690541" w:rsidRPr="00741B5A">
          <w:rPr>
            <w:rStyle w:val="Hyperlink"/>
            <w:rFonts w:cs="Times New Roman"/>
            <w:noProof/>
          </w:rPr>
          <w:t>Information relating to mass transferred to a patient, mass washed off in subsequent decontamination cycles and mass harvested from a patient</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_Toc525106711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102</w:t>
        </w:r>
        <w:r w:rsidR="00690541" w:rsidRPr="00741B5A">
          <w:rPr>
            <w:rFonts w:cs="Times New Roman"/>
            <w:noProof/>
            <w:webHidden/>
          </w:rPr>
          <w:fldChar w:fldCharType="end"/>
        </w:r>
      </w:hyperlink>
    </w:p>
    <w:p w14:paraId="3CD8AC79"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12" w:history="1">
        <w:r w:rsidR="00690541" w:rsidRPr="00741B5A">
          <w:rPr>
            <w:rStyle w:val="Hyperlink"/>
            <w:rFonts w:cs="Times New Roman"/>
            <w:noProof/>
          </w:rPr>
          <w:t>Table 25:</w:t>
        </w:r>
        <w:r w:rsidR="00690541" w:rsidRPr="00741B5A">
          <w:rPr>
            <w:rFonts w:eastAsiaTheme="minorEastAsia" w:cs="Times New Roman"/>
            <w:noProof/>
            <w:lang w:eastAsia="en-GB"/>
          </w:rPr>
          <w:tab/>
        </w:r>
        <w:r w:rsidR="00690541" w:rsidRPr="00741B5A">
          <w:rPr>
            <w:rStyle w:val="Hyperlink"/>
            <w:rFonts w:cs="Times New Roman"/>
            <w:noProof/>
          </w:rPr>
          <w:t>The number of operations classified as high-risk by the NICE committee (HES data)</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_Toc525106712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114</w:t>
        </w:r>
        <w:r w:rsidR="00690541" w:rsidRPr="00741B5A">
          <w:rPr>
            <w:rFonts w:cs="Times New Roman"/>
            <w:noProof/>
            <w:webHidden/>
          </w:rPr>
          <w:fldChar w:fldCharType="end"/>
        </w:r>
      </w:hyperlink>
    </w:p>
    <w:p w14:paraId="5F5D6D74"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13" w:history="1">
        <w:r w:rsidR="00690541" w:rsidRPr="00741B5A">
          <w:rPr>
            <w:rStyle w:val="Hyperlink"/>
            <w:rFonts w:cs="Times New Roman"/>
            <w:noProof/>
          </w:rPr>
          <w:t>Table 26:</w:t>
        </w:r>
        <w:r w:rsidR="00690541" w:rsidRPr="00741B5A">
          <w:rPr>
            <w:rFonts w:eastAsiaTheme="minorEastAsia" w:cs="Times New Roman"/>
            <w:noProof/>
            <w:lang w:eastAsia="en-GB"/>
          </w:rPr>
          <w:tab/>
        </w:r>
        <w:r w:rsidR="00690541" w:rsidRPr="00741B5A">
          <w:rPr>
            <w:rStyle w:val="Hyperlink"/>
            <w:rFonts w:cs="Times New Roman"/>
            <w:noProof/>
          </w:rPr>
          <w:t>Base case results per surgical unit</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_Toc525106713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121</w:t>
        </w:r>
        <w:r w:rsidR="00690541" w:rsidRPr="00741B5A">
          <w:rPr>
            <w:rFonts w:cs="Times New Roman"/>
            <w:noProof/>
            <w:webHidden/>
          </w:rPr>
          <w:fldChar w:fldCharType="end"/>
        </w:r>
      </w:hyperlink>
    </w:p>
    <w:p w14:paraId="1E3CF0A1"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14" w:history="1">
        <w:r w:rsidR="00690541" w:rsidRPr="00741B5A">
          <w:rPr>
            <w:rStyle w:val="Hyperlink"/>
            <w:rFonts w:cs="Times New Roman"/>
            <w:noProof/>
          </w:rPr>
          <w:t>Table 27:</w:t>
        </w:r>
        <w:r w:rsidR="00690541" w:rsidRPr="00741B5A">
          <w:rPr>
            <w:rFonts w:eastAsiaTheme="minorEastAsia" w:cs="Times New Roman"/>
            <w:noProof/>
            <w:lang w:eastAsia="en-GB"/>
          </w:rPr>
          <w:tab/>
        </w:r>
        <w:r w:rsidR="00690541" w:rsidRPr="00741B5A">
          <w:rPr>
            <w:rStyle w:val="Hyperlink"/>
            <w:rFonts w:cs="Times New Roman"/>
            <w:noProof/>
          </w:rPr>
          <w:t>Results of the scenario analyses per surgical unit using the base case as the foundation</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_Toc525106714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124</w:t>
        </w:r>
        <w:r w:rsidR="00690541" w:rsidRPr="00741B5A">
          <w:rPr>
            <w:rFonts w:cs="Times New Roman"/>
            <w:noProof/>
            <w:webHidden/>
          </w:rPr>
          <w:fldChar w:fldCharType="end"/>
        </w:r>
      </w:hyperlink>
    </w:p>
    <w:p w14:paraId="22E82323"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15" w:history="1">
        <w:r w:rsidR="00690541" w:rsidRPr="00741B5A">
          <w:rPr>
            <w:rStyle w:val="Hyperlink"/>
            <w:rFonts w:cs="Times New Roman"/>
            <w:noProof/>
          </w:rPr>
          <w:t>Table 28:</w:t>
        </w:r>
        <w:r w:rsidR="00690541" w:rsidRPr="00741B5A">
          <w:rPr>
            <w:rFonts w:eastAsiaTheme="minorEastAsia" w:cs="Times New Roman"/>
            <w:noProof/>
            <w:lang w:eastAsia="en-GB"/>
          </w:rPr>
          <w:tab/>
        </w:r>
        <w:r w:rsidR="00690541" w:rsidRPr="00741B5A">
          <w:rPr>
            <w:rStyle w:val="Hyperlink"/>
            <w:rFonts w:cs="Times New Roman"/>
            <w:noProof/>
          </w:rPr>
          <w:t>Parameter values used within the cost-effectiveness analyses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_Toc525106715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126</w:t>
        </w:r>
        <w:r w:rsidR="00690541" w:rsidRPr="00741B5A">
          <w:rPr>
            <w:rFonts w:cs="Times New Roman"/>
            <w:noProof/>
            <w:webHidden/>
          </w:rPr>
          <w:fldChar w:fldCharType="end"/>
        </w:r>
      </w:hyperlink>
    </w:p>
    <w:p w14:paraId="3E98B69A"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16" w:history="1">
        <w:r w:rsidR="00690541" w:rsidRPr="00741B5A">
          <w:rPr>
            <w:rStyle w:val="Hyperlink"/>
            <w:rFonts w:cs="Times New Roman"/>
            <w:noProof/>
          </w:rPr>
          <w:t>Table 29:</w:t>
        </w:r>
        <w:r w:rsidR="00690541" w:rsidRPr="00741B5A">
          <w:rPr>
            <w:rFonts w:eastAsiaTheme="minorEastAsia" w:cs="Times New Roman"/>
            <w:noProof/>
            <w:lang w:eastAsia="en-GB"/>
          </w:rPr>
          <w:tab/>
        </w:r>
        <w:r w:rsidR="00690541" w:rsidRPr="00741B5A">
          <w:rPr>
            <w:rStyle w:val="Hyperlink"/>
            <w:rFonts w:cs="Times New Roman"/>
            <w:noProof/>
          </w:rPr>
          <w:t>Threshold analyses on the cost of single-use sets (including disposal costs) and a completely effective cleaning solution</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_Toc525106716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129</w:t>
        </w:r>
        <w:r w:rsidR="00690541" w:rsidRPr="00741B5A">
          <w:rPr>
            <w:rFonts w:cs="Times New Roman"/>
            <w:noProof/>
            <w:webHidden/>
          </w:rPr>
          <w:fldChar w:fldCharType="end"/>
        </w:r>
      </w:hyperlink>
    </w:p>
    <w:p w14:paraId="03A21754" w14:textId="77777777" w:rsidR="00690541" w:rsidRPr="00741B5A" w:rsidRDefault="00EB4E00" w:rsidP="005266C7">
      <w:pPr>
        <w:pStyle w:val="TableofFigures"/>
        <w:tabs>
          <w:tab w:val="left" w:pos="1100"/>
          <w:tab w:val="right" w:leader="dot" w:pos="9016"/>
        </w:tabs>
        <w:ind w:left="1100" w:hanging="1100"/>
        <w:rPr>
          <w:rFonts w:eastAsiaTheme="minorEastAsia" w:cs="Times New Roman"/>
          <w:noProof/>
          <w:lang w:eastAsia="en-GB"/>
        </w:rPr>
      </w:pPr>
      <w:hyperlink w:anchor="_Toc525106717" w:history="1">
        <w:r w:rsidR="00690541" w:rsidRPr="00741B5A">
          <w:rPr>
            <w:rStyle w:val="Hyperlink"/>
            <w:rFonts w:cs="Times New Roman"/>
            <w:noProof/>
          </w:rPr>
          <w:t>Table 30:</w:t>
        </w:r>
        <w:r w:rsidR="00690541" w:rsidRPr="00741B5A">
          <w:rPr>
            <w:rFonts w:eastAsiaTheme="minorEastAsia" w:cs="Times New Roman"/>
            <w:noProof/>
            <w:lang w:eastAsia="en-GB"/>
          </w:rPr>
          <w:tab/>
        </w:r>
        <w:r w:rsidR="00690541" w:rsidRPr="00741B5A">
          <w:rPr>
            <w:rStyle w:val="Hyperlink"/>
            <w:rFonts w:cs="Times New Roman"/>
            <w:noProof/>
          </w:rPr>
          <w:t>Threshold analyses on the cost of implementing IPG196</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_Toc525106717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130</w:t>
        </w:r>
        <w:r w:rsidR="00690541" w:rsidRPr="00741B5A">
          <w:rPr>
            <w:rFonts w:cs="Times New Roman"/>
            <w:noProof/>
            <w:webHidden/>
          </w:rPr>
          <w:fldChar w:fldCharType="end"/>
        </w:r>
      </w:hyperlink>
    </w:p>
    <w:p w14:paraId="132763E6" w14:textId="77777777" w:rsidR="00690541" w:rsidRPr="00741B5A" w:rsidRDefault="00DD794C" w:rsidP="00741B5A">
      <w:pPr>
        <w:ind w:left="1361" w:hanging="1361"/>
        <w:rPr>
          <w:rFonts w:cs="Times New Roman"/>
          <w:noProof/>
        </w:rPr>
      </w:pPr>
      <w:r w:rsidRPr="00741B5A">
        <w:rPr>
          <w:rFonts w:eastAsia="Calibri" w:cs="Times New Roman"/>
        </w:rPr>
        <w:fldChar w:fldCharType="end"/>
      </w:r>
      <w:r w:rsidR="00E70DD2" w:rsidRPr="00741B5A">
        <w:rPr>
          <w:rFonts w:eastAsia="Calibri" w:cs="Times New Roman"/>
        </w:rPr>
        <w:t>FIGURES</w:t>
      </w:r>
      <w:r w:rsidRPr="00741B5A">
        <w:rPr>
          <w:rFonts w:eastAsia="Calibri" w:cs="Times New Roman"/>
        </w:rPr>
        <w:fldChar w:fldCharType="begin"/>
      </w:r>
      <w:r w:rsidRPr="00741B5A">
        <w:rPr>
          <w:rFonts w:eastAsia="Calibri" w:cs="Times New Roman"/>
        </w:rPr>
        <w:instrText xml:space="preserve"> TOC \h \z \c "Figure" </w:instrText>
      </w:r>
      <w:r w:rsidRPr="00741B5A">
        <w:rPr>
          <w:rFonts w:eastAsia="Calibri" w:cs="Times New Roman"/>
        </w:rPr>
        <w:fldChar w:fldCharType="separate"/>
      </w:r>
    </w:p>
    <w:p w14:paraId="693026AC" w14:textId="77777777" w:rsidR="00690541" w:rsidRPr="00741B5A" w:rsidRDefault="00EB4E00" w:rsidP="00741B5A">
      <w:pPr>
        <w:pStyle w:val="TableofFigures"/>
        <w:tabs>
          <w:tab w:val="left" w:pos="1100"/>
          <w:tab w:val="right" w:leader="dot" w:pos="9016"/>
        </w:tabs>
        <w:ind w:left="1100" w:hanging="1100"/>
        <w:rPr>
          <w:rFonts w:eastAsiaTheme="minorEastAsia" w:cs="Times New Roman"/>
          <w:noProof/>
          <w:lang w:eastAsia="en-GB"/>
        </w:rPr>
      </w:pPr>
      <w:hyperlink w:anchor="_Toc525106718" w:history="1">
        <w:r w:rsidR="00690541" w:rsidRPr="00741B5A">
          <w:rPr>
            <w:rStyle w:val="Hyperlink"/>
            <w:rFonts w:cs="Times New Roman"/>
            <w:noProof/>
          </w:rPr>
          <w:t>Figure 1:</w:t>
        </w:r>
        <w:r w:rsidR="00690541" w:rsidRPr="00741B5A">
          <w:rPr>
            <w:rFonts w:eastAsiaTheme="minorEastAsia" w:cs="Times New Roman"/>
            <w:noProof/>
            <w:lang w:eastAsia="en-GB"/>
          </w:rPr>
          <w:tab/>
        </w:r>
        <w:r w:rsidR="00690541" w:rsidRPr="00741B5A">
          <w:rPr>
            <w:rStyle w:val="Hyperlink"/>
            <w:rFonts w:cs="Times New Roman"/>
            <w:noProof/>
          </w:rPr>
          <w:t>PRISMA flow diagram of studies included in systematic reviews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_Toc525106718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24</w:t>
        </w:r>
        <w:r w:rsidR="00690541" w:rsidRPr="00741B5A">
          <w:rPr>
            <w:rFonts w:cs="Times New Roman"/>
            <w:noProof/>
            <w:webHidden/>
          </w:rPr>
          <w:fldChar w:fldCharType="end"/>
        </w:r>
      </w:hyperlink>
    </w:p>
    <w:p w14:paraId="7748968F" w14:textId="77777777" w:rsidR="00690541" w:rsidRPr="00741B5A" w:rsidRDefault="00EB4E00" w:rsidP="00741B5A">
      <w:pPr>
        <w:pStyle w:val="TableofFigures"/>
        <w:tabs>
          <w:tab w:val="left" w:pos="1100"/>
          <w:tab w:val="right" w:leader="dot" w:pos="9016"/>
        </w:tabs>
        <w:ind w:left="1100" w:hanging="1100"/>
        <w:rPr>
          <w:rFonts w:eastAsiaTheme="minorEastAsia" w:cs="Times New Roman"/>
          <w:noProof/>
          <w:lang w:eastAsia="en-GB"/>
        </w:rPr>
      </w:pPr>
      <w:hyperlink w:anchor="_Toc525106719" w:history="1">
        <w:r w:rsidR="00690541" w:rsidRPr="00741B5A">
          <w:rPr>
            <w:rStyle w:val="Hyperlink"/>
            <w:rFonts w:cs="Times New Roman"/>
            <w:noProof/>
          </w:rPr>
          <w:t>Figure 2:</w:t>
        </w:r>
        <w:r w:rsidR="00690541" w:rsidRPr="00741B5A">
          <w:rPr>
            <w:rFonts w:eastAsiaTheme="minorEastAsia" w:cs="Times New Roman"/>
            <w:noProof/>
            <w:lang w:eastAsia="en-GB"/>
          </w:rPr>
          <w:tab/>
        </w:r>
        <w:r w:rsidR="00690541" w:rsidRPr="00741B5A">
          <w:rPr>
            <w:rStyle w:val="Hyperlink"/>
            <w:rFonts w:cs="Times New Roman"/>
            <w:noProof/>
          </w:rPr>
          <w:t>Deaths from probable or definite CJD in the UK using data from the NCJDRSU between 1996-2017</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_Toc525106719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27</w:t>
        </w:r>
        <w:r w:rsidR="00690541" w:rsidRPr="00741B5A">
          <w:rPr>
            <w:rFonts w:cs="Times New Roman"/>
            <w:noProof/>
            <w:webHidden/>
          </w:rPr>
          <w:fldChar w:fldCharType="end"/>
        </w:r>
      </w:hyperlink>
    </w:p>
    <w:p w14:paraId="36C4D261" w14:textId="158C0A89" w:rsidR="00690541" w:rsidRPr="00741B5A" w:rsidRDefault="00EB4E00" w:rsidP="00741B5A">
      <w:pPr>
        <w:pStyle w:val="TableofFigures"/>
        <w:tabs>
          <w:tab w:val="left" w:pos="1100"/>
          <w:tab w:val="right" w:leader="dot" w:pos="9016"/>
        </w:tabs>
        <w:ind w:left="1100" w:hanging="1100"/>
        <w:rPr>
          <w:rFonts w:eastAsiaTheme="minorEastAsia" w:cs="Times New Roman"/>
          <w:noProof/>
          <w:lang w:eastAsia="en-GB"/>
        </w:rPr>
      </w:pPr>
      <w:hyperlink w:anchor="_Toc525106720" w:history="1">
        <w:r w:rsidR="00690541" w:rsidRPr="00741B5A">
          <w:rPr>
            <w:rStyle w:val="Hyperlink"/>
            <w:rFonts w:cs="Times New Roman"/>
            <w:noProof/>
          </w:rPr>
          <w:t>Figure 3:</w:t>
        </w:r>
        <w:r w:rsidR="00690541" w:rsidRPr="00741B5A">
          <w:rPr>
            <w:rFonts w:eastAsiaTheme="minorEastAsia" w:cs="Times New Roman"/>
            <w:noProof/>
            <w:lang w:eastAsia="en-GB"/>
          </w:rPr>
          <w:tab/>
        </w:r>
        <w:r w:rsidR="00690541" w:rsidRPr="00741B5A">
          <w:rPr>
            <w:rStyle w:val="Hyperlink"/>
            <w:rFonts w:cs="Times New Roman"/>
            <w:noProof/>
          </w:rPr>
          <w:t>Age-specific mortality rates from sporadic CJD in the UK 1979-2016</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_Toc525106720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32</w:t>
        </w:r>
        <w:r w:rsidR="00690541" w:rsidRPr="00741B5A">
          <w:rPr>
            <w:rFonts w:cs="Times New Roman"/>
            <w:noProof/>
            <w:webHidden/>
          </w:rPr>
          <w:fldChar w:fldCharType="end"/>
        </w:r>
      </w:hyperlink>
    </w:p>
    <w:p w14:paraId="37C79267" w14:textId="77777777" w:rsidR="00690541" w:rsidRPr="00741B5A" w:rsidRDefault="00EB4E00" w:rsidP="00741B5A">
      <w:pPr>
        <w:pStyle w:val="TableofFigures"/>
        <w:tabs>
          <w:tab w:val="left" w:pos="1100"/>
          <w:tab w:val="right" w:leader="dot" w:pos="9016"/>
        </w:tabs>
        <w:ind w:left="1100" w:hanging="1100"/>
        <w:rPr>
          <w:rFonts w:eastAsiaTheme="minorEastAsia" w:cs="Times New Roman"/>
          <w:noProof/>
          <w:lang w:eastAsia="en-GB"/>
        </w:rPr>
      </w:pPr>
      <w:hyperlink w:anchor="_Toc525106721" w:history="1">
        <w:r w:rsidR="00690541" w:rsidRPr="00741B5A">
          <w:rPr>
            <w:rStyle w:val="Hyperlink"/>
            <w:rFonts w:cs="Times New Roman"/>
            <w:noProof/>
          </w:rPr>
          <w:t>Figure 4:</w:t>
        </w:r>
        <w:r w:rsidR="00690541" w:rsidRPr="00741B5A">
          <w:rPr>
            <w:rFonts w:eastAsiaTheme="minorEastAsia" w:cs="Times New Roman"/>
            <w:noProof/>
            <w:lang w:eastAsia="en-GB"/>
          </w:rPr>
          <w:tab/>
        </w:r>
        <w:r w:rsidR="00690541" w:rsidRPr="00741B5A">
          <w:rPr>
            <w:rStyle w:val="Hyperlink"/>
            <w:rFonts w:cs="Times New Roman"/>
            <w:noProof/>
          </w:rPr>
          <w:t>The conceptual model relating to the infection process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_Toc525106721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96</w:t>
        </w:r>
        <w:r w:rsidR="00690541" w:rsidRPr="00741B5A">
          <w:rPr>
            <w:rFonts w:cs="Times New Roman"/>
            <w:noProof/>
            <w:webHidden/>
          </w:rPr>
          <w:fldChar w:fldCharType="end"/>
        </w:r>
      </w:hyperlink>
    </w:p>
    <w:p w14:paraId="7E4857F9" w14:textId="77777777" w:rsidR="00690541" w:rsidRPr="00741B5A" w:rsidRDefault="00EB4E00" w:rsidP="00741B5A">
      <w:pPr>
        <w:pStyle w:val="TableofFigures"/>
        <w:tabs>
          <w:tab w:val="left" w:pos="1100"/>
          <w:tab w:val="right" w:leader="dot" w:pos="9016"/>
        </w:tabs>
        <w:ind w:left="1100" w:hanging="1100"/>
        <w:rPr>
          <w:rFonts w:eastAsiaTheme="minorEastAsia" w:cs="Times New Roman"/>
          <w:noProof/>
          <w:lang w:eastAsia="en-GB"/>
        </w:rPr>
      </w:pPr>
      <w:hyperlink w:anchor="_Toc525106722" w:history="1">
        <w:r w:rsidR="00690541" w:rsidRPr="00741B5A">
          <w:rPr>
            <w:rStyle w:val="Hyperlink"/>
            <w:rFonts w:cs="Times New Roman"/>
            <w:noProof/>
          </w:rPr>
          <w:t>Figure 5:</w:t>
        </w:r>
        <w:r w:rsidR="00690541" w:rsidRPr="00741B5A">
          <w:rPr>
            <w:rFonts w:eastAsiaTheme="minorEastAsia" w:cs="Times New Roman"/>
            <w:noProof/>
            <w:lang w:eastAsia="en-GB"/>
          </w:rPr>
          <w:tab/>
        </w:r>
        <w:r w:rsidR="00690541" w:rsidRPr="00741B5A">
          <w:rPr>
            <w:rStyle w:val="Hyperlink"/>
            <w:rFonts w:cs="Times New Roman"/>
            <w:noProof/>
          </w:rPr>
          <w:t>The conceptual model relating to patient outcome post infection</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_Toc525106722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97</w:t>
        </w:r>
        <w:r w:rsidR="00690541" w:rsidRPr="00741B5A">
          <w:rPr>
            <w:rFonts w:cs="Times New Roman"/>
            <w:noProof/>
            <w:webHidden/>
          </w:rPr>
          <w:fldChar w:fldCharType="end"/>
        </w:r>
      </w:hyperlink>
    </w:p>
    <w:p w14:paraId="3863F480" w14:textId="77777777" w:rsidR="00690541" w:rsidRPr="00741B5A" w:rsidRDefault="00EB4E00" w:rsidP="00741B5A">
      <w:pPr>
        <w:pStyle w:val="TableofFigures"/>
        <w:tabs>
          <w:tab w:val="left" w:pos="1100"/>
          <w:tab w:val="right" w:leader="dot" w:pos="9016"/>
        </w:tabs>
        <w:ind w:left="1100" w:hanging="1100"/>
        <w:rPr>
          <w:rFonts w:eastAsiaTheme="minorEastAsia" w:cs="Times New Roman"/>
          <w:noProof/>
          <w:lang w:eastAsia="en-GB"/>
        </w:rPr>
      </w:pPr>
      <w:hyperlink w:anchor="_Toc525106723" w:history="1">
        <w:r w:rsidR="00690541" w:rsidRPr="00741B5A">
          <w:rPr>
            <w:rStyle w:val="Hyperlink"/>
            <w:rFonts w:cs="Times New Roman"/>
            <w:noProof/>
          </w:rPr>
          <w:t>Figure 6:</w:t>
        </w:r>
        <w:r w:rsidR="00690541" w:rsidRPr="00741B5A">
          <w:rPr>
            <w:rFonts w:eastAsiaTheme="minorEastAsia" w:cs="Times New Roman"/>
            <w:noProof/>
            <w:lang w:eastAsia="en-GB"/>
          </w:rPr>
          <w:tab/>
        </w:r>
        <w:r w:rsidR="00690541" w:rsidRPr="00741B5A">
          <w:rPr>
            <w:rStyle w:val="Hyperlink"/>
            <w:rFonts w:cs="Times New Roman"/>
            <w:noProof/>
          </w:rPr>
          <w:t>The prevalence of CJD prions within central nervous tissue</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_Toc525106723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98</w:t>
        </w:r>
        <w:r w:rsidR="00690541" w:rsidRPr="00741B5A">
          <w:rPr>
            <w:rFonts w:cs="Times New Roman"/>
            <w:noProof/>
            <w:webHidden/>
          </w:rPr>
          <w:fldChar w:fldCharType="end"/>
        </w:r>
      </w:hyperlink>
    </w:p>
    <w:p w14:paraId="6DA7B4E1" w14:textId="77777777" w:rsidR="00690541" w:rsidRPr="00741B5A" w:rsidRDefault="00EB4E00" w:rsidP="00741B5A">
      <w:pPr>
        <w:pStyle w:val="TableofFigures"/>
        <w:tabs>
          <w:tab w:val="left" w:pos="1100"/>
          <w:tab w:val="right" w:leader="dot" w:pos="9016"/>
        </w:tabs>
        <w:ind w:left="1100" w:hanging="1100"/>
        <w:rPr>
          <w:rFonts w:eastAsiaTheme="minorEastAsia" w:cs="Times New Roman"/>
          <w:noProof/>
          <w:lang w:eastAsia="en-GB"/>
        </w:rPr>
      </w:pPr>
      <w:hyperlink w:anchor="_Toc525106724" w:history="1">
        <w:r w:rsidR="00690541" w:rsidRPr="00741B5A">
          <w:rPr>
            <w:rStyle w:val="Hyperlink"/>
            <w:rFonts w:cs="Times New Roman"/>
            <w:noProof/>
          </w:rPr>
          <w:t>Figure 7:</w:t>
        </w:r>
        <w:r w:rsidR="00690541" w:rsidRPr="00741B5A">
          <w:rPr>
            <w:rFonts w:eastAsiaTheme="minorEastAsia" w:cs="Times New Roman"/>
            <w:noProof/>
            <w:lang w:eastAsia="en-GB"/>
          </w:rPr>
          <w:tab/>
        </w:r>
        <w:r w:rsidR="00690541" w:rsidRPr="00741B5A">
          <w:rPr>
            <w:rStyle w:val="Hyperlink"/>
            <w:rFonts w:cs="Times New Roman"/>
            <w:noProof/>
          </w:rPr>
          <w:t>The proportion of residual mass transferred to a patient</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_Toc525106724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100</w:t>
        </w:r>
        <w:r w:rsidR="00690541" w:rsidRPr="00741B5A">
          <w:rPr>
            <w:rFonts w:cs="Times New Roman"/>
            <w:noProof/>
            <w:webHidden/>
          </w:rPr>
          <w:fldChar w:fldCharType="end"/>
        </w:r>
      </w:hyperlink>
    </w:p>
    <w:p w14:paraId="55D30888" w14:textId="77777777" w:rsidR="00690541" w:rsidRPr="00741B5A" w:rsidRDefault="00EB4E00" w:rsidP="00741B5A">
      <w:pPr>
        <w:pStyle w:val="TableofFigures"/>
        <w:tabs>
          <w:tab w:val="left" w:pos="1100"/>
          <w:tab w:val="right" w:leader="dot" w:pos="9016"/>
        </w:tabs>
        <w:ind w:left="1100" w:hanging="1100"/>
        <w:rPr>
          <w:rFonts w:eastAsiaTheme="minorEastAsia" w:cs="Times New Roman"/>
          <w:noProof/>
          <w:lang w:eastAsia="en-GB"/>
        </w:rPr>
      </w:pPr>
      <w:hyperlink w:anchor="_Toc525106725" w:history="1">
        <w:r w:rsidR="00690541" w:rsidRPr="00741B5A">
          <w:rPr>
            <w:rStyle w:val="Hyperlink"/>
            <w:rFonts w:cs="Times New Roman"/>
            <w:noProof/>
          </w:rPr>
          <w:t>Figure 8:</w:t>
        </w:r>
        <w:r w:rsidR="00690541" w:rsidRPr="00741B5A">
          <w:rPr>
            <w:rFonts w:eastAsiaTheme="minorEastAsia" w:cs="Times New Roman"/>
            <w:noProof/>
            <w:lang w:eastAsia="en-GB"/>
          </w:rPr>
          <w:tab/>
        </w:r>
        <w:r w:rsidR="00690541" w:rsidRPr="00741B5A">
          <w:rPr>
            <w:rStyle w:val="Hyperlink"/>
            <w:rFonts w:cs="Times New Roman"/>
            <w:noProof/>
          </w:rPr>
          <w:t>The proportion of residual mass removed in a subsequent decontamination cycle</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_Toc525106725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101</w:t>
        </w:r>
        <w:r w:rsidR="00690541" w:rsidRPr="00741B5A">
          <w:rPr>
            <w:rFonts w:cs="Times New Roman"/>
            <w:noProof/>
            <w:webHidden/>
          </w:rPr>
          <w:fldChar w:fldCharType="end"/>
        </w:r>
      </w:hyperlink>
    </w:p>
    <w:p w14:paraId="1BFB3FB8" w14:textId="77777777" w:rsidR="00690541" w:rsidRPr="00741B5A" w:rsidRDefault="00EB4E00" w:rsidP="00741B5A">
      <w:pPr>
        <w:pStyle w:val="TableofFigures"/>
        <w:tabs>
          <w:tab w:val="left" w:pos="1100"/>
          <w:tab w:val="right" w:leader="dot" w:pos="9016"/>
        </w:tabs>
        <w:ind w:left="1100" w:hanging="1100"/>
        <w:rPr>
          <w:rFonts w:eastAsiaTheme="minorEastAsia" w:cs="Times New Roman"/>
          <w:noProof/>
          <w:lang w:eastAsia="en-GB"/>
        </w:rPr>
      </w:pPr>
      <w:hyperlink w:anchor="_Toc525106726" w:history="1">
        <w:r w:rsidR="00690541" w:rsidRPr="00741B5A">
          <w:rPr>
            <w:rStyle w:val="Hyperlink"/>
            <w:rFonts w:cs="Times New Roman"/>
            <w:noProof/>
          </w:rPr>
          <w:t>Figure 9:</w:t>
        </w:r>
        <w:r w:rsidR="00690541" w:rsidRPr="00741B5A">
          <w:rPr>
            <w:rFonts w:eastAsiaTheme="minorEastAsia" w:cs="Times New Roman"/>
            <w:noProof/>
            <w:lang w:eastAsia="en-GB"/>
          </w:rPr>
          <w:tab/>
        </w:r>
        <w:r w:rsidR="00690541" w:rsidRPr="00741B5A">
          <w:rPr>
            <w:rStyle w:val="Hyperlink"/>
            <w:rFonts w:cs="Times New Roman"/>
            <w:noProof/>
          </w:rPr>
          <w:t>The reduction in infectivity in the first autoclaving cycle</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_Toc525106726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103</w:t>
        </w:r>
        <w:r w:rsidR="00690541" w:rsidRPr="00741B5A">
          <w:rPr>
            <w:rFonts w:cs="Times New Roman"/>
            <w:noProof/>
            <w:webHidden/>
          </w:rPr>
          <w:fldChar w:fldCharType="end"/>
        </w:r>
      </w:hyperlink>
    </w:p>
    <w:p w14:paraId="10C8486B"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27" w:history="1">
        <w:r w:rsidR="00690541" w:rsidRPr="00741B5A">
          <w:rPr>
            <w:rStyle w:val="Hyperlink"/>
            <w:rFonts w:cs="Times New Roman"/>
            <w:noProof/>
          </w:rPr>
          <w:t>Figure 10:</w:t>
        </w:r>
        <w:r w:rsidR="00690541" w:rsidRPr="00741B5A">
          <w:rPr>
            <w:rFonts w:eastAsiaTheme="minorEastAsia" w:cs="Times New Roman"/>
            <w:noProof/>
            <w:lang w:eastAsia="en-GB"/>
          </w:rPr>
          <w:tab/>
        </w:r>
        <w:r w:rsidR="00690541" w:rsidRPr="00741B5A">
          <w:rPr>
            <w:rStyle w:val="Hyperlink"/>
            <w:rFonts w:cs="Times New Roman"/>
            <w:noProof/>
          </w:rPr>
          <w:t>The reduction in infectivity in the first detergent cycle</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_Toc525106727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104</w:t>
        </w:r>
        <w:r w:rsidR="00690541" w:rsidRPr="00741B5A">
          <w:rPr>
            <w:rFonts w:cs="Times New Roman"/>
            <w:noProof/>
            <w:webHidden/>
          </w:rPr>
          <w:fldChar w:fldCharType="end"/>
        </w:r>
      </w:hyperlink>
    </w:p>
    <w:p w14:paraId="6E8EEACA"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28" w:history="1">
        <w:r w:rsidR="00690541" w:rsidRPr="00741B5A">
          <w:rPr>
            <w:rStyle w:val="Hyperlink"/>
            <w:rFonts w:cs="Times New Roman"/>
            <w:noProof/>
          </w:rPr>
          <w:t>Figure 11:</w:t>
        </w:r>
        <w:r w:rsidR="00690541" w:rsidRPr="00741B5A">
          <w:rPr>
            <w:rFonts w:eastAsiaTheme="minorEastAsia" w:cs="Times New Roman"/>
            <w:noProof/>
            <w:lang w:eastAsia="en-GB"/>
          </w:rPr>
          <w:tab/>
        </w:r>
        <w:r w:rsidR="00690541" w:rsidRPr="00741B5A">
          <w:rPr>
            <w:rStyle w:val="Hyperlink"/>
            <w:rFonts w:cs="Times New Roman"/>
            <w:noProof/>
          </w:rPr>
          <w:t>The proportion of autoclave cycle 1 log reduction achieved by cycles 2 and 3</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_Toc525106728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104</w:t>
        </w:r>
        <w:r w:rsidR="00690541" w:rsidRPr="00741B5A">
          <w:rPr>
            <w:rFonts w:cs="Times New Roman"/>
            <w:noProof/>
            <w:webHidden/>
          </w:rPr>
          <w:fldChar w:fldCharType="end"/>
        </w:r>
      </w:hyperlink>
    </w:p>
    <w:p w14:paraId="7BD230E1"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29" w:history="1">
        <w:r w:rsidR="00690541" w:rsidRPr="00741B5A">
          <w:rPr>
            <w:rStyle w:val="Hyperlink"/>
            <w:rFonts w:cs="Times New Roman"/>
            <w:noProof/>
          </w:rPr>
          <w:t>Figure 12:</w:t>
        </w:r>
        <w:r w:rsidR="00690541" w:rsidRPr="00741B5A">
          <w:rPr>
            <w:rFonts w:eastAsiaTheme="minorEastAsia" w:cs="Times New Roman"/>
            <w:noProof/>
            <w:lang w:eastAsia="en-GB"/>
          </w:rPr>
          <w:tab/>
        </w:r>
        <w:r w:rsidR="00690541" w:rsidRPr="00741B5A">
          <w:rPr>
            <w:rStyle w:val="Hyperlink"/>
            <w:rFonts w:cs="Times New Roman"/>
            <w:noProof/>
          </w:rPr>
          <w:t>The proportion of the incubation period during which the patient is infectious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_Toc525106729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110</w:t>
        </w:r>
        <w:r w:rsidR="00690541" w:rsidRPr="00741B5A">
          <w:rPr>
            <w:rFonts w:cs="Times New Roman"/>
            <w:noProof/>
            <w:webHidden/>
          </w:rPr>
          <w:fldChar w:fldCharType="end"/>
        </w:r>
      </w:hyperlink>
    </w:p>
    <w:p w14:paraId="49AA1E59"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30" w:history="1">
        <w:r w:rsidR="00690541" w:rsidRPr="00741B5A">
          <w:rPr>
            <w:rStyle w:val="Hyperlink"/>
            <w:rFonts w:cs="Times New Roman"/>
            <w:noProof/>
          </w:rPr>
          <w:t>Figure 13:</w:t>
        </w:r>
        <w:r w:rsidR="00690541" w:rsidRPr="00741B5A">
          <w:rPr>
            <w:rFonts w:eastAsiaTheme="minorEastAsia" w:cs="Times New Roman"/>
            <w:noProof/>
            <w:lang w:eastAsia="en-GB"/>
          </w:rPr>
          <w:tab/>
        </w:r>
        <w:r w:rsidR="00690541" w:rsidRPr="00741B5A">
          <w:rPr>
            <w:rStyle w:val="Hyperlink"/>
            <w:rFonts w:cs="Times New Roman"/>
            <w:noProof/>
          </w:rPr>
          <w:t>The proportion of patients under 60 years with clinical CJD symptoms that are diagnosed with another neurodegenerative disease</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_Toc525106730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112</w:t>
        </w:r>
        <w:r w:rsidR="00690541" w:rsidRPr="00741B5A">
          <w:rPr>
            <w:rFonts w:cs="Times New Roman"/>
            <w:noProof/>
            <w:webHidden/>
          </w:rPr>
          <w:fldChar w:fldCharType="end"/>
        </w:r>
      </w:hyperlink>
    </w:p>
    <w:p w14:paraId="1E5B2ADB"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31" w:history="1">
        <w:r w:rsidR="00690541" w:rsidRPr="00741B5A">
          <w:rPr>
            <w:rStyle w:val="Hyperlink"/>
            <w:rFonts w:cs="Times New Roman"/>
            <w:noProof/>
          </w:rPr>
          <w:t>Figure 14:</w:t>
        </w:r>
        <w:r w:rsidR="00690541" w:rsidRPr="00741B5A">
          <w:rPr>
            <w:rFonts w:eastAsiaTheme="minorEastAsia" w:cs="Times New Roman"/>
            <w:noProof/>
            <w:lang w:eastAsia="en-GB"/>
          </w:rPr>
          <w:tab/>
        </w:r>
        <w:r w:rsidR="00690541" w:rsidRPr="00741B5A">
          <w:rPr>
            <w:rStyle w:val="Hyperlink"/>
            <w:rFonts w:cs="Times New Roman"/>
            <w:noProof/>
          </w:rPr>
          <w:t>The proportion of patients over 80 years with clinical CJD symptoms that are diagnosed with another neurodegenerative disease</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_Toc525106731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112</w:t>
        </w:r>
        <w:r w:rsidR="00690541" w:rsidRPr="00741B5A">
          <w:rPr>
            <w:rFonts w:cs="Times New Roman"/>
            <w:noProof/>
            <w:webHidden/>
          </w:rPr>
          <w:fldChar w:fldCharType="end"/>
        </w:r>
      </w:hyperlink>
    </w:p>
    <w:p w14:paraId="2A87C3F7"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32" w:history="1">
        <w:r w:rsidR="00690541" w:rsidRPr="00741B5A">
          <w:rPr>
            <w:rStyle w:val="Hyperlink"/>
            <w:rFonts w:cs="Times New Roman"/>
            <w:noProof/>
          </w:rPr>
          <w:t>Figure 15:</w:t>
        </w:r>
        <w:r w:rsidR="00690541" w:rsidRPr="00741B5A">
          <w:rPr>
            <w:rFonts w:eastAsiaTheme="minorEastAsia" w:cs="Times New Roman"/>
            <w:noProof/>
            <w:lang w:eastAsia="en-GB"/>
          </w:rPr>
          <w:tab/>
        </w:r>
        <w:r w:rsidR="00690541" w:rsidRPr="00741B5A">
          <w:rPr>
            <w:rStyle w:val="Hyperlink"/>
            <w:rFonts w:cs="Times New Roman"/>
            <w:noProof/>
          </w:rPr>
          <w:t>The simulated proportion of patients aged between 60 and 80 years inclusive with clinical CJD symptoms that are diagnosed with another neurodegenerative disease</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_Toc525106732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113</w:t>
        </w:r>
        <w:r w:rsidR="00690541" w:rsidRPr="00741B5A">
          <w:rPr>
            <w:rFonts w:cs="Times New Roman"/>
            <w:noProof/>
            <w:webHidden/>
          </w:rPr>
          <w:fldChar w:fldCharType="end"/>
        </w:r>
      </w:hyperlink>
    </w:p>
    <w:p w14:paraId="35759B3F"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33" w:history="1">
        <w:r w:rsidR="00690541" w:rsidRPr="00741B5A">
          <w:rPr>
            <w:rStyle w:val="Hyperlink"/>
            <w:rFonts w:cs="Times New Roman"/>
            <w:noProof/>
          </w:rPr>
          <w:t>Figure 16:</w:t>
        </w:r>
        <w:r w:rsidR="00690541" w:rsidRPr="00741B5A">
          <w:rPr>
            <w:rFonts w:eastAsiaTheme="minorEastAsia" w:cs="Times New Roman"/>
            <w:noProof/>
            <w:lang w:eastAsia="en-GB"/>
          </w:rPr>
          <w:tab/>
        </w:r>
        <w:r w:rsidR="00690541" w:rsidRPr="00741B5A">
          <w:rPr>
            <w:rStyle w:val="Hyperlink"/>
            <w:rFonts w:cs="Times New Roman"/>
            <w:noProof/>
          </w:rPr>
          <w:t>The likelihoods of the PSA configurations being compatible with the observed data (curves are drawn on top of each other)</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_Toc525106733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118</w:t>
        </w:r>
        <w:r w:rsidR="00690541" w:rsidRPr="00741B5A">
          <w:rPr>
            <w:rFonts w:cs="Times New Roman"/>
            <w:noProof/>
            <w:webHidden/>
          </w:rPr>
          <w:fldChar w:fldCharType="end"/>
        </w:r>
      </w:hyperlink>
    </w:p>
    <w:p w14:paraId="7BD1826B"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34" w:history="1">
        <w:r w:rsidR="00690541" w:rsidRPr="00741B5A">
          <w:rPr>
            <w:rStyle w:val="Hyperlink"/>
            <w:rFonts w:cs="Times New Roman"/>
            <w:noProof/>
          </w:rPr>
          <w:t>Figure 17:</w:t>
        </w:r>
        <w:r w:rsidR="00690541" w:rsidRPr="00741B5A">
          <w:rPr>
            <w:rFonts w:eastAsiaTheme="minorEastAsia" w:cs="Times New Roman"/>
            <w:noProof/>
            <w:lang w:eastAsia="en-GB"/>
          </w:rPr>
          <w:tab/>
        </w:r>
        <w:r w:rsidR="00690541" w:rsidRPr="00741B5A">
          <w:rPr>
            <w:rStyle w:val="Hyperlink"/>
            <w:rFonts w:cs="Times New Roman"/>
            <w:noProof/>
          </w:rPr>
          <w:t>The probabilities that S1, S2, S3 and single-use instruments are most cost-effective at a range of cost per QALY thresholds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_Toc525106734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123</w:t>
        </w:r>
        <w:r w:rsidR="00690541" w:rsidRPr="00741B5A">
          <w:rPr>
            <w:rFonts w:cs="Times New Roman"/>
            <w:noProof/>
            <w:webHidden/>
          </w:rPr>
          <w:fldChar w:fldCharType="end"/>
        </w:r>
      </w:hyperlink>
    </w:p>
    <w:p w14:paraId="2F854E77"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35" w:history="1">
        <w:r w:rsidR="00690541" w:rsidRPr="00741B5A">
          <w:rPr>
            <w:rStyle w:val="Hyperlink"/>
            <w:rFonts w:cs="Times New Roman"/>
            <w:noProof/>
          </w:rPr>
          <w:t>Figure 18:</w:t>
        </w:r>
        <w:r w:rsidR="00690541" w:rsidRPr="00741B5A">
          <w:rPr>
            <w:rFonts w:eastAsiaTheme="minorEastAsia" w:cs="Times New Roman"/>
            <w:noProof/>
            <w:lang w:eastAsia="en-GB"/>
          </w:rPr>
          <w:tab/>
        </w:r>
        <w:r w:rsidR="00690541" w:rsidRPr="00741B5A">
          <w:rPr>
            <w:rStyle w:val="Hyperlink"/>
            <w:rFonts w:cs="Times New Roman"/>
            <w:noProof/>
          </w:rPr>
          <w:t>The probabilities that S4, S5, S6 and single-use instruments are most cost-effective at a range of cost per QALY thresholds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_Toc525106735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123</w:t>
        </w:r>
        <w:r w:rsidR="00690541" w:rsidRPr="00741B5A">
          <w:rPr>
            <w:rFonts w:cs="Times New Roman"/>
            <w:noProof/>
            <w:webHidden/>
          </w:rPr>
          <w:fldChar w:fldCharType="end"/>
        </w:r>
      </w:hyperlink>
    </w:p>
    <w:p w14:paraId="281FEDFE"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36" w:history="1">
        <w:r w:rsidR="00690541" w:rsidRPr="00741B5A">
          <w:rPr>
            <w:rStyle w:val="Hyperlink"/>
            <w:rFonts w:cs="Times New Roman"/>
            <w:noProof/>
          </w:rPr>
          <w:t>Figure 19:</w:t>
        </w:r>
        <w:r w:rsidR="00690541" w:rsidRPr="00741B5A">
          <w:rPr>
            <w:rFonts w:eastAsiaTheme="minorEastAsia" w:cs="Times New Roman"/>
            <w:noProof/>
            <w:lang w:eastAsia="en-GB"/>
          </w:rPr>
          <w:tab/>
        </w:r>
        <w:r w:rsidR="00690541" w:rsidRPr="00741B5A">
          <w:rPr>
            <w:rStyle w:val="Hyperlink"/>
            <w:rFonts w:cs="Times New Roman"/>
            <w:noProof/>
          </w:rPr>
          <w:t>Comparing the QALYS lost produced within the base case and when using an alternative assumption related to the distribution of surgical units following IPG196 and in keeping instruments moist</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_Toc525106736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125</w:t>
        </w:r>
        <w:r w:rsidR="00690541" w:rsidRPr="00741B5A">
          <w:rPr>
            <w:rFonts w:cs="Times New Roman"/>
            <w:noProof/>
            <w:webHidden/>
          </w:rPr>
          <w:fldChar w:fldCharType="end"/>
        </w:r>
      </w:hyperlink>
    </w:p>
    <w:p w14:paraId="6BF9FD0A"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37" w:history="1">
        <w:r w:rsidR="00690541" w:rsidRPr="00741B5A">
          <w:rPr>
            <w:rStyle w:val="Hyperlink"/>
            <w:rFonts w:cs="Times New Roman"/>
            <w:noProof/>
          </w:rPr>
          <w:t>Figure 20:</w:t>
        </w:r>
        <w:r w:rsidR="00690541" w:rsidRPr="00741B5A">
          <w:rPr>
            <w:rFonts w:eastAsiaTheme="minorEastAsia" w:cs="Times New Roman"/>
            <w:noProof/>
            <w:lang w:eastAsia="en-GB"/>
          </w:rPr>
          <w:tab/>
        </w:r>
        <w:r w:rsidR="00690541" w:rsidRPr="00741B5A">
          <w:rPr>
            <w:rStyle w:val="Hyperlink"/>
            <w:rFonts w:cs="Times New Roman"/>
            <w:noProof/>
          </w:rPr>
          <w:t>The assumed age profile of patients undergoing brain surgery who are assumed to have normal life expectancy</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_Toc525106737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182</w:t>
        </w:r>
        <w:r w:rsidR="00690541" w:rsidRPr="00741B5A">
          <w:rPr>
            <w:rFonts w:cs="Times New Roman"/>
            <w:noProof/>
            <w:webHidden/>
          </w:rPr>
          <w:fldChar w:fldCharType="end"/>
        </w:r>
      </w:hyperlink>
    </w:p>
    <w:p w14:paraId="706D6BAE"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38" w:history="1">
        <w:r w:rsidR="00690541" w:rsidRPr="00741B5A">
          <w:rPr>
            <w:rStyle w:val="Hyperlink"/>
            <w:rFonts w:cs="Times New Roman"/>
            <w:noProof/>
          </w:rPr>
          <w:t>Figure 21:</w:t>
        </w:r>
        <w:r w:rsidR="00690541" w:rsidRPr="00741B5A">
          <w:rPr>
            <w:rFonts w:eastAsiaTheme="minorEastAsia" w:cs="Times New Roman"/>
            <w:noProof/>
            <w:lang w:eastAsia="en-GB"/>
          </w:rPr>
          <w:tab/>
        </w:r>
        <w:r w:rsidR="00690541" w:rsidRPr="00741B5A">
          <w:rPr>
            <w:rStyle w:val="Hyperlink"/>
            <w:rFonts w:cs="Times New Roman"/>
            <w:noProof/>
          </w:rPr>
          <w:t>The assumed age profile of patients undergoing brain surgery assumed to die within 12 months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_Toc525106738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182</w:t>
        </w:r>
        <w:r w:rsidR="00690541" w:rsidRPr="00741B5A">
          <w:rPr>
            <w:rFonts w:cs="Times New Roman"/>
            <w:noProof/>
            <w:webHidden/>
          </w:rPr>
          <w:fldChar w:fldCharType="end"/>
        </w:r>
      </w:hyperlink>
    </w:p>
    <w:p w14:paraId="30C8E693"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39" w:history="1">
        <w:r w:rsidR="00690541" w:rsidRPr="00741B5A">
          <w:rPr>
            <w:rStyle w:val="Hyperlink"/>
            <w:rFonts w:cs="Times New Roman"/>
            <w:noProof/>
          </w:rPr>
          <w:t>Figure 22:</w:t>
        </w:r>
        <w:r w:rsidR="00690541" w:rsidRPr="00741B5A">
          <w:rPr>
            <w:rFonts w:eastAsiaTheme="minorEastAsia" w:cs="Times New Roman"/>
            <w:noProof/>
            <w:lang w:eastAsia="en-GB"/>
          </w:rPr>
          <w:tab/>
        </w:r>
        <w:r w:rsidR="00690541" w:rsidRPr="00741B5A">
          <w:rPr>
            <w:rStyle w:val="Hyperlink"/>
            <w:rFonts w:cs="Times New Roman"/>
            <w:noProof/>
          </w:rPr>
          <w:t>The assumed age profile of patients undergoing brain surgery who are assumed to have a 50% chance of death within 12 months otherwise who are assumed to have normal life expectancy</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_Toc525106739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183</w:t>
        </w:r>
        <w:r w:rsidR="00690541" w:rsidRPr="00741B5A">
          <w:rPr>
            <w:rFonts w:cs="Times New Roman"/>
            <w:noProof/>
            <w:webHidden/>
          </w:rPr>
          <w:fldChar w:fldCharType="end"/>
        </w:r>
      </w:hyperlink>
    </w:p>
    <w:p w14:paraId="264272B1"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40" w:history="1">
        <w:r w:rsidR="00690541" w:rsidRPr="00741B5A">
          <w:rPr>
            <w:rStyle w:val="Hyperlink"/>
            <w:rFonts w:cs="Times New Roman"/>
            <w:noProof/>
          </w:rPr>
          <w:t>Figure 23:</w:t>
        </w:r>
        <w:r w:rsidR="00690541" w:rsidRPr="00741B5A">
          <w:rPr>
            <w:rFonts w:eastAsiaTheme="minorEastAsia" w:cs="Times New Roman"/>
            <w:noProof/>
            <w:lang w:eastAsia="en-GB"/>
          </w:rPr>
          <w:tab/>
        </w:r>
        <w:r w:rsidR="00690541" w:rsidRPr="00741B5A">
          <w:rPr>
            <w:rStyle w:val="Hyperlink"/>
            <w:rFonts w:cs="Times New Roman"/>
            <w:noProof/>
          </w:rPr>
          <w:t>The assumed age profile of patients undergoing neuroendoscopy</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_Toc525106740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183</w:t>
        </w:r>
        <w:r w:rsidR="00690541" w:rsidRPr="00741B5A">
          <w:rPr>
            <w:rFonts w:cs="Times New Roman"/>
            <w:noProof/>
            <w:webHidden/>
          </w:rPr>
          <w:fldChar w:fldCharType="end"/>
        </w:r>
      </w:hyperlink>
    </w:p>
    <w:p w14:paraId="5E36A93F" w14:textId="77777777" w:rsidR="00690541" w:rsidRPr="00741B5A" w:rsidRDefault="00EB4E00" w:rsidP="00741B5A">
      <w:pPr>
        <w:pStyle w:val="TableofFigures"/>
        <w:tabs>
          <w:tab w:val="left" w:pos="1320"/>
          <w:tab w:val="right" w:leader="dot" w:pos="9016"/>
        </w:tabs>
        <w:ind w:left="1100" w:hanging="1100"/>
        <w:rPr>
          <w:rFonts w:eastAsiaTheme="minorEastAsia" w:cs="Times New Roman"/>
          <w:noProof/>
          <w:lang w:eastAsia="en-GB"/>
        </w:rPr>
      </w:pPr>
      <w:hyperlink w:anchor="_Toc525106741" w:history="1">
        <w:r w:rsidR="00690541" w:rsidRPr="00741B5A">
          <w:rPr>
            <w:rStyle w:val="Hyperlink"/>
            <w:rFonts w:cs="Times New Roman"/>
            <w:noProof/>
          </w:rPr>
          <w:t>Figure 24:</w:t>
        </w:r>
        <w:r w:rsidR="00690541" w:rsidRPr="00741B5A">
          <w:rPr>
            <w:rFonts w:eastAsiaTheme="minorEastAsia" w:cs="Times New Roman"/>
            <w:noProof/>
            <w:lang w:eastAsia="en-GB"/>
          </w:rPr>
          <w:tab/>
        </w:r>
        <w:r w:rsidR="00690541" w:rsidRPr="00741B5A">
          <w:rPr>
            <w:rStyle w:val="Hyperlink"/>
            <w:rFonts w:cs="Times New Roman"/>
            <w:noProof/>
          </w:rPr>
          <w:t>The assumed age profile of patients undergoing posterior eye operations</w:t>
        </w:r>
        <w:r w:rsidR="00690541" w:rsidRPr="00741B5A">
          <w:rPr>
            <w:rFonts w:cs="Times New Roman"/>
            <w:noProof/>
            <w:webHidden/>
          </w:rPr>
          <w:tab/>
        </w:r>
        <w:r w:rsidR="00690541" w:rsidRPr="00741B5A">
          <w:rPr>
            <w:rFonts w:cs="Times New Roman"/>
            <w:noProof/>
            <w:webHidden/>
          </w:rPr>
          <w:fldChar w:fldCharType="begin"/>
        </w:r>
        <w:r w:rsidR="00690541" w:rsidRPr="00741B5A">
          <w:rPr>
            <w:rFonts w:cs="Times New Roman"/>
            <w:noProof/>
            <w:webHidden/>
          </w:rPr>
          <w:instrText xml:space="preserve"> PAGEREF _Toc525106741 \h </w:instrText>
        </w:r>
        <w:r w:rsidR="00690541" w:rsidRPr="00741B5A">
          <w:rPr>
            <w:rFonts w:cs="Times New Roman"/>
            <w:noProof/>
            <w:webHidden/>
          </w:rPr>
        </w:r>
        <w:r w:rsidR="00690541" w:rsidRPr="00741B5A">
          <w:rPr>
            <w:rFonts w:cs="Times New Roman"/>
            <w:noProof/>
            <w:webHidden/>
          </w:rPr>
          <w:fldChar w:fldCharType="separate"/>
        </w:r>
        <w:r w:rsidR="0006075E">
          <w:rPr>
            <w:rFonts w:cs="Times New Roman"/>
            <w:noProof/>
            <w:webHidden/>
          </w:rPr>
          <w:t>184</w:t>
        </w:r>
        <w:r w:rsidR="00690541" w:rsidRPr="00741B5A">
          <w:rPr>
            <w:rFonts w:cs="Times New Roman"/>
            <w:noProof/>
            <w:webHidden/>
          </w:rPr>
          <w:fldChar w:fldCharType="end"/>
        </w:r>
      </w:hyperlink>
    </w:p>
    <w:p w14:paraId="780B83ED" w14:textId="77777777" w:rsidR="00DD794C" w:rsidRPr="00741B5A" w:rsidRDefault="00DD794C" w:rsidP="00741B5A">
      <w:pPr>
        <w:ind w:left="1361" w:hanging="1361"/>
        <w:rPr>
          <w:rFonts w:eastAsia="Calibri" w:cs="Times New Roman"/>
        </w:rPr>
      </w:pPr>
      <w:r w:rsidRPr="00741B5A">
        <w:rPr>
          <w:rFonts w:eastAsia="Calibri" w:cs="Times New Roman"/>
        </w:rPr>
        <w:fldChar w:fldCharType="end"/>
      </w:r>
    </w:p>
    <w:p w14:paraId="190F3907" w14:textId="77777777" w:rsidR="00DD794C" w:rsidRDefault="00DD794C">
      <w:pPr>
        <w:spacing w:after="160" w:line="259" w:lineRule="auto"/>
        <w:rPr>
          <w:rFonts w:eastAsia="Calibri" w:cs="Times New Roman"/>
          <w:b/>
          <w:szCs w:val="26"/>
        </w:rPr>
      </w:pPr>
      <w:r>
        <w:rPr>
          <w:rFonts w:eastAsia="Calibri"/>
        </w:rPr>
        <w:br w:type="page"/>
      </w:r>
    </w:p>
    <w:p w14:paraId="1253656C" w14:textId="0AEBFF16" w:rsidR="00F676EF" w:rsidRPr="00A87998" w:rsidRDefault="0084515B" w:rsidP="001D65B2">
      <w:pPr>
        <w:pStyle w:val="Heading2"/>
        <w:rPr>
          <w:rFonts w:eastAsia="Calibri"/>
        </w:rPr>
      </w:pPr>
      <w:bookmarkStart w:id="2" w:name="_Toc525106650"/>
      <w:r>
        <w:rPr>
          <w:rFonts w:eastAsia="Calibri"/>
        </w:rPr>
        <w:t>List of abbreviations</w:t>
      </w:r>
      <w:bookmarkEnd w:id="2"/>
    </w:p>
    <w:tbl>
      <w:tblPr>
        <w:tblW w:w="0" w:type="auto"/>
        <w:tblLook w:val="04A0" w:firstRow="1" w:lastRow="0" w:firstColumn="1" w:lastColumn="0" w:noHBand="0" w:noVBand="1"/>
      </w:tblPr>
      <w:tblGrid>
        <w:gridCol w:w="1526"/>
        <w:gridCol w:w="7087"/>
      </w:tblGrid>
      <w:tr w:rsidR="00BE20A8" w:rsidRPr="00BE20A8" w14:paraId="625F61D0" w14:textId="77777777" w:rsidTr="00BE20A8">
        <w:tc>
          <w:tcPr>
            <w:tcW w:w="1526" w:type="dxa"/>
          </w:tcPr>
          <w:p w14:paraId="3244B823" w14:textId="77777777" w:rsidR="00BE20A8" w:rsidRPr="00BE20A8" w:rsidRDefault="00BE20A8" w:rsidP="00AE6C98">
            <w:pPr>
              <w:rPr>
                <w:rFonts w:eastAsia="Calibri" w:cs="Times New Roman"/>
              </w:rPr>
            </w:pPr>
            <w:r w:rsidRPr="00BE20A8">
              <w:rPr>
                <w:rFonts w:eastAsia="Calibri" w:cs="Times New Roman"/>
              </w:rPr>
              <w:t>ACDP</w:t>
            </w:r>
          </w:p>
        </w:tc>
        <w:tc>
          <w:tcPr>
            <w:tcW w:w="7087" w:type="dxa"/>
          </w:tcPr>
          <w:p w14:paraId="1AAFB92B" w14:textId="77777777" w:rsidR="00BE20A8" w:rsidRPr="00BE20A8" w:rsidRDefault="00BE20A8" w:rsidP="00AE6C98">
            <w:pPr>
              <w:rPr>
                <w:rFonts w:eastAsia="Calibri" w:cs="Times New Roman"/>
              </w:rPr>
            </w:pPr>
            <w:r w:rsidRPr="00BE20A8">
              <w:rPr>
                <w:rFonts w:eastAsia="Calibri" w:cs="Times New Roman"/>
              </w:rPr>
              <w:t>Advisory Committee on Dangerous Pathogens</w:t>
            </w:r>
          </w:p>
        </w:tc>
      </w:tr>
      <w:tr w:rsidR="00BE20A8" w:rsidRPr="00BE20A8" w14:paraId="1FC3A17E" w14:textId="77777777" w:rsidTr="00BE20A8">
        <w:tc>
          <w:tcPr>
            <w:tcW w:w="1526" w:type="dxa"/>
          </w:tcPr>
          <w:p w14:paraId="00385570" w14:textId="77777777" w:rsidR="00BE20A8" w:rsidRPr="00BE20A8" w:rsidRDefault="00BE20A8" w:rsidP="00AE6C98">
            <w:pPr>
              <w:rPr>
                <w:rFonts w:eastAsia="Calibri" w:cs="Times New Roman"/>
              </w:rPr>
            </w:pPr>
            <w:r w:rsidRPr="00BE20A8">
              <w:rPr>
                <w:rFonts w:eastAsia="Calibri" w:cs="Times New Roman"/>
              </w:rPr>
              <w:t>AcOH</w:t>
            </w:r>
          </w:p>
        </w:tc>
        <w:tc>
          <w:tcPr>
            <w:tcW w:w="7087" w:type="dxa"/>
          </w:tcPr>
          <w:p w14:paraId="02BCCAFB" w14:textId="77777777" w:rsidR="00BE20A8" w:rsidRPr="00BE20A8" w:rsidRDefault="00BE20A8" w:rsidP="00AE6C98">
            <w:pPr>
              <w:rPr>
                <w:rFonts w:eastAsia="Calibri" w:cs="Times New Roman"/>
              </w:rPr>
            </w:pPr>
            <w:r w:rsidRPr="00BE20A8">
              <w:rPr>
                <w:rFonts w:eastAsia="Calibri" w:cs="Times New Roman"/>
              </w:rPr>
              <w:t>acetic acid</w:t>
            </w:r>
          </w:p>
        </w:tc>
      </w:tr>
      <w:tr w:rsidR="00BE20A8" w:rsidRPr="00BE20A8" w14:paraId="4B2030EB" w14:textId="77777777" w:rsidTr="00BE20A8">
        <w:tc>
          <w:tcPr>
            <w:tcW w:w="1526" w:type="dxa"/>
          </w:tcPr>
          <w:p w14:paraId="2F1730B4" w14:textId="77777777" w:rsidR="00BE20A8" w:rsidRPr="00BE20A8" w:rsidRDefault="00BE20A8" w:rsidP="00AE6C98">
            <w:pPr>
              <w:rPr>
                <w:rFonts w:eastAsia="Calibri" w:cs="Times New Roman"/>
              </w:rPr>
            </w:pPr>
            <w:r w:rsidRPr="00BE20A8">
              <w:rPr>
                <w:rFonts w:eastAsia="Calibri" w:cs="Times New Roman"/>
              </w:rPr>
              <w:t>BH</w:t>
            </w:r>
          </w:p>
        </w:tc>
        <w:tc>
          <w:tcPr>
            <w:tcW w:w="7087" w:type="dxa"/>
          </w:tcPr>
          <w:p w14:paraId="45A44CB9" w14:textId="77777777" w:rsidR="00BE20A8" w:rsidRPr="00BE20A8" w:rsidRDefault="00BE20A8" w:rsidP="00AE6C98">
            <w:pPr>
              <w:rPr>
                <w:rFonts w:eastAsia="Calibri" w:cs="Times New Roman"/>
              </w:rPr>
            </w:pPr>
            <w:r w:rsidRPr="00BE20A8">
              <w:rPr>
                <w:rFonts w:eastAsia="Calibri" w:cs="Times New Roman"/>
              </w:rPr>
              <w:t>brain homogenate</w:t>
            </w:r>
          </w:p>
        </w:tc>
      </w:tr>
      <w:tr w:rsidR="00BE20A8" w:rsidRPr="00BE20A8" w14:paraId="15BD93B9" w14:textId="77777777" w:rsidTr="00BE20A8">
        <w:tc>
          <w:tcPr>
            <w:tcW w:w="1526" w:type="dxa"/>
          </w:tcPr>
          <w:p w14:paraId="2D018DCD" w14:textId="77777777" w:rsidR="00BE20A8" w:rsidRPr="00BE20A8" w:rsidRDefault="00BE20A8" w:rsidP="00AE6C98">
            <w:pPr>
              <w:rPr>
                <w:rFonts w:eastAsia="Calibri" w:cs="Times New Roman"/>
              </w:rPr>
            </w:pPr>
            <w:r w:rsidRPr="00BE20A8">
              <w:rPr>
                <w:rFonts w:eastAsia="Calibri" w:cs="Times New Roman"/>
              </w:rPr>
              <w:t>BSE</w:t>
            </w:r>
          </w:p>
        </w:tc>
        <w:tc>
          <w:tcPr>
            <w:tcW w:w="7087" w:type="dxa"/>
          </w:tcPr>
          <w:p w14:paraId="1BE75BE8" w14:textId="77777777" w:rsidR="00BE20A8" w:rsidRPr="00BE20A8" w:rsidRDefault="00BE20A8" w:rsidP="00AE6C98">
            <w:pPr>
              <w:rPr>
                <w:rFonts w:eastAsia="Calibri" w:cs="Times New Roman"/>
              </w:rPr>
            </w:pPr>
            <w:r w:rsidRPr="00BE20A8">
              <w:rPr>
                <w:rFonts w:eastAsia="Calibri" w:cs="Times New Roman"/>
              </w:rPr>
              <w:t>bovine spongiform encephalopathy</w:t>
            </w:r>
          </w:p>
        </w:tc>
      </w:tr>
      <w:tr w:rsidR="00BE20A8" w:rsidRPr="00BE20A8" w14:paraId="0538EBEC" w14:textId="77777777" w:rsidTr="00BE20A8">
        <w:tc>
          <w:tcPr>
            <w:tcW w:w="1526" w:type="dxa"/>
          </w:tcPr>
          <w:p w14:paraId="24D8DBC7" w14:textId="77777777" w:rsidR="00BE20A8" w:rsidRPr="00BE20A8" w:rsidRDefault="00BE20A8" w:rsidP="00AE6C98">
            <w:pPr>
              <w:rPr>
                <w:rFonts w:eastAsia="Calibri" w:cs="Times New Roman"/>
              </w:rPr>
            </w:pPr>
            <w:r w:rsidRPr="00BE20A8">
              <w:rPr>
                <w:rFonts w:eastAsia="Calibri" w:cs="Times New Roman"/>
              </w:rPr>
              <w:t>CI</w:t>
            </w:r>
          </w:p>
        </w:tc>
        <w:tc>
          <w:tcPr>
            <w:tcW w:w="7087" w:type="dxa"/>
          </w:tcPr>
          <w:p w14:paraId="38A0A078" w14:textId="77777777" w:rsidR="00BE20A8" w:rsidRPr="00BE20A8" w:rsidRDefault="00BE20A8" w:rsidP="00AE6C98">
            <w:pPr>
              <w:rPr>
                <w:rFonts w:eastAsia="Calibri" w:cs="Times New Roman"/>
              </w:rPr>
            </w:pPr>
            <w:r w:rsidRPr="00BE20A8">
              <w:rPr>
                <w:rFonts w:eastAsia="Calibri" w:cs="Times New Roman"/>
              </w:rPr>
              <w:t>confidence interval</w:t>
            </w:r>
          </w:p>
        </w:tc>
      </w:tr>
      <w:tr w:rsidR="00BE20A8" w:rsidRPr="00BE20A8" w14:paraId="52297F75" w14:textId="77777777" w:rsidTr="00BE20A8">
        <w:tc>
          <w:tcPr>
            <w:tcW w:w="1526" w:type="dxa"/>
          </w:tcPr>
          <w:p w14:paraId="73BF656B" w14:textId="77777777" w:rsidR="00BE20A8" w:rsidRPr="00BE20A8" w:rsidRDefault="00BE20A8" w:rsidP="00AE6C98">
            <w:pPr>
              <w:rPr>
                <w:rFonts w:eastAsia="Calibri" w:cs="Times New Roman"/>
              </w:rPr>
            </w:pPr>
            <w:r w:rsidRPr="00BE20A8">
              <w:rPr>
                <w:rFonts w:eastAsia="Calibri" w:cs="Times New Roman"/>
              </w:rPr>
              <w:t>CJD</w:t>
            </w:r>
          </w:p>
        </w:tc>
        <w:tc>
          <w:tcPr>
            <w:tcW w:w="7087" w:type="dxa"/>
          </w:tcPr>
          <w:p w14:paraId="4BA9F504" w14:textId="77777777" w:rsidR="00BE20A8" w:rsidRPr="00BE20A8" w:rsidRDefault="00BE20A8" w:rsidP="00AE6C98">
            <w:pPr>
              <w:rPr>
                <w:rFonts w:eastAsia="Calibri" w:cs="Times New Roman"/>
              </w:rPr>
            </w:pPr>
            <w:r w:rsidRPr="00BE20A8">
              <w:rPr>
                <w:rFonts w:eastAsia="Calibri" w:cs="Times New Roman"/>
              </w:rPr>
              <w:t>Creutzfeldt-Jakob disease</w:t>
            </w:r>
          </w:p>
        </w:tc>
      </w:tr>
      <w:tr w:rsidR="00BE20A8" w:rsidRPr="00BE20A8" w14:paraId="7473C6E8" w14:textId="77777777" w:rsidTr="00BE20A8">
        <w:tc>
          <w:tcPr>
            <w:tcW w:w="1526" w:type="dxa"/>
          </w:tcPr>
          <w:p w14:paraId="1D0B7FA7" w14:textId="77777777" w:rsidR="00BE20A8" w:rsidRPr="00BE20A8" w:rsidRDefault="00BE20A8" w:rsidP="00AE6C98">
            <w:pPr>
              <w:rPr>
                <w:rFonts w:eastAsia="Calibri" w:cs="Times New Roman"/>
              </w:rPr>
            </w:pPr>
            <w:r w:rsidRPr="00BE20A8">
              <w:rPr>
                <w:rFonts w:eastAsia="Calibri" w:cs="Times New Roman"/>
              </w:rPr>
              <w:t>CRD</w:t>
            </w:r>
          </w:p>
        </w:tc>
        <w:tc>
          <w:tcPr>
            <w:tcW w:w="7087" w:type="dxa"/>
          </w:tcPr>
          <w:p w14:paraId="1D12C748" w14:textId="77777777" w:rsidR="00BE20A8" w:rsidRPr="00BE20A8" w:rsidRDefault="00BE20A8" w:rsidP="00AE6C98">
            <w:pPr>
              <w:rPr>
                <w:rFonts w:eastAsia="Calibri" w:cs="Times New Roman"/>
              </w:rPr>
            </w:pPr>
            <w:r w:rsidRPr="00BE20A8">
              <w:rPr>
                <w:rFonts w:eastAsia="Calibri" w:cs="Times New Roman"/>
              </w:rPr>
              <w:t>Centre for Reviews and Dissemination</w:t>
            </w:r>
          </w:p>
        </w:tc>
      </w:tr>
      <w:tr w:rsidR="00BE20A8" w:rsidRPr="00BE20A8" w14:paraId="33A7595C" w14:textId="77777777" w:rsidTr="00BE20A8">
        <w:tc>
          <w:tcPr>
            <w:tcW w:w="1526" w:type="dxa"/>
          </w:tcPr>
          <w:p w14:paraId="18A2A380" w14:textId="77777777" w:rsidR="00BE20A8" w:rsidRPr="00BE20A8" w:rsidRDefault="00BE20A8" w:rsidP="00AE6C98">
            <w:pPr>
              <w:rPr>
                <w:rFonts w:eastAsia="Calibri" w:cs="Times New Roman"/>
              </w:rPr>
            </w:pPr>
            <w:r w:rsidRPr="00BE20A8">
              <w:rPr>
                <w:rFonts w:eastAsia="Calibri" w:cs="Times New Roman"/>
              </w:rPr>
              <w:t>CSEW</w:t>
            </w:r>
          </w:p>
        </w:tc>
        <w:tc>
          <w:tcPr>
            <w:tcW w:w="7087" w:type="dxa"/>
          </w:tcPr>
          <w:p w14:paraId="3ADC61F9" w14:textId="77777777" w:rsidR="00BE20A8" w:rsidRPr="00BE20A8" w:rsidRDefault="00BE20A8" w:rsidP="00AE6C98">
            <w:pPr>
              <w:rPr>
                <w:rFonts w:eastAsia="Calibri" w:cs="Times New Roman"/>
              </w:rPr>
            </w:pPr>
            <w:r w:rsidRPr="00BE20A8">
              <w:rPr>
                <w:rFonts w:eastAsia="Calibri" w:cs="Times New Roman"/>
              </w:rPr>
              <w:t>Coroners’ Society of England and Wales</w:t>
            </w:r>
          </w:p>
        </w:tc>
      </w:tr>
      <w:tr w:rsidR="00BE20A8" w:rsidRPr="00BE20A8" w14:paraId="0532BD1E" w14:textId="77777777" w:rsidTr="00BE20A8">
        <w:tc>
          <w:tcPr>
            <w:tcW w:w="1526" w:type="dxa"/>
          </w:tcPr>
          <w:p w14:paraId="361BF856" w14:textId="77777777" w:rsidR="00BE20A8" w:rsidRPr="00BE20A8" w:rsidRDefault="00BE20A8" w:rsidP="00AE6C98">
            <w:pPr>
              <w:rPr>
                <w:rFonts w:eastAsia="Calibri" w:cs="Times New Roman"/>
              </w:rPr>
            </w:pPr>
            <w:r w:rsidRPr="00BE20A8">
              <w:rPr>
                <w:rFonts w:eastAsia="Calibri" w:cs="Times New Roman"/>
              </w:rPr>
              <w:t>EEG</w:t>
            </w:r>
          </w:p>
        </w:tc>
        <w:tc>
          <w:tcPr>
            <w:tcW w:w="7087" w:type="dxa"/>
          </w:tcPr>
          <w:p w14:paraId="6F575A5E" w14:textId="77777777" w:rsidR="00BE20A8" w:rsidRPr="00BE20A8" w:rsidRDefault="00BE20A8" w:rsidP="00AE6C98">
            <w:pPr>
              <w:rPr>
                <w:rFonts w:eastAsia="Calibri" w:cs="Times New Roman"/>
              </w:rPr>
            </w:pPr>
            <w:r w:rsidRPr="00BE20A8">
              <w:rPr>
                <w:rFonts w:eastAsia="Calibri" w:cs="Times New Roman"/>
              </w:rPr>
              <w:t>electroencephalograph</w:t>
            </w:r>
          </w:p>
        </w:tc>
      </w:tr>
      <w:tr w:rsidR="00BE20A8" w:rsidRPr="004D0FB6" w14:paraId="16B43508" w14:textId="77777777" w:rsidTr="00BE20A8">
        <w:tc>
          <w:tcPr>
            <w:tcW w:w="1526" w:type="dxa"/>
          </w:tcPr>
          <w:p w14:paraId="068DC9D8" w14:textId="77777777" w:rsidR="00BE20A8" w:rsidRPr="00BE20A8" w:rsidRDefault="00BE20A8" w:rsidP="00AE6C98">
            <w:pPr>
              <w:rPr>
                <w:rFonts w:eastAsia="Calibri" w:cs="Times New Roman"/>
              </w:rPr>
            </w:pPr>
            <w:r w:rsidRPr="00BE20A8">
              <w:rPr>
                <w:rFonts w:eastAsia="Calibri" w:cs="Times New Roman"/>
              </w:rPr>
              <w:t>EDIC/EF</w:t>
            </w:r>
          </w:p>
        </w:tc>
        <w:tc>
          <w:tcPr>
            <w:tcW w:w="7087" w:type="dxa"/>
          </w:tcPr>
          <w:p w14:paraId="766EE0D5" w14:textId="4E17BCD0" w:rsidR="00BE20A8" w:rsidRPr="001D1C67" w:rsidRDefault="00BE20A8" w:rsidP="00AE6C98">
            <w:pPr>
              <w:rPr>
                <w:rFonts w:eastAsia="Calibri" w:cs="Times New Roman"/>
                <w:lang w:val="it-IT"/>
              </w:rPr>
            </w:pPr>
            <w:r w:rsidRPr="001D1C67">
              <w:rPr>
                <w:rFonts w:eastAsia="Calibri" w:cs="Times New Roman"/>
                <w:lang w:val="it-IT"/>
              </w:rPr>
              <w:t>episcopic differential interference contrast/Epifluorescence</w:t>
            </w:r>
          </w:p>
        </w:tc>
      </w:tr>
      <w:tr w:rsidR="00BE20A8" w:rsidRPr="00BE20A8" w14:paraId="1DF1BC47" w14:textId="77777777" w:rsidTr="00BE20A8">
        <w:tc>
          <w:tcPr>
            <w:tcW w:w="1526" w:type="dxa"/>
          </w:tcPr>
          <w:p w14:paraId="1A632BBB" w14:textId="77777777" w:rsidR="00BE20A8" w:rsidRPr="00BE20A8" w:rsidRDefault="00BE20A8" w:rsidP="00AE6C98">
            <w:pPr>
              <w:rPr>
                <w:rFonts w:cs="Times New Roman"/>
              </w:rPr>
            </w:pPr>
            <w:r w:rsidRPr="00BE20A8">
              <w:rPr>
                <w:rFonts w:cs="Times New Roman"/>
              </w:rPr>
              <w:t>FFPE</w:t>
            </w:r>
          </w:p>
        </w:tc>
        <w:tc>
          <w:tcPr>
            <w:tcW w:w="7087" w:type="dxa"/>
          </w:tcPr>
          <w:p w14:paraId="09D3D07B" w14:textId="77777777" w:rsidR="00BE20A8" w:rsidRPr="00BE20A8" w:rsidRDefault="00BE20A8" w:rsidP="00AE6C98">
            <w:pPr>
              <w:rPr>
                <w:rFonts w:cs="Times New Roman"/>
              </w:rPr>
            </w:pPr>
            <w:r w:rsidRPr="00BE20A8">
              <w:rPr>
                <w:rFonts w:cs="Times New Roman"/>
              </w:rPr>
              <w:t>formalin-fixed, paraffin-embedded</w:t>
            </w:r>
          </w:p>
        </w:tc>
      </w:tr>
      <w:tr w:rsidR="00BE20A8" w:rsidRPr="00BE20A8" w14:paraId="01C6D3FD" w14:textId="77777777" w:rsidTr="00BE20A8">
        <w:tc>
          <w:tcPr>
            <w:tcW w:w="1526" w:type="dxa"/>
          </w:tcPr>
          <w:p w14:paraId="5DD0AF1B" w14:textId="77777777" w:rsidR="00BE20A8" w:rsidRPr="00BE20A8" w:rsidRDefault="00BE20A8" w:rsidP="00AE6C98">
            <w:pPr>
              <w:rPr>
                <w:rFonts w:cs="Times New Roman"/>
              </w:rPr>
            </w:pPr>
            <w:r w:rsidRPr="00BE20A8">
              <w:rPr>
                <w:rFonts w:cs="Times New Roman"/>
              </w:rPr>
              <w:t>FFI</w:t>
            </w:r>
          </w:p>
        </w:tc>
        <w:tc>
          <w:tcPr>
            <w:tcW w:w="7087" w:type="dxa"/>
          </w:tcPr>
          <w:p w14:paraId="401F09C6" w14:textId="01F39F7D" w:rsidR="00BE20A8" w:rsidRPr="00BE20A8" w:rsidRDefault="00AF08FB" w:rsidP="00AE6C98">
            <w:pPr>
              <w:rPr>
                <w:rFonts w:cs="Times New Roman"/>
              </w:rPr>
            </w:pPr>
            <w:r>
              <w:rPr>
                <w:rFonts w:cs="Times New Roman"/>
              </w:rPr>
              <w:t>f</w:t>
            </w:r>
            <w:r w:rsidR="00BE20A8" w:rsidRPr="00BE20A8">
              <w:rPr>
                <w:rFonts w:cs="Times New Roman"/>
              </w:rPr>
              <w:t>atal familial insomnia</w:t>
            </w:r>
          </w:p>
        </w:tc>
      </w:tr>
      <w:tr w:rsidR="00AF08FB" w:rsidRPr="00BE20A8" w14:paraId="51B9E933" w14:textId="77777777" w:rsidTr="00BE20A8">
        <w:tc>
          <w:tcPr>
            <w:tcW w:w="1526" w:type="dxa"/>
          </w:tcPr>
          <w:p w14:paraId="6EAC4F6C" w14:textId="1F69D112" w:rsidR="00AF08FB" w:rsidRPr="00BE20A8" w:rsidRDefault="00AF08FB" w:rsidP="00AE6C98">
            <w:pPr>
              <w:rPr>
                <w:rFonts w:cs="Times New Roman"/>
              </w:rPr>
            </w:pPr>
            <w:r>
              <w:rPr>
                <w:rFonts w:cs="Times New Roman"/>
              </w:rPr>
              <w:t>FML</w:t>
            </w:r>
          </w:p>
        </w:tc>
        <w:tc>
          <w:tcPr>
            <w:tcW w:w="7087" w:type="dxa"/>
          </w:tcPr>
          <w:p w14:paraId="636FC3DD" w14:textId="65054695" w:rsidR="00AF08FB" w:rsidRPr="00BE20A8" w:rsidRDefault="00AF08FB" w:rsidP="00AE6C98">
            <w:pPr>
              <w:rPr>
                <w:rFonts w:cs="Times New Roman"/>
              </w:rPr>
            </w:pPr>
            <w:r>
              <w:rPr>
                <w:rFonts w:cs="Times New Roman"/>
              </w:rPr>
              <w:t>factor for e</w:t>
            </w:r>
            <w:r w:rsidR="001D1C67">
              <w:rPr>
                <w:rFonts w:cs="Times New Roman"/>
              </w:rPr>
              <w:t>fficient</w:t>
            </w:r>
            <w:r>
              <w:rPr>
                <w:rFonts w:cs="Times New Roman"/>
              </w:rPr>
              <w:t>ly maximising the likelihood</w:t>
            </w:r>
          </w:p>
        </w:tc>
      </w:tr>
      <w:tr w:rsidR="00BE20A8" w:rsidRPr="00BE20A8" w14:paraId="750F0F36" w14:textId="77777777" w:rsidTr="00BE20A8">
        <w:tc>
          <w:tcPr>
            <w:tcW w:w="1526" w:type="dxa"/>
          </w:tcPr>
          <w:p w14:paraId="43BF4955" w14:textId="77777777" w:rsidR="00BE20A8" w:rsidRPr="00BE20A8" w:rsidRDefault="00BE20A8" w:rsidP="00AE6C98">
            <w:pPr>
              <w:rPr>
                <w:rFonts w:cs="Times New Roman"/>
              </w:rPr>
            </w:pPr>
            <w:r w:rsidRPr="00BE20A8">
              <w:rPr>
                <w:rFonts w:cs="Times New Roman"/>
              </w:rPr>
              <w:t>GSS</w:t>
            </w:r>
          </w:p>
        </w:tc>
        <w:tc>
          <w:tcPr>
            <w:tcW w:w="7087" w:type="dxa"/>
          </w:tcPr>
          <w:p w14:paraId="1F82B965" w14:textId="77777777" w:rsidR="00BE20A8" w:rsidRPr="00BE20A8" w:rsidRDefault="00BE20A8" w:rsidP="00AE6C98">
            <w:pPr>
              <w:rPr>
                <w:rFonts w:cs="Times New Roman"/>
              </w:rPr>
            </w:pPr>
            <w:r w:rsidRPr="00BE20A8">
              <w:rPr>
                <w:rFonts w:cs="Times New Roman"/>
              </w:rPr>
              <w:t>Gerstmann-Sträussler-Scheinker</w:t>
            </w:r>
          </w:p>
        </w:tc>
      </w:tr>
      <w:tr w:rsidR="00F864AE" w:rsidRPr="00BE20A8" w14:paraId="2C5D5FFC" w14:textId="77777777" w:rsidTr="00BE20A8">
        <w:tc>
          <w:tcPr>
            <w:tcW w:w="1526" w:type="dxa"/>
          </w:tcPr>
          <w:p w14:paraId="73CCB4F4" w14:textId="7E938E87" w:rsidR="00F864AE" w:rsidRPr="00BE20A8" w:rsidRDefault="00F864AE" w:rsidP="00AE6C98">
            <w:pPr>
              <w:rPr>
                <w:rFonts w:cs="Times New Roman"/>
              </w:rPr>
            </w:pPr>
            <w:r>
              <w:rPr>
                <w:rFonts w:cs="Times New Roman"/>
              </w:rPr>
              <w:t>HES</w:t>
            </w:r>
          </w:p>
        </w:tc>
        <w:tc>
          <w:tcPr>
            <w:tcW w:w="7087" w:type="dxa"/>
          </w:tcPr>
          <w:p w14:paraId="0F46DB72" w14:textId="4BFC0985" w:rsidR="00F864AE" w:rsidRPr="00BE20A8" w:rsidRDefault="00F864AE" w:rsidP="00AE6C98">
            <w:pPr>
              <w:rPr>
                <w:rFonts w:cs="Times New Roman"/>
              </w:rPr>
            </w:pPr>
            <w:r>
              <w:rPr>
                <w:rFonts w:cs="Times New Roman"/>
              </w:rPr>
              <w:t>Hospital Episode Statistics</w:t>
            </w:r>
          </w:p>
        </w:tc>
      </w:tr>
      <w:tr w:rsidR="00BE20A8" w:rsidRPr="00BE20A8" w14:paraId="27E827BB" w14:textId="77777777" w:rsidTr="00BE20A8">
        <w:tc>
          <w:tcPr>
            <w:tcW w:w="1526" w:type="dxa"/>
          </w:tcPr>
          <w:p w14:paraId="5DC77B4F" w14:textId="77777777" w:rsidR="00BE20A8" w:rsidRPr="00BE20A8" w:rsidRDefault="00BE20A8" w:rsidP="00AE6C98">
            <w:pPr>
              <w:rPr>
                <w:rFonts w:cs="Times New Roman"/>
              </w:rPr>
            </w:pPr>
            <w:r w:rsidRPr="00BE20A8">
              <w:rPr>
                <w:rFonts w:cs="Times New Roman"/>
              </w:rPr>
              <w:t xml:space="preserve">hGH </w:t>
            </w:r>
          </w:p>
        </w:tc>
        <w:tc>
          <w:tcPr>
            <w:tcW w:w="7087" w:type="dxa"/>
          </w:tcPr>
          <w:p w14:paraId="4ABBF664" w14:textId="77777777" w:rsidR="00BE20A8" w:rsidRPr="00BE20A8" w:rsidRDefault="00BE20A8" w:rsidP="00AE6C98">
            <w:pPr>
              <w:rPr>
                <w:rFonts w:cs="Times New Roman"/>
              </w:rPr>
            </w:pPr>
            <w:r w:rsidRPr="00BE20A8">
              <w:rPr>
                <w:rFonts w:cs="Times New Roman"/>
              </w:rPr>
              <w:t>human growth hormones</w:t>
            </w:r>
          </w:p>
        </w:tc>
      </w:tr>
      <w:tr w:rsidR="00BE20A8" w:rsidRPr="00BE20A8" w14:paraId="78788B8C" w14:textId="77777777" w:rsidTr="00BE20A8">
        <w:tc>
          <w:tcPr>
            <w:tcW w:w="1526" w:type="dxa"/>
          </w:tcPr>
          <w:p w14:paraId="1048FCC4" w14:textId="77777777" w:rsidR="00BE20A8" w:rsidRPr="00BE20A8" w:rsidRDefault="00BE20A8" w:rsidP="00AE6C98">
            <w:pPr>
              <w:rPr>
                <w:rFonts w:cs="Times New Roman"/>
              </w:rPr>
            </w:pPr>
            <w:r w:rsidRPr="00BE20A8">
              <w:rPr>
                <w:rFonts w:cs="Times New Roman"/>
              </w:rPr>
              <w:t xml:space="preserve">hGN </w:t>
            </w:r>
          </w:p>
        </w:tc>
        <w:tc>
          <w:tcPr>
            <w:tcW w:w="7087" w:type="dxa"/>
          </w:tcPr>
          <w:p w14:paraId="666CD6C7" w14:textId="77777777" w:rsidR="00BE20A8" w:rsidRPr="00BE20A8" w:rsidRDefault="00BE20A8" w:rsidP="00AE6C98">
            <w:pPr>
              <w:rPr>
                <w:rFonts w:cs="Times New Roman"/>
              </w:rPr>
            </w:pPr>
            <w:r w:rsidRPr="00BE20A8">
              <w:rPr>
                <w:rFonts w:cs="Times New Roman"/>
              </w:rPr>
              <w:t>human gonadotrophin</w:t>
            </w:r>
          </w:p>
        </w:tc>
      </w:tr>
      <w:tr w:rsidR="00BE20A8" w:rsidRPr="00BE20A8" w14:paraId="7ECDD906" w14:textId="77777777" w:rsidTr="00BE20A8">
        <w:tc>
          <w:tcPr>
            <w:tcW w:w="1526" w:type="dxa"/>
          </w:tcPr>
          <w:p w14:paraId="438E7258" w14:textId="77777777" w:rsidR="00BE20A8" w:rsidRPr="00BE20A8" w:rsidRDefault="00BE20A8" w:rsidP="00AE6C98">
            <w:pPr>
              <w:rPr>
                <w:rFonts w:eastAsia="Calibri" w:cs="Times New Roman"/>
              </w:rPr>
            </w:pPr>
            <w:r w:rsidRPr="00BE20A8">
              <w:rPr>
                <w:rFonts w:eastAsia="Calibri" w:cs="Times New Roman"/>
              </w:rPr>
              <w:t>H</w:t>
            </w:r>
            <w:r w:rsidRPr="00BE20A8">
              <w:rPr>
                <w:rFonts w:eastAsia="Calibri" w:cs="Times New Roman"/>
                <w:vertAlign w:val="subscript"/>
              </w:rPr>
              <w:t>2</w:t>
            </w:r>
            <w:r w:rsidRPr="00BE20A8">
              <w:rPr>
                <w:rFonts w:eastAsia="Calibri" w:cs="Times New Roman"/>
              </w:rPr>
              <w:t>O</w:t>
            </w:r>
            <w:r w:rsidRPr="00BE20A8">
              <w:rPr>
                <w:rFonts w:eastAsia="Calibri" w:cs="Times New Roman"/>
                <w:vertAlign w:val="subscript"/>
              </w:rPr>
              <w:t>2</w:t>
            </w:r>
            <w:r w:rsidRPr="00BE20A8">
              <w:rPr>
                <w:rFonts w:eastAsia="Calibri" w:cs="Times New Roman"/>
              </w:rPr>
              <w:t xml:space="preserve"> </w:t>
            </w:r>
          </w:p>
        </w:tc>
        <w:tc>
          <w:tcPr>
            <w:tcW w:w="7087" w:type="dxa"/>
          </w:tcPr>
          <w:p w14:paraId="146B98B3" w14:textId="77777777" w:rsidR="00BE20A8" w:rsidRPr="00BE20A8" w:rsidRDefault="00BE20A8" w:rsidP="00AE6C98">
            <w:pPr>
              <w:rPr>
                <w:rFonts w:eastAsia="Calibri" w:cs="Times New Roman"/>
              </w:rPr>
            </w:pPr>
            <w:r w:rsidRPr="00BE20A8">
              <w:rPr>
                <w:rFonts w:eastAsia="Calibri" w:cs="Times New Roman"/>
              </w:rPr>
              <w:t>hydrogen peroxide</w:t>
            </w:r>
          </w:p>
        </w:tc>
      </w:tr>
      <w:tr w:rsidR="00FD3E6F" w:rsidRPr="00BE20A8" w14:paraId="103C6E67" w14:textId="77777777" w:rsidTr="00BE20A8">
        <w:tc>
          <w:tcPr>
            <w:tcW w:w="1526" w:type="dxa"/>
          </w:tcPr>
          <w:p w14:paraId="741D1154" w14:textId="32E322A5" w:rsidR="00FD3E6F" w:rsidRPr="00BE20A8" w:rsidRDefault="00FD3E6F" w:rsidP="00AE6C98">
            <w:pPr>
              <w:rPr>
                <w:rFonts w:eastAsia="Calibri" w:cs="Times New Roman"/>
              </w:rPr>
            </w:pPr>
            <w:r>
              <w:rPr>
                <w:rFonts w:eastAsia="Calibri" w:cs="Times New Roman"/>
              </w:rPr>
              <w:t>ICER</w:t>
            </w:r>
          </w:p>
        </w:tc>
        <w:tc>
          <w:tcPr>
            <w:tcW w:w="7087" w:type="dxa"/>
          </w:tcPr>
          <w:p w14:paraId="1A2ECB5D" w14:textId="70AAA4C6" w:rsidR="00FD3E6F" w:rsidRPr="00BE20A8" w:rsidRDefault="00FD3E6F" w:rsidP="00AE6C98">
            <w:pPr>
              <w:rPr>
                <w:rFonts w:eastAsia="Calibri" w:cs="Times New Roman"/>
              </w:rPr>
            </w:pPr>
            <w:r>
              <w:rPr>
                <w:rFonts w:eastAsia="Calibri" w:cs="Times New Roman"/>
              </w:rPr>
              <w:t>Incremental cost-effectiveness ratio</w:t>
            </w:r>
          </w:p>
        </w:tc>
      </w:tr>
      <w:tr w:rsidR="00BE20A8" w:rsidRPr="00BE20A8" w14:paraId="40FC8DA4" w14:textId="77777777" w:rsidTr="00BE20A8">
        <w:tc>
          <w:tcPr>
            <w:tcW w:w="1526" w:type="dxa"/>
          </w:tcPr>
          <w:p w14:paraId="3A0BBEC1" w14:textId="77777777" w:rsidR="00BE20A8" w:rsidRPr="00BE20A8" w:rsidRDefault="00BE20A8" w:rsidP="00AE6C98">
            <w:pPr>
              <w:rPr>
                <w:rFonts w:eastAsia="Calibri" w:cs="Times New Roman"/>
              </w:rPr>
            </w:pPr>
            <w:r w:rsidRPr="00BE20A8">
              <w:rPr>
                <w:rFonts w:eastAsia="Calibri" w:cs="Times New Roman"/>
              </w:rPr>
              <w:t>iCJD</w:t>
            </w:r>
          </w:p>
        </w:tc>
        <w:tc>
          <w:tcPr>
            <w:tcW w:w="7087" w:type="dxa"/>
          </w:tcPr>
          <w:p w14:paraId="2CE0A3E7" w14:textId="77777777" w:rsidR="00BE20A8" w:rsidRPr="00BE20A8" w:rsidRDefault="00BE20A8" w:rsidP="00AE6C98">
            <w:pPr>
              <w:rPr>
                <w:rFonts w:eastAsia="Calibri" w:cs="Times New Roman"/>
              </w:rPr>
            </w:pPr>
            <w:r w:rsidRPr="00BE20A8">
              <w:rPr>
                <w:rFonts w:eastAsia="Calibri" w:cs="Times New Roman"/>
              </w:rPr>
              <w:t>iatrogenic Creutzfeldt-Jakob disease</w:t>
            </w:r>
          </w:p>
        </w:tc>
      </w:tr>
      <w:tr w:rsidR="00BE20A8" w:rsidRPr="00BE20A8" w14:paraId="507B2FFC" w14:textId="77777777" w:rsidTr="00BE20A8">
        <w:tc>
          <w:tcPr>
            <w:tcW w:w="1526" w:type="dxa"/>
          </w:tcPr>
          <w:p w14:paraId="33D29350" w14:textId="77777777" w:rsidR="00BE20A8" w:rsidRPr="00BE20A8" w:rsidRDefault="00BE20A8" w:rsidP="00AE6C98">
            <w:pPr>
              <w:rPr>
                <w:rFonts w:eastAsia="Calibri" w:cs="Times New Roman"/>
              </w:rPr>
            </w:pPr>
            <w:r w:rsidRPr="00BE20A8">
              <w:rPr>
                <w:rFonts w:eastAsia="Calibri" w:cs="Times New Roman"/>
              </w:rPr>
              <w:t>IHC</w:t>
            </w:r>
          </w:p>
        </w:tc>
        <w:tc>
          <w:tcPr>
            <w:tcW w:w="7087" w:type="dxa"/>
          </w:tcPr>
          <w:p w14:paraId="73C7BBC3" w14:textId="77777777" w:rsidR="00BE20A8" w:rsidRPr="00BE20A8" w:rsidRDefault="00BE20A8" w:rsidP="00AE6C98">
            <w:pPr>
              <w:rPr>
                <w:rFonts w:eastAsia="Calibri" w:cs="Times New Roman"/>
              </w:rPr>
            </w:pPr>
            <w:r w:rsidRPr="00BE20A8">
              <w:rPr>
                <w:rFonts w:cs="Times New Roman"/>
              </w:rPr>
              <w:t>immunohistochemical</w:t>
            </w:r>
          </w:p>
        </w:tc>
      </w:tr>
      <w:tr w:rsidR="00BE20A8" w:rsidRPr="00BE20A8" w14:paraId="32C1E9FF" w14:textId="77777777" w:rsidTr="00BE20A8">
        <w:tc>
          <w:tcPr>
            <w:tcW w:w="1526" w:type="dxa"/>
          </w:tcPr>
          <w:p w14:paraId="20ECB209" w14:textId="77777777" w:rsidR="00BE20A8" w:rsidRPr="00BE20A8" w:rsidRDefault="00BE20A8" w:rsidP="00AE6C98">
            <w:pPr>
              <w:rPr>
                <w:rFonts w:eastAsia="Calibri" w:cs="Times New Roman"/>
              </w:rPr>
            </w:pPr>
            <w:r w:rsidRPr="00BE20A8">
              <w:rPr>
                <w:rFonts w:eastAsia="Calibri" w:cs="Times New Roman"/>
              </w:rPr>
              <w:t>IP</w:t>
            </w:r>
          </w:p>
        </w:tc>
        <w:tc>
          <w:tcPr>
            <w:tcW w:w="7087" w:type="dxa"/>
          </w:tcPr>
          <w:p w14:paraId="70CE3B32" w14:textId="77777777" w:rsidR="00BE20A8" w:rsidRPr="00BE20A8" w:rsidRDefault="00BE20A8" w:rsidP="00AE6C98">
            <w:pPr>
              <w:rPr>
                <w:rFonts w:eastAsia="Calibri" w:cs="Times New Roman"/>
              </w:rPr>
            </w:pPr>
            <w:r w:rsidRPr="00BE20A8">
              <w:rPr>
                <w:rFonts w:eastAsia="Calibri" w:cs="Times New Roman"/>
              </w:rPr>
              <w:t>Interventional Procedures</w:t>
            </w:r>
          </w:p>
        </w:tc>
      </w:tr>
      <w:tr w:rsidR="00BE20A8" w:rsidRPr="00BE20A8" w14:paraId="17A20ED7" w14:textId="77777777" w:rsidTr="00BE20A8">
        <w:tc>
          <w:tcPr>
            <w:tcW w:w="1526" w:type="dxa"/>
          </w:tcPr>
          <w:p w14:paraId="543AA6A4" w14:textId="77777777" w:rsidR="00BE20A8" w:rsidRPr="00BE20A8" w:rsidRDefault="00BE20A8" w:rsidP="00AE6C98">
            <w:pPr>
              <w:rPr>
                <w:rFonts w:eastAsia="Calibri" w:cs="Times New Roman"/>
              </w:rPr>
            </w:pPr>
            <w:r w:rsidRPr="00BE20A8">
              <w:rPr>
                <w:rFonts w:eastAsia="Calibri" w:cs="Times New Roman"/>
              </w:rPr>
              <w:t>IPAC</w:t>
            </w:r>
          </w:p>
        </w:tc>
        <w:tc>
          <w:tcPr>
            <w:tcW w:w="7087" w:type="dxa"/>
          </w:tcPr>
          <w:p w14:paraId="4D783550" w14:textId="77777777" w:rsidR="00BE20A8" w:rsidRPr="00BE20A8" w:rsidRDefault="00BE20A8" w:rsidP="00AE6C98">
            <w:pPr>
              <w:rPr>
                <w:rFonts w:eastAsia="Calibri" w:cs="Times New Roman"/>
              </w:rPr>
            </w:pPr>
            <w:r w:rsidRPr="00BE20A8">
              <w:rPr>
                <w:rFonts w:eastAsia="Calibri" w:cs="Times New Roman"/>
              </w:rPr>
              <w:t>Interventional Procedures Advisory Committee</w:t>
            </w:r>
          </w:p>
        </w:tc>
      </w:tr>
      <w:tr w:rsidR="00BE20A8" w:rsidRPr="00BE20A8" w14:paraId="19A1F7A4" w14:textId="77777777" w:rsidTr="00BE20A8">
        <w:tc>
          <w:tcPr>
            <w:tcW w:w="1526" w:type="dxa"/>
          </w:tcPr>
          <w:p w14:paraId="3F1FFA3D" w14:textId="77777777" w:rsidR="00BE20A8" w:rsidRPr="00BE20A8" w:rsidRDefault="00BE20A8" w:rsidP="00AE6C98">
            <w:pPr>
              <w:rPr>
                <w:rFonts w:eastAsia="Calibri" w:cs="Times New Roman"/>
              </w:rPr>
            </w:pPr>
            <w:r w:rsidRPr="00BE20A8">
              <w:rPr>
                <w:rFonts w:eastAsia="Calibri" w:cs="Times New Roman"/>
              </w:rPr>
              <w:t xml:space="preserve">IPG </w:t>
            </w:r>
          </w:p>
        </w:tc>
        <w:tc>
          <w:tcPr>
            <w:tcW w:w="7087" w:type="dxa"/>
          </w:tcPr>
          <w:p w14:paraId="67574293" w14:textId="77777777" w:rsidR="00BE20A8" w:rsidRPr="00BE20A8" w:rsidRDefault="00BE20A8" w:rsidP="00AE6C98">
            <w:pPr>
              <w:rPr>
                <w:rFonts w:eastAsia="Calibri" w:cs="Times New Roman"/>
              </w:rPr>
            </w:pPr>
            <w:r w:rsidRPr="00BE20A8">
              <w:rPr>
                <w:rFonts w:eastAsia="Calibri" w:cs="Times New Roman"/>
              </w:rPr>
              <w:t>Interventional Procedures Guidance</w:t>
            </w:r>
          </w:p>
        </w:tc>
      </w:tr>
      <w:tr w:rsidR="00BE20A8" w:rsidRPr="00BE20A8" w14:paraId="538D172A" w14:textId="77777777" w:rsidTr="00BE20A8">
        <w:tc>
          <w:tcPr>
            <w:tcW w:w="1526" w:type="dxa"/>
          </w:tcPr>
          <w:p w14:paraId="75A61A2E" w14:textId="77777777" w:rsidR="00BE20A8" w:rsidRPr="00BE20A8" w:rsidRDefault="00BE20A8" w:rsidP="00AE6C98">
            <w:pPr>
              <w:rPr>
                <w:rFonts w:eastAsia="Calibri" w:cs="Times New Roman"/>
              </w:rPr>
            </w:pPr>
            <w:r w:rsidRPr="00BE20A8">
              <w:rPr>
                <w:rFonts w:eastAsia="Calibri" w:cs="Times New Roman"/>
              </w:rPr>
              <w:t>M</w:t>
            </w:r>
          </w:p>
        </w:tc>
        <w:tc>
          <w:tcPr>
            <w:tcW w:w="7087" w:type="dxa"/>
          </w:tcPr>
          <w:p w14:paraId="47B3B0A9" w14:textId="77777777" w:rsidR="00BE20A8" w:rsidRPr="00BE20A8" w:rsidRDefault="00BE20A8" w:rsidP="00AE6C98">
            <w:pPr>
              <w:rPr>
                <w:rFonts w:eastAsia="Calibri" w:cs="Times New Roman"/>
              </w:rPr>
            </w:pPr>
            <w:r w:rsidRPr="00BE20A8">
              <w:rPr>
                <w:rFonts w:eastAsia="Calibri" w:cs="Times New Roman"/>
              </w:rPr>
              <w:t>Molar concentration</w:t>
            </w:r>
          </w:p>
        </w:tc>
      </w:tr>
      <w:tr w:rsidR="00BE20A8" w:rsidRPr="00BE20A8" w14:paraId="632452B9" w14:textId="77777777" w:rsidTr="00BE20A8">
        <w:tc>
          <w:tcPr>
            <w:tcW w:w="1526" w:type="dxa"/>
          </w:tcPr>
          <w:p w14:paraId="66BE9154" w14:textId="77777777" w:rsidR="00BE20A8" w:rsidRPr="00BE20A8" w:rsidRDefault="00BE20A8" w:rsidP="00AE6C98">
            <w:pPr>
              <w:rPr>
                <w:rFonts w:eastAsia="Calibri" w:cs="Times New Roman"/>
              </w:rPr>
            </w:pPr>
            <w:r w:rsidRPr="00BE20A8">
              <w:rPr>
                <w:rFonts w:eastAsia="Calibri" w:cs="Times New Roman"/>
              </w:rPr>
              <w:t>MM</w:t>
            </w:r>
          </w:p>
        </w:tc>
        <w:tc>
          <w:tcPr>
            <w:tcW w:w="7087" w:type="dxa"/>
          </w:tcPr>
          <w:p w14:paraId="48E3B85B" w14:textId="7249C66E" w:rsidR="006764A3" w:rsidRPr="00BE20A8" w:rsidRDefault="00BE20A8" w:rsidP="00AE6C98">
            <w:pPr>
              <w:rPr>
                <w:rFonts w:eastAsia="Calibri" w:cs="Times New Roman"/>
              </w:rPr>
            </w:pPr>
            <w:r w:rsidRPr="00BE20A8">
              <w:rPr>
                <w:rFonts w:eastAsia="Calibri" w:cs="Times New Roman"/>
              </w:rPr>
              <w:t>methionine homozygous at polymorphic codon 129</w:t>
            </w:r>
          </w:p>
        </w:tc>
      </w:tr>
      <w:tr w:rsidR="006764A3" w:rsidRPr="00BE20A8" w14:paraId="6CA19F07" w14:textId="77777777" w:rsidTr="00BE20A8">
        <w:tc>
          <w:tcPr>
            <w:tcW w:w="1526" w:type="dxa"/>
          </w:tcPr>
          <w:p w14:paraId="76ACAB3B" w14:textId="0905031F" w:rsidR="006764A3" w:rsidRPr="00BE20A8" w:rsidRDefault="006764A3" w:rsidP="00AE6C98">
            <w:pPr>
              <w:rPr>
                <w:rFonts w:eastAsia="Calibri" w:cs="Times New Roman"/>
              </w:rPr>
            </w:pPr>
            <w:r>
              <w:rPr>
                <w:rFonts w:eastAsia="Calibri" w:cs="Times New Roman"/>
              </w:rPr>
              <w:t>MRI</w:t>
            </w:r>
          </w:p>
        </w:tc>
        <w:tc>
          <w:tcPr>
            <w:tcW w:w="7087" w:type="dxa"/>
          </w:tcPr>
          <w:p w14:paraId="5931F570" w14:textId="546DF36F" w:rsidR="006764A3" w:rsidRPr="00BE20A8" w:rsidRDefault="006764A3" w:rsidP="00AE6C98">
            <w:pPr>
              <w:rPr>
                <w:rFonts w:eastAsia="Calibri" w:cs="Times New Roman"/>
              </w:rPr>
            </w:pPr>
            <w:r>
              <w:rPr>
                <w:rFonts w:eastAsia="Calibri" w:cs="Times New Roman"/>
                <w:lang w:val="en"/>
              </w:rPr>
              <w:t>magnetic resonance imaging</w:t>
            </w:r>
          </w:p>
        </w:tc>
      </w:tr>
      <w:tr w:rsidR="00BE20A8" w:rsidRPr="00BE20A8" w14:paraId="0EADC2C6" w14:textId="77777777" w:rsidTr="00BE20A8">
        <w:tc>
          <w:tcPr>
            <w:tcW w:w="1526" w:type="dxa"/>
          </w:tcPr>
          <w:p w14:paraId="038670FB" w14:textId="77777777" w:rsidR="00BE20A8" w:rsidRPr="00BE20A8" w:rsidRDefault="00BE20A8" w:rsidP="00AE6C98">
            <w:pPr>
              <w:rPr>
                <w:rFonts w:eastAsia="Calibri" w:cs="Times New Roman"/>
              </w:rPr>
            </w:pPr>
            <w:r w:rsidRPr="00BE20A8">
              <w:rPr>
                <w:rFonts w:eastAsia="Calibri" w:cs="Times New Roman"/>
              </w:rPr>
              <w:t>MV</w:t>
            </w:r>
          </w:p>
        </w:tc>
        <w:tc>
          <w:tcPr>
            <w:tcW w:w="7087" w:type="dxa"/>
          </w:tcPr>
          <w:p w14:paraId="0A237E37" w14:textId="77777777" w:rsidR="00BE20A8" w:rsidRPr="00BE20A8" w:rsidRDefault="00BE20A8" w:rsidP="00AE6C98">
            <w:pPr>
              <w:rPr>
                <w:rFonts w:eastAsia="Calibri" w:cs="Times New Roman"/>
              </w:rPr>
            </w:pPr>
            <w:r w:rsidRPr="00BE20A8">
              <w:rPr>
                <w:rFonts w:eastAsia="Calibri" w:cs="Times New Roman"/>
              </w:rPr>
              <w:t>heterozygous (methionine/valine) at polymorphic codon 129</w:t>
            </w:r>
          </w:p>
        </w:tc>
      </w:tr>
      <w:tr w:rsidR="00BE20A8" w:rsidRPr="00BE20A8" w14:paraId="0AF630F0" w14:textId="77777777" w:rsidTr="00BE20A8">
        <w:tc>
          <w:tcPr>
            <w:tcW w:w="1526" w:type="dxa"/>
          </w:tcPr>
          <w:p w14:paraId="3B15E1A6" w14:textId="77777777" w:rsidR="00BE20A8" w:rsidRPr="00BE20A8" w:rsidRDefault="00BE20A8" w:rsidP="00AE6C98">
            <w:pPr>
              <w:rPr>
                <w:rFonts w:eastAsia="Calibri" w:cs="Times New Roman"/>
              </w:rPr>
            </w:pPr>
            <w:r w:rsidRPr="00BE20A8">
              <w:rPr>
                <w:rFonts w:eastAsia="Calibri" w:cs="Times New Roman"/>
              </w:rPr>
              <w:t xml:space="preserve">NaOCl </w:t>
            </w:r>
          </w:p>
        </w:tc>
        <w:tc>
          <w:tcPr>
            <w:tcW w:w="7087" w:type="dxa"/>
          </w:tcPr>
          <w:p w14:paraId="7A578780" w14:textId="77777777" w:rsidR="00BE20A8" w:rsidRPr="00BE20A8" w:rsidRDefault="00BE20A8" w:rsidP="00AE6C98">
            <w:pPr>
              <w:rPr>
                <w:rFonts w:eastAsia="Calibri" w:cs="Times New Roman"/>
              </w:rPr>
            </w:pPr>
            <w:r w:rsidRPr="00BE20A8">
              <w:rPr>
                <w:rFonts w:eastAsia="Calibri" w:cs="Times New Roman"/>
              </w:rPr>
              <w:t>sodium hypochlorite</w:t>
            </w:r>
          </w:p>
        </w:tc>
      </w:tr>
      <w:tr w:rsidR="00BE20A8" w:rsidRPr="00BE20A8" w14:paraId="0D8E687B" w14:textId="77777777" w:rsidTr="00BE20A8">
        <w:tc>
          <w:tcPr>
            <w:tcW w:w="1526" w:type="dxa"/>
          </w:tcPr>
          <w:p w14:paraId="21C02F32" w14:textId="77777777" w:rsidR="00BE20A8" w:rsidRPr="00BE20A8" w:rsidRDefault="00BE20A8" w:rsidP="00AE6C98">
            <w:pPr>
              <w:rPr>
                <w:rFonts w:eastAsia="Calibri" w:cs="Times New Roman"/>
              </w:rPr>
            </w:pPr>
            <w:r w:rsidRPr="00BE20A8">
              <w:rPr>
                <w:rFonts w:eastAsia="Calibri" w:cs="Times New Roman"/>
              </w:rPr>
              <w:t xml:space="preserve">NaOH </w:t>
            </w:r>
          </w:p>
        </w:tc>
        <w:tc>
          <w:tcPr>
            <w:tcW w:w="7087" w:type="dxa"/>
          </w:tcPr>
          <w:p w14:paraId="678C5464" w14:textId="77777777" w:rsidR="00BE20A8" w:rsidRPr="00BE20A8" w:rsidRDefault="00BE20A8" w:rsidP="00AE6C98">
            <w:pPr>
              <w:rPr>
                <w:rFonts w:eastAsia="Calibri" w:cs="Times New Roman"/>
              </w:rPr>
            </w:pPr>
            <w:r w:rsidRPr="00BE20A8">
              <w:rPr>
                <w:rFonts w:eastAsia="Calibri" w:cs="Times New Roman"/>
              </w:rPr>
              <w:t>sodium chloride</w:t>
            </w:r>
          </w:p>
        </w:tc>
      </w:tr>
      <w:tr w:rsidR="00BE20A8" w:rsidRPr="00BE20A8" w14:paraId="4CB3E85B" w14:textId="77777777" w:rsidTr="00BE20A8">
        <w:tc>
          <w:tcPr>
            <w:tcW w:w="1526" w:type="dxa"/>
          </w:tcPr>
          <w:p w14:paraId="2B4AFC98" w14:textId="77777777" w:rsidR="00BE20A8" w:rsidRPr="00BE20A8" w:rsidRDefault="00BE20A8" w:rsidP="00AE6C98">
            <w:pPr>
              <w:rPr>
                <w:rFonts w:eastAsia="Calibri" w:cs="Times New Roman"/>
              </w:rPr>
            </w:pPr>
            <w:r w:rsidRPr="00BE20A8">
              <w:rPr>
                <w:rFonts w:eastAsia="Calibri" w:cs="Times New Roman"/>
              </w:rPr>
              <w:t xml:space="preserve">NCJDRSU </w:t>
            </w:r>
          </w:p>
        </w:tc>
        <w:tc>
          <w:tcPr>
            <w:tcW w:w="7087" w:type="dxa"/>
          </w:tcPr>
          <w:p w14:paraId="1BC76D2C" w14:textId="46A4E52C" w:rsidR="00BE20A8" w:rsidRPr="00BE20A8" w:rsidRDefault="00BE20A8" w:rsidP="00AE6C98">
            <w:pPr>
              <w:rPr>
                <w:rFonts w:eastAsia="Calibri" w:cs="Times New Roman"/>
              </w:rPr>
            </w:pPr>
            <w:r w:rsidRPr="00BE20A8">
              <w:rPr>
                <w:rFonts w:eastAsia="Calibri" w:cs="Times New Roman"/>
              </w:rPr>
              <w:t>National CJD Research and Surveillance Unit</w:t>
            </w:r>
          </w:p>
        </w:tc>
      </w:tr>
      <w:tr w:rsidR="00BE20A8" w:rsidRPr="00BE20A8" w14:paraId="52890C39" w14:textId="77777777" w:rsidTr="00BE20A8">
        <w:tc>
          <w:tcPr>
            <w:tcW w:w="1526" w:type="dxa"/>
          </w:tcPr>
          <w:p w14:paraId="2CE5CDD1" w14:textId="77777777" w:rsidR="00BE20A8" w:rsidRPr="00BE20A8" w:rsidRDefault="00BE20A8" w:rsidP="00AE6C98">
            <w:pPr>
              <w:rPr>
                <w:rFonts w:eastAsia="Calibri" w:cs="Times New Roman"/>
              </w:rPr>
            </w:pPr>
            <w:r w:rsidRPr="00BE20A8">
              <w:rPr>
                <w:rFonts w:eastAsia="Calibri" w:cs="Times New Roman"/>
              </w:rPr>
              <w:t>NHS</w:t>
            </w:r>
          </w:p>
        </w:tc>
        <w:tc>
          <w:tcPr>
            <w:tcW w:w="7087" w:type="dxa"/>
          </w:tcPr>
          <w:p w14:paraId="60EF2C72" w14:textId="77777777" w:rsidR="00BE20A8" w:rsidRPr="00BE20A8" w:rsidRDefault="00BE20A8" w:rsidP="00AE6C98">
            <w:pPr>
              <w:rPr>
                <w:rFonts w:eastAsia="Calibri" w:cs="Times New Roman"/>
              </w:rPr>
            </w:pPr>
            <w:r w:rsidRPr="00BE20A8">
              <w:rPr>
                <w:rFonts w:eastAsia="Calibri" w:cs="Times New Roman"/>
              </w:rPr>
              <w:t>National Health Service</w:t>
            </w:r>
          </w:p>
        </w:tc>
      </w:tr>
      <w:tr w:rsidR="00BE20A8" w:rsidRPr="00BE20A8" w14:paraId="1DD88FFF" w14:textId="77777777" w:rsidTr="00BE20A8">
        <w:tc>
          <w:tcPr>
            <w:tcW w:w="1526" w:type="dxa"/>
          </w:tcPr>
          <w:p w14:paraId="6EA6B561" w14:textId="77777777" w:rsidR="00BE20A8" w:rsidRPr="00BE20A8" w:rsidRDefault="00BE20A8" w:rsidP="00AE6C98">
            <w:pPr>
              <w:rPr>
                <w:rFonts w:eastAsia="Calibri" w:cs="Times New Roman"/>
              </w:rPr>
            </w:pPr>
            <w:r w:rsidRPr="00BE20A8">
              <w:rPr>
                <w:rFonts w:eastAsia="Calibri" w:cs="Times New Roman"/>
              </w:rPr>
              <w:t>NICE</w:t>
            </w:r>
          </w:p>
        </w:tc>
        <w:tc>
          <w:tcPr>
            <w:tcW w:w="7087" w:type="dxa"/>
          </w:tcPr>
          <w:p w14:paraId="0861752A" w14:textId="77777777" w:rsidR="00BE20A8" w:rsidRPr="00BE20A8" w:rsidRDefault="00BE20A8" w:rsidP="00AE6C98">
            <w:pPr>
              <w:rPr>
                <w:rFonts w:eastAsia="Calibri" w:cs="Times New Roman"/>
              </w:rPr>
            </w:pPr>
            <w:r w:rsidRPr="00BE20A8">
              <w:rPr>
                <w:rFonts w:eastAsia="Calibri" w:cs="Times New Roman"/>
              </w:rPr>
              <w:t>National Institute for Health and Care Excellence</w:t>
            </w:r>
          </w:p>
        </w:tc>
      </w:tr>
      <w:tr w:rsidR="00BE20A8" w:rsidRPr="00BE20A8" w14:paraId="2D4FCA41" w14:textId="77777777" w:rsidTr="00BE20A8">
        <w:tc>
          <w:tcPr>
            <w:tcW w:w="1526" w:type="dxa"/>
          </w:tcPr>
          <w:p w14:paraId="1818E4E8" w14:textId="77777777" w:rsidR="00BE20A8" w:rsidRPr="00BE20A8" w:rsidRDefault="00BE20A8" w:rsidP="00AE6C98">
            <w:pPr>
              <w:rPr>
                <w:rFonts w:eastAsia="Calibri" w:cs="Times New Roman"/>
              </w:rPr>
            </w:pPr>
            <w:r w:rsidRPr="00BE20A8">
              <w:rPr>
                <w:rFonts w:eastAsia="Calibri" w:cs="Times New Roman"/>
              </w:rPr>
              <w:t>NR</w:t>
            </w:r>
          </w:p>
        </w:tc>
        <w:tc>
          <w:tcPr>
            <w:tcW w:w="7087" w:type="dxa"/>
          </w:tcPr>
          <w:p w14:paraId="72D69645" w14:textId="77777777" w:rsidR="00BE20A8" w:rsidRPr="00BE20A8" w:rsidRDefault="00BE20A8" w:rsidP="00AE6C98">
            <w:pPr>
              <w:rPr>
                <w:rFonts w:eastAsia="Calibri" w:cs="Times New Roman"/>
              </w:rPr>
            </w:pPr>
            <w:r w:rsidRPr="00BE20A8">
              <w:rPr>
                <w:rFonts w:eastAsia="Calibri" w:cs="Times New Roman"/>
              </w:rPr>
              <w:t>not reported</w:t>
            </w:r>
          </w:p>
        </w:tc>
      </w:tr>
      <w:tr w:rsidR="00BE20A8" w:rsidRPr="00BE20A8" w14:paraId="321483DD" w14:textId="77777777" w:rsidTr="00BE20A8">
        <w:tc>
          <w:tcPr>
            <w:tcW w:w="1526" w:type="dxa"/>
          </w:tcPr>
          <w:p w14:paraId="690EFCBF" w14:textId="77777777" w:rsidR="00BE20A8" w:rsidRPr="00BE20A8" w:rsidRDefault="00BE20A8" w:rsidP="00AE6C98">
            <w:pPr>
              <w:rPr>
                <w:rFonts w:eastAsia="Calibri" w:cs="Times New Roman"/>
              </w:rPr>
            </w:pPr>
            <w:r w:rsidRPr="00BE20A8">
              <w:rPr>
                <w:rFonts w:eastAsia="Calibri" w:cs="Times New Roman"/>
              </w:rPr>
              <w:t>OR</w:t>
            </w:r>
          </w:p>
        </w:tc>
        <w:tc>
          <w:tcPr>
            <w:tcW w:w="7087" w:type="dxa"/>
          </w:tcPr>
          <w:p w14:paraId="36674024" w14:textId="77777777" w:rsidR="00BE20A8" w:rsidRPr="00BE20A8" w:rsidRDefault="00BE20A8" w:rsidP="00AE6C98">
            <w:pPr>
              <w:rPr>
                <w:rFonts w:eastAsia="Calibri" w:cs="Times New Roman"/>
              </w:rPr>
            </w:pPr>
            <w:r w:rsidRPr="00BE20A8">
              <w:rPr>
                <w:rFonts w:eastAsia="Calibri" w:cs="Times New Roman"/>
              </w:rPr>
              <w:t>odds ratio</w:t>
            </w:r>
          </w:p>
        </w:tc>
      </w:tr>
      <w:tr w:rsidR="00BE20A8" w:rsidRPr="00BE20A8" w14:paraId="5277FFE8" w14:textId="77777777" w:rsidTr="00BE20A8">
        <w:tc>
          <w:tcPr>
            <w:tcW w:w="1526" w:type="dxa"/>
          </w:tcPr>
          <w:p w14:paraId="58138682" w14:textId="77777777" w:rsidR="00BE20A8" w:rsidRPr="00BE20A8" w:rsidRDefault="00BE20A8" w:rsidP="00AE6C98">
            <w:pPr>
              <w:rPr>
                <w:rFonts w:eastAsia="Calibri" w:cs="Times New Roman"/>
              </w:rPr>
            </w:pPr>
            <w:r w:rsidRPr="00BE20A8">
              <w:rPr>
                <w:rFonts w:eastAsia="Calibri" w:cs="Times New Roman"/>
              </w:rPr>
              <w:t>PK</w:t>
            </w:r>
          </w:p>
        </w:tc>
        <w:tc>
          <w:tcPr>
            <w:tcW w:w="7087" w:type="dxa"/>
          </w:tcPr>
          <w:p w14:paraId="4D18FB92" w14:textId="77777777" w:rsidR="00BE20A8" w:rsidRPr="00BE20A8" w:rsidRDefault="00BE20A8" w:rsidP="00AE6C98">
            <w:pPr>
              <w:rPr>
                <w:rFonts w:eastAsia="Calibri" w:cs="Times New Roman"/>
              </w:rPr>
            </w:pPr>
            <w:r w:rsidRPr="00BE20A8">
              <w:rPr>
                <w:rFonts w:eastAsia="Calibri" w:cs="Times New Roman"/>
              </w:rPr>
              <w:t>proteinase K</w:t>
            </w:r>
          </w:p>
        </w:tc>
      </w:tr>
      <w:tr w:rsidR="00BE20A8" w:rsidRPr="00BE20A8" w14:paraId="0DE743CF" w14:textId="77777777" w:rsidTr="00BE20A8">
        <w:tc>
          <w:tcPr>
            <w:tcW w:w="1526" w:type="dxa"/>
          </w:tcPr>
          <w:p w14:paraId="60A156C6" w14:textId="77777777" w:rsidR="00BE20A8" w:rsidRPr="00BE20A8" w:rsidRDefault="00BE20A8" w:rsidP="00AE6C98">
            <w:pPr>
              <w:rPr>
                <w:rFonts w:cs="Times New Roman"/>
              </w:rPr>
            </w:pPr>
            <w:r w:rsidRPr="00BE20A8">
              <w:rPr>
                <w:rFonts w:cs="Times New Roman"/>
              </w:rPr>
              <w:t>PMCA</w:t>
            </w:r>
          </w:p>
        </w:tc>
        <w:tc>
          <w:tcPr>
            <w:tcW w:w="7087" w:type="dxa"/>
          </w:tcPr>
          <w:p w14:paraId="70231B9D" w14:textId="77777777" w:rsidR="00BE20A8" w:rsidRPr="00BE20A8" w:rsidRDefault="00BE20A8" w:rsidP="00AE6C98">
            <w:pPr>
              <w:rPr>
                <w:rFonts w:eastAsia="Calibri" w:cs="Times New Roman"/>
              </w:rPr>
            </w:pPr>
            <w:r w:rsidRPr="00BE20A8">
              <w:rPr>
                <w:rFonts w:cs="Times New Roman"/>
              </w:rPr>
              <w:t>protein misfolding cyclic amplification</w:t>
            </w:r>
          </w:p>
        </w:tc>
      </w:tr>
      <w:tr w:rsidR="00BE20A8" w:rsidRPr="00BE20A8" w14:paraId="50C19CED" w14:textId="77777777" w:rsidTr="00BE20A8">
        <w:tc>
          <w:tcPr>
            <w:tcW w:w="1526" w:type="dxa"/>
          </w:tcPr>
          <w:p w14:paraId="7C2113B8" w14:textId="77777777" w:rsidR="00BE20A8" w:rsidRPr="00BE20A8" w:rsidRDefault="00BE20A8" w:rsidP="00AE6C98">
            <w:pPr>
              <w:rPr>
                <w:rFonts w:eastAsia="Calibri" w:cs="Times New Roman"/>
              </w:rPr>
            </w:pPr>
            <w:r w:rsidRPr="00BE20A8">
              <w:rPr>
                <w:rFonts w:eastAsia="Calibri" w:cs="Times New Roman"/>
              </w:rPr>
              <w:t>PrP</w:t>
            </w:r>
          </w:p>
        </w:tc>
        <w:tc>
          <w:tcPr>
            <w:tcW w:w="7087" w:type="dxa"/>
          </w:tcPr>
          <w:p w14:paraId="0A49EACE" w14:textId="77777777" w:rsidR="00BE20A8" w:rsidRPr="00BE20A8" w:rsidRDefault="00BE20A8" w:rsidP="00AE6C98">
            <w:pPr>
              <w:rPr>
                <w:rFonts w:eastAsia="Calibri" w:cs="Times New Roman"/>
              </w:rPr>
            </w:pPr>
            <w:r w:rsidRPr="00BE20A8">
              <w:rPr>
                <w:rFonts w:eastAsia="Calibri" w:cs="Times New Roman"/>
              </w:rPr>
              <w:t>prion protein</w:t>
            </w:r>
          </w:p>
        </w:tc>
      </w:tr>
      <w:tr w:rsidR="00BE20A8" w:rsidRPr="00BE20A8" w14:paraId="1D4B5372" w14:textId="77777777" w:rsidTr="00BE20A8">
        <w:tc>
          <w:tcPr>
            <w:tcW w:w="1526" w:type="dxa"/>
          </w:tcPr>
          <w:p w14:paraId="2EAE23DD" w14:textId="77777777" w:rsidR="00BE20A8" w:rsidRPr="00BE20A8" w:rsidRDefault="00BE20A8" w:rsidP="00AE6C98">
            <w:pPr>
              <w:rPr>
                <w:rFonts w:eastAsia="Calibri" w:cs="Times New Roman"/>
              </w:rPr>
            </w:pPr>
            <w:r w:rsidRPr="00BE20A8">
              <w:rPr>
                <w:rFonts w:eastAsia="Calibri" w:cs="Times New Roman"/>
              </w:rPr>
              <w:t>PRNP</w:t>
            </w:r>
          </w:p>
        </w:tc>
        <w:tc>
          <w:tcPr>
            <w:tcW w:w="7087" w:type="dxa"/>
          </w:tcPr>
          <w:p w14:paraId="1F0BA87C" w14:textId="77777777" w:rsidR="00BE20A8" w:rsidRPr="00BE20A8" w:rsidRDefault="00BE20A8" w:rsidP="00AE6C98">
            <w:pPr>
              <w:rPr>
                <w:rFonts w:eastAsia="Calibri" w:cs="Times New Roman"/>
              </w:rPr>
            </w:pPr>
            <w:r w:rsidRPr="00BE20A8">
              <w:rPr>
                <w:rFonts w:eastAsia="Calibri" w:cs="Times New Roman"/>
              </w:rPr>
              <w:t>prion protein gene</w:t>
            </w:r>
          </w:p>
        </w:tc>
      </w:tr>
      <w:tr w:rsidR="00BE20A8" w:rsidRPr="00BE20A8" w14:paraId="3E77C590" w14:textId="77777777" w:rsidTr="00BE20A8">
        <w:tc>
          <w:tcPr>
            <w:tcW w:w="1526" w:type="dxa"/>
          </w:tcPr>
          <w:p w14:paraId="6DCD114E" w14:textId="77777777" w:rsidR="00BE20A8" w:rsidRPr="00BE20A8" w:rsidRDefault="00BE20A8" w:rsidP="00AE6C98">
            <w:pPr>
              <w:rPr>
                <w:rFonts w:eastAsia="Calibri" w:cs="Times New Roman"/>
              </w:rPr>
            </w:pPr>
            <w:r w:rsidRPr="00BE20A8">
              <w:rPr>
                <w:rFonts w:eastAsia="Calibri" w:cs="Times New Roman"/>
              </w:rPr>
              <w:t>PrP</w:t>
            </w:r>
            <w:r w:rsidRPr="00BE20A8">
              <w:rPr>
                <w:rFonts w:eastAsia="Calibri" w:cs="Times New Roman"/>
                <w:vertAlign w:val="superscript"/>
              </w:rPr>
              <w:t>res</w:t>
            </w:r>
          </w:p>
        </w:tc>
        <w:tc>
          <w:tcPr>
            <w:tcW w:w="7087" w:type="dxa"/>
          </w:tcPr>
          <w:p w14:paraId="66A0B620" w14:textId="77777777" w:rsidR="00BE20A8" w:rsidRPr="00BE20A8" w:rsidRDefault="00BE20A8" w:rsidP="00AE6C98">
            <w:pPr>
              <w:rPr>
                <w:rFonts w:eastAsia="Calibri" w:cs="Times New Roman"/>
              </w:rPr>
            </w:pPr>
            <w:r w:rsidRPr="00BE20A8">
              <w:rPr>
                <w:rFonts w:eastAsia="Calibri" w:cs="Times New Roman"/>
              </w:rPr>
              <w:t>protease-resistant prion protein</w:t>
            </w:r>
          </w:p>
        </w:tc>
      </w:tr>
      <w:tr w:rsidR="00BE20A8" w:rsidRPr="00BE20A8" w14:paraId="5BB7522E" w14:textId="77777777" w:rsidTr="00BE20A8">
        <w:tc>
          <w:tcPr>
            <w:tcW w:w="1526" w:type="dxa"/>
          </w:tcPr>
          <w:p w14:paraId="13E2FA49" w14:textId="77777777" w:rsidR="00BE20A8" w:rsidRPr="00BE20A8" w:rsidRDefault="00BE20A8" w:rsidP="00AE6C98">
            <w:pPr>
              <w:rPr>
                <w:rFonts w:eastAsia="Calibri" w:cs="Times New Roman"/>
              </w:rPr>
            </w:pPr>
            <w:r w:rsidRPr="00BE20A8">
              <w:rPr>
                <w:rFonts w:eastAsia="Calibri" w:cs="Times New Roman"/>
              </w:rPr>
              <w:t>PrP</w:t>
            </w:r>
            <w:r w:rsidRPr="00BE20A8">
              <w:rPr>
                <w:rFonts w:eastAsia="Calibri" w:cs="Times New Roman"/>
                <w:vertAlign w:val="superscript"/>
              </w:rPr>
              <w:t xml:space="preserve">Sc </w:t>
            </w:r>
          </w:p>
        </w:tc>
        <w:tc>
          <w:tcPr>
            <w:tcW w:w="7087" w:type="dxa"/>
          </w:tcPr>
          <w:p w14:paraId="2AA6CA9A" w14:textId="77777777" w:rsidR="00BE20A8" w:rsidRPr="00BE20A8" w:rsidRDefault="00BE20A8" w:rsidP="00AE6C98">
            <w:pPr>
              <w:rPr>
                <w:rFonts w:cs="Times New Roman"/>
              </w:rPr>
            </w:pPr>
            <w:r w:rsidRPr="00BE20A8">
              <w:rPr>
                <w:rFonts w:eastAsia="Calibri" w:cs="Times New Roman"/>
              </w:rPr>
              <w:t xml:space="preserve">abnormal PrP scrapie infectious isoform / </w:t>
            </w:r>
            <w:r w:rsidRPr="00BE20A8">
              <w:rPr>
                <w:rFonts w:cs="Times New Roman"/>
              </w:rPr>
              <w:t>protease K-resistant prion protein</w:t>
            </w:r>
          </w:p>
        </w:tc>
      </w:tr>
      <w:tr w:rsidR="00FD3E6F" w:rsidRPr="00BE20A8" w14:paraId="2D015DE1" w14:textId="77777777" w:rsidTr="00BE20A8">
        <w:tc>
          <w:tcPr>
            <w:tcW w:w="1526" w:type="dxa"/>
          </w:tcPr>
          <w:p w14:paraId="0D836275" w14:textId="47996840" w:rsidR="00FD3E6F" w:rsidRPr="00BE20A8" w:rsidRDefault="00FD3E6F" w:rsidP="00AE6C98">
            <w:pPr>
              <w:rPr>
                <w:rFonts w:eastAsia="Calibri" w:cs="Times New Roman"/>
              </w:rPr>
            </w:pPr>
            <w:r>
              <w:rPr>
                <w:rFonts w:eastAsia="Calibri" w:cs="Times New Roman"/>
              </w:rPr>
              <w:t>QALY</w:t>
            </w:r>
          </w:p>
        </w:tc>
        <w:tc>
          <w:tcPr>
            <w:tcW w:w="7087" w:type="dxa"/>
          </w:tcPr>
          <w:p w14:paraId="0464E066" w14:textId="246E1F4B" w:rsidR="00FD3E6F" w:rsidRPr="00BE20A8" w:rsidRDefault="00FD3E6F" w:rsidP="00AE6C98">
            <w:pPr>
              <w:rPr>
                <w:rFonts w:eastAsia="Calibri" w:cs="Times New Roman"/>
              </w:rPr>
            </w:pPr>
            <w:r>
              <w:rPr>
                <w:rFonts w:eastAsia="Calibri" w:cs="Times New Roman"/>
              </w:rPr>
              <w:t>quality-adjusted life year</w:t>
            </w:r>
          </w:p>
        </w:tc>
      </w:tr>
      <w:tr w:rsidR="00BE20A8" w:rsidRPr="00BE20A8" w14:paraId="4BD13C9A" w14:textId="77777777" w:rsidTr="00BE20A8">
        <w:tc>
          <w:tcPr>
            <w:tcW w:w="1526" w:type="dxa"/>
          </w:tcPr>
          <w:p w14:paraId="22D89F8E" w14:textId="77777777" w:rsidR="00BE20A8" w:rsidRPr="00BE20A8" w:rsidRDefault="00BE20A8" w:rsidP="00AE6C98">
            <w:pPr>
              <w:rPr>
                <w:rFonts w:eastAsia="Calibri" w:cs="Times New Roman"/>
              </w:rPr>
            </w:pPr>
            <w:r w:rsidRPr="00BE20A8">
              <w:rPr>
                <w:rFonts w:eastAsia="Calibri" w:cs="Times New Roman"/>
              </w:rPr>
              <w:t xml:space="preserve">RMEC </w:t>
            </w:r>
          </w:p>
        </w:tc>
        <w:tc>
          <w:tcPr>
            <w:tcW w:w="7087" w:type="dxa"/>
          </w:tcPr>
          <w:p w14:paraId="6F4BD903" w14:textId="77777777" w:rsidR="00BE20A8" w:rsidRPr="00BE20A8" w:rsidRDefault="00BE20A8" w:rsidP="00AE6C98">
            <w:pPr>
              <w:rPr>
                <w:rFonts w:eastAsia="Calibri" w:cs="Times New Roman"/>
              </w:rPr>
            </w:pPr>
            <w:r w:rsidRPr="00BE20A8">
              <w:rPr>
                <w:rFonts w:eastAsia="Calibri" w:cs="Times New Roman"/>
              </w:rPr>
              <w:t>rapid multi enzyme cleaner trial formulation</w:t>
            </w:r>
          </w:p>
        </w:tc>
      </w:tr>
      <w:tr w:rsidR="00BE20A8" w:rsidRPr="00BE20A8" w14:paraId="6A6F9391" w14:textId="77777777" w:rsidTr="00BE20A8">
        <w:tc>
          <w:tcPr>
            <w:tcW w:w="1526" w:type="dxa"/>
          </w:tcPr>
          <w:p w14:paraId="350ECB2B" w14:textId="77777777" w:rsidR="00BE20A8" w:rsidRPr="00BE20A8" w:rsidRDefault="00BE20A8" w:rsidP="00AE6C98">
            <w:pPr>
              <w:rPr>
                <w:rFonts w:eastAsia="Calibri" w:cs="Times New Roman"/>
              </w:rPr>
            </w:pPr>
            <w:r w:rsidRPr="00BE20A8">
              <w:rPr>
                <w:rFonts w:eastAsia="Calibri" w:cs="Times New Roman"/>
              </w:rPr>
              <w:t>RML</w:t>
            </w:r>
          </w:p>
        </w:tc>
        <w:tc>
          <w:tcPr>
            <w:tcW w:w="7087" w:type="dxa"/>
          </w:tcPr>
          <w:p w14:paraId="5754C753" w14:textId="77777777" w:rsidR="00BE20A8" w:rsidRPr="00BE20A8" w:rsidRDefault="00BE20A8" w:rsidP="00AE6C98">
            <w:pPr>
              <w:rPr>
                <w:rFonts w:eastAsia="Calibri" w:cs="Times New Roman"/>
              </w:rPr>
            </w:pPr>
            <w:r w:rsidRPr="00BE20A8">
              <w:rPr>
                <w:rFonts w:eastAsia="Calibri" w:cs="Times New Roman"/>
              </w:rPr>
              <w:t>Rocky Mountain Laboratory</w:t>
            </w:r>
          </w:p>
        </w:tc>
      </w:tr>
      <w:tr w:rsidR="00BE20A8" w:rsidRPr="00BE20A8" w14:paraId="5B2F280E" w14:textId="77777777" w:rsidTr="00BE20A8">
        <w:tc>
          <w:tcPr>
            <w:tcW w:w="1526" w:type="dxa"/>
          </w:tcPr>
          <w:p w14:paraId="557D0867" w14:textId="77777777" w:rsidR="00BE20A8" w:rsidRPr="00BE20A8" w:rsidRDefault="00BE20A8" w:rsidP="00AE6C98">
            <w:pPr>
              <w:rPr>
                <w:rFonts w:eastAsia="Calibri" w:cs="Times New Roman"/>
              </w:rPr>
            </w:pPr>
            <w:r w:rsidRPr="00BE20A8">
              <w:rPr>
                <w:rFonts w:eastAsia="Calibri" w:cs="Times New Roman"/>
              </w:rPr>
              <w:t>RT</w:t>
            </w:r>
          </w:p>
        </w:tc>
        <w:tc>
          <w:tcPr>
            <w:tcW w:w="7087" w:type="dxa"/>
          </w:tcPr>
          <w:p w14:paraId="0D71A0B6" w14:textId="77777777" w:rsidR="00BE20A8" w:rsidRPr="00BE20A8" w:rsidRDefault="00BE20A8" w:rsidP="00AE6C98">
            <w:pPr>
              <w:rPr>
                <w:rFonts w:eastAsia="Calibri" w:cs="Times New Roman"/>
              </w:rPr>
            </w:pPr>
            <w:r w:rsidRPr="00BE20A8">
              <w:rPr>
                <w:rFonts w:eastAsia="Calibri" w:cs="Times New Roman"/>
              </w:rPr>
              <w:t>room temperature</w:t>
            </w:r>
          </w:p>
        </w:tc>
      </w:tr>
      <w:tr w:rsidR="00BE20A8" w:rsidRPr="00BE20A8" w14:paraId="4356BA02" w14:textId="77777777" w:rsidTr="00BE20A8">
        <w:tc>
          <w:tcPr>
            <w:tcW w:w="1526" w:type="dxa"/>
          </w:tcPr>
          <w:p w14:paraId="3B2074EE" w14:textId="77777777" w:rsidR="00BE20A8" w:rsidRPr="00BE20A8" w:rsidRDefault="00BE20A8" w:rsidP="00AE6C98">
            <w:pPr>
              <w:rPr>
                <w:rFonts w:cs="Times New Roman"/>
              </w:rPr>
            </w:pPr>
            <w:r w:rsidRPr="00BE20A8">
              <w:rPr>
                <w:rFonts w:cs="Times New Roman"/>
              </w:rPr>
              <w:t xml:space="preserve">RT-QuIC </w:t>
            </w:r>
          </w:p>
        </w:tc>
        <w:tc>
          <w:tcPr>
            <w:tcW w:w="7087" w:type="dxa"/>
          </w:tcPr>
          <w:p w14:paraId="1EE7F2B5" w14:textId="77897090" w:rsidR="00BE20A8" w:rsidRPr="00BE20A8" w:rsidRDefault="00BE20A8" w:rsidP="00AE6C98">
            <w:pPr>
              <w:rPr>
                <w:rFonts w:eastAsia="Calibri" w:cs="Times New Roman"/>
              </w:rPr>
            </w:pPr>
            <w:r w:rsidRPr="00BE20A8">
              <w:rPr>
                <w:rFonts w:cs="Times New Roman"/>
              </w:rPr>
              <w:t>real-time quaking-induced conversion</w:t>
            </w:r>
          </w:p>
        </w:tc>
      </w:tr>
      <w:tr w:rsidR="00BE20A8" w:rsidRPr="00BE20A8" w14:paraId="30235C00" w14:textId="77777777" w:rsidTr="00BE20A8">
        <w:tc>
          <w:tcPr>
            <w:tcW w:w="1526" w:type="dxa"/>
          </w:tcPr>
          <w:p w14:paraId="712AB7AA" w14:textId="77777777" w:rsidR="00BE20A8" w:rsidRPr="00BE20A8" w:rsidRDefault="00BE20A8" w:rsidP="00AE6C98">
            <w:pPr>
              <w:rPr>
                <w:rFonts w:eastAsia="Calibri" w:cs="Times New Roman"/>
              </w:rPr>
            </w:pPr>
            <w:r w:rsidRPr="00BE20A8">
              <w:rPr>
                <w:rFonts w:eastAsia="Calibri" w:cs="Times New Roman"/>
              </w:rPr>
              <w:t>ScHARR</w:t>
            </w:r>
          </w:p>
        </w:tc>
        <w:tc>
          <w:tcPr>
            <w:tcW w:w="7087" w:type="dxa"/>
          </w:tcPr>
          <w:p w14:paraId="18848D09" w14:textId="2675B0B6" w:rsidR="00943E3B" w:rsidRPr="00BE20A8" w:rsidRDefault="00BE20A8" w:rsidP="00AE6C98">
            <w:pPr>
              <w:rPr>
                <w:rFonts w:eastAsia="Calibri" w:cs="Times New Roman"/>
              </w:rPr>
            </w:pPr>
            <w:r w:rsidRPr="00BE20A8">
              <w:rPr>
                <w:rFonts w:eastAsia="Calibri" w:cs="Times New Roman"/>
              </w:rPr>
              <w:t>School of Health and Related Research</w:t>
            </w:r>
          </w:p>
        </w:tc>
      </w:tr>
      <w:tr w:rsidR="00943E3B" w:rsidRPr="00BE20A8" w14:paraId="4DDCB0C1" w14:textId="77777777" w:rsidTr="00843D04">
        <w:tc>
          <w:tcPr>
            <w:tcW w:w="1526" w:type="dxa"/>
          </w:tcPr>
          <w:p w14:paraId="7BDCD495" w14:textId="77777777" w:rsidR="00943E3B" w:rsidRPr="00BE20A8" w:rsidRDefault="00943E3B" w:rsidP="00AE6C98">
            <w:pPr>
              <w:rPr>
                <w:rFonts w:eastAsia="Calibri" w:cs="Times New Roman"/>
              </w:rPr>
            </w:pPr>
            <w:r w:rsidRPr="00BE20A8">
              <w:rPr>
                <w:rFonts w:eastAsia="Calibri" w:cs="Times New Roman"/>
              </w:rPr>
              <w:t>sCJD</w:t>
            </w:r>
          </w:p>
        </w:tc>
        <w:tc>
          <w:tcPr>
            <w:tcW w:w="7087" w:type="dxa"/>
          </w:tcPr>
          <w:p w14:paraId="2A7E645B" w14:textId="4389B6AC" w:rsidR="00943E3B" w:rsidRPr="00BE20A8" w:rsidRDefault="00943E3B" w:rsidP="00AE6C98">
            <w:pPr>
              <w:rPr>
                <w:rFonts w:eastAsia="Calibri" w:cs="Times New Roman"/>
              </w:rPr>
            </w:pPr>
            <w:r w:rsidRPr="00BE20A8">
              <w:rPr>
                <w:rFonts w:eastAsia="Calibri" w:cs="Times New Roman"/>
              </w:rPr>
              <w:t>sporadic Creutzfeldt-Jakob disease</w:t>
            </w:r>
          </w:p>
        </w:tc>
      </w:tr>
      <w:tr w:rsidR="00BE20A8" w:rsidRPr="00BE20A8" w14:paraId="4E29F539" w14:textId="77777777" w:rsidTr="00BE20A8">
        <w:tc>
          <w:tcPr>
            <w:tcW w:w="1526" w:type="dxa"/>
          </w:tcPr>
          <w:p w14:paraId="578D3BA6" w14:textId="1531CEA9" w:rsidR="00BE20A8" w:rsidRPr="00BE20A8" w:rsidRDefault="00BE20A8" w:rsidP="00AE6C98">
            <w:pPr>
              <w:rPr>
                <w:rFonts w:eastAsia="Calibri" w:cs="Times New Roman"/>
              </w:rPr>
            </w:pPr>
            <w:r w:rsidRPr="00BE20A8">
              <w:rPr>
                <w:rFonts w:eastAsia="Calibri" w:cs="Times New Roman"/>
              </w:rPr>
              <w:t>s</w:t>
            </w:r>
            <w:r w:rsidR="00943E3B">
              <w:rPr>
                <w:rFonts w:eastAsia="Calibri" w:cs="Times New Roman"/>
              </w:rPr>
              <w:t>t</w:t>
            </w:r>
            <w:r w:rsidRPr="00BE20A8">
              <w:rPr>
                <w:rFonts w:eastAsia="Calibri" w:cs="Times New Roman"/>
              </w:rPr>
              <w:t>CJD</w:t>
            </w:r>
          </w:p>
        </w:tc>
        <w:tc>
          <w:tcPr>
            <w:tcW w:w="7087" w:type="dxa"/>
          </w:tcPr>
          <w:p w14:paraId="1950DC8E" w14:textId="7DD4FA00" w:rsidR="00943E3B" w:rsidRPr="00BE20A8" w:rsidRDefault="00943E3B" w:rsidP="00AE6C98">
            <w:pPr>
              <w:rPr>
                <w:rFonts w:eastAsia="Calibri" w:cs="Times New Roman"/>
              </w:rPr>
            </w:pPr>
            <w:r>
              <w:rPr>
                <w:rFonts w:eastAsia="Calibri" w:cs="Times New Roman"/>
              </w:rPr>
              <w:t>surgically transmitted CJD</w:t>
            </w:r>
            <w:r w:rsidRPr="00BE20A8">
              <w:rPr>
                <w:rFonts w:eastAsia="Calibri" w:cs="Times New Roman"/>
              </w:rPr>
              <w:t xml:space="preserve"> </w:t>
            </w:r>
          </w:p>
        </w:tc>
      </w:tr>
      <w:tr w:rsidR="00BE20A8" w:rsidRPr="00BE20A8" w14:paraId="1B406381" w14:textId="77777777" w:rsidTr="00BE20A8">
        <w:tc>
          <w:tcPr>
            <w:tcW w:w="1526" w:type="dxa"/>
          </w:tcPr>
          <w:p w14:paraId="3AB16A0B" w14:textId="77777777" w:rsidR="00BE20A8" w:rsidRPr="00BE20A8" w:rsidRDefault="00BE20A8" w:rsidP="00AE6C98">
            <w:pPr>
              <w:rPr>
                <w:rFonts w:eastAsia="Calibri" w:cs="Times New Roman"/>
              </w:rPr>
            </w:pPr>
            <w:r w:rsidRPr="00BE20A8">
              <w:rPr>
                <w:rFonts w:eastAsia="Calibri" w:cs="Times New Roman"/>
              </w:rPr>
              <w:t xml:space="preserve">SDS </w:t>
            </w:r>
          </w:p>
        </w:tc>
        <w:tc>
          <w:tcPr>
            <w:tcW w:w="7087" w:type="dxa"/>
          </w:tcPr>
          <w:p w14:paraId="3B0A753C" w14:textId="77777777" w:rsidR="00BE20A8" w:rsidRPr="00BE20A8" w:rsidRDefault="00BE20A8" w:rsidP="00AE6C98">
            <w:pPr>
              <w:rPr>
                <w:rFonts w:eastAsia="Calibri" w:cs="Times New Roman"/>
              </w:rPr>
            </w:pPr>
            <w:r w:rsidRPr="00BE20A8">
              <w:rPr>
                <w:rFonts w:eastAsia="Calibri" w:cs="Times New Roman"/>
              </w:rPr>
              <w:t>sodium dodecyl sulfate</w:t>
            </w:r>
          </w:p>
        </w:tc>
      </w:tr>
      <w:tr w:rsidR="00BE20A8" w:rsidRPr="00BE20A8" w14:paraId="32803D48" w14:textId="77777777" w:rsidTr="00BE20A8">
        <w:tc>
          <w:tcPr>
            <w:tcW w:w="1526" w:type="dxa"/>
          </w:tcPr>
          <w:p w14:paraId="10360423" w14:textId="77777777" w:rsidR="00BE20A8" w:rsidRPr="00BE20A8" w:rsidRDefault="00BE20A8" w:rsidP="00AE6C98">
            <w:pPr>
              <w:rPr>
                <w:rFonts w:eastAsia="Calibri" w:cs="Times New Roman"/>
              </w:rPr>
            </w:pPr>
            <w:r w:rsidRPr="00BE20A8">
              <w:rPr>
                <w:rFonts w:eastAsia="Calibri" w:cs="Times New Roman"/>
              </w:rPr>
              <w:t>SSBA</w:t>
            </w:r>
          </w:p>
        </w:tc>
        <w:tc>
          <w:tcPr>
            <w:tcW w:w="7087" w:type="dxa"/>
          </w:tcPr>
          <w:p w14:paraId="3440BC30" w14:textId="77777777" w:rsidR="00BE20A8" w:rsidRPr="00BE20A8" w:rsidRDefault="00BE20A8" w:rsidP="00AE6C98">
            <w:pPr>
              <w:rPr>
                <w:rFonts w:eastAsia="Calibri" w:cs="Times New Roman"/>
              </w:rPr>
            </w:pPr>
            <w:r w:rsidRPr="00BE20A8">
              <w:rPr>
                <w:rFonts w:eastAsia="Calibri" w:cs="Times New Roman"/>
              </w:rPr>
              <w:t>standard steel binding assay</w:t>
            </w:r>
          </w:p>
        </w:tc>
      </w:tr>
      <w:tr w:rsidR="00BE20A8" w:rsidRPr="00BE20A8" w14:paraId="2B1C41BE" w14:textId="77777777" w:rsidTr="00BE20A8">
        <w:tc>
          <w:tcPr>
            <w:tcW w:w="1526" w:type="dxa"/>
          </w:tcPr>
          <w:p w14:paraId="7CBBB457" w14:textId="77777777" w:rsidR="00BE20A8" w:rsidRPr="00BE20A8" w:rsidRDefault="00BE20A8" w:rsidP="00AE6C98">
            <w:pPr>
              <w:rPr>
                <w:rFonts w:eastAsia="Calibri" w:cs="Times New Roman"/>
              </w:rPr>
            </w:pPr>
            <w:r w:rsidRPr="00BE20A8">
              <w:rPr>
                <w:rFonts w:eastAsia="Calibri" w:cs="Times New Roman"/>
              </w:rPr>
              <w:t>SSDs</w:t>
            </w:r>
          </w:p>
        </w:tc>
        <w:tc>
          <w:tcPr>
            <w:tcW w:w="7087" w:type="dxa"/>
          </w:tcPr>
          <w:p w14:paraId="2063AE23" w14:textId="77777777" w:rsidR="00BE20A8" w:rsidRPr="00BE20A8" w:rsidRDefault="00BE20A8" w:rsidP="00AE6C98">
            <w:pPr>
              <w:rPr>
                <w:rFonts w:eastAsia="Calibri" w:cs="Times New Roman"/>
              </w:rPr>
            </w:pPr>
            <w:r w:rsidRPr="00BE20A8">
              <w:rPr>
                <w:rFonts w:eastAsia="Calibri" w:cs="Times New Roman"/>
              </w:rPr>
              <w:t>sterile service departments</w:t>
            </w:r>
          </w:p>
        </w:tc>
      </w:tr>
      <w:tr w:rsidR="00BE20A8" w:rsidRPr="00BE20A8" w14:paraId="315BB688" w14:textId="77777777" w:rsidTr="00BE20A8">
        <w:tc>
          <w:tcPr>
            <w:tcW w:w="1526" w:type="dxa"/>
          </w:tcPr>
          <w:p w14:paraId="7612E55F" w14:textId="77777777" w:rsidR="00BE20A8" w:rsidRPr="00BE20A8" w:rsidRDefault="00BE20A8" w:rsidP="00AE6C98">
            <w:pPr>
              <w:rPr>
                <w:rFonts w:eastAsia="Calibri" w:cs="Times New Roman"/>
              </w:rPr>
            </w:pPr>
            <w:r w:rsidRPr="00BE20A8">
              <w:rPr>
                <w:rFonts w:eastAsia="Calibri" w:cs="Times New Roman"/>
              </w:rPr>
              <w:t>TICUw</w:t>
            </w:r>
          </w:p>
        </w:tc>
        <w:tc>
          <w:tcPr>
            <w:tcW w:w="7087" w:type="dxa"/>
          </w:tcPr>
          <w:p w14:paraId="7E2A21B2" w14:textId="77777777" w:rsidR="00BE20A8" w:rsidRPr="00BE20A8" w:rsidRDefault="00BE20A8" w:rsidP="00AE6C98">
            <w:pPr>
              <w:rPr>
                <w:rFonts w:eastAsia="Calibri" w:cs="Times New Roman"/>
              </w:rPr>
            </w:pPr>
            <w:r w:rsidRPr="00BE20A8">
              <w:rPr>
                <w:rFonts w:eastAsia="Calibri" w:cs="Times New Roman"/>
              </w:rPr>
              <w:t>tissue culture infectious units on wires</w:t>
            </w:r>
          </w:p>
        </w:tc>
      </w:tr>
      <w:tr w:rsidR="00BE20A8" w:rsidRPr="00BE20A8" w14:paraId="28707C4D" w14:textId="77777777" w:rsidTr="00BE20A8">
        <w:tc>
          <w:tcPr>
            <w:tcW w:w="1526" w:type="dxa"/>
          </w:tcPr>
          <w:p w14:paraId="26764577" w14:textId="77777777" w:rsidR="00BE20A8" w:rsidRPr="00BE20A8" w:rsidRDefault="00BE20A8" w:rsidP="00AE6C98">
            <w:pPr>
              <w:rPr>
                <w:rFonts w:eastAsia="Calibri" w:cs="Times New Roman"/>
              </w:rPr>
            </w:pPr>
            <w:r w:rsidRPr="00BE20A8">
              <w:rPr>
                <w:rFonts w:eastAsia="Calibri" w:cs="Times New Roman"/>
              </w:rPr>
              <w:t>TSE</w:t>
            </w:r>
          </w:p>
        </w:tc>
        <w:tc>
          <w:tcPr>
            <w:tcW w:w="7087" w:type="dxa"/>
          </w:tcPr>
          <w:p w14:paraId="0107EF35" w14:textId="77777777" w:rsidR="00BE20A8" w:rsidRPr="00BE20A8" w:rsidRDefault="00BE20A8" w:rsidP="00AE6C98">
            <w:pPr>
              <w:rPr>
                <w:rFonts w:eastAsia="Calibri" w:cs="Times New Roman"/>
              </w:rPr>
            </w:pPr>
            <w:r w:rsidRPr="00BE20A8">
              <w:rPr>
                <w:rFonts w:eastAsia="Calibri" w:cs="Times New Roman"/>
              </w:rPr>
              <w:t>transmissible spongiform encephalopathy</w:t>
            </w:r>
          </w:p>
        </w:tc>
      </w:tr>
      <w:tr w:rsidR="00BE20A8" w:rsidRPr="00BE20A8" w14:paraId="74BF8B06" w14:textId="77777777" w:rsidTr="00BE20A8">
        <w:tc>
          <w:tcPr>
            <w:tcW w:w="1526" w:type="dxa"/>
          </w:tcPr>
          <w:p w14:paraId="7E5D6AB7" w14:textId="77777777" w:rsidR="00BE20A8" w:rsidRPr="00BE20A8" w:rsidRDefault="00BE20A8" w:rsidP="00AE6C98">
            <w:pPr>
              <w:rPr>
                <w:rFonts w:eastAsia="Calibri" w:cs="Times New Roman"/>
              </w:rPr>
            </w:pPr>
            <w:r w:rsidRPr="00BE20A8">
              <w:rPr>
                <w:rFonts w:eastAsia="Calibri" w:cs="Times New Roman"/>
              </w:rPr>
              <w:t>vCJD</w:t>
            </w:r>
          </w:p>
        </w:tc>
        <w:tc>
          <w:tcPr>
            <w:tcW w:w="7087" w:type="dxa"/>
          </w:tcPr>
          <w:p w14:paraId="3BF302CF" w14:textId="77777777" w:rsidR="00BE20A8" w:rsidRPr="00BE20A8" w:rsidRDefault="00BE20A8" w:rsidP="00AE6C98">
            <w:pPr>
              <w:rPr>
                <w:rFonts w:eastAsia="Calibri" w:cs="Times New Roman"/>
              </w:rPr>
            </w:pPr>
            <w:r w:rsidRPr="00BE20A8">
              <w:rPr>
                <w:rFonts w:eastAsia="Calibri" w:cs="Times New Roman"/>
              </w:rPr>
              <w:t>variant Creutzfeldt-Jakob disease</w:t>
            </w:r>
          </w:p>
        </w:tc>
      </w:tr>
      <w:tr w:rsidR="00AF08FB" w:rsidRPr="00BE20A8" w14:paraId="19EE2660" w14:textId="77777777" w:rsidTr="00BE20A8">
        <w:tc>
          <w:tcPr>
            <w:tcW w:w="1526" w:type="dxa"/>
          </w:tcPr>
          <w:p w14:paraId="110D7307" w14:textId="1510F1FC" w:rsidR="00AF08FB" w:rsidRPr="00BE20A8" w:rsidRDefault="00AF08FB" w:rsidP="00AE6C98">
            <w:pPr>
              <w:rPr>
                <w:rFonts w:eastAsia="Calibri" w:cs="Times New Roman"/>
              </w:rPr>
            </w:pPr>
            <w:r>
              <w:rPr>
                <w:rFonts w:eastAsia="Calibri" w:cs="Times New Roman"/>
              </w:rPr>
              <w:t>VPL</w:t>
            </w:r>
          </w:p>
        </w:tc>
        <w:tc>
          <w:tcPr>
            <w:tcW w:w="7087" w:type="dxa"/>
          </w:tcPr>
          <w:p w14:paraId="4C0293D5" w14:textId="0CEA5C74" w:rsidR="00AF08FB" w:rsidRPr="00BE20A8" w:rsidRDefault="00AF08FB" w:rsidP="00AE6C98">
            <w:pPr>
              <w:rPr>
                <w:rFonts w:eastAsia="Calibri" w:cs="Times New Roman"/>
              </w:rPr>
            </w:pPr>
            <w:r>
              <w:rPr>
                <w:rFonts w:eastAsia="Calibri" w:cs="Times New Roman"/>
              </w:rPr>
              <w:t>violation of permissible level</w:t>
            </w:r>
          </w:p>
        </w:tc>
      </w:tr>
      <w:tr w:rsidR="00BE20A8" w:rsidRPr="00BE20A8" w14:paraId="345F3D9F" w14:textId="77777777" w:rsidTr="00BE20A8">
        <w:tc>
          <w:tcPr>
            <w:tcW w:w="1526" w:type="dxa"/>
          </w:tcPr>
          <w:p w14:paraId="73455E7C" w14:textId="77777777" w:rsidR="00BE20A8" w:rsidRPr="00BE20A8" w:rsidRDefault="00BE20A8" w:rsidP="00AE6C98">
            <w:pPr>
              <w:rPr>
                <w:rFonts w:eastAsia="Calibri" w:cs="Times New Roman"/>
              </w:rPr>
            </w:pPr>
            <w:r w:rsidRPr="00BE20A8">
              <w:rPr>
                <w:rFonts w:eastAsia="Calibri" w:cs="Times New Roman"/>
              </w:rPr>
              <w:t>VV</w:t>
            </w:r>
          </w:p>
        </w:tc>
        <w:tc>
          <w:tcPr>
            <w:tcW w:w="7087" w:type="dxa"/>
          </w:tcPr>
          <w:p w14:paraId="7FFD52D2" w14:textId="77777777" w:rsidR="00BE20A8" w:rsidRPr="00BE20A8" w:rsidRDefault="00BE20A8" w:rsidP="00AE6C98">
            <w:pPr>
              <w:rPr>
                <w:rFonts w:eastAsia="Calibri" w:cs="Times New Roman"/>
              </w:rPr>
            </w:pPr>
            <w:r w:rsidRPr="00BE20A8">
              <w:rPr>
                <w:rFonts w:eastAsia="Calibri" w:cs="Times New Roman"/>
              </w:rPr>
              <w:t>valine homozygous at polymorphic codon 129</w:t>
            </w:r>
          </w:p>
        </w:tc>
      </w:tr>
      <w:tr w:rsidR="00BE20A8" w:rsidRPr="00BE20A8" w14:paraId="65C39A94" w14:textId="77777777" w:rsidTr="00BE20A8">
        <w:tc>
          <w:tcPr>
            <w:tcW w:w="1526" w:type="dxa"/>
          </w:tcPr>
          <w:p w14:paraId="44CBD5DA" w14:textId="77777777" w:rsidR="00BE20A8" w:rsidRPr="00BE20A8" w:rsidRDefault="00BE20A8" w:rsidP="00AE6C98">
            <w:pPr>
              <w:rPr>
                <w:rFonts w:eastAsia="Calibri" w:cs="Times New Roman"/>
              </w:rPr>
            </w:pPr>
            <w:r w:rsidRPr="00BE20A8">
              <w:rPr>
                <w:rFonts w:eastAsia="Calibri" w:cs="Times New Roman"/>
              </w:rPr>
              <w:t>w/v</w:t>
            </w:r>
          </w:p>
        </w:tc>
        <w:tc>
          <w:tcPr>
            <w:tcW w:w="7087" w:type="dxa"/>
          </w:tcPr>
          <w:p w14:paraId="27759AE2" w14:textId="77777777" w:rsidR="00BE20A8" w:rsidRPr="00BE20A8" w:rsidRDefault="00BE20A8" w:rsidP="00AE6C98">
            <w:pPr>
              <w:rPr>
                <w:rFonts w:eastAsia="Calibri" w:cs="Times New Roman"/>
              </w:rPr>
            </w:pPr>
            <w:r w:rsidRPr="00BE20A8">
              <w:rPr>
                <w:rFonts w:eastAsia="Calibri" w:cs="Times New Roman"/>
              </w:rPr>
              <w:t>weight/volume</w:t>
            </w:r>
          </w:p>
        </w:tc>
      </w:tr>
      <w:tr w:rsidR="00BE20A8" w:rsidRPr="00BE20A8" w14:paraId="6E458CCE" w14:textId="77777777" w:rsidTr="00BE20A8">
        <w:tc>
          <w:tcPr>
            <w:tcW w:w="1526" w:type="dxa"/>
          </w:tcPr>
          <w:p w14:paraId="1C0E0EBD" w14:textId="77777777" w:rsidR="00BE20A8" w:rsidRPr="00BE20A8" w:rsidRDefault="00BE20A8" w:rsidP="00AE6C98">
            <w:pPr>
              <w:rPr>
                <w:rFonts w:eastAsia="Calibri" w:cs="Times New Roman"/>
              </w:rPr>
            </w:pPr>
            <w:r w:rsidRPr="00BE20A8">
              <w:rPr>
                <w:rFonts w:eastAsia="Calibri" w:cs="Times New Roman"/>
              </w:rPr>
              <w:t>WB</w:t>
            </w:r>
          </w:p>
        </w:tc>
        <w:tc>
          <w:tcPr>
            <w:tcW w:w="7087" w:type="dxa"/>
          </w:tcPr>
          <w:p w14:paraId="694A9BBD" w14:textId="77777777" w:rsidR="00BE20A8" w:rsidRPr="00BE20A8" w:rsidRDefault="00BE20A8" w:rsidP="00AE6C98">
            <w:pPr>
              <w:rPr>
                <w:rFonts w:eastAsia="Calibri" w:cs="Times New Roman"/>
              </w:rPr>
            </w:pPr>
            <w:r w:rsidRPr="00BE20A8">
              <w:rPr>
                <w:rFonts w:eastAsia="Calibri" w:cs="Times New Roman"/>
              </w:rPr>
              <w:t>western blot</w:t>
            </w:r>
          </w:p>
        </w:tc>
      </w:tr>
    </w:tbl>
    <w:p w14:paraId="1E4983AC" w14:textId="77777777" w:rsidR="001D65B2" w:rsidRDefault="001D65B2">
      <w:pPr>
        <w:rPr>
          <w:rFonts w:eastAsia="Calibri" w:cs="Arial"/>
          <w:b/>
          <w:bCs/>
          <w:kern w:val="32"/>
          <w:sz w:val="28"/>
          <w:szCs w:val="32"/>
        </w:rPr>
      </w:pPr>
      <w:r>
        <w:rPr>
          <w:rFonts w:eastAsia="Calibri" w:cs="Arial"/>
          <w:b/>
          <w:bCs/>
          <w:kern w:val="32"/>
          <w:sz w:val="28"/>
          <w:szCs w:val="32"/>
        </w:rPr>
        <w:br w:type="page"/>
      </w:r>
    </w:p>
    <w:p w14:paraId="2DEF993C" w14:textId="054D1A41" w:rsidR="00F676EF" w:rsidRDefault="00F676EF" w:rsidP="001D65B2">
      <w:pPr>
        <w:pStyle w:val="Heading1"/>
        <w:rPr>
          <w:rFonts w:eastAsia="Calibri"/>
        </w:rPr>
      </w:pPr>
      <w:bookmarkStart w:id="3" w:name="_Toc525106651"/>
      <w:r w:rsidRPr="00A87998">
        <w:rPr>
          <w:rFonts w:eastAsia="Calibri"/>
        </w:rPr>
        <w:t>Plain English Summary</w:t>
      </w:r>
      <w:bookmarkEnd w:id="3"/>
    </w:p>
    <w:p w14:paraId="5AD38BDC" w14:textId="2A633A9A" w:rsidR="008D3566" w:rsidRDefault="008D3566" w:rsidP="004D0FB6">
      <w:pPr>
        <w:jc w:val="both"/>
      </w:pPr>
      <w:r>
        <w:t xml:space="preserve">The aims of this report were to summarise evidence relating to surgically transmitted Creutzfeldt Jakob Disease (stCJD) cases and to explore the value for money of strategies to reduce the </w:t>
      </w:r>
      <w:r w:rsidR="002B45AD">
        <w:t>future</w:t>
      </w:r>
      <w:r>
        <w:t xml:space="preserve"> </w:t>
      </w:r>
      <w:r w:rsidR="004D0FB6">
        <w:t>risks</w:t>
      </w:r>
      <w:r>
        <w:t xml:space="preserve"> of stCJD cases. </w:t>
      </w:r>
      <w:r w:rsidR="008718B1">
        <w:t>Current recommend</w:t>
      </w:r>
      <w:r w:rsidR="002B45AD">
        <w:t>ations include</w:t>
      </w:r>
      <w:r w:rsidR="008718B1">
        <w:t xml:space="preserve"> keeping surgical instrument sets for high-risk operations</w:t>
      </w:r>
      <w:r w:rsidR="002B45AD">
        <w:t xml:space="preserve"> together and using separate instruments for those born after 1996</w:t>
      </w:r>
      <w:r w:rsidR="008718B1">
        <w:t xml:space="preserve">. </w:t>
      </w:r>
      <w:r>
        <w:t>Th</w:t>
      </w:r>
      <w:r w:rsidR="008718B1">
        <w:t>e project</w:t>
      </w:r>
      <w:r>
        <w:t xml:space="preserve"> involved reviewing published papers, speaking with experts, and building a computer model.</w:t>
      </w:r>
    </w:p>
    <w:p w14:paraId="2779168E" w14:textId="77777777" w:rsidR="00BC0130" w:rsidRDefault="00BC0130" w:rsidP="008D3566">
      <w:pPr>
        <w:jc w:val="both"/>
      </w:pPr>
    </w:p>
    <w:p w14:paraId="1A208312" w14:textId="7B11DEB3" w:rsidR="002B45AD" w:rsidRDefault="008D3566" w:rsidP="008D3566">
      <w:pPr>
        <w:jc w:val="both"/>
      </w:pPr>
      <w:r w:rsidRPr="00451493">
        <w:t xml:space="preserve">Literature reviews were performed to find information relevant to the possibility of patients being infected with CJD after having surgery to the </w:t>
      </w:r>
      <w:r w:rsidR="00135C86">
        <w:t xml:space="preserve">brain, </w:t>
      </w:r>
      <w:r w:rsidRPr="00451493">
        <w:t>back of the eye or neuroendoscopy</w:t>
      </w:r>
      <w:r w:rsidR="00622A1D">
        <w:t xml:space="preserve"> (high-risk operations)</w:t>
      </w:r>
      <w:r w:rsidRPr="00451493">
        <w:t xml:space="preserve">. </w:t>
      </w:r>
      <w:r w:rsidR="00D83CB2">
        <w:t xml:space="preserve">The reviews found that CJD </w:t>
      </w:r>
      <w:r w:rsidR="00622A1D">
        <w:t>occurs in around one to two per one million people</w:t>
      </w:r>
      <w:r w:rsidR="00D83CB2">
        <w:t xml:space="preserve"> </w:t>
      </w:r>
      <w:r w:rsidR="004E7BCE">
        <w:t>and</w:t>
      </w:r>
      <w:r w:rsidR="00D83CB2">
        <w:t xml:space="preserve"> </w:t>
      </w:r>
      <w:r w:rsidR="002B45AD">
        <w:t xml:space="preserve">that </w:t>
      </w:r>
      <w:r w:rsidR="00D83CB2">
        <w:t>no</w:t>
      </w:r>
      <w:r w:rsidR="002B45AD">
        <w:t xml:space="preserve"> definite</w:t>
      </w:r>
      <w:r w:rsidR="00D83CB2">
        <w:t xml:space="preserve"> cases of stCJD have been observed since the 1970’s. </w:t>
      </w:r>
      <w:r w:rsidRPr="00451493">
        <w:t xml:space="preserve">The data found in the reviews were </w:t>
      </w:r>
      <w:r w:rsidR="00135C86">
        <w:t xml:space="preserve">not </w:t>
      </w:r>
      <w:r w:rsidR="00D83CB2">
        <w:t xml:space="preserve">fully </w:t>
      </w:r>
      <w:r w:rsidR="00135C86">
        <w:t xml:space="preserve">able to inform the model </w:t>
      </w:r>
      <w:r>
        <w:t>therefore experts</w:t>
      </w:r>
      <w:r w:rsidR="00135C86">
        <w:t xml:space="preserve"> were asked</w:t>
      </w:r>
      <w:r>
        <w:t xml:space="preserve"> the most likely value</w:t>
      </w:r>
      <w:r w:rsidR="00135C86">
        <w:t>s</w:t>
      </w:r>
      <w:r>
        <w:t xml:space="preserve"> and range</w:t>
      </w:r>
      <w:r w:rsidR="004E7BCE">
        <w:t>s</w:t>
      </w:r>
      <w:r>
        <w:t xml:space="preserve"> to </w:t>
      </w:r>
      <w:r w:rsidR="002B45AD">
        <w:t>use</w:t>
      </w:r>
      <w:r>
        <w:t>.</w:t>
      </w:r>
      <w:r w:rsidR="002B45AD">
        <w:t xml:space="preserve"> </w:t>
      </w:r>
      <w:r>
        <w:t xml:space="preserve"> </w:t>
      </w:r>
      <w:r w:rsidR="002B45AD">
        <w:t>Care was taken so that the model output matched the possible number of</w:t>
      </w:r>
      <w:r w:rsidR="004D0FB6">
        <w:t xml:space="preserve"> oberved</w:t>
      </w:r>
      <w:r w:rsidR="002B45AD">
        <w:t xml:space="preserve"> stCJD cases. </w:t>
      </w:r>
      <w:r w:rsidR="00D83CB2">
        <w:t>Issues that are likely to affect the risk of stCJD include</w:t>
      </w:r>
      <w:r w:rsidR="00C2504C">
        <w:t>:</w:t>
      </w:r>
      <w:r w:rsidR="00D83CB2">
        <w:t xml:space="preserve"> how effective cleaning practices</w:t>
      </w:r>
      <w:r w:rsidR="001B27A4">
        <w:t xml:space="preserve"> are</w:t>
      </w:r>
      <w:r w:rsidR="00D83CB2">
        <w:t xml:space="preserve">, </w:t>
      </w:r>
      <w:r w:rsidR="002B45AD">
        <w:t>ho</w:t>
      </w:r>
      <w:r w:rsidR="00D83CB2">
        <w:t xml:space="preserve">w infectious </w:t>
      </w:r>
      <w:r w:rsidR="002B45AD">
        <w:t>t</w:t>
      </w:r>
      <w:r w:rsidR="008718B1">
        <w:t>ypical</w:t>
      </w:r>
      <w:r w:rsidR="002B45AD">
        <w:t xml:space="preserve"> patients</w:t>
      </w:r>
      <w:r w:rsidR="00D83CB2">
        <w:t xml:space="preserve"> undergoing </w:t>
      </w:r>
      <w:r w:rsidR="00622A1D">
        <w:t>high-risk operations</w:t>
      </w:r>
      <w:r w:rsidR="00D83CB2">
        <w:t xml:space="preserve"> are</w:t>
      </w:r>
      <w:r w:rsidR="00C2504C">
        <w:t>,</w:t>
      </w:r>
      <w:r w:rsidR="00D83CB2">
        <w:t xml:space="preserve"> and </w:t>
      </w:r>
      <w:r w:rsidR="008718B1">
        <w:t>the chance that</w:t>
      </w:r>
      <w:r w:rsidR="00622A1D">
        <w:t xml:space="preserve"> patients</w:t>
      </w:r>
      <w:r w:rsidR="008718B1">
        <w:t xml:space="preserve"> having high-risk operations</w:t>
      </w:r>
      <w:r w:rsidR="00622A1D">
        <w:t xml:space="preserve"> </w:t>
      </w:r>
      <w:r w:rsidR="008718B1">
        <w:t>are</w:t>
      </w:r>
      <w:r w:rsidR="00622A1D">
        <w:t xml:space="preserve"> infectious with CJD but </w:t>
      </w:r>
      <w:r w:rsidR="008718B1">
        <w:t xml:space="preserve">do </w:t>
      </w:r>
      <w:r w:rsidR="00622A1D">
        <w:t>not yet show clinical symptoms.</w:t>
      </w:r>
      <w:r w:rsidR="00D83CB2">
        <w:t xml:space="preserve"> </w:t>
      </w:r>
    </w:p>
    <w:p w14:paraId="6B631130" w14:textId="77777777" w:rsidR="00BC0130" w:rsidRDefault="00BC0130" w:rsidP="008D3566">
      <w:pPr>
        <w:jc w:val="both"/>
      </w:pPr>
    </w:p>
    <w:p w14:paraId="00A963A6" w14:textId="1DAA837C" w:rsidR="008D3566" w:rsidRPr="006C1815" w:rsidRDefault="008D3566" w:rsidP="008D3566">
      <w:pPr>
        <w:jc w:val="both"/>
      </w:pPr>
      <w:r>
        <w:t xml:space="preserve">Estimates of the value for money of potential strategies </w:t>
      </w:r>
      <w:r w:rsidR="00135C86">
        <w:t>that</w:t>
      </w:r>
      <w:r w:rsidR="008718B1">
        <w:t xml:space="preserve"> </w:t>
      </w:r>
      <w:r w:rsidR="00135C86">
        <w:t xml:space="preserve">could </w:t>
      </w:r>
      <w:r w:rsidR="002B45AD">
        <w:t xml:space="preserve">be </w:t>
      </w:r>
      <w:r w:rsidR="00135C86">
        <w:t>ma</w:t>
      </w:r>
      <w:r w:rsidR="002B45AD">
        <w:t>d</w:t>
      </w:r>
      <w:r w:rsidR="00135C86">
        <w:t xml:space="preserve">e </w:t>
      </w:r>
      <w:r>
        <w:t>to reduce</w:t>
      </w:r>
      <w:r w:rsidR="00135C86">
        <w:t xml:space="preserve"> the </w:t>
      </w:r>
      <w:r w:rsidR="00D83CB2">
        <w:t>risks of</w:t>
      </w:r>
      <w:r>
        <w:t xml:space="preserve"> stCJD were then made. For surgical units that do not keep instruments moist</w:t>
      </w:r>
      <w:r w:rsidR="001B27A4">
        <w:t xml:space="preserve"> prior to cleaning</w:t>
      </w:r>
      <w:r>
        <w:t>, doing this was likely to save money and reduce future stCJD cases. For units keeping surgical instruments moist, the cost-effectiveness of introducing additional measures including using single-use instruments</w:t>
      </w:r>
      <w:r w:rsidR="002B45AD">
        <w:t>,</w:t>
      </w:r>
      <w:r>
        <w:t xml:space="preserve"> ensuring that instruments were kept together</w:t>
      </w:r>
      <w:r w:rsidR="002B45AD">
        <w:t>, or using separate instruments for those born after 1996</w:t>
      </w:r>
      <w:r>
        <w:t xml:space="preserve"> appeared to be poor value for money.</w:t>
      </w:r>
    </w:p>
    <w:p w14:paraId="19532B46" w14:textId="77777777" w:rsidR="008D3566" w:rsidRDefault="008D3566">
      <w:pPr>
        <w:spacing w:after="160" w:line="259" w:lineRule="auto"/>
        <w:rPr>
          <w:rFonts w:eastAsia="Calibri"/>
        </w:rPr>
      </w:pPr>
      <w:r>
        <w:rPr>
          <w:rFonts w:eastAsia="Calibri"/>
        </w:rPr>
        <w:br w:type="page"/>
      </w:r>
    </w:p>
    <w:p w14:paraId="17157F6A" w14:textId="77777777" w:rsidR="008D3566" w:rsidRPr="00A87998" w:rsidRDefault="008D3566" w:rsidP="008D3566">
      <w:pPr>
        <w:pStyle w:val="Heading1"/>
        <w:rPr>
          <w:rFonts w:eastAsia="Calibri"/>
        </w:rPr>
      </w:pPr>
      <w:bookmarkStart w:id="4" w:name="_Toc525106652"/>
      <w:r>
        <w:rPr>
          <w:rFonts w:eastAsia="Calibri"/>
        </w:rPr>
        <w:t>Scientific Summary</w:t>
      </w:r>
      <w:bookmarkEnd w:id="4"/>
    </w:p>
    <w:p w14:paraId="5B103405" w14:textId="77777777" w:rsidR="008D3566" w:rsidRPr="005351CF" w:rsidRDefault="008D3566" w:rsidP="00BC0130">
      <w:pPr>
        <w:pStyle w:val="Default"/>
        <w:jc w:val="both"/>
        <w:rPr>
          <w:rFonts w:eastAsia="Calibri" w:cs="Times New Roman"/>
          <w:i w:val="0"/>
        </w:rPr>
      </w:pPr>
      <w:r w:rsidRPr="002535F2">
        <w:rPr>
          <w:rFonts w:eastAsia="Calibri" w:cs="Times New Roman"/>
          <w:i w:val="0"/>
        </w:rPr>
        <w:t>Creutzfeldt-Jakob disease (CJD) is a progressive, fatal disease affecting the brain. CJD is caused by an abnormal infectious protein called a prion.</w:t>
      </w:r>
      <w:r>
        <w:rPr>
          <w:rFonts w:eastAsia="Calibri" w:cs="Times New Roman"/>
          <w:i w:val="0"/>
        </w:rPr>
        <w:t xml:space="preserve"> </w:t>
      </w:r>
      <w:r w:rsidRPr="002535F2">
        <w:rPr>
          <w:rFonts w:eastAsia="Calibri" w:cs="Times New Roman"/>
          <w:i w:val="0"/>
        </w:rPr>
        <w:t>Prions on surgical instrument</w:t>
      </w:r>
      <w:r>
        <w:rPr>
          <w:rFonts w:eastAsia="Calibri" w:cs="Times New Roman"/>
          <w:i w:val="0"/>
        </w:rPr>
        <w:t xml:space="preserve">s </w:t>
      </w:r>
      <w:r w:rsidRPr="002535F2">
        <w:rPr>
          <w:rFonts w:eastAsia="Calibri" w:cs="Times New Roman"/>
          <w:i w:val="0"/>
        </w:rPr>
        <w:t>are unlikely to be completely deactivated by conventional hospital cleansing and sterilisation techniques</w:t>
      </w:r>
      <w:r>
        <w:rPr>
          <w:rFonts w:eastAsia="Calibri" w:cs="Times New Roman"/>
          <w:i w:val="0"/>
        </w:rPr>
        <w:t xml:space="preserve"> and</w:t>
      </w:r>
      <w:r w:rsidRPr="002535F2">
        <w:rPr>
          <w:rFonts w:eastAsia="Calibri" w:cs="Times New Roman"/>
          <w:i w:val="0"/>
        </w:rPr>
        <w:t xml:space="preserve"> therefore </w:t>
      </w:r>
      <w:r>
        <w:rPr>
          <w:rFonts w:eastAsia="Calibri" w:cs="Times New Roman"/>
          <w:i w:val="0"/>
        </w:rPr>
        <w:t>p</w:t>
      </w:r>
      <w:r w:rsidRPr="002535F2">
        <w:rPr>
          <w:rFonts w:eastAsia="Calibri" w:cs="Times New Roman"/>
          <w:i w:val="0"/>
        </w:rPr>
        <w:t>atients may be infected iatrogenically with CJD by surgical instruments,</w:t>
      </w:r>
      <w:r>
        <w:rPr>
          <w:rFonts w:eastAsia="Calibri" w:cs="Times New Roman"/>
          <w:i w:val="0"/>
        </w:rPr>
        <w:t xml:space="preserve"> resulting in a surgically transmitted CJD (stCJD) case. Previous work </w:t>
      </w:r>
      <w:r>
        <w:rPr>
          <w:i w:val="0"/>
          <w:szCs w:val="22"/>
        </w:rPr>
        <w:t>involving some</w:t>
      </w:r>
      <w:r w:rsidRPr="005351CF">
        <w:rPr>
          <w:i w:val="0"/>
          <w:szCs w:val="22"/>
        </w:rPr>
        <w:t xml:space="preserve"> of the authors of this report</w:t>
      </w:r>
      <w:r>
        <w:rPr>
          <w:i w:val="0"/>
          <w:szCs w:val="22"/>
        </w:rPr>
        <w:t xml:space="preserve"> had assessed the cost-effectiveness of single use instruments and other strategies to reduce future stCJD cases, evidence from which was considered by the National Institute of Health and Care Excellence in establishing interventional Procedures Guideline 196 (IPG196).</w:t>
      </w:r>
    </w:p>
    <w:p w14:paraId="17A89B08" w14:textId="77777777" w:rsidR="008D3566" w:rsidRPr="001E7487" w:rsidRDefault="008D3566" w:rsidP="008D3566">
      <w:pPr>
        <w:pStyle w:val="Default"/>
        <w:rPr>
          <w:rFonts w:cs="Times New Roman"/>
          <w:color w:val="auto"/>
          <w:szCs w:val="22"/>
        </w:rPr>
      </w:pPr>
    </w:p>
    <w:p w14:paraId="3A503502" w14:textId="5F640D17" w:rsidR="008D3566" w:rsidRPr="001E7487" w:rsidRDefault="008D3566" w:rsidP="008D3566">
      <w:pPr>
        <w:pStyle w:val="Heading2"/>
        <w:rPr>
          <w:szCs w:val="22"/>
        </w:rPr>
      </w:pPr>
      <w:bookmarkStart w:id="5" w:name="_Toc437355188"/>
      <w:bookmarkStart w:id="6" w:name="_Toc462897330"/>
      <w:bookmarkStart w:id="7" w:name="_Toc464205947"/>
      <w:bookmarkStart w:id="8" w:name="_Toc525106653"/>
      <w:r w:rsidRPr="001E7487">
        <w:rPr>
          <w:szCs w:val="22"/>
        </w:rPr>
        <w:t>Objectives</w:t>
      </w:r>
      <w:bookmarkEnd w:id="5"/>
      <w:bookmarkEnd w:id="6"/>
      <w:bookmarkEnd w:id="7"/>
      <w:bookmarkEnd w:id="8"/>
      <w:r w:rsidRPr="001E7487">
        <w:rPr>
          <w:szCs w:val="22"/>
        </w:rPr>
        <w:t xml:space="preserve"> </w:t>
      </w:r>
    </w:p>
    <w:p w14:paraId="320E62EC" w14:textId="1F660A22" w:rsidR="008D3566" w:rsidRPr="001E7487" w:rsidRDefault="008D3566" w:rsidP="004D0FB6">
      <w:pPr>
        <w:pStyle w:val="Default"/>
        <w:jc w:val="both"/>
        <w:rPr>
          <w:rFonts w:cs="Times New Roman"/>
          <w:i w:val="0"/>
          <w:color w:val="auto"/>
          <w:szCs w:val="22"/>
        </w:rPr>
      </w:pPr>
      <w:r>
        <w:rPr>
          <w:rFonts w:eastAsia="Calibri" w:cs="Times New Roman"/>
          <w:i w:val="0"/>
        </w:rPr>
        <w:t>To evaluate</w:t>
      </w:r>
      <w:r w:rsidRPr="002535F2">
        <w:rPr>
          <w:rFonts w:eastAsia="Calibri" w:cs="Times New Roman"/>
          <w:i w:val="0"/>
        </w:rPr>
        <w:t xml:space="preserve"> the </w:t>
      </w:r>
      <w:r>
        <w:rPr>
          <w:rFonts w:eastAsia="Calibri" w:cs="Times New Roman"/>
          <w:i w:val="0"/>
        </w:rPr>
        <w:t xml:space="preserve">expected </w:t>
      </w:r>
      <w:r w:rsidR="004D0FB6">
        <w:rPr>
          <w:rFonts w:eastAsia="Calibri" w:cs="Times New Roman"/>
          <w:i w:val="0"/>
        </w:rPr>
        <w:t>risk</w:t>
      </w:r>
      <w:r>
        <w:rPr>
          <w:rFonts w:eastAsia="Calibri" w:cs="Times New Roman"/>
          <w:i w:val="0"/>
        </w:rPr>
        <w:t xml:space="preserve"> of</w:t>
      </w:r>
      <w:r w:rsidRPr="002535F2">
        <w:rPr>
          <w:rFonts w:eastAsia="Calibri" w:cs="Times New Roman"/>
          <w:i w:val="0"/>
        </w:rPr>
        <w:t xml:space="preserve"> </w:t>
      </w:r>
      <w:r>
        <w:rPr>
          <w:rFonts w:eastAsia="Calibri" w:cs="Times New Roman"/>
          <w:i w:val="0"/>
        </w:rPr>
        <w:t>st</w:t>
      </w:r>
      <w:r w:rsidRPr="002535F2">
        <w:rPr>
          <w:rFonts w:eastAsia="Calibri" w:cs="Times New Roman"/>
          <w:i w:val="0"/>
        </w:rPr>
        <w:t>CJD</w:t>
      </w:r>
      <w:r>
        <w:rPr>
          <w:rFonts w:eastAsia="Calibri" w:cs="Times New Roman"/>
          <w:i w:val="0"/>
        </w:rPr>
        <w:t xml:space="preserve"> cases under present surgical conditions</w:t>
      </w:r>
      <w:r w:rsidRPr="002535F2">
        <w:rPr>
          <w:rFonts w:eastAsia="Calibri" w:cs="Times New Roman"/>
          <w:i w:val="0"/>
        </w:rPr>
        <w:t xml:space="preserve"> </w:t>
      </w:r>
      <w:r>
        <w:rPr>
          <w:rFonts w:eastAsia="Calibri" w:cs="Times New Roman"/>
          <w:i w:val="0"/>
        </w:rPr>
        <w:t xml:space="preserve">and to estimate the cost-effectiveness of strategies that may alter the anticipated </w:t>
      </w:r>
      <w:r w:rsidR="004D0FB6">
        <w:rPr>
          <w:rFonts w:eastAsia="Calibri" w:cs="Times New Roman"/>
          <w:i w:val="0"/>
        </w:rPr>
        <w:t>risks</w:t>
      </w:r>
      <w:r>
        <w:rPr>
          <w:rFonts w:eastAsia="Calibri" w:cs="Times New Roman"/>
          <w:i w:val="0"/>
        </w:rPr>
        <w:t xml:space="preserve"> of stCJD</w:t>
      </w:r>
      <w:r w:rsidRPr="002535F2">
        <w:rPr>
          <w:rFonts w:eastAsia="Calibri" w:cs="Times New Roman"/>
          <w:i w:val="0"/>
        </w:rPr>
        <w:t>.</w:t>
      </w:r>
      <w:r>
        <w:rPr>
          <w:rFonts w:eastAsia="Calibri" w:cs="Times New Roman"/>
          <w:i w:val="0"/>
        </w:rPr>
        <w:t xml:space="preserve"> </w:t>
      </w:r>
    </w:p>
    <w:p w14:paraId="6CF5BF5D" w14:textId="77777777" w:rsidR="008D3566" w:rsidRPr="001E7487" w:rsidRDefault="008D3566" w:rsidP="008D3566">
      <w:pPr>
        <w:pStyle w:val="Default"/>
        <w:rPr>
          <w:rFonts w:cs="Times New Roman"/>
          <w:color w:val="auto"/>
          <w:szCs w:val="22"/>
        </w:rPr>
      </w:pPr>
    </w:p>
    <w:p w14:paraId="2ABB4581" w14:textId="2AB24DC4" w:rsidR="008D3566" w:rsidRPr="001E7487" w:rsidRDefault="008D3566" w:rsidP="008D3566">
      <w:pPr>
        <w:pStyle w:val="Heading2"/>
        <w:rPr>
          <w:szCs w:val="22"/>
        </w:rPr>
      </w:pPr>
      <w:bookmarkStart w:id="9" w:name="_Toc437355189"/>
      <w:bookmarkStart w:id="10" w:name="_Toc462897331"/>
      <w:bookmarkStart w:id="11" w:name="_Toc464205948"/>
      <w:bookmarkStart w:id="12" w:name="_Toc525106654"/>
      <w:r w:rsidRPr="001E7487">
        <w:rPr>
          <w:szCs w:val="22"/>
        </w:rPr>
        <w:t>Methods</w:t>
      </w:r>
      <w:bookmarkEnd w:id="9"/>
      <w:bookmarkEnd w:id="10"/>
      <w:bookmarkEnd w:id="11"/>
      <w:bookmarkEnd w:id="12"/>
      <w:r w:rsidRPr="001E7487">
        <w:rPr>
          <w:szCs w:val="22"/>
        </w:rPr>
        <w:t xml:space="preserve"> </w:t>
      </w:r>
    </w:p>
    <w:p w14:paraId="6D661CEF" w14:textId="77777777" w:rsidR="008D3566" w:rsidRPr="006C1815" w:rsidRDefault="008D3566" w:rsidP="008D3566">
      <w:pPr>
        <w:autoSpaceDE w:val="0"/>
        <w:autoSpaceDN w:val="0"/>
        <w:adjustRightInd w:val="0"/>
        <w:jc w:val="both"/>
        <w:rPr>
          <w:i/>
        </w:rPr>
      </w:pPr>
      <w:r w:rsidRPr="006C1815">
        <w:rPr>
          <w:i/>
        </w:rPr>
        <w:t>Review methods</w:t>
      </w:r>
    </w:p>
    <w:p w14:paraId="0170EA13" w14:textId="439B26B9" w:rsidR="008D3566" w:rsidRDefault="008D3566" w:rsidP="008D3566">
      <w:pPr>
        <w:autoSpaceDE w:val="0"/>
        <w:autoSpaceDN w:val="0"/>
        <w:adjustRightInd w:val="0"/>
        <w:jc w:val="both"/>
        <w:rPr>
          <w:rFonts w:eastAsia="Calibri"/>
        </w:rPr>
      </w:pPr>
      <w:r>
        <w:t>Eight systematic reviews were conducted. Four questions were</w:t>
      </w:r>
      <w:r w:rsidRPr="002111E2">
        <w:t xml:space="preserve"> </w:t>
      </w:r>
      <w:r>
        <w:t>fundamental to understanding CJD</w:t>
      </w:r>
      <w:r w:rsidR="00193F2D">
        <w:t xml:space="preserve"> and four were undertaken to understand the risks of transmission via surgery. Broadly, the reviews investigated CJD with regards to: </w:t>
      </w:r>
      <w:r>
        <w:t>(1) prevalence and incidence, (2) risk of transmission via surgery, (3) incubation periods and (4) infectivity</w:t>
      </w:r>
      <w:r w:rsidR="00193F2D">
        <w:t>,</w:t>
      </w:r>
      <w:r>
        <w:t xml:space="preserve"> (5) efficacy of current decontamination procedures, (</w:t>
      </w:r>
      <w:r w:rsidR="00193F2D">
        <w:t>6) adherence to NICE guidance by</w:t>
      </w:r>
      <w:r>
        <w:t xml:space="preserve"> keep</w:t>
      </w:r>
      <w:r w:rsidR="00193F2D">
        <w:t>ing</w:t>
      </w:r>
      <w:r>
        <w:t xml:space="preserve"> surgical instrument sets together, (7) evidence of complications from single-use instruments and (8) likelihood of patients </w:t>
      </w:r>
      <w:r w:rsidR="00193F2D">
        <w:t xml:space="preserve">who have undergone high-risk surgery </w:t>
      </w:r>
      <w:r>
        <w:t xml:space="preserve">returning for further surgery. </w:t>
      </w:r>
      <w:r w:rsidRPr="00715F1C">
        <w:t xml:space="preserve"> </w:t>
      </w:r>
      <w:r w:rsidRPr="00715F1C">
        <w:rPr>
          <w:rFonts w:eastAsia="Calibri"/>
        </w:rPr>
        <w:t xml:space="preserve">Literature searches were conducted in major electronic </w:t>
      </w:r>
      <w:r>
        <w:rPr>
          <w:rFonts w:eastAsia="Calibri"/>
        </w:rPr>
        <w:t xml:space="preserve">bibliographic </w:t>
      </w:r>
      <w:r w:rsidRPr="00715F1C">
        <w:rPr>
          <w:rFonts w:eastAsia="Calibri"/>
        </w:rPr>
        <w:t>databases (MEDLINE, E</w:t>
      </w:r>
      <w:r w:rsidRPr="003F78CA">
        <w:rPr>
          <w:rFonts w:eastAsia="Calibri"/>
        </w:rPr>
        <w:t xml:space="preserve">MBASE, Science Citation Index, </w:t>
      </w:r>
      <w:r w:rsidRPr="005301DB">
        <w:rPr>
          <w:rFonts w:eastAsia="Calibri"/>
        </w:rPr>
        <w:t xml:space="preserve">Conference Proceedings Citation Index </w:t>
      </w:r>
      <w:r w:rsidRPr="00953936">
        <w:rPr>
          <w:rFonts w:eastAsia="Calibri"/>
        </w:rPr>
        <w:t>and Web of Science</w:t>
      </w:r>
      <w:r>
        <w:rPr>
          <w:rFonts w:eastAsia="Calibri"/>
        </w:rPr>
        <w:t>)</w:t>
      </w:r>
      <w:r w:rsidRPr="00715F1C">
        <w:rPr>
          <w:rFonts w:eastAsia="Calibri"/>
        </w:rPr>
        <w:t xml:space="preserve"> from 2005 to 2017</w:t>
      </w:r>
      <w:r>
        <w:rPr>
          <w:rFonts w:eastAsia="Calibri"/>
        </w:rPr>
        <w:t xml:space="preserve">. </w:t>
      </w:r>
      <w:r w:rsidRPr="007A7C51">
        <w:rPr>
          <w:rFonts w:eastAsia="Calibri"/>
        </w:rPr>
        <w:t xml:space="preserve">Titles and abstracts were examined by one reviewer </w:t>
      </w:r>
      <w:r>
        <w:rPr>
          <w:rFonts w:eastAsia="Calibri"/>
        </w:rPr>
        <w:t>and a</w:t>
      </w:r>
      <w:r w:rsidRPr="007A7C51">
        <w:rPr>
          <w:rFonts w:eastAsia="Calibri"/>
        </w:rPr>
        <w:t xml:space="preserve"> proportion (10%) of randomly selected excluded citations were double-checked by a second reviewer</w:t>
      </w:r>
      <w:r>
        <w:rPr>
          <w:rFonts w:eastAsia="Calibri"/>
        </w:rPr>
        <w:t xml:space="preserve">. </w:t>
      </w:r>
      <w:r w:rsidRPr="00062291">
        <w:rPr>
          <w:rFonts w:eastAsia="Calibri"/>
        </w:rPr>
        <w:t>At full paper stage, all citations excluded from a particular review question were double-checked by the second reviewer.</w:t>
      </w:r>
    </w:p>
    <w:p w14:paraId="529742D7" w14:textId="77777777" w:rsidR="00BC0130" w:rsidRDefault="00BC0130" w:rsidP="008D3566">
      <w:pPr>
        <w:autoSpaceDE w:val="0"/>
        <w:autoSpaceDN w:val="0"/>
        <w:adjustRightInd w:val="0"/>
        <w:jc w:val="both"/>
      </w:pPr>
    </w:p>
    <w:p w14:paraId="63D08815" w14:textId="46D93BB1" w:rsidR="008D3566" w:rsidRPr="006C1815" w:rsidRDefault="008D3566" w:rsidP="008D3566">
      <w:pPr>
        <w:jc w:val="both"/>
      </w:pPr>
      <w:r>
        <w:t>A systematic r</w:t>
      </w:r>
      <w:r w:rsidRPr="006C1815">
        <w:t xml:space="preserve">eview of </w:t>
      </w:r>
      <w:r>
        <w:t>c</w:t>
      </w:r>
      <w:r w:rsidRPr="006C1815">
        <w:t xml:space="preserve">ost-effectiveness </w:t>
      </w:r>
      <w:r>
        <w:t>was</w:t>
      </w:r>
      <w:r w:rsidRPr="006C1815">
        <w:t xml:space="preserve"> undertaken. </w:t>
      </w:r>
      <w:r w:rsidRPr="001E7487">
        <w:rPr>
          <w:bCs/>
        </w:rPr>
        <w:t>Titles and abstracts were examined by one reviewer</w:t>
      </w:r>
      <w:r>
        <w:rPr>
          <w:bCs/>
        </w:rPr>
        <w:t>, and a proportion (10%) were checked by another reviewer</w:t>
      </w:r>
      <w:r w:rsidRPr="001E7487">
        <w:rPr>
          <w:bCs/>
        </w:rPr>
        <w:t xml:space="preserve">.  </w:t>
      </w:r>
      <w:r>
        <w:rPr>
          <w:bCs/>
        </w:rPr>
        <w:t>Where appropriate, full papers were reviewed for pertinent information.</w:t>
      </w:r>
    </w:p>
    <w:p w14:paraId="52017BC6" w14:textId="77777777" w:rsidR="008D3566" w:rsidRPr="006C1815" w:rsidRDefault="008D3566" w:rsidP="008D3566">
      <w:pPr>
        <w:autoSpaceDE w:val="0"/>
        <w:autoSpaceDN w:val="0"/>
        <w:adjustRightInd w:val="0"/>
        <w:jc w:val="both"/>
      </w:pPr>
    </w:p>
    <w:p w14:paraId="1DF640AF" w14:textId="77777777" w:rsidR="008D3566" w:rsidRPr="006C1815" w:rsidRDefault="008D3566" w:rsidP="008D3566">
      <w:pPr>
        <w:autoSpaceDE w:val="0"/>
        <w:autoSpaceDN w:val="0"/>
        <w:adjustRightInd w:val="0"/>
        <w:jc w:val="both"/>
        <w:rPr>
          <w:i/>
        </w:rPr>
      </w:pPr>
      <w:r>
        <w:rPr>
          <w:i/>
        </w:rPr>
        <w:t>Evaluation of cost-effectiveness</w:t>
      </w:r>
    </w:p>
    <w:p w14:paraId="0B1C46AE" w14:textId="1FF1B264" w:rsidR="008D3566" w:rsidRDefault="008D3566" w:rsidP="005E7320">
      <w:pPr>
        <w:autoSpaceDE w:val="0"/>
        <w:autoSpaceDN w:val="0"/>
        <w:adjustRightInd w:val="0"/>
        <w:jc w:val="both"/>
      </w:pPr>
      <w:r>
        <w:t xml:space="preserve">The mathematical model used previously to assess the cost-effectiveness of strategies to reduce stCJD was updated in this report. All assumptions were agreed with the NICE committee. Key changes between the earlier modelling work and this work include: re-eliciting key parameters; assuming that all genotypes were susceptible to stCJD infection; taking into account the possibility that patients with stCJD could be misdiagnosed with an alternative neurodegenerative disease; and calibration of predicted model inputs with the number of possible stCJD cases observed between 2005 and 2018. In order to reduce the impact of </w:t>
      </w:r>
      <w:r w:rsidR="005E7320">
        <w:t xml:space="preserve">sampling </w:t>
      </w:r>
      <w:r>
        <w:t xml:space="preserve">error, 27 random number streams were used for each </w:t>
      </w:r>
      <w:r w:rsidR="005E7320">
        <w:t xml:space="preserve">Probabilistic </w:t>
      </w:r>
      <w:r w:rsidR="00C2504C">
        <w:t>Sensitivity Analysis (</w:t>
      </w:r>
      <w:r>
        <w:t>PSA</w:t>
      </w:r>
      <w:r w:rsidR="00C2504C">
        <w:t>)</w:t>
      </w:r>
      <w:r>
        <w:t xml:space="preserve"> configuration. The calibration work was complex and required the use of heuristics to initially rule out parameter configurations that were not compatible with observed data, and then estimating likelihood for remaining PSA parameters, which was used in the calculating the cost-effectiveness of each strategy between 2019 and 2023. Surgical units were categorised into six categories, S1-S3 where it was assumed that patients born after 1996 could be infectious without previous surgery and S4-S6 where it was assumed that these patients were not infectious from birth. S1 and S4 units were assumed to follow IPG196, with the exception of single-use neuroendoscopy instruments, henceforth called following IPG196, and to keep instruments moist; S2 and S5 units were not assumed to follow IPG196 but to keep instruments moist; S3 and S</w:t>
      </w:r>
      <w:r w:rsidR="00C2504C">
        <w:t>6</w:t>
      </w:r>
      <w:r>
        <w:t xml:space="preserve"> units were assumed to neither follow IPG196 nor keep instruments moist. Threshold analyses were undertaken to see at what price per operation single-use instruments, or a completely effective cleaning solution, would need to be to reach chosen cost per QALY values. Further threshold analyses were undertaken to look at the maximum costs associated with following IPG196 to be at, or below, chosen cost per QALY thresholds. Additional analyses explor</w:t>
      </w:r>
      <w:r w:rsidR="00BB414E">
        <w:t>ed</w:t>
      </w:r>
      <w:r>
        <w:t xml:space="preserve"> the impact of removing current regulations that patients born after 1996 should be operated on with separate instruments to the rest of the population.</w:t>
      </w:r>
    </w:p>
    <w:p w14:paraId="56D0312A" w14:textId="77777777" w:rsidR="008D3566" w:rsidRPr="001E7487" w:rsidRDefault="008D3566" w:rsidP="008D3566">
      <w:pPr>
        <w:pStyle w:val="Default"/>
        <w:rPr>
          <w:rFonts w:cs="Times New Roman"/>
          <w:color w:val="auto"/>
          <w:szCs w:val="22"/>
        </w:rPr>
      </w:pPr>
    </w:p>
    <w:p w14:paraId="0BFAFBB1" w14:textId="17028408" w:rsidR="008D3566" w:rsidRPr="001E7487" w:rsidRDefault="008D3566" w:rsidP="008D3566">
      <w:pPr>
        <w:pStyle w:val="Heading2"/>
        <w:rPr>
          <w:szCs w:val="22"/>
        </w:rPr>
      </w:pPr>
      <w:bookmarkStart w:id="13" w:name="_Toc437355190"/>
      <w:bookmarkStart w:id="14" w:name="_Toc462897332"/>
      <w:bookmarkStart w:id="15" w:name="_Toc464205949"/>
      <w:bookmarkStart w:id="16" w:name="_Toc525106655"/>
      <w:r w:rsidRPr="001E7487">
        <w:rPr>
          <w:szCs w:val="22"/>
        </w:rPr>
        <w:t>Results</w:t>
      </w:r>
      <w:bookmarkEnd w:id="13"/>
      <w:bookmarkEnd w:id="14"/>
      <w:bookmarkEnd w:id="15"/>
      <w:bookmarkEnd w:id="16"/>
      <w:r w:rsidRPr="001E7487">
        <w:rPr>
          <w:szCs w:val="22"/>
        </w:rPr>
        <w:t xml:space="preserve"> </w:t>
      </w:r>
    </w:p>
    <w:p w14:paraId="36966A33" w14:textId="686FDCAA" w:rsidR="008D3566" w:rsidRDefault="008D3566" w:rsidP="008D3566">
      <w:pPr>
        <w:autoSpaceDE w:val="0"/>
        <w:autoSpaceDN w:val="0"/>
        <w:adjustRightInd w:val="0"/>
        <w:jc w:val="both"/>
      </w:pPr>
      <w:r>
        <w:t xml:space="preserve">Literature searches for the clinical reviews yielded 8549 citations from which 169 papers were identified relevant to the eight review questions. The incidence of any type of CJD cases is reported to be between 1 to 2 per million worldwide but the general rate of sporadic CJD cases is noted to be increasing in some countries. The prevalence of non-clinical CJD prions in tissues in the general population is estimated to be 240 per million based on analyses of appendix specimens. Published evidence indicates that the risk of transmitting iatrogenic CJD via surgery are presently low with no cases reported between 2005 and 2017. The incubation periods of CJD range between 1 and 42 years. The infectivity of CJD is likely to be moderated by a number of factors including the recipient’s genotype, the infecting prion strain, and the route of transmission. Published evidence indicates that the combination of reduction of residual mass to </w:t>
      </w:r>
      <w:r w:rsidRPr="00483A7C">
        <w:rPr>
          <w:u w:val="single"/>
          <w:lang w:val="en"/>
        </w:rPr>
        <w:t>&lt;</w:t>
      </w:r>
      <w:r w:rsidRPr="00483A7C">
        <w:rPr>
          <w:lang w:val="en"/>
        </w:rPr>
        <w:t>5</w:t>
      </w:r>
      <w:r w:rsidRPr="00483A7C">
        <w:t xml:space="preserve">µg </w:t>
      </w:r>
      <w:r>
        <w:t xml:space="preserve">residual protein </w:t>
      </w:r>
      <w:r w:rsidRPr="00483A7C">
        <w:t>per instrument</w:t>
      </w:r>
      <w:r>
        <w:t xml:space="preserve"> and keeping instruments in moist or wet conditions prior to autoclaving and sterilisation enhances the efficacy </w:t>
      </w:r>
      <w:r w:rsidR="00BB414E">
        <w:t xml:space="preserve">of </w:t>
      </w:r>
      <w:r>
        <w:t>decontamination strategies as opposed to autoclaving and sterilisation alone.</w:t>
      </w:r>
      <w:r w:rsidRPr="00483A7C">
        <w:rPr>
          <w:lang w:val="en"/>
        </w:rPr>
        <w:t xml:space="preserve"> </w:t>
      </w:r>
      <w:r>
        <w:t xml:space="preserve">A paucity of direct evidence exists to inform the research questions on whether surgical instruments for high-risk procedures stay in their original sets and the risks and benefits of re-usable versus single-use instruments. Evidence to inform about the risk of future surgery for patients undergoing high-risk procedures indicated that between 10% -57% </w:t>
      </w:r>
      <w:r w:rsidR="00140508">
        <w:t xml:space="preserve">(depending on the type of procedure) </w:t>
      </w:r>
      <w:r>
        <w:t xml:space="preserve">of patients have additional procedures within 5-10 years of an index high-risk procedure. </w:t>
      </w:r>
    </w:p>
    <w:p w14:paraId="43750982" w14:textId="77777777" w:rsidR="008D3566" w:rsidRDefault="008D3566" w:rsidP="008D3566">
      <w:pPr>
        <w:autoSpaceDE w:val="0"/>
        <w:autoSpaceDN w:val="0"/>
        <w:adjustRightInd w:val="0"/>
        <w:jc w:val="both"/>
      </w:pPr>
    </w:p>
    <w:p w14:paraId="7BFA980A" w14:textId="77777777" w:rsidR="008D3566" w:rsidRDefault="008D3566" w:rsidP="008D3566">
      <w:pPr>
        <w:autoSpaceDE w:val="0"/>
        <w:autoSpaceDN w:val="0"/>
        <w:adjustRightInd w:val="0"/>
        <w:jc w:val="both"/>
      </w:pPr>
      <w:r>
        <w:t>Whilst n</w:t>
      </w:r>
      <w:r>
        <w:rPr>
          <w:bCs/>
        </w:rPr>
        <w:t>o</w:t>
      </w:r>
      <w:r w:rsidRPr="006C1815">
        <w:t xml:space="preserve"> </w:t>
      </w:r>
      <w:r>
        <w:t>data from the literature were directly used in the model, apart from a paper co-written by authors of this report which detailed and updated the evidence considered for IPG196, selected papers were used in discussion with clinical experts to inform the model parameters.</w:t>
      </w:r>
    </w:p>
    <w:p w14:paraId="57A7B357" w14:textId="77777777" w:rsidR="008D3566" w:rsidRDefault="008D3566" w:rsidP="008D3566">
      <w:pPr>
        <w:autoSpaceDE w:val="0"/>
        <w:autoSpaceDN w:val="0"/>
        <w:adjustRightInd w:val="0"/>
        <w:jc w:val="both"/>
      </w:pPr>
    </w:p>
    <w:p w14:paraId="5797E63F" w14:textId="77777777" w:rsidR="008D3566" w:rsidRDefault="008D3566" w:rsidP="008D3566">
      <w:pPr>
        <w:autoSpaceDE w:val="0"/>
        <w:autoSpaceDN w:val="0"/>
        <w:adjustRightInd w:val="0"/>
        <w:jc w:val="both"/>
      </w:pPr>
      <w:r>
        <w:t>Key results from the cost-effectiveness analyses were that: keeping instruments moist was expected to save money and to provide more health. From a position of keeping instruments moist the cost per quality-adjusted life year (QALY) of single-use instruments was in excess of £2.0 million in all scenarios. From a position of implementing IPG196 and keeping instruments moist the cost per QALY of single-use instruments was in excess of £4.5 million in all scenarios. From a position of keeping instruments moist the cost per QALY of implementing IPG196 was estimated to be in excess of £1.6 million.</w:t>
      </w:r>
    </w:p>
    <w:p w14:paraId="7968F053" w14:textId="77777777" w:rsidR="008D3566" w:rsidRDefault="008D3566" w:rsidP="008D3566">
      <w:pPr>
        <w:autoSpaceDE w:val="0"/>
        <w:autoSpaceDN w:val="0"/>
        <w:adjustRightInd w:val="0"/>
        <w:jc w:val="both"/>
      </w:pPr>
    </w:p>
    <w:p w14:paraId="49D8A081" w14:textId="626898A1" w:rsidR="008D3566" w:rsidRDefault="008D3566" w:rsidP="008D3566">
      <w:pPr>
        <w:autoSpaceDE w:val="0"/>
        <w:autoSpaceDN w:val="0"/>
        <w:adjustRightInd w:val="0"/>
        <w:jc w:val="both"/>
      </w:pPr>
      <w:r>
        <w:t xml:space="preserve">The threshold analyses indicated that assuming a cost-effectiveness threshold of £300,000 per QALY a single-use set (or completely effective detergent) would need to be in the region of £50 assuming that instruments were kept moist. At a cost-effectiveness threshold of £30,000 per QALY this value reduced to £15. Threshold analyses exploring the maximum cost associated with IPG196 indicated that this value was approximately £140,000 (assuming a cost-effectiveness threshold of £300,000) and £15,000 (assuming a cost-effectiveness threshold of £30,000) per surgical unit over a </w:t>
      </w:r>
      <w:r w:rsidR="00AC19B2">
        <w:t>five-year</w:t>
      </w:r>
      <w:r>
        <w:t xml:space="preserve"> period. Analyses undertaken exploring the impact of removing the guidance that patients born after 1996 should have different instrument sets indicated that there would not be a large increase in the numbers of QALYs lost due to stCJD.</w:t>
      </w:r>
    </w:p>
    <w:p w14:paraId="1692548D" w14:textId="77777777" w:rsidR="008D3566" w:rsidRDefault="008D3566" w:rsidP="008D3566">
      <w:pPr>
        <w:autoSpaceDE w:val="0"/>
        <w:autoSpaceDN w:val="0"/>
        <w:adjustRightInd w:val="0"/>
        <w:jc w:val="both"/>
      </w:pPr>
    </w:p>
    <w:p w14:paraId="6421D4EE" w14:textId="125EF59D" w:rsidR="008D3566" w:rsidRPr="001E7487" w:rsidRDefault="008D3566" w:rsidP="008D3566">
      <w:pPr>
        <w:pStyle w:val="Heading2"/>
        <w:rPr>
          <w:szCs w:val="22"/>
        </w:rPr>
      </w:pPr>
      <w:bookmarkStart w:id="17" w:name="_Toc437355191"/>
      <w:bookmarkStart w:id="18" w:name="_Toc462897333"/>
      <w:bookmarkStart w:id="19" w:name="_Toc464205950"/>
      <w:bookmarkStart w:id="20" w:name="_Toc525106656"/>
      <w:r w:rsidRPr="001E7487">
        <w:rPr>
          <w:szCs w:val="22"/>
        </w:rPr>
        <w:t>Discussion</w:t>
      </w:r>
      <w:bookmarkEnd w:id="17"/>
      <w:bookmarkEnd w:id="18"/>
      <w:bookmarkEnd w:id="19"/>
      <w:bookmarkEnd w:id="20"/>
      <w:r w:rsidRPr="001E7487">
        <w:rPr>
          <w:szCs w:val="22"/>
        </w:rPr>
        <w:t xml:space="preserve"> </w:t>
      </w:r>
    </w:p>
    <w:p w14:paraId="761B6458" w14:textId="414386B6" w:rsidR="008D3566" w:rsidRDefault="008D3566" w:rsidP="008D3566">
      <w:pPr>
        <w:jc w:val="both"/>
        <w:rPr>
          <w:sz w:val="20"/>
          <w:szCs w:val="20"/>
        </w:rPr>
      </w:pPr>
      <w:r>
        <w:t>Direct evidence to inform the literature review questions was limited due to the rare nature of CJD, the reliance on historical cases of surgically transmitted CJD, observational data, case-control study designs or animal data. Due to the variety and speciality of the papers included, formal critical appraisal of study quality was not deemed to be useful. The apparent increase in s</w:t>
      </w:r>
      <w:r w:rsidR="00E7009D">
        <w:t>poradic CJD (s</w:t>
      </w:r>
      <w:r>
        <w:t>CJD</w:t>
      </w:r>
      <w:r w:rsidR="00E7009D">
        <w:t>)</w:t>
      </w:r>
      <w:r>
        <w:t xml:space="preserve"> cases noted in several papers is most probably due to improved case ascertainment, population increases and an ageing population. The recent Appendix III study </w:t>
      </w:r>
      <w:r w:rsidR="00885C04" w:rsidRPr="00885C04">
        <w:t xml:space="preserve">detected abnormal prion protein, using </w:t>
      </w:r>
      <w:r w:rsidR="00885C04">
        <w:t>variant CJD (vCJD)</w:t>
      </w:r>
      <w:r w:rsidR="00885C04" w:rsidRPr="00885C04">
        <w:t xml:space="preserve"> specific immunostaining of stored anonymised appendix tissue</w:t>
      </w:r>
      <w:r w:rsidR="006C241D">
        <w:t xml:space="preserve"> in </w:t>
      </w:r>
      <w:r>
        <w:t xml:space="preserve">cohorts </w:t>
      </w:r>
      <w:r w:rsidR="001F607F">
        <w:t xml:space="preserve">of people </w:t>
      </w:r>
      <w:r>
        <w:t xml:space="preserve">considered </w:t>
      </w:r>
      <w:r w:rsidR="00885C04">
        <w:t xml:space="preserve">not </w:t>
      </w:r>
      <w:r>
        <w:t xml:space="preserve">to have had significant exposure the </w:t>
      </w:r>
      <w:r w:rsidR="007F2E5C">
        <w:t>bovine spongiform encephalitis (BSE)</w:t>
      </w:r>
      <w:r>
        <w:t xml:space="preserve"> epidemic</w:t>
      </w:r>
      <w:r w:rsidR="009873F8">
        <w:t xml:space="preserve">. </w:t>
      </w:r>
      <w:r w:rsidR="009873F8" w:rsidRPr="009873F8">
        <w:t>This suggests that either there is low background prevalence of abnormal prion protein staining in human lymphoid tissue that may not b</w:t>
      </w:r>
      <w:r w:rsidR="009873F8">
        <w:t>e related to the BSE epidemic</w:t>
      </w:r>
      <w:r w:rsidR="00885C04" w:rsidRPr="009873F8">
        <w:t>,</w:t>
      </w:r>
      <w:r w:rsidR="00885C04" w:rsidRPr="00885C04">
        <w:t xml:space="preserve"> or that the duration period of human exposure to the BSE epidemic was longer than previously thought.  Whichever interpretation is adopted, the contrast between the prevalence of abnormal prion protein and the number of clinical vCJD cases seen to date suggests that only a few of those with this ‘background’ protein abnorma</w:t>
      </w:r>
      <w:r w:rsidR="00885C04">
        <w:t>lity will develop prion disease</w:t>
      </w:r>
      <w:r w:rsidR="007F2E5C">
        <w:t xml:space="preserve">. </w:t>
      </w:r>
      <w:r w:rsidRPr="001375D1">
        <w:t xml:space="preserve">Whilst many studies </w:t>
      </w:r>
      <w:r>
        <w:t xml:space="preserve">aim to retrospectively investigate the relationship between prior surgery and risk of developing CJD, these case-control designs are prone to bias and confounding. Data on the likely incubation periods of CJD are limited to retrospective data from iatrogenic CJD, vCJD or Kuru cases. As CJD detection methods advance, more accurate confirmation of CJD pathology will be possible from autopsy and excised tissue samples. Evidence on decontamination of surgical instruments is fragmented with no single study assessing the efficacy of all strategies including: reducing residual mass, keeping instruments moist, autoclaving and sterilisation. Comparison of included studies is also problematic due to being conducted under different conditions and in laboratory settings which limit their external validity to the clinical setting. As published data on instrument set-keeping and single-use instruments were not retrieved, no evidence to substantiate or refute anecdotal claims about the drawbacks and merits of reusable versus single-use instruments is available. Data on the risk of future surgery in those undergoing high-risk procedures is limited in its potential to inform the model as it did not focus solely on high-risk procedures and does not compare the risk of additional procedures with control data for those who had not undergone an index high-risk procedure. </w:t>
      </w:r>
      <w:r>
        <w:rPr>
          <w:sz w:val="20"/>
          <w:szCs w:val="20"/>
        </w:rPr>
        <w:t xml:space="preserve"> </w:t>
      </w:r>
    </w:p>
    <w:p w14:paraId="6C2002A9" w14:textId="77777777" w:rsidR="00E7009D" w:rsidRPr="00130B84" w:rsidRDefault="00E7009D" w:rsidP="008D3566">
      <w:pPr>
        <w:jc w:val="both"/>
      </w:pPr>
    </w:p>
    <w:p w14:paraId="13E583E0" w14:textId="21AD7299" w:rsidR="008D3566" w:rsidRDefault="008D3566" w:rsidP="004D0FB6">
      <w:pPr>
        <w:autoSpaceDE w:val="0"/>
        <w:autoSpaceDN w:val="0"/>
        <w:adjustRightInd w:val="0"/>
        <w:jc w:val="both"/>
        <w:rPr>
          <w:bCs/>
        </w:rPr>
      </w:pPr>
      <w:r>
        <w:rPr>
          <w:bCs/>
        </w:rPr>
        <w:t xml:space="preserve">As with any mathematical model attempting to replicate a complex decision problem, simplifications were made. The model structure and the parameterisation of the variables were discussed with the NICE appraisal committee and amended accordingly: it is thus believed that key facets of the decision problem have been incorporated. Whilst </w:t>
      </w:r>
      <w:r w:rsidR="008873FC">
        <w:rPr>
          <w:bCs/>
        </w:rPr>
        <w:t xml:space="preserve">running </w:t>
      </w:r>
      <w:r>
        <w:rPr>
          <w:bCs/>
        </w:rPr>
        <w:t xml:space="preserve">a greater number of probabilistic sensitivity analysis configurations would increase the </w:t>
      </w:r>
      <w:r w:rsidR="008873FC">
        <w:rPr>
          <w:bCs/>
        </w:rPr>
        <w:t>accuracy in the ICER related to uncertainty in parameter estimates. and</w:t>
      </w:r>
      <w:r>
        <w:rPr>
          <w:bCs/>
        </w:rPr>
        <w:t xml:space="preserve"> running more random number streams</w:t>
      </w:r>
      <w:r w:rsidR="008873FC">
        <w:rPr>
          <w:bCs/>
        </w:rPr>
        <w:t xml:space="preserve"> would increase the accuracy for a given PSA configuration</w:t>
      </w:r>
      <w:r>
        <w:rPr>
          <w:bCs/>
        </w:rPr>
        <w:t xml:space="preserve">, the results appear sufficiently robust for decision making. Keeping instruments moist is predicted to save both money and the </w:t>
      </w:r>
      <w:r w:rsidR="004D0FB6">
        <w:rPr>
          <w:bCs/>
        </w:rPr>
        <w:t>risk</w:t>
      </w:r>
      <w:r>
        <w:rPr>
          <w:bCs/>
        </w:rPr>
        <w:t xml:space="preserve"> of future stCJD cases. All other strategies evaluated have ICERs in excess of £1,000,000 per QALY. </w:t>
      </w:r>
      <w:r w:rsidR="007133C9">
        <w:rPr>
          <w:bCs/>
        </w:rPr>
        <w:t xml:space="preserve">The removal of the need for patients born after 1996 to be operated on using separate instruments did not show a marked increase in the number of predicted stCJD cases. </w:t>
      </w:r>
      <w:r>
        <w:rPr>
          <w:bCs/>
        </w:rPr>
        <w:t xml:space="preserve">Throughout the modelling there was a conscious decision to be pessimistic if a choice needed to be made, and thus the cost per QALY estimates are likely to be under-estimates rather than over-estimates. </w:t>
      </w:r>
    </w:p>
    <w:p w14:paraId="6700E9C9" w14:textId="77777777" w:rsidR="008D3566" w:rsidRDefault="008D3566" w:rsidP="008D3566">
      <w:pPr>
        <w:autoSpaceDE w:val="0"/>
        <w:autoSpaceDN w:val="0"/>
        <w:adjustRightInd w:val="0"/>
        <w:jc w:val="both"/>
      </w:pPr>
    </w:p>
    <w:p w14:paraId="2915B3D0" w14:textId="4EC73710" w:rsidR="008D3566" w:rsidRPr="001E7487" w:rsidRDefault="008D3566" w:rsidP="008D3566">
      <w:pPr>
        <w:pStyle w:val="Heading2"/>
        <w:rPr>
          <w:szCs w:val="22"/>
        </w:rPr>
      </w:pPr>
      <w:bookmarkStart w:id="21" w:name="_Toc437355192"/>
      <w:bookmarkStart w:id="22" w:name="_Toc462897334"/>
      <w:bookmarkStart w:id="23" w:name="_Toc464205951"/>
      <w:bookmarkStart w:id="24" w:name="_Toc525106657"/>
      <w:r w:rsidRPr="001E7487">
        <w:rPr>
          <w:szCs w:val="22"/>
        </w:rPr>
        <w:t>Conclusions</w:t>
      </w:r>
      <w:bookmarkEnd w:id="21"/>
      <w:bookmarkEnd w:id="22"/>
      <w:bookmarkEnd w:id="23"/>
      <w:bookmarkEnd w:id="24"/>
      <w:r w:rsidRPr="001E7487">
        <w:rPr>
          <w:szCs w:val="22"/>
        </w:rPr>
        <w:t xml:space="preserve"> </w:t>
      </w:r>
    </w:p>
    <w:p w14:paraId="3998FC4F" w14:textId="77777777" w:rsidR="008D3566" w:rsidRDefault="008D3566" w:rsidP="008D3566">
      <w:pPr>
        <w:autoSpaceDE w:val="0"/>
        <w:autoSpaceDN w:val="0"/>
        <w:adjustRightInd w:val="0"/>
        <w:jc w:val="both"/>
        <w:rPr>
          <w:bCs/>
        </w:rPr>
      </w:pPr>
      <w:r>
        <w:rPr>
          <w:bCs/>
        </w:rPr>
        <w:t>The systematic reviews were comprehensive and inclusive and retrieved studies providing indirect, observational and speculative data to inform about the likelihood of a rare disease being transmitted via surgery. The limited evidence retrieved indicates that there have been no observed cases of stCJD since 2005. Evidence implicating surgery as a risk factor for CJD is restricted to case-control designs. Due to the rarity of the disease and the difficulties in conducting externally valid studies to provide robust evidence for the clinical setting, direct evidence to inform the review questions is limited.</w:t>
      </w:r>
    </w:p>
    <w:p w14:paraId="3D14326C" w14:textId="16D3CE3E" w:rsidR="008D3566" w:rsidRDefault="008D3566" w:rsidP="008D3566">
      <w:pPr>
        <w:autoSpaceDE w:val="0"/>
        <w:autoSpaceDN w:val="0"/>
        <w:adjustRightInd w:val="0"/>
        <w:jc w:val="both"/>
        <w:rPr>
          <w:bCs/>
        </w:rPr>
      </w:pPr>
    </w:p>
    <w:p w14:paraId="4ADF3D43" w14:textId="6F6F4B1F" w:rsidR="008D3566" w:rsidRDefault="008D3566" w:rsidP="004D0FB6">
      <w:pPr>
        <w:autoSpaceDE w:val="0"/>
        <w:autoSpaceDN w:val="0"/>
        <w:adjustRightInd w:val="0"/>
        <w:jc w:val="both"/>
        <w:rPr>
          <w:bCs/>
        </w:rPr>
      </w:pPr>
      <w:r>
        <w:rPr>
          <w:bCs/>
        </w:rPr>
        <w:t xml:space="preserve">The modelling undertaken indicates that keeping surgical instruments moist is a dominant strategy, in that it saves money and also increases societal health. Additional strategies aimed at reducing the future </w:t>
      </w:r>
      <w:r w:rsidR="004D0FB6">
        <w:rPr>
          <w:bCs/>
        </w:rPr>
        <w:t>risk</w:t>
      </w:r>
      <w:r>
        <w:rPr>
          <w:bCs/>
        </w:rPr>
        <w:t xml:space="preserve"> of stCJD cases do not appear to be cost-effective as they have cost per QALY gained estimates in excess of £1,000,000.</w:t>
      </w:r>
      <w:r w:rsidR="007133C9">
        <w:rPr>
          <w:bCs/>
        </w:rPr>
        <w:t xml:space="preserve"> It is estimated that removing the requirement to operate on people born after 1996 with different instruments would not markedly increase the </w:t>
      </w:r>
      <w:r w:rsidR="004D0FB6">
        <w:rPr>
          <w:bCs/>
        </w:rPr>
        <w:t>risk</w:t>
      </w:r>
      <w:r w:rsidR="007133C9">
        <w:rPr>
          <w:bCs/>
        </w:rPr>
        <w:t xml:space="preserve"> of stCJD cases. </w:t>
      </w:r>
    </w:p>
    <w:p w14:paraId="775DEEEB" w14:textId="77777777" w:rsidR="008D3566" w:rsidRPr="00AE6C98" w:rsidRDefault="008D3566" w:rsidP="008D3566">
      <w:pPr>
        <w:autoSpaceDE w:val="0"/>
        <w:autoSpaceDN w:val="0"/>
        <w:adjustRightInd w:val="0"/>
        <w:jc w:val="both"/>
        <w:rPr>
          <w:rFonts w:cs="Times New Roman"/>
        </w:rPr>
      </w:pPr>
    </w:p>
    <w:p w14:paraId="69A3AE9F" w14:textId="77777777" w:rsidR="008D3566" w:rsidRDefault="008D3566" w:rsidP="008D3566">
      <w:pPr>
        <w:jc w:val="both"/>
      </w:pPr>
      <w:r w:rsidRPr="00574941">
        <w:t xml:space="preserve">This study is registered as </w:t>
      </w:r>
      <w:r w:rsidRPr="00373E5D">
        <w:t>PROSPERO CRD42017071807</w:t>
      </w:r>
      <w:r w:rsidRPr="00574941">
        <w:t>.</w:t>
      </w:r>
    </w:p>
    <w:p w14:paraId="476EF057" w14:textId="77777777" w:rsidR="008D3566" w:rsidRDefault="008D3566" w:rsidP="008D3566">
      <w:pPr>
        <w:jc w:val="both"/>
      </w:pPr>
    </w:p>
    <w:p w14:paraId="060706A3" w14:textId="77777777" w:rsidR="008D3566" w:rsidRPr="002B375A" w:rsidRDefault="008D3566" w:rsidP="008D3566">
      <w:pPr>
        <w:autoSpaceDE w:val="0"/>
        <w:autoSpaceDN w:val="0"/>
        <w:adjustRightInd w:val="0"/>
      </w:pPr>
      <w:r w:rsidRPr="002B375A">
        <w:t>Funding</w:t>
      </w:r>
    </w:p>
    <w:p w14:paraId="56964433" w14:textId="77777777" w:rsidR="008D3566" w:rsidRPr="002B375A" w:rsidRDefault="008D3566" w:rsidP="0076576E">
      <w:pPr>
        <w:autoSpaceDE w:val="0"/>
        <w:autoSpaceDN w:val="0"/>
        <w:adjustRightInd w:val="0"/>
        <w:jc w:val="both"/>
      </w:pPr>
      <w:r w:rsidRPr="002B375A">
        <w:t>Funding for this study was provided by the Health Technology Assessment programme of the National Institute for Health Research.</w:t>
      </w:r>
    </w:p>
    <w:p w14:paraId="7DA63362" w14:textId="209EBE27" w:rsidR="00F676EF" w:rsidRPr="008D3566" w:rsidRDefault="00F676EF" w:rsidP="001D65B2">
      <w:pPr>
        <w:rPr>
          <w:rFonts w:eastAsia="Calibri" w:cs="Arial"/>
          <w:b/>
          <w:bCs/>
          <w:kern w:val="32"/>
          <w:sz w:val="28"/>
          <w:szCs w:val="32"/>
        </w:rPr>
      </w:pPr>
      <w:r>
        <w:rPr>
          <w:rFonts w:eastAsia="Calibri"/>
        </w:rPr>
        <w:br w:type="page"/>
      </w:r>
    </w:p>
    <w:p w14:paraId="5BD65110" w14:textId="6BFBEB5D" w:rsidR="00F676EF" w:rsidRPr="003520FD" w:rsidRDefault="00DD794C" w:rsidP="001D65B2">
      <w:pPr>
        <w:pStyle w:val="Heading1"/>
        <w:rPr>
          <w:rFonts w:eastAsia="Calibri"/>
        </w:rPr>
      </w:pPr>
      <w:bookmarkStart w:id="25" w:name="_Toc525106658"/>
      <w:r>
        <w:rPr>
          <w:rFonts w:eastAsia="Calibri"/>
        </w:rPr>
        <w:t>1</w:t>
      </w:r>
      <w:r>
        <w:rPr>
          <w:rFonts w:eastAsia="Calibri"/>
        </w:rPr>
        <w:tab/>
        <w:t>INTRODUCTION</w:t>
      </w:r>
      <w:bookmarkEnd w:id="25"/>
    </w:p>
    <w:p w14:paraId="47F0AA7A" w14:textId="05AE5B04" w:rsidR="00F676EF" w:rsidRDefault="00F676EF" w:rsidP="00560D8C">
      <w:pPr>
        <w:jc w:val="both"/>
        <w:rPr>
          <w:rFonts w:eastAsia="Calibri" w:cs="Times New Roman"/>
        </w:rPr>
      </w:pPr>
      <w:r w:rsidRPr="007A7C51">
        <w:rPr>
          <w:rFonts w:eastAsia="Calibri" w:cs="Times New Roman"/>
        </w:rPr>
        <w:t xml:space="preserve">Creutzfeldt-Jakob disease (CJD) is a progressive, fatal disease affecting the brain. CJD is caused by an abnormal </w:t>
      </w:r>
      <w:r w:rsidR="00C36AC1">
        <w:rPr>
          <w:rFonts w:eastAsia="Calibri" w:cs="Times New Roman"/>
        </w:rPr>
        <w:t xml:space="preserve">transmissible </w:t>
      </w:r>
      <w:r w:rsidRPr="007A7C51">
        <w:rPr>
          <w:rFonts w:eastAsia="Calibri" w:cs="Times New Roman"/>
        </w:rPr>
        <w:t xml:space="preserve">protein called a prion. Once </w:t>
      </w:r>
      <w:r w:rsidR="00C36AC1">
        <w:rPr>
          <w:rFonts w:eastAsia="Calibri" w:cs="Times New Roman"/>
        </w:rPr>
        <w:t>affected</w:t>
      </w:r>
      <w:r w:rsidRPr="007A7C51">
        <w:rPr>
          <w:rFonts w:eastAsia="Calibri" w:cs="Times New Roman"/>
        </w:rPr>
        <w:t xml:space="preserve">, the concentration of CJD prions varies throughout the body, but reaches high levels in the brain and posterior eye, resulting in neurological symptoms including rapidly progressive dementia, extrapyramidal signs and visual symptoms. Most people with </w:t>
      </w:r>
      <w:r w:rsidR="00C10DF2">
        <w:rPr>
          <w:rFonts w:eastAsia="Calibri" w:cs="Times New Roman"/>
        </w:rPr>
        <w:t xml:space="preserve">clinically diagnosed </w:t>
      </w:r>
      <w:r w:rsidRPr="007A7C51">
        <w:rPr>
          <w:rFonts w:eastAsia="Calibri" w:cs="Times New Roman"/>
        </w:rPr>
        <w:t>CJD will die within a year of the symptoms.</w:t>
      </w:r>
    </w:p>
    <w:p w14:paraId="5FFFF898" w14:textId="77777777" w:rsidR="00560D8C" w:rsidRPr="007A7C51" w:rsidRDefault="00560D8C" w:rsidP="00560D8C">
      <w:pPr>
        <w:jc w:val="both"/>
        <w:rPr>
          <w:rFonts w:eastAsia="Calibri" w:cs="Times New Roman"/>
        </w:rPr>
      </w:pPr>
    </w:p>
    <w:p w14:paraId="76C8F816" w14:textId="3B417E5E" w:rsidR="00F676EF" w:rsidRDefault="00F676EF" w:rsidP="00560D8C">
      <w:pPr>
        <w:jc w:val="both"/>
        <w:rPr>
          <w:rFonts w:eastAsia="Calibri" w:cs="Times New Roman"/>
        </w:rPr>
      </w:pPr>
      <w:r w:rsidRPr="007A7C51">
        <w:rPr>
          <w:rFonts w:eastAsia="Calibri" w:cs="Times New Roman"/>
        </w:rPr>
        <w:t>Four classifications of CJD exist: sporadic CJD, variant CJD, genetic CJD and iatrogenic CJD. Referrals of suspected CJD, and values for definitely-related CJD death (with neuropathological confirmation) or probably-related deaths (without neuropathological confirmation) are recorded by the National CJD Research and Surveillance Unit in Edinburgh (NCJDRSU).</w:t>
      </w:r>
      <w:r w:rsidRPr="007A7C51">
        <w:rPr>
          <w:rFonts w:eastAsia="Calibri" w:cs="Times New Roman"/>
        </w:rPr>
        <w:fldChar w:fldCharType="begin"/>
      </w:r>
      <w:r w:rsidR="00892AF6">
        <w:rPr>
          <w:rFonts w:eastAsia="Calibri" w:cs="Times New Roman"/>
        </w:rPr>
        <w:instrText xml:space="preserve"> ADDIN EN.CITE &lt;EndNote&gt;&lt;Cite&gt;&lt;Author&gt;The University of Edinburgh&lt;/Author&gt;&lt;Year&gt;2017&lt;/Year&gt;&lt;RecNum&gt;583&lt;/RecNum&gt;&lt;DisplayText&gt;&lt;style face="superscript"&gt;1&lt;/style&gt;&lt;/DisplayText&gt;&lt;record&gt;&lt;rec-number&gt;583&lt;/rec-number&gt;&lt;foreign-keys&gt;&lt;key app="EN" db-id="vrp0pptazv05wtesfz5vrzsj2p0rv09ttsa9" timestamp="1499838798" guid="ed2e9fbb-6748-4e41-8f56-99399974de37"&gt;583&lt;/key&gt;&lt;/foreign-keys&gt;&lt;ref-type name="Web Page"&gt;12&lt;/ref-type&gt;&lt;contributors&gt;&lt;authors&gt;&lt;author&gt;The University of Edinburgh,&lt;/author&gt;&lt;/authors&gt;&lt;/contributors&gt;&lt;titles&gt;&lt;title&gt;The National CJD Research &amp;amp; Surveilance Unit (NCJDRSU)&lt;/title&gt;&lt;/titles&gt;&lt;number&gt;11.07.2017&lt;/number&gt;&lt;keywords&gt;&lt;keyword&gt;$$Lesley added for protocol&lt;/keyword&gt;&lt;keyword&gt;$$Background&lt;/keyword&gt;&lt;keyword&gt;$$CJD relevant&lt;/keyword&gt;&lt;/keywords&gt;&lt;dates&gt;&lt;year&gt;2017&lt;/year&gt;&lt;/dates&gt;&lt;urls&gt;&lt;related-urls&gt;&lt;url&gt;&lt;style face="underline" font="default" size="100%"&gt;http://www.cjd.ed.ac.uk/&lt;/style&gt;&lt;/url&gt;&lt;/related-urls&gt;&lt;/urls&gt;&lt;/record&gt;&lt;/Cite&gt;&lt;/EndNote&gt;</w:instrText>
      </w:r>
      <w:r w:rsidRPr="007A7C51">
        <w:rPr>
          <w:rFonts w:eastAsia="Calibri" w:cs="Times New Roman"/>
        </w:rPr>
        <w:fldChar w:fldCharType="separate"/>
      </w:r>
      <w:r w:rsidR="001D65B2" w:rsidRPr="001D65B2">
        <w:rPr>
          <w:rFonts w:eastAsia="Calibri" w:cs="Times New Roman"/>
          <w:noProof/>
          <w:vertAlign w:val="superscript"/>
        </w:rPr>
        <w:t>1</w:t>
      </w:r>
      <w:r w:rsidRPr="007A7C51">
        <w:rPr>
          <w:rFonts w:eastAsia="Calibri" w:cs="Times New Roman"/>
        </w:rPr>
        <w:fldChar w:fldCharType="end"/>
      </w:r>
      <w:r w:rsidR="00C10DF2">
        <w:rPr>
          <w:rFonts w:eastAsia="Calibri" w:cs="Times New Roman"/>
        </w:rPr>
        <w:t xml:space="preserve"> This source estimates</w:t>
      </w:r>
      <w:r w:rsidRPr="007A7C51">
        <w:rPr>
          <w:rFonts w:eastAsia="Calibri" w:cs="Times New Roman"/>
        </w:rPr>
        <w:t xml:space="preserve"> that since 1990</w:t>
      </w:r>
      <w:r w:rsidR="00DD440D">
        <w:rPr>
          <w:rFonts w:eastAsia="Calibri" w:cs="Times New Roman"/>
        </w:rPr>
        <w:t>,</w:t>
      </w:r>
      <w:r w:rsidRPr="007A7C51">
        <w:rPr>
          <w:rFonts w:eastAsia="Calibri" w:cs="Times New Roman"/>
        </w:rPr>
        <w:t xml:space="preserve"> there have been 3746 referrals </w:t>
      </w:r>
      <w:r w:rsidR="00843D04">
        <w:rPr>
          <w:rFonts w:eastAsia="Calibri" w:cs="Times New Roman"/>
        </w:rPr>
        <w:t xml:space="preserve">for investigation </w:t>
      </w:r>
      <w:r w:rsidRPr="007A7C51">
        <w:rPr>
          <w:rFonts w:eastAsia="Calibri" w:cs="Times New Roman"/>
        </w:rPr>
        <w:t xml:space="preserve">and 2370 deaths of definite </w:t>
      </w:r>
      <w:r w:rsidR="004011A6" w:rsidRPr="007A7C51">
        <w:rPr>
          <w:rFonts w:eastAsia="Calibri" w:cs="Times New Roman"/>
        </w:rPr>
        <w:t xml:space="preserve">or </w:t>
      </w:r>
      <w:r w:rsidR="00C10DF2">
        <w:rPr>
          <w:rFonts w:eastAsia="Calibri" w:cs="Times New Roman"/>
        </w:rPr>
        <w:t>probable CJD (as of</w:t>
      </w:r>
      <w:r w:rsidRPr="007A7C51">
        <w:rPr>
          <w:rFonts w:eastAsia="Calibri" w:cs="Times New Roman"/>
        </w:rPr>
        <w:t xml:space="preserve"> 8</w:t>
      </w:r>
      <w:r w:rsidRPr="007A7C51">
        <w:rPr>
          <w:rFonts w:eastAsia="Calibri" w:cs="Times New Roman"/>
          <w:vertAlign w:val="superscript"/>
        </w:rPr>
        <w:t>th</w:t>
      </w:r>
      <w:r w:rsidRPr="007A7C51">
        <w:rPr>
          <w:rFonts w:eastAsia="Calibri" w:cs="Times New Roman"/>
        </w:rPr>
        <w:t xml:space="preserve"> January 2018</w:t>
      </w:r>
      <w:r w:rsidR="00C10DF2">
        <w:rPr>
          <w:rFonts w:eastAsia="Calibri" w:cs="Times New Roman"/>
        </w:rPr>
        <w:t>)</w:t>
      </w:r>
      <w:r w:rsidRPr="007A7C51">
        <w:rPr>
          <w:rFonts w:eastAsia="Calibri" w:cs="Times New Roman"/>
        </w:rPr>
        <w:t>.</w:t>
      </w:r>
    </w:p>
    <w:p w14:paraId="79F0CEEF" w14:textId="77777777" w:rsidR="00560D8C" w:rsidRPr="007A7C51" w:rsidRDefault="00560D8C" w:rsidP="00560D8C">
      <w:pPr>
        <w:jc w:val="both"/>
        <w:rPr>
          <w:rFonts w:eastAsia="Calibri" w:cs="Times New Roman"/>
        </w:rPr>
      </w:pPr>
    </w:p>
    <w:p w14:paraId="1CF0CAD4" w14:textId="12C1EAD1" w:rsidR="003F504C" w:rsidRDefault="00F676EF" w:rsidP="00560D8C">
      <w:pPr>
        <w:jc w:val="both"/>
        <w:rPr>
          <w:rFonts w:eastAsia="Calibri" w:cs="Times New Roman"/>
        </w:rPr>
      </w:pPr>
      <w:r w:rsidRPr="007A7C51">
        <w:rPr>
          <w:rFonts w:eastAsia="Calibri" w:cs="Times New Roman"/>
        </w:rPr>
        <w:t xml:space="preserve">Sporadic CJD </w:t>
      </w:r>
      <w:r w:rsidR="007F72F0" w:rsidRPr="007A7C51">
        <w:rPr>
          <w:rFonts w:eastAsia="Calibri" w:cs="Times New Roman"/>
        </w:rPr>
        <w:t xml:space="preserve">(sCJD) </w:t>
      </w:r>
      <w:r w:rsidRPr="007A7C51">
        <w:rPr>
          <w:rFonts w:eastAsia="Calibri" w:cs="Times New Roman"/>
        </w:rPr>
        <w:t xml:space="preserve">has historically been the most common type of CJD, </w:t>
      </w:r>
      <w:r w:rsidR="00942194" w:rsidRPr="007A7C51">
        <w:rPr>
          <w:rFonts w:eastAsia="Calibri" w:cs="Times New Roman"/>
        </w:rPr>
        <w:t>accounting</w:t>
      </w:r>
      <w:r w:rsidRPr="007A7C51">
        <w:rPr>
          <w:rFonts w:eastAsia="Calibri" w:cs="Times New Roman"/>
        </w:rPr>
        <w:t xml:space="preserve"> for around </w:t>
      </w:r>
      <w:r w:rsidR="00942194" w:rsidRPr="007A7C51">
        <w:rPr>
          <w:rFonts w:eastAsia="Calibri" w:cs="Times New Roman"/>
        </w:rPr>
        <w:t>85% of CJD cases</w:t>
      </w:r>
      <w:r w:rsidR="007F72F0" w:rsidRPr="007A7C51">
        <w:rPr>
          <w:rFonts w:eastAsia="Calibri" w:cs="Times New Roman"/>
        </w:rPr>
        <w:t>. The cause of s</w:t>
      </w:r>
      <w:r w:rsidR="00AC4615" w:rsidRPr="007A7C51">
        <w:rPr>
          <w:rFonts w:eastAsia="Calibri" w:cs="Times New Roman"/>
        </w:rPr>
        <w:t>CJD occurs due to apparently spontaneous generation of an abnormal isoform of prion protein (PrP</w:t>
      </w:r>
      <w:r w:rsidR="00AC4615" w:rsidRPr="007A7C51">
        <w:rPr>
          <w:rFonts w:eastAsia="Calibri" w:cs="Times New Roman"/>
          <w:vertAlign w:val="superscript"/>
        </w:rPr>
        <w:t>Sc</w:t>
      </w:r>
      <w:r w:rsidR="00AC4615" w:rsidRPr="007A7C51">
        <w:rPr>
          <w:rFonts w:eastAsia="Calibri" w:cs="Times New Roman"/>
        </w:rPr>
        <w:t>)</w:t>
      </w:r>
      <w:r w:rsidR="00007540" w:rsidRPr="007A7C51">
        <w:rPr>
          <w:rFonts w:eastAsia="Calibri" w:cs="Times New Roman"/>
        </w:rPr>
        <w:t xml:space="preserve">. sCJD </w:t>
      </w:r>
      <w:r w:rsidR="00942194" w:rsidRPr="007A7C51">
        <w:rPr>
          <w:rFonts w:eastAsia="Calibri" w:cs="Times New Roman"/>
        </w:rPr>
        <w:t>generally occurs later in life with a mean age of 6</w:t>
      </w:r>
      <w:r w:rsidR="00F701C6" w:rsidRPr="007A7C51">
        <w:rPr>
          <w:rFonts w:eastAsia="Calibri" w:cs="Times New Roman"/>
        </w:rPr>
        <w:t>7</w:t>
      </w:r>
      <w:r w:rsidR="00C10DF2">
        <w:rPr>
          <w:rFonts w:eastAsia="Calibri" w:cs="Times New Roman"/>
        </w:rPr>
        <w:t xml:space="preserve"> years</w:t>
      </w:r>
      <w:r w:rsidR="00F701C6" w:rsidRPr="007A7C51">
        <w:rPr>
          <w:rFonts w:eastAsia="Calibri" w:cs="Times New Roman"/>
        </w:rPr>
        <w:t xml:space="preserve"> and </w:t>
      </w:r>
      <w:r w:rsidR="00007540" w:rsidRPr="007A7C51">
        <w:rPr>
          <w:rFonts w:eastAsia="Calibri" w:cs="Times New Roman"/>
        </w:rPr>
        <w:t xml:space="preserve">has </w:t>
      </w:r>
      <w:r w:rsidR="00F701C6" w:rsidRPr="007A7C51">
        <w:rPr>
          <w:rFonts w:eastAsia="Calibri" w:cs="Times New Roman"/>
        </w:rPr>
        <w:t>a</w:t>
      </w:r>
      <w:r w:rsidR="00007540" w:rsidRPr="007A7C51">
        <w:rPr>
          <w:rFonts w:eastAsia="Calibri" w:cs="Times New Roman"/>
        </w:rPr>
        <w:t xml:space="preserve"> short</w:t>
      </w:r>
      <w:r w:rsidR="00AC19B2">
        <w:rPr>
          <w:rFonts w:eastAsia="Calibri" w:cs="Times New Roman"/>
        </w:rPr>
        <w:t xml:space="preserve"> survival post-diagnosis</w:t>
      </w:r>
      <w:r w:rsidR="00F701C6" w:rsidRPr="007A7C51">
        <w:rPr>
          <w:rFonts w:eastAsia="Calibri" w:cs="Times New Roman"/>
        </w:rPr>
        <w:t xml:space="preserve"> of around 4 months</w:t>
      </w:r>
      <w:r w:rsidRPr="007A7C51">
        <w:rPr>
          <w:rFonts w:eastAsia="Calibri" w:cs="Times New Roman"/>
        </w:rPr>
        <w:t>.</w:t>
      </w:r>
      <w:r w:rsidR="003861AC">
        <w:rPr>
          <w:rFonts w:eastAsia="Calibri" w:cs="Times New Roman"/>
        </w:rPr>
        <w:fldChar w:fldCharType="begin"/>
      </w:r>
      <w:r w:rsidR="00D63CDB">
        <w:rPr>
          <w:rFonts w:eastAsia="Calibri" w:cs="Times New Roman"/>
        </w:rPr>
        <w:instrText xml:space="preserve"> ADDIN EN.CITE &lt;EndNote&gt;&lt;Cite&gt;&lt;Author&gt;National CJD Research &amp;amp; Surveillance Unit&lt;/Author&gt;&lt;Year&gt;2016&lt;/Year&gt;&lt;RecNum&gt;10247&lt;/RecNum&gt;&lt;DisplayText&gt;&lt;style face="superscript"&gt;2&lt;/style&gt;&lt;/DisplayText&gt;&lt;record&gt;&lt;rec-number&gt;10247&lt;/rec-number&gt;&lt;foreign-keys&gt;&lt;key app="EN" db-id="vrp0pptazv05wtesfz5vrzsj2p0rv09ttsa9" timestamp="1520851581" guid="2d57af3e-e0a8-492f-890b-635cc5992b00"&gt;10247&lt;/key&gt;&lt;/foreign-keys&gt;&lt;ref-type name="Report"&gt;27&lt;/ref-type&gt;&lt;contributors&gt;&lt;authors&gt;&lt;author&gt;National CJD Research &amp;amp; Surveillance Unit,&lt;/author&gt;&lt;/authors&gt;&lt;/contributors&gt;&lt;titles&gt;&lt;title&gt;Creutzfeldt-Jakob Disease Surveillance in the UK: 25th Annual Report 2016&lt;/title&gt;&lt;/titles&gt;&lt;keywords&gt;&lt;keyword&gt;$$LU_1_prevalence CJD&lt;/keyword&gt;&lt;keyword&gt;$$Lesley google&lt;/keyword&gt;&lt;keyword&gt;$$Background&lt;/keyword&gt;&lt;/keywords&gt;&lt;dates&gt;&lt;year&gt;2016&lt;/year&gt;&lt;/dates&gt;&lt;publisher&gt;The National CJD Research &amp;amp; Surveillance Unit, Western General Hospital, Edinburgh, EH4 2XU&lt;/publisher&gt;&lt;urls&gt;&lt;related-urls&gt;&lt;url&gt;https://www.cjd.ed.ac.uk/sites/default/files/report25.pdf&lt;/url&gt;&lt;/related-urls&gt;&lt;/urls&gt;&lt;access-date&gt;23.01.18&lt;/access-date&gt;&lt;/record&gt;&lt;/Cite&gt;&lt;/EndNote&gt;</w:instrText>
      </w:r>
      <w:r w:rsidR="003861AC">
        <w:rPr>
          <w:rFonts w:eastAsia="Calibri" w:cs="Times New Roman"/>
        </w:rPr>
        <w:fldChar w:fldCharType="separate"/>
      </w:r>
      <w:r w:rsidR="001D65B2" w:rsidRPr="001D65B2">
        <w:rPr>
          <w:rFonts w:eastAsia="Calibri" w:cs="Times New Roman"/>
          <w:noProof/>
          <w:vertAlign w:val="superscript"/>
        </w:rPr>
        <w:t>2</w:t>
      </w:r>
      <w:r w:rsidR="003861AC">
        <w:rPr>
          <w:rFonts w:eastAsia="Calibri" w:cs="Times New Roman"/>
        </w:rPr>
        <w:fldChar w:fldCharType="end"/>
      </w:r>
      <w:r w:rsidRPr="007A7C51">
        <w:rPr>
          <w:rFonts w:eastAsia="Calibri" w:cs="Times New Roman"/>
        </w:rPr>
        <w:t xml:space="preserve"> </w:t>
      </w:r>
      <w:r w:rsidR="00EB62E1" w:rsidRPr="007A7C51">
        <w:rPr>
          <w:rFonts w:eastAsia="Calibri" w:cs="Times New Roman"/>
        </w:rPr>
        <w:t>Whilst there is evidence of a genetic predisposition to sCJD</w:t>
      </w:r>
      <w:r w:rsidR="00347548" w:rsidRPr="007A7C51">
        <w:rPr>
          <w:rFonts w:eastAsia="Calibri" w:cs="Times New Roman"/>
        </w:rPr>
        <w:t>,</w:t>
      </w:r>
      <w:r w:rsidR="00EB62E1" w:rsidRPr="007A7C51">
        <w:rPr>
          <w:rFonts w:eastAsia="Calibri" w:cs="Times New Roman"/>
        </w:rPr>
        <w:t xml:space="preserve"> the precise cause of the disorder is unknown.</w:t>
      </w:r>
    </w:p>
    <w:p w14:paraId="34F49C93" w14:textId="77777777" w:rsidR="00560D8C" w:rsidRPr="007A7C51" w:rsidRDefault="00560D8C" w:rsidP="00560D8C">
      <w:pPr>
        <w:jc w:val="both"/>
        <w:rPr>
          <w:rFonts w:eastAsia="Calibri" w:cs="Times New Roman"/>
        </w:rPr>
      </w:pPr>
    </w:p>
    <w:p w14:paraId="16E2682B" w14:textId="71C4B8FC" w:rsidR="00F676EF" w:rsidRDefault="00942194" w:rsidP="00560D8C">
      <w:pPr>
        <w:jc w:val="both"/>
        <w:rPr>
          <w:rFonts w:eastAsia="Calibri" w:cs="Times New Roman"/>
        </w:rPr>
      </w:pPr>
      <w:r w:rsidRPr="007A7C51">
        <w:rPr>
          <w:rFonts w:eastAsia="Calibri" w:cs="Times New Roman"/>
        </w:rPr>
        <w:t>Genetic CJD</w:t>
      </w:r>
      <w:r w:rsidR="007F72F0" w:rsidRPr="007A7C51">
        <w:rPr>
          <w:rFonts w:eastAsia="Calibri" w:cs="Times New Roman"/>
        </w:rPr>
        <w:t xml:space="preserve"> (gCJD)</w:t>
      </w:r>
      <w:r w:rsidRPr="007A7C51">
        <w:rPr>
          <w:rFonts w:eastAsia="Calibri" w:cs="Times New Roman"/>
        </w:rPr>
        <w:t>, also known as f</w:t>
      </w:r>
      <w:r w:rsidR="00F676EF" w:rsidRPr="007A7C51">
        <w:rPr>
          <w:rFonts w:eastAsia="Calibri" w:cs="Times New Roman"/>
        </w:rPr>
        <w:t>amilial or</w:t>
      </w:r>
      <w:r w:rsidRPr="007A7C51">
        <w:rPr>
          <w:rFonts w:eastAsia="Calibri" w:cs="Times New Roman"/>
        </w:rPr>
        <w:t xml:space="preserve"> inherited</w:t>
      </w:r>
      <w:r w:rsidR="00F676EF" w:rsidRPr="007A7C51">
        <w:rPr>
          <w:rFonts w:eastAsia="Calibri" w:cs="Times New Roman"/>
        </w:rPr>
        <w:t xml:space="preserve"> CJD </w:t>
      </w:r>
      <w:r w:rsidRPr="007A7C51">
        <w:rPr>
          <w:rFonts w:eastAsia="Calibri" w:cs="Times New Roman"/>
        </w:rPr>
        <w:t xml:space="preserve">is </w:t>
      </w:r>
      <w:r w:rsidR="003F504C" w:rsidRPr="007A7C51">
        <w:rPr>
          <w:rFonts w:eastAsia="Calibri" w:cs="Times New Roman"/>
        </w:rPr>
        <w:t xml:space="preserve">associated with pathogenic mutation in the </w:t>
      </w:r>
      <w:r w:rsidR="002A59F8">
        <w:rPr>
          <w:rFonts w:eastAsia="Calibri" w:cs="Times New Roman"/>
        </w:rPr>
        <w:t xml:space="preserve">prion protein </w:t>
      </w:r>
      <w:r w:rsidR="003F504C" w:rsidRPr="007A7C51">
        <w:rPr>
          <w:rFonts w:eastAsia="Calibri" w:cs="Times New Roman"/>
        </w:rPr>
        <w:t xml:space="preserve">gene </w:t>
      </w:r>
      <w:r w:rsidR="002A59F8">
        <w:rPr>
          <w:rFonts w:eastAsia="Calibri" w:cs="Times New Roman"/>
        </w:rPr>
        <w:t>(</w:t>
      </w:r>
      <w:r w:rsidR="002A59F8" w:rsidRPr="007A7C51">
        <w:rPr>
          <w:rFonts w:eastAsia="Calibri" w:cs="Times New Roman"/>
        </w:rPr>
        <w:t>PRNP</w:t>
      </w:r>
      <w:r w:rsidR="002A59F8">
        <w:rPr>
          <w:rFonts w:eastAsia="Calibri" w:cs="Times New Roman"/>
        </w:rPr>
        <w:t>)</w:t>
      </w:r>
      <w:r w:rsidR="002A59F8" w:rsidRPr="007A7C51">
        <w:rPr>
          <w:rFonts w:eastAsia="Calibri" w:cs="Times New Roman"/>
        </w:rPr>
        <w:t xml:space="preserve"> </w:t>
      </w:r>
      <w:r w:rsidRPr="007A7C51">
        <w:rPr>
          <w:rFonts w:eastAsia="Calibri" w:cs="Times New Roman"/>
        </w:rPr>
        <w:t xml:space="preserve">and </w:t>
      </w:r>
      <w:r w:rsidR="003F504C" w:rsidRPr="007A7C51">
        <w:rPr>
          <w:rFonts w:eastAsia="Calibri" w:cs="Times New Roman"/>
        </w:rPr>
        <w:t xml:space="preserve">includes </w:t>
      </w:r>
      <w:r w:rsidR="00D642BF" w:rsidRPr="007A7C51">
        <w:rPr>
          <w:rFonts w:eastAsia="Calibri" w:cs="Times New Roman"/>
        </w:rPr>
        <w:t xml:space="preserve">conditions known as </w:t>
      </w:r>
      <w:r w:rsidR="003F504C" w:rsidRPr="007A7C51">
        <w:rPr>
          <w:rFonts w:eastAsia="Calibri" w:cs="Times New Roman"/>
        </w:rPr>
        <w:t>fatal familial insomnia and Gerstmann-Schäussler-Scheinker</w:t>
      </w:r>
      <w:r w:rsidR="007F72F0" w:rsidRPr="007A7C51">
        <w:rPr>
          <w:rFonts w:eastAsia="Calibri" w:cs="Times New Roman"/>
        </w:rPr>
        <w:t xml:space="preserve"> </w:t>
      </w:r>
      <w:r w:rsidR="00A40FCD">
        <w:rPr>
          <w:rFonts w:eastAsia="Calibri" w:cs="Times New Roman"/>
        </w:rPr>
        <w:t xml:space="preserve">(GSS) </w:t>
      </w:r>
      <w:r w:rsidR="007F72F0" w:rsidRPr="007A7C51">
        <w:rPr>
          <w:rFonts w:eastAsia="Calibri" w:cs="Times New Roman"/>
        </w:rPr>
        <w:t>syndrome</w:t>
      </w:r>
      <w:r w:rsidR="003F504C" w:rsidRPr="007A7C51">
        <w:rPr>
          <w:rFonts w:eastAsia="Calibri" w:cs="Times New Roman"/>
        </w:rPr>
        <w:t xml:space="preserve">. Together gCJD </w:t>
      </w:r>
      <w:r w:rsidR="00F676EF" w:rsidRPr="007A7C51">
        <w:rPr>
          <w:rFonts w:eastAsia="Calibri" w:cs="Times New Roman"/>
        </w:rPr>
        <w:t xml:space="preserve">accounts for </w:t>
      </w:r>
      <w:r w:rsidRPr="007A7C51">
        <w:rPr>
          <w:rFonts w:eastAsia="Calibri" w:cs="Times New Roman"/>
        </w:rPr>
        <w:t>between 5-15% of CJD</w:t>
      </w:r>
      <w:r w:rsidR="003F504C" w:rsidRPr="007A7C51">
        <w:rPr>
          <w:rFonts w:eastAsia="Calibri" w:cs="Times New Roman"/>
        </w:rPr>
        <w:t xml:space="preserve"> cases</w:t>
      </w:r>
      <w:r w:rsidRPr="007A7C51">
        <w:rPr>
          <w:rFonts w:eastAsia="Calibri" w:cs="Times New Roman"/>
        </w:rPr>
        <w:t xml:space="preserve"> or </w:t>
      </w:r>
      <w:r w:rsidR="00F676EF" w:rsidRPr="007A7C51">
        <w:rPr>
          <w:rFonts w:eastAsia="Calibri" w:cs="Times New Roman"/>
        </w:rPr>
        <w:t>appro</w:t>
      </w:r>
      <w:r w:rsidRPr="007A7C51">
        <w:rPr>
          <w:rFonts w:eastAsia="Calibri" w:cs="Times New Roman"/>
        </w:rPr>
        <w:t xml:space="preserve">ximately 10 CJD </w:t>
      </w:r>
      <w:r w:rsidR="00F676EF" w:rsidRPr="007A7C51">
        <w:rPr>
          <w:rFonts w:eastAsia="Calibri" w:cs="Times New Roman"/>
        </w:rPr>
        <w:t xml:space="preserve">deaths </w:t>
      </w:r>
      <w:r w:rsidRPr="007A7C51">
        <w:rPr>
          <w:rFonts w:eastAsia="Calibri" w:cs="Times New Roman"/>
        </w:rPr>
        <w:t xml:space="preserve">in the UK </w:t>
      </w:r>
      <w:r w:rsidR="00F676EF" w:rsidRPr="007A7C51">
        <w:rPr>
          <w:rFonts w:eastAsia="Calibri" w:cs="Times New Roman"/>
        </w:rPr>
        <w:t>per year.</w:t>
      </w:r>
      <w:r w:rsidR="003F504C" w:rsidRPr="007A7C51">
        <w:rPr>
          <w:rFonts w:eastAsia="Calibri" w:cs="Times New Roman"/>
        </w:rPr>
        <w:t xml:space="preserve"> </w:t>
      </w:r>
    </w:p>
    <w:p w14:paraId="272777D0" w14:textId="77777777" w:rsidR="00560D8C" w:rsidRPr="007A7C51" w:rsidRDefault="00560D8C" w:rsidP="00560D8C">
      <w:pPr>
        <w:jc w:val="both"/>
        <w:rPr>
          <w:rFonts w:eastAsia="Calibri" w:cs="Times New Roman"/>
        </w:rPr>
      </w:pPr>
    </w:p>
    <w:p w14:paraId="06C2FCFC" w14:textId="60BF562E" w:rsidR="00F676EF" w:rsidRDefault="00F676EF" w:rsidP="00560D8C">
      <w:pPr>
        <w:jc w:val="both"/>
        <w:rPr>
          <w:rFonts w:eastAsia="Calibri" w:cs="Times New Roman"/>
        </w:rPr>
      </w:pPr>
      <w:r w:rsidRPr="007A7C51">
        <w:rPr>
          <w:rFonts w:eastAsia="Calibri" w:cs="Times New Roman"/>
        </w:rPr>
        <w:t xml:space="preserve">Variant CJD (vCJD) was observed following the exposure of the UK population during the late 1980s and early 1990s to bovine spongiform encephalopathy (BSE) that was </w:t>
      </w:r>
      <w:r w:rsidR="00C10DF2">
        <w:rPr>
          <w:rFonts w:eastAsia="Calibri" w:cs="Times New Roman"/>
        </w:rPr>
        <w:t xml:space="preserve">presumed to be </w:t>
      </w:r>
      <w:r w:rsidRPr="007A7C51">
        <w:rPr>
          <w:rFonts w:eastAsia="Calibri" w:cs="Times New Roman"/>
        </w:rPr>
        <w:t>transmitted to humans by eating food contaminated with the brain, spinal cord, or digestive tract of infec</w:t>
      </w:r>
      <w:r w:rsidR="00D642BF" w:rsidRPr="007A7C51">
        <w:rPr>
          <w:rFonts w:eastAsia="Calibri" w:cs="Times New Roman"/>
        </w:rPr>
        <w:t>ted carcasses. The vCJD</w:t>
      </w:r>
      <w:r w:rsidRPr="007A7C51">
        <w:rPr>
          <w:rFonts w:eastAsia="Calibri" w:cs="Times New Roman"/>
        </w:rPr>
        <w:t xml:space="preserve"> epidemic </w:t>
      </w:r>
      <w:r w:rsidR="007F72F0" w:rsidRPr="007A7C51">
        <w:rPr>
          <w:rFonts w:eastAsia="Calibri" w:cs="Times New Roman"/>
        </w:rPr>
        <w:t>peaked</w:t>
      </w:r>
      <w:r w:rsidRPr="007A7C51">
        <w:rPr>
          <w:rFonts w:eastAsia="Calibri" w:cs="Times New Roman"/>
        </w:rPr>
        <w:t xml:space="preserve"> </w:t>
      </w:r>
      <w:r w:rsidR="007F72F0" w:rsidRPr="007A7C51">
        <w:rPr>
          <w:rFonts w:eastAsia="Calibri" w:cs="Times New Roman"/>
        </w:rPr>
        <w:t>in 2000 with</w:t>
      </w:r>
      <w:r w:rsidRPr="007A7C51">
        <w:rPr>
          <w:rFonts w:eastAsia="Calibri" w:cs="Times New Roman"/>
        </w:rPr>
        <w:t xml:space="preserve"> 28</w:t>
      </w:r>
      <w:r w:rsidR="007F72F0" w:rsidRPr="007A7C51">
        <w:rPr>
          <w:rFonts w:eastAsia="Calibri" w:cs="Times New Roman"/>
        </w:rPr>
        <w:t xml:space="preserve"> deaths</w:t>
      </w:r>
      <w:r w:rsidR="00D75F9E" w:rsidRPr="007A7C51">
        <w:rPr>
          <w:rFonts w:eastAsia="Calibri" w:cs="Times New Roman"/>
        </w:rPr>
        <w:t xml:space="preserve"> and </w:t>
      </w:r>
      <w:r w:rsidR="00D642BF" w:rsidRPr="007A7C51">
        <w:rPr>
          <w:rFonts w:eastAsia="Calibri" w:cs="Times New Roman"/>
        </w:rPr>
        <w:t>has declined</w:t>
      </w:r>
      <w:r w:rsidR="00D75F9E" w:rsidRPr="007A7C51">
        <w:rPr>
          <w:rFonts w:eastAsia="Calibri" w:cs="Times New Roman"/>
        </w:rPr>
        <w:t xml:space="preserve"> since</w:t>
      </w:r>
      <w:r w:rsidR="00D642BF" w:rsidRPr="007A7C51">
        <w:rPr>
          <w:rFonts w:eastAsia="Calibri" w:cs="Times New Roman"/>
        </w:rPr>
        <w:t xml:space="preserve"> </w:t>
      </w:r>
      <w:r w:rsidRPr="007A7C51">
        <w:rPr>
          <w:rFonts w:eastAsia="Calibri" w:cs="Times New Roman"/>
        </w:rPr>
        <w:t xml:space="preserve">with only two </w:t>
      </w:r>
      <w:r w:rsidR="00AC19B2">
        <w:rPr>
          <w:rFonts w:eastAsia="Calibri" w:cs="Times New Roman"/>
        </w:rPr>
        <w:t>“</w:t>
      </w:r>
      <w:r w:rsidRPr="007A7C51">
        <w:rPr>
          <w:rFonts w:eastAsia="Calibri" w:cs="Times New Roman"/>
        </w:rPr>
        <w:t>definite or probabl</w:t>
      </w:r>
      <w:r w:rsidR="00D2239E" w:rsidRPr="007A7C51">
        <w:rPr>
          <w:rFonts w:eastAsia="Calibri" w:cs="Times New Roman"/>
        </w:rPr>
        <w:t>e</w:t>
      </w:r>
      <w:r w:rsidR="00AC19B2">
        <w:rPr>
          <w:rFonts w:eastAsia="Calibri" w:cs="Times New Roman"/>
        </w:rPr>
        <w:t>”</w:t>
      </w:r>
      <w:r w:rsidR="00D2239E" w:rsidRPr="007A7C51">
        <w:rPr>
          <w:rFonts w:eastAsia="Calibri" w:cs="Times New Roman"/>
        </w:rPr>
        <w:t xml:space="preserve"> vCJD</w:t>
      </w:r>
      <w:r w:rsidRPr="007A7C51">
        <w:rPr>
          <w:rFonts w:eastAsia="Calibri" w:cs="Times New Roman"/>
        </w:rPr>
        <w:t xml:space="preserve"> deaths reported since 2012. The majority of cases </w:t>
      </w:r>
      <w:r w:rsidR="00D642BF" w:rsidRPr="007A7C51">
        <w:rPr>
          <w:rFonts w:eastAsia="Calibri" w:cs="Times New Roman"/>
        </w:rPr>
        <w:t xml:space="preserve">have </w:t>
      </w:r>
      <w:r w:rsidRPr="007A7C51">
        <w:rPr>
          <w:rFonts w:eastAsia="Calibri" w:cs="Times New Roman"/>
        </w:rPr>
        <w:t xml:space="preserve">occurred in </w:t>
      </w:r>
      <w:r w:rsidR="00D642BF" w:rsidRPr="007A7C51">
        <w:rPr>
          <w:rFonts w:eastAsia="Calibri" w:cs="Times New Roman"/>
        </w:rPr>
        <w:t>a younger population than observed in sporadic CJD with a mean age of 2</w:t>
      </w:r>
      <w:r w:rsidR="00F701C6" w:rsidRPr="007A7C51">
        <w:rPr>
          <w:rFonts w:eastAsia="Calibri" w:cs="Times New Roman"/>
        </w:rPr>
        <w:t xml:space="preserve">6 years. The </w:t>
      </w:r>
      <w:r w:rsidR="00140508">
        <w:rPr>
          <w:rFonts w:eastAsia="Calibri" w:cs="Times New Roman"/>
        </w:rPr>
        <w:t xml:space="preserve">median </w:t>
      </w:r>
      <w:r w:rsidR="00F701C6" w:rsidRPr="007A7C51">
        <w:rPr>
          <w:rFonts w:eastAsia="Calibri" w:cs="Times New Roman"/>
        </w:rPr>
        <w:t xml:space="preserve">disease duration </w:t>
      </w:r>
      <w:r w:rsidR="004F6837">
        <w:rPr>
          <w:rFonts w:eastAsia="Calibri" w:cs="Times New Roman"/>
        </w:rPr>
        <w:t>post</w:t>
      </w:r>
      <w:r w:rsidR="00DD440D">
        <w:rPr>
          <w:rFonts w:eastAsia="Calibri" w:cs="Times New Roman"/>
        </w:rPr>
        <w:t>-</w:t>
      </w:r>
      <w:r w:rsidR="004F6837">
        <w:rPr>
          <w:rFonts w:eastAsia="Calibri" w:cs="Times New Roman"/>
        </w:rPr>
        <w:t xml:space="preserve">diagnosis </w:t>
      </w:r>
      <w:r w:rsidR="00F701C6" w:rsidRPr="007A7C51">
        <w:rPr>
          <w:rFonts w:eastAsia="Calibri" w:cs="Times New Roman"/>
        </w:rPr>
        <w:t xml:space="preserve">is longer </w:t>
      </w:r>
      <w:r w:rsidR="00140508">
        <w:rPr>
          <w:rFonts w:eastAsia="Calibri" w:cs="Times New Roman"/>
        </w:rPr>
        <w:t xml:space="preserve">in vCJD </w:t>
      </w:r>
      <w:r w:rsidR="00140508" w:rsidRPr="007A7C51">
        <w:rPr>
          <w:rFonts w:eastAsia="Calibri" w:cs="Times New Roman"/>
        </w:rPr>
        <w:t>(14 months)</w:t>
      </w:r>
      <w:r w:rsidR="00140508">
        <w:rPr>
          <w:rFonts w:eastAsia="Calibri" w:cs="Times New Roman"/>
        </w:rPr>
        <w:t xml:space="preserve"> </w:t>
      </w:r>
      <w:r w:rsidR="00F701C6" w:rsidRPr="007A7C51">
        <w:rPr>
          <w:rFonts w:eastAsia="Calibri" w:cs="Times New Roman"/>
        </w:rPr>
        <w:t>than observed in sCJD. A</w:t>
      </w:r>
      <w:r w:rsidRPr="007A7C51">
        <w:rPr>
          <w:rFonts w:eastAsia="Calibri" w:cs="Times New Roman"/>
        </w:rPr>
        <w:t>ll people who have contracted</w:t>
      </w:r>
      <w:r w:rsidR="00D642BF" w:rsidRPr="007A7C51">
        <w:rPr>
          <w:rFonts w:eastAsia="Calibri" w:cs="Times New Roman"/>
        </w:rPr>
        <w:t xml:space="preserve"> clinical</w:t>
      </w:r>
      <w:r w:rsidR="004F6837">
        <w:rPr>
          <w:rFonts w:eastAsia="Calibri" w:cs="Times New Roman"/>
        </w:rPr>
        <w:t>ly observed</w:t>
      </w:r>
      <w:r w:rsidR="00140508">
        <w:rPr>
          <w:rFonts w:eastAsia="Calibri" w:cs="Times New Roman"/>
        </w:rPr>
        <w:t xml:space="preserve"> vCJD have died.</w:t>
      </w:r>
    </w:p>
    <w:p w14:paraId="0498802A" w14:textId="77777777" w:rsidR="00560D8C" w:rsidRPr="007A7C51" w:rsidRDefault="00560D8C" w:rsidP="00560D8C">
      <w:pPr>
        <w:jc w:val="both"/>
        <w:rPr>
          <w:rFonts w:eastAsia="Calibri" w:cs="Times New Roman"/>
        </w:rPr>
      </w:pPr>
    </w:p>
    <w:p w14:paraId="01700E57" w14:textId="153E0675" w:rsidR="00F676EF" w:rsidRDefault="007F72F0" w:rsidP="00560D8C">
      <w:pPr>
        <w:jc w:val="both"/>
        <w:rPr>
          <w:rFonts w:eastAsia="Calibri" w:cs="Times New Roman"/>
        </w:rPr>
      </w:pPr>
      <w:r w:rsidRPr="007A7C51">
        <w:rPr>
          <w:rFonts w:eastAsia="Calibri" w:cs="Times New Roman"/>
        </w:rPr>
        <w:t>Incidences of iatrogenic CJD (i</w:t>
      </w:r>
      <w:r w:rsidR="00F676EF" w:rsidRPr="007A7C51">
        <w:rPr>
          <w:rFonts w:eastAsia="Calibri" w:cs="Times New Roman"/>
        </w:rPr>
        <w:t>CJD</w:t>
      </w:r>
      <w:r w:rsidRPr="007A7C51">
        <w:rPr>
          <w:rFonts w:eastAsia="Calibri" w:cs="Times New Roman"/>
        </w:rPr>
        <w:t>)</w:t>
      </w:r>
      <w:r w:rsidR="004F6837">
        <w:rPr>
          <w:rFonts w:eastAsia="Calibri" w:cs="Times New Roman"/>
        </w:rPr>
        <w:t>,</w:t>
      </w:r>
      <w:r w:rsidR="00F676EF" w:rsidRPr="007A7C51">
        <w:rPr>
          <w:rFonts w:eastAsia="Calibri" w:cs="Times New Roman"/>
        </w:rPr>
        <w:t xml:space="preserve"> </w:t>
      </w:r>
      <w:r w:rsidR="004F6837">
        <w:rPr>
          <w:rFonts w:eastAsia="Calibri" w:cs="Times New Roman"/>
        </w:rPr>
        <w:t>which is the</w:t>
      </w:r>
      <w:r w:rsidRPr="007A7C51">
        <w:rPr>
          <w:rFonts w:eastAsia="Calibri" w:cs="Times New Roman"/>
        </w:rPr>
        <w:t xml:space="preserve"> transmission of prion disease through medical procedures</w:t>
      </w:r>
      <w:r w:rsidR="00AC19B2">
        <w:rPr>
          <w:rFonts w:eastAsia="Calibri" w:cs="Times New Roman"/>
        </w:rPr>
        <w:t xml:space="preserve"> or equipment</w:t>
      </w:r>
      <w:r w:rsidR="004F6837">
        <w:rPr>
          <w:rFonts w:eastAsia="Calibri" w:cs="Times New Roman"/>
        </w:rPr>
        <w:t>,</w:t>
      </w:r>
      <w:r w:rsidRPr="007A7C51">
        <w:rPr>
          <w:rFonts w:eastAsia="Calibri" w:cs="Times New Roman"/>
        </w:rPr>
        <w:t xml:space="preserve"> </w:t>
      </w:r>
      <w:r w:rsidR="00F676EF" w:rsidRPr="007A7C51">
        <w:rPr>
          <w:rFonts w:eastAsia="Calibri" w:cs="Times New Roman"/>
        </w:rPr>
        <w:t xml:space="preserve">have been recorded for procedures including dura mater grafts, </w:t>
      </w:r>
      <w:r w:rsidR="004F6837">
        <w:rPr>
          <w:rFonts w:eastAsia="Calibri" w:cs="Times New Roman"/>
        </w:rPr>
        <w:t>electroencephalograph (</w:t>
      </w:r>
      <w:r w:rsidR="00F676EF" w:rsidRPr="007A7C51">
        <w:rPr>
          <w:rFonts w:eastAsia="Calibri" w:cs="Times New Roman"/>
        </w:rPr>
        <w:t>EEG</w:t>
      </w:r>
      <w:r w:rsidR="004F6837">
        <w:rPr>
          <w:rFonts w:eastAsia="Calibri" w:cs="Times New Roman"/>
        </w:rPr>
        <w:t>)</w:t>
      </w:r>
      <w:r w:rsidR="00F676EF" w:rsidRPr="007A7C51">
        <w:rPr>
          <w:rFonts w:eastAsia="Calibri" w:cs="Times New Roman"/>
        </w:rPr>
        <w:t xml:space="preserve"> needles, </w:t>
      </w:r>
      <w:r w:rsidR="00454E64">
        <w:rPr>
          <w:rFonts w:eastAsia="Calibri" w:cs="Times New Roman"/>
        </w:rPr>
        <w:t>neurosurgery</w:t>
      </w:r>
      <w:r w:rsidR="00F676EF" w:rsidRPr="007A7C51">
        <w:rPr>
          <w:rFonts w:eastAsia="Calibri" w:cs="Times New Roman"/>
        </w:rPr>
        <w:t xml:space="preserve">, or receipt of corneal </w:t>
      </w:r>
      <w:r w:rsidR="00BB414E">
        <w:rPr>
          <w:rFonts w:eastAsia="Calibri" w:cs="Times New Roman"/>
        </w:rPr>
        <w:t>grafts</w:t>
      </w:r>
      <w:r w:rsidR="00F676EF" w:rsidRPr="007A7C51">
        <w:rPr>
          <w:rFonts w:eastAsia="Calibri" w:cs="Times New Roman"/>
        </w:rPr>
        <w:t>, growth hormones, gonadotrophin or packed red blood cells.</w:t>
      </w:r>
      <w:r w:rsidR="00F676EF" w:rsidRPr="007A7C5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F676EF" w:rsidRPr="007A7C51">
        <w:rPr>
          <w:rFonts w:eastAsia="Calibri" w:cs="Times New Roman"/>
        </w:rPr>
      </w:r>
      <w:r w:rsidR="00F676EF" w:rsidRPr="007A7C51">
        <w:rPr>
          <w:rFonts w:eastAsia="Calibri" w:cs="Times New Roman"/>
        </w:rPr>
        <w:fldChar w:fldCharType="separate"/>
      </w:r>
      <w:r w:rsidR="001D65B2" w:rsidRPr="001D65B2">
        <w:rPr>
          <w:rFonts w:eastAsia="Calibri" w:cs="Times New Roman"/>
          <w:noProof/>
          <w:vertAlign w:val="superscript"/>
        </w:rPr>
        <w:t>3</w:t>
      </w:r>
      <w:r w:rsidR="00F676EF" w:rsidRPr="007A7C51">
        <w:rPr>
          <w:rFonts w:eastAsia="Calibri" w:cs="Times New Roman"/>
        </w:rPr>
        <w:fldChar w:fldCharType="end"/>
      </w:r>
    </w:p>
    <w:p w14:paraId="69798720" w14:textId="77777777" w:rsidR="00560D8C" w:rsidRPr="007A7C51" w:rsidRDefault="00560D8C" w:rsidP="00560D8C">
      <w:pPr>
        <w:jc w:val="both"/>
        <w:rPr>
          <w:rFonts w:eastAsia="Calibri" w:cs="Times New Roman"/>
        </w:rPr>
      </w:pPr>
    </w:p>
    <w:p w14:paraId="7641B57B" w14:textId="68B10474" w:rsidR="00560D8C" w:rsidRDefault="00F676EF" w:rsidP="00560D8C">
      <w:pPr>
        <w:jc w:val="both"/>
        <w:rPr>
          <w:rFonts w:eastAsia="Arial Unicode MS" w:cs="Times New Roman"/>
          <w:u w:color="000000"/>
        </w:rPr>
      </w:pPr>
      <w:r w:rsidRPr="007A7C51">
        <w:rPr>
          <w:rFonts w:eastAsia="Calibri" w:cs="Times New Roman"/>
        </w:rPr>
        <w:t>The current decision problem focuses on the risk of</w:t>
      </w:r>
      <w:r w:rsidR="0039586E">
        <w:rPr>
          <w:rFonts w:eastAsia="Calibri" w:cs="Times New Roman"/>
        </w:rPr>
        <w:t xml:space="preserve"> transmission of CJD </w:t>
      </w:r>
      <w:r w:rsidR="00AC19B2">
        <w:rPr>
          <w:rFonts w:eastAsia="Calibri" w:cs="Times New Roman"/>
        </w:rPr>
        <w:t xml:space="preserve">(of all forms) </w:t>
      </w:r>
      <w:r w:rsidR="0039586E">
        <w:rPr>
          <w:rFonts w:eastAsia="Calibri" w:cs="Times New Roman"/>
        </w:rPr>
        <w:t>via surgical instruments</w:t>
      </w:r>
      <w:r w:rsidRPr="007A7C51">
        <w:rPr>
          <w:rFonts w:eastAsia="Calibri" w:cs="Times New Roman"/>
        </w:rPr>
        <w:t>. Prions are unlikely to be completely deactivated on surgical instruments by conventional hospital cleansing and sterilisation techniques</w:t>
      </w:r>
      <w:r w:rsidR="00764214" w:rsidRPr="007A7C51">
        <w:rPr>
          <w:rFonts w:eastAsia="Calibri" w:cs="Times New Roman"/>
        </w:rPr>
        <w:fldChar w:fldCharType="begin"/>
      </w:r>
      <w:r w:rsidR="00D63CDB">
        <w:rPr>
          <w:rFonts w:eastAsia="Calibri" w:cs="Times New Roman"/>
        </w:rPr>
        <w:instrText xml:space="preserve"> ADDIN EN.CITE &lt;EndNote&gt;&lt;Cite&gt;&lt;Author&gt;World Health Organization&lt;/Author&gt;&lt;Year&gt;2000&lt;/Year&gt;&lt;RecNum&gt;10263&lt;/RecNum&gt;&lt;DisplayText&gt;&lt;style face="superscript"&gt;4&lt;/style&gt;&lt;/DisplayText&gt;&lt;record&gt;&lt;rec-number&gt;10263&lt;/rec-number&gt;&lt;foreign-keys&gt;&lt;key app="EN" db-id="vrp0pptazv05wtesfz5vrzsj2p0rv09ttsa9" timestamp="1520851590" guid="7973ffdc-b8dc-4a44-8501-e8d9390c4283"&gt;10263&lt;/key&gt;&lt;/foreign-keys&gt;&lt;ref-type name="Journal Article"&gt;17&lt;/ref-type&gt;&lt;contributors&gt;&lt;authors&gt;&lt;author&gt;World Health Organization,&lt;/author&gt;&lt;/authors&gt;&lt;/contributors&gt;&lt;titles&gt;&lt;title&gt;WHO infection control guidelines for transmissible spongiform encephalopathies: report of a WHO consultation, Geneva, Switzerland, 23-26 March 1999&lt;/title&gt;&lt;/titles&gt;&lt;keywords&gt;&lt;keyword&gt;$$Lesley added for protocol&lt;/keyword&gt;&lt;/keywords&gt;&lt;dates&gt;&lt;year&gt;2000&lt;/year&gt;&lt;/dates&gt;&lt;urls&gt;&lt;/urls&gt;&lt;/record&gt;&lt;/Cite&gt;&lt;/EndNote&gt;</w:instrText>
      </w:r>
      <w:r w:rsidR="00764214" w:rsidRPr="007A7C51">
        <w:rPr>
          <w:rFonts w:eastAsia="Calibri" w:cs="Times New Roman"/>
        </w:rPr>
        <w:fldChar w:fldCharType="separate"/>
      </w:r>
      <w:r w:rsidR="001D65B2" w:rsidRPr="001D65B2">
        <w:rPr>
          <w:rFonts w:eastAsia="Calibri" w:cs="Times New Roman"/>
          <w:noProof/>
          <w:vertAlign w:val="superscript"/>
        </w:rPr>
        <w:t>4</w:t>
      </w:r>
      <w:r w:rsidR="00764214" w:rsidRPr="007A7C51">
        <w:rPr>
          <w:rFonts w:eastAsia="Calibri" w:cs="Times New Roman"/>
        </w:rPr>
        <w:fldChar w:fldCharType="end"/>
      </w:r>
      <w:r w:rsidR="00456C3D" w:rsidRPr="007A7C51">
        <w:rPr>
          <w:rFonts w:eastAsia="Calibri" w:cs="Times New Roman"/>
        </w:rPr>
        <w:t xml:space="preserve"> </w:t>
      </w:r>
      <w:r w:rsidR="00BA53A8">
        <w:rPr>
          <w:rFonts w:eastAsia="Calibri" w:cs="Times New Roman"/>
        </w:rPr>
        <w:t>and</w:t>
      </w:r>
      <w:r w:rsidR="00BA53A8" w:rsidRPr="002535F2">
        <w:rPr>
          <w:rFonts w:eastAsia="Calibri" w:cs="Times New Roman"/>
        </w:rPr>
        <w:t xml:space="preserve"> therefore </w:t>
      </w:r>
      <w:r w:rsidR="00BA53A8">
        <w:rPr>
          <w:rFonts w:eastAsia="Calibri" w:cs="Times New Roman"/>
        </w:rPr>
        <w:t>p</w:t>
      </w:r>
      <w:r w:rsidR="00BA53A8" w:rsidRPr="002535F2">
        <w:rPr>
          <w:rFonts w:eastAsia="Calibri" w:cs="Times New Roman"/>
        </w:rPr>
        <w:t>atients may be infected iatrogenically with CJD by surgical instruments,</w:t>
      </w:r>
      <w:r w:rsidR="00BA53A8">
        <w:rPr>
          <w:rFonts w:eastAsia="Calibri" w:cs="Times New Roman"/>
        </w:rPr>
        <w:t xml:space="preserve"> resulting in a stCJD case</w:t>
      </w:r>
      <w:r w:rsidR="0008439D">
        <w:rPr>
          <w:rFonts w:eastAsia="Calibri" w:cs="Times New Roman"/>
        </w:rPr>
        <w:t>.</w:t>
      </w:r>
      <w:r w:rsidR="00BA53A8" w:rsidRPr="007A7C51">
        <w:rPr>
          <w:rFonts w:eastAsia="Calibri" w:cs="Times New Roman"/>
        </w:rPr>
        <w:t xml:space="preserve"> </w:t>
      </w:r>
      <w:r w:rsidR="0008439D">
        <w:rPr>
          <w:rFonts w:eastAsia="Calibri" w:cs="Times New Roman"/>
        </w:rPr>
        <w:t>I</w:t>
      </w:r>
      <w:r w:rsidRPr="007A7C51">
        <w:rPr>
          <w:rFonts w:eastAsia="Calibri" w:cs="Times New Roman"/>
        </w:rPr>
        <w:t>atrogen</w:t>
      </w:r>
      <w:r w:rsidR="0008439D">
        <w:rPr>
          <w:rFonts w:eastAsia="Calibri" w:cs="Times New Roman"/>
        </w:rPr>
        <w:t>ic transmission can occur</w:t>
      </w:r>
      <w:r w:rsidRPr="007A7C51">
        <w:rPr>
          <w:rFonts w:eastAsia="Calibri" w:cs="Times New Roman"/>
        </w:rPr>
        <w:t xml:space="preserve"> </w:t>
      </w:r>
      <w:r w:rsidR="0008439D">
        <w:rPr>
          <w:rFonts w:eastAsia="Calibri" w:cs="Times New Roman"/>
        </w:rPr>
        <w:t>when</w:t>
      </w:r>
      <w:r w:rsidRPr="007A7C51">
        <w:rPr>
          <w:rFonts w:eastAsia="Calibri" w:cs="Times New Roman"/>
        </w:rPr>
        <w:t xml:space="preserve"> surgical instruments, endoscopes or laryngoscopes </w:t>
      </w:r>
      <w:r w:rsidR="0008439D">
        <w:rPr>
          <w:rFonts w:eastAsia="Calibri" w:cs="Times New Roman"/>
        </w:rPr>
        <w:t xml:space="preserve">are </w:t>
      </w:r>
      <w:r w:rsidRPr="007A7C51">
        <w:rPr>
          <w:rFonts w:eastAsia="Calibri" w:cs="Times New Roman"/>
        </w:rPr>
        <w:t xml:space="preserve">used </w:t>
      </w:r>
      <w:r w:rsidR="0008439D">
        <w:rPr>
          <w:rFonts w:eastAsia="Calibri" w:cs="Times New Roman"/>
        </w:rPr>
        <w:t>during</w:t>
      </w:r>
      <w:r w:rsidRPr="007A7C51">
        <w:rPr>
          <w:rFonts w:eastAsia="Calibri" w:cs="Times New Roman"/>
        </w:rPr>
        <w:t xml:space="preserve"> </w:t>
      </w:r>
      <w:r w:rsidR="0008439D">
        <w:rPr>
          <w:rFonts w:eastAsia="Calibri" w:cs="Times New Roman"/>
        </w:rPr>
        <w:t xml:space="preserve">high risk neurosurgical procedures in </w:t>
      </w:r>
      <w:r w:rsidRPr="007A7C51">
        <w:rPr>
          <w:rFonts w:eastAsia="Calibri" w:cs="Times New Roman"/>
        </w:rPr>
        <w:t>patients who have asymptomatic CJD but who are infectious</w:t>
      </w:r>
      <w:r w:rsidR="0039586E">
        <w:rPr>
          <w:rFonts w:eastAsia="Calibri" w:cs="Times New Roman"/>
        </w:rPr>
        <w:t xml:space="preserve"> because</w:t>
      </w:r>
      <w:r w:rsidR="0039586E" w:rsidRPr="007A7C51">
        <w:rPr>
          <w:rFonts w:eastAsia="Calibri" w:cs="Times New Roman"/>
        </w:rPr>
        <w:t xml:space="preserve"> neural tissue in particular has a high infectious load</w:t>
      </w:r>
      <w:r w:rsidRPr="007A7C51">
        <w:rPr>
          <w:rFonts w:eastAsia="Calibri" w:cs="Times New Roman"/>
        </w:rPr>
        <w:t>.</w:t>
      </w:r>
      <w:r w:rsidR="00422429">
        <w:rPr>
          <w:rFonts w:eastAsia="Calibri" w:cs="Times New Roman"/>
        </w:rPr>
        <w:fldChar w:fldCharType="begin"/>
      </w:r>
      <w:r w:rsidR="00D63CDB">
        <w:rPr>
          <w:rFonts w:eastAsia="Calibri" w:cs="Times New Roman"/>
        </w:rPr>
        <w:instrText xml:space="preserve"> ADDIN EN.CITE &lt;EndNote&gt;&lt;Cite&gt;&lt;Author&gt;World Health Organization&lt;/Author&gt;&lt;Year&gt;2010&lt;/Year&gt;&lt;RecNum&gt;10287&lt;/RecNum&gt;&lt;DisplayText&gt;&lt;style face="superscript"&gt;5&lt;/style&gt;&lt;/DisplayText&gt;&lt;record&gt;&lt;rec-number&gt;10287&lt;/rec-number&gt;&lt;foreign-keys&gt;&lt;key app="EN" db-id="vrp0pptazv05wtesfz5vrzsj2p0rv09ttsa9" timestamp="1532342324" guid="90f1c212-9b61-4c27-a810-07fc83edf504"&gt;10287&lt;/key&gt;&lt;/foreign-keys&gt;&lt;ref-type name="Report"&gt;27&lt;/ref-type&gt;&lt;contributors&gt;&lt;authors&gt;&lt;author&gt;World Health Organization,&lt;/author&gt;&lt;/authors&gt;&lt;secondary-authors&gt;&lt;author&gt;WHO Press&lt;/author&gt;&lt;/secondary-authors&gt;&lt;/contributors&gt;&lt;titles&gt;&lt;title&gt;WHO Tables on Tissue Infectivity Distribution in Transmissible Spongiform Encephalopathies&lt;/title&gt;&lt;/titles&gt;&lt;keywords&gt;&lt;keyword&gt;$$Background&lt;/keyword&gt;&lt;keyword&gt;$$CJD relevant&lt;/keyword&gt;&lt;keyword&gt;$$Lesley google&lt;/keyword&gt;&lt;/keywords&gt;&lt;dates&gt;&lt;year&gt;2010&lt;/year&gt;&lt;/dates&gt;&lt;pub-location&gt;World Health Organization, 20 Avenue Appia, 1211 Geneva 27, Switzerland&lt;/pub-location&gt;&lt;urls&gt;&lt;related-urls&gt;&lt;url&gt;http://www.who.int/bloodproducts/tablestissueinfectivity.pdf&lt;/url&gt;&lt;/related-urls&gt;&lt;/urls&gt;&lt;access-date&gt;25/06/2018&lt;/access-date&gt;&lt;/record&gt;&lt;/Cite&gt;&lt;/EndNote&gt;</w:instrText>
      </w:r>
      <w:r w:rsidR="00422429">
        <w:rPr>
          <w:rFonts w:eastAsia="Calibri" w:cs="Times New Roman"/>
        </w:rPr>
        <w:fldChar w:fldCharType="separate"/>
      </w:r>
      <w:r w:rsidR="001D65B2" w:rsidRPr="001D65B2">
        <w:rPr>
          <w:rFonts w:eastAsia="Calibri" w:cs="Times New Roman"/>
          <w:noProof/>
          <w:vertAlign w:val="superscript"/>
        </w:rPr>
        <w:t>5</w:t>
      </w:r>
      <w:r w:rsidR="00422429">
        <w:rPr>
          <w:rFonts w:eastAsia="Calibri" w:cs="Times New Roman"/>
        </w:rPr>
        <w:fldChar w:fldCharType="end"/>
      </w:r>
      <w:r w:rsidRPr="007A7C51">
        <w:rPr>
          <w:rFonts w:eastAsia="Calibri" w:cs="Times New Roman"/>
        </w:rPr>
        <w:t xml:space="preserve"> </w:t>
      </w:r>
      <w:r w:rsidR="00D578DB" w:rsidRPr="007A7C51">
        <w:rPr>
          <w:rFonts w:eastAsia="Calibri" w:cs="Times New Roman"/>
        </w:rPr>
        <w:t xml:space="preserve">Four cases of iCJD via neurosurgery </w:t>
      </w:r>
      <w:r w:rsidR="0039586E" w:rsidRPr="007A7C51">
        <w:rPr>
          <w:rFonts w:eastAsia="Calibri" w:cs="Times New Roman"/>
        </w:rPr>
        <w:t>were observed between 1952 and 1974</w:t>
      </w:r>
      <w:r w:rsidR="0039586E">
        <w:rPr>
          <w:rFonts w:eastAsia="Calibri" w:cs="Times New Roman"/>
        </w:rPr>
        <w:t xml:space="preserve"> </w:t>
      </w:r>
      <w:r w:rsidR="00D578DB" w:rsidRPr="007A7C51">
        <w:rPr>
          <w:rFonts w:eastAsia="Calibri" w:cs="Times New Roman"/>
        </w:rPr>
        <w:t xml:space="preserve">from </w:t>
      </w:r>
      <w:r w:rsidR="0039586E">
        <w:rPr>
          <w:rFonts w:eastAsia="Calibri" w:cs="Times New Roman"/>
        </w:rPr>
        <w:t xml:space="preserve">three </w:t>
      </w:r>
      <w:r w:rsidR="00D578DB" w:rsidRPr="007A7C51">
        <w:rPr>
          <w:rFonts w:eastAsia="Calibri" w:cs="Times New Roman"/>
        </w:rPr>
        <w:t>sporadic index cases of CJD</w:t>
      </w:r>
      <w:r w:rsidR="00456C3D" w:rsidRPr="007A7C51">
        <w:rPr>
          <w:rFonts w:eastAsia="Calibri" w:cs="Times New Roman"/>
        </w:rPr>
        <w:t>.</w:t>
      </w:r>
      <w:r w:rsidR="00422429">
        <w:rPr>
          <w:rFonts w:eastAsia="Calibri" w:cs="Times New Roman"/>
        </w:rPr>
        <w:fldChar w:fldCharType="begin">
          <w:fldData xml:space="preserve">PEVuZE5vdGU+PENpdGU+PEF1dGhvcj5Ccm93bjwvQXV0aG9yPjxZZWFyPjIwMTU8L1llYXI+PFJl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PEVuZE5vdGU+PENpdGU+PEF1dGhvcj5Ccm93bjwvQXV0aG9yPjxZZWFyPjIwMTU8L1llYXI+PFJl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422429">
        <w:rPr>
          <w:rFonts w:eastAsia="Calibri" w:cs="Times New Roman"/>
        </w:rPr>
      </w:r>
      <w:r w:rsidR="00422429">
        <w:rPr>
          <w:rFonts w:eastAsia="Calibri" w:cs="Times New Roman"/>
        </w:rPr>
        <w:fldChar w:fldCharType="separate"/>
      </w:r>
      <w:r w:rsidR="001D65B2" w:rsidRPr="001D65B2">
        <w:rPr>
          <w:rFonts w:eastAsia="Calibri" w:cs="Times New Roman"/>
          <w:noProof/>
          <w:vertAlign w:val="superscript"/>
        </w:rPr>
        <w:t>6</w:t>
      </w:r>
      <w:r w:rsidR="00422429">
        <w:rPr>
          <w:rFonts w:eastAsia="Calibri" w:cs="Times New Roman"/>
        </w:rPr>
        <w:fldChar w:fldCharType="end"/>
      </w:r>
      <w:r w:rsidR="0039586E" w:rsidRPr="007A7C51">
        <w:rPr>
          <w:rFonts w:eastAsia="Calibri" w:cs="Times New Roman"/>
        </w:rPr>
        <w:t xml:space="preserve"> </w:t>
      </w:r>
      <w:r w:rsidR="00BB414E">
        <w:rPr>
          <w:rFonts w:eastAsia="Calibri" w:cs="Times New Roman"/>
        </w:rPr>
        <w:t xml:space="preserve"> </w:t>
      </w:r>
      <w:r w:rsidR="00574F5B">
        <w:rPr>
          <w:rFonts w:eastAsia="Calibri" w:cs="Times New Roman"/>
        </w:rPr>
        <w:t>S</w:t>
      </w:r>
      <w:r w:rsidR="00BB414E">
        <w:rPr>
          <w:rFonts w:eastAsia="Calibri" w:cs="Times New Roman"/>
        </w:rPr>
        <w:t xml:space="preserve">tringent Public Health requirements </w:t>
      </w:r>
      <w:r w:rsidR="00574F5B">
        <w:rPr>
          <w:rFonts w:eastAsia="Calibri" w:cs="Times New Roman"/>
        </w:rPr>
        <w:t xml:space="preserve">are </w:t>
      </w:r>
      <w:r w:rsidR="00BB414E">
        <w:rPr>
          <w:rFonts w:eastAsia="Calibri" w:cs="Times New Roman"/>
        </w:rPr>
        <w:t xml:space="preserve">in place to limit the risk of iatrogenic disease being spread </w:t>
      </w:r>
      <w:r w:rsidR="00BB414E" w:rsidRPr="006A3C83">
        <w:rPr>
          <w:rFonts w:eastAsia="Calibri" w:cs="Times New Roman"/>
        </w:rPr>
        <w:t xml:space="preserve">from </w:t>
      </w:r>
      <w:r w:rsidR="006A3C83" w:rsidRPr="006A3C83">
        <w:rPr>
          <w:rFonts w:eastAsia="Calibri" w:cs="Times New Roman"/>
        </w:rPr>
        <w:t xml:space="preserve">people </w:t>
      </w:r>
      <w:r w:rsidR="006A3C83" w:rsidRPr="006A3C83">
        <w:rPr>
          <w:rFonts w:eastAsia="Arial Unicode MS" w:cs="Times New Roman"/>
          <w:u w:color="000000"/>
        </w:rPr>
        <w:t xml:space="preserve">with an increased risk of developing </w:t>
      </w:r>
      <w:r w:rsidR="006A3C83">
        <w:rPr>
          <w:rFonts w:eastAsia="Arial Unicode MS" w:cs="Times New Roman"/>
          <w:u w:color="000000"/>
        </w:rPr>
        <w:t>CJD,</w:t>
      </w:r>
      <w:r w:rsidR="006A3C83" w:rsidRPr="006A3C83">
        <w:rPr>
          <w:rFonts w:eastAsia="Calibri" w:cs="Times New Roman"/>
        </w:rPr>
        <w:t xml:space="preserve"> or </w:t>
      </w:r>
      <w:r w:rsidR="006A3C83" w:rsidRPr="006A3C83">
        <w:rPr>
          <w:rFonts w:eastAsia="Arial Unicode MS" w:cs="Times New Roman"/>
          <w:u w:color="000000"/>
        </w:rPr>
        <w:t xml:space="preserve">with </w:t>
      </w:r>
      <w:r w:rsidR="006A3C83">
        <w:rPr>
          <w:rFonts w:eastAsia="Arial Unicode MS" w:cs="Times New Roman"/>
          <w:u w:color="000000"/>
        </w:rPr>
        <w:t>CJD</w:t>
      </w:r>
      <w:r w:rsidR="006A3C83" w:rsidRPr="006A3C83">
        <w:rPr>
          <w:rFonts w:eastAsia="Arial Unicode MS" w:cs="Times New Roman"/>
          <w:u w:color="000000"/>
        </w:rPr>
        <w:t xml:space="preserve">, or for whom a diagnosis of </w:t>
      </w:r>
      <w:r w:rsidR="006A3C83">
        <w:rPr>
          <w:rFonts w:eastAsia="Arial Unicode MS" w:cs="Times New Roman"/>
          <w:u w:color="000000"/>
        </w:rPr>
        <w:t>CJD</w:t>
      </w:r>
      <w:r w:rsidR="006A3C83" w:rsidRPr="006A3C83">
        <w:rPr>
          <w:rFonts w:eastAsia="Arial Unicode MS" w:cs="Times New Roman"/>
          <w:u w:color="000000"/>
        </w:rPr>
        <w:t xml:space="preserve"> is being considered or cannot be excluded</w:t>
      </w:r>
      <w:r w:rsidR="00574F5B">
        <w:rPr>
          <w:rFonts w:eastAsia="Arial Unicode MS" w:cs="Times New Roman"/>
          <w:u w:color="000000"/>
        </w:rPr>
        <w:t>.</w:t>
      </w:r>
    </w:p>
    <w:p w14:paraId="08038409" w14:textId="77777777" w:rsidR="00574F5B" w:rsidRPr="007A7C51" w:rsidRDefault="00574F5B" w:rsidP="00560D8C">
      <w:pPr>
        <w:jc w:val="both"/>
        <w:rPr>
          <w:rFonts w:eastAsia="Calibri" w:cs="Times New Roman"/>
        </w:rPr>
      </w:pPr>
    </w:p>
    <w:p w14:paraId="1404D014" w14:textId="6D9F52A8" w:rsidR="00F676EF" w:rsidRDefault="00F676EF" w:rsidP="005E7320">
      <w:pPr>
        <w:jc w:val="both"/>
        <w:rPr>
          <w:rFonts w:eastAsia="Calibri" w:cs="Times New Roman"/>
        </w:rPr>
      </w:pPr>
      <w:r w:rsidRPr="007A7C51">
        <w:rPr>
          <w:rFonts w:eastAsia="Calibri" w:cs="Times New Roman"/>
        </w:rPr>
        <w:t xml:space="preserve">Immediately following the </w:t>
      </w:r>
      <w:r w:rsidR="00843D04">
        <w:rPr>
          <w:rFonts w:eastAsia="Calibri" w:cs="Times New Roman"/>
        </w:rPr>
        <w:t xml:space="preserve">recognition of </w:t>
      </w:r>
      <w:r w:rsidR="00172008">
        <w:rPr>
          <w:rFonts w:eastAsia="Calibri" w:cs="Times New Roman"/>
        </w:rPr>
        <w:t>vCJD</w:t>
      </w:r>
      <w:r w:rsidR="0008439D">
        <w:rPr>
          <w:rFonts w:eastAsia="Calibri" w:cs="Times New Roman"/>
        </w:rPr>
        <w:t>,</w:t>
      </w:r>
      <w:r w:rsidR="00843D04">
        <w:rPr>
          <w:rFonts w:eastAsia="Calibri" w:cs="Times New Roman"/>
        </w:rPr>
        <w:t xml:space="preserve"> as a consequence of the BSE</w:t>
      </w:r>
      <w:r w:rsidR="00172008">
        <w:rPr>
          <w:rFonts w:eastAsia="Calibri" w:cs="Times New Roman"/>
        </w:rPr>
        <w:t xml:space="preserve"> </w:t>
      </w:r>
      <w:r w:rsidRPr="007A7C51">
        <w:rPr>
          <w:rFonts w:eastAsia="Calibri" w:cs="Times New Roman"/>
        </w:rPr>
        <w:t xml:space="preserve">outbreak, the potential scale of the </w:t>
      </w:r>
      <w:r w:rsidR="005A2933">
        <w:rPr>
          <w:rFonts w:eastAsia="Calibri" w:cs="Times New Roman"/>
        </w:rPr>
        <w:t xml:space="preserve">number </w:t>
      </w:r>
      <w:r w:rsidR="00172008">
        <w:rPr>
          <w:rFonts w:eastAsia="Calibri" w:cs="Times New Roman"/>
        </w:rPr>
        <w:t xml:space="preserve">of </w:t>
      </w:r>
      <w:r w:rsidRPr="007A7C51">
        <w:rPr>
          <w:rFonts w:eastAsia="Calibri" w:cs="Times New Roman"/>
        </w:rPr>
        <w:t>infection</w:t>
      </w:r>
      <w:r w:rsidR="005A2933">
        <w:rPr>
          <w:rFonts w:eastAsia="Calibri" w:cs="Times New Roman"/>
        </w:rPr>
        <w:t>s was</w:t>
      </w:r>
      <w:r w:rsidR="00172008">
        <w:rPr>
          <w:rFonts w:eastAsia="Calibri" w:cs="Times New Roman"/>
        </w:rPr>
        <w:t xml:space="preserve"> uncertain and estimations incorporated potential subclinical vCJD infections identified from </w:t>
      </w:r>
      <w:r w:rsidR="00AC19B2">
        <w:rPr>
          <w:rFonts w:eastAsia="Calibri" w:cs="Times New Roman"/>
        </w:rPr>
        <w:t xml:space="preserve">a </w:t>
      </w:r>
      <w:r w:rsidR="005D76AE">
        <w:rPr>
          <w:rFonts w:eastAsia="Calibri" w:cs="Times New Roman"/>
        </w:rPr>
        <w:t>histopathological</w:t>
      </w:r>
      <w:r w:rsidR="00172008">
        <w:rPr>
          <w:rFonts w:eastAsia="Calibri" w:cs="Times New Roman"/>
        </w:rPr>
        <w:t xml:space="preserve"> survey of l</w:t>
      </w:r>
      <w:r w:rsidR="00AC19B2">
        <w:rPr>
          <w:rFonts w:eastAsia="Calibri" w:cs="Times New Roman"/>
        </w:rPr>
        <w:t>ymphoreticular tissue</w:t>
      </w:r>
      <w:r w:rsidR="005D76AE">
        <w:rPr>
          <w:rFonts w:eastAsia="Calibri" w:cs="Times New Roman"/>
        </w:rPr>
        <w:t xml:space="preserve"> to be</w:t>
      </w:r>
      <w:r w:rsidR="00172008">
        <w:rPr>
          <w:rFonts w:eastAsia="Calibri" w:cs="Times New Roman"/>
        </w:rPr>
        <w:t xml:space="preserve"> </w:t>
      </w:r>
      <w:r w:rsidR="00172008" w:rsidRPr="00172008">
        <w:rPr>
          <w:rFonts w:eastAsia="Calibri" w:cs="Times New Roman"/>
        </w:rPr>
        <w:t>237 per million (95%</w:t>
      </w:r>
      <w:r w:rsidR="00172008">
        <w:rPr>
          <w:rFonts w:eastAsia="Calibri" w:cs="Times New Roman"/>
        </w:rPr>
        <w:t xml:space="preserve"> </w:t>
      </w:r>
      <w:r w:rsidR="005D76AE">
        <w:rPr>
          <w:rFonts w:eastAsia="Calibri" w:cs="Times New Roman"/>
        </w:rPr>
        <w:t>confidence interval (CI)</w:t>
      </w:r>
      <w:r w:rsidR="00172008" w:rsidRPr="00172008">
        <w:rPr>
          <w:rFonts w:eastAsia="Calibri" w:cs="Times New Roman"/>
        </w:rPr>
        <w:t xml:space="preserve"> 49–692 per million)</w:t>
      </w:r>
      <w:r w:rsidRPr="007A7C51">
        <w:rPr>
          <w:rFonts w:eastAsia="Calibri" w:cs="Times New Roman"/>
        </w:rPr>
        <w:t>.</w:t>
      </w:r>
      <w:r w:rsidRPr="007A7C51">
        <w:rPr>
          <w:rFonts w:eastAsia="Calibri" w:cs="Times New Roman"/>
        </w:rPr>
        <w:fldChar w:fldCharType="begin">
          <w:fldData xml:space="preserve">PEVuZE5vdGU+PENpdGU+PEF1dGhvcj5IaWx0b248L0F1dGhvcj48WWVhcj4yMDA0PC9ZZWFyPjxS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</w:fldData>
        </w:fldChar>
      </w:r>
      <w:r w:rsidR="00892AF6">
        <w:rPr>
          <w:rFonts w:eastAsia="Calibri" w:cs="Times New Roman"/>
        </w:rPr>
        <w:instrText xml:space="preserve"> ADDIN EN.CITE </w:instrText>
      </w:r>
      <w:r w:rsidR="00892AF6">
        <w:rPr>
          <w:rFonts w:eastAsia="Calibri" w:cs="Times New Roman"/>
        </w:rPr>
        <w:fldChar w:fldCharType="begin">
          <w:fldData xml:space="preserve">PEVuZE5vdGU+PENpdGU+PEF1dGhvcj5IaWx0b248L0F1dGhvcj48WWVhcj4yMDA0PC9ZZWFyPjxS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</w:fldData>
        </w:fldChar>
      </w:r>
      <w:r w:rsidR="00892AF6">
        <w:rPr>
          <w:rFonts w:eastAsia="Calibri" w:cs="Times New Roman"/>
        </w:rPr>
        <w:instrText xml:space="preserve"> ADDIN EN.CITE.DATA </w:instrText>
      </w:r>
      <w:r w:rsidR="00892AF6">
        <w:rPr>
          <w:rFonts w:eastAsia="Calibri" w:cs="Times New Roman"/>
        </w:rPr>
      </w:r>
      <w:r w:rsidR="00892AF6">
        <w:rPr>
          <w:rFonts w:eastAsia="Calibri" w:cs="Times New Roman"/>
        </w:rPr>
        <w:fldChar w:fldCharType="end"/>
      </w:r>
      <w:r w:rsidRPr="007A7C51">
        <w:rPr>
          <w:rFonts w:eastAsia="Calibri" w:cs="Times New Roman"/>
        </w:rPr>
      </w:r>
      <w:r w:rsidRPr="007A7C51">
        <w:rPr>
          <w:rFonts w:eastAsia="Calibri" w:cs="Times New Roman"/>
        </w:rPr>
        <w:fldChar w:fldCharType="separate"/>
      </w:r>
      <w:r w:rsidR="001D65B2" w:rsidRPr="001D65B2">
        <w:rPr>
          <w:rFonts w:eastAsia="Calibri" w:cs="Times New Roman"/>
          <w:noProof/>
          <w:vertAlign w:val="superscript"/>
        </w:rPr>
        <w:t>7-9</w:t>
      </w:r>
      <w:r w:rsidRPr="007A7C51">
        <w:rPr>
          <w:rFonts w:eastAsia="Calibri" w:cs="Times New Roman"/>
        </w:rPr>
        <w:fldChar w:fldCharType="end"/>
      </w:r>
      <w:r w:rsidRPr="007A7C51">
        <w:rPr>
          <w:rFonts w:eastAsia="Calibri" w:cs="Times New Roman"/>
        </w:rPr>
        <w:t xml:space="preserve"> Surgical transmission of CJD</w:t>
      </w:r>
      <w:r w:rsidR="006D7EC6">
        <w:rPr>
          <w:rFonts w:eastAsia="Calibri" w:cs="Times New Roman"/>
        </w:rPr>
        <w:t xml:space="preserve"> in this scenario</w:t>
      </w:r>
      <w:r w:rsidRPr="007A7C51">
        <w:rPr>
          <w:rFonts w:eastAsia="Calibri" w:cs="Times New Roman"/>
        </w:rPr>
        <w:t xml:space="preserve"> was considered to pose a potential risk to public health </w:t>
      </w:r>
      <w:r w:rsidR="006D7EC6">
        <w:rPr>
          <w:rFonts w:eastAsia="Calibri" w:cs="Times New Roman"/>
        </w:rPr>
        <w:t>by vir</w:t>
      </w:r>
      <w:r w:rsidR="0008439D">
        <w:rPr>
          <w:rFonts w:eastAsia="Calibri" w:cs="Times New Roman"/>
        </w:rPr>
        <w:t>t</w:t>
      </w:r>
      <w:r w:rsidR="006D7EC6">
        <w:rPr>
          <w:rFonts w:eastAsia="Calibri" w:cs="Times New Roman"/>
        </w:rPr>
        <w:t xml:space="preserve">ue of a self-sustaining </w:t>
      </w:r>
      <w:r w:rsidR="0008439D">
        <w:rPr>
          <w:rFonts w:eastAsia="Calibri" w:cs="Times New Roman"/>
        </w:rPr>
        <w:t xml:space="preserve">iatrogenic epidemic. Therefore, </w:t>
      </w:r>
      <w:r w:rsidRPr="007A7C51">
        <w:rPr>
          <w:rFonts w:eastAsia="Calibri" w:cs="Times New Roman"/>
        </w:rPr>
        <w:t xml:space="preserve">in 2005 the National Institute for Health and Care Excellence (NICE) commissioned </w:t>
      </w:r>
      <w:r w:rsidR="005D76AE">
        <w:rPr>
          <w:rFonts w:eastAsia="Calibri" w:cs="Times New Roman"/>
        </w:rPr>
        <w:t xml:space="preserve">the </w:t>
      </w:r>
      <w:r w:rsidRPr="007A7C51">
        <w:rPr>
          <w:rFonts w:eastAsia="Calibri" w:cs="Times New Roman"/>
        </w:rPr>
        <w:t>S</w:t>
      </w:r>
      <w:r w:rsidR="005D76AE">
        <w:rPr>
          <w:rFonts w:eastAsia="Calibri" w:cs="Times New Roman"/>
        </w:rPr>
        <w:t>chool of Health and Related Research (S</w:t>
      </w:r>
      <w:r w:rsidRPr="007A7C51">
        <w:rPr>
          <w:rFonts w:eastAsia="Calibri" w:cs="Times New Roman"/>
        </w:rPr>
        <w:t>cHARR</w:t>
      </w:r>
      <w:r w:rsidR="005D76AE">
        <w:rPr>
          <w:rFonts w:eastAsia="Calibri" w:cs="Times New Roman"/>
        </w:rPr>
        <w:t>)</w:t>
      </w:r>
      <w:r w:rsidRPr="007A7C51">
        <w:rPr>
          <w:rFonts w:eastAsia="Calibri" w:cs="Times New Roman"/>
        </w:rPr>
        <w:t xml:space="preserve"> at the University of Sheffield to conduct a systematic review and </w:t>
      </w:r>
      <w:r w:rsidR="007F2929">
        <w:rPr>
          <w:rFonts w:eastAsia="Calibri" w:cs="Times New Roman"/>
        </w:rPr>
        <w:t xml:space="preserve">perform </w:t>
      </w:r>
      <w:r w:rsidRPr="007A7C51">
        <w:rPr>
          <w:rFonts w:eastAsia="Calibri" w:cs="Times New Roman"/>
        </w:rPr>
        <w:t>cost-effectiveness model</w:t>
      </w:r>
      <w:r w:rsidR="007F2929">
        <w:rPr>
          <w:rFonts w:eastAsia="Calibri" w:cs="Times New Roman"/>
        </w:rPr>
        <w:t>ling</w:t>
      </w:r>
      <w:r w:rsidRPr="007A7C51">
        <w:rPr>
          <w:rFonts w:eastAsia="Calibri" w:cs="Times New Roman"/>
        </w:rPr>
        <w:t xml:space="preserve"> of evidence on patient safety and reduction of risks of transmission of CJD.</w:t>
      </w:r>
      <w:r w:rsidRPr="007A7C51">
        <w:rPr>
          <w:rFonts w:eastAsia="Calibri" w:cs="Times New Roman"/>
        </w:rPr>
        <w:fldChar w:fldCharType="begin"/>
      </w:r>
      <w:r w:rsidR="00D63CDB">
        <w:rPr>
          <w:rFonts w:eastAsia="Calibri" w:cs="Times New Roman"/>
        </w:rPr>
        <w:instrText xml:space="preserve"> ADDIN EN.CITE &lt;EndNote&gt;&lt;Cite&gt;&lt;Author&gt;Lloyd Jones&lt;/Author&gt;&lt;Year&gt;2006&lt;/Year&gt;&lt;RecNum&gt;580&lt;/RecNum&gt;&lt;DisplayText&gt;&lt;style face="superscript"&gt;10&lt;/style&gt;&lt;/DisplayText&gt;&lt;record&gt;&lt;rec-number&gt;580&lt;/rec-number&gt;&lt;foreign-keys&gt;&lt;key app="EN" db-id="vrp0pptazv05wtesfz5vrzsj2p0rv09ttsa9" timestamp="1499838794" guid="e7c03f79-7c5e-486e-9a27-0b0beeaf1ab5"&gt;580&lt;/key&gt;&lt;/foreign-keys&gt;&lt;ref-type name="Report"&gt;27&lt;/ref-type&gt;&lt;contributors&gt;&lt;authors&gt;&lt;author&gt;Lloyd Jones, M.&lt;/author&gt;&lt;author&gt;Stevenson, M.&lt;/author&gt;&lt;author&gt;Sutton, A. &lt;/author&gt;&lt;/authors&gt;&lt;/contributors&gt;&lt;titles&gt;&lt;title&gt;Patient safety and reduction of risk of transmission of Creutzfeldt– Jakob disease (CJD) via interventional procedures. Systematic literature reviews final report.&lt;/title&gt;&lt;secondary-title&gt;Report for NICE Interventional Procedures Programme&lt;/secondary-title&gt;&lt;/titles&gt;&lt;keywords&gt;&lt;keyword&gt;$$Lesley added for protocol&lt;/keyword&gt;&lt;/keywords&gt;&lt;dates&gt;&lt;year&gt;2006&lt;/year&gt;&lt;/dates&gt;&lt;pub-location&gt;National Institute for Health and Care Excellence&lt;/pub-location&gt;&lt;publisher&gt;School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systematic-review2&lt;/style&gt;&lt;/url&gt;&lt;/related-urls&gt;&lt;/urls&gt;&lt;access-date&gt;11.07.2017&lt;/access-date&gt;&lt;/record&gt;&lt;/Cite&gt;&lt;/EndNote&gt;</w:instrText>
      </w:r>
      <w:r w:rsidRPr="007A7C51">
        <w:rPr>
          <w:rFonts w:eastAsia="Calibri" w:cs="Times New Roman"/>
        </w:rPr>
        <w:fldChar w:fldCharType="separate"/>
      </w:r>
      <w:r w:rsidR="001D65B2" w:rsidRPr="001D65B2">
        <w:rPr>
          <w:rFonts w:eastAsia="Calibri" w:cs="Times New Roman"/>
          <w:noProof/>
          <w:vertAlign w:val="superscript"/>
        </w:rPr>
        <w:t>10</w:t>
      </w:r>
      <w:r w:rsidRPr="007A7C51">
        <w:rPr>
          <w:rFonts w:eastAsia="Calibri" w:cs="Times New Roman"/>
        </w:rPr>
        <w:fldChar w:fldCharType="end"/>
      </w:r>
      <w:r w:rsidRPr="007A7C51">
        <w:rPr>
          <w:rFonts w:eastAsia="Calibri" w:cs="Times New Roman"/>
        </w:rPr>
        <w:t xml:space="preserve"> This evidence, together with data collected from experts</w:t>
      </w:r>
      <w:r w:rsidR="00B25499" w:rsidRPr="007A7C51">
        <w:rPr>
          <w:rFonts w:eastAsia="Calibri" w:cs="Times New Roman"/>
        </w:rPr>
        <w:t>,</w:t>
      </w:r>
      <w:r w:rsidRPr="007A7C51">
        <w:rPr>
          <w:rFonts w:eastAsia="Calibri" w:cs="Times New Roman"/>
        </w:rPr>
        <w:t xml:space="preserve"> </w:t>
      </w:r>
      <w:r w:rsidR="00DD440D">
        <w:rPr>
          <w:rFonts w:eastAsia="Calibri" w:cs="Times New Roman"/>
        </w:rPr>
        <w:t xml:space="preserve">was </w:t>
      </w:r>
      <w:r w:rsidRPr="007A7C51">
        <w:rPr>
          <w:rFonts w:eastAsia="Calibri" w:cs="Times New Roman"/>
        </w:rPr>
        <w:t>used to populate a mathematical model assessing the cost-effectiveness of single-use surgical instruments</w:t>
      </w:r>
      <w:r w:rsidRPr="007A7C51">
        <w:rPr>
          <w:rFonts w:eastAsia="Calibri" w:cs="Times New Roman"/>
        </w:rPr>
        <w:fldChar w:fldCharType="begin">
          <w:fldData xml:space="preserve">PEVuZE5vdGU+PENpdGU+PEF1dGhvcj5TdGV2ZW5zb248L0F1dGhvcj48WWVhcj4yMDA2PC9ZZWFy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==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PEVuZE5vdGU+PENpdGU+PEF1dGhvcj5TdGV2ZW5zb248L0F1dGhvcj48WWVhcj4yMDA2PC9ZZWFy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==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Pr="007A7C51">
        <w:rPr>
          <w:rFonts w:eastAsia="Calibri" w:cs="Times New Roman"/>
        </w:rPr>
      </w:r>
      <w:r w:rsidRPr="007A7C51">
        <w:rPr>
          <w:rFonts w:eastAsia="Calibri" w:cs="Times New Roman"/>
        </w:rPr>
        <w:fldChar w:fldCharType="separate"/>
      </w:r>
      <w:r w:rsidR="005C50C5" w:rsidRPr="005C50C5">
        <w:rPr>
          <w:rFonts w:eastAsia="Calibri" w:cs="Times New Roman"/>
          <w:noProof/>
          <w:vertAlign w:val="superscript"/>
        </w:rPr>
        <w:t>11, 12</w:t>
      </w:r>
      <w:r w:rsidRPr="007A7C51">
        <w:rPr>
          <w:rFonts w:eastAsia="Calibri" w:cs="Times New Roman"/>
        </w:rPr>
        <w:fldChar w:fldCharType="end"/>
      </w:r>
      <w:r w:rsidRPr="007A7C51">
        <w:rPr>
          <w:rFonts w:eastAsia="Calibri" w:cs="Times New Roman"/>
        </w:rPr>
        <w:t xml:space="preserve"> The outputs from the model </w:t>
      </w:r>
      <w:r w:rsidR="00AE4B18" w:rsidRPr="007A7C51">
        <w:rPr>
          <w:rFonts w:eastAsia="Calibri" w:cs="Times New Roman"/>
        </w:rPr>
        <w:t>and a separate risk assessment conducted by the Department of Health Economics, Statistics and Operational Research (ESOR) Division</w:t>
      </w:r>
      <w:r w:rsidR="006A3FBC">
        <w:rPr>
          <w:rFonts w:eastAsia="Calibri" w:cs="Times New Roman"/>
        </w:rPr>
        <w:fldChar w:fldCharType="begin"/>
      </w:r>
      <w:r w:rsidR="00D63CDB">
        <w:rPr>
          <w:rFonts w:eastAsia="Calibri" w:cs="Times New Roman"/>
        </w:rPr>
        <w:instrText xml:space="preserve"> ADDIN EN.CITE &lt;EndNote&gt;&lt;Cite&gt;&lt;Author&gt;Bennett&lt;/Author&gt;&lt;Year&gt;2005&lt;/Year&gt;&lt;RecNum&gt;1966&lt;/RecNum&gt;&lt;DisplayText&gt;&lt;style face="superscript"&gt;13&lt;/style&gt;&lt;/DisplayText&gt;&lt;record&gt;&lt;rec-number&gt;1966&lt;/rec-number&gt;&lt;foreign-keys&gt;&lt;key app="EN" db-id="vrp0pptazv05wtesfz5vrzsj2p0rv09ttsa9" timestamp="1506587022" guid="c7e291d3-2906-44a4-8fb0-bed6990be6aa"&gt;1966&lt;/key&gt;&lt;/foreign-keys&gt;&lt;ref-type name="Journal Article"&gt;17&lt;/ref-type&gt;&lt;contributors&gt;&lt;authors&gt;&lt;author&gt;Bennett, P.&lt;/author&gt;&lt;author&gt;Hare, A.&lt;/author&gt;&lt;author&gt;Townshend, J.&lt;/author&gt;&lt;/authors&gt;&lt;/contributors&gt;&lt;titles&gt;&lt;title&gt;Assessing the risk of vCJD transmission via surgery: models for uncertainty and complexity&lt;/title&gt;&lt;secondary-title&gt;Journal of the Operational Research Society&lt;/secondary-title&gt;&lt;/titles&gt;&lt;periodical&gt;&lt;full-title&gt;Journal of the Operational Research Society&lt;/full-title&gt;&lt;/periodical&gt;&lt;pages&gt;202-213&lt;/pages&gt;&lt;volume&gt;56&lt;/volume&gt;&lt;number&gt;2&lt;/number&gt;&lt;keywords&gt;&lt;keyword&gt;$$LU_4_CJD infectivity&lt;/keyword&gt;&lt;keyword&gt;$$Background&lt;/keyword&gt;&lt;keyword&gt;$$abstract&lt;/keyword&gt;&lt;keyword&gt;$$In File&lt;/keyword&gt;&lt;keyword&gt;$$CJD relevant&lt;/keyword&gt;&lt;keyword&gt;$$2_surgery transmission risk&lt;/keyword&gt;&lt;keyword&gt;$$flag for Matt&lt;/keyword&gt;&lt;keyword&gt;$$Matt&lt;/keyword&gt;&lt;/keywords&gt;&lt;dates&gt;&lt;year&gt;2005&lt;/year&gt;&lt;pub-dates&gt;&lt;date&gt;Feb&lt;/date&gt;&lt;/pub-dates&gt;&lt;/dates&gt;&lt;isbn&gt;0160-5682&lt;/isbn&gt;&lt;accession-num&gt;WOS:000226509800010&lt;/accession-num&gt;&lt;urls&gt;&lt;related-urls&gt;&lt;url&gt;&lt;style face="underline" font="default" size="100%"&gt;&amp;lt;Go to ISI&amp;gt;://WOS:000226509800010&lt;/style&gt;&lt;/url&gt;&lt;url&gt;&lt;style face="underline" font="default" size="100%"&gt;https://link.springer.com/content/pdf/10.1057%2Fpalgrave.jors.2601899.pdf&lt;/style&gt;&lt;/url&gt;&lt;/related-urls&gt;&lt;/urls&gt;&lt;electronic-resource-num&gt;10.1057/palgrave.jors.2601899&lt;/electronic-resource-num&gt;&lt;/record&gt;&lt;/Cite&gt;&lt;/EndNote&gt;</w:instrText>
      </w:r>
      <w:r w:rsidR="006A3FBC">
        <w:rPr>
          <w:rFonts w:eastAsia="Calibri" w:cs="Times New Roman"/>
        </w:rPr>
        <w:fldChar w:fldCharType="separate"/>
      </w:r>
      <w:r w:rsidR="005C50C5" w:rsidRPr="005C50C5">
        <w:rPr>
          <w:rFonts w:eastAsia="Calibri" w:cs="Times New Roman"/>
          <w:noProof/>
          <w:vertAlign w:val="superscript"/>
        </w:rPr>
        <w:t>13</w:t>
      </w:r>
      <w:r w:rsidR="006A3FBC">
        <w:rPr>
          <w:rFonts w:eastAsia="Calibri" w:cs="Times New Roman"/>
        </w:rPr>
        <w:fldChar w:fldCharType="end"/>
      </w:r>
      <w:r w:rsidR="00AE4B18" w:rsidRPr="007A7C51">
        <w:rPr>
          <w:rFonts w:eastAsia="Calibri" w:cs="Times New Roman"/>
        </w:rPr>
        <w:t xml:space="preserve"> </w:t>
      </w:r>
      <w:r w:rsidRPr="007A7C51">
        <w:rPr>
          <w:rFonts w:eastAsia="Calibri" w:cs="Times New Roman"/>
        </w:rPr>
        <w:t>were used to inform the NICE Interventional Procedures Guidance</w:t>
      </w:r>
      <w:r w:rsidR="007F2929">
        <w:rPr>
          <w:rFonts w:eastAsia="Calibri" w:cs="Times New Roman"/>
        </w:rPr>
        <w:t xml:space="preserve"> 196</w:t>
      </w:r>
      <w:r w:rsidRPr="007A7C51">
        <w:rPr>
          <w:rFonts w:eastAsia="Calibri" w:cs="Times New Roman"/>
        </w:rPr>
        <w:t xml:space="preserve"> (IPG</w:t>
      </w:r>
      <w:r w:rsidR="007F2929">
        <w:rPr>
          <w:rFonts w:eastAsia="Calibri" w:cs="Times New Roman"/>
        </w:rPr>
        <w:t>196</w:t>
      </w:r>
      <w:r w:rsidRPr="007A7C51">
        <w:rPr>
          <w:rFonts w:eastAsia="Calibri" w:cs="Times New Roman"/>
        </w:rPr>
        <w:t>) “</w:t>
      </w:r>
      <w:r w:rsidRPr="007A7C51">
        <w:rPr>
          <w:rFonts w:eastAsia="Calibri" w:cs="Times New Roman"/>
          <w:i/>
        </w:rPr>
        <w:t>Patient safety and reduction of risks of transmission of Creutzfeldt-Jakob Disease (CJD) and vCJD</w:t>
      </w:r>
      <w:r w:rsidR="007F2929">
        <w:rPr>
          <w:rFonts w:eastAsia="Calibri" w:cs="Times New Roman"/>
        </w:rPr>
        <w:t>”</w:t>
      </w:r>
      <w:r w:rsidRPr="007A7C51">
        <w:rPr>
          <w:rFonts w:eastAsia="Calibri" w:cs="Times New Roman"/>
        </w:rPr>
        <w:t>.</w:t>
      </w:r>
      <w:r w:rsidR="00A6456F" w:rsidRPr="007A7C51">
        <w:rPr>
          <w:rFonts w:eastAsia="Calibri" w:cs="Times New Roman"/>
        </w:rPr>
        <w:fldChar w:fldCharType="begin"/>
      </w:r>
      <w:r w:rsidR="00892AF6">
        <w:rPr>
          <w:rFonts w:eastAsia="Calibri" w:cs="Times New Roman"/>
        </w:rPr>
        <w:instrText xml:space="preserve"> ADDIN EN.CITE &lt;EndNote&gt;&lt;Cite&gt;&lt;Author&gt;National Institute for Health and Care Excellence&lt;/Author&gt;&lt;Year&gt;2008&lt;/Year&gt;&lt;RecNum&gt;10250&lt;/RecNum&gt;&lt;DisplayText&gt;&lt;style face="superscript"&gt;14&lt;/style&gt;&lt;/DisplayText&gt;&lt;record&gt;&lt;rec-number&gt;10250&lt;/rec-number&gt;&lt;foreign-keys&gt;&lt;key app="EN" db-id="vrp0pptazv05wtesfz5vrzsj2p0rv09ttsa9" timestamp="1520851583" guid="875b169c-6726-4f90-9c42-19ea7d5d9733"&gt;10250&lt;/key&gt;&lt;/foreign-keys&gt;&lt;ref-type name="Web Page"&gt;12&lt;/ref-type&gt;&lt;contributors&gt;&lt;authors&gt;&lt;author&gt;National Institute for Health and Care Excellence,&lt;/author&gt;&lt;/authors&gt;&lt;/contributors&gt;&lt;titles&gt;&lt;title&gt;NICE interventional procedure guidance 196. Patient safety and reduction of risk of transmission of Creutzfeldt–Jakob disease (CJD) via interventional procedures.&lt;/title&gt;&lt;/titles&gt;&lt;number&gt;02.02.2018&lt;/number&gt;&lt;dates&gt;&lt;year&gt;2008&lt;/year&gt;&lt;/dates&gt;&lt;urls&gt;&lt;related-urls&gt;&lt;url&gt;&lt;style face="underline" font="default" size="100%"&gt;https://www.nice.org.uk/guidance/ipg196/documents/ipg196-patient-safety-and-reduction-of-risk-of-transmission-of-creutzfeldtjakob-disease-cjd-via-interventional-procedures-guidance2&lt;/style&gt;&lt;/url&gt;&lt;/related-urls&gt;&lt;/urls&gt;&lt;/record&gt;&lt;/Cite&gt;&lt;/EndNote&gt;</w:instrText>
      </w:r>
      <w:r w:rsidR="00A6456F" w:rsidRPr="007A7C51">
        <w:rPr>
          <w:rFonts w:eastAsia="Calibri" w:cs="Times New Roman"/>
        </w:rPr>
        <w:fldChar w:fldCharType="separate"/>
      </w:r>
      <w:r w:rsidR="005C50C5" w:rsidRPr="005C50C5">
        <w:rPr>
          <w:rFonts w:eastAsia="Calibri" w:cs="Times New Roman"/>
          <w:noProof/>
          <w:vertAlign w:val="superscript"/>
        </w:rPr>
        <w:t>14</w:t>
      </w:r>
      <w:r w:rsidR="00A6456F" w:rsidRPr="007A7C51">
        <w:rPr>
          <w:rFonts w:eastAsia="Calibri" w:cs="Times New Roman"/>
        </w:rPr>
        <w:fldChar w:fldCharType="end"/>
      </w:r>
      <w:r w:rsidRPr="007A7C51">
        <w:rPr>
          <w:rFonts w:eastAsia="Calibri" w:cs="Times New Roman"/>
        </w:rPr>
        <w:t xml:space="preserve"> The existing guidance includes </w:t>
      </w:r>
      <w:r w:rsidR="007F2929">
        <w:rPr>
          <w:rFonts w:eastAsia="Calibri" w:cs="Times New Roman"/>
        </w:rPr>
        <w:t xml:space="preserve">recommendations on </w:t>
      </w:r>
      <w:r w:rsidRPr="007A7C51">
        <w:rPr>
          <w:rFonts w:eastAsia="Calibri" w:cs="Times New Roman"/>
        </w:rPr>
        <w:t xml:space="preserve">decontamination methods and guidance for set-keeping to ensure that instruments in contact with potentially high-risk tissues do not move from one set to another. Furthermore, supplementary instruments </w:t>
      </w:r>
      <w:r w:rsidR="00B25499" w:rsidRPr="007A7C51">
        <w:rPr>
          <w:rFonts w:eastAsia="Calibri" w:cs="Times New Roman"/>
        </w:rPr>
        <w:t>used during high-</w:t>
      </w:r>
      <w:r w:rsidRPr="007A7C51">
        <w:rPr>
          <w:rFonts w:eastAsia="Calibri" w:cs="Times New Roman"/>
        </w:rPr>
        <w:t>risk procedures were recommended to either be single use or to remain with the set with which they were introduced.</w:t>
      </w:r>
      <w:r w:rsidR="006D7EC6">
        <w:rPr>
          <w:rFonts w:eastAsia="Calibri" w:cs="Times New Roman"/>
        </w:rPr>
        <w:t xml:space="preserve">  An age split was also recommended with separate instruments used for people born before 1997 (and at risk of dietary exposure to BSE) and those born after 1996 (</w:t>
      </w:r>
      <w:r w:rsidR="005E7320">
        <w:rPr>
          <w:rFonts w:eastAsia="Calibri" w:cs="Times New Roman"/>
        </w:rPr>
        <w:t>who were</w:t>
      </w:r>
      <w:r w:rsidR="006D7EC6">
        <w:rPr>
          <w:rFonts w:eastAsia="Calibri" w:cs="Times New Roman"/>
        </w:rPr>
        <w:t xml:space="preserve"> </w:t>
      </w:r>
      <w:r w:rsidR="005E7320">
        <w:rPr>
          <w:rFonts w:eastAsia="Calibri" w:cs="Times New Roman"/>
        </w:rPr>
        <w:t>believed at the time of writing IPG196 to be</w:t>
      </w:r>
      <w:r w:rsidR="006D7EC6">
        <w:rPr>
          <w:rFonts w:eastAsia="Calibri" w:cs="Times New Roman"/>
        </w:rPr>
        <w:t xml:space="preserve"> </w:t>
      </w:r>
      <w:r w:rsidR="005E7320">
        <w:rPr>
          <w:rFonts w:eastAsia="Calibri" w:cs="Times New Roman"/>
        </w:rPr>
        <w:t>not infected with</w:t>
      </w:r>
      <w:r w:rsidR="006D7EC6">
        <w:rPr>
          <w:rFonts w:eastAsia="Calibri" w:cs="Times New Roman"/>
        </w:rPr>
        <w:t xml:space="preserve"> vCJD).</w:t>
      </w:r>
      <w:r w:rsidRPr="007A7C51">
        <w:rPr>
          <w:rFonts w:eastAsia="Calibri" w:cs="Times New Roman"/>
        </w:rPr>
        <w:t xml:space="preserve"> High-risk tissues are regarded as intradural neurosurgical operations on the brain (excluding operations on the spine and peripheral nerves), neuroendoscopy</w:t>
      </w:r>
      <w:r w:rsidR="00B25499" w:rsidRPr="007A7C51">
        <w:rPr>
          <w:rFonts w:eastAsia="Calibri" w:cs="Times New Roman"/>
        </w:rPr>
        <w:t>,</w:t>
      </w:r>
      <w:r w:rsidRPr="007A7C51">
        <w:rPr>
          <w:rFonts w:eastAsia="Calibri" w:cs="Times New Roman"/>
        </w:rPr>
        <w:t xml:space="preserve"> and posterior eye procedures that involve the retina or optic nerve.</w:t>
      </w:r>
      <w:r w:rsidRPr="007A7C51">
        <w:rPr>
          <w:rFonts w:eastAsia="Calibri" w:cs="Times New Roman"/>
        </w:rPr>
        <w:fldChar w:fldCharType="begin"/>
      </w:r>
      <w:r w:rsidR="00892AF6">
        <w:rPr>
          <w:rFonts w:eastAsia="Calibri" w:cs="Times New Roman"/>
        </w:rPr>
        <w:instrText xml:space="preserve"> ADDIN EN.CITE &lt;EndNote&gt;&lt;Cite&gt;&lt;Author&gt;National Institute for Health and Care Excellence&lt;/Author&gt;&lt;Year&gt;2008&lt;/Year&gt;&lt;RecNum&gt;10250&lt;/RecNum&gt;&lt;DisplayText&gt;&lt;style face="superscript"&gt;14&lt;/style&gt;&lt;/DisplayText&gt;&lt;record&gt;&lt;rec-number&gt;10250&lt;/rec-number&gt;&lt;foreign-keys&gt;&lt;key app="EN" db-id="vrp0pptazv05wtesfz5vrzsj2p0rv09ttsa9" timestamp="1520851583" guid="875b169c-6726-4f90-9c42-19ea7d5d9733"&gt;10250&lt;/key&gt;&lt;/foreign-keys&gt;&lt;ref-type name="Web Page"&gt;12&lt;/ref-type&gt;&lt;contributors&gt;&lt;authors&gt;&lt;author&gt;National Institute for Health and Care Excellence,&lt;/author&gt;&lt;/authors&gt;&lt;/contributors&gt;&lt;titles&gt;&lt;title&gt;NICE interventional procedure guidance 196. Patient safety and reduction of risk of transmission of Creutzfeldt–Jakob disease (CJD) via interventional procedures.&lt;/title&gt;&lt;/titles&gt;&lt;number&gt;02.02.2018&lt;/number&gt;&lt;dates&gt;&lt;year&gt;2008&lt;/year&gt;&lt;/dates&gt;&lt;urls&gt;&lt;related-urls&gt;&lt;url&gt;&lt;style face="underline" font="default" size="100%"&gt;https://www.nice.org.uk/guidance/ipg196/documents/ipg196-patient-safety-and-reduction-of-risk-of-transmission-of-creutzfeldtjakob-disease-cjd-via-interventional-procedures-guidance2&lt;/style&gt;&lt;/url&gt;&lt;/related-urls&gt;&lt;/urls&gt;&lt;/record&gt;&lt;/Cite&gt;&lt;/EndNote&gt;</w:instrText>
      </w:r>
      <w:r w:rsidRPr="007A7C51">
        <w:rPr>
          <w:rFonts w:eastAsia="Calibri" w:cs="Times New Roman"/>
        </w:rPr>
        <w:fldChar w:fldCharType="separate"/>
      </w:r>
      <w:r w:rsidR="005C50C5" w:rsidRPr="005C50C5">
        <w:rPr>
          <w:rFonts w:eastAsia="Calibri" w:cs="Times New Roman"/>
          <w:noProof/>
          <w:vertAlign w:val="superscript"/>
        </w:rPr>
        <w:t>14</w:t>
      </w:r>
      <w:r w:rsidRPr="007A7C51">
        <w:rPr>
          <w:rFonts w:eastAsia="Calibri" w:cs="Times New Roman"/>
        </w:rPr>
        <w:fldChar w:fldCharType="end"/>
      </w:r>
      <w:r w:rsidRPr="007A7C51">
        <w:rPr>
          <w:rFonts w:eastAsia="Calibri" w:cs="Times New Roman"/>
        </w:rPr>
        <w:t xml:space="preserve"> While the cost-effectiveness analysis indicated that the introduction of single-use instruments for all high-risk procedures was not cost-effective, there was great uncertainty in these results and a recommendation was made by the study authors that policy might need to be revised if new relevant data become available.</w:t>
      </w:r>
    </w:p>
    <w:p w14:paraId="1C462EB5" w14:textId="77777777" w:rsidR="006E1D8B" w:rsidRPr="007A7C51" w:rsidRDefault="006E1D8B" w:rsidP="00560D8C">
      <w:pPr>
        <w:jc w:val="both"/>
        <w:rPr>
          <w:rFonts w:eastAsia="Calibri" w:cs="Times New Roman"/>
        </w:rPr>
      </w:pPr>
    </w:p>
    <w:p w14:paraId="17AF54CD" w14:textId="26ABC8FE" w:rsidR="00F676EF" w:rsidRPr="007A7C51" w:rsidRDefault="00F676EF" w:rsidP="00560D8C">
      <w:pPr>
        <w:jc w:val="both"/>
        <w:rPr>
          <w:rFonts w:eastAsia="Calibri" w:cs="Times New Roman"/>
        </w:rPr>
      </w:pPr>
      <w:r w:rsidRPr="007A7C51">
        <w:rPr>
          <w:rFonts w:eastAsia="Calibri" w:cs="Times New Roman"/>
        </w:rPr>
        <w:t xml:space="preserve">An epidemic of CJD has not occurred since the </w:t>
      </w:r>
      <w:r w:rsidR="007F2929">
        <w:rPr>
          <w:rFonts w:eastAsia="Calibri" w:cs="Times New Roman"/>
        </w:rPr>
        <w:t>publication of IPG196</w:t>
      </w:r>
      <w:r w:rsidRPr="007A7C51">
        <w:rPr>
          <w:rFonts w:eastAsia="Calibri" w:cs="Times New Roman"/>
        </w:rPr>
        <w:t xml:space="preserve"> and no conclusive evidence of transmission by surgery has transpired to date. However, a number of developments have occurred since 2006 which include:</w:t>
      </w:r>
    </w:p>
    <w:p w14:paraId="3C550587" w14:textId="507B7194" w:rsidR="00F676EF" w:rsidRPr="007A7C51" w:rsidRDefault="00F676EF" w:rsidP="00560D8C">
      <w:pPr>
        <w:numPr>
          <w:ilvl w:val="0"/>
          <w:numId w:val="6"/>
        </w:numPr>
        <w:jc w:val="both"/>
        <w:rPr>
          <w:rFonts w:eastAsia="Calibri" w:cs="Times New Roman"/>
        </w:rPr>
      </w:pPr>
      <w:r w:rsidRPr="007A7C51">
        <w:rPr>
          <w:rFonts w:eastAsia="Calibri" w:cs="Times New Roman"/>
        </w:rPr>
        <w:t>a finding of abnormal prion accumulation in the appe</w:t>
      </w:r>
      <w:r w:rsidR="007F2929">
        <w:rPr>
          <w:rFonts w:eastAsia="Calibri" w:cs="Times New Roman"/>
        </w:rPr>
        <w:t>ndices of low-risk cohorts [i.e.</w:t>
      </w:r>
      <w:r w:rsidRPr="007A7C51">
        <w:rPr>
          <w:rFonts w:eastAsia="Calibri" w:cs="Times New Roman"/>
        </w:rPr>
        <w:t xml:space="preserve"> </w:t>
      </w:r>
      <w:r w:rsidR="007F2929">
        <w:rPr>
          <w:rFonts w:eastAsia="Calibri" w:cs="Times New Roman"/>
        </w:rPr>
        <w:t xml:space="preserve">those </w:t>
      </w:r>
      <w:r w:rsidRPr="007A7C51">
        <w:rPr>
          <w:rFonts w:eastAsia="Calibri" w:cs="Times New Roman"/>
        </w:rPr>
        <w:t>born after 1996],</w:t>
      </w:r>
      <w:r w:rsidRPr="007A7C51">
        <w:rPr>
          <w:rFonts w:eastAsia="Calibri" w:cs="Times New Roman"/>
        </w:rPr>
        <w:fldChar w:fldCharType="begin"/>
      </w:r>
      <w:r w:rsidR="00892AF6">
        <w:rPr>
          <w:rFonts w:eastAsia="Calibri" w:cs="Times New Roman"/>
        </w:rPr>
        <w:instrText xml:space="preserve"> ADDIN EN.CITE &lt;EndNote&gt;&lt;Cite&gt;&lt;Author&gt;Public Health England&lt;/Author&gt;&lt;Year&gt;2016&lt;/Year&gt;&lt;RecNum&gt;10252&lt;/RecNum&gt;&lt;DisplayText&gt;&lt;style face="superscript"&gt;15, 16&lt;/style&gt;&lt;/DisplayText&gt;&lt;record&gt;&lt;rec-number&gt;10252&lt;/rec-number&gt;&lt;foreign-keys&gt;&lt;key app="EN" db-id="vrp0pptazv05wtesfz5vrzsj2p0rv09ttsa9" timestamp="1520851584" guid="c4ddae63-73b7-4f44-82e7-790fba58b17a"&gt;10252&lt;/key&gt;&lt;/foreign-keys&gt;&lt;ref-type name="Report"&gt;27&lt;/ref-type&gt;&lt;contributors&gt;&lt;authors&gt;&lt;author&gt;Public Health England,&lt;/author&gt;&lt;/authors&gt;&lt;/contributors&gt;&lt;titles&gt;&lt;title&gt;Summary results of the third national survey of abnormal prion prevalence in archived appendix specimens&lt;/title&gt;&lt;secondary-title&gt;Health Protection Report&lt;/secondary-title&gt;&lt;/titles&gt;&lt;volume&gt;10&lt;/volume&gt;&lt;number&gt;26&lt;/number&gt;&lt;keywords&gt;&lt;keyword&gt;$$Lesley google&lt;/keyword&gt;&lt;/keywords&gt;&lt;dates&gt;&lt;year&gt;2016&lt;/year&gt;&lt;pub-dates&gt;&lt;date&gt;12th August 2016&lt;/date&gt;&lt;/pub-dates&gt;&lt;/dates&gt;&lt;urls&gt;&lt;related-urls&gt;&lt;url&gt;&lt;style face="underline" font="default" size="100%"&gt;https://app.box.com/s/hhhhg857fjpu2bnxhv6e/file/91796156506&lt;/style&gt;&lt;/url&gt;&lt;/related-urls&gt;&lt;/urls&gt;&lt;access-date&gt;06.02.2018&lt;/access-date&gt;&lt;/record&gt;&lt;/Cite&gt;&lt;Cite&gt;&lt;Author&gt;Advisory Committee on Dangerous Pathogens TSE Subgroup&lt;/Author&gt;&lt;Year&gt;2016&lt;/Year&gt;&lt;RecNum&gt;938&lt;/RecNum&gt;&lt;record&gt;&lt;rec-number&gt;938&lt;/rec-number&gt;&lt;foreign-keys&gt;&lt;key app="EN" db-id="vrp0pptazv05wtesfz5vrzsj2p0rv09ttsa9" timestamp="1499838849" guid="764217db-2c93-4692-a373-cc04e2c39e7f"&gt;938&lt;/key&gt;&lt;/foreign-keys&gt;&lt;ref-type name="Report"&gt;27&lt;/ref-type&gt;&lt;contributors&gt;&lt;authors&gt;&lt;author&gt;Advisory Committee on Dangerous Pathogens TSE Subgroup,&lt;/author&gt;&lt;/authors&gt;&lt;/contributors&gt;&lt;titles&gt;&lt;title&gt;Updated position statement on occurrence of vCJD and prevalence of infection in the UK&lt;/title&gt;&lt;/titles&gt;&lt;keywords&gt;&lt;keyword&gt;$$Committee recommended&lt;/keyword&gt;&lt;/keywords&gt;&lt;dates&gt;&lt;year&gt;2016&lt;/year&gt;&lt;/dates&gt;&lt;urls&gt;&lt;related-urls&gt;&lt;url&gt;https://app.box.com/s/hhhhg857fjpu2bnxhv6e/file/30140977007&lt;/url&gt;&lt;/related-urls&gt;&lt;/urls&gt;&lt;access-date&gt;29.01.2018&lt;/access-date&gt;&lt;/record&gt;&lt;/Cite&gt;&lt;/EndNote&gt;</w:instrText>
      </w:r>
      <w:r w:rsidRPr="007A7C51">
        <w:rPr>
          <w:rFonts w:eastAsia="Calibri" w:cs="Times New Roman"/>
        </w:rPr>
        <w:fldChar w:fldCharType="separate"/>
      </w:r>
      <w:r w:rsidR="005C50C5" w:rsidRPr="005C50C5">
        <w:rPr>
          <w:rFonts w:eastAsia="Calibri" w:cs="Times New Roman"/>
          <w:noProof/>
          <w:vertAlign w:val="superscript"/>
        </w:rPr>
        <w:t>15, 16</w:t>
      </w:r>
      <w:r w:rsidRPr="007A7C51">
        <w:rPr>
          <w:rFonts w:eastAsia="Calibri" w:cs="Times New Roman"/>
        </w:rPr>
        <w:fldChar w:fldCharType="end"/>
      </w:r>
    </w:p>
    <w:p w14:paraId="24C1E9B5" w14:textId="77777777" w:rsidR="00F676EF" w:rsidRPr="007A7C51" w:rsidRDefault="00F676EF" w:rsidP="00560D8C">
      <w:pPr>
        <w:numPr>
          <w:ilvl w:val="0"/>
          <w:numId w:val="6"/>
        </w:numPr>
        <w:jc w:val="both"/>
        <w:rPr>
          <w:rFonts w:eastAsia="Calibri" w:cs="Times New Roman"/>
        </w:rPr>
      </w:pPr>
      <w:r w:rsidRPr="007A7C51">
        <w:rPr>
          <w:rFonts w:eastAsia="Calibri" w:cs="Times New Roman"/>
        </w:rPr>
        <w:t>continued evolution of high quality and less expensive single-use instruments,</w:t>
      </w:r>
    </w:p>
    <w:p w14:paraId="3E2F7A2E" w14:textId="2C2F9B99" w:rsidR="00F676EF" w:rsidRDefault="00F676EF" w:rsidP="00560D8C">
      <w:pPr>
        <w:numPr>
          <w:ilvl w:val="0"/>
          <w:numId w:val="6"/>
        </w:numPr>
        <w:jc w:val="both"/>
        <w:rPr>
          <w:rFonts w:eastAsia="Calibri" w:cs="Times New Roman"/>
        </w:rPr>
      </w:pPr>
      <w:r w:rsidRPr="007A7C51">
        <w:rPr>
          <w:rFonts w:eastAsia="Calibri" w:cs="Times New Roman"/>
        </w:rPr>
        <w:t xml:space="preserve">anecdotal reports of difficulties implementing the recommendation from IPG196 </w:t>
      </w:r>
      <w:r w:rsidR="007F2929">
        <w:rPr>
          <w:rFonts w:eastAsia="Calibri" w:cs="Times New Roman"/>
        </w:rPr>
        <w:t>related to</w:t>
      </w:r>
      <w:r w:rsidRPr="007A7C51">
        <w:rPr>
          <w:rFonts w:eastAsia="Calibri" w:cs="Times New Roman"/>
        </w:rPr>
        <w:t xml:space="preserve"> keeping instruments in their original sets across a number of units</w:t>
      </w:r>
      <w:r w:rsidR="007F2929">
        <w:rPr>
          <w:rFonts w:eastAsia="Calibri" w:cs="Times New Roman"/>
        </w:rPr>
        <w:t>,</w:t>
      </w:r>
    </w:p>
    <w:p w14:paraId="75AFAC3D" w14:textId="5B0269C4" w:rsidR="007F2929" w:rsidRPr="007A7C51" w:rsidRDefault="007F2929" w:rsidP="00560D8C">
      <w:pPr>
        <w:numPr>
          <w:ilvl w:val="0"/>
          <w:numId w:val="6"/>
        </w:numPr>
        <w:jc w:val="both"/>
        <w:rPr>
          <w:rFonts w:eastAsia="Calibri" w:cs="Times New Roman"/>
        </w:rPr>
      </w:pPr>
      <w:r w:rsidRPr="007A7C51">
        <w:rPr>
          <w:rFonts w:eastAsia="Calibri" w:cs="Times New Roman"/>
        </w:rPr>
        <w:t xml:space="preserve">anecdotal </w:t>
      </w:r>
      <w:r>
        <w:rPr>
          <w:rFonts w:eastAsia="Calibri" w:cs="Times New Roman"/>
        </w:rPr>
        <w:t>reports of problems in maintaining quarantined instruments for patients born after 1996</w:t>
      </w:r>
      <w:r w:rsidR="009F6F58">
        <w:rPr>
          <w:rFonts w:eastAsia="Calibri" w:cs="Times New Roman"/>
        </w:rPr>
        <w:t>.</w:t>
      </w:r>
    </w:p>
    <w:p w14:paraId="07EB5790" w14:textId="77777777" w:rsidR="00560D8C" w:rsidRDefault="00560D8C" w:rsidP="00560D8C">
      <w:pPr>
        <w:jc w:val="both"/>
        <w:rPr>
          <w:rFonts w:eastAsia="Calibri" w:cs="Times New Roman"/>
        </w:rPr>
      </w:pPr>
    </w:p>
    <w:p w14:paraId="7102764C" w14:textId="0FED56B5" w:rsidR="00456C3D" w:rsidRPr="007A7C51" w:rsidRDefault="00456C3D" w:rsidP="00560D8C">
      <w:pPr>
        <w:jc w:val="both"/>
        <w:rPr>
          <w:rFonts w:eastAsia="Calibri" w:cs="Times New Roman"/>
        </w:rPr>
      </w:pPr>
      <w:r w:rsidRPr="007A7C51">
        <w:rPr>
          <w:rFonts w:eastAsia="Calibri" w:cs="Times New Roman"/>
        </w:rPr>
        <w:t>A recent study has also implicated neurosurgery as a possible iatrogenic source for amyloid beta accumulation in the brain, a peptide which is associated with Alzheimer’s disease.</w:t>
      </w:r>
      <w:r w:rsidR="00FC6175" w:rsidRPr="007A7C51">
        <w:rPr>
          <w:rFonts w:eastAsia="Calibri" w:cs="Times New Roman"/>
        </w:rPr>
        <w:fldChar w:fldCharType="begin"/>
      </w:r>
      <w:r w:rsidR="00D63CDB">
        <w:rPr>
          <w:rFonts w:eastAsia="Calibri" w:cs="Times New Roman"/>
        </w:rPr>
        <w:instrText xml:space="preserve"> ADDIN EN.CITE &lt;EndNote&gt;&lt;Cite&gt;&lt;Author&gt;Jaunmuktane&lt;/Author&gt;&lt;Year&gt;2018&lt;/Year&gt;&lt;RecNum&gt;10265&lt;/RecNum&gt;&lt;DisplayText&gt;&lt;style face="superscript"&gt;17&lt;/style&gt;&lt;/DisplayText&gt;&lt;record&gt;&lt;rec-number&gt;10265&lt;/rec-number&gt;&lt;foreign-keys&gt;&lt;key app="EN" db-id="vrp0pptazv05wtesfz5vrzsj2p0rv09ttsa9" timestamp="1520851591" guid="8cf63aa9-d1bc-491e-aaf1-491067db4f8a"&gt;10265&lt;/key&gt;&lt;/foreign-keys&gt;&lt;ref-type name="Journal Article"&gt;17&lt;/ref-type&gt;&lt;contributors&gt;&lt;authors&gt;&lt;author&gt;Jaunmuktane, Zane&lt;/author&gt;&lt;author&gt;Quaegebeur, Annelies&lt;/author&gt;&lt;author&gt;Taipa, Ricardo&lt;/author&gt;&lt;author&gt;Viana-Baptista, Miguel&lt;/author&gt;&lt;author&gt;Barbosa, Raquel&lt;/author&gt;&lt;author&gt;Koriath, Carolin&lt;/author&gt;&lt;author&gt;Sciot, Raf&lt;/author&gt;&lt;author&gt;Mead, Simon&lt;/author&gt;&lt;author&gt;Brandner, Sebastian&lt;/author&gt;&lt;/authors&gt;&lt;/contributors&gt;&lt;titles&gt;&lt;title&gt;Evidence of amyloid-β cerebral amyloid angiopathy transmission through neurosurgery&lt;/title&gt;&lt;secondary-title&gt;Acta neuropathologica&lt;/secondary-title&gt;&lt;/titles&gt;&lt;periodical&gt;&lt;full-title&gt;Acta Neuropathologica&lt;/full-title&gt;&lt;/periodical&gt;&lt;pages&gt;1-9&lt;/pages&gt;&lt;keywords&gt;&lt;keyword&gt;$$Committee recommended&lt;/keyword&gt;&lt;keyword&gt;$$Lesley google&lt;/keyword&gt;&lt;/keywords&gt;&lt;dates&gt;&lt;year&gt;2018&lt;/year&gt;&lt;/dates&gt;&lt;isbn&gt;0001-6322&lt;/isbn&gt;&lt;urls&gt;&lt;/urls&gt;&lt;/record&gt;&lt;/Cite&gt;&lt;/EndNote&gt;</w:instrText>
      </w:r>
      <w:r w:rsidR="00FC6175" w:rsidRPr="007A7C51">
        <w:rPr>
          <w:rFonts w:eastAsia="Calibri" w:cs="Times New Roman"/>
        </w:rPr>
        <w:fldChar w:fldCharType="separate"/>
      </w:r>
      <w:r w:rsidR="005C50C5" w:rsidRPr="005C50C5">
        <w:rPr>
          <w:rFonts w:eastAsia="Calibri" w:cs="Times New Roman"/>
          <w:noProof/>
          <w:vertAlign w:val="superscript"/>
        </w:rPr>
        <w:t>17</w:t>
      </w:r>
      <w:r w:rsidR="00FC6175" w:rsidRPr="007A7C51">
        <w:rPr>
          <w:rFonts w:eastAsia="Calibri" w:cs="Times New Roman"/>
        </w:rPr>
        <w:fldChar w:fldCharType="end"/>
      </w:r>
      <w:r w:rsidRPr="007A7C51">
        <w:rPr>
          <w:rFonts w:eastAsia="Calibri" w:cs="Times New Roman"/>
        </w:rPr>
        <w:t xml:space="preserve"> This finding underlines </w:t>
      </w:r>
      <w:r w:rsidR="00843D04" w:rsidRPr="007A7C51">
        <w:rPr>
          <w:rFonts w:eastAsia="Calibri" w:cs="Times New Roman"/>
        </w:rPr>
        <w:t>the</w:t>
      </w:r>
      <w:r w:rsidR="00843D04">
        <w:rPr>
          <w:rFonts w:eastAsia="Calibri" w:cs="Times New Roman"/>
        </w:rPr>
        <w:t xml:space="preserve"> potential </w:t>
      </w:r>
      <w:r w:rsidRPr="007A7C51">
        <w:rPr>
          <w:rFonts w:eastAsia="Calibri" w:cs="Times New Roman"/>
        </w:rPr>
        <w:t>risk associated with high-risk procedures and the importance of assessing evidence relevant to decontamination or disposal of neurosurgical equipment.</w:t>
      </w:r>
    </w:p>
    <w:p w14:paraId="5569D206" w14:textId="77777777" w:rsidR="00F676EF" w:rsidRPr="007A7C51" w:rsidRDefault="00F676EF" w:rsidP="00560D8C">
      <w:pPr>
        <w:jc w:val="both"/>
        <w:rPr>
          <w:rFonts w:eastAsia="Calibri" w:cs="Times New Roman"/>
        </w:rPr>
      </w:pPr>
    </w:p>
    <w:p w14:paraId="57AB1375" w14:textId="77777777" w:rsidR="00F676EF" w:rsidRPr="007A7C51" w:rsidRDefault="00F676EF" w:rsidP="00560D8C">
      <w:pPr>
        <w:jc w:val="both"/>
        <w:rPr>
          <w:rFonts w:eastAsia="Calibri" w:cs="Times New Roman"/>
          <w:i/>
        </w:rPr>
      </w:pPr>
      <w:r w:rsidRPr="007A7C51">
        <w:rPr>
          <w:rFonts w:eastAsia="Calibri" w:cs="Times New Roman"/>
          <w:i/>
        </w:rPr>
        <w:t>Purpose of the research</w:t>
      </w:r>
    </w:p>
    <w:p w14:paraId="59166331" w14:textId="46C008D5" w:rsidR="00F676EF" w:rsidRPr="007A7C51" w:rsidRDefault="00DF04B8" w:rsidP="00560D8C">
      <w:pPr>
        <w:jc w:val="both"/>
        <w:rPr>
          <w:rFonts w:eastAsia="Calibri" w:cs="Times New Roman"/>
        </w:rPr>
      </w:pPr>
      <w:r w:rsidRPr="007A7C51">
        <w:rPr>
          <w:rFonts w:eastAsia="Calibri" w:cs="Times New Roman"/>
        </w:rPr>
        <w:t xml:space="preserve">The objective of the current research is to update </w:t>
      </w:r>
      <w:r w:rsidR="007F2929">
        <w:rPr>
          <w:rFonts w:eastAsia="Calibri" w:cs="Times New Roman"/>
        </w:rPr>
        <w:t>selected</w:t>
      </w:r>
      <w:r w:rsidRPr="007A7C51">
        <w:rPr>
          <w:rFonts w:eastAsia="Calibri" w:cs="Times New Roman"/>
        </w:rPr>
        <w:t xml:space="preserve"> evidence from the research project </w:t>
      </w:r>
      <w:r w:rsidR="00437679" w:rsidRPr="007A7C51">
        <w:rPr>
          <w:rFonts w:eastAsia="Calibri" w:cs="Times New Roman"/>
        </w:rPr>
        <w:t>conducted in 2005</w:t>
      </w:r>
      <w:r w:rsidR="00437679">
        <w:rPr>
          <w:rFonts w:eastAsia="Calibri" w:cs="Times New Roman"/>
        </w:rPr>
        <w:t xml:space="preserve"> </w:t>
      </w:r>
      <w:r w:rsidR="00437679" w:rsidRPr="007A7C51">
        <w:rPr>
          <w:rFonts w:eastAsia="Calibri" w:cs="Times New Roman"/>
        </w:rPr>
        <w:t>(project no. IP1553)</w:t>
      </w:r>
      <w:r w:rsidRPr="007A7C51">
        <w:rPr>
          <w:rFonts w:eastAsia="Calibri" w:cs="Times New Roman"/>
        </w:rPr>
        <w:t xml:space="preserve"> that informed NICE guidance IP</w:t>
      </w:r>
      <w:r w:rsidR="002D3BCF">
        <w:rPr>
          <w:rFonts w:eastAsia="Calibri" w:cs="Times New Roman"/>
        </w:rPr>
        <w:t>G</w:t>
      </w:r>
      <w:r w:rsidRPr="007A7C51">
        <w:rPr>
          <w:rFonts w:eastAsia="Calibri" w:cs="Times New Roman"/>
        </w:rPr>
        <w:t>196</w:t>
      </w:r>
      <w:r w:rsidRPr="007A7C51">
        <w:rPr>
          <w:rFonts w:eastAsia="Calibri" w:cs="Times New Roman"/>
        </w:rPr>
        <w:fldChar w:fldCharType="begin"/>
      </w:r>
      <w:r w:rsidR="00D63CDB">
        <w:rPr>
          <w:rFonts w:eastAsia="Calibri"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sidRPr="007A7C51">
        <w:rPr>
          <w:rFonts w:eastAsia="Calibri" w:cs="Times New Roman"/>
        </w:rPr>
        <w:fldChar w:fldCharType="separate"/>
      </w:r>
      <w:r w:rsidR="005C50C5" w:rsidRPr="005C50C5">
        <w:rPr>
          <w:rFonts w:eastAsia="Calibri" w:cs="Times New Roman"/>
          <w:noProof/>
          <w:vertAlign w:val="superscript"/>
        </w:rPr>
        <w:t>11</w:t>
      </w:r>
      <w:r w:rsidRPr="007A7C51">
        <w:rPr>
          <w:rFonts w:eastAsia="Calibri" w:cs="Times New Roman"/>
        </w:rPr>
        <w:fldChar w:fldCharType="end"/>
      </w:r>
      <w:r w:rsidR="00437679">
        <w:rPr>
          <w:rFonts w:eastAsia="Calibri" w:cs="Times New Roman"/>
        </w:rPr>
        <w:t xml:space="preserve"> for the NICE I</w:t>
      </w:r>
      <w:r w:rsidR="008E6954">
        <w:rPr>
          <w:rFonts w:eastAsia="Calibri" w:cs="Times New Roman"/>
        </w:rPr>
        <w:t xml:space="preserve">nterventional </w:t>
      </w:r>
      <w:r w:rsidR="00437679">
        <w:rPr>
          <w:rFonts w:eastAsia="Calibri" w:cs="Times New Roman"/>
        </w:rPr>
        <w:t>P</w:t>
      </w:r>
      <w:r w:rsidR="008E6954">
        <w:rPr>
          <w:rFonts w:eastAsia="Calibri" w:cs="Times New Roman"/>
        </w:rPr>
        <w:t>rocedures (IP)</w:t>
      </w:r>
      <w:r w:rsidR="00437679">
        <w:rPr>
          <w:rFonts w:eastAsia="Calibri" w:cs="Times New Roman"/>
        </w:rPr>
        <w:t xml:space="preserve"> committee to</w:t>
      </w:r>
      <w:r w:rsidRPr="007A7C51">
        <w:rPr>
          <w:rFonts w:eastAsia="Calibri" w:cs="Times New Roman"/>
        </w:rPr>
        <w:t xml:space="preserve"> </w:t>
      </w:r>
      <w:r w:rsidR="00437679">
        <w:rPr>
          <w:rFonts w:eastAsia="Calibri" w:cs="Times New Roman"/>
        </w:rPr>
        <w:t xml:space="preserve">review </w:t>
      </w:r>
      <w:r w:rsidRPr="007A7C51">
        <w:rPr>
          <w:rFonts w:eastAsia="Calibri" w:cs="Times New Roman"/>
        </w:rPr>
        <w:t xml:space="preserve">the decision problem in 2018. The aim is to review the evidence base for the current risk of </w:t>
      </w:r>
      <w:r w:rsidR="00122B2D" w:rsidRPr="007A7C51">
        <w:rPr>
          <w:rFonts w:eastAsia="Calibri" w:cs="Times New Roman"/>
        </w:rPr>
        <w:t xml:space="preserve">transmission </w:t>
      </w:r>
      <w:r w:rsidR="00122B2D">
        <w:rPr>
          <w:rFonts w:eastAsia="Calibri" w:cs="Times New Roman"/>
        </w:rPr>
        <w:t xml:space="preserve">of </w:t>
      </w:r>
      <w:r w:rsidRPr="007A7C51">
        <w:rPr>
          <w:rFonts w:eastAsia="Calibri" w:cs="Times New Roman"/>
        </w:rPr>
        <w:t xml:space="preserve">CJD </w:t>
      </w:r>
      <w:r w:rsidR="00122B2D">
        <w:rPr>
          <w:rFonts w:eastAsia="Calibri" w:cs="Times New Roman"/>
        </w:rPr>
        <w:t xml:space="preserve">(any form) </w:t>
      </w:r>
      <w:r w:rsidRPr="007A7C51">
        <w:rPr>
          <w:rFonts w:eastAsia="Calibri" w:cs="Times New Roman"/>
        </w:rPr>
        <w:t>related to surgery in order to provide up-to</w:t>
      </w:r>
      <w:r w:rsidR="00437679">
        <w:rPr>
          <w:rFonts w:eastAsia="Calibri" w:cs="Times New Roman"/>
        </w:rPr>
        <w:t xml:space="preserve">-date relevant evidence to NICE, and to inform </w:t>
      </w:r>
      <w:r w:rsidRPr="007A7C51">
        <w:rPr>
          <w:rFonts w:eastAsia="Calibri" w:cs="Times New Roman"/>
        </w:rPr>
        <w:t>the cost-effectiveness of potential management strategies.</w:t>
      </w:r>
    </w:p>
    <w:p w14:paraId="4AE83A06" w14:textId="77777777" w:rsidR="00F676EF" w:rsidRPr="007A7C51" w:rsidRDefault="00F676EF" w:rsidP="00560D8C">
      <w:pPr>
        <w:jc w:val="both"/>
        <w:rPr>
          <w:rFonts w:eastAsia="Calibri" w:cs="Times New Roman"/>
        </w:rPr>
      </w:pPr>
    </w:p>
    <w:p w14:paraId="4A06CF3F" w14:textId="77777777" w:rsidR="00F676EF" w:rsidRPr="007A7C51" w:rsidRDefault="00F676EF" w:rsidP="00560D8C">
      <w:pPr>
        <w:jc w:val="both"/>
        <w:rPr>
          <w:rFonts w:eastAsia="Calibri" w:cs="Times New Roman"/>
          <w:i/>
        </w:rPr>
      </w:pPr>
      <w:r w:rsidRPr="007A7C51">
        <w:rPr>
          <w:rFonts w:eastAsia="Calibri" w:cs="Times New Roman"/>
          <w:i/>
        </w:rPr>
        <w:t>Research objectives</w:t>
      </w:r>
    </w:p>
    <w:p w14:paraId="02498047" w14:textId="77777777" w:rsidR="00F676EF" w:rsidRPr="007A7C51" w:rsidRDefault="00F676EF" w:rsidP="00560D8C">
      <w:pPr>
        <w:numPr>
          <w:ilvl w:val="0"/>
          <w:numId w:val="7"/>
        </w:numPr>
        <w:jc w:val="both"/>
        <w:rPr>
          <w:rFonts w:eastAsia="Calibri" w:cs="Times New Roman"/>
        </w:rPr>
      </w:pPr>
      <w:r w:rsidRPr="007A7C51">
        <w:rPr>
          <w:rFonts w:eastAsia="Calibri" w:cs="Times New Roman"/>
        </w:rPr>
        <w:t>To perform updates of the systematic reviews completed in 2005 on the clinical evidence on patient safety and risks of transmission of CJD via surgery</w:t>
      </w:r>
    </w:p>
    <w:p w14:paraId="58CAD5D8" w14:textId="18B6D319" w:rsidR="00F676EF" w:rsidRDefault="00F676EF" w:rsidP="00560D8C">
      <w:pPr>
        <w:numPr>
          <w:ilvl w:val="0"/>
          <w:numId w:val="7"/>
        </w:numPr>
        <w:jc w:val="both"/>
        <w:rPr>
          <w:rFonts w:eastAsia="Calibri" w:cs="Times New Roman"/>
        </w:rPr>
      </w:pPr>
      <w:r w:rsidRPr="007A7C51">
        <w:rPr>
          <w:rFonts w:eastAsia="Calibri" w:cs="Times New Roman"/>
        </w:rPr>
        <w:t>To update the economic model and where necessary seek new input from expert elicitation to make the model relevant for the decision problem today</w:t>
      </w:r>
    </w:p>
    <w:p w14:paraId="38CD15F6" w14:textId="2FE01496" w:rsidR="00437679" w:rsidRPr="007A7C51" w:rsidRDefault="00437679" w:rsidP="00560D8C">
      <w:pPr>
        <w:numPr>
          <w:ilvl w:val="0"/>
          <w:numId w:val="7"/>
        </w:numPr>
        <w:jc w:val="both"/>
        <w:rPr>
          <w:rFonts w:eastAsia="Calibri" w:cs="Times New Roman"/>
        </w:rPr>
      </w:pPr>
      <w:r>
        <w:rPr>
          <w:rFonts w:eastAsia="Calibri" w:cs="Times New Roman"/>
        </w:rPr>
        <w:t>Undertake modelling to estimate the cost-effectiveness of strategies to reduce the risk of transmission of CJD via surgical procedures.</w:t>
      </w:r>
    </w:p>
    <w:p w14:paraId="04F6F85E" w14:textId="77777777" w:rsidR="00DF04B8" w:rsidRDefault="00DF04B8" w:rsidP="00560D8C">
      <w:pPr>
        <w:rPr>
          <w:rFonts w:eastAsia="Calibri" w:cs="Times New Roman"/>
          <w:b/>
          <w:sz w:val="32"/>
          <w:szCs w:val="32"/>
        </w:rPr>
      </w:pPr>
      <w:r>
        <w:rPr>
          <w:rFonts w:eastAsia="Calibri"/>
        </w:rPr>
        <w:br w:type="page"/>
      </w:r>
    </w:p>
    <w:p w14:paraId="4E7C6F0D" w14:textId="16BD20FD" w:rsidR="0084515B" w:rsidRPr="0084515B" w:rsidRDefault="0084515B" w:rsidP="00F452B9">
      <w:pPr>
        <w:pStyle w:val="Heading1"/>
      </w:pPr>
      <w:bookmarkStart w:id="26" w:name="_Toc525106659"/>
      <w:r w:rsidRPr="0084515B">
        <w:t>2</w:t>
      </w:r>
      <w:r w:rsidRPr="0084515B">
        <w:tab/>
        <w:t>CLINICAL EVIDENCE</w:t>
      </w:r>
      <w:bookmarkEnd w:id="26"/>
    </w:p>
    <w:p w14:paraId="1446BE22" w14:textId="3116E48A" w:rsidR="00F676EF" w:rsidRPr="003520FD" w:rsidRDefault="0084515B" w:rsidP="00F452B9">
      <w:pPr>
        <w:pStyle w:val="Heading2"/>
        <w:rPr>
          <w:rFonts w:eastAsia="Calibri"/>
        </w:rPr>
      </w:pPr>
      <w:bookmarkStart w:id="27" w:name="_Toc525106660"/>
      <w:r>
        <w:rPr>
          <w:rFonts w:eastAsia="Calibri"/>
        </w:rPr>
        <w:t>2.1</w:t>
      </w:r>
      <w:r>
        <w:rPr>
          <w:rFonts w:eastAsia="Calibri"/>
        </w:rPr>
        <w:tab/>
      </w:r>
      <w:r w:rsidR="00F676EF" w:rsidRPr="003520FD">
        <w:rPr>
          <w:rFonts w:eastAsia="Calibri"/>
        </w:rPr>
        <w:t>Methods</w:t>
      </w:r>
      <w:r w:rsidR="00D2154F">
        <w:rPr>
          <w:rFonts w:eastAsia="Calibri"/>
        </w:rPr>
        <w:t xml:space="preserve"> for systematic reviews</w:t>
      </w:r>
      <w:bookmarkEnd w:id="27"/>
    </w:p>
    <w:p w14:paraId="78F8DC77" w14:textId="6AA1F7D0" w:rsidR="00F676EF" w:rsidRPr="007A7C51" w:rsidRDefault="00DF04B8" w:rsidP="00F452B9">
      <w:pPr>
        <w:jc w:val="both"/>
        <w:rPr>
          <w:rFonts w:eastAsia="Calibri" w:cs="Times New Roman"/>
        </w:rPr>
      </w:pPr>
      <w:r w:rsidRPr="007A7C51">
        <w:rPr>
          <w:rFonts w:eastAsia="Calibri" w:cs="Times New Roman"/>
        </w:rPr>
        <w:t>The</w:t>
      </w:r>
      <w:r w:rsidR="00F676EF" w:rsidRPr="007A7C51">
        <w:rPr>
          <w:rFonts w:eastAsia="Calibri" w:cs="Times New Roman"/>
        </w:rPr>
        <w:t xml:space="preserve"> protocol for this project was developed in consultation with the NICE I</w:t>
      </w:r>
      <w:r w:rsidR="00D2239E" w:rsidRPr="007A7C51">
        <w:rPr>
          <w:rFonts w:eastAsia="Calibri" w:cs="Times New Roman"/>
        </w:rPr>
        <w:t>nterventional Procedures Advisory Committee (I</w:t>
      </w:r>
      <w:r w:rsidR="00F676EF" w:rsidRPr="007A7C51">
        <w:rPr>
          <w:rFonts w:eastAsia="Calibri" w:cs="Times New Roman"/>
        </w:rPr>
        <w:t>PAC</w:t>
      </w:r>
      <w:r w:rsidR="00D2239E" w:rsidRPr="007A7C51">
        <w:rPr>
          <w:rFonts w:eastAsia="Calibri" w:cs="Times New Roman"/>
        </w:rPr>
        <w:t>)</w:t>
      </w:r>
      <w:r w:rsidR="00F676EF" w:rsidRPr="007A7C51">
        <w:rPr>
          <w:rFonts w:eastAsia="Calibri" w:cs="Times New Roman"/>
        </w:rPr>
        <w:t xml:space="preserve"> and was registered on the </w:t>
      </w:r>
      <w:r w:rsidR="00437679">
        <w:rPr>
          <w:rFonts w:eastAsia="Calibri" w:cs="Times New Roman"/>
        </w:rPr>
        <w:t xml:space="preserve">Centre for Reviews and Dissemination (CRD) </w:t>
      </w:r>
      <w:r w:rsidR="00F676EF" w:rsidRPr="007A7C51">
        <w:rPr>
          <w:rFonts w:eastAsia="Calibri" w:cs="Times New Roman"/>
        </w:rPr>
        <w:t>systematic review database (</w:t>
      </w:r>
      <w:r w:rsidR="00437679" w:rsidRPr="007A7C51">
        <w:rPr>
          <w:rFonts w:eastAsia="Calibri" w:cs="Times New Roman"/>
        </w:rPr>
        <w:t xml:space="preserve">PROSPERO </w:t>
      </w:r>
      <w:r w:rsidR="00F676EF" w:rsidRPr="007A7C51">
        <w:rPr>
          <w:rFonts w:eastAsia="Calibri" w:cs="Times New Roman"/>
        </w:rPr>
        <w:t xml:space="preserve">registration no. CRD42017071807).  The project </w:t>
      </w:r>
      <w:r w:rsidR="00122B2D" w:rsidRPr="007A7C51">
        <w:rPr>
          <w:rFonts w:eastAsia="Calibri" w:cs="Times New Roman"/>
        </w:rPr>
        <w:t xml:space="preserve">aimed </w:t>
      </w:r>
      <w:r w:rsidR="00F676EF" w:rsidRPr="007A7C51">
        <w:rPr>
          <w:rFonts w:eastAsia="Calibri" w:cs="Times New Roman"/>
        </w:rPr>
        <w:t xml:space="preserve">firstly to update the evidence for the </w:t>
      </w:r>
      <w:r w:rsidR="00122B2D">
        <w:rPr>
          <w:rFonts w:eastAsia="Calibri" w:cs="Times New Roman"/>
        </w:rPr>
        <w:t xml:space="preserve">following </w:t>
      </w:r>
      <w:r w:rsidR="00F676EF" w:rsidRPr="007A7C51">
        <w:rPr>
          <w:rFonts w:eastAsia="Calibri" w:cs="Times New Roman"/>
        </w:rPr>
        <w:t>eight research questions:</w:t>
      </w:r>
    </w:p>
    <w:p w14:paraId="7E2EB152" w14:textId="77777777" w:rsidR="00F676EF" w:rsidRPr="007A7C51" w:rsidRDefault="00F676EF" w:rsidP="00F452B9">
      <w:pPr>
        <w:numPr>
          <w:ilvl w:val="0"/>
          <w:numId w:val="10"/>
        </w:numPr>
        <w:contextualSpacing/>
        <w:jc w:val="both"/>
        <w:rPr>
          <w:rFonts w:eastAsia="Calibri" w:cs="Times New Roman"/>
        </w:rPr>
      </w:pPr>
      <w:r w:rsidRPr="007A7C51">
        <w:rPr>
          <w:rFonts w:eastAsia="Calibri" w:cs="Times New Roman"/>
        </w:rPr>
        <w:t>What is the incidence of CJD and what is the prevalence of CJD-related prions in humans in the UK?</w:t>
      </w:r>
    </w:p>
    <w:p w14:paraId="60558CCD" w14:textId="77777777" w:rsidR="00F676EF" w:rsidRPr="007A7C51" w:rsidRDefault="00F676EF" w:rsidP="00F452B9">
      <w:pPr>
        <w:numPr>
          <w:ilvl w:val="0"/>
          <w:numId w:val="10"/>
        </w:numPr>
        <w:contextualSpacing/>
        <w:jc w:val="both"/>
        <w:rPr>
          <w:rFonts w:eastAsia="Calibri" w:cs="Times New Roman"/>
        </w:rPr>
      </w:pPr>
      <w:r w:rsidRPr="007A7C51">
        <w:rPr>
          <w:rFonts w:eastAsia="Calibri" w:cs="Times New Roman"/>
        </w:rPr>
        <w:t>What is the risk of secondary transmission of CJD by surgical procedure?</w:t>
      </w:r>
    </w:p>
    <w:p w14:paraId="4D07719C" w14:textId="5D8F010F" w:rsidR="00F676EF" w:rsidRPr="007A7C51" w:rsidRDefault="00F676EF" w:rsidP="00F452B9">
      <w:pPr>
        <w:numPr>
          <w:ilvl w:val="0"/>
          <w:numId w:val="10"/>
        </w:numPr>
        <w:contextualSpacing/>
        <w:jc w:val="both"/>
        <w:rPr>
          <w:rFonts w:eastAsia="Calibri" w:cs="Times New Roman"/>
        </w:rPr>
      </w:pPr>
      <w:r w:rsidRPr="007A7C51">
        <w:rPr>
          <w:rFonts w:eastAsia="Calibri" w:cs="Times New Roman"/>
        </w:rPr>
        <w:t xml:space="preserve">What are the incubation periods of acquired </w:t>
      </w:r>
      <w:r w:rsidR="002D3BCF">
        <w:rPr>
          <w:rFonts w:eastAsia="Calibri" w:cs="Times New Roman"/>
        </w:rPr>
        <w:t>Transmissible Spong</w:t>
      </w:r>
      <w:r w:rsidR="0008439D">
        <w:rPr>
          <w:rFonts w:eastAsia="Calibri" w:cs="Times New Roman"/>
        </w:rPr>
        <w:t>i</w:t>
      </w:r>
      <w:r w:rsidR="002D3BCF">
        <w:rPr>
          <w:rFonts w:eastAsia="Calibri" w:cs="Times New Roman"/>
        </w:rPr>
        <w:t>form Encephalopathies (</w:t>
      </w:r>
      <w:r w:rsidRPr="007A7C51">
        <w:rPr>
          <w:rFonts w:eastAsia="Calibri" w:cs="Times New Roman"/>
        </w:rPr>
        <w:t>TSEs</w:t>
      </w:r>
      <w:r w:rsidR="002D3BCF">
        <w:rPr>
          <w:rFonts w:eastAsia="Calibri" w:cs="Times New Roman"/>
        </w:rPr>
        <w:t>)</w:t>
      </w:r>
      <w:r w:rsidRPr="007A7C51">
        <w:rPr>
          <w:rFonts w:eastAsia="Calibri" w:cs="Times New Roman"/>
        </w:rPr>
        <w:t>?</w:t>
      </w:r>
    </w:p>
    <w:p w14:paraId="319E3F0C" w14:textId="77777777" w:rsidR="00F676EF" w:rsidRPr="007A7C51" w:rsidRDefault="00F676EF" w:rsidP="00F452B9">
      <w:pPr>
        <w:numPr>
          <w:ilvl w:val="0"/>
          <w:numId w:val="10"/>
        </w:numPr>
        <w:contextualSpacing/>
        <w:jc w:val="both"/>
        <w:rPr>
          <w:rFonts w:eastAsia="Calibri" w:cs="Times New Roman"/>
        </w:rPr>
      </w:pPr>
      <w:r w:rsidRPr="007A7C51">
        <w:rPr>
          <w:rFonts w:eastAsia="Calibri" w:cs="Times New Roman"/>
        </w:rPr>
        <w:t>What is the infectivity of CJD?</w:t>
      </w:r>
    </w:p>
    <w:p w14:paraId="1EE56CE1" w14:textId="048ED1F7" w:rsidR="00F676EF" w:rsidRPr="007A7C51" w:rsidRDefault="00F676EF" w:rsidP="00F452B9">
      <w:pPr>
        <w:numPr>
          <w:ilvl w:val="0"/>
          <w:numId w:val="10"/>
        </w:numPr>
        <w:contextualSpacing/>
        <w:jc w:val="both"/>
        <w:rPr>
          <w:rFonts w:eastAsia="Calibri" w:cs="Times New Roman"/>
        </w:rPr>
      </w:pPr>
      <w:r w:rsidRPr="007A7C51">
        <w:rPr>
          <w:rFonts w:eastAsia="Calibri" w:cs="Times New Roman"/>
        </w:rPr>
        <w:t>What is the evidence on the efficacy of decontamination of instruments with prions?</w:t>
      </w:r>
    </w:p>
    <w:p w14:paraId="628EAC15" w14:textId="77777777" w:rsidR="00F676EF" w:rsidRPr="007A7C51" w:rsidRDefault="00F676EF" w:rsidP="00F452B9">
      <w:pPr>
        <w:numPr>
          <w:ilvl w:val="0"/>
          <w:numId w:val="10"/>
        </w:numPr>
        <w:contextualSpacing/>
        <w:jc w:val="both"/>
        <w:rPr>
          <w:rFonts w:eastAsia="Calibri" w:cs="Times New Roman"/>
        </w:rPr>
      </w:pPr>
      <w:r w:rsidRPr="007A7C51">
        <w:rPr>
          <w:rFonts w:eastAsia="Calibri" w:cs="Times New Roman"/>
        </w:rPr>
        <w:t>What is the evidence that instruments used for high-risk procedures remain in their original sets?</w:t>
      </w:r>
    </w:p>
    <w:p w14:paraId="166C9240" w14:textId="77777777" w:rsidR="00F676EF" w:rsidRPr="007A7C51" w:rsidRDefault="00F676EF" w:rsidP="00F452B9">
      <w:pPr>
        <w:numPr>
          <w:ilvl w:val="0"/>
          <w:numId w:val="10"/>
        </w:numPr>
        <w:contextualSpacing/>
        <w:jc w:val="both"/>
        <w:rPr>
          <w:rFonts w:eastAsia="Calibri" w:cs="Times New Roman"/>
        </w:rPr>
      </w:pPr>
      <w:r w:rsidRPr="007A7C51">
        <w:rPr>
          <w:rFonts w:eastAsia="Calibri" w:cs="Times New Roman"/>
        </w:rPr>
        <w:t>What is the evidence for complication rates of single-use compared with reusable instruments for high-risk procedures?</w:t>
      </w:r>
    </w:p>
    <w:p w14:paraId="5E3354F3" w14:textId="59EB3C60" w:rsidR="00F676EF" w:rsidRPr="007A7C51" w:rsidRDefault="00F676EF" w:rsidP="00F452B9">
      <w:pPr>
        <w:numPr>
          <w:ilvl w:val="0"/>
          <w:numId w:val="10"/>
        </w:numPr>
        <w:contextualSpacing/>
        <w:jc w:val="both"/>
        <w:rPr>
          <w:rFonts w:eastAsia="Calibri" w:cs="Times New Roman"/>
        </w:rPr>
      </w:pPr>
      <w:r w:rsidRPr="007A7C51">
        <w:rPr>
          <w:rFonts w:eastAsia="Calibri" w:cs="Times New Roman"/>
        </w:rPr>
        <w:t xml:space="preserve">What is the evidence for </w:t>
      </w:r>
      <w:r w:rsidR="00B15C3D">
        <w:rPr>
          <w:rFonts w:eastAsia="Calibri" w:cs="Times New Roman"/>
        </w:rPr>
        <w:t>likelihood</w:t>
      </w:r>
      <w:r w:rsidRPr="007A7C51">
        <w:rPr>
          <w:rFonts w:eastAsia="Calibri" w:cs="Times New Roman"/>
        </w:rPr>
        <w:t xml:space="preserve"> of future surgery for a patient undergoing high-risk procedures?</w:t>
      </w:r>
    </w:p>
    <w:p w14:paraId="724ED4DA" w14:textId="77777777" w:rsidR="00F676EF" w:rsidRPr="007A7C51" w:rsidRDefault="00F676EF" w:rsidP="00F452B9">
      <w:pPr>
        <w:jc w:val="both"/>
        <w:rPr>
          <w:rFonts w:eastAsia="Calibri" w:cs="Times New Roman"/>
        </w:rPr>
      </w:pPr>
    </w:p>
    <w:p w14:paraId="5548A295" w14:textId="7688DB45" w:rsidR="00F676EF" w:rsidRPr="007A7C51" w:rsidRDefault="00F676EF" w:rsidP="00F452B9">
      <w:pPr>
        <w:jc w:val="both"/>
        <w:rPr>
          <w:rFonts w:eastAsia="Calibri" w:cs="Times New Roman"/>
        </w:rPr>
      </w:pPr>
      <w:r w:rsidRPr="007A7C51">
        <w:rPr>
          <w:rFonts w:eastAsia="Calibri" w:cs="Times New Roman"/>
        </w:rPr>
        <w:t>Eight systematic reviews have been completed to best address these research questions in adherence to best practice systematic review methodology according to Preferred Reporting Items for Systematic Reviews and Meta-Analyses (PRISMA</w:t>
      </w:r>
      <w:r w:rsidR="00122B2D">
        <w:rPr>
          <w:rFonts w:eastAsia="Calibri" w:cs="Times New Roman"/>
        </w:rPr>
        <w:t>)</w:t>
      </w:r>
      <w:r w:rsidRPr="007A7C51">
        <w:rPr>
          <w:rFonts w:eastAsia="Calibri" w:cs="Times New Roman"/>
        </w:rPr>
        <w:t xml:space="preserve"> 2009</w:t>
      </w:r>
      <w:r w:rsidRPr="007A7C51">
        <w:rPr>
          <w:rFonts w:eastAsia="Calibri" w:cs="Times New Roman"/>
        </w:rPr>
        <w:fldChar w:fldCharType="begin"/>
      </w:r>
      <w:r w:rsidR="00D63CDB">
        <w:rPr>
          <w:rFonts w:eastAsia="Calibri" w:cs="Times New Roman"/>
        </w:rPr>
        <w:instrText xml:space="preserve"> ADDIN EN.CITE &lt;EndNote&gt;&lt;Cite&gt;&lt;Author&gt;Moher&lt;/Author&gt;&lt;Year&gt;2009&lt;/Year&gt;&lt;RecNum&gt;953&lt;/RecNum&gt;&lt;DisplayText&gt;&lt;style face="superscript"&gt;18&lt;/style&gt;&lt;/DisplayText&gt;&lt;record&gt;&lt;rec-number&gt;953&lt;/rec-number&gt;&lt;foreign-keys&gt;&lt;key app="EN" db-id="vrp0pptazv05wtesfz5vrzsj2p0rv09ttsa9" timestamp="1501512893" guid="05a2c03b-1fd2-4854-bca7-b5730842601a"&gt;953&lt;/key&gt;&lt;/foreign-keys&gt;&lt;ref-type name="Journal Article"&gt;17&lt;/ref-type&gt;&lt;contributors&gt;&lt;authors&gt;&lt;author&gt;Moher, David&lt;/author&gt;&lt;author&gt;Liberati, Alessandro&lt;/author&gt;&lt;author&gt;Tetzlaff, Jennifer&lt;/author&gt;&lt;author&gt;Altman, Douglas G&lt;/author&gt;&lt;author&gt;Prisma Group&lt;/author&gt;&lt;/authors&gt;&lt;/contributors&gt;&lt;titles&gt;&lt;title&gt;Preferred reporting items for systematic reviews and meta-analyses: the PRISMA statement&lt;/title&gt;&lt;secondary-title&gt;PLoS medicine&lt;/secondary-title&gt;&lt;/titles&gt;&lt;periodical&gt;&lt;full-title&gt;Plos Medicine&lt;/full-title&gt;&lt;/periodical&gt;&lt;pages&gt;e1000097&lt;/pages&gt;&lt;volume&gt;6&lt;/volume&gt;&lt;number&gt;7&lt;/number&gt;&lt;keywords&gt;&lt;keyword&gt;$$Lesley added for protocol&lt;/keyword&gt;&lt;/keywords&gt;&lt;dates&gt;&lt;year&gt;2009&lt;/year&gt;&lt;/dates&gt;&lt;isbn&gt;1549-1676&lt;/isbn&gt;&lt;urls&gt;&lt;/urls&gt;&lt;/record&gt;&lt;/Cite&gt;&lt;/EndNote&gt;</w:instrText>
      </w:r>
      <w:r w:rsidRPr="007A7C51">
        <w:rPr>
          <w:rFonts w:eastAsia="Calibri" w:cs="Times New Roman"/>
        </w:rPr>
        <w:fldChar w:fldCharType="separate"/>
      </w:r>
      <w:r w:rsidR="005C50C5" w:rsidRPr="005C50C5">
        <w:rPr>
          <w:rFonts w:eastAsia="Calibri" w:cs="Times New Roman"/>
          <w:noProof/>
          <w:vertAlign w:val="superscript"/>
        </w:rPr>
        <w:t>18</w:t>
      </w:r>
      <w:r w:rsidRPr="007A7C51">
        <w:rPr>
          <w:rFonts w:eastAsia="Calibri" w:cs="Times New Roman"/>
        </w:rPr>
        <w:fldChar w:fldCharType="end"/>
      </w:r>
      <w:r w:rsidRPr="007A7C51">
        <w:rPr>
          <w:rFonts w:eastAsia="Calibri" w:cs="Times New Roman"/>
        </w:rPr>
        <w:t xml:space="preserve"> standards. </w:t>
      </w:r>
    </w:p>
    <w:p w14:paraId="774EAD0B" w14:textId="77777777" w:rsidR="002F675D" w:rsidRDefault="002F675D" w:rsidP="00F452B9">
      <w:pPr>
        <w:jc w:val="both"/>
        <w:rPr>
          <w:rFonts w:eastAsia="Calibri" w:cs="Times New Roman"/>
          <w:sz w:val="24"/>
          <w:szCs w:val="24"/>
        </w:rPr>
      </w:pPr>
    </w:p>
    <w:p w14:paraId="1B5B37D4" w14:textId="38176548" w:rsidR="002F675D" w:rsidRPr="00F84738" w:rsidRDefault="000B1F01" w:rsidP="000B1F01">
      <w:pPr>
        <w:pStyle w:val="Heading3"/>
        <w:rPr>
          <w:b w:val="0"/>
          <w:i/>
        </w:rPr>
      </w:pPr>
      <w:r w:rsidRPr="00F84738">
        <w:rPr>
          <w:b w:val="0"/>
          <w:i/>
        </w:rPr>
        <w:t>2.1.1</w:t>
      </w:r>
      <w:r w:rsidRPr="00F84738">
        <w:rPr>
          <w:b w:val="0"/>
          <w:i/>
        </w:rPr>
        <w:tab/>
        <w:t>Eligibility</w:t>
      </w:r>
      <w:r w:rsidR="002F675D" w:rsidRPr="00F84738">
        <w:rPr>
          <w:b w:val="0"/>
          <w:i/>
        </w:rPr>
        <w:t xml:space="preserve"> criteria</w:t>
      </w:r>
    </w:p>
    <w:p w14:paraId="5E9223D7" w14:textId="44E8AC4C" w:rsidR="00F676EF" w:rsidRPr="00690541" w:rsidRDefault="00F676EF" w:rsidP="00F452B9">
      <w:pPr>
        <w:jc w:val="both"/>
        <w:rPr>
          <w:rFonts w:eastAsia="Times New Roman" w:cs="Times New Roman"/>
          <w:b/>
          <w:bCs/>
          <w:lang w:eastAsia="en-GB"/>
        </w:rPr>
      </w:pPr>
      <w:r w:rsidRPr="007A7C51">
        <w:rPr>
          <w:rFonts w:eastAsia="Calibri" w:cs="Times New Roman"/>
        </w:rPr>
        <w:t>The inclusion</w:t>
      </w:r>
      <w:r w:rsidR="000B1F01">
        <w:rPr>
          <w:rFonts w:eastAsia="Calibri" w:cs="Times New Roman"/>
        </w:rPr>
        <w:t xml:space="preserve"> and exclusion</w:t>
      </w:r>
      <w:r w:rsidRPr="007A7C51">
        <w:rPr>
          <w:rFonts w:eastAsia="Calibri" w:cs="Times New Roman"/>
        </w:rPr>
        <w:t xml:space="preserve"> criteria diff</w:t>
      </w:r>
      <w:r w:rsidR="008E6954">
        <w:rPr>
          <w:rFonts w:eastAsia="Calibri" w:cs="Times New Roman"/>
        </w:rPr>
        <w:t>er for each review question. These</w:t>
      </w:r>
      <w:r w:rsidRPr="007A7C51">
        <w:rPr>
          <w:rFonts w:eastAsia="Calibri" w:cs="Times New Roman"/>
        </w:rPr>
        <w:t xml:space="preserve"> are broadly summarised in </w:t>
      </w:r>
      <w:r w:rsidRPr="007A7C51">
        <w:rPr>
          <w:rFonts w:eastAsia="Calibri" w:cs="Times New Roman"/>
        </w:rPr>
        <w:fldChar w:fldCharType="begin"/>
      </w:r>
      <w:r w:rsidRPr="007A7C51">
        <w:rPr>
          <w:rFonts w:eastAsia="Calibri" w:cs="Times New Roman"/>
        </w:rPr>
        <w:instrText xml:space="preserve"> REF _Ref488312360 \h </w:instrText>
      </w:r>
      <w:r w:rsidR="00DF04B8" w:rsidRPr="007A7C51">
        <w:rPr>
          <w:rFonts w:eastAsia="Calibri" w:cs="Times New Roman"/>
        </w:rPr>
        <w:instrText xml:space="preserve"> \* MERGEFORMAT </w:instrText>
      </w:r>
      <w:r w:rsidRPr="007A7C51">
        <w:rPr>
          <w:rFonts w:eastAsia="Calibri" w:cs="Times New Roman"/>
        </w:rPr>
      </w:r>
      <w:r w:rsidRPr="007A7C51">
        <w:rPr>
          <w:rFonts w:eastAsia="Calibri" w:cs="Times New Roman"/>
        </w:rPr>
        <w:fldChar w:fldCharType="separate"/>
      </w:r>
      <w:r w:rsidR="00690541" w:rsidRPr="00690541">
        <w:rPr>
          <w:rFonts w:eastAsia="Times New Roman" w:cs="Times New Roman"/>
          <w:bCs/>
          <w:noProof/>
          <w:lang w:eastAsia="en-GB"/>
        </w:rPr>
        <w:t>Table</w:t>
      </w:r>
      <w:r w:rsidR="00690541" w:rsidRPr="00DD794C">
        <w:rPr>
          <w:rFonts w:eastAsia="Times New Roman" w:cs="Times New Roman"/>
          <w:b/>
          <w:bCs/>
          <w:lang w:eastAsia="en-GB"/>
        </w:rPr>
        <w:t xml:space="preserve"> </w:t>
      </w:r>
      <w:r w:rsidR="00690541" w:rsidRPr="00690541">
        <w:rPr>
          <w:rFonts w:eastAsia="Times New Roman" w:cs="Times New Roman"/>
          <w:bCs/>
          <w:noProof/>
          <w:lang w:eastAsia="en-GB"/>
        </w:rPr>
        <w:t>1</w:t>
      </w:r>
      <w:r w:rsidRPr="007A7C51">
        <w:rPr>
          <w:rFonts w:eastAsia="Calibri" w:cs="Times New Roman"/>
        </w:rPr>
        <w:fldChar w:fldCharType="end"/>
      </w:r>
      <w:r w:rsidRPr="00DF04B8">
        <w:rPr>
          <w:rFonts w:eastAsia="Calibri" w:cs="Times New Roman"/>
          <w:sz w:val="24"/>
          <w:szCs w:val="24"/>
        </w:rPr>
        <w:t>.</w:t>
      </w:r>
    </w:p>
    <w:p w14:paraId="2775D6A8" w14:textId="77777777" w:rsidR="00F676EF" w:rsidRPr="00DF04B8" w:rsidRDefault="00F676EF" w:rsidP="00F452B9">
      <w:pPr>
        <w:jc w:val="both"/>
        <w:rPr>
          <w:rFonts w:eastAsia="Calibri" w:cs="Times New Roman"/>
          <w:sz w:val="24"/>
          <w:szCs w:val="24"/>
        </w:rPr>
      </w:pPr>
    </w:p>
    <w:p w14:paraId="6FDD7A33" w14:textId="77777777" w:rsidR="00BC0130" w:rsidRDefault="00BC0130">
      <w:pPr>
        <w:spacing w:after="160" w:line="259" w:lineRule="auto"/>
        <w:rPr>
          <w:rFonts w:eastAsia="Times New Roman" w:cs="Times New Roman"/>
          <w:b/>
          <w:bCs/>
          <w:lang w:eastAsia="en-GB"/>
        </w:rPr>
      </w:pPr>
      <w:bookmarkStart w:id="28" w:name="_Ref488312360"/>
      <w:r>
        <w:rPr>
          <w:rFonts w:eastAsia="Times New Roman" w:cs="Times New Roman"/>
          <w:b/>
          <w:bCs/>
          <w:lang w:eastAsia="en-GB"/>
        </w:rPr>
        <w:br w:type="page"/>
      </w:r>
    </w:p>
    <w:p w14:paraId="6EB8C5EB" w14:textId="41CAC16A" w:rsidR="00F676EF" w:rsidRPr="00DD794C" w:rsidRDefault="00F676EF" w:rsidP="00F452B9">
      <w:pPr>
        <w:rPr>
          <w:rFonts w:eastAsia="Calibri" w:cs="Times New Roman"/>
          <w:b/>
          <w:bCs/>
          <w:i/>
        </w:rPr>
      </w:pPr>
      <w:bookmarkStart w:id="29" w:name="_Toc525106688"/>
      <w:r w:rsidRPr="00DD794C">
        <w:rPr>
          <w:rFonts w:eastAsia="Times New Roman" w:cs="Times New Roman"/>
          <w:b/>
          <w:bCs/>
          <w:lang w:eastAsia="en-GB"/>
        </w:rPr>
        <w:t xml:space="preserve">Table </w:t>
      </w:r>
      <w:r w:rsidRPr="00DD794C">
        <w:rPr>
          <w:rFonts w:eastAsia="Times New Roman" w:cs="Times New Roman"/>
          <w:b/>
          <w:bCs/>
          <w:lang w:eastAsia="en-GB"/>
        </w:rPr>
        <w:fldChar w:fldCharType="begin"/>
      </w:r>
      <w:r w:rsidRPr="00DD794C">
        <w:rPr>
          <w:rFonts w:eastAsia="Times New Roman" w:cs="Times New Roman"/>
          <w:b/>
          <w:bCs/>
          <w:lang w:eastAsia="en-GB"/>
        </w:rPr>
        <w:instrText xml:space="preserve"> SEQ Table \* ARABIC </w:instrText>
      </w:r>
      <w:r w:rsidRPr="00DD794C">
        <w:rPr>
          <w:rFonts w:eastAsia="Times New Roman" w:cs="Times New Roman"/>
          <w:b/>
          <w:bCs/>
          <w:lang w:eastAsia="en-GB"/>
        </w:rPr>
        <w:fldChar w:fldCharType="separate"/>
      </w:r>
      <w:r w:rsidR="00690541">
        <w:rPr>
          <w:rFonts w:eastAsia="Times New Roman" w:cs="Times New Roman"/>
          <w:b/>
          <w:bCs/>
          <w:noProof/>
          <w:lang w:eastAsia="en-GB"/>
        </w:rPr>
        <w:t>1</w:t>
      </w:r>
      <w:r w:rsidRPr="00DD794C">
        <w:rPr>
          <w:rFonts w:eastAsia="Times New Roman" w:cs="Times New Roman"/>
          <w:b/>
          <w:bCs/>
          <w:noProof/>
          <w:lang w:eastAsia="en-GB"/>
        </w:rPr>
        <w:fldChar w:fldCharType="end"/>
      </w:r>
      <w:bookmarkEnd w:id="28"/>
      <w:r w:rsidRPr="00DD794C">
        <w:rPr>
          <w:rFonts w:eastAsia="Times New Roman" w:cs="Times New Roman"/>
          <w:b/>
          <w:bCs/>
          <w:lang w:eastAsia="en-GB"/>
        </w:rPr>
        <w:t>:</w:t>
      </w:r>
      <w:r w:rsidR="00F452B9" w:rsidRPr="00DD794C">
        <w:rPr>
          <w:rFonts w:eastAsia="Times New Roman" w:cs="Times New Roman"/>
          <w:b/>
          <w:bCs/>
          <w:lang w:eastAsia="en-GB"/>
        </w:rPr>
        <w:tab/>
      </w:r>
      <w:r w:rsidRPr="00DD794C">
        <w:rPr>
          <w:rFonts w:eastAsia="Times New Roman" w:cs="Times New Roman"/>
          <w:b/>
          <w:bCs/>
          <w:lang w:eastAsia="en-GB"/>
        </w:rPr>
        <w:t>Eligibility criteria for each review question</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F676EF" w:rsidRPr="007A7C51" w14:paraId="3F90AECB" w14:textId="77777777" w:rsidTr="00AC19B2">
        <w:tc>
          <w:tcPr>
            <w:tcW w:w="3256" w:type="dxa"/>
          </w:tcPr>
          <w:p w14:paraId="418DAEE0" w14:textId="77777777" w:rsidR="00F676EF" w:rsidRPr="007A7C51" w:rsidRDefault="00F676EF" w:rsidP="00F452B9">
            <w:pPr>
              <w:spacing w:after="120" w:line="240" w:lineRule="auto"/>
              <w:contextualSpacing/>
              <w:jc w:val="both"/>
              <w:rPr>
                <w:rFonts w:cs="Times New Roman"/>
              </w:rPr>
            </w:pPr>
            <w:r w:rsidRPr="007A7C51">
              <w:rPr>
                <w:rFonts w:cs="Times New Roman"/>
              </w:rPr>
              <w:t>Review Question</w:t>
            </w:r>
          </w:p>
        </w:tc>
        <w:tc>
          <w:tcPr>
            <w:tcW w:w="5760" w:type="dxa"/>
          </w:tcPr>
          <w:p w14:paraId="737A8D6E" w14:textId="77777777" w:rsidR="00F676EF" w:rsidRPr="007A7C51" w:rsidRDefault="00F676EF" w:rsidP="00F452B9">
            <w:pPr>
              <w:spacing w:after="120" w:line="240" w:lineRule="auto"/>
              <w:contextualSpacing/>
              <w:jc w:val="both"/>
              <w:rPr>
                <w:rFonts w:cs="Times New Roman"/>
              </w:rPr>
            </w:pPr>
            <w:r w:rsidRPr="007A7C51">
              <w:rPr>
                <w:rFonts w:cs="Times New Roman"/>
              </w:rPr>
              <w:t>Eligibility criteria for inclusion into the review</w:t>
            </w:r>
          </w:p>
        </w:tc>
      </w:tr>
      <w:tr w:rsidR="00F676EF" w:rsidRPr="007A7C51" w14:paraId="2C27FBEC" w14:textId="77777777" w:rsidTr="00AC19B2">
        <w:tc>
          <w:tcPr>
            <w:tcW w:w="3256" w:type="dxa"/>
          </w:tcPr>
          <w:p w14:paraId="2C8E8913" w14:textId="77777777" w:rsidR="00F676EF" w:rsidRPr="007A7C51" w:rsidRDefault="00F676EF" w:rsidP="00634A6D">
            <w:pPr>
              <w:spacing w:after="120" w:line="240" w:lineRule="auto"/>
              <w:contextualSpacing/>
              <w:jc w:val="both"/>
              <w:rPr>
                <w:rFonts w:cs="Times New Roman"/>
              </w:rPr>
            </w:pPr>
            <w:r w:rsidRPr="007A7C51">
              <w:rPr>
                <w:rFonts w:cs="Times New Roman"/>
              </w:rPr>
              <w:t>What is the incidence of CJD and what is the prevalence of CJD-related prions in humans in the UK?</w:t>
            </w:r>
          </w:p>
          <w:p w14:paraId="732D63E2" w14:textId="77777777" w:rsidR="00F676EF" w:rsidRPr="007A7C51" w:rsidRDefault="00F676EF" w:rsidP="00F452B9">
            <w:pPr>
              <w:spacing w:after="120" w:line="240" w:lineRule="auto"/>
              <w:jc w:val="both"/>
              <w:rPr>
                <w:rFonts w:cs="Times New Roman"/>
                <w:i/>
              </w:rPr>
            </w:pPr>
          </w:p>
        </w:tc>
        <w:tc>
          <w:tcPr>
            <w:tcW w:w="5760" w:type="dxa"/>
          </w:tcPr>
          <w:p w14:paraId="2F5DC7F8" w14:textId="77777777" w:rsidR="00F676EF" w:rsidRPr="007A7C51" w:rsidRDefault="00F676EF" w:rsidP="00F452B9">
            <w:pPr>
              <w:spacing w:after="120" w:line="240" w:lineRule="auto"/>
              <w:contextualSpacing/>
              <w:jc w:val="both"/>
              <w:rPr>
                <w:rFonts w:cs="Times New Roman"/>
              </w:rPr>
            </w:pPr>
            <w:r w:rsidRPr="007A7C51">
              <w:rPr>
                <w:rFonts w:cs="Times New Roman"/>
              </w:rPr>
              <w:t>Population: Humans with CJD or CJD-related prions in tissue</w:t>
            </w:r>
          </w:p>
          <w:p w14:paraId="3BCD3A1A" w14:textId="77777777" w:rsidR="00F676EF" w:rsidRPr="007A7C51" w:rsidRDefault="00F676EF" w:rsidP="00F452B9">
            <w:pPr>
              <w:spacing w:after="120" w:line="240" w:lineRule="auto"/>
              <w:contextualSpacing/>
              <w:jc w:val="both"/>
              <w:rPr>
                <w:rFonts w:cs="Times New Roman"/>
              </w:rPr>
            </w:pPr>
            <w:r w:rsidRPr="007A7C51">
              <w:rPr>
                <w:rFonts w:cs="Times New Roman"/>
              </w:rPr>
              <w:t xml:space="preserve">Outcome: Incidence or prevalence data </w:t>
            </w:r>
          </w:p>
          <w:p w14:paraId="4B3ADC73" w14:textId="30814E7F" w:rsidR="00F676EF" w:rsidRPr="007A7C51" w:rsidRDefault="00F676EF">
            <w:pPr>
              <w:spacing w:after="120" w:line="240" w:lineRule="auto"/>
              <w:contextualSpacing/>
              <w:jc w:val="both"/>
              <w:rPr>
                <w:rFonts w:cs="Times New Roman"/>
              </w:rPr>
            </w:pPr>
            <w:r w:rsidRPr="007A7C51">
              <w:rPr>
                <w:rFonts w:cs="Times New Roman"/>
              </w:rPr>
              <w:t xml:space="preserve">Study designs: National surveillance reports, registry data, epidemiological studies or pathological surveys that provide empirical </w:t>
            </w:r>
            <w:r w:rsidR="009F6F58" w:rsidRPr="007A7C51">
              <w:rPr>
                <w:rFonts w:cs="Times New Roman"/>
              </w:rPr>
              <w:t>estimat</w:t>
            </w:r>
            <w:r w:rsidR="009F6F58">
              <w:rPr>
                <w:rFonts w:cs="Times New Roman"/>
              </w:rPr>
              <w:t>es</w:t>
            </w:r>
            <w:r w:rsidR="009F6F58" w:rsidRPr="007A7C51">
              <w:rPr>
                <w:rFonts w:cs="Times New Roman"/>
              </w:rPr>
              <w:t xml:space="preserve"> </w:t>
            </w:r>
            <w:r w:rsidRPr="007A7C51">
              <w:rPr>
                <w:rFonts w:cs="Times New Roman"/>
              </w:rPr>
              <w:t>of prevalence.</w:t>
            </w:r>
          </w:p>
        </w:tc>
      </w:tr>
      <w:tr w:rsidR="00F676EF" w:rsidRPr="007A7C51" w14:paraId="31F884F0" w14:textId="77777777" w:rsidTr="00AC19B2">
        <w:tc>
          <w:tcPr>
            <w:tcW w:w="3256" w:type="dxa"/>
          </w:tcPr>
          <w:p w14:paraId="14F865E7" w14:textId="77777777" w:rsidR="00F676EF" w:rsidRPr="00634A6D" w:rsidRDefault="00F676EF" w:rsidP="00634A6D">
            <w:pPr>
              <w:spacing w:after="120" w:line="240" w:lineRule="auto"/>
              <w:jc w:val="both"/>
              <w:rPr>
                <w:rFonts w:cs="Times New Roman"/>
              </w:rPr>
            </w:pPr>
            <w:r w:rsidRPr="00634A6D">
              <w:rPr>
                <w:rFonts w:cs="Times New Roman"/>
              </w:rPr>
              <w:t>What is the risk of secondary transmission of CJD by surgical procedure?</w:t>
            </w:r>
          </w:p>
          <w:p w14:paraId="186A083E" w14:textId="77777777" w:rsidR="00F676EF" w:rsidRPr="007A7C51" w:rsidRDefault="00F676EF" w:rsidP="00F452B9">
            <w:pPr>
              <w:spacing w:after="120" w:line="240" w:lineRule="auto"/>
              <w:jc w:val="both"/>
              <w:rPr>
                <w:rFonts w:cs="Times New Roman"/>
                <w:i/>
              </w:rPr>
            </w:pPr>
          </w:p>
        </w:tc>
        <w:tc>
          <w:tcPr>
            <w:tcW w:w="5760" w:type="dxa"/>
          </w:tcPr>
          <w:p w14:paraId="36CAE447" w14:textId="77777777" w:rsidR="00F676EF" w:rsidRPr="007A7C51" w:rsidRDefault="00F676EF" w:rsidP="00F452B9">
            <w:pPr>
              <w:spacing w:after="120" w:line="240" w:lineRule="auto"/>
              <w:contextualSpacing/>
              <w:jc w:val="both"/>
              <w:rPr>
                <w:rFonts w:cs="Times New Roman"/>
              </w:rPr>
            </w:pPr>
            <w:r w:rsidRPr="007A7C51">
              <w:rPr>
                <w:rFonts w:cs="Times New Roman"/>
              </w:rPr>
              <w:t>Population: Humans who have acquired CJD via iatrogenic transmission via surgery</w:t>
            </w:r>
          </w:p>
          <w:p w14:paraId="20A442A6" w14:textId="77777777" w:rsidR="00F676EF" w:rsidRPr="007A7C51" w:rsidRDefault="00F676EF" w:rsidP="00F452B9">
            <w:pPr>
              <w:spacing w:after="120" w:line="240" w:lineRule="auto"/>
              <w:contextualSpacing/>
              <w:jc w:val="both"/>
              <w:rPr>
                <w:rFonts w:cs="Times New Roman"/>
              </w:rPr>
            </w:pPr>
            <w:r w:rsidRPr="007A7C51">
              <w:rPr>
                <w:rFonts w:cs="Times New Roman"/>
              </w:rPr>
              <w:t>Outcome: Incidence data</w:t>
            </w:r>
          </w:p>
          <w:p w14:paraId="589D9F63" w14:textId="77777777" w:rsidR="00F676EF" w:rsidRPr="007A7C51" w:rsidRDefault="00F676EF" w:rsidP="00F452B9">
            <w:pPr>
              <w:spacing w:after="120" w:line="240" w:lineRule="auto"/>
              <w:contextualSpacing/>
              <w:jc w:val="both"/>
              <w:rPr>
                <w:rFonts w:cs="Times New Roman"/>
              </w:rPr>
            </w:pPr>
            <w:r w:rsidRPr="007A7C51">
              <w:rPr>
                <w:rFonts w:cs="Times New Roman"/>
              </w:rPr>
              <w:t>Study design: Observational studies such as case series and case reports</w:t>
            </w:r>
          </w:p>
        </w:tc>
      </w:tr>
      <w:tr w:rsidR="00F676EF" w:rsidRPr="007A7C51" w14:paraId="5B6284D0" w14:textId="77777777" w:rsidTr="00AC19B2">
        <w:tc>
          <w:tcPr>
            <w:tcW w:w="3256" w:type="dxa"/>
          </w:tcPr>
          <w:p w14:paraId="2610BB36" w14:textId="77777777" w:rsidR="00F676EF" w:rsidRPr="00634A6D" w:rsidRDefault="00F676EF" w:rsidP="00634A6D">
            <w:pPr>
              <w:spacing w:after="120" w:line="240" w:lineRule="auto"/>
              <w:jc w:val="both"/>
              <w:rPr>
                <w:rFonts w:cs="Times New Roman"/>
              </w:rPr>
            </w:pPr>
            <w:r w:rsidRPr="00634A6D">
              <w:rPr>
                <w:rFonts w:cs="Times New Roman"/>
              </w:rPr>
              <w:t>What are the incubation periods of acquired TSEs?</w:t>
            </w:r>
          </w:p>
        </w:tc>
        <w:tc>
          <w:tcPr>
            <w:tcW w:w="5760" w:type="dxa"/>
          </w:tcPr>
          <w:p w14:paraId="6AEAE027" w14:textId="77777777" w:rsidR="00F676EF" w:rsidRPr="007A7C51" w:rsidRDefault="00F676EF" w:rsidP="00F452B9">
            <w:pPr>
              <w:spacing w:after="120" w:line="240" w:lineRule="auto"/>
              <w:contextualSpacing/>
              <w:jc w:val="both"/>
              <w:rPr>
                <w:rFonts w:cs="Times New Roman"/>
              </w:rPr>
            </w:pPr>
            <w:r w:rsidRPr="007A7C51">
              <w:rPr>
                <w:rFonts w:cs="Times New Roman"/>
              </w:rPr>
              <w:t>Population: Humans with CJD or related prion disease (e.g. kuru) as a result of primary or secondary transmission</w:t>
            </w:r>
          </w:p>
          <w:p w14:paraId="4FA63AB1" w14:textId="77777777" w:rsidR="00F676EF" w:rsidRPr="007A7C51" w:rsidRDefault="00F676EF" w:rsidP="00F452B9">
            <w:pPr>
              <w:spacing w:after="120" w:line="240" w:lineRule="auto"/>
              <w:contextualSpacing/>
              <w:jc w:val="both"/>
              <w:rPr>
                <w:rFonts w:cs="Times New Roman"/>
              </w:rPr>
            </w:pPr>
            <w:r w:rsidRPr="007A7C51">
              <w:rPr>
                <w:rFonts w:cs="Times New Roman"/>
              </w:rPr>
              <w:t>Outcome: Incubation data</w:t>
            </w:r>
          </w:p>
          <w:p w14:paraId="37268253" w14:textId="14E18915" w:rsidR="00F676EF" w:rsidRPr="007A7C51" w:rsidRDefault="00F676EF" w:rsidP="00F452B9">
            <w:pPr>
              <w:spacing w:after="120" w:line="240" w:lineRule="auto"/>
              <w:contextualSpacing/>
              <w:jc w:val="both"/>
              <w:rPr>
                <w:rFonts w:cs="Times New Roman"/>
              </w:rPr>
            </w:pPr>
            <w:r w:rsidRPr="007A7C51">
              <w:rPr>
                <w:rFonts w:cs="Times New Roman"/>
              </w:rPr>
              <w:t xml:space="preserve">Study designs: Empirical or epidemiological studies; </w:t>
            </w:r>
            <w:r w:rsidR="009F6F58">
              <w:rPr>
                <w:rFonts w:cs="Times New Roman"/>
              </w:rPr>
              <w:t>r</w:t>
            </w:r>
            <w:r w:rsidRPr="007A7C51">
              <w:rPr>
                <w:rFonts w:cs="Times New Roman"/>
              </w:rPr>
              <w:t>eviews/guidance documents for reference checking</w:t>
            </w:r>
          </w:p>
        </w:tc>
      </w:tr>
      <w:tr w:rsidR="00F676EF" w:rsidRPr="007A7C51" w14:paraId="218A6F12" w14:textId="77777777" w:rsidTr="00AC19B2">
        <w:tc>
          <w:tcPr>
            <w:tcW w:w="3256" w:type="dxa"/>
          </w:tcPr>
          <w:p w14:paraId="6D8E1785" w14:textId="77777777" w:rsidR="00F676EF" w:rsidRPr="00634A6D" w:rsidRDefault="00F676EF" w:rsidP="00634A6D">
            <w:pPr>
              <w:spacing w:after="120" w:line="240" w:lineRule="auto"/>
              <w:jc w:val="both"/>
              <w:rPr>
                <w:rFonts w:cs="Times New Roman"/>
              </w:rPr>
            </w:pPr>
            <w:r w:rsidRPr="00634A6D">
              <w:rPr>
                <w:rFonts w:cs="Times New Roman"/>
              </w:rPr>
              <w:t>What is the infectivity of CJD?</w:t>
            </w:r>
          </w:p>
        </w:tc>
        <w:tc>
          <w:tcPr>
            <w:tcW w:w="5760" w:type="dxa"/>
          </w:tcPr>
          <w:p w14:paraId="7F294219" w14:textId="6D9A0BD6" w:rsidR="00F676EF" w:rsidRPr="007A7C51" w:rsidRDefault="00F676EF" w:rsidP="00F452B9">
            <w:pPr>
              <w:spacing w:after="120" w:line="240" w:lineRule="auto"/>
              <w:contextualSpacing/>
              <w:jc w:val="both"/>
              <w:rPr>
                <w:rFonts w:cs="Times New Roman"/>
              </w:rPr>
            </w:pPr>
            <w:r w:rsidRPr="007A7C51">
              <w:rPr>
                <w:rFonts w:cs="Times New Roman"/>
              </w:rPr>
              <w:t>Phenomenon of interest: The infectiousness of CJD in terms of CJD type, subtype or strain, genotype of the recipient, infectivity of infectious tissue, infectious mass required to transmit CJD</w:t>
            </w:r>
          </w:p>
          <w:p w14:paraId="6CD9B1CA" w14:textId="77777777" w:rsidR="00F676EF" w:rsidRPr="007A7C51" w:rsidRDefault="00F676EF" w:rsidP="00F452B9">
            <w:pPr>
              <w:spacing w:after="120" w:line="240" w:lineRule="auto"/>
              <w:contextualSpacing/>
              <w:jc w:val="both"/>
              <w:rPr>
                <w:rFonts w:cs="Times New Roman"/>
              </w:rPr>
            </w:pPr>
            <w:r w:rsidRPr="007A7C51">
              <w:rPr>
                <w:rFonts w:cs="Times New Roman"/>
              </w:rPr>
              <w:t>Outcome: Trends or themes in CJD infectivity</w:t>
            </w:r>
          </w:p>
          <w:p w14:paraId="76868432" w14:textId="77777777" w:rsidR="00F676EF" w:rsidRPr="007A7C51" w:rsidRDefault="00F676EF" w:rsidP="00F452B9">
            <w:pPr>
              <w:spacing w:after="120" w:line="240" w:lineRule="auto"/>
              <w:contextualSpacing/>
              <w:jc w:val="both"/>
              <w:rPr>
                <w:rFonts w:cs="Times New Roman"/>
                <w:i/>
              </w:rPr>
            </w:pPr>
            <w:r w:rsidRPr="007A7C51">
              <w:rPr>
                <w:rFonts w:cs="Times New Roman"/>
              </w:rPr>
              <w:t xml:space="preserve">Study designs: Empirical </w:t>
            </w:r>
            <w:r w:rsidRPr="00AC3C12">
              <w:rPr>
                <w:rFonts w:cs="Times New Roman"/>
                <w:i/>
              </w:rPr>
              <w:t>in vivo</w:t>
            </w:r>
            <w:r w:rsidRPr="007A7C51">
              <w:rPr>
                <w:rFonts w:cs="Times New Roman"/>
              </w:rPr>
              <w:t xml:space="preserve"> or </w:t>
            </w:r>
            <w:r w:rsidRPr="00AC3C12">
              <w:rPr>
                <w:rFonts w:cs="Times New Roman"/>
                <w:i/>
              </w:rPr>
              <w:t>in vitro</w:t>
            </w:r>
            <w:r w:rsidRPr="007A7C51">
              <w:rPr>
                <w:rFonts w:cs="Times New Roman"/>
              </w:rPr>
              <w:t xml:space="preserve"> studies</w:t>
            </w:r>
          </w:p>
        </w:tc>
      </w:tr>
      <w:tr w:rsidR="00F676EF" w:rsidRPr="007A7C51" w14:paraId="62EFCF89" w14:textId="77777777" w:rsidTr="00AC19B2">
        <w:tc>
          <w:tcPr>
            <w:tcW w:w="3256" w:type="dxa"/>
          </w:tcPr>
          <w:p w14:paraId="56D3D796" w14:textId="77777777" w:rsidR="00F676EF" w:rsidRPr="00634A6D" w:rsidRDefault="00F676EF" w:rsidP="00634A6D">
            <w:pPr>
              <w:spacing w:after="120" w:line="240" w:lineRule="auto"/>
              <w:jc w:val="both"/>
              <w:rPr>
                <w:rFonts w:cs="Times New Roman"/>
              </w:rPr>
            </w:pPr>
            <w:r w:rsidRPr="00634A6D">
              <w:rPr>
                <w:rFonts w:cs="Times New Roman"/>
              </w:rPr>
              <w:t>What is the evidence on the efficacy of decontamination of instruments with CJD/TSE/prions?</w:t>
            </w:r>
          </w:p>
        </w:tc>
        <w:tc>
          <w:tcPr>
            <w:tcW w:w="5760" w:type="dxa"/>
          </w:tcPr>
          <w:p w14:paraId="18026B5D" w14:textId="60DBABF1" w:rsidR="00F676EF" w:rsidRPr="007A7C51" w:rsidRDefault="00F676EF" w:rsidP="00F452B9">
            <w:pPr>
              <w:spacing w:after="120" w:line="240" w:lineRule="auto"/>
              <w:contextualSpacing/>
              <w:jc w:val="both"/>
              <w:rPr>
                <w:rFonts w:cs="Times New Roman"/>
              </w:rPr>
            </w:pPr>
            <w:r w:rsidRPr="007A7C51">
              <w:rPr>
                <w:rFonts w:cs="Times New Roman"/>
              </w:rPr>
              <w:t xml:space="preserve">Phenomenon of interest: The binding of prions to steel surfaces. The </w:t>
            </w:r>
            <w:r w:rsidR="008E6954">
              <w:rPr>
                <w:rFonts w:cs="Times New Roman"/>
              </w:rPr>
              <w:t>restriction</w:t>
            </w:r>
            <w:r w:rsidRPr="007A7C51">
              <w:rPr>
                <w:rFonts w:cs="Times New Roman"/>
              </w:rPr>
              <w:t xml:space="preserve"> to steel (e.g. steel wires), despite limitations, is because prions adhering to steel better simulate the real-world scenario of surgical instruments than inactivation of prions in brain homogenate or tissue</w:t>
            </w:r>
            <w:r w:rsidR="00306B6B" w:rsidRPr="007A7C51">
              <w:rPr>
                <w:rFonts w:cs="Times New Roman"/>
              </w:rPr>
              <w:t>.</w:t>
            </w:r>
            <w:r w:rsidRPr="007A7C51">
              <w:rPr>
                <w:rFonts w:cs="Times New Roman"/>
              </w:rPr>
              <w:t xml:space="preserve"> </w:t>
            </w:r>
          </w:p>
          <w:p w14:paraId="2FDD8868" w14:textId="52B163F0" w:rsidR="00F676EF" w:rsidRPr="007A7C51" w:rsidRDefault="00F676EF" w:rsidP="00F452B9">
            <w:pPr>
              <w:spacing w:after="120" w:line="240" w:lineRule="auto"/>
              <w:contextualSpacing/>
              <w:jc w:val="both"/>
              <w:rPr>
                <w:rFonts w:cs="Times New Roman"/>
              </w:rPr>
            </w:pPr>
            <w:r w:rsidRPr="007A7C51">
              <w:rPr>
                <w:rFonts w:cs="Times New Roman"/>
              </w:rPr>
              <w:t xml:space="preserve">Intervention: Autoclaving with/without an additional decontamination process; decontamination processes other than autoclaving </w:t>
            </w:r>
          </w:p>
          <w:p w14:paraId="60C6CB68" w14:textId="3834B5ED" w:rsidR="00F676EF" w:rsidRPr="007A7C51" w:rsidRDefault="00F676EF" w:rsidP="00F452B9">
            <w:pPr>
              <w:spacing w:after="120" w:line="240" w:lineRule="auto"/>
              <w:contextualSpacing/>
              <w:jc w:val="both"/>
              <w:rPr>
                <w:rFonts w:cs="Times New Roman"/>
              </w:rPr>
            </w:pPr>
            <w:r w:rsidRPr="007A7C51">
              <w:rPr>
                <w:rFonts w:cs="Times New Roman"/>
              </w:rPr>
              <w:t>Outcome: Log reductions in the infectious titre, i.e. reduction in the load of infectivity on steel (wires) after decontamination processes.</w:t>
            </w:r>
          </w:p>
          <w:p w14:paraId="45763583" w14:textId="77777777" w:rsidR="00F676EF" w:rsidRPr="007A7C51" w:rsidRDefault="00F676EF" w:rsidP="00F452B9">
            <w:pPr>
              <w:spacing w:after="120" w:line="240" w:lineRule="auto"/>
              <w:contextualSpacing/>
              <w:jc w:val="both"/>
              <w:rPr>
                <w:rFonts w:cs="Times New Roman"/>
              </w:rPr>
            </w:pPr>
            <w:r w:rsidRPr="007A7C51">
              <w:rPr>
                <w:rFonts w:cs="Times New Roman"/>
              </w:rPr>
              <w:t xml:space="preserve">Study designs: Empirical </w:t>
            </w:r>
            <w:r w:rsidRPr="007A7C51">
              <w:rPr>
                <w:rFonts w:cs="Times New Roman"/>
                <w:i/>
              </w:rPr>
              <w:t xml:space="preserve">in vivo </w:t>
            </w:r>
            <w:r w:rsidRPr="007A7C51">
              <w:rPr>
                <w:rFonts w:cs="Times New Roman"/>
              </w:rPr>
              <w:t>or</w:t>
            </w:r>
            <w:r w:rsidRPr="007A7C51">
              <w:rPr>
                <w:rFonts w:cs="Times New Roman"/>
                <w:i/>
              </w:rPr>
              <w:t xml:space="preserve"> in vitro</w:t>
            </w:r>
            <w:r w:rsidRPr="007A7C51">
              <w:rPr>
                <w:rFonts w:cs="Times New Roman"/>
              </w:rPr>
              <w:t xml:space="preserve"> studies; reviews/guidance documents for reference checking.</w:t>
            </w:r>
          </w:p>
        </w:tc>
      </w:tr>
      <w:tr w:rsidR="00F676EF" w:rsidRPr="007A7C51" w14:paraId="224ED3FC" w14:textId="77777777" w:rsidTr="00AC19B2">
        <w:tc>
          <w:tcPr>
            <w:tcW w:w="3256" w:type="dxa"/>
          </w:tcPr>
          <w:p w14:paraId="24F998A8" w14:textId="77777777" w:rsidR="00F676EF" w:rsidRPr="00634A6D" w:rsidRDefault="00F676EF" w:rsidP="00634A6D">
            <w:pPr>
              <w:spacing w:after="120" w:line="240" w:lineRule="auto"/>
              <w:jc w:val="both"/>
              <w:rPr>
                <w:rFonts w:cs="Times New Roman"/>
              </w:rPr>
            </w:pPr>
            <w:r w:rsidRPr="00634A6D">
              <w:rPr>
                <w:rFonts w:cs="Times New Roman"/>
              </w:rPr>
              <w:t>What is the evidence that instruments used for high-risk procedures remain in their original sets?</w:t>
            </w:r>
          </w:p>
        </w:tc>
        <w:tc>
          <w:tcPr>
            <w:tcW w:w="5760" w:type="dxa"/>
          </w:tcPr>
          <w:p w14:paraId="16622F5D" w14:textId="555A3519" w:rsidR="00F676EF" w:rsidRPr="007A7C51" w:rsidRDefault="00560ED2" w:rsidP="00F452B9">
            <w:pPr>
              <w:spacing w:after="120" w:line="240" w:lineRule="auto"/>
              <w:contextualSpacing/>
              <w:jc w:val="both"/>
              <w:rPr>
                <w:rFonts w:cs="Times New Roman"/>
              </w:rPr>
            </w:pPr>
            <w:r w:rsidRPr="007A7C51">
              <w:rPr>
                <w:rFonts w:cs="Times New Roman"/>
              </w:rPr>
              <w:t>Intervention</w:t>
            </w:r>
            <w:r w:rsidR="00F676EF" w:rsidRPr="007A7C51">
              <w:rPr>
                <w:rFonts w:cs="Times New Roman"/>
              </w:rPr>
              <w:t>: Instruments used for specified high-risk surgeries</w:t>
            </w:r>
          </w:p>
          <w:p w14:paraId="4FBFBD74" w14:textId="77777777" w:rsidR="00F676EF" w:rsidRPr="007A7C51" w:rsidRDefault="00F676EF" w:rsidP="00F452B9">
            <w:pPr>
              <w:spacing w:after="120" w:line="240" w:lineRule="auto"/>
              <w:contextualSpacing/>
              <w:jc w:val="both"/>
              <w:rPr>
                <w:rFonts w:cs="Times New Roman"/>
              </w:rPr>
            </w:pPr>
            <w:r w:rsidRPr="007A7C51">
              <w:rPr>
                <w:rFonts w:cs="Times New Roman"/>
              </w:rPr>
              <w:t>Outcomes: Set integrity; migration of instruments between sets</w:t>
            </w:r>
          </w:p>
          <w:p w14:paraId="09D3ED9A" w14:textId="3AEEC06A" w:rsidR="00F676EF" w:rsidRPr="007A7C51" w:rsidRDefault="00F676EF" w:rsidP="00F452B9">
            <w:pPr>
              <w:spacing w:after="120" w:line="240" w:lineRule="auto"/>
              <w:contextualSpacing/>
              <w:jc w:val="both"/>
              <w:rPr>
                <w:rFonts w:cs="Times New Roman"/>
              </w:rPr>
            </w:pPr>
            <w:r w:rsidRPr="007A7C51">
              <w:rPr>
                <w:rFonts w:cs="Times New Roman"/>
              </w:rPr>
              <w:t xml:space="preserve">Study designs: Empirical or epidemiological studies; </w:t>
            </w:r>
            <w:r w:rsidR="009F6F58">
              <w:rPr>
                <w:rFonts w:cs="Times New Roman"/>
              </w:rPr>
              <w:t>r</w:t>
            </w:r>
            <w:r w:rsidRPr="007A7C51">
              <w:rPr>
                <w:rFonts w:cs="Times New Roman"/>
              </w:rPr>
              <w:t>eviews/guidance documents for reference checking</w:t>
            </w:r>
          </w:p>
        </w:tc>
      </w:tr>
      <w:tr w:rsidR="00F676EF" w:rsidRPr="007A7C51" w14:paraId="74861926" w14:textId="77777777" w:rsidTr="00AC19B2">
        <w:tc>
          <w:tcPr>
            <w:tcW w:w="3256" w:type="dxa"/>
          </w:tcPr>
          <w:p w14:paraId="45273660" w14:textId="77777777" w:rsidR="00F676EF" w:rsidRPr="00634A6D" w:rsidRDefault="00F676EF" w:rsidP="00634A6D">
            <w:pPr>
              <w:spacing w:after="120" w:line="240" w:lineRule="auto"/>
              <w:jc w:val="both"/>
              <w:rPr>
                <w:rFonts w:cs="Times New Roman"/>
              </w:rPr>
            </w:pPr>
            <w:r w:rsidRPr="00634A6D">
              <w:rPr>
                <w:rFonts w:cs="Times New Roman"/>
              </w:rPr>
              <w:t>What is the evidence for complication rates of single-use compared with reusable instruments for high-risk procedures?</w:t>
            </w:r>
          </w:p>
        </w:tc>
        <w:tc>
          <w:tcPr>
            <w:tcW w:w="5760" w:type="dxa"/>
          </w:tcPr>
          <w:p w14:paraId="0C5DD3D3" w14:textId="10FAEA8B" w:rsidR="00F676EF" w:rsidRPr="007A7C51" w:rsidRDefault="00F676EF" w:rsidP="00F452B9">
            <w:pPr>
              <w:spacing w:after="120" w:line="240" w:lineRule="auto"/>
              <w:contextualSpacing/>
              <w:jc w:val="both"/>
              <w:rPr>
                <w:rFonts w:cs="Times New Roman"/>
              </w:rPr>
            </w:pPr>
            <w:r w:rsidRPr="007A7C51">
              <w:rPr>
                <w:rFonts w:cs="Times New Roman"/>
              </w:rPr>
              <w:t xml:space="preserve">Intervention: Single-use instruments for specified high-risk surgeries </w:t>
            </w:r>
          </w:p>
          <w:p w14:paraId="0693FC0E" w14:textId="77777777" w:rsidR="00F676EF" w:rsidRPr="007A7C51" w:rsidRDefault="00F676EF" w:rsidP="00F452B9">
            <w:pPr>
              <w:spacing w:after="120" w:line="240" w:lineRule="auto"/>
              <w:contextualSpacing/>
              <w:jc w:val="both"/>
              <w:rPr>
                <w:rFonts w:cs="Times New Roman"/>
              </w:rPr>
            </w:pPr>
            <w:r w:rsidRPr="007A7C51">
              <w:rPr>
                <w:rFonts w:cs="Times New Roman"/>
              </w:rPr>
              <w:t xml:space="preserve">Comparator: Reusable instruments for specified high-risk surgeries </w:t>
            </w:r>
          </w:p>
          <w:p w14:paraId="7639539D" w14:textId="77777777" w:rsidR="00F676EF" w:rsidRPr="007A7C51" w:rsidRDefault="00F676EF" w:rsidP="00F452B9">
            <w:pPr>
              <w:spacing w:after="120" w:line="240" w:lineRule="auto"/>
              <w:contextualSpacing/>
              <w:jc w:val="both"/>
              <w:rPr>
                <w:rFonts w:cs="Times New Roman"/>
              </w:rPr>
            </w:pPr>
            <w:r w:rsidRPr="007A7C51">
              <w:rPr>
                <w:rFonts w:cs="Times New Roman"/>
              </w:rPr>
              <w:t>Outcomes: Complications</w:t>
            </w:r>
          </w:p>
          <w:p w14:paraId="1049A686" w14:textId="1CD488F2" w:rsidR="00F676EF" w:rsidRPr="007A7C51" w:rsidRDefault="00F676EF">
            <w:pPr>
              <w:spacing w:after="120" w:line="240" w:lineRule="auto"/>
              <w:contextualSpacing/>
              <w:jc w:val="both"/>
              <w:rPr>
                <w:rFonts w:cs="Times New Roman"/>
              </w:rPr>
            </w:pPr>
            <w:r w:rsidRPr="007A7C51">
              <w:rPr>
                <w:rFonts w:cs="Times New Roman"/>
              </w:rPr>
              <w:t xml:space="preserve">Study designs: Comparative studies; </w:t>
            </w:r>
            <w:r w:rsidR="009F6F58">
              <w:rPr>
                <w:rFonts w:cs="Times New Roman"/>
              </w:rPr>
              <w:t>r</w:t>
            </w:r>
            <w:r w:rsidRPr="007A7C51">
              <w:rPr>
                <w:rFonts w:cs="Times New Roman"/>
              </w:rPr>
              <w:t>eviews/guidance documents for reference checking</w:t>
            </w:r>
          </w:p>
        </w:tc>
      </w:tr>
      <w:tr w:rsidR="00F676EF" w:rsidRPr="007A7C51" w14:paraId="2A336712" w14:textId="77777777" w:rsidTr="00AC19B2">
        <w:tc>
          <w:tcPr>
            <w:tcW w:w="3256" w:type="dxa"/>
          </w:tcPr>
          <w:p w14:paraId="577FC907" w14:textId="77777777" w:rsidR="00F676EF" w:rsidRPr="00634A6D" w:rsidRDefault="00F676EF" w:rsidP="00634A6D">
            <w:pPr>
              <w:spacing w:after="120" w:line="240" w:lineRule="auto"/>
              <w:jc w:val="both"/>
              <w:rPr>
                <w:rFonts w:cs="Times New Roman"/>
              </w:rPr>
            </w:pPr>
            <w:r w:rsidRPr="00634A6D">
              <w:rPr>
                <w:rFonts w:cs="Times New Roman"/>
                <w:iCs/>
              </w:rPr>
              <w:t>What is the evidence for risk of future surgery for a patient undergoing high-risk procedures?</w:t>
            </w:r>
          </w:p>
          <w:p w14:paraId="5C50060E" w14:textId="77777777" w:rsidR="00F676EF" w:rsidRPr="007A7C51" w:rsidRDefault="00F676EF" w:rsidP="00F452B9">
            <w:pPr>
              <w:spacing w:after="120" w:line="240" w:lineRule="auto"/>
              <w:jc w:val="both"/>
              <w:rPr>
                <w:rFonts w:cs="Times New Roman"/>
              </w:rPr>
            </w:pPr>
          </w:p>
        </w:tc>
        <w:tc>
          <w:tcPr>
            <w:tcW w:w="5760" w:type="dxa"/>
          </w:tcPr>
          <w:p w14:paraId="0505323D" w14:textId="77777777" w:rsidR="00F676EF" w:rsidRPr="007A7C51" w:rsidRDefault="00F676EF" w:rsidP="00F452B9">
            <w:pPr>
              <w:spacing w:after="120" w:line="240" w:lineRule="auto"/>
              <w:contextualSpacing/>
              <w:jc w:val="both"/>
              <w:rPr>
                <w:rFonts w:cs="Times New Roman"/>
              </w:rPr>
            </w:pPr>
            <w:r w:rsidRPr="007A7C51">
              <w:rPr>
                <w:rFonts w:cs="Times New Roman"/>
              </w:rPr>
              <w:t>Population: Patients undergoing neurosurgery or specified high-risk surgeries.</w:t>
            </w:r>
          </w:p>
          <w:p w14:paraId="3364F7E5" w14:textId="77777777" w:rsidR="00F676EF" w:rsidRPr="007A7C51" w:rsidRDefault="00F676EF" w:rsidP="00F452B9">
            <w:pPr>
              <w:spacing w:after="120" w:line="240" w:lineRule="auto"/>
              <w:contextualSpacing/>
              <w:jc w:val="both"/>
              <w:rPr>
                <w:rFonts w:cs="Times New Roman"/>
              </w:rPr>
            </w:pPr>
            <w:r w:rsidRPr="007A7C51">
              <w:rPr>
                <w:rFonts w:cs="Times New Roman"/>
              </w:rPr>
              <w:t>Outcomes: Risk of future neurosurgery or additional high-risk surgeries after undergoing a high-risk procedure.</w:t>
            </w:r>
          </w:p>
          <w:p w14:paraId="4386ECB3" w14:textId="77777777" w:rsidR="00F676EF" w:rsidRPr="007A7C51" w:rsidRDefault="00F676EF" w:rsidP="00F452B9">
            <w:pPr>
              <w:spacing w:after="120" w:line="240" w:lineRule="auto"/>
              <w:contextualSpacing/>
              <w:jc w:val="both"/>
              <w:rPr>
                <w:rFonts w:cs="Times New Roman"/>
              </w:rPr>
            </w:pPr>
            <w:r w:rsidRPr="007A7C51">
              <w:rPr>
                <w:rFonts w:cs="Times New Roman"/>
              </w:rPr>
              <w:t>Study designs: Empirical or epidemiological studies; reviews/guidance documents for reference checking</w:t>
            </w:r>
          </w:p>
        </w:tc>
      </w:tr>
      <w:tr w:rsidR="00F676EF" w:rsidRPr="007A7C51" w14:paraId="4E855E7B" w14:textId="77777777" w:rsidTr="00AC19B2">
        <w:tc>
          <w:tcPr>
            <w:tcW w:w="9016" w:type="dxa"/>
            <w:gridSpan w:val="2"/>
          </w:tcPr>
          <w:p w14:paraId="222B0437" w14:textId="77777777" w:rsidR="009F6F58" w:rsidRDefault="009F6F58" w:rsidP="00F452B9">
            <w:pPr>
              <w:spacing w:after="120" w:line="240" w:lineRule="auto"/>
              <w:jc w:val="both"/>
              <w:rPr>
                <w:rFonts w:cs="Times New Roman"/>
              </w:rPr>
            </w:pPr>
          </w:p>
          <w:p w14:paraId="1105E16D" w14:textId="273E7569" w:rsidR="00F676EF" w:rsidRPr="008C534A" w:rsidRDefault="008E6954" w:rsidP="00F452B9">
            <w:pPr>
              <w:spacing w:after="120" w:line="240" w:lineRule="auto"/>
              <w:jc w:val="both"/>
              <w:rPr>
                <w:rFonts w:cs="Times New Roman"/>
              </w:rPr>
            </w:pPr>
            <w:r w:rsidRPr="008C534A">
              <w:rPr>
                <w:rFonts w:cs="Times New Roman"/>
              </w:rPr>
              <w:t>The following citations were excluded</w:t>
            </w:r>
            <w:r w:rsidR="00F676EF" w:rsidRPr="008C534A">
              <w:rPr>
                <w:rFonts w:cs="Times New Roman"/>
              </w:rPr>
              <w:t xml:space="preserve"> from all review questions:</w:t>
            </w:r>
          </w:p>
          <w:p w14:paraId="29A5DBCE" w14:textId="43938287" w:rsidR="00F676EF" w:rsidRPr="008C534A" w:rsidRDefault="008E6954" w:rsidP="00F452B9">
            <w:pPr>
              <w:pStyle w:val="ListParagraph"/>
              <w:numPr>
                <w:ilvl w:val="0"/>
                <w:numId w:val="12"/>
              </w:numPr>
              <w:spacing w:after="120" w:line="240" w:lineRule="auto"/>
              <w:jc w:val="both"/>
              <w:rPr>
                <w:rFonts w:cs="Times New Roman"/>
              </w:rPr>
            </w:pPr>
            <w:r w:rsidRPr="008C534A">
              <w:rPr>
                <w:rFonts w:cs="Times New Roman"/>
              </w:rPr>
              <w:t>Studies c</w:t>
            </w:r>
            <w:r w:rsidR="00F676EF" w:rsidRPr="008C534A">
              <w:rPr>
                <w:rFonts w:cs="Times New Roman"/>
              </w:rPr>
              <w:t xml:space="preserve">oncerning detection of CJD </w:t>
            </w:r>
            <w:r w:rsidRPr="008C534A">
              <w:rPr>
                <w:rFonts w:cs="Times New Roman"/>
              </w:rPr>
              <w:t>concerning</w:t>
            </w:r>
            <w:r w:rsidR="00F676EF" w:rsidRPr="008C534A">
              <w:rPr>
                <w:rFonts w:cs="Times New Roman"/>
              </w:rPr>
              <w:t xml:space="preserve"> laboratory parameters only</w:t>
            </w:r>
          </w:p>
          <w:p w14:paraId="5AEE3312" w14:textId="77777777" w:rsidR="00F676EF" w:rsidRPr="008C534A" w:rsidRDefault="00F676EF" w:rsidP="00F452B9">
            <w:pPr>
              <w:pStyle w:val="ListParagraph"/>
              <w:numPr>
                <w:ilvl w:val="0"/>
                <w:numId w:val="12"/>
              </w:numPr>
              <w:spacing w:after="120" w:line="240" w:lineRule="auto"/>
              <w:jc w:val="both"/>
              <w:rPr>
                <w:rFonts w:cs="Times New Roman"/>
              </w:rPr>
            </w:pPr>
            <w:r w:rsidRPr="008C534A">
              <w:rPr>
                <w:rFonts w:cs="Times New Roman"/>
              </w:rPr>
              <w:t>Animal studies without relevant discussion of implications to humans</w:t>
            </w:r>
          </w:p>
          <w:p w14:paraId="7F2A0D15" w14:textId="533FB803" w:rsidR="00F676EF" w:rsidRPr="008C534A" w:rsidRDefault="008E6954" w:rsidP="00F452B9">
            <w:pPr>
              <w:pStyle w:val="ListParagraph"/>
              <w:numPr>
                <w:ilvl w:val="0"/>
                <w:numId w:val="12"/>
              </w:numPr>
              <w:spacing w:after="120" w:line="240" w:lineRule="auto"/>
              <w:jc w:val="both"/>
              <w:rPr>
                <w:rFonts w:cs="Times New Roman"/>
              </w:rPr>
            </w:pPr>
            <w:r w:rsidRPr="008C534A">
              <w:rPr>
                <w:rFonts w:cs="Times New Roman"/>
              </w:rPr>
              <w:t>D</w:t>
            </w:r>
            <w:r w:rsidR="00F676EF" w:rsidRPr="008C534A">
              <w:rPr>
                <w:rFonts w:cs="Times New Roman"/>
              </w:rPr>
              <w:t xml:space="preserve">iscussion </w:t>
            </w:r>
            <w:r w:rsidRPr="008C534A">
              <w:rPr>
                <w:rFonts w:cs="Times New Roman"/>
              </w:rPr>
              <w:t xml:space="preserve">papers </w:t>
            </w:r>
            <w:r w:rsidR="00F676EF" w:rsidRPr="008C534A">
              <w:rPr>
                <w:rFonts w:cs="Times New Roman"/>
              </w:rPr>
              <w:t xml:space="preserve">or </w:t>
            </w:r>
            <w:r w:rsidRPr="008C534A">
              <w:rPr>
                <w:rFonts w:cs="Times New Roman"/>
              </w:rPr>
              <w:t xml:space="preserve">papers providing </w:t>
            </w:r>
            <w:r w:rsidR="00F676EF" w:rsidRPr="008C534A">
              <w:rPr>
                <w:rFonts w:cs="Times New Roman"/>
              </w:rPr>
              <w:t>guidance which do not provide relevant empirical data</w:t>
            </w:r>
          </w:p>
          <w:p w14:paraId="0B44CCC7" w14:textId="0C7A6556" w:rsidR="00F676EF" w:rsidRPr="008C534A" w:rsidRDefault="008E6954" w:rsidP="00F452B9">
            <w:pPr>
              <w:pStyle w:val="ListParagraph"/>
              <w:numPr>
                <w:ilvl w:val="0"/>
                <w:numId w:val="12"/>
              </w:numPr>
              <w:spacing w:after="120" w:line="240" w:lineRule="auto"/>
              <w:jc w:val="both"/>
              <w:rPr>
                <w:rFonts w:cs="Times New Roman"/>
              </w:rPr>
            </w:pPr>
            <w:r w:rsidRPr="008C534A">
              <w:rPr>
                <w:rFonts w:cs="Times New Roman"/>
              </w:rPr>
              <w:t>Papers</w:t>
            </w:r>
            <w:r w:rsidR="00F676EF" w:rsidRPr="008C534A">
              <w:rPr>
                <w:rFonts w:cs="Times New Roman"/>
              </w:rPr>
              <w:t xml:space="preserve"> that are superseded by later or more complete published data</w:t>
            </w:r>
          </w:p>
          <w:p w14:paraId="6970A25E" w14:textId="6746A467" w:rsidR="00F676EF" w:rsidRPr="008C534A" w:rsidRDefault="008E6954" w:rsidP="00F452B9">
            <w:pPr>
              <w:pStyle w:val="ListParagraph"/>
              <w:numPr>
                <w:ilvl w:val="0"/>
                <w:numId w:val="12"/>
              </w:numPr>
              <w:spacing w:after="120" w:line="240" w:lineRule="auto"/>
              <w:jc w:val="both"/>
              <w:rPr>
                <w:rFonts w:cs="Times New Roman"/>
              </w:rPr>
            </w:pPr>
            <w:r w:rsidRPr="008C534A">
              <w:rPr>
                <w:rFonts w:cs="Times New Roman"/>
              </w:rPr>
              <w:t>Papers r</w:t>
            </w:r>
            <w:r w:rsidR="00F676EF" w:rsidRPr="008C534A">
              <w:rPr>
                <w:rFonts w:cs="Times New Roman"/>
              </w:rPr>
              <w:t>elating only to treatment or care of patients with CJD</w:t>
            </w:r>
          </w:p>
          <w:p w14:paraId="2111D335" w14:textId="2E00E011" w:rsidR="00F676EF" w:rsidRPr="008C534A" w:rsidRDefault="008E6954" w:rsidP="00F452B9">
            <w:pPr>
              <w:pStyle w:val="ListParagraph"/>
              <w:numPr>
                <w:ilvl w:val="0"/>
                <w:numId w:val="12"/>
              </w:numPr>
              <w:spacing w:after="120" w:line="240" w:lineRule="auto"/>
              <w:jc w:val="both"/>
              <w:rPr>
                <w:rFonts w:cs="Times New Roman"/>
              </w:rPr>
            </w:pPr>
            <w:r w:rsidRPr="008C534A">
              <w:rPr>
                <w:rFonts w:cs="Times New Roman"/>
              </w:rPr>
              <w:t>Papers r</w:t>
            </w:r>
            <w:r w:rsidR="00F676EF" w:rsidRPr="008C534A">
              <w:rPr>
                <w:rFonts w:cs="Times New Roman"/>
              </w:rPr>
              <w:t>elating to filtering blood for transfusion or other blood products from CJD-related prions</w:t>
            </w:r>
          </w:p>
          <w:p w14:paraId="0F83CE13" w14:textId="18823D13" w:rsidR="00F676EF" w:rsidRPr="007A7C51" w:rsidRDefault="008E6954" w:rsidP="00F452B9">
            <w:pPr>
              <w:pStyle w:val="ListParagraph"/>
              <w:numPr>
                <w:ilvl w:val="0"/>
                <w:numId w:val="12"/>
              </w:numPr>
              <w:spacing w:after="120" w:line="240" w:lineRule="auto"/>
              <w:jc w:val="both"/>
              <w:rPr>
                <w:rFonts w:cs="Times New Roman"/>
              </w:rPr>
            </w:pPr>
            <w:r w:rsidRPr="008C534A">
              <w:rPr>
                <w:rFonts w:cs="Times New Roman"/>
              </w:rPr>
              <w:t>Papers r</w:t>
            </w:r>
            <w:r w:rsidR="00F676EF" w:rsidRPr="008C534A">
              <w:rPr>
                <w:rFonts w:cs="Times New Roman"/>
              </w:rPr>
              <w:t xml:space="preserve">elating only to </w:t>
            </w:r>
            <w:r w:rsidR="00D82BD1" w:rsidRPr="008C534A">
              <w:rPr>
                <w:rFonts w:cs="Times New Roman"/>
              </w:rPr>
              <w:t>prion disease</w:t>
            </w:r>
            <w:r w:rsidR="00306B6B" w:rsidRPr="008C534A">
              <w:rPr>
                <w:rFonts w:cs="Times New Roman"/>
              </w:rPr>
              <w:t>s</w:t>
            </w:r>
            <w:r w:rsidR="00D82BD1" w:rsidRPr="008C534A">
              <w:rPr>
                <w:rFonts w:cs="Times New Roman"/>
              </w:rPr>
              <w:t xml:space="preserve"> without </w:t>
            </w:r>
            <w:r w:rsidR="00306B6B" w:rsidRPr="008C534A">
              <w:rPr>
                <w:rFonts w:cs="Times New Roman"/>
              </w:rPr>
              <w:t xml:space="preserve">specific </w:t>
            </w:r>
            <w:r w:rsidR="00D82BD1" w:rsidRPr="008C534A">
              <w:rPr>
                <w:rFonts w:cs="Times New Roman"/>
              </w:rPr>
              <w:t>mention of</w:t>
            </w:r>
            <w:r w:rsidR="00F676EF" w:rsidRPr="008C534A">
              <w:rPr>
                <w:rFonts w:cs="Times New Roman"/>
              </w:rPr>
              <w:t xml:space="preserve"> CJD</w:t>
            </w:r>
            <w:r w:rsidR="00306B6B" w:rsidRPr="008C534A">
              <w:rPr>
                <w:rFonts w:cs="Times New Roman"/>
              </w:rPr>
              <w:t xml:space="preserve"> or decontamination of prions</w:t>
            </w:r>
          </w:p>
        </w:tc>
      </w:tr>
    </w:tbl>
    <w:p w14:paraId="6D867BA2" w14:textId="77777777" w:rsidR="00F676EF" w:rsidRPr="00DF04B8" w:rsidRDefault="00F676EF" w:rsidP="00DF04B8">
      <w:pPr>
        <w:spacing w:after="120"/>
        <w:jc w:val="both"/>
        <w:rPr>
          <w:rFonts w:eastAsia="Calibri" w:cs="Times New Roman"/>
          <w:i/>
          <w:sz w:val="24"/>
          <w:szCs w:val="24"/>
        </w:rPr>
      </w:pPr>
    </w:p>
    <w:p w14:paraId="0A16A508" w14:textId="6B0F7D1F" w:rsidR="00F676EF" w:rsidRPr="00F84738" w:rsidRDefault="000B1F01" w:rsidP="000B1F01">
      <w:pPr>
        <w:pStyle w:val="Heading3"/>
        <w:rPr>
          <w:b w:val="0"/>
          <w:i/>
        </w:rPr>
      </w:pPr>
      <w:r w:rsidRPr="00F84738">
        <w:rPr>
          <w:b w:val="0"/>
          <w:i/>
        </w:rPr>
        <w:t>2.1.2</w:t>
      </w:r>
      <w:r w:rsidRPr="00F84738">
        <w:rPr>
          <w:b w:val="0"/>
          <w:i/>
        </w:rPr>
        <w:tab/>
      </w:r>
      <w:r w:rsidR="00F676EF" w:rsidRPr="00F84738">
        <w:rPr>
          <w:b w:val="0"/>
          <w:i/>
        </w:rPr>
        <w:t>Search strategy</w:t>
      </w:r>
    </w:p>
    <w:p w14:paraId="2C4EDA14" w14:textId="1D7CD5D5" w:rsidR="00B02DF3" w:rsidRPr="007A7C51" w:rsidRDefault="002F675D" w:rsidP="00F452B9">
      <w:pPr>
        <w:jc w:val="both"/>
        <w:rPr>
          <w:rFonts w:eastAsia="Calibri" w:cs="Times New Roman"/>
        </w:rPr>
      </w:pPr>
      <w:r w:rsidRPr="007A7C51">
        <w:rPr>
          <w:rFonts w:eastAsia="Calibri" w:cs="Times New Roman"/>
        </w:rPr>
        <w:t xml:space="preserve">Literature searches were conducted to retrieve </w:t>
      </w:r>
      <w:r w:rsidR="008E6954">
        <w:rPr>
          <w:rFonts w:eastAsia="Calibri" w:cs="Times New Roman"/>
        </w:rPr>
        <w:t>relevant</w:t>
      </w:r>
      <w:r w:rsidR="00AC3C12">
        <w:rPr>
          <w:rFonts w:eastAsia="Calibri" w:cs="Times New Roman"/>
        </w:rPr>
        <w:t xml:space="preserve"> evidence. </w:t>
      </w:r>
      <w:r w:rsidR="00B87CA6">
        <w:rPr>
          <w:rFonts w:eastAsia="Calibri" w:cs="Times New Roman"/>
        </w:rPr>
        <w:t>E</w:t>
      </w:r>
      <w:r w:rsidR="00B87CA6" w:rsidRPr="007A7C51">
        <w:rPr>
          <w:rFonts w:eastAsia="Calibri" w:cs="Times New Roman"/>
        </w:rPr>
        <w:t>lectronic</w:t>
      </w:r>
      <w:r w:rsidRPr="007A7C51">
        <w:rPr>
          <w:rFonts w:eastAsia="Calibri" w:cs="Times New Roman"/>
        </w:rPr>
        <w:t xml:space="preserve"> databases were searched on 14</w:t>
      </w:r>
      <w:r w:rsidRPr="007A7C51">
        <w:rPr>
          <w:rFonts w:eastAsia="Calibri" w:cs="Times New Roman"/>
          <w:vertAlign w:val="superscript"/>
        </w:rPr>
        <w:t>th</w:t>
      </w:r>
      <w:r w:rsidR="00C2405B" w:rsidRPr="007A7C51">
        <w:rPr>
          <w:rFonts w:eastAsia="Calibri" w:cs="Times New Roman"/>
        </w:rPr>
        <w:t xml:space="preserve"> August 2017.</w:t>
      </w:r>
    </w:p>
    <w:p w14:paraId="607E2BDE" w14:textId="6810EAF5" w:rsidR="002F675D" w:rsidRPr="007A7C51" w:rsidRDefault="002F675D" w:rsidP="00F452B9">
      <w:pPr>
        <w:pStyle w:val="ListParagraph"/>
        <w:numPr>
          <w:ilvl w:val="0"/>
          <w:numId w:val="23"/>
        </w:numPr>
        <w:jc w:val="both"/>
        <w:rPr>
          <w:rFonts w:eastAsia="Calibri" w:cs="Times New Roman"/>
        </w:rPr>
      </w:pPr>
      <w:r w:rsidRPr="007A7C51">
        <w:rPr>
          <w:rFonts w:eastAsia="Calibri" w:cs="Times New Roman"/>
        </w:rPr>
        <w:t>MEDLINE Epub Ahead of Print, In-Process &amp; Oth</w:t>
      </w:r>
      <w:r w:rsidR="00F86BA3" w:rsidRPr="007A7C51">
        <w:rPr>
          <w:rFonts w:eastAsia="Calibri" w:cs="Times New Roman"/>
        </w:rPr>
        <w:t>er Non-Indexed Citations: Ovid, 1946 to 2017</w:t>
      </w:r>
    </w:p>
    <w:p w14:paraId="6365C7D3" w14:textId="79C5F7C7" w:rsidR="002F675D" w:rsidRPr="007A7C51" w:rsidRDefault="002F675D" w:rsidP="00F452B9">
      <w:pPr>
        <w:numPr>
          <w:ilvl w:val="0"/>
          <w:numId w:val="13"/>
        </w:numPr>
        <w:jc w:val="both"/>
        <w:rPr>
          <w:rFonts w:eastAsia="Calibri" w:cs="Times New Roman"/>
        </w:rPr>
      </w:pPr>
      <w:r w:rsidRPr="007A7C51">
        <w:rPr>
          <w:rFonts w:eastAsia="Calibri" w:cs="Times New Roman"/>
        </w:rPr>
        <w:t>EMBASE: Ovid</w:t>
      </w:r>
      <w:r w:rsidR="00F86BA3" w:rsidRPr="007A7C51">
        <w:rPr>
          <w:rFonts w:eastAsia="Calibri" w:cs="Times New Roman"/>
        </w:rPr>
        <w:t>, 1974 to 2017</w:t>
      </w:r>
    </w:p>
    <w:p w14:paraId="52AFE43C" w14:textId="665AEEBE" w:rsidR="002F675D" w:rsidRPr="007A7C51" w:rsidRDefault="002F675D" w:rsidP="00F452B9">
      <w:pPr>
        <w:numPr>
          <w:ilvl w:val="0"/>
          <w:numId w:val="13"/>
        </w:numPr>
        <w:jc w:val="both"/>
        <w:rPr>
          <w:rFonts w:eastAsia="Calibri" w:cs="Times New Roman"/>
        </w:rPr>
      </w:pPr>
      <w:r w:rsidRPr="007A7C51">
        <w:rPr>
          <w:rFonts w:eastAsia="Calibri" w:cs="Times New Roman"/>
        </w:rPr>
        <w:t>Science Citation Index (SCI-E) and Conference Proceedings Citation Index (CPCI): Web of Science</w:t>
      </w:r>
      <w:r w:rsidR="00F86BA3" w:rsidRPr="007A7C51">
        <w:rPr>
          <w:rFonts w:eastAsia="Calibri" w:cs="Times New Roman"/>
        </w:rPr>
        <w:t>, 1990 to 2017</w:t>
      </w:r>
    </w:p>
    <w:p w14:paraId="5DE53D59" w14:textId="77777777" w:rsidR="00F452B9" w:rsidRDefault="00F452B9" w:rsidP="00F452B9">
      <w:pPr>
        <w:jc w:val="both"/>
        <w:rPr>
          <w:rFonts w:eastAsia="Calibri" w:cs="Times New Roman"/>
        </w:rPr>
      </w:pPr>
    </w:p>
    <w:p w14:paraId="6BB3FA96" w14:textId="29114898" w:rsidR="00E34929" w:rsidRDefault="00E34929" w:rsidP="00F452B9">
      <w:pPr>
        <w:jc w:val="both"/>
        <w:rPr>
          <w:rFonts w:eastAsia="Calibri" w:cs="Times New Roman"/>
        </w:rPr>
      </w:pPr>
      <w:r w:rsidRPr="007A7C51">
        <w:rPr>
          <w:rFonts w:eastAsia="Calibri" w:cs="Times New Roman"/>
        </w:rPr>
        <w:t xml:space="preserve">A date restriction from 2005 to 2017 was applied for </w:t>
      </w:r>
      <w:r w:rsidR="005110F3">
        <w:rPr>
          <w:rFonts w:eastAsia="Calibri" w:cs="Times New Roman"/>
        </w:rPr>
        <w:t xml:space="preserve">the first seven </w:t>
      </w:r>
      <w:r w:rsidRPr="007A7C51">
        <w:rPr>
          <w:rFonts w:eastAsia="Calibri" w:cs="Times New Roman"/>
        </w:rPr>
        <w:t xml:space="preserve">review questions. For </w:t>
      </w:r>
      <w:r w:rsidR="00634A6D">
        <w:rPr>
          <w:rFonts w:eastAsia="Calibri" w:cs="Times New Roman"/>
        </w:rPr>
        <w:t>the final review question regarding the risk of future surgery in patients who have had high-risk procedures</w:t>
      </w:r>
      <w:r w:rsidR="00306B6B" w:rsidRPr="007A7C51">
        <w:rPr>
          <w:rFonts w:eastAsia="Calibri" w:cs="Times New Roman"/>
        </w:rPr>
        <w:t xml:space="preserve">, as no relevant evidence was found in the previous review, the search strategy was revised and </w:t>
      </w:r>
      <w:r w:rsidRPr="007A7C51">
        <w:rPr>
          <w:rFonts w:eastAsia="Calibri" w:cs="Times New Roman"/>
        </w:rPr>
        <w:t>searches were performed from database inception to 2017. No language or study design limits were applied to the searches. The search strategies are presented in Appendix 1.</w:t>
      </w:r>
    </w:p>
    <w:p w14:paraId="3E6F61CA" w14:textId="77777777" w:rsidR="00F452B9" w:rsidRPr="007A7C51" w:rsidRDefault="00F452B9" w:rsidP="00F452B9">
      <w:pPr>
        <w:jc w:val="both"/>
        <w:rPr>
          <w:rFonts w:eastAsia="Calibri" w:cs="Times New Roman"/>
        </w:rPr>
      </w:pPr>
    </w:p>
    <w:p w14:paraId="06032D7A" w14:textId="74A96DAE" w:rsidR="00F676EF" w:rsidRDefault="00306B6B" w:rsidP="00F452B9">
      <w:pPr>
        <w:jc w:val="both"/>
        <w:rPr>
          <w:rFonts w:eastAsia="Calibri" w:cs="Times New Roman"/>
        </w:rPr>
      </w:pPr>
      <w:r w:rsidRPr="007A7C51">
        <w:rPr>
          <w:rFonts w:eastAsia="Calibri" w:cs="Times New Roman"/>
        </w:rPr>
        <w:t xml:space="preserve">Members of the NICE IP committee were consulted </w:t>
      </w:r>
      <w:r w:rsidR="00A76092" w:rsidRPr="007A7C51">
        <w:rPr>
          <w:rFonts w:eastAsia="Calibri" w:cs="Times New Roman"/>
        </w:rPr>
        <w:t xml:space="preserve">as content experts, </w:t>
      </w:r>
      <w:r w:rsidRPr="007A7C51">
        <w:rPr>
          <w:rFonts w:eastAsia="Calibri" w:cs="Times New Roman"/>
        </w:rPr>
        <w:t>for pot</w:t>
      </w:r>
      <w:r w:rsidR="008E6954">
        <w:rPr>
          <w:rFonts w:eastAsia="Calibri" w:cs="Times New Roman"/>
        </w:rPr>
        <w:t>entially relevant papers for all</w:t>
      </w:r>
      <w:r w:rsidRPr="007A7C51">
        <w:rPr>
          <w:rFonts w:eastAsia="Calibri" w:cs="Times New Roman"/>
        </w:rPr>
        <w:t xml:space="preserve"> review question</w:t>
      </w:r>
      <w:r w:rsidR="00936E1E">
        <w:rPr>
          <w:rFonts w:eastAsia="Calibri" w:cs="Times New Roman"/>
        </w:rPr>
        <w:t>s</w:t>
      </w:r>
      <w:r w:rsidRPr="007A7C51">
        <w:rPr>
          <w:rFonts w:eastAsia="Calibri" w:cs="Times New Roman"/>
        </w:rPr>
        <w:t xml:space="preserve">. </w:t>
      </w:r>
      <w:r w:rsidR="00A76092" w:rsidRPr="007A7C51">
        <w:rPr>
          <w:rFonts w:eastAsia="Calibri" w:cs="Times New Roman"/>
        </w:rPr>
        <w:t>P</w:t>
      </w:r>
      <w:r w:rsidRPr="007A7C51">
        <w:rPr>
          <w:rFonts w:eastAsia="Calibri" w:cs="Times New Roman"/>
        </w:rPr>
        <w:t>apers</w:t>
      </w:r>
      <w:r w:rsidR="00A76092" w:rsidRPr="007A7C51">
        <w:rPr>
          <w:rFonts w:eastAsia="Calibri" w:cs="Times New Roman"/>
        </w:rPr>
        <w:t xml:space="preserve"> recommended by experts were subject to bibliography checking.</w:t>
      </w:r>
    </w:p>
    <w:p w14:paraId="52074FC8" w14:textId="77777777" w:rsidR="00F452B9" w:rsidRPr="007A7C51" w:rsidRDefault="00F452B9" w:rsidP="00F452B9">
      <w:pPr>
        <w:jc w:val="both"/>
        <w:rPr>
          <w:rFonts w:eastAsia="Calibri" w:cs="Times New Roman"/>
        </w:rPr>
      </w:pPr>
    </w:p>
    <w:p w14:paraId="42F4503A" w14:textId="1FAE8811" w:rsidR="00F676EF" w:rsidRPr="007A7C51" w:rsidRDefault="00F86BA3" w:rsidP="00F452B9">
      <w:pPr>
        <w:jc w:val="both"/>
        <w:rPr>
          <w:rFonts w:eastAsia="Calibri" w:cs="Times New Roman"/>
        </w:rPr>
      </w:pPr>
      <w:r w:rsidRPr="007A7C51">
        <w:rPr>
          <w:rFonts w:eastAsia="Calibri" w:cs="Times New Roman"/>
        </w:rPr>
        <w:t>T</w:t>
      </w:r>
      <w:r w:rsidR="00F676EF" w:rsidRPr="007A7C51">
        <w:rPr>
          <w:rFonts w:eastAsia="Calibri" w:cs="Times New Roman"/>
        </w:rPr>
        <w:t xml:space="preserve">he searches combined terms that would be relevant for more than one review question. Therefore, five targeted literature searches, instead of eight, for </w:t>
      </w:r>
      <w:r w:rsidR="005110F3">
        <w:rPr>
          <w:rFonts w:eastAsia="Calibri" w:cs="Times New Roman"/>
        </w:rPr>
        <w:t>all review questions</w:t>
      </w:r>
      <w:r w:rsidR="00F676EF" w:rsidRPr="007A7C51">
        <w:rPr>
          <w:rFonts w:eastAsia="Calibri" w:cs="Times New Roman"/>
        </w:rPr>
        <w:t xml:space="preserve"> were conducted which combine</w:t>
      </w:r>
      <w:r w:rsidR="005110F3">
        <w:rPr>
          <w:rFonts w:eastAsia="Calibri" w:cs="Times New Roman"/>
        </w:rPr>
        <w:t xml:space="preserve"> terms for</w:t>
      </w:r>
      <w:r w:rsidR="00F676EF" w:rsidRPr="007A7C51">
        <w:rPr>
          <w:rFonts w:eastAsia="Calibri" w:cs="Times New Roman"/>
        </w:rPr>
        <w:t>:</w:t>
      </w:r>
    </w:p>
    <w:p w14:paraId="31B68FAC" w14:textId="1CB6A752" w:rsidR="00F676EF" w:rsidRPr="007A7C51" w:rsidRDefault="00634A6D" w:rsidP="00F452B9">
      <w:pPr>
        <w:numPr>
          <w:ilvl w:val="0"/>
          <w:numId w:val="9"/>
        </w:numPr>
        <w:contextualSpacing/>
        <w:jc w:val="both"/>
        <w:rPr>
          <w:rFonts w:eastAsia="Calibri" w:cs="Times New Roman"/>
        </w:rPr>
      </w:pPr>
      <w:r>
        <w:rPr>
          <w:rFonts w:eastAsia="Calibri" w:cs="Times New Roman"/>
        </w:rPr>
        <w:t>Incidence, prevalence and incubation</w:t>
      </w:r>
      <w:r w:rsidR="00F676EF" w:rsidRPr="007A7C51">
        <w:rPr>
          <w:rFonts w:eastAsia="Calibri" w:cs="Times New Roman"/>
        </w:rPr>
        <w:t xml:space="preserve">  </w:t>
      </w:r>
    </w:p>
    <w:p w14:paraId="43B281B7" w14:textId="36D3F508" w:rsidR="00F676EF" w:rsidRPr="007A7C51" w:rsidRDefault="00634A6D" w:rsidP="00F452B9">
      <w:pPr>
        <w:numPr>
          <w:ilvl w:val="0"/>
          <w:numId w:val="9"/>
        </w:numPr>
        <w:contextualSpacing/>
        <w:jc w:val="both"/>
        <w:rPr>
          <w:rFonts w:eastAsia="Calibri" w:cs="Times New Roman"/>
        </w:rPr>
      </w:pPr>
      <w:r>
        <w:rPr>
          <w:rFonts w:eastAsia="Calibri" w:cs="Times New Roman"/>
        </w:rPr>
        <w:t>Risk via surgery, infectivity and decontamination</w:t>
      </w:r>
    </w:p>
    <w:p w14:paraId="32272738" w14:textId="37EFE629" w:rsidR="00F676EF" w:rsidRPr="007A7C51" w:rsidRDefault="00634A6D" w:rsidP="00F452B9">
      <w:pPr>
        <w:numPr>
          <w:ilvl w:val="0"/>
          <w:numId w:val="9"/>
        </w:numPr>
        <w:contextualSpacing/>
        <w:jc w:val="both"/>
        <w:rPr>
          <w:rFonts w:eastAsia="Calibri" w:cs="Times New Roman"/>
        </w:rPr>
      </w:pPr>
      <w:r>
        <w:rPr>
          <w:rFonts w:eastAsia="Calibri" w:cs="Times New Roman"/>
        </w:rPr>
        <w:t>Set-keeping of instruments</w:t>
      </w:r>
    </w:p>
    <w:p w14:paraId="150BD30A" w14:textId="77777777" w:rsidR="00634A6D" w:rsidRDefault="00634A6D" w:rsidP="00F452B9">
      <w:pPr>
        <w:numPr>
          <w:ilvl w:val="0"/>
          <w:numId w:val="9"/>
        </w:numPr>
        <w:contextualSpacing/>
        <w:jc w:val="both"/>
        <w:rPr>
          <w:rFonts w:eastAsia="Calibri" w:cs="Times New Roman"/>
        </w:rPr>
      </w:pPr>
      <w:r>
        <w:rPr>
          <w:rFonts w:eastAsia="Calibri" w:cs="Times New Roman"/>
        </w:rPr>
        <w:t>Complication rates of single-use instruments</w:t>
      </w:r>
    </w:p>
    <w:p w14:paraId="049F46C0" w14:textId="0EF2917F" w:rsidR="00F676EF" w:rsidRDefault="00634A6D" w:rsidP="00F452B9">
      <w:pPr>
        <w:numPr>
          <w:ilvl w:val="0"/>
          <w:numId w:val="9"/>
        </w:numPr>
        <w:contextualSpacing/>
        <w:jc w:val="both"/>
        <w:rPr>
          <w:rFonts w:eastAsia="Calibri" w:cs="Times New Roman"/>
        </w:rPr>
      </w:pPr>
      <w:r>
        <w:rPr>
          <w:rFonts w:eastAsia="Calibri" w:cs="Times New Roman"/>
        </w:rPr>
        <w:t>T</w:t>
      </w:r>
      <w:r w:rsidRPr="00634A6D">
        <w:rPr>
          <w:rFonts w:eastAsia="Calibri" w:cs="Times New Roman"/>
        </w:rPr>
        <w:t>he risk of future surgery in patients who have had high-risk procedures</w:t>
      </w:r>
    </w:p>
    <w:p w14:paraId="0AC477D4" w14:textId="77777777" w:rsidR="00634A6D" w:rsidRPr="00634A6D" w:rsidRDefault="00634A6D" w:rsidP="00634A6D">
      <w:pPr>
        <w:ind w:left="720"/>
        <w:contextualSpacing/>
        <w:jc w:val="both"/>
        <w:rPr>
          <w:rFonts w:eastAsia="Calibri" w:cs="Times New Roman"/>
        </w:rPr>
      </w:pPr>
    </w:p>
    <w:p w14:paraId="2E82DA6A" w14:textId="43E78E57" w:rsidR="002F675D" w:rsidRPr="007A7C51" w:rsidRDefault="00634A6D" w:rsidP="00F452B9">
      <w:pPr>
        <w:pStyle w:val="ListParagraph"/>
        <w:numPr>
          <w:ilvl w:val="0"/>
          <w:numId w:val="15"/>
        </w:numPr>
        <w:jc w:val="both"/>
        <w:rPr>
          <w:rFonts w:eastAsia="Calibri" w:cs="Times New Roman"/>
          <w:i/>
        </w:rPr>
      </w:pPr>
      <w:r>
        <w:rPr>
          <w:rFonts w:eastAsia="Calibri" w:cs="Times New Roman"/>
          <w:i/>
        </w:rPr>
        <w:t>Searches for t</w:t>
      </w:r>
      <w:r w:rsidR="002F675D" w:rsidRPr="007A7C51">
        <w:rPr>
          <w:rFonts w:eastAsia="Calibri" w:cs="Times New Roman"/>
          <w:i/>
        </w:rPr>
        <w:t>he UK incidence and prevalence of CJD and the incubation period of acquired human TSE</w:t>
      </w:r>
      <w:r w:rsidR="008E6954">
        <w:rPr>
          <w:rFonts w:eastAsia="Calibri" w:cs="Times New Roman"/>
          <w:i/>
        </w:rPr>
        <w:t>s</w:t>
      </w:r>
    </w:p>
    <w:p w14:paraId="6D01E7E7" w14:textId="42B9B603" w:rsidR="002F675D" w:rsidRPr="007A7C51" w:rsidRDefault="00435772" w:rsidP="00F452B9">
      <w:pPr>
        <w:jc w:val="both"/>
        <w:rPr>
          <w:rFonts w:eastAsia="Calibri" w:cs="Times New Roman"/>
        </w:rPr>
      </w:pPr>
      <w:r w:rsidRPr="007A7C51">
        <w:rPr>
          <w:rFonts w:eastAsia="Calibri" w:cs="Times New Roman"/>
        </w:rPr>
        <w:t>E</w:t>
      </w:r>
      <w:r w:rsidR="002F675D" w:rsidRPr="007A7C51">
        <w:rPr>
          <w:rFonts w:eastAsia="Calibri" w:cs="Times New Roman"/>
        </w:rPr>
        <w:t xml:space="preserve">lectronic literature searches were </w:t>
      </w:r>
      <w:r w:rsidR="00F86BA3" w:rsidRPr="007A7C51">
        <w:rPr>
          <w:rFonts w:eastAsia="Calibri" w:cs="Times New Roman"/>
        </w:rPr>
        <w:t>performed</w:t>
      </w:r>
      <w:r w:rsidR="002F675D" w:rsidRPr="007A7C51">
        <w:rPr>
          <w:rFonts w:eastAsia="Calibri" w:cs="Times New Roman"/>
        </w:rPr>
        <w:t xml:space="preserve"> to identify </w:t>
      </w:r>
      <w:r w:rsidR="00CE562C" w:rsidRPr="007A7C51">
        <w:rPr>
          <w:rFonts w:eastAsia="Calibri" w:cs="Times New Roman"/>
        </w:rPr>
        <w:t xml:space="preserve">relevant </w:t>
      </w:r>
      <w:r w:rsidR="002F675D" w:rsidRPr="007A7C51">
        <w:rPr>
          <w:rFonts w:eastAsia="Calibri" w:cs="Times New Roman"/>
        </w:rPr>
        <w:t xml:space="preserve">articles. Terms for ‘incidence and prevalence’ or ‘incubation’ (10-15) are combined with ‘CJD’ population terms (1-9). The terms applied were identical to those used in Appendix 1 and 3 in </w:t>
      </w:r>
      <w:r w:rsidR="008E6954">
        <w:rPr>
          <w:rFonts w:eastAsia="Calibri" w:cs="Times New Roman"/>
        </w:rPr>
        <w:t>the original systematic review.</w:t>
      </w:r>
      <w:r w:rsidR="00422429">
        <w:rPr>
          <w:rFonts w:eastAsia="Calibri" w:cs="Times New Roman"/>
        </w:rPr>
        <w:fldChar w:fldCharType="begin"/>
      </w:r>
      <w:r w:rsidR="00D63CDB">
        <w:rPr>
          <w:rFonts w:eastAsia="Calibri" w:cs="Times New Roman"/>
        </w:rPr>
        <w:instrText xml:space="preserve"> ADDIN EN.CITE &lt;EndNote&gt;&lt;Cite&gt;&lt;Author&gt;Lloyd Jones&lt;/Author&gt;&lt;Year&gt;2006&lt;/Year&gt;&lt;RecNum&gt;580&lt;/RecNum&gt;&lt;DisplayText&gt;&lt;style face="superscript"&gt;10&lt;/style&gt;&lt;/DisplayText&gt;&lt;record&gt;&lt;rec-number&gt;580&lt;/rec-number&gt;&lt;foreign-keys&gt;&lt;key app="EN" db-id="vrp0pptazv05wtesfz5vrzsj2p0rv09ttsa9" timestamp="1499838794" guid="e7c03f79-7c5e-486e-9a27-0b0beeaf1ab5"&gt;580&lt;/key&gt;&lt;/foreign-keys&gt;&lt;ref-type name="Report"&gt;27&lt;/ref-type&gt;&lt;contributors&gt;&lt;authors&gt;&lt;author&gt;Lloyd Jones, M.&lt;/author&gt;&lt;author&gt;Stevenson, M.&lt;/author&gt;&lt;author&gt;Sutton, A. &lt;/author&gt;&lt;/authors&gt;&lt;/contributors&gt;&lt;titles&gt;&lt;title&gt;Patient safety and reduction of risk of transmission of Creutzfeldt– Jakob disease (CJD) via interventional procedures. Systematic literature reviews final report.&lt;/title&gt;&lt;secondary-title&gt;Report for NICE Interventional Procedures Programme&lt;/secondary-title&gt;&lt;/titles&gt;&lt;keywords&gt;&lt;keyword&gt;$$Lesley added for protocol&lt;/keyword&gt;&lt;/keywords&gt;&lt;dates&gt;&lt;year&gt;2006&lt;/year&gt;&lt;/dates&gt;&lt;pub-location&gt;National Institute for Health and Care Excellence&lt;/pub-location&gt;&lt;publisher&gt;School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systematic-review2&lt;/style&gt;&lt;/url&gt;&lt;/related-urls&gt;&lt;/urls&gt;&lt;access-date&gt;11.07.2017&lt;/access-date&gt;&lt;/record&gt;&lt;/Cite&gt;&lt;/EndNote&gt;</w:instrText>
      </w:r>
      <w:r w:rsidR="00422429">
        <w:rPr>
          <w:rFonts w:eastAsia="Calibri" w:cs="Times New Roman"/>
        </w:rPr>
        <w:fldChar w:fldCharType="separate"/>
      </w:r>
      <w:r w:rsidR="001D65B2" w:rsidRPr="001D65B2">
        <w:rPr>
          <w:rFonts w:eastAsia="Calibri" w:cs="Times New Roman"/>
          <w:noProof/>
          <w:vertAlign w:val="superscript"/>
        </w:rPr>
        <w:t>10</w:t>
      </w:r>
      <w:r w:rsidR="00422429">
        <w:rPr>
          <w:rFonts w:eastAsia="Calibri" w:cs="Times New Roman"/>
        </w:rPr>
        <w:fldChar w:fldCharType="end"/>
      </w:r>
    </w:p>
    <w:p w14:paraId="7D2A691F" w14:textId="77777777" w:rsidR="002F675D" w:rsidRPr="007A7C51" w:rsidRDefault="002F675D" w:rsidP="00F452B9">
      <w:pPr>
        <w:jc w:val="both"/>
        <w:rPr>
          <w:rFonts w:eastAsia="Calibri" w:cs="Times New Roman"/>
          <w:b/>
        </w:rPr>
      </w:pPr>
    </w:p>
    <w:p w14:paraId="7D2479F9" w14:textId="351A6A78" w:rsidR="002F675D" w:rsidRPr="007A7C51" w:rsidRDefault="00634A6D" w:rsidP="00F452B9">
      <w:pPr>
        <w:pStyle w:val="ListParagraph"/>
        <w:numPr>
          <w:ilvl w:val="0"/>
          <w:numId w:val="15"/>
        </w:numPr>
        <w:jc w:val="both"/>
        <w:rPr>
          <w:rFonts w:eastAsia="Calibri" w:cs="Times New Roman"/>
          <w:i/>
        </w:rPr>
      </w:pPr>
      <w:r>
        <w:rPr>
          <w:rFonts w:eastAsia="Calibri" w:cs="Times New Roman"/>
          <w:i/>
        </w:rPr>
        <w:t>Searches for t</w:t>
      </w:r>
      <w:r w:rsidR="002F675D" w:rsidRPr="007A7C51">
        <w:rPr>
          <w:rFonts w:eastAsia="Calibri" w:cs="Times New Roman"/>
          <w:i/>
        </w:rPr>
        <w:t>he secondary transmission of CJD by invasive diagnostic or surgical procedures; Infectious mass required to transmit CJD; and the decontamination of surgical, anaesthetic and diagnostic instruments, scopes and implantable devices</w:t>
      </w:r>
    </w:p>
    <w:p w14:paraId="7B683A7E" w14:textId="13EB97FA" w:rsidR="002F675D" w:rsidRPr="007A7C51" w:rsidRDefault="00F86BA3" w:rsidP="00F452B9">
      <w:pPr>
        <w:jc w:val="both"/>
        <w:rPr>
          <w:rFonts w:eastAsia="Calibri" w:cs="Times New Roman"/>
        </w:rPr>
      </w:pPr>
      <w:r w:rsidRPr="007A7C51">
        <w:rPr>
          <w:rFonts w:eastAsia="Calibri" w:cs="Times New Roman"/>
        </w:rPr>
        <w:t xml:space="preserve">Electronic literature searches were performed </w:t>
      </w:r>
      <w:r w:rsidR="002F675D" w:rsidRPr="007A7C51">
        <w:rPr>
          <w:rFonts w:eastAsia="Calibri" w:cs="Times New Roman"/>
        </w:rPr>
        <w:t xml:space="preserve">to identify </w:t>
      </w:r>
      <w:r w:rsidR="00CE562C" w:rsidRPr="007A7C51">
        <w:rPr>
          <w:rFonts w:eastAsia="Calibri" w:cs="Times New Roman"/>
        </w:rPr>
        <w:t xml:space="preserve">relevant </w:t>
      </w:r>
      <w:r w:rsidR="002F675D" w:rsidRPr="007A7C51">
        <w:rPr>
          <w:rFonts w:eastAsia="Calibri" w:cs="Times New Roman"/>
        </w:rPr>
        <w:t xml:space="preserve">articles. Terms for ‘transmission’ and ‘transfer’ (27) and ‘instrument decontamination’ (28-33) are combined with ‘CJD’ population terms in humans or non-human mammals (18-25). </w:t>
      </w:r>
    </w:p>
    <w:p w14:paraId="6898E97C" w14:textId="77777777" w:rsidR="002F675D" w:rsidRPr="007A7C51" w:rsidRDefault="002F675D" w:rsidP="00F452B9">
      <w:pPr>
        <w:jc w:val="both"/>
        <w:rPr>
          <w:rFonts w:eastAsia="Calibri" w:cs="Times New Roman"/>
          <w:b/>
        </w:rPr>
      </w:pPr>
    </w:p>
    <w:p w14:paraId="7D12A556" w14:textId="447900D4" w:rsidR="002F675D" w:rsidRPr="007A7C51" w:rsidRDefault="00634A6D" w:rsidP="00F452B9">
      <w:pPr>
        <w:pStyle w:val="ListParagraph"/>
        <w:numPr>
          <w:ilvl w:val="0"/>
          <w:numId w:val="15"/>
        </w:numPr>
        <w:jc w:val="both"/>
        <w:rPr>
          <w:rFonts w:eastAsia="Calibri" w:cs="Times New Roman"/>
          <w:i/>
        </w:rPr>
      </w:pPr>
      <w:r>
        <w:rPr>
          <w:rFonts w:eastAsia="Calibri" w:cs="Times New Roman"/>
          <w:i/>
        </w:rPr>
        <w:t>Searches for th</w:t>
      </w:r>
      <w:r w:rsidR="002F675D" w:rsidRPr="007A7C51">
        <w:rPr>
          <w:rFonts w:eastAsia="Calibri" w:cs="Times New Roman"/>
          <w:i/>
        </w:rPr>
        <w:t>e extent to which surgical instruments remain in their original sets following use and decontamination</w:t>
      </w:r>
    </w:p>
    <w:p w14:paraId="4F5DDCFC" w14:textId="65F56255" w:rsidR="002F675D" w:rsidRPr="007A7C51" w:rsidRDefault="00F86BA3" w:rsidP="00F452B9">
      <w:pPr>
        <w:jc w:val="both"/>
        <w:rPr>
          <w:rFonts w:eastAsia="Calibri" w:cs="Times New Roman"/>
        </w:rPr>
      </w:pPr>
      <w:r w:rsidRPr="007A7C51">
        <w:rPr>
          <w:rFonts w:eastAsia="Calibri" w:cs="Times New Roman"/>
        </w:rPr>
        <w:t xml:space="preserve">Electronic literature searches were performed to </w:t>
      </w:r>
      <w:r w:rsidR="002F675D" w:rsidRPr="007A7C51">
        <w:rPr>
          <w:rFonts w:eastAsia="Calibri" w:cs="Times New Roman"/>
        </w:rPr>
        <w:t xml:space="preserve">identify articles which report on the extent to which surgical instruments remain in their original sets following use and decontamination Terms for ‘instrument decontamination’ (36-41) are combined with ‘high-risk surgical procedures’ (42-56). A list of high-risk surgical procedures were taken from Appendix C of NICE </w:t>
      </w:r>
      <w:r w:rsidR="008E6954">
        <w:rPr>
          <w:rFonts w:eastAsia="Calibri" w:cs="Times New Roman"/>
        </w:rPr>
        <w:t>IPG196.</w:t>
      </w:r>
      <w:r w:rsidR="00422429">
        <w:rPr>
          <w:rFonts w:eastAsia="Calibri" w:cs="Times New Roman"/>
        </w:rPr>
        <w:fldChar w:fldCharType="begin"/>
      </w:r>
      <w:r w:rsidR="00892AF6">
        <w:rPr>
          <w:rFonts w:eastAsia="Calibri" w:cs="Times New Roman"/>
        </w:rPr>
        <w:instrText xml:space="preserve"> ADDIN EN.CITE &lt;EndNote&gt;&lt;Cite&gt;&lt;Author&gt;National Institute for Health and Care Excellence&lt;/Author&gt;&lt;Year&gt;2008&lt;/Year&gt;&lt;RecNum&gt;10250&lt;/RecNum&gt;&lt;DisplayText&gt;&lt;style face="superscript"&gt;14&lt;/style&gt;&lt;/DisplayText&gt;&lt;record&gt;&lt;rec-number&gt;10250&lt;/rec-number&gt;&lt;foreign-keys&gt;&lt;key app="EN" db-id="vrp0pptazv05wtesfz5vrzsj2p0rv09ttsa9" timestamp="1520851583" guid="875b169c-6726-4f90-9c42-19ea7d5d9733"&gt;10250&lt;/key&gt;&lt;/foreign-keys&gt;&lt;ref-type name="Web Page"&gt;12&lt;/ref-type&gt;&lt;contributors&gt;&lt;authors&gt;&lt;author&gt;National Institute for Health and Care Excellence,&lt;/author&gt;&lt;/authors&gt;&lt;/contributors&gt;&lt;titles&gt;&lt;title&gt;NICE interventional procedure guidance 196. Patient safety and reduction of risk of transmission of Creutzfeldt–Jakob disease (CJD) via interventional procedures.&lt;/title&gt;&lt;/titles&gt;&lt;number&gt;02.02.2018&lt;/number&gt;&lt;dates&gt;&lt;year&gt;2008&lt;/year&gt;&lt;/dates&gt;&lt;urls&gt;&lt;related-urls&gt;&lt;url&gt;&lt;style face="underline" font="default" size="100%"&gt;https://www.nice.org.uk/guidance/ipg196/documents/ipg196-patient-safety-and-reduction-of-risk-of-transmission-of-creutzfeldtjakob-disease-cjd-via-interventional-procedures-guidance2&lt;/style&gt;&lt;/url&gt;&lt;/related-urls&gt;&lt;/urls&gt;&lt;/record&gt;&lt;/Cite&gt;&lt;/EndNote&gt;</w:instrText>
      </w:r>
      <w:r w:rsidR="00422429">
        <w:rPr>
          <w:rFonts w:eastAsia="Calibri" w:cs="Times New Roman"/>
        </w:rPr>
        <w:fldChar w:fldCharType="separate"/>
      </w:r>
      <w:r w:rsidR="005C50C5" w:rsidRPr="005C50C5">
        <w:rPr>
          <w:rFonts w:eastAsia="Calibri" w:cs="Times New Roman"/>
          <w:noProof/>
          <w:vertAlign w:val="superscript"/>
        </w:rPr>
        <w:t>14</w:t>
      </w:r>
      <w:r w:rsidR="00422429">
        <w:rPr>
          <w:rFonts w:eastAsia="Calibri" w:cs="Times New Roman"/>
        </w:rPr>
        <w:fldChar w:fldCharType="end"/>
      </w:r>
    </w:p>
    <w:p w14:paraId="5EF39C6B" w14:textId="77777777" w:rsidR="002F675D" w:rsidRPr="007A7C51" w:rsidRDefault="002F675D" w:rsidP="00F452B9">
      <w:pPr>
        <w:jc w:val="both"/>
        <w:rPr>
          <w:rFonts w:eastAsia="Calibri" w:cs="Times New Roman"/>
          <w:b/>
        </w:rPr>
      </w:pPr>
    </w:p>
    <w:p w14:paraId="093392D6" w14:textId="75615110" w:rsidR="002F675D" w:rsidRPr="007A7C51" w:rsidRDefault="00634A6D" w:rsidP="00F452B9">
      <w:pPr>
        <w:pStyle w:val="ListParagraph"/>
        <w:numPr>
          <w:ilvl w:val="0"/>
          <w:numId w:val="15"/>
        </w:numPr>
        <w:jc w:val="both"/>
        <w:rPr>
          <w:rFonts w:eastAsia="Calibri" w:cs="Times New Roman"/>
          <w:i/>
        </w:rPr>
      </w:pPr>
      <w:r>
        <w:rPr>
          <w:rFonts w:eastAsia="Calibri" w:cs="Times New Roman"/>
          <w:i/>
        </w:rPr>
        <w:t>Searches for th</w:t>
      </w:r>
      <w:r w:rsidR="002F675D" w:rsidRPr="007A7C51">
        <w:rPr>
          <w:rFonts w:eastAsia="Calibri" w:cs="Times New Roman"/>
          <w:i/>
        </w:rPr>
        <w:t>e complication rates associated with the use of single-use vs reusable anaesthetic, diagnostic or surgical instruments</w:t>
      </w:r>
    </w:p>
    <w:p w14:paraId="1A94D60A" w14:textId="151F03A1" w:rsidR="002F675D" w:rsidRPr="007A7C51" w:rsidRDefault="00F86BA3" w:rsidP="00F452B9">
      <w:pPr>
        <w:jc w:val="both"/>
        <w:rPr>
          <w:rFonts w:eastAsia="Calibri" w:cs="Times New Roman"/>
        </w:rPr>
      </w:pPr>
      <w:r w:rsidRPr="007A7C51">
        <w:rPr>
          <w:rFonts w:eastAsia="Calibri" w:cs="Times New Roman"/>
        </w:rPr>
        <w:t xml:space="preserve">Electronic literature searches were performed to </w:t>
      </w:r>
      <w:r w:rsidR="002F675D" w:rsidRPr="007A7C51">
        <w:rPr>
          <w:rFonts w:eastAsia="Calibri" w:cs="Times New Roman"/>
        </w:rPr>
        <w:t>identify articles which report on the complication rates associated with the use of single-use vs reusable anaesthetic, diagnostic or surgical instruments. Terms for ‘disposable or single</w:t>
      </w:r>
      <w:r w:rsidR="00422429">
        <w:rPr>
          <w:rFonts w:eastAsia="Calibri" w:cs="Times New Roman"/>
        </w:rPr>
        <w:t>-</w:t>
      </w:r>
      <w:r w:rsidR="002F675D" w:rsidRPr="007A7C51">
        <w:rPr>
          <w:rFonts w:eastAsia="Calibri" w:cs="Times New Roman"/>
        </w:rPr>
        <w:t xml:space="preserve">use’ instruments (60-63) including specifically named instruments recommended from the NICE committee meeting in June 2017 (63) combined with ‘high-risk surgical procedures’ (65-79) or ‘complications’ (81-84). </w:t>
      </w:r>
    </w:p>
    <w:p w14:paraId="5AE3FD3F" w14:textId="77777777" w:rsidR="002F675D" w:rsidRPr="007A7C51" w:rsidRDefault="002F675D" w:rsidP="00F452B9">
      <w:pPr>
        <w:jc w:val="both"/>
        <w:rPr>
          <w:rFonts w:eastAsia="Calibri" w:cs="Times New Roman"/>
          <w:b/>
        </w:rPr>
      </w:pPr>
    </w:p>
    <w:p w14:paraId="77773BE4" w14:textId="1DCD85D2" w:rsidR="002F675D" w:rsidRPr="007A7C51" w:rsidRDefault="00F86BA3" w:rsidP="00F452B9">
      <w:pPr>
        <w:pStyle w:val="ListParagraph"/>
        <w:numPr>
          <w:ilvl w:val="0"/>
          <w:numId w:val="15"/>
        </w:numPr>
        <w:jc w:val="both"/>
        <w:rPr>
          <w:rFonts w:eastAsia="Calibri" w:cs="Times New Roman"/>
          <w:i/>
        </w:rPr>
      </w:pPr>
      <w:r w:rsidRPr="007A7C51">
        <w:rPr>
          <w:rFonts w:eastAsia="Calibri" w:cs="Times New Roman"/>
          <w:i/>
        </w:rPr>
        <w:t xml:space="preserve"> </w:t>
      </w:r>
      <w:r w:rsidR="00634A6D">
        <w:rPr>
          <w:rFonts w:eastAsia="Calibri" w:cs="Times New Roman"/>
          <w:i/>
        </w:rPr>
        <w:t>Searches for t</w:t>
      </w:r>
      <w:r w:rsidR="002F675D" w:rsidRPr="007A7C51">
        <w:rPr>
          <w:rFonts w:eastAsia="Calibri" w:cs="Times New Roman"/>
          <w:i/>
        </w:rPr>
        <w:t>he risk of future surgery following surgery</w:t>
      </w:r>
    </w:p>
    <w:p w14:paraId="515D9212" w14:textId="5FD294AC" w:rsidR="002F675D" w:rsidRPr="007A7C51" w:rsidRDefault="00F86BA3" w:rsidP="00F452B9">
      <w:pPr>
        <w:jc w:val="both"/>
        <w:rPr>
          <w:rFonts w:eastAsia="Calibri" w:cs="Times New Roman"/>
        </w:rPr>
      </w:pPr>
      <w:r w:rsidRPr="007A7C51">
        <w:rPr>
          <w:rFonts w:eastAsia="Calibri" w:cs="Times New Roman"/>
        </w:rPr>
        <w:t xml:space="preserve">Electronic literature searches were performed to </w:t>
      </w:r>
      <w:r w:rsidR="002F675D" w:rsidRPr="007A7C51">
        <w:rPr>
          <w:rFonts w:eastAsia="Calibri" w:cs="Times New Roman"/>
        </w:rPr>
        <w:t>identify articles which report on the risk of future surgery following surgery. Terms for ‘reoperation’ or ‘repeat surgery’ combined (88-90) with ‘high-risk surgical procedures’ (92-106). No date restrictions were applied.</w:t>
      </w:r>
    </w:p>
    <w:p w14:paraId="0DB99435" w14:textId="77777777" w:rsidR="002F675D" w:rsidRPr="007A7C51" w:rsidRDefault="002F675D" w:rsidP="00F452B9">
      <w:pPr>
        <w:jc w:val="both"/>
        <w:rPr>
          <w:rFonts w:eastAsia="Calibri" w:cs="Times New Roman"/>
        </w:rPr>
      </w:pPr>
    </w:p>
    <w:p w14:paraId="23E876DA" w14:textId="77777777" w:rsidR="00BC0130" w:rsidRDefault="00BC0130">
      <w:pPr>
        <w:spacing w:after="160" w:line="259" w:lineRule="auto"/>
        <w:rPr>
          <w:i/>
        </w:rPr>
      </w:pPr>
      <w:r>
        <w:rPr>
          <w:i/>
        </w:rPr>
        <w:br w:type="page"/>
      </w:r>
    </w:p>
    <w:p w14:paraId="54C0B530" w14:textId="0846EC6B" w:rsidR="002F675D" w:rsidRPr="00FA27E6" w:rsidRDefault="002F675D" w:rsidP="00FA27E6">
      <w:pPr>
        <w:rPr>
          <w:i/>
        </w:rPr>
      </w:pPr>
      <w:r w:rsidRPr="00FA27E6">
        <w:rPr>
          <w:i/>
        </w:rPr>
        <w:t>Cost-effectiveness searches</w:t>
      </w:r>
    </w:p>
    <w:p w14:paraId="7FF3D484" w14:textId="648F107E" w:rsidR="002F675D" w:rsidRPr="007A7C51" w:rsidRDefault="002F675D" w:rsidP="00F452B9">
      <w:pPr>
        <w:jc w:val="both"/>
        <w:rPr>
          <w:rFonts w:eastAsia="Calibri" w:cs="Times New Roman"/>
        </w:rPr>
      </w:pPr>
      <w:r w:rsidRPr="007A7C51">
        <w:rPr>
          <w:rFonts w:eastAsia="Calibri" w:cs="Times New Roman"/>
        </w:rPr>
        <w:t xml:space="preserve">A literature search was undertaken to identify </w:t>
      </w:r>
      <w:r w:rsidR="006C3530" w:rsidRPr="007A7C51">
        <w:rPr>
          <w:rFonts w:eastAsia="Calibri" w:cs="Times New Roman"/>
        </w:rPr>
        <w:t xml:space="preserve">evidence relevant to the cost-effectiveness model such as relevant </w:t>
      </w:r>
      <w:r w:rsidRPr="007A7C51">
        <w:rPr>
          <w:rFonts w:eastAsia="Calibri" w:cs="Times New Roman"/>
        </w:rPr>
        <w:t xml:space="preserve">economic evaluations in Creutzfeldt-Jakob disease. </w:t>
      </w:r>
    </w:p>
    <w:p w14:paraId="482CC33D" w14:textId="77777777" w:rsidR="002F675D" w:rsidRPr="007A7C51" w:rsidRDefault="002F675D" w:rsidP="00F452B9">
      <w:pPr>
        <w:jc w:val="both"/>
        <w:rPr>
          <w:rFonts w:eastAsia="Calibri" w:cs="Times New Roman"/>
        </w:rPr>
      </w:pPr>
    </w:p>
    <w:p w14:paraId="784ADB97" w14:textId="77777777" w:rsidR="002F675D" w:rsidRPr="007A7C51" w:rsidRDefault="002F675D" w:rsidP="00F452B9">
      <w:pPr>
        <w:jc w:val="both"/>
        <w:rPr>
          <w:rFonts w:eastAsia="Calibri" w:cs="Times New Roman"/>
        </w:rPr>
      </w:pPr>
      <w:r w:rsidRPr="007A7C51">
        <w:rPr>
          <w:rFonts w:eastAsia="Calibri" w:cs="Times New Roman"/>
        </w:rPr>
        <w:t>Four electronic databases were searched on 7</w:t>
      </w:r>
      <w:r w:rsidRPr="007A7C51">
        <w:rPr>
          <w:rFonts w:eastAsia="Calibri" w:cs="Times New Roman"/>
          <w:vertAlign w:val="superscript"/>
        </w:rPr>
        <w:t>th</w:t>
      </w:r>
      <w:r w:rsidRPr="007A7C51">
        <w:rPr>
          <w:rFonts w:eastAsia="Calibri" w:cs="Times New Roman"/>
        </w:rPr>
        <w:t xml:space="preserve"> June 2017 from 2004 until present:</w:t>
      </w:r>
    </w:p>
    <w:p w14:paraId="6AD7274A" w14:textId="77777777" w:rsidR="002F675D" w:rsidRPr="007A7C51" w:rsidRDefault="002F675D" w:rsidP="00F452B9">
      <w:pPr>
        <w:numPr>
          <w:ilvl w:val="0"/>
          <w:numId w:val="14"/>
        </w:numPr>
        <w:jc w:val="both"/>
        <w:rPr>
          <w:rFonts w:eastAsia="Calibri" w:cs="Times New Roman"/>
        </w:rPr>
      </w:pPr>
      <w:r w:rsidRPr="007A7C51">
        <w:rPr>
          <w:rFonts w:eastAsia="Calibri" w:cs="Times New Roman"/>
        </w:rPr>
        <w:t>MEDLINE, MEDLINE Epub Ahead of Print, In-Process &amp; Other Non-Indexed Citations: Ovid, 1946 to 2017</w:t>
      </w:r>
    </w:p>
    <w:p w14:paraId="5B0B3067" w14:textId="77777777" w:rsidR="002F675D" w:rsidRPr="007A7C51" w:rsidRDefault="002F675D" w:rsidP="00F452B9">
      <w:pPr>
        <w:numPr>
          <w:ilvl w:val="0"/>
          <w:numId w:val="14"/>
        </w:numPr>
        <w:jc w:val="both"/>
        <w:rPr>
          <w:rFonts w:eastAsia="Calibri" w:cs="Times New Roman"/>
        </w:rPr>
      </w:pPr>
      <w:r w:rsidRPr="007A7C51">
        <w:rPr>
          <w:rFonts w:eastAsia="Calibri" w:cs="Times New Roman"/>
        </w:rPr>
        <w:t>EMBASE: Ovid, 1974 to 2017</w:t>
      </w:r>
    </w:p>
    <w:p w14:paraId="574CB642" w14:textId="3921E8D0" w:rsidR="002F675D" w:rsidRPr="007A7C51" w:rsidRDefault="002F675D" w:rsidP="00F452B9">
      <w:pPr>
        <w:numPr>
          <w:ilvl w:val="0"/>
          <w:numId w:val="14"/>
        </w:numPr>
        <w:jc w:val="both"/>
        <w:rPr>
          <w:rFonts w:eastAsia="Calibri" w:cs="Times New Roman"/>
        </w:rPr>
      </w:pPr>
      <w:r w:rsidRPr="007A7C51">
        <w:rPr>
          <w:rFonts w:eastAsia="Calibri" w:cs="Times New Roman"/>
        </w:rPr>
        <w:t>Cochrane Library (Wiley Online) (Cochrane Database of Systematic Reviews, 1996 to 2017; Health Technology Assessment Database, 1995 to 2016; NHS Economic Ev</w:t>
      </w:r>
      <w:r w:rsidR="00E34929" w:rsidRPr="007A7C51">
        <w:rPr>
          <w:rFonts w:eastAsia="Calibri" w:cs="Times New Roman"/>
        </w:rPr>
        <w:t>aluation Database, 1995 to 2015</w:t>
      </w:r>
    </w:p>
    <w:p w14:paraId="34F8EFD3" w14:textId="77777777" w:rsidR="002F675D" w:rsidRPr="007A7C51" w:rsidRDefault="002F675D" w:rsidP="00F452B9">
      <w:pPr>
        <w:numPr>
          <w:ilvl w:val="0"/>
          <w:numId w:val="13"/>
        </w:numPr>
        <w:jc w:val="both"/>
        <w:rPr>
          <w:rFonts w:eastAsia="Calibri" w:cs="Times New Roman"/>
        </w:rPr>
      </w:pPr>
      <w:r w:rsidRPr="007A7C51">
        <w:rPr>
          <w:rFonts w:eastAsia="Calibri" w:cs="Times New Roman"/>
        </w:rPr>
        <w:t xml:space="preserve">Science Citation Index (SCI-E) and Conference Proceedings Citation Index (CPCI): Web of Science, 1990 to 2017 </w:t>
      </w:r>
    </w:p>
    <w:p w14:paraId="4D153011" w14:textId="77777777" w:rsidR="002F675D" w:rsidRPr="007A7C51" w:rsidRDefault="002F675D" w:rsidP="00F452B9">
      <w:pPr>
        <w:jc w:val="both"/>
        <w:rPr>
          <w:rFonts w:eastAsia="Calibri" w:cs="Times New Roman"/>
        </w:rPr>
      </w:pPr>
    </w:p>
    <w:p w14:paraId="29090F05" w14:textId="7F2F24F2" w:rsidR="002F675D" w:rsidRPr="007A7C51" w:rsidRDefault="002F675D" w:rsidP="00F452B9">
      <w:pPr>
        <w:jc w:val="both"/>
        <w:rPr>
          <w:rFonts w:eastAsia="Calibri" w:cs="Times New Roman"/>
        </w:rPr>
      </w:pPr>
      <w:r w:rsidRPr="007A7C51">
        <w:rPr>
          <w:rFonts w:eastAsia="Calibri" w:cs="Times New Roman"/>
        </w:rPr>
        <w:t xml:space="preserve">The search strategy comprised Medical Subject Headings (MeSH) or Emtree Thesauri terms and free-text synonyms for ‘CJD’. Searches were translated across databases and were not limited by language. The search strategies are presented in Appendix </w:t>
      </w:r>
      <w:r w:rsidR="00F86BA3" w:rsidRPr="007A7C51">
        <w:rPr>
          <w:rFonts w:eastAsia="Calibri" w:cs="Times New Roman"/>
        </w:rPr>
        <w:t>2</w:t>
      </w:r>
      <w:r w:rsidRPr="007A7C51">
        <w:rPr>
          <w:rFonts w:eastAsia="Calibri" w:cs="Times New Roman"/>
        </w:rPr>
        <w:t xml:space="preserve">. Search filters designed to identify economic evaluations were used on MEDLINE and EMBASE. </w:t>
      </w:r>
    </w:p>
    <w:p w14:paraId="6CF93472" w14:textId="77777777" w:rsidR="00E34929" w:rsidRPr="002F675D" w:rsidRDefault="00E34929" w:rsidP="00F452B9">
      <w:pPr>
        <w:jc w:val="both"/>
        <w:rPr>
          <w:rFonts w:eastAsia="Calibri" w:cs="Times New Roman"/>
          <w:sz w:val="24"/>
          <w:szCs w:val="24"/>
        </w:rPr>
      </w:pPr>
    </w:p>
    <w:p w14:paraId="154140E1" w14:textId="77777777" w:rsidR="00F676EF" w:rsidRPr="005110F3" w:rsidRDefault="00F676EF" w:rsidP="005110F3">
      <w:pPr>
        <w:rPr>
          <w:i/>
        </w:rPr>
      </w:pPr>
      <w:r w:rsidRPr="005110F3">
        <w:rPr>
          <w:i/>
        </w:rPr>
        <w:t>Study selection</w:t>
      </w:r>
    </w:p>
    <w:p w14:paraId="0362AC44" w14:textId="265654B4" w:rsidR="00F676EF" w:rsidRPr="007A7C51" w:rsidRDefault="00F676EF" w:rsidP="00F452B9">
      <w:pPr>
        <w:jc w:val="both"/>
        <w:rPr>
          <w:rFonts w:eastAsia="Calibri" w:cs="Times New Roman"/>
        </w:rPr>
      </w:pPr>
      <w:r w:rsidRPr="007A7C51">
        <w:rPr>
          <w:rFonts w:eastAsia="Calibri" w:cs="Times New Roman"/>
        </w:rPr>
        <w:t xml:space="preserve">Results from the electronic bibliographic searches were imported into reference management software, EndNote (version 8, Thompson Reuters), and duplicates </w:t>
      </w:r>
      <w:r w:rsidR="002D0DF2">
        <w:rPr>
          <w:rFonts w:eastAsia="Calibri" w:cs="Times New Roman"/>
        </w:rPr>
        <w:t xml:space="preserve">were </w:t>
      </w:r>
      <w:r w:rsidRPr="007A7C51">
        <w:rPr>
          <w:rFonts w:eastAsia="Calibri" w:cs="Times New Roman"/>
        </w:rPr>
        <w:t xml:space="preserve">removed. Titles and abstracts of retrieved records were examined by one reviewer (LU) and irrelevant citations </w:t>
      </w:r>
      <w:r w:rsidR="002D0DF2">
        <w:rPr>
          <w:rFonts w:eastAsia="Calibri" w:cs="Times New Roman"/>
        </w:rPr>
        <w:t xml:space="preserve">were </w:t>
      </w:r>
      <w:r w:rsidRPr="007A7C51">
        <w:rPr>
          <w:rFonts w:eastAsia="Calibri" w:cs="Times New Roman"/>
        </w:rPr>
        <w:t xml:space="preserve">excluded. A proportion (10%) of randomly selected excluded citations were double-checked by a second reviewer (CC) and </w:t>
      </w:r>
      <w:r w:rsidR="00BA4C4D">
        <w:rPr>
          <w:rFonts w:eastAsia="Calibri" w:cs="Times New Roman"/>
        </w:rPr>
        <w:t xml:space="preserve">any </w:t>
      </w:r>
      <w:r w:rsidRPr="007A7C51">
        <w:rPr>
          <w:rFonts w:eastAsia="Calibri" w:cs="Times New Roman"/>
        </w:rPr>
        <w:t>disagreements were resolved by discussion between reviewers</w:t>
      </w:r>
      <w:r w:rsidR="00A95DEF">
        <w:rPr>
          <w:rFonts w:eastAsia="Calibri" w:cs="Times New Roman"/>
        </w:rPr>
        <w:t>.</w:t>
      </w:r>
      <w:r w:rsidRPr="007A7C51">
        <w:rPr>
          <w:rFonts w:eastAsia="Calibri" w:cs="Times New Roman"/>
        </w:rPr>
        <w:t xml:space="preserve"> </w:t>
      </w:r>
      <w:r w:rsidR="00A95DEF">
        <w:rPr>
          <w:rFonts w:eastAsia="Calibri" w:cs="Times New Roman"/>
        </w:rPr>
        <w:t>C</w:t>
      </w:r>
      <w:r w:rsidRPr="007A7C51">
        <w:rPr>
          <w:rFonts w:eastAsia="Calibri" w:cs="Times New Roman"/>
        </w:rPr>
        <w:t>onsult</w:t>
      </w:r>
      <w:r w:rsidR="00F81889" w:rsidRPr="007A7C51">
        <w:rPr>
          <w:rFonts w:eastAsia="Calibri" w:cs="Times New Roman"/>
        </w:rPr>
        <w:t>ation with</w:t>
      </w:r>
      <w:r w:rsidRPr="007A7C51">
        <w:rPr>
          <w:rFonts w:eastAsia="Calibri" w:cs="Times New Roman"/>
        </w:rPr>
        <w:t xml:space="preserve"> the third designated team member (MS)</w:t>
      </w:r>
      <w:r w:rsidR="00A95DEF">
        <w:rPr>
          <w:rFonts w:eastAsia="Calibri" w:cs="Times New Roman"/>
        </w:rPr>
        <w:t xml:space="preserve"> was not required for any citation</w:t>
      </w:r>
      <w:r w:rsidRPr="007A7C51">
        <w:rPr>
          <w:rFonts w:eastAsia="Calibri" w:cs="Times New Roman"/>
        </w:rPr>
        <w:t xml:space="preserve">. </w:t>
      </w:r>
      <w:r w:rsidR="00062291" w:rsidRPr="00062291">
        <w:rPr>
          <w:rFonts w:eastAsia="Calibri" w:cs="Times New Roman"/>
        </w:rPr>
        <w:t xml:space="preserve">At </w:t>
      </w:r>
      <w:r w:rsidR="002D0DF2">
        <w:rPr>
          <w:rFonts w:eastAsia="Calibri" w:cs="Times New Roman"/>
        </w:rPr>
        <w:t xml:space="preserve">the </w:t>
      </w:r>
      <w:r w:rsidR="00062291" w:rsidRPr="00062291">
        <w:rPr>
          <w:rFonts w:eastAsia="Calibri" w:cs="Times New Roman"/>
        </w:rPr>
        <w:t xml:space="preserve">full paper stage, all citations excluded from a particular review question by the reviewer for that question were double-checked by the second reviewer. Lists of these citations, with the principal reason for exclusion, are reported for each review in Appendix </w:t>
      </w:r>
      <w:r w:rsidR="008C534A">
        <w:rPr>
          <w:rFonts w:eastAsia="Calibri" w:cs="Times New Roman"/>
        </w:rPr>
        <w:t>3</w:t>
      </w:r>
      <w:r w:rsidR="00062291">
        <w:rPr>
          <w:rFonts w:eastAsia="Calibri" w:cs="Times New Roman"/>
        </w:rPr>
        <w:t>.</w:t>
      </w:r>
      <w:r w:rsidRPr="007A7C51">
        <w:rPr>
          <w:rFonts w:eastAsia="Calibri" w:cs="Times New Roman"/>
        </w:rPr>
        <w:t xml:space="preserve"> Data identified from countries outside of the UK were incorporated if deemed relevant.</w:t>
      </w:r>
    </w:p>
    <w:p w14:paraId="7B776CD7" w14:textId="77777777" w:rsidR="00F676EF" w:rsidRPr="007A7C51" w:rsidRDefault="00F676EF" w:rsidP="00F452B9">
      <w:pPr>
        <w:jc w:val="both"/>
        <w:rPr>
          <w:rFonts w:eastAsia="Calibri" w:cs="Times New Roman"/>
        </w:rPr>
      </w:pPr>
    </w:p>
    <w:p w14:paraId="2F976087" w14:textId="2C3721E3" w:rsidR="00F676EF" w:rsidRPr="007A7C51" w:rsidRDefault="00F676EF" w:rsidP="00F452B9">
      <w:pPr>
        <w:jc w:val="both"/>
        <w:rPr>
          <w:rFonts w:eastAsia="Calibri" w:cs="Times New Roman"/>
        </w:rPr>
      </w:pPr>
      <w:r w:rsidRPr="007A7C51">
        <w:rPr>
          <w:rFonts w:eastAsia="Calibri" w:cs="Times New Roman"/>
        </w:rPr>
        <w:t xml:space="preserve">Literature identified within the cost-effectiveness review was processed in a similar manner. Titles and abstracts of retrieved records </w:t>
      </w:r>
      <w:r w:rsidR="003E4447" w:rsidRPr="007A7C51">
        <w:rPr>
          <w:rFonts w:eastAsia="Calibri" w:cs="Times New Roman"/>
        </w:rPr>
        <w:t>were</w:t>
      </w:r>
      <w:r w:rsidRPr="007A7C51">
        <w:rPr>
          <w:rFonts w:eastAsia="Calibri" w:cs="Times New Roman"/>
        </w:rPr>
        <w:t xml:space="preserve"> examined by one reviewer (MS) and irrelevant citations </w:t>
      </w:r>
      <w:r w:rsidR="002D0DF2">
        <w:rPr>
          <w:rFonts w:eastAsia="Calibri" w:cs="Times New Roman"/>
        </w:rPr>
        <w:t xml:space="preserve">were </w:t>
      </w:r>
      <w:r w:rsidRPr="007A7C51">
        <w:rPr>
          <w:rFonts w:eastAsia="Calibri" w:cs="Times New Roman"/>
        </w:rPr>
        <w:t xml:space="preserve">excluded. A proportion (10%) of randomly selected excluded citations was double-checked by a second reviewer (LU). All full text articles were independently assessed for inclusion by two reviewers (MS, LU). No disagreements were required to be resolved </w:t>
      </w:r>
      <w:r w:rsidR="002D0DF2">
        <w:rPr>
          <w:rFonts w:eastAsia="Calibri" w:cs="Times New Roman"/>
        </w:rPr>
        <w:t>through</w:t>
      </w:r>
      <w:r w:rsidR="002D0DF2" w:rsidRPr="007A7C51">
        <w:rPr>
          <w:rFonts w:eastAsia="Calibri" w:cs="Times New Roman"/>
        </w:rPr>
        <w:t xml:space="preserve"> </w:t>
      </w:r>
      <w:r w:rsidRPr="007A7C51">
        <w:rPr>
          <w:rFonts w:eastAsia="Calibri" w:cs="Times New Roman"/>
        </w:rPr>
        <w:t>discussion or with involvement of the third designated team member (CC).</w:t>
      </w:r>
    </w:p>
    <w:p w14:paraId="5D5EEE96" w14:textId="77777777" w:rsidR="00F676EF" w:rsidRPr="00DF04B8" w:rsidRDefault="00F676EF" w:rsidP="00F452B9">
      <w:pPr>
        <w:jc w:val="both"/>
        <w:rPr>
          <w:rFonts w:eastAsia="Calibri" w:cs="Times New Roman"/>
          <w:i/>
          <w:sz w:val="24"/>
          <w:szCs w:val="24"/>
        </w:rPr>
      </w:pPr>
    </w:p>
    <w:p w14:paraId="1DF3DEA4" w14:textId="77777777" w:rsidR="00F676EF" w:rsidRPr="005110F3" w:rsidRDefault="00F676EF" w:rsidP="005110F3">
      <w:pPr>
        <w:rPr>
          <w:i/>
        </w:rPr>
      </w:pPr>
      <w:r w:rsidRPr="005110F3">
        <w:rPr>
          <w:i/>
        </w:rPr>
        <w:t>Data extraction</w:t>
      </w:r>
    </w:p>
    <w:p w14:paraId="2FB0ED81" w14:textId="3674713F" w:rsidR="00F676EF" w:rsidRPr="007A7C51" w:rsidRDefault="00F676EF" w:rsidP="00F452B9">
      <w:pPr>
        <w:jc w:val="both"/>
        <w:rPr>
          <w:rFonts w:eastAsia="Calibri" w:cs="Times New Roman"/>
        </w:rPr>
      </w:pPr>
      <w:r w:rsidRPr="007A7C51">
        <w:rPr>
          <w:rFonts w:eastAsia="Calibri" w:cs="Times New Roman"/>
        </w:rPr>
        <w:t>Bespoke data extraction forms were developed for each review question in Microsoft Excel</w:t>
      </w:r>
      <w:r w:rsidR="00422429" w:rsidRPr="00AC3C12">
        <w:rPr>
          <w:rFonts w:eastAsia="Calibri" w:cs="Times New Roman"/>
          <w:vertAlign w:val="superscript"/>
        </w:rPr>
        <w:t>®</w:t>
      </w:r>
      <w:r w:rsidRPr="007A7C51">
        <w:rPr>
          <w:rFonts w:eastAsia="Calibri" w:cs="Times New Roman"/>
        </w:rPr>
        <w:t xml:space="preserve"> to record relevant outcome data for the review question in hand. All data were extracted by one systematic reviewer (LU</w:t>
      </w:r>
      <w:r w:rsidR="0054596B" w:rsidRPr="007A7C51">
        <w:rPr>
          <w:rFonts w:eastAsia="Calibri" w:cs="Times New Roman"/>
        </w:rPr>
        <w:t xml:space="preserve"> for reviews 1, 2 and 4</w:t>
      </w:r>
      <w:r w:rsidR="00DF6754" w:rsidRPr="007A7C51">
        <w:rPr>
          <w:rFonts w:eastAsia="Calibri" w:cs="Times New Roman"/>
        </w:rPr>
        <w:t xml:space="preserve">; </w:t>
      </w:r>
      <w:r w:rsidR="0054596B" w:rsidRPr="007A7C51">
        <w:rPr>
          <w:rFonts w:eastAsia="Calibri" w:cs="Times New Roman"/>
        </w:rPr>
        <w:t>CC for reviews 3, 5, 6, 7 and 8</w:t>
      </w:r>
      <w:r w:rsidRPr="007A7C51">
        <w:rPr>
          <w:rFonts w:eastAsia="Calibri" w:cs="Times New Roman"/>
        </w:rPr>
        <w:t>) and independently checked by a second reviewer (</w:t>
      </w:r>
      <w:r w:rsidR="0054596B" w:rsidRPr="007A7C51">
        <w:rPr>
          <w:rFonts w:eastAsia="Calibri" w:cs="Times New Roman"/>
        </w:rPr>
        <w:t>LU for reviews 3, 5, 6, 7 and 8</w:t>
      </w:r>
      <w:r w:rsidR="00DF6754" w:rsidRPr="007A7C51">
        <w:rPr>
          <w:rFonts w:eastAsia="Calibri" w:cs="Times New Roman"/>
        </w:rPr>
        <w:t>;</w:t>
      </w:r>
      <w:r w:rsidR="0054596B" w:rsidRPr="007A7C51">
        <w:rPr>
          <w:rFonts w:eastAsia="Calibri" w:cs="Times New Roman"/>
        </w:rPr>
        <w:t xml:space="preserve"> </w:t>
      </w:r>
      <w:r w:rsidRPr="007A7C51">
        <w:rPr>
          <w:rFonts w:eastAsia="Calibri" w:cs="Times New Roman"/>
        </w:rPr>
        <w:t>CC</w:t>
      </w:r>
      <w:r w:rsidR="0054596B" w:rsidRPr="007A7C51">
        <w:rPr>
          <w:rFonts w:eastAsia="Calibri" w:cs="Times New Roman"/>
        </w:rPr>
        <w:t xml:space="preserve"> for reviews 1, 2 and 4</w:t>
      </w:r>
      <w:r w:rsidRPr="007A7C51">
        <w:rPr>
          <w:rFonts w:eastAsia="Calibri" w:cs="Times New Roman"/>
        </w:rPr>
        <w:t xml:space="preserve">). Any disagreements were resolved by </w:t>
      </w:r>
      <w:r w:rsidR="00DF6754" w:rsidRPr="007A7C51">
        <w:rPr>
          <w:rFonts w:eastAsia="Calibri" w:cs="Times New Roman"/>
        </w:rPr>
        <w:t xml:space="preserve">discussion and </w:t>
      </w:r>
      <w:r w:rsidRPr="007A7C51">
        <w:rPr>
          <w:rFonts w:eastAsia="Calibri" w:cs="Times New Roman"/>
        </w:rPr>
        <w:t>consensus or by consulting with a third member of the project team (MS).</w:t>
      </w:r>
    </w:p>
    <w:p w14:paraId="28244298" w14:textId="77777777" w:rsidR="00BC0130" w:rsidRDefault="00BC0130" w:rsidP="005110F3">
      <w:pPr>
        <w:rPr>
          <w:i/>
        </w:rPr>
      </w:pPr>
    </w:p>
    <w:p w14:paraId="1ECDF37F" w14:textId="77777777" w:rsidR="00E34929" w:rsidRPr="005110F3" w:rsidRDefault="00E34929" w:rsidP="005110F3">
      <w:pPr>
        <w:rPr>
          <w:i/>
        </w:rPr>
      </w:pPr>
      <w:r w:rsidRPr="005110F3">
        <w:rPr>
          <w:i/>
        </w:rPr>
        <w:t>Quality assessment</w:t>
      </w:r>
    </w:p>
    <w:p w14:paraId="5E03047C" w14:textId="4D5445ED" w:rsidR="00E34929" w:rsidRPr="007A7C51" w:rsidRDefault="00E34929" w:rsidP="00F452B9">
      <w:pPr>
        <w:jc w:val="both"/>
        <w:rPr>
          <w:rFonts w:cs="Times New Roman"/>
        </w:rPr>
      </w:pPr>
      <w:r w:rsidRPr="007A7C51">
        <w:rPr>
          <w:rFonts w:cs="Times New Roman"/>
        </w:rPr>
        <w:t xml:space="preserve">The role of performing formal quality assessment using standard checklists such as Cochrane Risk of Bias tool was considered in this systematic review. The value of conducting quality assessment </w:t>
      </w:r>
      <w:r w:rsidR="00DF6754" w:rsidRPr="007A7C51">
        <w:rPr>
          <w:rFonts w:cs="Times New Roman"/>
        </w:rPr>
        <w:t xml:space="preserve">is </w:t>
      </w:r>
      <w:r w:rsidRPr="007A7C51">
        <w:rPr>
          <w:rFonts w:cs="Times New Roman"/>
        </w:rPr>
        <w:t>to assess how a study has been conducted in order to balance the numerical findings (or the statistical strength of effects) against the methodological quality. In many cases</w:t>
      </w:r>
      <w:r w:rsidR="002D0DF2">
        <w:rPr>
          <w:rFonts w:cs="Times New Roman"/>
        </w:rPr>
        <w:t>,</w:t>
      </w:r>
      <w:r w:rsidRPr="007A7C51">
        <w:rPr>
          <w:rFonts w:cs="Times New Roman"/>
        </w:rPr>
        <w:t xml:space="preserve"> the included “studies” in this review </w:t>
      </w:r>
      <w:r w:rsidR="00DF6754" w:rsidRPr="007A7C51">
        <w:rPr>
          <w:rFonts w:cs="Times New Roman"/>
        </w:rPr>
        <w:t xml:space="preserve">were </w:t>
      </w:r>
      <w:r w:rsidRPr="007A7C51">
        <w:rPr>
          <w:rFonts w:cs="Times New Roman"/>
        </w:rPr>
        <w:t>not amenable to quality assessment because</w:t>
      </w:r>
      <w:r w:rsidR="00DF6754" w:rsidRPr="007A7C51">
        <w:rPr>
          <w:rFonts w:cs="Times New Roman"/>
        </w:rPr>
        <w:t>:</w:t>
      </w:r>
      <w:r w:rsidRPr="007A7C51">
        <w:rPr>
          <w:rFonts w:cs="Times New Roman"/>
        </w:rPr>
        <w:t xml:space="preserve"> a) they are surveillance reports thereby not constituting the traditional definition of a study or; b) they are lab</w:t>
      </w:r>
      <w:r w:rsidR="00422429">
        <w:rPr>
          <w:rFonts w:cs="Times New Roman"/>
        </w:rPr>
        <w:t>oratory</w:t>
      </w:r>
      <w:r w:rsidRPr="007A7C51">
        <w:rPr>
          <w:rFonts w:cs="Times New Roman"/>
        </w:rPr>
        <w:t xml:space="preserve"> studies using highly specific scientific methods that are not amenable to </w:t>
      </w:r>
      <w:r w:rsidR="00422429">
        <w:rPr>
          <w:rFonts w:cs="Times New Roman"/>
        </w:rPr>
        <w:t xml:space="preserve">the </w:t>
      </w:r>
      <w:r w:rsidRPr="007A7C51">
        <w:rPr>
          <w:rFonts w:cs="Times New Roman"/>
        </w:rPr>
        <w:t xml:space="preserve">quality assessment </w:t>
      </w:r>
      <w:r w:rsidR="00422429">
        <w:rPr>
          <w:rFonts w:cs="Times New Roman"/>
        </w:rPr>
        <w:t>for</w:t>
      </w:r>
      <w:r w:rsidRPr="007A7C51">
        <w:rPr>
          <w:rFonts w:cs="Times New Roman"/>
        </w:rPr>
        <w:t xml:space="preserve"> clinical trials. None of the review questions sought data that were estimating treatment effects</w:t>
      </w:r>
      <w:r w:rsidR="00DF6754" w:rsidRPr="007A7C51">
        <w:rPr>
          <w:rFonts w:cs="Times New Roman"/>
        </w:rPr>
        <w:t>,</w:t>
      </w:r>
      <w:r w:rsidRPr="007A7C51">
        <w:rPr>
          <w:rFonts w:cs="Times New Roman"/>
        </w:rPr>
        <w:t xml:space="preserve"> therefore the typical domains of quality assessment such as randomisation, performance bias, detection bias </w:t>
      </w:r>
      <w:r w:rsidR="002D0DF2">
        <w:rPr>
          <w:rFonts w:cs="Times New Roman"/>
        </w:rPr>
        <w:t xml:space="preserve">and </w:t>
      </w:r>
      <w:r w:rsidRPr="007A7C51">
        <w:rPr>
          <w:rFonts w:cs="Times New Roman"/>
        </w:rPr>
        <w:t xml:space="preserve">attrition bias are less relevant. </w:t>
      </w:r>
      <w:r w:rsidR="0054596B" w:rsidRPr="007A7C51">
        <w:rPr>
          <w:rFonts w:cs="Times New Roman"/>
        </w:rPr>
        <w:t>Assessment of s</w:t>
      </w:r>
      <w:r w:rsidRPr="007A7C51">
        <w:rPr>
          <w:rFonts w:cs="Times New Roman"/>
        </w:rPr>
        <w:t xml:space="preserve">tudy heterogeneity is less important when not </w:t>
      </w:r>
      <w:r w:rsidR="0054596B" w:rsidRPr="007A7C51">
        <w:rPr>
          <w:rFonts w:cs="Times New Roman"/>
        </w:rPr>
        <w:t>performing formal synthesis to estimate</w:t>
      </w:r>
      <w:r w:rsidRPr="007A7C51">
        <w:rPr>
          <w:rFonts w:cs="Times New Roman"/>
        </w:rPr>
        <w:t xml:space="preserve"> treatment effect</w:t>
      </w:r>
      <w:r w:rsidR="002D0DF2">
        <w:rPr>
          <w:rFonts w:cs="Times New Roman"/>
        </w:rPr>
        <w:t>s</w:t>
      </w:r>
      <w:r w:rsidRPr="007A7C51">
        <w:rPr>
          <w:rFonts w:cs="Times New Roman"/>
        </w:rPr>
        <w:t xml:space="preserve">. Indeed, limitations to inclusion criteria based on study design, scientific discipline, setting or context would potentially have restricted the external </w:t>
      </w:r>
      <w:r w:rsidR="00F81889" w:rsidRPr="007A7C51">
        <w:rPr>
          <w:rFonts w:cs="Times New Roman"/>
        </w:rPr>
        <w:t>validity</w:t>
      </w:r>
      <w:r w:rsidRPr="007A7C51">
        <w:rPr>
          <w:rFonts w:cs="Times New Roman"/>
        </w:rPr>
        <w:t xml:space="preserve"> of the review.</w:t>
      </w:r>
      <w:r w:rsidR="0054596B" w:rsidRPr="007A7C51">
        <w:rPr>
          <w:rFonts w:cs="Times New Roman"/>
        </w:rPr>
        <w:t xml:space="preserve"> Therefore, no formal quality</w:t>
      </w:r>
      <w:r w:rsidR="00263A59">
        <w:rPr>
          <w:rFonts w:cs="Times New Roman"/>
        </w:rPr>
        <w:t xml:space="preserve"> assessment has been undertaken and the protocol for the systematic review, registered on the PROSPERO database (no. </w:t>
      </w:r>
      <w:r w:rsidR="00263A59" w:rsidRPr="00263A59">
        <w:rPr>
          <w:rFonts w:cs="Times New Roman"/>
        </w:rPr>
        <w:t>CRD42017071807</w:t>
      </w:r>
      <w:r w:rsidR="00263A59">
        <w:rPr>
          <w:rFonts w:cs="Times New Roman"/>
        </w:rPr>
        <w:t xml:space="preserve">), was updated </w:t>
      </w:r>
      <w:r w:rsidR="006B41E9">
        <w:rPr>
          <w:rFonts w:cs="Times New Roman"/>
        </w:rPr>
        <w:t>accordingly</w:t>
      </w:r>
      <w:r w:rsidR="00263A59">
        <w:rPr>
          <w:rFonts w:cs="Times New Roman"/>
        </w:rPr>
        <w:t>.</w:t>
      </w:r>
      <w:r w:rsidR="00AC3C12">
        <w:rPr>
          <w:rFonts w:cs="Times New Roman"/>
        </w:rPr>
        <w:t xml:space="preserve"> The purpose of the reviews is primarily to describe the </w:t>
      </w:r>
      <w:r w:rsidR="006A1AA7">
        <w:rPr>
          <w:rFonts w:cs="Times New Roman"/>
        </w:rPr>
        <w:t xml:space="preserve">relevant </w:t>
      </w:r>
      <w:r w:rsidR="00AC3C12">
        <w:rPr>
          <w:rFonts w:cs="Times New Roman"/>
        </w:rPr>
        <w:t xml:space="preserve">literature rather than to aggregate </w:t>
      </w:r>
      <w:r w:rsidR="006A1AA7">
        <w:rPr>
          <w:rFonts w:cs="Times New Roman"/>
        </w:rPr>
        <w:t xml:space="preserve">data </w:t>
      </w:r>
      <w:r w:rsidR="00AC3C12">
        <w:rPr>
          <w:rFonts w:cs="Times New Roman"/>
        </w:rPr>
        <w:t>or rank individual studies.</w:t>
      </w:r>
    </w:p>
    <w:p w14:paraId="5FAB8557" w14:textId="77777777" w:rsidR="00F676EF" w:rsidRPr="00DF04B8" w:rsidRDefault="00F676EF" w:rsidP="00F452B9">
      <w:pPr>
        <w:jc w:val="both"/>
        <w:rPr>
          <w:rFonts w:eastAsia="Calibri" w:cs="Times New Roman"/>
          <w:sz w:val="24"/>
          <w:szCs w:val="24"/>
        </w:rPr>
      </w:pPr>
    </w:p>
    <w:p w14:paraId="52274467" w14:textId="77777777" w:rsidR="00F676EF" w:rsidRPr="005110F3" w:rsidRDefault="00F676EF" w:rsidP="005110F3">
      <w:pPr>
        <w:rPr>
          <w:i/>
        </w:rPr>
      </w:pPr>
      <w:r w:rsidRPr="005110F3">
        <w:rPr>
          <w:i/>
        </w:rPr>
        <w:t>Data analysis / synthesis</w:t>
      </w:r>
    </w:p>
    <w:p w14:paraId="47780F8A" w14:textId="0BED3EC8" w:rsidR="00F676EF" w:rsidRPr="007A7C51" w:rsidRDefault="00F676EF" w:rsidP="00F452B9">
      <w:pPr>
        <w:jc w:val="both"/>
        <w:rPr>
          <w:rFonts w:eastAsia="Calibri" w:cs="Times New Roman"/>
        </w:rPr>
      </w:pPr>
      <w:r w:rsidRPr="007A7C51">
        <w:rPr>
          <w:rFonts w:eastAsia="Calibri" w:cs="Times New Roman"/>
        </w:rPr>
        <w:t xml:space="preserve">Data were tabulated, synthesised and discussed narratively for each review question. </w:t>
      </w:r>
      <w:r w:rsidR="00E34929" w:rsidRPr="007A7C51">
        <w:rPr>
          <w:rFonts w:eastAsia="Calibri" w:cs="Times New Roman"/>
        </w:rPr>
        <w:t>M</w:t>
      </w:r>
      <w:r w:rsidRPr="007A7C51">
        <w:rPr>
          <w:rFonts w:eastAsia="Calibri" w:cs="Times New Roman"/>
        </w:rPr>
        <w:t xml:space="preserve">eta-analyses were planned </w:t>
      </w:r>
      <w:r w:rsidR="00E34929" w:rsidRPr="007A7C51">
        <w:rPr>
          <w:rFonts w:eastAsia="Calibri" w:cs="Times New Roman"/>
        </w:rPr>
        <w:t xml:space="preserve">to be conducted </w:t>
      </w:r>
      <w:r w:rsidRPr="007A7C51">
        <w:rPr>
          <w:rFonts w:eastAsia="Calibri" w:cs="Times New Roman"/>
        </w:rPr>
        <w:t xml:space="preserve">by an experienced statistician using appropriate software and heterogeneity </w:t>
      </w:r>
      <w:r w:rsidR="002D0DF2">
        <w:rPr>
          <w:rFonts w:eastAsia="Calibri" w:cs="Times New Roman"/>
        </w:rPr>
        <w:t xml:space="preserve">was </w:t>
      </w:r>
      <w:r w:rsidRPr="007A7C51">
        <w:rPr>
          <w:rFonts w:eastAsia="Calibri" w:cs="Times New Roman"/>
        </w:rPr>
        <w:t>explored using meta-regression</w:t>
      </w:r>
      <w:r w:rsidR="00E34929" w:rsidRPr="007A7C51">
        <w:rPr>
          <w:rFonts w:eastAsia="Calibri" w:cs="Times New Roman"/>
        </w:rPr>
        <w:t xml:space="preserve"> where </w:t>
      </w:r>
      <w:r w:rsidR="000B1F01">
        <w:rPr>
          <w:rFonts w:eastAsia="Calibri" w:cs="Times New Roman"/>
        </w:rPr>
        <w:t>comparable data were available. N</w:t>
      </w:r>
      <w:r w:rsidR="00F81889" w:rsidRPr="007A7C51">
        <w:rPr>
          <w:rFonts w:eastAsia="Calibri" w:cs="Times New Roman"/>
        </w:rPr>
        <w:t xml:space="preserve">o suitable data were identified for </w:t>
      </w:r>
      <w:r w:rsidR="000B1F01">
        <w:rPr>
          <w:rFonts w:eastAsia="Calibri" w:cs="Times New Roman"/>
        </w:rPr>
        <w:t xml:space="preserve">formal </w:t>
      </w:r>
      <w:r w:rsidR="00F81889" w:rsidRPr="007A7C51">
        <w:rPr>
          <w:rFonts w:eastAsia="Calibri" w:cs="Times New Roman"/>
        </w:rPr>
        <w:t>aggregation</w:t>
      </w:r>
      <w:r w:rsidR="000B1F01">
        <w:rPr>
          <w:rFonts w:eastAsia="Calibri" w:cs="Times New Roman"/>
        </w:rPr>
        <w:t xml:space="preserve"> using meta-analysis</w:t>
      </w:r>
      <w:r w:rsidR="00062291">
        <w:rPr>
          <w:rFonts w:eastAsia="Calibri" w:cs="Times New Roman"/>
        </w:rPr>
        <w:t>.</w:t>
      </w:r>
    </w:p>
    <w:p w14:paraId="63F8FF17" w14:textId="77777777" w:rsidR="00F676EF" w:rsidRPr="00DF04B8" w:rsidRDefault="00F676EF" w:rsidP="00F452B9">
      <w:pPr>
        <w:jc w:val="both"/>
        <w:rPr>
          <w:rFonts w:eastAsia="Calibri" w:cs="Times New Roman"/>
          <w:sz w:val="24"/>
          <w:szCs w:val="24"/>
        </w:rPr>
      </w:pPr>
    </w:p>
    <w:p w14:paraId="4321D949" w14:textId="77777777" w:rsidR="00BC0130" w:rsidRDefault="00BC0130">
      <w:pPr>
        <w:spacing w:after="160" w:line="259" w:lineRule="auto"/>
        <w:rPr>
          <w:i/>
        </w:rPr>
      </w:pPr>
      <w:r>
        <w:rPr>
          <w:i/>
        </w:rPr>
        <w:br w:type="page"/>
      </w:r>
    </w:p>
    <w:p w14:paraId="625F0D04" w14:textId="121B79F1" w:rsidR="00F676EF" w:rsidRPr="005110F3" w:rsidRDefault="00E34929" w:rsidP="005110F3">
      <w:pPr>
        <w:rPr>
          <w:i/>
        </w:rPr>
      </w:pPr>
      <w:r w:rsidRPr="005110F3">
        <w:rPr>
          <w:i/>
        </w:rPr>
        <w:t>Meta-biases</w:t>
      </w:r>
      <w:r w:rsidR="00357729" w:rsidRPr="005110F3">
        <w:rPr>
          <w:i/>
        </w:rPr>
        <w:t xml:space="preserve"> and </w:t>
      </w:r>
      <w:r w:rsidRPr="005110F3">
        <w:rPr>
          <w:i/>
        </w:rPr>
        <w:t xml:space="preserve">assessment of </w:t>
      </w:r>
      <w:r w:rsidR="00357729" w:rsidRPr="005110F3">
        <w:rPr>
          <w:i/>
        </w:rPr>
        <w:t>external validity</w:t>
      </w:r>
    </w:p>
    <w:p w14:paraId="080C061F" w14:textId="0976A497" w:rsidR="00E34929" w:rsidRDefault="00E34929" w:rsidP="00F452B9">
      <w:pPr>
        <w:jc w:val="both"/>
        <w:rPr>
          <w:rFonts w:cs="Times New Roman"/>
        </w:rPr>
      </w:pPr>
      <w:r w:rsidRPr="007A7C51">
        <w:rPr>
          <w:rFonts w:cs="Times New Roman"/>
        </w:rPr>
        <w:t>Due to the complex nature of the clinical topic</w:t>
      </w:r>
      <w:r w:rsidR="00717551" w:rsidRPr="007A7C51">
        <w:rPr>
          <w:rFonts w:cs="Times New Roman"/>
        </w:rPr>
        <w:t>,</w:t>
      </w:r>
      <w:r w:rsidRPr="007A7C51">
        <w:rPr>
          <w:rFonts w:cs="Times New Roman"/>
        </w:rPr>
        <w:t xml:space="preserve"> </w:t>
      </w:r>
      <w:r w:rsidR="009C631C">
        <w:rPr>
          <w:rFonts w:cs="Times New Roman"/>
        </w:rPr>
        <w:t xml:space="preserve">the </w:t>
      </w:r>
      <w:r w:rsidRPr="007A7C51">
        <w:rPr>
          <w:rFonts w:cs="Times New Roman"/>
        </w:rPr>
        <w:t xml:space="preserve">number of review questions, </w:t>
      </w:r>
      <w:r w:rsidR="00717551" w:rsidRPr="007A7C51">
        <w:rPr>
          <w:rFonts w:cs="Times New Roman"/>
        </w:rPr>
        <w:t xml:space="preserve">and </w:t>
      </w:r>
      <w:r w:rsidR="009C631C">
        <w:rPr>
          <w:rFonts w:cs="Times New Roman"/>
        </w:rPr>
        <w:t xml:space="preserve">the diverse </w:t>
      </w:r>
      <w:r w:rsidR="00717551" w:rsidRPr="007A7C51">
        <w:rPr>
          <w:rFonts w:cs="Times New Roman"/>
        </w:rPr>
        <w:t>information required to inform the economic model</w:t>
      </w:r>
      <w:r w:rsidR="009C631C">
        <w:rPr>
          <w:rFonts w:cs="Times New Roman"/>
        </w:rPr>
        <w:t>,</w:t>
      </w:r>
      <w:r w:rsidR="00717551" w:rsidRPr="007A7C51">
        <w:rPr>
          <w:rFonts w:cs="Times New Roman"/>
        </w:rPr>
        <w:t xml:space="preserve"> </w:t>
      </w:r>
      <w:r w:rsidRPr="007A7C51">
        <w:rPr>
          <w:rFonts w:cs="Times New Roman"/>
        </w:rPr>
        <w:t xml:space="preserve">the </w:t>
      </w:r>
      <w:r w:rsidR="000B1F01">
        <w:rPr>
          <w:rFonts w:cs="Times New Roman"/>
        </w:rPr>
        <w:t xml:space="preserve">systematic </w:t>
      </w:r>
      <w:r w:rsidRPr="007A7C51">
        <w:rPr>
          <w:rFonts w:cs="Times New Roman"/>
        </w:rPr>
        <w:t>re</w:t>
      </w:r>
      <w:r w:rsidR="000B1F01">
        <w:rPr>
          <w:rFonts w:cs="Times New Roman"/>
        </w:rPr>
        <w:t xml:space="preserve">views are </w:t>
      </w:r>
      <w:r w:rsidRPr="007A7C51">
        <w:rPr>
          <w:rFonts w:cs="Times New Roman"/>
        </w:rPr>
        <w:t>methodologically challenging</w:t>
      </w:r>
      <w:r w:rsidR="00717551" w:rsidRPr="007A7C51">
        <w:rPr>
          <w:rFonts w:cs="Times New Roman"/>
        </w:rPr>
        <w:t>.</w:t>
      </w:r>
      <w:r w:rsidRPr="007A7C51">
        <w:rPr>
          <w:rFonts w:cs="Times New Roman"/>
        </w:rPr>
        <w:t xml:space="preserve"> </w:t>
      </w:r>
      <w:r w:rsidR="00717551" w:rsidRPr="007A7C51">
        <w:rPr>
          <w:rFonts w:cs="Times New Roman"/>
        </w:rPr>
        <w:t>I</w:t>
      </w:r>
      <w:r w:rsidRPr="007A7C51">
        <w:rPr>
          <w:rFonts w:cs="Times New Roman"/>
        </w:rPr>
        <w:t xml:space="preserve">n order is to obtain high quality, trustworthy data </w:t>
      </w:r>
      <w:r w:rsidR="00CB4DDC" w:rsidRPr="007A7C51">
        <w:rPr>
          <w:rFonts w:cs="Times New Roman"/>
        </w:rPr>
        <w:t xml:space="preserve">and </w:t>
      </w:r>
      <w:r w:rsidR="009C631C">
        <w:rPr>
          <w:rFonts w:cs="Times New Roman"/>
        </w:rPr>
        <w:t xml:space="preserve">to </w:t>
      </w:r>
      <w:r w:rsidR="00CB4DDC" w:rsidRPr="007A7C51">
        <w:rPr>
          <w:rFonts w:cs="Times New Roman"/>
        </w:rPr>
        <w:t>maintain</w:t>
      </w:r>
      <w:r w:rsidRPr="007A7C51">
        <w:rPr>
          <w:rFonts w:cs="Times New Roman"/>
        </w:rPr>
        <w:t xml:space="preserve"> </w:t>
      </w:r>
      <w:r w:rsidR="009C631C">
        <w:rPr>
          <w:rFonts w:cs="Times New Roman"/>
        </w:rPr>
        <w:t xml:space="preserve">the </w:t>
      </w:r>
      <w:r w:rsidRPr="007A7C51">
        <w:rPr>
          <w:rFonts w:cs="Times New Roman"/>
        </w:rPr>
        <w:t>external validity of the review</w:t>
      </w:r>
      <w:r w:rsidR="000B1F01">
        <w:rPr>
          <w:rFonts w:cs="Times New Roman"/>
        </w:rPr>
        <w:t>s</w:t>
      </w:r>
      <w:r w:rsidR="00CB4DDC" w:rsidRPr="007A7C51">
        <w:rPr>
          <w:rFonts w:cs="Times New Roman"/>
        </w:rPr>
        <w:t xml:space="preserve">, </w:t>
      </w:r>
      <w:r w:rsidR="009C631C">
        <w:rPr>
          <w:rFonts w:cs="Times New Roman"/>
        </w:rPr>
        <w:t xml:space="preserve">the </w:t>
      </w:r>
      <w:r w:rsidR="00CB4DDC" w:rsidRPr="007A7C51">
        <w:rPr>
          <w:rFonts w:cs="Times New Roman"/>
        </w:rPr>
        <w:t>inclusion criteria were kept broad until full text retrieval</w:t>
      </w:r>
      <w:r w:rsidRPr="007A7C51">
        <w:rPr>
          <w:rFonts w:cs="Times New Roman"/>
        </w:rPr>
        <w:t xml:space="preserve">. </w:t>
      </w:r>
      <w:r w:rsidR="00CB4DDC" w:rsidRPr="007A7C51">
        <w:rPr>
          <w:rFonts w:cs="Times New Roman"/>
        </w:rPr>
        <w:t xml:space="preserve">After </w:t>
      </w:r>
      <w:r w:rsidR="00422429">
        <w:rPr>
          <w:rFonts w:cs="Times New Roman"/>
        </w:rPr>
        <w:t>discussion</w:t>
      </w:r>
      <w:r w:rsidR="00CB4DDC" w:rsidRPr="007A7C51">
        <w:rPr>
          <w:rFonts w:cs="Times New Roman"/>
        </w:rPr>
        <w:t xml:space="preserve"> within the project team and with NICE committee </w:t>
      </w:r>
      <w:r w:rsidR="009C631C" w:rsidRPr="007A7C51">
        <w:rPr>
          <w:rFonts w:cs="Times New Roman"/>
        </w:rPr>
        <w:t>experts,</w:t>
      </w:r>
      <w:r w:rsidR="00CB4DDC" w:rsidRPr="007A7C51">
        <w:rPr>
          <w:rFonts w:cs="Times New Roman"/>
        </w:rPr>
        <w:t xml:space="preserve"> a decision was made to take a broad approach during </w:t>
      </w:r>
      <w:r w:rsidR="00864A88">
        <w:rPr>
          <w:rFonts w:cs="Times New Roman"/>
        </w:rPr>
        <w:t xml:space="preserve">the </w:t>
      </w:r>
      <w:r w:rsidR="00CB4DDC" w:rsidRPr="007A7C51">
        <w:rPr>
          <w:rFonts w:cs="Times New Roman"/>
        </w:rPr>
        <w:t>assessment of study relevance, rather than apply</w:t>
      </w:r>
      <w:r w:rsidR="00422429">
        <w:rPr>
          <w:rFonts w:cs="Times New Roman"/>
        </w:rPr>
        <w:t>ing</w:t>
      </w:r>
      <w:r w:rsidR="00CB4DDC" w:rsidRPr="007A7C51">
        <w:rPr>
          <w:rFonts w:cs="Times New Roman"/>
        </w:rPr>
        <w:t xml:space="preserve"> stringent inclusion criteria.</w:t>
      </w:r>
    </w:p>
    <w:p w14:paraId="3BDD8F21" w14:textId="77777777" w:rsidR="00F452B9" w:rsidRPr="007A7C51" w:rsidRDefault="00F452B9" w:rsidP="00F452B9">
      <w:pPr>
        <w:jc w:val="both"/>
        <w:rPr>
          <w:rFonts w:cs="Times New Roman"/>
        </w:rPr>
      </w:pPr>
    </w:p>
    <w:p w14:paraId="4FCBAF4C" w14:textId="49AF35A7" w:rsidR="00961F11" w:rsidRPr="007A7C51" w:rsidRDefault="00961F11" w:rsidP="00F452B9">
      <w:pPr>
        <w:jc w:val="both"/>
        <w:rPr>
          <w:rFonts w:cs="Times New Roman"/>
        </w:rPr>
      </w:pPr>
      <w:r w:rsidRPr="007A7C51">
        <w:rPr>
          <w:rFonts w:cs="Times New Roman"/>
        </w:rPr>
        <w:t xml:space="preserve">The risk of this approach </w:t>
      </w:r>
      <w:r w:rsidR="009C631C">
        <w:rPr>
          <w:rFonts w:cs="Times New Roman"/>
        </w:rPr>
        <w:t xml:space="preserve">is </w:t>
      </w:r>
      <w:r w:rsidRPr="007A7C51">
        <w:rPr>
          <w:rFonts w:cs="Times New Roman"/>
        </w:rPr>
        <w:t xml:space="preserve">that the </w:t>
      </w:r>
      <w:r w:rsidR="000B1F01">
        <w:rPr>
          <w:rFonts w:cs="Times New Roman"/>
        </w:rPr>
        <w:t>evidence generated from the reviews</w:t>
      </w:r>
      <w:r w:rsidRPr="007A7C51">
        <w:rPr>
          <w:rFonts w:cs="Times New Roman"/>
        </w:rPr>
        <w:t xml:space="preserve"> is less amenable to replication. H</w:t>
      </w:r>
      <w:r w:rsidR="006A1AA7">
        <w:rPr>
          <w:rFonts w:cs="Times New Roman"/>
        </w:rPr>
        <w:t xml:space="preserve">owever, </w:t>
      </w:r>
      <w:r w:rsidRPr="007A7C51">
        <w:rPr>
          <w:rFonts w:cs="Times New Roman"/>
        </w:rPr>
        <w:t xml:space="preserve">the purpose </w:t>
      </w:r>
      <w:r w:rsidR="000B1F01">
        <w:rPr>
          <w:rFonts w:cs="Times New Roman"/>
        </w:rPr>
        <w:t xml:space="preserve">the clinical </w:t>
      </w:r>
      <w:r w:rsidR="006A1AA7">
        <w:rPr>
          <w:rFonts w:cs="Times New Roman"/>
        </w:rPr>
        <w:t>reviews</w:t>
      </w:r>
      <w:r w:rsidRPr="007A7C51">
        <w:rPr>
          <w:rFonts w:cs="Times New Roman"/>
        </w:rPr>
        <w:t xml:space="preserve"> is to inform commissioners about potential risk</w:t>
      </w:r>
      <w:r w:rsidR="000B1F01">
        <w:rPr>
          <w:rFonts w:cs="Times New Roman"/>
        </w:rPr>
        <w:t>s of CJD transmission via surgery</w:t>
      </w:r>
      <w:r w:rsidRPr="007A7C51">
        <w:rPr>
          <w:rFonts w:cs="Times New Roman"/>
        </w:rPr>
        <w:t xml:space="preserve"> rather than estimating treatment effect</w:t>
      </w:r>
      <w:r w:rsidR="000B1F01">
        <w:rPr>
          <w:rFonts w:cs="Times New Roman"/>
        </w:rPr>
        <w:t>. Therefore</w:t>
      </w:r>
      <w:r w:rsidRPr="007A7C51">
        <w:rPr>
          <w:rFonts w:cs="Times New Roman"/>
        </w:rPr>
        <w:t>, a more inclusive methodological approach</w:t>
      </w:r>
      <w:r w:rsidR="006A1AA7">
        <w:rPr>
          <w:rFonts w:cs="Times New Roman"/>
        </w:rPr>
        <w:t xml:space="preserve"> by the evidence review group</w:t>
      </w:r>
      <w:r w:rsidRPr="007A7C51">
        <w:rPr>
          <w:rFonts w:cs="Times New Roman"/>
        </w:rPr>
        <w:t xml:space="preserve"> in </w:t>
      </w:r>
      <w:r w:rsidR="00CB4DDC" w:rsidRPr="007A7C51">
        <w:rPr>
          <w:rFonts w:cs="Times New Roman"/>
        </w:rPr>
        <w:t>this</w:t>
      </w:r>
      <w:r w:rsidRPr="007A7C51">
        <w:rPr>
          <w:rFonts w:cs="Times New Roman"/>
        </w:rPr>
        <w:t xml:space="preserve"> complex clinical topic </w:t>
      </w:r>
      <w:r w:rsidR="00864A88">
        <w:rPr>
          <w:rFonts w:cs="Times New Roman"/>
        </w:rPr>
        <w:t>was deemed</w:t>
      </w:r>
      <w:r w:rsidRPr="007A7C51">
        <w:rPr>
          <w:rFonts w:cs="Times New Roman"/>
        </w:rPr>
        <w:t xml:space="preserve"> justifiable.</w:t>
      </w:r>
    </w:p>
    <w:p w14:paraId="26B75F51" w14:textId="77777777" w:rsidR="00961F11" w:rsidRPr="007A7C51" w:rsidRDefault="00961F11" w:rsidP="00F452B9">
      <w:pPr>
        <w:rPr>
          <w:rFonts w:cs="Times New Roman"/>
        </w:rPr>
      </w:pPr>
    </w:p>
    <w:p w14:paraId="52532CBB" w14:textId="070211CE" w:rsidR="0059326D" w:rsidRPr="00F84738" w:rsidRDefault="00FA27E6" w:rsidP="00FA27E6">
      <w:pPr>
        <w:pStyle w:val="Heading3"/>
        <w:rPr>
          <w:b w:val="0"/>
          <w:i/>
        </w:rPr>
      </w:pPr>
      <w:r w:rsidRPr="00F84738">
        <w:rPr>
          <w:b w:val="0"/>
          <w:i/>
        </w:rPr>
        <w:t>2.1.3</w:t>
      </w:r>
      <w:r w:rsidRPr="00F84738">
        <w:rPr>
          <w:b w:val="0"/>
          <w:i/>
        </w:rPr>
        <w:tab/>
      </w:r>
      <w:r w:rsidR="000B1F01" w:rsidRPr="00F84738">
        <w:rPr>
          <w:b w:val="0"/>
          <w:i/>
        </w:rPr>
        <w:t>Literature search r</w:t>
      </w:r>
      <w:r w:rsidR="0059326D" w:rsidRPr="00F84738">
        <w:rPr>
          <w:b w:val="0"/>
          <w:i/>
        </w:rPr>
        <w:t>esults</w:t>
      </w:r>
    </w:p>
    <w:p w14:paraId="76D501BB" w14:textId="56748546" w:rsidR="00376AB2" w:rsidRDefault="0059326D" w:rsidP="00B301D6">
      <w:pPr>
        <w:jc w:val="both"/>
        <w:rPr>
          <w:rFonts w:cs="Times New Roman"/>
        </w:rPr>
      </w:pPr>
      <w:r w:rsidRPr="007E365F">
        <w:rPr>
          <w:rFonts w:cs="Times New Roman"/>
        </w:rPr>
        <w:t>The literature searches</w:t>
      </w:r>
      <w:r w:rsidR="00686F6B">
        <w:rPr>
          <w:rFonts w:cs="Times New Roman"/>
        </w:rPr>
        <w:t xml:space="preserve"> </w:t>
      </w:r>
      <w:r w:rsidRPr="007E365F">
        <w:rPr>
          <w:rFonts w:cs="Times New Roman"/>
        </w:rPr>
        <w:t>of bibliographic databases</w:t>
      </w:r>
      <w:r w:rsidR="00686F6B">
        <w:rPr>
          <w:rFonts w:cs="Times New Roman"/>
        </w:rPr>
        <w:t xml:space="preserve"> were performed on 14</w:t>
      </w:r>
      <w:r w:rsidR="00686F6B" w:rsidRPr="00686F6B">
        <w:rPr>
          <w:rFonts w:cs="Times New Roman"/>
          <w:vertAlign w:val="superscript"/>
        </w:rPr>
        <w:t>th</w:t>
      </w:r>
      <w:r w:rsidR="00686F6B">
        <w:rPr>
          <w:rFonts w:cs="Times New Roman"/>
        </w:rPr>
        <w:t xml:space="preserve"> August 2017</w:t>
      </w:r>
      <w:r w:rsidR="00686F6B" w:rsidRPr="007E365F">
        <w:rPr>
          <w:rFonts w:cs="Times New Roman"/>
        </w:rPr>
        <w:t xml:space="preserve"> </w:t>
      </w:r>
      <w:r w:rsidR="00686F6B">
        <w:rPr>
          <w:rFonts w:cs="Times New Roman"/>
        </w:rPr>
        <w:t>and</w:t>
      </w:r>
      <w:r w:rsidRPr="007E365F">
        <w:rPr>
          <w:rFonts w:cs="Times New Roman"/>
        </w:rPr>
        <w:t xml:space="preserve"> yielded 8466 citations. </w:t>
      </w:r>
      <w:r w:rsidR="00686F6B">
        <w:rPr>
          <w:rFonts w:cs="Times New Roman"/>
        </w:rPr>
        <w:t xml:space="preserve">During the screening process, </w:t>
      </w:r>
      <w:r w:rsidRPr="007E365F">
        <w:rPr>
          <w:rFonts w:cs="Times New Roman"/>
        </w:rPr>
        <w:t xml:space="preserve">a </w:t>
      </w:r>
      <w:r w:rsidR="007D2962">
        <w:rPr>
          <w:rFonts w:cs="Times New Roman"/>
        </w:rPr>
        <w:t xml:space="preserve">citation of potential relevance </w:t>
      </w:r>
      <w:r w:rsidRPr="007E365F">
        <w:rPr>
          <w:rFonts w:cs="Times New Roman"/>
        </w:rPr>
        <w:t>to review question</w:t>
      </w:r>
      <w:r w:rsidR="007D2962">
        <w:rPr>
          <w:rFonts w:cs="Times New Roman"/>
        </w:rPr>
        <w:t xml:space="preserve"> 2</w:t>
      </w:r>
      <w:r w:rsidRPr="007E365F">
        <w:rPr>
          <w:rFonts w:cs="Times New Roman"/>
        </w:rPr>
        <w:t xml:space="preserve"> </w:t>
      </w:r>
      <w:r w:rsidR="007D2962">
        <w:rPr>
          <w:rFonts w:cs="Times New Roman"/>
        </w:rPr>
        <w:t>was identified</w:t>
      </w:r>
      <w:r w:rsidRPr="007E365F">
        <w:rPr>
          <w:rFonts w:cs="Times New Roman"/>
        </w:rPr>
        <w:t xml:space="preserve"> </w:t>
      </w:r>
      <w:r w:rsidR="007D2962">
        <w:rPr>
          <w:rFonts w:cs="Times New Roman"/>
        </w:rPr>
        <w:t xml:space="preserve">which </w:t>
      </w:r>
      <w:r w:rsidRPr="007E365F">
        <w:rPr>
          <w:rFonts w:cs="Times New Roman"/>
        </w:rPr>
        <w:t>had not b</w:t>
      </w:r>
      <w:r w:rsidR="007E365F">
        <w:rPr>
          <w:rFonts w:cs="Times New Roman"/>
        </w:rPr>
        <w:t xml:space="preserve">een picked up by the </w:t>
      </w:r>
      <w:r w:rsidR="007D2962">
        <w:rPr>
          <w:rFonts w:cs="Times New Roman"/>
        </w:rPr>
        <w:t>literature</w:t>
      </w:r>
      <w:r w:rsidR="007E365F">
        <w:rPr>
          <w:rFonts w:cs="Times New Roman"/>
        </w:rPr>
        <w:t xml:space="preserve"> searches. T</w:t>
      </w:r>
      <w:r w:rsidRPr="007E365F">
        <w:rPr>
          <w:rFonts w:cs="Times New Roman"/>
        </w:rPr>
        <w:t>herefore</w:t>
      </w:r>
      <w:r w:rsidR="007E365F">
        <w:rPr>
          <w:rFonts w:cs="Times New Roman"/>
        </w:rPr>
        <w:t>,</w:t>
      </w:r>
      <w:r w:rsidRPr="007E365F">
        <w:rPr>
          <w:rFonts w:cs="Times New Roman"/>
        </w:rPr>
        <w:t xml:space="preserve"> the information specialist in consultation with the project team revised the search terms for review 2 to perform an additional search </w:t>
      </w:r>
      <w:r w:rsidR="00686F6B">
        <w:rPr>
          <w:rFonts w:cs="Times New Roman"/>
        </w:rPr>
        <w:t>on 2</w:t>
      </w:r>
      <w:r w:rsidR="00686F6B" w:rsidRPr="00686F6B">
        <w:rPr>
          <w:rFonts w:cs="Times New Roman"/>
          <w:vertAlign w:val="superscript"/>
        </w:rPr>
        <w:t>nd</w:t>
      </w:r>
      <w:r w:rsidR="00686F6B">
        <w:rPr>
          <w:rFonts w:cs="Times New Roman"/>
        </w:rPr>
        <w:t xml:space="preserve"> October 2017, </w:t>
      </w:r>
      <w:r w:rsidRPr="007E365F">
        <w:rPr>
          <w:rFonts w:cs="Times New Roman"/>
        </w:rPr>
        <w:t>resulting in a further 310 citations.</w:t>
      </w:r>
      <w:r w:rsidR="007E365F">
        <w:rPr>
          <w:rFonts w:cs="Times New Roman"/>
        </w:rPr>
        <w:t xml:space="preserve"> Forty-one further citations were obtained and assessed for eligibility either from recommendations from NICE committee members (n=16) or through</w:t>
      </w:r>
      <w:r w:rsidR="00686F6B">
        <w:rPr>
          <w:rFonts w:cs="Times New Roman"/>
        </w:rPr>
        <w:t xml:space="preserve"> checking the reference lists of relevant citations (n=25). After duplicates were removed</w:t>
      </w:r>
      <w:r w:rsidR="00CD5349">
        <w:rPr>
          <w:rFonts w:cs="Times New Roman"/>
        </w:rPr>
        <w:t xml:space="preserve">, </w:t>
      </w:r>
      <w:r w:rsidR="00864A88">
        <w:rPr>
          <w:rFonts w:cs="Times New Roman"/>
        </w:rPr>
        <w:t>the</w:t>
      </w:r>
      <w:r w:rsidR="00686F6B">
        <w:rPr>
          <w:rFonts w:cs="Times New Roman"/>
        </w:rPr>
        <w:t xml:space="preserve"> 8549 titles and abstracts were reviewed by one reviewer</w:t>
      </w:r>
      <w:r w:rsidR="00CD5349">
        <w:rPr>
          <w:rFonts w:cs="Times New Roman"/>
        </w:rPr>
        <w:t xml:space="preserve"> (LU)</w:t>
      </w:r>
      <w:r w:rsidR="00686F6B">
        <w:rPr>
          <w:rFonts w:cs="Times New Roman"/>
        </w:rPr>
        <w:t xml:space="preserve">. </w:t>
      </w:r>
      <w:r w:rsidR="00CD5349">
        <w:rPr>
          <w:rFonts w:cs="Times New Roman"/>
        </w:rPr>
        <w:t xml:space="preserve">Ten percent of excluded citations were independently assessed by a second reviewer (CC) </w:t>
      </w:r>
      <w:r w:rsidR="00D02A37">
        <w:rPr>
          <w:rFonts w:cs="Times New Roman"/>
        </w:rPr>
        <w:t>with very good agreement (</w:t>
      </w:r>
      <w:r w:rsidR="006A1AA7">
        <w:rPr>
          <w:rFonts w:cs="Times New Roman"/>
        </w:rPr>
        <w:t xml:space="preserve">Kappa: </w:t>
      </w:r>
      <w:r w:rsidR="00D02A37">
        <w:rPr>
          <w:rFonts w:cs="Times New Roman"/>
        </w:rPr>
        <w:t>0.98). Any disagreements were carried forward for further d</w:t>
      </w:r>
      <w:r w:rsidR="007D2962">
        <w:rPr>
          <w:rFonts w:cs="Times New Roman"/>
        </w:rPr>
        <w:t xml:space="preserve">iscussion but none were </w:t>
      </w:r>
      <w:r w:rsidR="00864A88">
        <w:rPr>
          <w:rFonts w:cs="Times New Roman"/>
        </w:rPr>
        <w:t xml:space="preserve">ultimately </w:t>
      </w:r>
      <w:r w:rsidR="007D2962">
        <w:rPr>
          <w:rFonts w:cs="Times New Roman"/>
        </w:rPr>
        <w:t xml:space="preserve">deemed as eligible for full-text inspection by either reviewer. </w:t>
      </w:r>
      <w:r w:rsidR="00376AB2">
        <w:rPr>
          <w:rFonts w:cs="Times New Roman"/>
        </w:rPr>
        <w:t>A PRISMA flow diagram illustrating the process</w:t>
      </w:r>
      <w:r w:rsidR="00FA27E6">
        <w:rPr>
          <w:rFonts w:cs="Times New Roman"/>
        </w:rPr>
        <w:t xml:space="preserve"> of</w:t>
      </w:r>
      <w:r w:rsidR="00376AB2">
        <w:rPr>
          <w:rFonts w:cs="Times New Roman"/>
        </w:rPr>
        <w:t xml:space="preserve"> </w:t>
      </w:r>
      <w:r w:rsidR="00FA27E6">
        <w:rPr>
          <w:rFonts w:cs="Times New Roman"/>
        </w:rPr>
        <w:t>identifying citations through to final s</w:t>
      </w:r>
      <w:r w:rsidR="00376AB2">
        <w:rPr>
          <w:rFonts w:cs="Times New Roman"/>
        </w:rPr>
        <w:t>tudy selection</w:t>
      </w:r>
      <w:r w:rsidR="00FA27E6">
        <w:rPr>
          <w:rFonts w:cs="Times New Roman"/>
        </w:rPr>
        <w:t xml:space="preserve"> for each review question</w:t>
      </w:r>
      <w:r w:rsidR="00376AB2">
        <w:rPr>
          <w:rFonts w:cs="Times New Roman"/>
        </w:rPr>
        <w:t xml:space="preserve"> is shown in </w:t>
      </w:r>
      <w:r w:rsidR="00B301D6">
        <w:rPr>
          <w:rFonts w:cs="Times New Roman"/>
        </w:rPr>
        <w:fldChar w:fldCharType="begin"/>
      </w:r>
      <w:r w:rsidR="00B301D6">
        <w:rPr>
          <w:rFonts w:cs="Times New Roman"/>
        </w:rPr>
        <w:instrText xml:space="preserve"> REF _Ref520707734 \h </w:instrText>
      </w:r>
      <w:r w:rsidR="00B301D6">
        <w:rPr>
          <w:rFonts w:cs="Times New Roman"/>
        </w:rPr>
      </w:r>
      <w:r w:rsidR="00B301D6">
        <w:rPr>
          <w:rFonts w:cs="Times New Roman"/>
        </w:rPr>
        <w:fldChar w:fldCharType="separate"/>
      </w:r>
      <w:r w:rsidR="00690541">
        <w:t xml:space="preserve">Figure </w:t>
      </w:r>
      <w:r w:rsidR="00690541">
        <w:rPr>
          <w:noProof/>
        </w:rPr>
        <w:t>1</w:t>
      </w:r>
      <w:r w:rsidR="00B301D6">
        <w:rPr>
          <w:rFonts w:cs="Times New Roman"/>
        </w:rPr>
        <w:fldChar w:fldCharType="end"/>
      </w:r>
      <w:r w:rsidR="00B301D6">
        <w:rPr>
          <w:rFonts w:cs="Times New Roman"/>
        </w:rPr>
        <w:t>.</w:t>
      </w:r>
      <w:r w:rsidR="00376AB2">
        <w:rPr>
          <w:rFonts w:cs="Times New Roman"/>
        </w:rPr>
        <w:br w:type="page"/>
      </w:r>
    </w:p>
    <w:p w14:paraId="39AE46CC" w14:textId="1C43049A" w:rsidR="00B301D6" w:rsidRPr="00AB2313" w:rsidRDefault="00B301D6" w:rsidP="00B301D6">
      <w:pPr>
        <w:pStyle w:val="Caption"/>
        <w:rPr>
          <w:rFonts w:eastAsia="Times New Roman" w:cs="Times New Roman"/>
          <w:noProof/>
          <w:sz w:val="24"/>
          <w:szCs w:val="24"/>
        </w:rPr>
      </w:pPr>
      <w:bookmarkStart w:id="30" w:name="_Ref520707734"/>
      <w:bookmarkStart w:id="31" w:name="_Toc525106718"/>
      <w:r>
        <w:t xml:space="preserve">Figure </w:t>
      </w:r>
      <w:r w:rsidR="00292024">
        <w:rPr>
          <w:noProof/>
        </w:rPr>
        <w:fldChar w:fldCharType="begin"/>
      </w:r>
      <w:r w:rsidR="00292024">
        <w:rPr>
          <w:noProof/>
        </w:rPr>
        <w:instrText xml:space="preserve"> SEQ Figure \* ARABIC </w:instrText>
      </w:r>
      <w:r w:rsidR="00292024">
        <w:rPr>
          <w:noProof/>
        </w:rPr>
        <w:fldChar w:fldCharType="separate"/>
      </w:r>
      <w:r w:rsidR="00690541">
        <w:rPr>
          <w:noProof/>
        </w:rPr>
        <w:t>1</w:t>
      </w:r>
      <w:r w:rsidR="00292024">
        <w:rPr>
          <w:noProof/>
        </w:rPr>
        <w:fldChar w:fldCharType="end"/>
      </w:r>
      <w:bookmarkEnd w:id="30"/>
      <w:r>
        <w:t>:</w:t>
      </w:r>
      <w:r w:rsidR="007C1925">
        <w:tab/>
      </w:r>
      <w:r>
        <w:t>PRISMA flow diagram of studies included in systematic reviews</w:t>
      </w:r>
      <w:bookmarkEnd w:id="31"/>
    </w:p>
    <w:p w14:paraId="37D77FDB" w14:textId="05F9FE02" w:rsidR="00376AB2" w:rsidRPr="00376AB2" w:rsidRDefault="00376AB2" w:rsidP="00376AB2">
      <w:pPr>
        <w:spacing w:line="240" w:lineRule="auto"/>
        <w:rPr>
          <w:rFonts w:eastAsia="Times New Roman" w:cs="Times New Roman"/>
          <w:color w:val="000000"/>
          <w:kern w:val="28"/>
          <w:sz w:val="20"/>
          <w:szCs w:val="20"/>
          <w:lang w:val="en-CA" w:eastAsia="en-CA"/>
        </w:rPr>
      </w:pPr>
      <w:r w:rsidRPr="00376AB2">
        <w:rPr>
          <w:rFonts w:eastAsia="Times New Roman" w:cs="Times New Roman"/>
          <w:noProof/>
          <w:sz w:val="24"/>
          <w:szCs w:val="24"/>
          <w:lang w:eastAsia="en-GB"/>
        </w:rPr>
        <mc:AlternateContent>
          <mc:Choice Requires="wps">
            <w:drawing>
              <wp:anchor distT="36576" distB="36576" distL="36576" distR="36576" simplePos="0" relativeHeight="251669504" behindDoc="0" locked="0" layoutInCell="1" allowOverlap="1" wp14:anchorId="62DCBEFC" wp14:editId="2E106D19">
                <wp:simplePos x="0" y="0"/>
                <wp:positionH relativeFrom="column">
                  <wp:posOffset>2741295</wp:posOffset>
                </wp:positionH>
                <wp:positionV relativeFrom="paragraph">
                  <wp:posOffset>5803900</wp:posOffset>
                </wp:positionV>
                <wp:extent cx="1905" cy="133350"/>
                <wp:effectExtent l="55245" t="10795" r="57150" b="1778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333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F7108E" id="_x0000_t32" coordsize="21600,21600" o:spt="32" o:oned="t" path="m,l21600,21600e" filled="f">
                <v:path arrowok="t" fillok="f" o:connecttype="none"/>
                <o:lock v:ext="edit" shapetype="t"/>
              </v:shapetype>
              <v:shape id="Straight Arrow Connector 208" o:spid="_x0000_s1026" type="#_x0000_t32" style="position:absolute;margin-left:215.85pt;margin-top:457pt;width:.15pt;height:10.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">
                <v:stroke endarrow="block"/>
                <v:shadow color="#ccc"/>
              </v:shape>
            </w:pict>
          </mc:Fallback>
        </mc:AlternateContent>
      </w:r>
      <w:r w:rsidRPr="00376AB2">
        <w:rPr>
          <w:rFonts w:eastAsia="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4997A209" wp14:editId="7158C589">
                <wp:simplePos x="0" y="0"/>
                <wp:positionH relativeFrom="column">
                  <wp:posOffset>963930</wp:posOffset>
                </wp:positionH>
                <wp:positionV relativeFrom="paragraph">
                  <wp:posOffset>5126355</wp:posOffset>
                </wp:positionV>
                <wp:extent cx="3554730" cy="677545"/>
                <wp:effectExtent l="11430" t="9525" r="5715" b="825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730" cy="677545"/>
                        </a:xfrm>
                        <a:prstGeom prst="rect">
                          <a:avLst/>
                        </a:prstGeom>
                        <a:solidFill>
                          <a:srgbClr val="FFFFFF"/>
                        </a:solidFill>
                        <a:ln w="9525">
                          <a:solidFill>
                            <a:srgbClr val="000000"/>
                          </a:solidFill>
                          <a:miter lim="800000"/>
                          <a:headEnd/>
                          <a:tailEnd/>
                        </a:ln>
                      </wps:spPr>
                      <wps:txbx>
                        <w:txbxContent>
                          <w:p w14:paraId="331AC83B" w14:textId="77777777" w:rsidR="00741B5A" w:rsidRDefault="00741B5A" w:rsidP="00376AB2">
                            <w:pPr>
                              <w:spacing w:line="240" w:lineRule="auto"/>
                              <w:jc w:val="center"/>
                              <w:rPr>
                                <w:rFonts w:ascii="Calibri" w:hAnsi="Calibri"/>
                              </w:rPr>
                            </w:pPr>
                            <w:r>
                              <w:rPr>
                                <w:rFonts w:ascii="Calibri" w:hAnsi="Calibri"/>
                              </w:rPr>
                              <w:t>Studies included in systematic reviews</w:t>
                            </w:r>
                            <w:r>
                              <w:rPr>
                                <w:rFonts w:ascii="Calibri" w:hAnsi="Calibri"/>
                              </w:rPr>
                              <w:br/>
                              <w:t>(n = 169 )</w:t>
                            </w:r>
                          </w:p>
                          <w:p w14:paraId="25804CE9" w14:textId="011A1C26" w:rsidR="00741B5A" w:rsidRPr="00732AB8" w:rsidRDefault="00741B5A" w:rsidP="00376AB2">
                            <w:pPr>
                              <w:spacing w:line="240" w:lineRule="auto"/>
                              <w:jc w:val="center"/>
                              <w:rPr>
                                <w:rFonts w:ascii="Calibri" w:hAnsi="Calibri"/>
                                <w:i/>
                                <w:lang w:val="en"/>
                              </w:rPr>
                            </w:pPr>
                            <w:r>
                              <w:rPr>
                                <w:rFonts w:ascii="Calibri" w:hAnsi="Calibri"/>
                                <w:i/>
                              </w:rPr>
                              <w:t>(Some studies used in more than one review)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7A209" id="Rectangle 207" o:spid="_x0000_s1026" style="position:absolute;margin-left:75.9pt;margin-top:403.65pt;width:279.9pt;height:5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">
                <v:textbox inset=",7.2pt,,7.2pt">
                  <w:txbxContent>
                    <w:p w14:paraId="331AC83B" w14:textId="77777777" w:rsidR="00741B5A" w:rsidRDefault="00741B5A" w:rsidP="00376AB2">
                      <w:pPr>
                        <w:spacing w:line="240" w:lineRule="auto"/>
                        <w:jc w:val="center"/>
                        <w:rPr>
                          <w:rFonts w:ascii="Calibri" w:hAnsi="Calibri"/>
                        </w:rPr>
                      </w:pPr>
                      <w:r>
                        <w:rPr>
                          <w:rFonts w:ascii="Calibri" w:hAnsi="Calibri"/>
                        </w:rPr>
                        <w:t>Studies included in systematic reviews</w:t>
                      </w:r>
                      <w:r>
                        <w:rPr>
                          <w:rFonts w:ascii="Calibri" w:hAnsi="Calibri"/>
                        </w:rPr>
                        <w:br/>
                        <w:t>(n = 169 )</w:t>
                      </w:r>
                    </w:p>
                    <w:p w14:paraId="25804CE9" w14:textId="011A1C26" w:rsidR="00741B5A" w:rsidRPr="00732AB8" w:rsidRDefault="00741B5A" w:rsidP="00376AB2">
                      <w:pPr>
                        <w:spacing w:line="240" w:lineRule="auto"/>
                        <w:jc w:val="center"/>
                        <w:rPr>
                          <w:rFonts w:ascii="Calibri" w:hAnsi="Calibri"/>
                          <w:i/>
                          <w:lang w:val="en"/>
                        </w:rPr>
                      </w:pPr>
                      <w:r>
                        <w:rPr>
                          <w:rFonts w:ascii="Calibri" w:hAnsi="Calibri"/>
                          <w:i/>
                        </w:rPr>
                        <w:t>(Some studies used in more than one review)</w:t>
                      </w:r>
                    </w:p>
                  </w:txbxContent>
                </v:textbox>
              </v:rect>
            </w:pict>
          </mc:Fallback>
        </mc:AlternateContent>
      </w:r>
      <w:r w:rsidRPr="00376AB2">
        <w:rPr>
          <w:rFonts w:eastAsia="Times New Roman" w:cs="Times New Roman"/>
          <w:noProof/>
          <w:sz w:val="24"/>
          <w:szCs w:val="24"/>
          <w:lang w:eastAsia="en-GB"/>
        </w:rPr>
        <mc:AlternateContent>
          <mc:Choice Requires="wps">
            <w:drawing>
              <wp:anchor distT="36576" distB="36576" distL="36576" distR="36576" simplePos="0" relativeHeight="251667456" behindDoc="0" locked="0" layoutInCell="1" allowOverlap="1" wp14:anchorId="593020F7" wp14:editId="5E8BD470">
                <wp:simplePos x="0" y="0"/>
                <wp:positionH relativeFrom="column">
                  <wp:posOffset>2734945</wp:posOffset>
                </wp:positionH>
                <wp:positionV relativeFrom="paragraph">
                  <wp:posOffset>4384675</wp:posOffset>
                </wp:positionV>
                <wp:extent cx="6350" cy="741680"/>
                <wp:effectExtent l="48895" t="10795" r="59055" b="1905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7416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E1B962" id="Straight Arrow Connector 206" o:spid="_x0000_s1026" type="#_x0000_t32" style="position:absolute;margin-left:215.35pt;margin-top:345.25pt;width:.5pt;height:58.4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">
                <v:stroke endarrow="block"/>
                <v:shadow color="#ccc"/>
              </v:shape>
            </w:pict>
          </mc:Fallback>
        </mc:AlternateContent>
      </w:r>
      <w:r w:rsidR="00BE1E94" w:rsidRPr="00376AB2">
        <w:rPr>
          <w:rFonts w:eastAsia="Times New Roman" w:cs="Times New Roman"/>
          <w:noProof/>
          <w:sz w:val="24"/>
          <w:szCs w:val="24"/>
          <w:lang w:eastAsia="en-GB"/>
        </w:rPr>
        <mc:AlternateContent>
          <mc:Choice Requires="wps">
            <w:drawing>
              <wp:anchor distT="36576" distB="36576" distL="36576" distR="36576" simplePos="0" relativeHeight="251673600" behindDoc="0" locked="0" layoutInCell="1" allowOverlap="1" wp14:anchorId="266D7A93" wp14:editId="2DA84122">
                <wp:simplePos x="0" y="0"/>
                <wp:positionH relativeFrom="column">
                  <wp:posOffset>3592195</wp:posOffset>
                </wp:positionH>
                <wp:positionV relativeFrom="paragraph">
                  <wp:posOffset>4038600</wp:posOffset>
                </wp:positionV>
                <wp:extent cx="429260" cy="3175"/>
                <wp:effectExtent l="10795" t="55245" r="17145" b="5588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260" cy="31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4D734E" id="Straight Arrow Connector 205" o:spid="_x0000_s1026" type="#_x0000_t32" style="position:absolute;margin-left:282.85pt;margin-top:318pt;width:33.8pt;height:.25pt;flip:y;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">
                <v:stroke endarrow="block"/>
                <v:shadow color="#ccc"/>
              </v:shape>
            </w:pict>
          </mc:Fallback>
        </mc:AlternateContent>
      </w:r>
      <w:r w:rsidRPr="00376AB2">
        <w:rPr>
          <w:rFonts w:eastAsia="Times New Roman" w:cs="Times New Roman"/>
          <w:noProof/>
          <w:sz w:val="24"/>
          <w:szCs w:val="24"/>
          <w:lang w:eastAsia="en-GB"/>
        </w:rPr>
        <mc:AlternateContent>
          <mc:Choice Requires="wps">
            <w:drawing>
              <wp:anchor distT="36576" distB="36576" distL="36576" distR="36576" simplePos="0" relativeHeight="251671552" behindDoc="0" locked="0" layoutInCell="1" allowOverlap="1" wp14:anchorId="266E62E2" wp14:editId="73DED5A9">
                <wp:simplePos x="0" y="0"/>
                <wp:positionH relativeFrom="column">
                  <wp:posOffset>3578225</wp:posOffset>
                </wp:positionH>
                <wp:positionV relativeFrom="paragraph">
                  <wp:posOffset>2697480</wp:posOffset>
                </wp:positionV>
                <wp:extent cx="609600" cy="5715"/>
                <wp:effectExtent l="6350" t="57150" r="22225" b="51435"/>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57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EF9E91" id="Straight Arrow Connector 203" o:spid="_x0000_s1026" type="#_x0000_t32" style="position:absolute;margin-left:281.75pt;margin-top:212.4pt;width:48pt;height:.45pt;flip:y;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">
                <v:stroke endarrow="block"/>
                <v:shadow color="#ccc"/>
              </v:shape>
            </w:pict>
          </mc:Fallback>
        </mc:AlternateContent>
      </w:r>
      <w:r w:rsidRPr="00376AB2">
        <w:rPr>
          <w:rFonts w:eastAsia="Times New Roman" w:cs="Times New Roman"/>
          <w:noProof/>
          <w:sz w:val="24"/>
          <w:szCs w:val="24"/>
          <w:lang w:eastAsia="en-GB"/>
        </w:rPr>
        <mc:AlternateContent>
          <mc:Choice Requires="wps">
            <w:drawing>
              <wp:anchor distT="0" distB="0" distL="114300" distR="114300" simplePos="0" relativeHeight="251657216" behindDoc="0" locked="0" layoutInCell="1" allowOverlap="1" wp14:anchorId="73D43757" wp14:editId="764A0181">
                <wp:simplePos x="0" y="0"/>
                <wp:positionH relativeFrom="column">
                  <wp:posOffset>4187825</wp:posOffset>
                </wp:positionH>
                <wp:positionV relativeFrom="paragraph">
                  <wp:posOffset>2411730</wp:posOffset>
                </wp:positionV>
                <wp:extent cx="1714500" cy="571500"/>
                <wp:effectExtent l="6350" t="9525" r="12700" b="952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45A194BA" w14:textId="77777777" w:rsidR="00741B5A" w:rsidRDefault="00741B5A" w:rsidP="00376AB2">
                            <w:pPr>
                              <w:spacing w:line="240" w:lineRule="auto"/>
                              <w:jc w:val="center"/>
                              <w:rPr>
                                <w:rFonts w:ascii="Calibri" w:hAnsi="Calibri"/>
                                <w:lang w:val="en"/>
                              </w:rPr>
                            </w:pPr>
                            <w:r>
                              <w:rPr>
                                <w:rFonts w:ascii="Calibri" w:hAnsi="Calibri"/>
                              </w:rPr>
                              <w:t>Titles/abstracts excluded</w:t>
                            </w:r>
                            <w:r>
                              <w:rPr>
                                <w:rFonts w:ascii="Calibri" w:hAnsi="Calibri"/>
                              </w:rPr>
                              <w:br/>
                              <w:t>(n = 8350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43757" id="Rectangle 202" o:spid="_x0000_s1027" style="position:absolute;margin-left:329.75pt;margin-top:189.9pt;width:13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">
                <v:textbox inset=",7.2pt,,7.2pt">
                  <w:txbxContent>
                    <w:p w14:paraId="45A194BA" w14:textId="77777777" w:rsidR="00741B5A" w:rsidRDefault="00741B5A" w:rsidP="00376AB2">
                      <w:pPr>
                        <w:spacing w:line="240" w:lineRule="auto"/>
                        <w:jc w:val="center"/>
                        <w:rPr>
                          <w:rFonts w:ascii="Calibri" w:hAnsi="Calibri"/>
                          <w:lang w:val="en"/>
                        </w:rPr>
                      </w:pPr>
                      <w:r>
                        <w:rPr>
                          <w:rFonts w:ascii="Calibri" w:hAnsi="Calibri"/>
                        </w:rPr>
                        <w:t>Titles/abstracts excluded</w:t>
                      </w:r>
                      <w:r>
                        <w:rPr>
                          <w:rFonts w:ascii="Calibri" w:hAnsi="Calibri"/>
                        </w:rPr>
                        <w:br/>
                        <w:t>(n = 8350  )</w:t>
                      </w:r>
                    </w:p>
                  </w:txbxContent>
                </v:textbox>
              </v:rect>
            </w:pict>
          </mc:Fallback>
        </mc:AlternateContent>
      </w:r>
      <w:r w:rsidRPr="00376AB2">
        <w:rPr>
          <w:rFonts w:eastAsia="Times New Roman" w:cs="Times New Roman"/>
          <w:noProof/>
          <w:sz w:val="24"/>
          <w:szCs w:val="24"/>
          <w:lang w:eastAsia="en-GB"/>
        </w:rPr>
        <mc:AlternateContent>
          <mc:Choice Requires="wps">
            <w:drawing>
              <wp:anchor distT="36576" distB="36576" distL="36576" distR="36576" simplePos="0" relativeHeight="251663360" behindDoc="0" locked="0" layoutInCell="1" allowOverlap="1" wp14:anchorId="2F5BEA22" wp14:editId="01ED0F01">
                <wp:simplePos x="0" y="0"/>
                <wp:positionH relativeFrom="column">
                  <wp:posOffset>2743200</wp:posOffset>
                </wp:positionH>
                <wp:positionV relativeFrom="paragraph">
                  <wp:posOffset>2200275</wp:posOffset>
                </wp:positionV>
                <wp:extent cx="0" cy="222885"/>
                <wp:effectExtent l="57150" t="7620" r="57150" b="17145"/>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C38B1A" id="Straight Arrow Connector 201" o:spid="_x0000_s1026" type="#_x0000_t32" style="position:absolute;margin-left:3in;margin-top:173.25pt;width:0;height:17.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">
                <v:stroke endarrow="block"/>
                <v:shadow color="#ccc"/>
              </v:shape>
            </w:pict>
          </mc:Fallback>
        </mc:AlternateContent>
      </w:r>
      <w:r w:rsidRPr="00376AB2">
        <w:rPr>
          <w:rFonts w:eastAsia="Times New Roman" w:cs="Times New Roman"/>
          <w:noProof/>
          <w:sz w:val="24"/>
          <w:szCs w:val="24"/>
          <w:lang w:eastAsia="en-GB"/>
        </w:rPr>
        <mc:AlternateContent>
          <mc:Choice Requires="wps">
            <w:drawing>
              <wp:anchor distT="36576" distB="36576" distL="36576" distR="36576" simplePos="0" relativeHeight="251665408" behindDoc="0" locked="0" layoutInCell="1" allowOverlap="1" wp14:anchorId="7431F8FC" wp14:editId="5F2CDD4E">
                <wp:simplePos x="0" y="0"/>
                <wp:positionH relativeFrom="column">
                  <wp:posOffset>2734945</wp:posOffset>
                </wp:positionH>
                <wp:positionV relativeFrom="paragraph">
                  <wp:posOffset>2983230</wp:posOffset>
                </wp:positionV>
                <wp:extent cx="8255" cy="715645"/>
                <wp:effectExtent l="58420" t="9525" r="47625" b="17780"/>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7156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5ED502" id="Straight Arrow Connector 200" o:spid="_x0000_s1026" type="#_x0000_t32" style="position:absolute;margin-left:215.35pt;margin-top:234.9pt;width:.65pt;height:56.35pt;flip:x;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">
                <v:stroke endarrow="block"/>
                <v:shadow color="#ccc"/>
              </v:shape>
            </w:pict>
          </mc:Fallback>
        </mc:AlternateContent>
      </w:r>
      <w:r w:rsidRPr="00376AB2">
        <w:rPr>
          <w:rFonts w:eastAsia="Times New Roman" w:cs="Times New Roman"/>
          <w:noProof/>
          <w:sz w:val="24"/>
          <w:szCs w:val="24"/>
          <w:lang w:eastAsia="en-GB"/>
        </w:rPr>
        <mc:AlternateContent>
          <mc:Choice Requires="wps">
            <w:drawing>
              <wp:anchor distT="0" distB="0" distL="114300" distR="114300" simplePos="0" relativeHeight="251655168" behindDoc="0" locked="0" layoutInCell="1" allowOverlap="1" wp14:anchorId="3C29C532" wp14:editId="36E717FD">
                <wp:simplePos x="0" y="0"/>
                <wp:positionH relativeFrom="column">
                  <wp:posOffset>1908175</wp:posOffset>
                </wp:positionH>
                <wp:positionV relativeFrom="paragraph">
                  <wp:posOffset>2423160</wp:posOffset>
                </wp:positionV>
                <wp:extent cx="1670050" cy="560070"/>
                <wp:effectExtent l="12700" t="11430" r="12700" b="952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60070"/>
                        </a:xfrm>
                        <a:prstGeom prst="rect">
                          <a:avLst/>
                        </a:prstGeom>
                        <a:solidFill>
                          <a:srgbClr val="FFFFFF"/>
                        </a:solidFill>
                        <a:ln w="9525">
                          <a:solidFill>
                            <a:srgbClr val="000000"/>
                          </a:solidFill>
                          <a:miter lim="800000"/>
                          <a:headEnd/>
                          <a:tailEnd/>
                        </a:ln>
                      </wps:spPr>
                      <wps:txbx>
                        <w:txbxContent>
                          <w:p w14:paraId="62D36B6D" w14:textId="77777777" w:rsidR="00741B5A" w:rsidRDefault="00741B5A" w:rsidP="00376AB2">
                            <w:pPr>
                              <w:spacing w:line="240" w:lineRule="auto"/>
                              <w:jc w:val="center"/>
                              <w:rPr>
                                <w:rFonts w:ascii="Calibri" w:hAnsi="Calibri"/>
                                <w:lang w:val="en"/>
                              </w:rPr>
                            </w:pPr>
                            <w:r>
                              <w:rPr>
                                <w:rFonts w:ascii="Calibri" w:hAnsi="Calibri"/>
                              </w:rPr>
                              <w:t>Records screened</w:t>
                            </w:r>
                            <w:r>
                              <w:rPr>
                                <w:rFonts w:ascii="Calibri" w:hAnsi="Calibri"/>
                              </w:rPr>
                              <w:br/>
                              <w:t>(n = 8549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9C532" id="Rectangle 199" o:spid="_x0000_s1028" style="position:absolute;margin-left:150.25pt;margin-top:190.8pt;width:131.5pt;height:4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">
                <v:textbox inset=",7.2pt,,7.2pt">
                  <w:txbxContent>
                    <w:p w14:paraId="62D36B6D" w14:textId="77777777" w:rsidR="00741B5A" w:rsidRDefault="00741B5A" w:rsidP="00376AB2">
                      <w:pPr>
                        <w:spacing w:line="240" w:lineRule="auto"/>
                        <w:jc w:val="center"/>
                        <w:rPr>
                          <w:rFonts w:ascii="Calibri" w:hAnsi="Calibri"/>
                          <w:lang w:val="en"/>
                        </w:rPr>
                      </w:pPr>
                      <w:r>
                        <w:rPr>
                          <w:rFonts w:ascii="Calibri" w:hAnsi="Calibri"/>
                        </w:rPr>
                        <w:t>Records screened</w:t>
                      </w:r>
                      <w:r>
                        <w:rPr>
                          <w:rFonts w:ascii="Calibri" w:hAnsi="Calibri"/>
                        </w:rPr>
                        <w:br/>
                        <w:t>(n = 8549  )</w:t>
                      </w:r>
                    </w:p>
                  </w:txbxContent>
                </v:textbox>
              </v:rect>
            </w:pict>
          </mc:Fallback>
        </mc:AlternateContent>
      </w:r>
      <w:r w:rsidRPr="00376AB2">
        <w:rPr>
          <w:rFonts w:eastAsia="Times New Roman" w:cs="Times New Roman"/>
          <w:noProof/>
          <w:sz w:val="24"/>
          <w:szCs w:val="24"/>
          <w:lang w:eastAsia="en-GB"/>
        </w:rPr>
        <mc:AlternateContent>
          <mc:Choice Requires="wps">
            <w:drawing>
              <wp:anchor distT="36576" distB="36576" distL="36576" distR="36576" simplePos="0" relativeHeight="251646976" behindDoc="0" locked="0" layoutInCell="1" allowOverlap="1" wp14:anchorId="297EED80" wp14:editId="7B8A2FED">
                <wp:simplePos x="0" y="0"/>
                <wp:positionH relativeFrom="column">
                  <wp:posOffset>3938270</wp:posOffset>
                </wp:positionH>
                <wp:positionV relativeFrom="paragraph">
                  <wp:posOffset>1172210</wp:posOffset>
                </wp:positionV>
                <wp:extent cx="0" cy="456565"/>
                <wp:effectExtent l="61595" t="8255" r="52705" b="2095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DB3C5A" id="Straight Arrow Connector 198" o:spid="_x0000_s1026" type="#_x0000_t32" style="position:absolute;margin-left:310.1pt;margin-top:92.3pt;width:0;height:35.9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">
                <v:stroke endarrow="block"/>
                <v:shadow color="#ccc"/>
              </v:shape>
            </w:pict>
          </mc:Fallback>
        </mc:AlternateContent>
      </w:r>
      <w:r w:rsidRPr="00376AB2">
        <w:rPr>
          <w:rFonts w:eastAsia="Times New Roman" w:cs="Times New Roman"/>
          <w:noProof/>
          <w:sz w:val="24"/>
          <w:szCs w:val="24"/>
          <w:lang w:eastAsia="en-GB"/>
        </w:rPr>
        <mc:AlternateContent>
          <mc:Choice Requires="wps">
            <w:drawing>
              <wp:anchor distT="0" distB="0" distL="114300" distR="114300" simplePos="0" relativeHeight="251653120" behindDoc="0" locked="0" layoutInCell="1" allowOverlap="1" wp14:anchorId="29665CCA" wp14:editId="42689F05">
                <wp:simplePos x="0" y="0"/>
                <wp:positionH relativeFrom="column">
                  <wp:posOffset>1356995</wp:posOffset>
                </wp:positionH>
                <wp:positionV relativeFrom="paragraph">
                  <wp:posOffset>1628775</wp:posOffset>
                </wp:positionV>
                <wp:extent cx="2771775" cy="571500"/>
                <wp:effectExtent l="13970" t="7620" r="5080" b="1143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5DCD361C" w14:textId="77777777" w:rsidR="00741B5A" w:rsidRDefault="00741B5A" w:rsidP="00376AB2">
                            <w:pPr>
                              <w:spacing w:line="240" w:lineRule="auto"/>
                              <w:jc w:val="center"/>
                              <w:rPr>
                                <w:rFonts w:ascii="Calibri" w:hAnsi="Calibri"/>
                                <w:lang w:val="en"/>
                              </w:rPr>
                            </w:pPr>
                            <w:r>
                              <w:rPr>
                                <w:rFonts w:ascii="Calibri" w:hAnsi="Calibri"/>
                              </w:rPr>
                              <w:t xml:space="preserve">Records after duplicates (n = 268) removed </w:t>
                            </w:r>
                            <w:r>
                              <w:rPr>
                                <w:rFonts w:ascii="Calibri" w:hAnsi="Calibri"/>
                              </w:rPr>
                              <w:br/>
                              <w:t>(n = 8549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65CCA" id="Rectangle 195" o:spid="_x0000_s1029" style="position:absolute;margin-left:106.85pt;margin-top:128.25pt;width:218.2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">
                <v:textbox inset=",7.2pt,,7.2pt">
                  <w:txbxContent>
                    <w:p w14:paraId="5DCD361C" w14:textId="77777777" w:rsidR="00741B5A" w:rsidRDefault="00741B5A" w:rsidP="00376AB2">
                      <w:pPr>
                        <w:spacing w:line="240" w:lineRule="auto"/>
                        <w:jc w:val="center"/>
                        <w:rPr>
                          <w:rFonts w:ascii="Calibri" w:hAnsi="Calibri"/>
                          <w:lang w:val="en"/>
                        </w:rPr>
                      </w:pPr>
                      <w:r>
                        <w:rPr>
                          <w:rFonts w:ascii="Calibri" w:hAnsi="Calibri"/>
                        </w:rPr>
                        <w:t xml:space="preserve">Records after duplicates (n = 268) removed </w:t>
                      </w:r>
                      <w:r>
                        <w:rPr>
                          <w:rFonts w:ascii="Calibri" w:hAnsi="Calibri"/>
                        </w:rPr>
                        <w:br/>
                        <w:t>(n = 8549  )</w:t>
                      </w:r>
                    </w:p>
                  </w:txbxContent>
                </v:textbox>
              </v:rect>
            </w:pict>
          </mc:Fallback>
        </mc:AlternateContent>
      </w:r>
      <w:r w:rsidRPr="00376AB2">
        <w:rPr>
          <w:rFonts w:eastAsia="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129C1552" wp14:editId="740C369E">
                <wp:simplePos x="0" y="0"/>
                <wp:positionH relativeFrom="column">
                  <wp:posOffset>1877695</wp:posOffset>
                </wp:positionH>
                <wp:positionV relativeFrom="paragraph">
                  <wp:posOffset>3698875</wp:posOffset>
                </wp:positionV>
                <wp:extent cx="1714500" cy="685800"/>
                <wp:effectExtent l="10795" t="10795" r="8255" b="825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6B206E72" w14:textId="77777777" w:rsidR="00741B5A" w:rsidRDefault="00741B5A" w:rsidP="00376AB2">
                            <w:pPr>
                              <w:spacing w:line="240" w:lineRule="auto"/>
                              <w:jc w:val="center"/>
                              <w:rPr>
                                <w:rFonts w:ascii="Calibri" w:hAnsi="Calibri"/>
                                <w:lang w:val="en"/>
                              </w:rPr>
                            </w:pPr>
                            <w:r>
                              <w:rPr>
                                <w:rFonts w:ascii="Calibri" w:hAnsi="Calibri"/>
                              </w:rPr>
                              <w:t>Full-text articles assessed for eligibility</w:t>
                            </w:r>
                            <w:r>
                              <w:rPr>
                                <w:rFonts w:ascii="Calibri" w:hAnsi="Calibri"/>
                              </w:rPr>
                              <w:br/>
                              <w:t>(n = 199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C1552" id="Rectangle 193" o:spid="_x0000_s1030" style="position:absolute;margin-left:147.85pt;margin-top:291.25pt;width:13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">
                <v:textbox inset=",7.2pt,,7.2pt">
                  <w:txbxContent>
                    <w:p w14:paraId="6B206E72" w14:textId="77777777" w:rsidR="00741B5A" w:rsidRDefault="00741B5A" w:rsidP="00376AB2">
                      <w:pPr>
                        <w:spacing w:line="240" w:lineRule="auto"/>
                        <w:jc w:val="center"/>
                        <w:rPr>
                          <w:rFonts w:ascii="Calibri" w:hAnsi="Calibri"/>
                          <w:lang w:val="en"/>
                        </w:rPr>
                      </w:pPr>
                      <w:r>
                        <w:rPr>
                          <w:rFonts w:ascii="Calibri" w:hAnsi="Calibri"/>
                        </w:rPr>
                        <w:t>Full-text articles assessed for eligibility</w:t>
                      </w:r>
                      <w:r>
                        <w:rPr>
                          <w:rFonts w:ascii="Calibri" w:hAnsi="Calibri"/>
                        </w:rPr>
                        <w:br/>
                        <w:t>(n = 199  )</w:t>
                      </w:r>
                    </w:p>
                  </w:txbxContent>
                </v:textbox>
              </v:rect>
            </w:pict>
          </mc:Fallback>
        </mc:AlternateContent>
      </w:r>
      <w:r w:rsidRPr="00376AB2">
        <w:rPr>
          <w:rFonts w:eastAsia="Times New Roman" w:cs="Times New Roman"/>
          <w:noProof/>
          <w:sz w:val="24"/>
          <w:szCs w:val="24"/>
          <w:lang w:eastAsia="en-GB"/>
        </w:rPr>
        <mc:AlternateContent>
          <mc:Choice Requires="wps">
            <w:drawing>
              <wp:anchor distT="0" distB="0" distL="114300" distR="114300" simplePos="0" relativeHeight="251649024" behindDoc="0" locked="0" layoutInCell="1" allowOverlap="1" wp14:anchorId="08EAA29D" wp14:editId="11EC83A1">
                <wp:simplePos x="0" y="0"/>
                <wp:positionH relativeFrom="column">
                  <wp:posOffset>-994410</wp:posOffset>
                </wp:positionH>
                <wp:positionV relativeFrom="paragraph">
                  <wp:posOffset>1120140</wp:posOffset>
                </wp:positionV>
                <wp:extent cx="1371600" cy="297180"/>
                <wp:effectExtent l="9525" t="9525" r="7620" b="9525"/>
                <wp:wrapNone/>
                <wp:docPr id="192" name="Rounded 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563A03AC" w14:textId="77777777" w:rsidR="00741B5A" w:rsidRPr="002B55B2" w:rsidRDefault="00741B5A" w:rsidP="002B55B2">
                            <w:pPr>
                              <w:jc w:val="center"/>
                              <w:rPr>
                                <w:b/>
                                <w:lang w:val="en"/>
                              </w:rPr>
                            </w:pPr>
                            <w:r w:rsidRPr="002B55B2">
                              <w:rPr>
                                <w:b/>
                                <w:lang w:val="en"/>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AA29D" id="Rounded Rectangle 192" o:spid="_x0000_s1031" style="position:absolute;margin-left:-78.3pt;margin-top:88.2pt;width:108pt;height:23.4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" fillcolor="#ccecff">
                <v:textbox style="layout-flow:vertical;mso-layout-flow-alt:bottom-to-top" inset="3.6pt,,3.6pt">
                  <w:txbxContent>
                    <w:p w14:paraId="563A03AC" w14:textId="77777777" w:rsidR="00741B5A" w:rsidRPr="002B55B2" w:rsidRDefault="00741B5A" w:rsidP="002B55B2">
                      <w:pPr>
                        <w:jc w:val="center"/>
                        <w:rPr>
                          <w:b/>
                          <w:lang w:val="en"/>
                        </w:rPr>
                      </w:pPr>
                      <w:r w:rsidRPr="002B55B2">
                        <w:rPr>
                          <w:b/>
                          <w:lang w:val="en"/>
                        </w:rPr>
                        <w:t>Identification</w:t>
                      </w:r>
                    </w:p>
                  </w:txbxContent>
                </v:textbox>
              </v:roundrect>
            </w:pict>
          </mc:Fallback>
        </mc:AlternateContent>
      </w:r>
      <w:r w:rsidRPr="00376AB2">
        <w:rPr>
          <w:rFonts w:eastAsia="Times New Roman" w:cs="Times New Roman"/>
          <w:noProof/>
          <w:sz w:val="24"/>
          <w:szCs w:val="24"/>
          <w:lang w:eastAsia="en-GB"/>
        </w:rPr>
        <mc:AlternateContent>
          <mc:Choice Requires="wps">
            <w:drawing>
              <wp:anchor distT="0" distB="0" distL="114300" distR="114300" simplePos="0" relativeHeight="251644928" behindDoc="0" locked="0" layoutInCell="1" allowOverlap="1" wp14:anchorId="2C6D20E0" wp14:editId="0AA80AA0">
                <wp:simplePos x="0" y="0"/>
                <wp:positionH relativeFrom="column">
                  <wp:posOffset>-994410</wp:posOffset>
                </wp:positionH>
                <wp:positionV relativeFrom="paragraph">
                  <wp:posOffset>4320540</wp:posOffset>
                </wp:positionV>
                <wp:extent cx="1371600" cy="297180"/>
                <wp:effectExtent l="9525" t="9525" r="7620" b="9525"/>
                <wp:wrapNone/>
                <wp:docPr id="191" name="Rounded 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0AABCBDB" w14:textId="77777777" w:rsidR="00741B5A" w:rsidRPr="002B55B2" w:rsidRDefault="00741B5A" w:rsidP="002B55B2">
                            <w:pPr>
                              <w:jc w:val="center"/>
                              <w:rPr>
                                <w:b/>
                                <w:lang w:val="en"/>
                              </w:rPr>
                            </w:pPr>
                            <w:r w:rsidRPr="002B55B2">
                              <w:rPr>
                                <w:b/>
                                <w:lang w:val="en"/>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D20E0" id="Rounded Rectangle 191" o:spid="_x0000_s1032" style="position:absolute;margin-left:-78.3pt;margin-top:340.2pt;width:108pt;height:23.4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" fillcolor="#ccecff">
                <v:textbox style="layout-flow:vertical;mso-layout-flow-alt:bottom-to-top" inset="3.6pt,,3.6pt">
                  <w:txbxContent>
                    <w:p w14:paraId="0AABCBDB" w14:textId="77777777" w:rsidR="00741B5A" w:rsidRPr="002B55B2" w:rsidRDefault="00741B5A" w:rsidP="002B55B2">
                      <w:pPr>
                        <w:jc w:val="center"/>
                        <w:rPr>
                          <w:b/>
                          <w:lang w:val="en"/>
                        </w:rPr>
                      </w:pPr>
                      <w:r w:rsidRPr="002B55B2">
                        <w:rPr>
                          <w:b/>
                          <w:lang w:val="en"/>
                        </w:rPr>
                        <w:t>Eligibility</w:t>
                      </w:r>
                    </w:p>
                  </w:txbxContent>
                </v:textbox>
              </v:roundrect>
            </w:pict>
          </mc:Fallback>
        </mc:AlternateContent>
      </w:r>
      <w:r w:rsidRPr="00376AB2">
        <w:rPr>
          <w:rFonts w:eastAsia="Times New Roman" w:cs="Times New Roman"/>
          <w:noProof/>
          <w:sz w:val="24"/>
          <w:szCs w:val="24"/>
          <w:lang w:eastAsia="en-GB"/>
        </w:rPr>
        <mc:AlternateContent>
          <mc:Choice Requires="wps">
            <w:drawing>
              <wp:anchor distT="0" distB="0" distL="114300" distR="114300" simplePos="0" relativeHeight="251642880" behindDoc="0" locked="0" layoutInCell="1" allowOverlap="1" wp14:anchorId="719301EC" wp14:editId="74B1578C">
                <wp:simplePos x="0" y="0"/>
                <wp:positionH relativeFrom="column">
                  <wp:posOffset>-994410</wp:posOffset>
                </wp:positionH>
                <wp:positionV relativeFrom="paragraph">
                  <wp:posOffset>5920740</wp:posOffset>
                </wp:positionV>
                <wp:extent cx="1371600" cy="297180"/>
                <wp:effectExtent l="9525" t="9525" r="7620" b="9525"/>
                <wp:wrapNone/>
                <wp:docPr id="190" name="Rounded 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7BB85963" w14:textId="77777777" w:rsidR="00741B5A" w:rsidRPr="002B55B2" w:rsidRDefault="00741B5A" w:rsidP="002B55B2">
                            <w:pPr>
                              <w:jc w:val="center"/>
                              <w:rPr>
                                <w:b/>
                                <w:lang w:val="en"/>
                              </w:rPr>
                            </w:pPr>
                            <w:r w:rsidRPr="002B55B2">
                              <w:rPr>
                                <w:b/>
                                <w:lang w:val="en"/>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301EC" id="Rounded Rectangle 190" o:spid="_x0000_s1033" style="position:absolute;margin-left:-78.3pt;margin-top:466.2pt;width:108pt;height:23.4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" fillcolor="#ccecff">
                <v:textbox style="layout-flow:vertical;mso-layout-flow-alt:bottom-to-top" inset="3.6pt,,3.6pt">
                  <w:txbxContent>
                    <w:p w14:paraId="7BB85963" w14:textId="77777777" w:rsidR="00741B5A" w:rsidRPr="002B55B2" w:rsidRDefault="00741B5A" w:rsidP="002B55B2">
                      <w:pPr>
                        <w:jc w:val="center"/>
                        <w:rPr>
                          <w:b/>
                          <w:lang w:val="en"/>
                        </w:rPr>
                      </w:pPr>
                      <w:r w:rsidRPr="002B55B2">
                        <w:rPr>
                          <w:b/>
                          <w:lang w:val="en"/>
                        </w:rPr>
                        <w:t>Included</w:t>
                      </w:r>
                    </w:p>
                  </w:txbxContent>
                </v:textbox>
              </v:roundrect>
            </w:pict>
          </mc:Fallback>
        </mc:AlternateContent>
      </w:r>
      <w:r w:rsidRPr="00376AB2">
        <w:rPr>
          <w:rFonts w:eastAsia="Times New Roman" w:cs="Times New Roman"/>
          <w:noProof/>
          <w:sz w:val="24"/>
          <w:szCs w:val="24"/>
          <w:lang w:eastAsia="en-GB"/>
        </w:rPr>
        <mc:AlternateContent>
          <mc:Choice Requires="wps">
            <w:drawing>
              <wp:anchor distT="0" distB="0" distL="114300" distR="114300" simplePos="0" relativeHeight="251640832" behindDoc="0" locked="0" layoutInCell="1" allowOverlap="1" wp14:anchorId="2FBD9EB1" wp14:editId="0980C084">
                <wp:simplePos x="0" y="0"/>
                <wp:positionH relativeFrom="column">
                  <wp:posOffset>-994410</wp:posOffset>
                </wp:positionH>
                <wp:positionV relativeFrom="paragraph">
                  <wp:posOffset>2720340</wp:posOffset>
                </wp:positionV>
                <wp:extent cx="1371600" cy="297180"/>
                <wp:effectExtent l="9525" t="9525" r="7620" b="9525"/>
                <wp:wrapNone/>
                <wp:docPr id="189" name="Rounded 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6A4A1A15" w14:textId="77777777" w:rsidR="00741B5A" w:rsidRPr="002B55B2" w:rsidRDefault="00741B5A" w:rsidP="002B55B2">
                            <w:pPr>
                              <w:jc w:val="center"/>
                              <w:rPr>
                                <w:b/>
                                <w:lang w:val="en"/>
                              </w:rPr>
                            </w:pPr>
                            <w:r w:rsidRPr="002B55B2">
                              <w:rPr>
                                <w:b/>
                                <w:lang w:val="en"/>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BD9EB1" id="Rounded Rectangle 189" o:spid="_x0000_s1034" style="position:absolute;margin-left:-78.3pt;margin-top:214.2pt;width:108pt;height:23.4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" fillcolor="#ccecff">
                <v:textbox style="layout-flow:vertical;mso-layout-flow-alt:bottom-to-top" inset="3.6pt,,3.6pt">
                  <w:txbxContent>
                    <w:p w14:paraId="6A4A1A15" w14:textId="77777777" w:rsidR="00741B5A" w:rsidRPr="002B55B2" w:rsidRDefault="00741B5A" w:rsidP="002B55B2">
                      <w:pPr>
                        <w:jc w:val="center"/>
                        <w:rPr>
                          <w:b/>
                          <w:lang w:val="en"/>
                        </w:rPr>
                      </w:pPr>
                      <w:r w:rsidRPr="002B55B2">
                        <w:rPr>
                          <w:b/>
                          <w:lang w:val="en"/>
                        </w:rPr>
                        <w:t>Screening</w:t>
                      </w:r>
                    </w:p>
                  </w:txbxContent>
                </v:textbox>
              </v:roundrect>
            </w:pict>
          </mc:Fallback>
        </mc:AlternateContent>
      </w:r>
    </w:p>
    <w:p w14:paraId="2E830EA6" w14:textId="6BAF2E9E" w:rsidR="00376AB2" w:rsidRDefault="00376AB2" w:rsidP="00376AB2">
      <w:pPr>
        <w:spacing w:line="240" w:lineRule="auto"/>
        <w:rPr>
          <w:rFonts w:cs="Times New Roman"/>
        </w:rPr>
      </w:pPr>
    </w:p>
    <w:p w14:paraId="3883AC78" w14:textId="25D306AC" w:rsidR="00686F6B" w:rsidRPr="00BF7F7A" w:rsidRDefault="00BE1E94" w:rsidP="00376AB2">
      <w:pPr>
        <w:spacing w:line="240" w:lineRule="auto"/>
      </w:pPr>
      <w:r w:rsidRPr="00376AB2">
        <w:rPr>
          <w:rFonts w:eastAsia="Times New Roman" w:cs="Times New Roman"/>
          <w:noProof/>
          <w:sz w:val="24"/>
          <w:szCs w:val="24"/>
          <w:lang w:eastAsia="en-GB"/>
        </w:rPr>
        <mc:AlternateContent>
          <mc:Choice Requires="wps">
            <w:drawing>
              <wp:anchor distT="0" distB="0" distL="114300" distR="114300" simplePos="0" relativeHeight="251651072" behindDoc="0" locked="0" layoutInCell="1" allowOverlap="1" wp14:anchorId="056A1548" wp14:editId="40122507">
                <wp:simplePos x="0" y="0"/>
                <wp:positionH relativeFrom="column">
                  <wp:posOffset>2743200</wp:posOffset>
                </wp:positionH>
                <wp:positionV relativeFrom="paragraph">
                  <wp:posOffset>142765</wp:posOffset>
                </wp:positionV>
                <wp:extent cx="2600077" cy="861060"/>
                <wp:effectExtent l="0" t="0" r="10160" b="1524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077" cy="861060"/>
                        </a:xfrm>
                        <a:prstGeom prst="rect">
                          <a:avLst/>
                        </a:prstGeom>
                        <a:solidFill>
                          <a:srgbClr val="FFFFFF"/>
                        </a:solidFill>
                        <a:ln w="9525">
                          <a:solidFill>
                            <a:srgbClr val="000000"/>
                          </a:solidFill>
                          <a:miter lim="800000"/>
                          <a:headEnd/>
                          <a:tailEnd/>
                        </a:ln>
                      </wps:spPr>
                      <wps:txbx>
                        <w:txbxContent>
                          <w:p w14:paraId="63CD2CDB" w14:textId="77777777" w:rsidR="00741B5A" w:rsidRDefault="00741B5A" w:rsidP="00376AB2">
                            <w:pPr>
                              <w:spacing w:line="240" w:lineRule="auto"/>
                              <w:jc w:val="center"/>
                              <w:rPr>
                                <w:rFonts w:ascii="Calibri" w:hAnsi="Calibri"/>
                              </w:rPr>
                            </w:pPr>
                            <w:r>
                              <w:rPr>
                                <w:rFonts w:ascii="Calibri" w:hAnsi="Calibri"/>
                              </w:rPr>
                              <w:t>Records identified through other sources</w:t>
                            </w:r>
                            <w:r>
                              <w:rPr>
                                <w:rFonts w:ascii="Calibri" w:hAnsi="Calibri"/>
                              </w:rPr>
                              <w:br/>
                              <w:t>(n = 41  )</w:t>
                            </w:r>
                          </w:p>
                          <w:p w14:paraId="513EBBDA" w14:textId="77777777" w:rsidR="00741B5A" w:rsidRDefault="00741B5A" w:rsidP="00376AB2">
                            <w:pPr>
                              <w:spacing w:line="240" w:lineRule="auto"/>
                              <w:jc w:val="center"/>
                              <w:rPr>
                                <w:rFonts w:ascii="Calibri" w:hAnsi="Calibri"/>
                              </w:rPr>
                            </w:pPr>
                            <w:r>
                              <w:rPr>
                                <w:rFonts w:ascii="Calibri" w:hAnsi="Calibri"/>
                              </w:rPr>
                              <w:t>Contact with experts n = 16</w:t>
                            </w:r>
                          </w:p>
                          <w:p w14:paraId="6EB9826B" w14:textId="77777777" w:rsidR="00741B5A" w:rsidRDefault="00741B5A" w:rsidP="00376AB2">
                            <w:pPr>
                              <w:spacing w:line="240" w:lineRule="auto"/>
                              <w:jc w:val="center"/>
                              <w:rPr>
                                <w:rFonts w:ascii="Calibri" w:hAnsi="Calibri"/>
                                <w:lang w:val="en"/>
                              </w:rPr>
                            </w:pPr>
                            <w:r>
                              <w:rPr>
                                <w:rFonts w:ascii="Calibri" w:hAnsi="Calibri"/>
                              </w:rPr>
                              <w:t>Bibliography checking n = 25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A1548" id="Rectangle 197" o:spid="_x0000_s1035" style="position:absolute;margin-left:3in;margin-top:11.25pt;width:204.75pt;height:67.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">
                <v:textbox inset=",7.2pt,,7.2pt">
                  <w:txbxContent>
                    <w:p w14:paraId="63CD2CDB" w14:textId="77777777" w:rsidR="00741B5A" w:rsidRDefault="00741B5A" w:rsidP="00376AB2">
                      <w:pPr>
                        <w:spacing w:line="240" w:lineRule="auto"/>
                        <w:jc w:val="center"/>
                        <w:rPr>
                          <w:rFonts w:ascii="Calibri" w:hAnsi="Calibri"/>
                        </w:rPr>
                      </w:pPr>
                      <w:r>
                        <w:rPr>
                          <w:rFonts w:ascii="Calibri" w:hAnsi="Calibri"/>
                        </w:rPr>
                        <w:t>Records identified through other sources</w:t>
                      </w:r>
                      <w:r>
                        <w:rPr>
                          <w:rFonts w:ascii="Calibri" w:hAnsi="Calibri"/>
                        </w:rPr>
                        <w:br/>
                        <w:t>(n = 41  )</w:t>
                      </w:r>
                    </w:p>
                    <w:p w14:paraId="513EBBDA" w14:textId="77777777" w:rsidR="00741B5A" w:rsidRDefault="00741B5A" w:rsidP="00376AB2">
                      <w:pPr>
                        <w:spacing w:line="240" w:lineRule="auto"/>
                        <w:jc w:val="center"/>
                        <w:rPr>
                          <w:rFonts w:ascii="Calibri" w:hAnsi="Calibri"/>
                        </w:rPr>
                      </w:pPr>
                      <w:r>
                        <w:rPr>
                          <w:rFonts w:ascii="Calibri" w:hAnsi="Calibri"/>
                        </w:rPr>
                        <w:t>Contact with experts n = 16</w:t>
                      </w:r>
                    </w:p>
                    <w:p w14:paraId="6EB9826B" w14:textId="77777777" w:rsidR="00741B5A" w:rsidRDefault="00741B5A" w:rsidP="00376AB2">
                      <w:pPr>
                        <w:spacing w:line="240" w:lineRule="auto"/>
                        <w:jc w:val="center"/>
                        <w:rPr>
                          <w:rFonts w:ascii="Calibri" w:hAnsi="Calibri"/>
                          <w:lang w:val="en"/>
                        </w:rPr>
                      </w:pPr>
                      <w:r>
                        <w:rPr>
                          <w:rFonts w:ascii="Calibri" w:hAnsi="Calibri"/>
                        </w:rPr>
                        <w:t>Bibliography checking n = 25</w:t>
                      </w:r>
                    </w:p>
                  </w:txbxContent>
                </v:textbox>
              </v:rect>
            </w:pict>
          </mc:Fallback>
        </mc:AlternateContent>
      </w:r>
    </w:p>
    <w:p w14:paraId="549AD51F" w14:textId="1779AE08" w:rsidR="007E365F" w:rsidRDefault="00B6521E" w:rsidP="00376AB2">
      <w:pPr>
        <w:spacing w:line="240" w:lineRule="auto"/>
        <w:rPr>
          <w:rFonts w:eastAsiaTheme="majorEastAsia" w:cs="Times New Roman"/>
          <w:b/>
          <w:sz w:val="32"/>
          <w:szCs w:val="32"/>
        </w:rPr>
      </w:pPr>
      <w:r w:rsidRPr="00376AB2">
        <w:rPr>
          <w:rFonts w:eastAsia="Times New Roman" w:cs="Times New Roman"/>
          <w:noProof/>
          <w:sz w:val="24"/>
          <w:szCs w:val="24"/>
          <w:lang w:eastAsia="en-GB"/>
        </w:rPr>
        <mc:AlternateContent>
          <mc:Choice Requires="wps">
            <w:drawing>
              <wp:anchor distT="0" distB="0" distL="114300" distR="114300" simplePos="0" relativeHeight="251674624" behindDoc="0" locked="0" layoutInCell="1" allowOverlap="1" wp14:anchorId="740AF16C" wp14:editId="12B1891C">
                <wp:simplePos x="0" y="0"/>
                <wp:positionH relativeFrom="column">
                  <wp:posOffset>349857</wp:posOffset>
                </wp:positionH>
                <wp:positionV relativeFrom="paragraph">
                  <wp:posOffset>5470636</wp:posOffset>
                </wp:positionV>
                <wp:extent cx="2429510" cy="915670"/>
                <wp:effectExtent l="0" t="0" r="27940" b="1778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9156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136C33" w14:textId="1F0F1CA4" w:rsidR="00741B5A" w:rsidRPr="001D1C67" w:rsidRDefault="00741B5A" w:rsidP="00376AB2">
                            <w:pPr>
                              <w:spacing w:line="240" w:lineRule="auto"/>
                              <w:rPr>
                                <w:rFonts w:ascii="Calibri" w:hAnsi="Calibri"/>
                                <w:lang w:val="pt-PT"/>
                              </w:rPr>
                            </w:pPr>
                            <w:r w:rsidRPr="001D1C67">
                              <w:rPr>
                                <w:rFonts w:ascii="Calibri" w:hAnsi="Calibri"/>
                                <w:lang w:val="pt-PT"/>
                              </w:rPr>
                              <w:t>Incidence/prevalence</w:t>
                            </w:r>
                            <w:r w:rsidRPr="001D1C67">
                              <w:rPr>
                                <w:rFonts w:ascii="Calibri" w:hAnsi="Calibri"/>
                                <w:lang w:val="pt-PT"/>
                              </w:rPr>
                              <w:tab/>
                              <w:t>( n = 69 )</w:t>
                            </w:r>
                          </w:p>
                          <w:p w14:paraId="2B2AD544" w14:textId="73CBA5A3" w:rsidR="00741B5A" w:rsidRPr="001D1C67" w:rsidRDefault="00741B5A" w:rsidP="00376AB2">
                            <w:pPr>
                              <w:spacing w:line="240" w:lineRule="auto"/>
                              <w:rPr>
                                <w:rFonts w:ascii="Calibri" w:hAnsi="Calibri"/>
                                <w:lang w:val="pt-PT"/>
                              </w:rPr>
                            </w:pPr>
                            <w:r w:rsidRPr="001D1C67">
                              <w:rPr>
                                <w:rFonts w:ascii="Calibri" w:hAnsi="Calibri"/>
                                <w:lang w:val="pt-PT"/>
                              </w:rPr>
                              <w:t xml:space="preserve">Risk via surgery </w:t>
                            </w:r>
                            <w:r w:rsidRPr="001D1C67">
                              <w:rPr>
                                <w:rFonts w:ascii="Calibri" w:hAnsi="Calibri"/>
                                <w:lang w:val="pt-PT"/>
                              </w:rPr>
                              <w:tab/>
                            </w:r>
                            <w:r w:rsidRPr="001D1C67">
                              <w:rPr>
                                <w:rFonts w:ascii="Calibri" w:hAnsi="Calibri"/>
                                <w:lang w:val="pt-PT"/>
                              </w:rPr>
                              <w:tab/>
                              <w:t>( n = 35 )</w:t>
                            </w:r>
                          </w:p>
                          <w:p w14:paraId="25446B65" w14:textId="644FBAA8" w:rsidR="00741B5A" w:rsidRDefault="00741B5A" w:rsidP="00376AB2">
                            <w:pPr>
                              <w:spacing w:line="240" w:lineRule="auto"/>
                              <w:rPr>
                                <w:rFonts w:ascii="Calibri" w:hAnsi="Calibri"/>
                              </w:rPr>
                            </w:pPr>
                            <w:r>
                              <w:rPr>
                                <w:rFonts w:ascii="Calibri" w:hAnsi="Calibri"/>
                              </w:rPr>
                              <w:t xml:space="preserve">Incubation </w:t>
                            </w:r>
                            <w:r>
                              <w:rPr>
                                <w:rFonts w:ascii="Calibri" w:hAnsi="Calibri"/>
                              </w:rPr>
                              <w:tab/>
                            </w:r>
                            <w:r>
                              <w:rPr>
                                <w:rFonts w:ascii="Calibri" w:hAnsi="Calibri"/>
                              </w:rPr>
                              <w:tab/>
                              <w:t>( n = 19 )</w:t>
                            </w:r>
                          </w:p>
                          <w:p w14:paraId="4CD8C56D" w14:textId="65E93455" w:rsidR="00741B5A" w:rsidRPr="007160D7" w:rsidRDefault="00741B5A" w:rsidP="00376AB2">
                            <w:pPr>
                              <w:spacing w:line="240" w:lineRule="auto"/>
                              <w:rPr>
                                <w:rFonts w:ascii="Calibri" w:hAnsi="Calibri"/>
                              </w:rPr>
                            </w:pPr>
                            <w:r>
                              <w:rPr>
                                <w:rFonts w:ascii="Calibri" w:hAnsi="Calibri"/>
                              </w:rPr>
                              <w:t xml:space="preserve">Infectivity </w:t>
                            </w:r>
                            <w:r>
                              <w:rPr>
                                <w:rFonts w:ascii="Calibri" w:hAnsi="Calibri"/>
                              </w:rPr>
                              <w:tab/>
                            </w:r>
                            <w:r>
                              <w:rPr>
                                <w:rFonts w:ascii="Calibri" w:hAnsi="Calibri"/>
                              </w:rPr>
                              <w:tab/>
                              <w:t>( n = 38 )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AF16C" id="_x0000_t202" coordsize="21600,21600" o:spt="202" path="m,l,21600r21600,l21600,xe">
                <v:stroke joinstyle="miter"/>
                <v:path gradientshapeok="t" o:connecttype="rect"/>
              </v:shapetype>
              <v:shape id="Text Box 209" o:spid="_x0000_s1036" type="#_x0000_t202" style="position:absolute;margin-left:27.55pt;margin-top:430.75pt;width:191.3pt;height:7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">
                <v:textbox inset=",7.2pt,,7.2pt">
                  <w:txbxContent>
                    <w:p w14:paraId="53136C33" w14:textId="1F0F1CA4" w:rsidR="00741B5A" w:rsidRPr="001D1C67" w:rsidRDefault="00741B5A" w:rsidP="00376AB2">
                      <w:pPr>
                        <w:spacing w:line="240" w:lineRule="auto"/>
                        <w:rPr>
                          <w:rFonts w:ascii="Calibri" w:hAnsi="Calibri"/>
                          <w:lang w:val="pt-PT"/>
                        </w:rPr>
                      </w:pPr>
                      <w:r w:rsidRPr="001D1C67">
                        <w:rPr>
                          <w:rFonts w:ascii="Calibri" w:hAnsi="Calibri"/>
                          <w:lang w:val="pt-PT"/>
                        </w:rPr>
                        <w:t>Incidence/prevalence</w:t>
                      </w:r>
                      <w:r w:rsidRPr="001D1C67">
                        <w:rPr>
                          <w:rFonts w:ascii="Calibri" w:hAnsi="Calibri"/>
                          <w:lang w:val="pt-PT"/>
                        </w:rPr>
                        <w:tab/>
                        <w:t>( n = 69 )</w:t>
                      </w:r>
                    </w:p>
                    <w:p w14:paraId="2B2AD544" w14:textId="73CBA5A3" w:rsidR="00741B5A" w:rsidRPr="001D1C67" w:rsidRDefault="00741B5A" w:rsidP="00376AB2">
                      <w:pPr>
                        <w:spacing w:line="240" w:lineRule="auto"/>
                        <w:rPr>
                          <w:rFonts w:ascii="Calibri" w:hAnsi="Calibri"/>
                          <w:lang w:val="pt-PT"/>
                        </w:rPr>
                      </w:pPr>
                      <w:r w:rsidRPr="001D1C67">
                        <w:rPr>
                          <w:rFonts w:ascii="Calibri" w:hAnsi="Calibri"/>
                          <w:lang w:val="pt-PT"/>
                        </w:rPr>
                        <w:t xml:space="preserve">Risk via surgery </w:t>
                      </w:r>
                      <w:r w:rsidRPr="001D1C67">
                        <w:rPr>
                          <w:rFonts w:ascii="Calibri" w:hAnsi="Calibri"/>
                          <w:lang w:val="pt-PT"/>
                        </w:rPr>
                        <w:tab/>
                      </w:r>
                      <w:r w:rsidRPr="001D1C67">
                        <w:rPr>
                          <w:rFonts w:ascii="Calibri" w:hAnsi="Calibri"/>
                          <w:lang w:val="pt-PT"/>
                        </w:rPr>
                        <w:tab/>
                        <w:t>( n = 35 )</w:t>
                      </w:r>
                    </w:p>
                    <w:p w14:paraId="25446B65" w14:textId="644FBAA8" w:rsidR="00741B5A" w:rsidRDefault="00741B5A" w:rsidP="00376AB2">
                      <w:pPr>
                        <w:spacing w:line="240" w:lineRule="auto"/>
                        <w:rPr>
                          <w:rFonts w:ascii="Calibri" w:hAnsi="Calibri"/>
                        </w:rPr>
                      </w:pPr>
                      <w:r>
                        <w:rPr>
                          <w:rFonts w:ascii="Calibri" w:hAnsi="Calibri"/>
                        </w:rPr>
                        <w:t xml:space="preserve">Incubation </w:t>
                      </w:r>
                      <w:r>
                        <w:rPr>
                          <w:rFonts w:ascii="Calibri" w:hAnsi="Calibri"/>
                        </w:rPr>
                        <w:tab/>
                      </w:r>
                      <w:r>
                        <w:rPr>
                          <w:rFonts w:ascii="Calibri" w:hAnsi="Calibri"/>
                        </w:rPr>
                        <w:tab/>
                        <w:t>( n = 19 )</w:t>
                      </w:r>
                    </w:p>
                    <w:p w14:paraId="4CD8C56D" w14:textId="65E93455" w:rsidR="00741B5A" w:rsidRPr="007160D7" w:rsidRDefault="00741B5A" w:rsidP="00376AB2">
                      <w:pPr>
                        <w:spacing w:line="240" w:lineRule="auto"/>
                        <w:rPr>
                          <w:rFonts w:ascii="Calibri" w:hAnsi="Calibri"/>
                        </w:rPr>
                      </w:pPr>
                      <w:r>
                        <w:rPr>
                          <w:rFonts w:ascii="Calibri" w:hAnsi="Calibri"/>
                        </w:rPr>
                        <w:t xml:space="preserve">Infectivity </w:t>
                      </w:r>
                      <w:r>
                        <w:rPr>
                          <w:rFonts w:ascii="Calibri" w:hAnsi="Calibri"/>
                        </w:rPr>
                        <w:tab/>
                      </w:r>
                      <w:r>
                        <w:rPr>
                          <w:rFonts w:ascii="Calibri" w:hAnsi="Calibri"/>
                        </w:rPr>
                        <w:tab/>
                        <w:t>( n = 38 )</w:t>
                      </w:r>
                    </w:p>
                  </w:txbxContent>
                </v:textbox>
              </v:shape>
            </w:pict>
          </mc:Fallback>
        </mc:AlternateContent>
      </w:r>
      <w:r w:rsidR="00634A6D" w:rsidRPr="00376AB2">
        <w:rPr>
          <w:rFonts w:eastAsia="Times New Roman" w:cs="Times New Roman"/>
          <w:noProof/>
          <w:sz w:val="24"/>
          <w:szCs w:val="24"/>
          <w:lang w:eastAsia="en-GB"/>
        </w:rPr>
        <mc:AlternateContent>
          <mc:Choice Requires="wps">
            <w:drawing>
              <wp:anchor distT="0" distB="0" distL="114300" distR="114300" simplePos="0" relativeHeight="251675648" behindDoc="0" locked="0" layoutInCell="1" allowOverlap="1" wp14:anchorId="06CCA60D" wp14:editId="0F79B443">
                <wp:simplePos x="0" y="0"/>
                <wp:positionH relativeFrom="column">
                  <wp:posOffset>2735249</wp:posOffset>
                </wp:positionH>
                <wp:positionV relativeFrom="paragraph">
                  <wp:posOffset>5470635</wp:posOffset>
                </wp:positionV>
                <wp:extent cx="2767054" cy="915670"/>
                <wp:effectExtent l="0" t="0" r="14605" b="1778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054" cy="9156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7DABC5" w14:textId="5EC3E40F" w:rsidR="00741B5A" w:rsidRDefault="00741B5A" w:rsidP="00376AB2">
                            <w:pPr>
                              <w:spacing w:line="240" w:lineRule="auto"/>
                              <w:rPr>
                                <w:rFonts w:ascii="Calibri" w:hAnsi="Calibri"/>
                              </w:rPr>
                            </w:pPr>
                            <w:r>
                              <w:rPr>
                                <w:rFonts w:ascii="Calibri" w:hAnsi="Calibri"/>
                              </w:rPr>
                              <w:t xml:space="preserve">Decontamination </w:t>
                            </w:r>
                            <w:r>
                              <w:rPr>
                                <w:rFonts w:ascii="Calibri" w:hAnsi="Calibri"/>
                              </w:rPr>
                              <w:tab/>
                            </w:r>
                            <w:r>
                              <w:rPr>
                                <w:rFonts w:ascii="Calibri" w:hAnsi="Calibri"/>
                              </w:rPr>
                              <w:tab/>
                              <w:t>( n = 23 )</w:t>
                            </w:r>
                          </w:p>
                          <w:p w14:paraId="28335246" w14:textId="02AFEF6D" w:rsidR="00741B5A" w:rsidRDefault="00741B5A" w:rsidP="00376AB2">
                            <w:pPr>
                              <w:spacing w:line="240" w:lineRule="auto"/>
                              <w:rPr>
                                <w:rFonts w:ascii="Calibri" w:hAnsi="Calibri"/>
                              </w:rPr>
                            </w:pPr>
                            <w:r>
                              <w:rPr>
                                <w:rFonts w:ascii="Calibri" w:hAnsi="Calibri"/>
                              </w:rPr>
                              <w:t xml:space="preserve">Instrument set-keeping </w:t>
                            </w:r>
                            <w:r>
                              <w:rPr>
                                <w:rFonts w:ascii="Calibri" w:hAnsi="Calibri"/>
                              </w:rPr>
                              <w:tab/>
                            </w:r>
                            <w:r>
                              <w:rPr>
                                <w:rFonts w:ascii="Calibri" w:hAnsi="Calibri"/>
                              </w:rPr>
                              <w:tab/>
                              <w:t>( n = 2 )</w:t>
                            </w:r>
                          </w:p>
                          <w:p w14:paraId="53E819A0" w14:textId="13733408" w:rsidR="00741B5A" w:rsidRDefault="00741B5A" w:rsidP="00376AB2">
                            <w:pPr>
                              <w:spacing w:line="240" w:lineRule="auto"/>
                              <w:rPr>
                                <w:rFonts w:ascii="Calibri" w:hAnsi="Calibri"/>
                              </w:rPr>
                            </w:pPr>
                            <w:r>
                              <w:rPr>
                                <w:rFonts w:ascii="Calibri" w:hAnsi="Calibri"/>
                              </w:rPr>
                              <w:t xml:space="preserve">Single-use complications </w:t>
                            </w:r>
                            <w:r>
                              <w:rPr>
                                <w:rFonts w:ascii="Calibri" w:hAnsi="Calibri"/>
                              </w:rPr>
                              <w:tab/>
                              <w:t>( n = 0 )</w:t>
                            </w:r>
                          </w:p>
                          <w:p w14:paraId="0A2BF2EF" w14:textId="44337007" w:rsidR="00741B5A" w:rsidRPr="007160D7" w:rsidRDefault="00741B5A" w:rsidP="00376AB2">
                            <w:pPr>
                              <w:spacing w:line="240" w:lineRule="auto"/>
                              <w:rPr>
                                <w:rFonts w:ascii="Calibri" w:hAnsi="Calibri"/>
                              </w:rPr>
                            </w:pPr>
                            <w:r>
                              <w:rPr>
                                <w:rFonts w:ascii="Calibri" w:hAnsi="Calibri"/>
                              </w:rPr>
                              <w:t xml:space="preserve">Future surgery after high-risk </w:t>
                            </w:r>
                            <w:r>
                              <w:rPr>
                                <w:rFonts w:ascii="Calibri" w:hAnsi="Calibri"/>
                              </w:rPr>
                              <w:tab/>
                              <w:t>( n = 1 )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CA60D" id="Text Box 210" o:spid="_x0000_s1037" type="#_x0000_t202" style="position:absolute;margin-left:215.35pt;margin-top:430.75pt;width:217.9pt;height:7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">
                <v:textbox inset=",7.2pt,,7.2pt">
                  <w:txbxContent>
                    <w:p w14:paraId="187DABC5" w14:textId="5EC3E40F" w:rsidR="00741B5A" w:rsidRDefault="00741B5A" w:rsidP="00376AB2">
                      <w:pPr>
                        <w:spacing w:line="240" w:lineRule="auto"/>
                        <w:rPr>
                          <w:rFonts w:ascii="Calibri" w:hAnsi="Calibri"/>
                        </w:rPr>
                      </w:pPr>
                      <w:r>
                        <w:rPr>
                          <w:rFonts w:ascii="Calibri" w:hAnsi="Calibri"/>
                        </w:rPr>
                        <w:t xml:space="preserve">Decontamination </w:t>
                      </w:r>
                      <w:r>
                        <w:rPr>
                          <w:rFonts w:ascii="Calibri" w:hAnsi="Calibri"/>
                        </w:rPr>
                        <w:tab/>
                      </w:r>
                      <w:r>
                        <w:rPr>
                          <w:rFonts w:ascii="Calibri" w:hAnsi="Calibri"/>
                        </w:rPr>
                        <w:tab/>
                        <w:t>( n = 23 )</w:t>
                      </w:r>
                    </w:p>
                    <w:p w14:paraId="28335246" w14:textId="02AFEF6D" w:rsidR="00741B5A" w:rsidRDefault="00741B5A" w:rsidP="00376AB2">
                      <w:pPr>
                        <w:spacing w:line="240" w:lineRule="auto"/>
                        <w:rPr>
                          <w:rFonts w:ascii="Calibri" w:hAnsi="Calibri"/>
                        </w:rPr>
                      </w:pPr>
                      <w:r>
                        <w:rPr>
                          <w:rFonts w:ascii="Calibri" w:hAnsi="Calibri"/>
                        </w:rPr>
                        <w:t xml:space="preserve">Instrument set-keeping </w:t>
                      </w:r>
                      <w:r>
                        <w:rPr>
                          <w:rFonts w:ascii="Calibri" w:hAnsi="Calibri"/>
                        </w:rPr>
                        <w:tab/>
                      </w:r>
                      <w:r>
                        <w:rPr>
                          <w:rFonts w:ascii="Calibri" w:hAnsi="Calibri"/>
                        </w:rPr>
                        <w:tab/>
                        <w:t>( n = 2 )</w:t>
                      </w:r>
                    </w:p>
                    <w:p w14:paraId="53E819A0" w14:textId="13733408" w:rsidR="00741B5A" w:rsidRDefault="00741B5A" w:rsidP="00376AB2">
                      <w:pPr>
                        <w:spacing w:line="240" w:lineRule="auto"/>
                        <w:rPr>
                          <w:rFonts w:ascii="Calibri" w:hAnsi="Calibri"/>
                        </w:rPr>
                      </w:pPr>
                      <w:r>
                        <w:rPr>
                          <w:rFonts w:ascii="Calibri" w:hAnsi="Calibri"/>
                        </w:rPr>
                        <w:t xml:space="preserve">Single-use complications </w:t>
                      </w:r>
                      <w:r>
                        <w:rPr>
                          <w:rFonts w:ascii="Calibri" w:hAnsi="Calibri"/>
                        </w:rPr>
                        <w:tab/>
                        <w:t>( n = 0 )</w:t>
                      </w:r>
                    </w:p>
                    <w:p w14:paraId="0A2BF2EF" w14:textId="44337007" w:rsidR="00741B5A" w:rsidRPr="007160D7" w:rsidRDefault="00741B5A" w:rsidP="00376AB2">
                      <w:pPr>
                        <w:spacing w:line="240" w:lineRule="auto"/>
                        <w:rPr>
                          <w:rFonts w:ascii="Calibri" w:hAnsi="Calibri"/>
                        </w:rPr>
                      </w:pPr>
                      <w:r>
                        <w:rPr>
                          <w:rFonts w:ascii="Calibri" w:hAnsi="Calibri"/>
                        </w:rPr>
                        <w:t xml:space="preserve">Future surgery after high-risk </w:t>
                      </w:r>
                      <w:r>
                        <w:rPr>
                          <w:rFonts w:ascii="Calibri" w:hAnsi="Calibri"/>
                        </w:rPr>
                        <w:tab/>
                        <w:t>( n = 1 )</w:t>
                      </w:r>
                    </w:p>
                  </w:txbxContent>
                </v:textbox>
              </v:shape>
            </w:pict>
          </mc:Fallback>
        </mc:AlternateContent>
      </w:r>
      <w:r w:rsidR="00035D09" w:rsidRPr="00376AB2">
        <w:rPr>
          <w:rFonts w:eastAsia="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510420E2" wp14:editId="0CA8FD2C">
                <wp:simplePos x="0" y="0"/>
                <wp:positionH relativeFrom="column">
                  <wp:posOffset>4015409</wp:posOffset>
                </wp:positionH>
                <wp:positionV relativeFrom="paragraph">
                  <wp:posOffset>2550381</wp:posOffset>
                </wp:positionV>
                <wp:extent cx="2030730" cy="2051436"/>
                <wp:effectExtent l="0" t="0" r="26670" b="2540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2051436"/>
                        </a:xfrm>
                        <a:prstGeom prst="rect">
                          <a:avLst/>
                        </a:prstGeom>
                        <a:solidFill>
                          <a:srgbClr val="FFFFFF"/>
                        </a:solidFill>
                        <a:ln w="9525">
                          <a:solidFill>
                            <a:srgbClr val="000000"/>
                          </a:solidFill>
                          <a:miter lim="800000"/>
                          <a:headEnd/>
                          <a:tailEnd/>
                        </a:ln>
                      </wps:spPr>
                      <wps:txbx>
                        <w:txbxContent>
                          <w:p w14:paraId="46135971" w14:textId="77777777" w:rsidR="00741B5A" w:rsidRDefault="00741B5A" w:rsidP="00376AB2">
                            <w:pPr>
                              <w:spacing w:line="240" w:lineRule="auto"/>
                              <w:jc w:val="center"/>
                              <w:rPr>
                                <w:rFonts w:ascii="Calibri" w:hAnsi="Calibri"/>
                              </w:rPr>
                            </w:pPr>
                            <w:r>
                              <w:rPr>
                                <w:rFonts w:ascii="Calibri" w:hAnsi="Calibri"/>
                              </w:rPr>
                              <w:t>Full-text articles excluded, with reasons</w:t>
                            </w:r>
                            <w:r>
                              <w:rPr>
                                <w:rFonts w:ascii="Calibri" w:hAnsi="Calibri"/>
                              </w:rPr>
                              <w:br/>
                              <w:t>(n = 30 )</w:t>
                            </w:r>
                          </w:p>
                          <w:p w14:paraId="6F5B12DF" w14:textId="77777777" w:rsidR="00741B5A" w:rsidRDefault="00741B5A" w:rsidP="00376AB2">
                            <w:pPr>
                              <w:spacing w:line="240" w:lineRule="auto"/>
                              <w:jc w:val="center"/>
                              <w:rPr>
                                <w:rFonts w:ascii="Calibri" w:hAnsi="Calibri"/>
                              </w:rPr>
                            </w:pPr>
                            <w:r>
                              <w:rPr>
                                <w:rFonts w:ascii="Calibri" w:hAnsi="Calibri"/>
                              </w:rPr>
                              <w:t>Pre-2005 data (n=2)</w:t>
                            </w:r>
                          </w:p>
                          <w:p w14:paraId="13EFF884" w14:textId="77777777" w:rsidR="00741B5A" w:rsidRDefault="00741B5A" w:rsidP="00376AB2">
                            <w:pPr>
                              <w:spacing w:line="240" w:lineRule="auto"/>
                              <w:jc w:val="center"/>
                              <w:rPr>
                                <w:rFonts w:ascii="Calibri" w:hAnsi="Calibri"/>
                              </w:rPr>
                            </w:pPr>
                            <w:r>
                              <w:rPr>
                                <w:rFonts w:ascii="Calibri" w:hAnsi="Calibri"/>
                              </w:rPr>
                              <w:t>No usable data for any review question (n=10)</w:t>
                            </w:r>
                          </w:p>
                          <w:p w14:paraId="781D8B09" w14:textId="77777777" w:rsidR="00741B5A" w:rsidRDefault="00741B5A" w:rsidP="00376AB2">
                            <w:pPr>
                              <w:spacing w:line="240" w:lineRule="auto"/>
                              <w:jc w:val="center"/>
                              <w:rPr>
                                <w:rFonts w:ascii="Calibri" w:hAnsi="Calibri"/>
                                <w:lang w:val="en"/>
                              </w:rPr>
                            </w:pPr>
                            <w:r>
                              <w:rPr>
                                <w:rFonts w:ascii="Calibri" w:hAnsi="Calibri"/>
                                <w:lang w:val="en"/>
                              </w:rPr>
                              <w:t>Not CJD related (n=1)</w:t>
                            </w:r>
                          </w:p>
                          <w:p w14:paraId="206BC31F" w14:textId="77777777" w:rsidR="00741B5A" w:rsidRDefault="00741B5A" w:rsidP="00376AB2">
                            <w:pPr>
                              <w:spacing w:line="240" w:lineRule="auto"/>
                              <w:jc w:val="center"/>
                              <w:rPr>
                                <w:rFonts w:ascii="Calibri" w:hAnsi="Calibri"/>
                                <w:lang w:val="en"/>
                              </w:rPr>
                            </w:pPr>
                            <w:r>
                              <w:rPr>
                                <w:rFonts w:ascii="Calibri" w:hAnsi="Calibri"/>
                                <w:lang w:val="en"/>
                              </w:rPr>
                              <w:t>Not high-risk surgery (n=1)</w:t>
                            </w:r>
                          </w:p>
                          <w:p w14:paraId="612930A3" w14:textId="77777777" w:rsidR="00741B5A" w:rsidRPr="001D1C67" w:rsidRDefault="00741B5A" w:rsidP="00376AB2">
                            <w:pPr>
                              <w:spacing w:line="240" w:lineRule="auto"/>
                              <w:jc w:val="center"/>
                              <w:rPr>
                                <w:rFonts w:ascii="Calibri" w:hAnsi="Calibri"/>
                                <w:lang w:val="pt-PT"/>
                              </w:rPr>
                            </w:pPr>
                            <w:r w:rsidRPr="001D1C67">
                              <w:rPr>
                                <w:rFonts w:ascii="Calibri" w:hAnsi="Calibri"/>
                                <w:lang w:val="pt-PT"/>
                              </w:rPr>
                              <w:t>Review, no original data (n=5)</w:t>
                            </w:r>
                          </w:p>
                          <w:p w14:paraId="043BB5C9" w14:textId="598C3218" w:rsidR="00741B5A" w:rsidRDefault="00741B5A" w:rsidP="00376AB2">
                            <w:pPr>
                              <w:spacing w:line="240" w:lineRule="auto"/>
                              <w:jc w:val="center"/>
                              <w:rPr>
                                <w:rFonts w:ascii="Calibri" w:hAnsi="Calibri"/>
                                <w:lang w:val="en"/>
                              </w:rPr>
                            </w:pPr>
                            <w:r>
                              <w:rPr>
                                <w:rFonts w:ascii="Calibri" w:hAnsi="Calibri"/>
                                <w:lang w:val="en"/>
                              </w:rPr>
                              <w:t>Superseded data (n=8)</w:t>
                            </w:r>
                          </w:p>
                          <w:p w14:paraId="01B987F6" w14:textId="77777777" w:rsidR="00741B5A" w:rsidRDefault="00741B5A" w:rsidP="00376AB2">
                            <w:pPr>
                              <w:spacing w:line="240" w:lineRule="auto"/>
                              <w:jc w:val="center"/>
                              <w:rPr>
                                <w:rFonts w:ascii="Calibri" w:hAnsi="Calibri"/>
                                <w:lang w:val="en"/>
                              </w:rPr>
                            </w:pPr>
                            <w:r>
                              <w:rPr>
                                <w:rFonts w:ascii="Calibri" w:hAnsi="Calibri"/>
                                <w:lang w:val="en"/>
                              </w:rPr>
                              <w:t>Wrong outcome (n=3)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420E2" id="Rectangle 204" o:spid="_x0000_s1038" style="position:absolute;margin-left:316.15pt;margin-top:200.8pt;width:159.9pt;height:16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">
                <v:textbox inset=",7.2pt,,7.2pt">
                  <w:txbxContent>
                    <w:p w14:paraId="46135971" w14:textId="77777777" w:rsidR="00741B5A" w:rsidRDefault="00741B5A" w:rsidP="00376AB2">
                      <w:pPr>
                        <w:spacing w:line="240" w:lineRule="auto"/>
                        <w:jc w:val="center"/>
                        <w:rPr>
                          <w:rFonts w:ascii="Calibri" w:hAnsi="Calibri"/>
                        </w:rPr>
                      </w:pPr>
                      <w:r>
                        <w:rPr>
                          <w:rFonts w:ascii="Calibri" w:hAnsi="Calibri"/>
                        </w:rPr>
                        <w:t>Full-text articles excluded, with reasons</w:t>
                      </w:r>
                      <w:r>
                        <w:rPr>
                          <w:rFonts w:ascii="Calibri" w:hAnsi="Calibri"/>
                        </w:rPr>
                        <w:br/>
                        <w:t>(n = 30 )</w:t>
                      </w:r>
                    </w:p>
                    <w:p w14:paraId="6F5B12DF" w14:textId="77777777" w:rsidR="00741B5A" w:rsidRDefault="00741B5A" w:rsidP="00376AB2">
                      <w:pPr>
                        <w:spacing w:line="240" w:lineRule="auto"/>
                        <w:jc w:val="center"/>
                        <w:rPr>
                          <w:rFonts w:ascii="Calibri" w:hAnsi="Calibri"/>
                        </w:rPr>
                      </w:pPr>
                      <w:r>
                        <w:rPr>
                          <w:rFonts w:ascii="Calibri" w:hAnsi="Calibri"/>
                        </w:rPr>
                        <w:t>Pre-2005 data (n=2)</w:t>
                      </w:r>
                    </w:p>
                    <w:p w14:paraId="13EFF884" w14:textId="77777777" w:rsidR="00741B5A" w:rsidRDefault="00741B5A" w:rsidP="00376AB2">
                      <w:pPr>
                        <w:spacing w:line="240" w:lineRule="auto"/>
                        <w:jc w:val="center"/>
                        <w:rPr>
                          <w:rFonts w:ascii="Calibri" w:hAnsi="Calibri"/>
                        </w:rPr>
                      </w:pPr>
                      <w:r>
                        <w:rPr>
                          <w:rFonts w:ascii="Calibri" w:hAnsi="Calibri"/>
                        </w:rPr>
                        <w:t>No usable data for any review question (n=10)</w:t>
                      </w:r>
                    </w:p>
                    <w:p w14:paraId="781D8B09" w14:textId="77777777" w:rsidR="00741B5A" w:rsidRDefault="00741B5A" w:rsidP="00376AB2">
                      <w:pPr>
                        <w:spacing w:line="240" w:lineRule="auto"/>
                        <w:jc w:val="center"/>
                        <w:rPr>
                          <w:rFonts w:ascii="Calibri" w:hAnsi="Calibri"/>
                          <w:lang w:val="en"/>
                        </w:rPr>
                      </w:pPr>
                      <w:r>
                        <w:rPr>
                          <w:rFonts w:ascii="Calibri" w:hAnsi="Calibri"/>
                          <w:lang w:val="en"/>
                        </w:rPr>
                        <w:t>Not CJD related (n=1)</w:t>
                      </w:r>
                    </w:p>
                    <w:p w14:paraId="206BC31F" w14:textId="77777777" w:rsidR="00741B5A" w:rsidRDefault="00741B5A" w:rsidP="00376AB2">
                      <w:pPr>
                        <w:spacing w:line="240" w:lineRule="auto"/>
                        <w:jc w:val="center"/>
                        <w:rPr>
                          <w:rFonts w:ascii="Calibri" w:hAnsi="Calibri"/>
                          <w:lang w:val="en"/>
                        </w:rPr>
                      </w:pPr>
                      <w:r>
                        <w:rPr>
                          <w:rFonts w:ascii="Calibri" w:hAnsi="Calibri"/>
                          <w:lang w:val="en"/>
                        </w:rPr>
                        <w:t>Not high-risk surgery (n=1)</w:t>
                      </w:r>
                    </w:p>
                    <w:p w14:paraId="612930A3" w14:textId="77777777" w:rsidR="00741B5A" w:rsidRPr="001D1C67" w:rsidRDefault="00741B5A" w:rsidP="00376AB2">
                      <w:pPr>
                        <w:spacing w:line="240" w:lineRule="auto"/>
                        <w:jc w:val="center"/>
                        <w:rPr>
                          <w:rFonts w:ascii="Calibri" w:hAnsi="Calibri"/>
                          <w:lang w:val="pt-PT"/>
                        </w:rPr>
                      </w:pPr>
                      <w:r w:rsidRPr="001D1C67">
                        <w:rPr>
                          <w:rFonts w:ascii="Calibri" w:hAnsi="Calibri"/>
                          <w:lang w:val="pt-PT"/>
                        </w:rPr>
                        <w:t>Review, no original data (n=5)</w:t>
                      </w:r>
                    </w:p>
                    <w:p w14:paraId="043BB5C9" w14:textId="598C3218" w:rsidR="00741B5A" w:rsidRDefault="00741B5A" w:rsidP="00376AB2">
                      <w:pPr>
                        <w:spacing w:line="240" w:lineRule="auto"/>
                        <w:jc w:val="center"/>
                        <w:rPr>
                          <w:rFonts w:ascii="Calibri" w:hAnsi="Calibri"/>
                          <w:lang w:val="en"/>
                        </w:rPr>
                      </w:pPr>
                      <w:r>
                        <w:rPr>
                          <w:rFonts w:ascii="Calibri" w:hAnsi="Calibri"/>
                          <w:lang w:val="en"/>
                        </w:rPr>
                        <w:t>Superseded data (n=8)</w:t>
                      </w:r>
                    </w:p>
                    <w:p w14:paraId="01B987F6" w14:textId="77777777" w:rsidR="00741B5A" w:rsidRDefault="00741B5A" w:rsidP="00376AB2">
                      <w:pPr>
                        <w:spacing w:line="240" w:lineRule="auto"/>
                        <w:jc w:val="center"/>
                        <w:rPr>
                          <w:rFonts w:ascii="Calibri" w:hAnsi="Calibri"/>
                          <w:lang w:val="en"/>
                        </w:rPr>
                      </w:pPr>
                      <w:r>
                        <w:rPr>
                          <w:rFonts w:ascii="Calibri" w:hAnsi="Calibri"/>
                          <w:lang w:val="en"/>
                        </w:rPr>
                        <w:t>Wrong outcome (n=3)</w:t>
                      </w:r>
                    </w:p>
                  </w:txbxContent>
                </v:textbox>
              </v:rect>
            </w:pict>
          </mc:Fallback>
        </mc:AlternateContent>
      </w:r>
      <w:r w:rsidR="00BE1E94">
        <w:rPr>
          <w:rFonts w:eastAsia="Times New Roman" w:cs="Times New Roman"/>
          <w:noProof/>
          <w:sz w:val="24"/>
          <w:szCs w:val="24"/>
          <w:lang w:eastAsia="en-GB"/>
        </w:rPr>
        <mc:AlternateContent>
          <mc:Choice Requires="wps">
            <w:drawing>
              <wp:anchor distT="0" distB="0" distL="114300" distR="114300" simplePos="0" relativeHeight="251744256" behindDoc="0" locked="0" layoutInCell="1" allowOverlap="1" wp14:anchorId="73967813" wp14:editId="71B5C7CE">
                <wp:simplePos x="0" y="0"/>
                <wp:positionH relativeFrom="column">
                  <wp:posOffset>1534602</wp:posOffset>
                </wp:positionH>
                <wp:positionV relativeFrom="paragraph">
                  <wp:posOffset>809238</wp:posOffset>
                </wp:positionV>
                <wp:extent cx="7951" cy="349665"/>
                <wp:effectExtent l="76200" t="0" r="68580" b="50800"/>
                <wp:wrapNone/>
                <wp:docPr id="215" name="Straight Arrow Connector 215"/>
                <wp:cNvGraphicFramePr/>
                <a:graphic xmlns:a="http://schemas.openxmlformats.org/drawingml/2006/main">
                  <a:graphicData uri="http://schemas.microsoft.com/office/word/2010/wordprocessingShape">
                    <wps:wsp>
                      <wps:cNvCnPr/>
                      <wps:spPr>
                        <a:xfrm>
                          <a:off x="0" y="0"/>
                          <a:ext cx="7951" cy="3496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E3403E" id="Straight Arrow Connector 215" o:spid="_x0000_s1026" type="#_x0000_t32" style="position:absolute;margin-left:120.85pt;margin-top:63.7pt;width:.65pt;height:27.5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" strokecolor="black [3200]" strokeweight=".5pt">
                <v:stroke endarrow="block" joinstyle="miter"/>
              </v:shape>
            </w:pict>
          </mc:Fallback>
        </mc:AlternateContent>
      </w:r>
      <w:r w:rsidR="00BE1E94" w:rsidRPr="00376AB2">
        <w:rPr>
          <w:rFonts w:eastAsia="Times New Roman" w:cs="Times New Roman"/>
          <w:noProof/>
          <w:sz w:val="24"/>
          <w:szCs w:val="24"/>
          <w:lang w:eastAsia="en-GB"/>
        </w:rPr>
        <mc:AlternateContent>
          <mc:Choice Requires="wps">
            <w:drawing>
              <wp:anchor distT="0" distB="0" distL="114300" distR="114300" simplePos="0" relativeHeight="251576320" behindDoc="0" locked="0" layoutInCell="1" allowOverlap="1" wp14:anchorId="570269A7" wp14:editId="1C570D82">
                <wp:simplePos x="0" y="0"/>
                <wp:positionH relativeFrom="column">
                  <wp:posOffset>340995</wp:posOffset>
                </wp:positionH>
                <wp:positionV relativeFrom="paragraph">
                  <wp:posOffset>5715</wp:posOffset>
                </wp:positionV>
                <wp:extent cx="2228850" cy="803275"/>
                <wp:effectExtent l="0" t="0" r="19050" b="1587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803275"/>
                        </a:xfrm>
                        <a:prstGeom prst="rect">
                          <a:avLst/>
                        </a:prstGeom>
                        <a:solidFill>
                          <a:srgbClr val="FFFFFF"/>
                        </a:solidFill>
                        <a:ln w="9525">
                          <a:solidFill>
                            <a:srgbClr val="000000"/>
                          </a:solidFill>
                          <a:miter lim="800000"/>
                          <a:headEnd/>
                          <a:tailEnd/>
                        </a:ln>
                      </wps:spPr>
                      <wps:txbx>
                        <w:txbxContent>
                          <w:p w14:paraId="24A1B819" w14:textId="77777777" w:rsidR="00741B5A" w:rsidRDefault="00741B5A" w:rsidP="00376AB2">
                            <w:pPr>
                              <w:spacing w:line="240" w:lineRule="auto"/>
                              <w:jc w:val="center"/>
                              <w:rPr>
                                <w:rFonts w:ascii="Calibri" w:hAnsi="Calibri"/>
                                <w:lang w:val="en"/>
                              </w:rPr>
                            </w:pPr>
                            <w:r>
                              <w:rPr>
                                <w:rFonts w:ascii="Calibri" w:hAnsi="Calibri"/>
                              </w:rPr>
                              <w:t>Records identified through database searching</w:t>
                            </w:r>
                            <w:r>
                              <w:rPr>
                                <w:rFonts w:ascii="Calibri" w:hAnsi="Calibri"/>
                              </w:rPr>
                              <w:br/>
                              <w:t>(n = 8776 )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269A7" id="Rectangle 194" o:spid="_x0000_s1039" style="position:absolute;margin-left:26.85pt;margin-top:.45pt;width:175.5pt;height:63.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">
                <v:textbox inset=",7.2pt,,7.2pt">
                  <w:txbxContent>
                    <w:p w14:paraId="24A1B819" w14:textId="77777777" w:rsidR="00741B5A" w:rsidRDefault="00741B5A" w:rsidP="00376AB2">
                      <w:pPr>
                        <w:spacing w:line="240" w:lineRule="auto"/>
                        <w:jc w:val="center"/>
                        <w:rPr>
                          <w:rFonts w:ascii="Calibri" w:hAnsi="Calibri"/>
                          <w:lang w:val="en"/>
                        </w:rPr>
                      </w:pPr>
                      <w:r>
                        <w:rPr>
                          <w:rFonts w:ascii="Calibri" w:hAnsi="Calibri"/>
                        </w:rPr>
                        <w:t>Records identified through database searching</w:t>
                      </w:r>
                      <w:r>
                        <w:rPr>
                          <w:rFonts w:ascii="Calibri" w:hAnsi="Calibri"/>
                        </w:rPr>
                        <w:br/>
                        <w:t>(n = 8776 )</w:t>
                      </w:r>
                    </w:p>
                  </w:txbxContent>
                </v:textbox>
              </v:rect>
            </w:pict>
          </mc:Fallback>
        </mc:AlternateContent>
      </w:r>
      <w:r w:rsidR="007E365F">
        <w:br w:type="page"/>
      </w:r>
    </w:p>
    <w:p w14:paraId="0156D5FA" w14:textId="3C383387" w:rsidR="009968D1" w:rsidRPr="00622C6B" w:rsidRDefault="00923105" w:rsidP="00622C6B">
      <w:pPr>
        <w:pStyle w:val="Heading2"/>
        <w:ind w:left="720" w:hanging="720"/>
        <w:rPr>
          <w:szCs w:val="22"/>
        </w:rPr>
      </w:pPr>
      <w:bookmarkStart w:id="32" w:name="_Toc525106661"/>
      <w:r w:rsidRPr="00622C6B">
        <w:rPr>
          <w:szCs w:val="22"/>
        </w:rPr>
        <w:t>2.2</w:t>
      </w:r>
      <w:r w:rsidR="00F452B9" w:rsidRPr="00622C6B">
        <w:rPr>
          <w:szCs w:val="22"/>
        </w:rPr>
        <w:tab/>
      </w:r>
      <w:r w:rsidR="00571DED" w:rsidRPr="00622C6B">
        <w:rPr>
          <w:szCs w:val="22"/>
        </w:rPr>
        <w:t>T</w:t>
      </w:r>
      <w:r w:rsidR="00142676" w:rsidRPr="00622C6B">
        <w:rPr>
          <w:szCs w:val="22"/>
        </w:rPr>
        <w:t>he incidence of CJD</w:t>
      </w:r>
      <w:r w:rsidR="00571DED" w:rsidRPr="00622C6B">
        <w:rPr>
          <w:szCs w:val="22"/>
        </w:rPr>
        <w:t xml:space="preserve"> and the prevalence of CJD-related prions in humans in the UK</w:t>
      </w:r>
      <w:bookmarkEnd w:id="32"/>
    </w:p>
    <w:p w14:paraId="3DB1C3D9" w14:textId="4ADA7705" w:rsidR="00FD3894" w:rsidRPr="007A7C51" w:rsidRDefault="00FD3894" w:rsidP="00F452B9">
      <w:pPr>
        <w:jc w:val="both"/>
        <w:rPr>
          <w:rFonts w:cs="Times New Roman"/>
        </w:rPr>
      </w:pPr>
      <w:r w:rsidRPr="007A7C51">
        <w:rPr>
          <w:rFonts w:cs="Times New Roman"/>
        </w:rPr>
        <w:t>The purpose of this review was to identify published and unpublished evidence for:</w:t>
      </w:r>
    </w:p>
    <w:p w14:paraId="34880E25" w14:textId="1B88F628" w:rsidR="00571DED" w:rsidRPr="007A7C51" w:rsidRDefault="00FD3894" w:rsidP="00F452B9">
      <w:pPr>
        <w:pStyle w:val="ListParagraph"/>
        <w:numPr>
          <w:ilvl w:val="0"/>
          <w:numId w:val="2"/>
        </w:numPr>
        <w:jc w:val="both"/>
        <w:rPr>
          <w:rFonts w:cs="Times New Roman"/>
        </w:rPr>
      </w:pPr>
      <w:r w:rsidRPr="007A7C51">
        <w:rPr>
          <w:rFonts w:cs="Times New Roman"/>
        </w:rPr>
        <w:t>the incidence of CJD (sporadic, genetic, variant and iatrogenic) and</w:t>
      </w:r>
    </w:p>
    <w:p w14:paraId="5EDB6E6A" w14:textId="33271034" w:rsidR="006967D4" w:rsidRDefault="00FD3894" w:rsidP="00F452B9">
      <w:pPr>
        <w:pStyle w:val="ListParagraph"/>
        <w:numPr>
          <w:ilvl w:val="0"/>
          <w:numId w:val="2"/>
        </w:numPr>
        <w:jc w:val="both"/>
        <w:rPr>
          <w:rFonts w:cs="Times New Roman"/>
        </w:rPr>
      </w:pPr>
      <w:r w:rsidRPr="007A7C51">
        <w:rPr>
          <w:rFonts w:cs="Times New Roman"/>
        </w:rPr>
        <w:t>the prevalence of CJD-related prions in humans in the UK</w:t>
      </w:r>
    </w:p>
    <w:p w14:paraId="336F3B29" w14:textId="77777777" w:rsidR="00F452B9" w:rsidRPr="00F452B9" w:rsidRDefault="00F452B9" w:rsidP="00F452B9">
      <w:pPr>
        <w:ind w:left="360"/>
        <w:jc w:val="both"/>
        <w:rPr>
          <w:rFonts w:cs="Times New Roman"/>
        </w:rPr>
      </w:pPr>
    </w:p>
    <w:p w14:paraId="39F9F05B" w14:textId="4CC2837D" w:rsidR="00822107" w:rsidRDefault="004222FB" w:rsidP="00F452B9">
      <w:pPr>
        <w:jc w:val="both"/>
        <w:rPr>
          <w:rFonts w:cs="Times New Roman"/>
        </w:rPr>
      </w:pPr>
      <w:r w:rsidRPr="007A7C51">
        <w:rPr>
          <w:rFonts w:cs="Times New Roman"/>
        </w:rPr>
        <w:t xml:space="preserve">The </w:t>
      </w:r>
      <w:r w:rsidR="00835EFC">
        <w:rPr>
          <w:rFonts w:cs="Times New Roman"/>
        </w:rPr>
        <w:t>NCJDRSU</w:t>
      </w:r>
      <w:r w:rsidRPr="007A7C51">
        <w:rPr>
          <w:rFonts w:cs="Times New Roman"/>
        </w:rPr>
        <w:t xml:space="preserve"> provides the most </w:t>
      </w:r>
      <w:r w:rsidR="00D70764" w:rsidRPr="007A7C51">
        <w:rPr>
          <w:rFonts w:cs="Times New Roman"/>
        </w:rPr>
        <w:t>comprehensive</w:t>
      </w:r>
      <w:r w:rsidRPr="007A7C51">
        <w:rPr>
          <w:rFonts w:cs="Times New Roman"/>
        </w:rPr>
        <w:t xml:space="preserve"> and </w:t>
      </w:r>
      <w:r w:rsidR="00E241CD" w:rsidRPr="007A7C51">
        <w:rPr>
          <w:rFonts w:cs="Times New Roman"/>
        </w:rPr>
        <w:t>regularly updated</w:t>
      </w:r>
      <w:r w:rsidRPr="007A7C51">
        <w:rPr>
          <w:rFonts w:cs="Times New Roman"/>
        </w:rPr>
        <w:t xml:space="preserve"> figure</w:t>
      </w:r>
      <w:r w:rsidR="00D70764" w:rsidRPr="007A7C51">
        <w:rPr>
          <w:rFonts w:cs="Times New Roman"/>
        </w:rPr>
        <w:t xml:space="preserve">s for the UK. Globally </w:t>
      </w:r>
      <w:r w:rsidRPr="007A7C51">
        <w:rPr>
          <w:rFonts w:cs="Times New Roman"/>
        </w:rPr>
        <w:t xml:space="preserve">figures </w:t>
      </w:r>
      <w:r w:rsidR="00D70764" w:rsidRPr="007A7C51">
        <w:rPr>
          <w:rFonts w:cs="Times New Roman"/>
        </w:rPr>
        <w:t>a</w:t>
      </w:r>
      <w:r w:rsidR="00822107" w:rsidRPr="007A7C51">
        <w:rPr>
          <w:rFonts w:cs="Times New Roman"/>
        </w:rPr>
        <w:t>re</w:t>
      </w:r>
      <w:r w:rsidRPr="007A7C51">
        <w:rPr>
          <w:rFonts w:cs="Times New Roman"/>
        </w:rPr>
        <w:t xml:space="preserve"> gathered by the CJD Internationa</w:t>
      </w:r>
      <w:r w:rsidR="00B501B0" w:rsidRPr="007A7C51">
        <w:rPr>
          <w:rFonts w:cs="Times New Roman"/>
        </w:rPr>
        <w:t>l Surveillance Network (</w:t>
      </w:r>
      <w:r w:rsidRPr="007A7C51">
        <w:rPr>
          <w:rFonts w:cs="Times New Roman"/>
        </w:rPr>
        <w:t>EuroCJD)</w:t>
      </w:r>
      <w:r w:rsidR="00A30E2B">
        <w:rPr>
          <w:rFonts w:cs="Times New Roman"/>
        </w:rPr>
        <w:t>;</w:t>
      </w:r>
      <w:r w:rsidR="001C1038" w:rsidRPr="007A7C51">
        <w:rPr>
          <w:rFonts w:cs="Times New Roman"/>
        </w:rPr>
        <w:fldChar w:fldCharType="begin"/>
      </w:r>
      <w:r w:rsidR="0047137F">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sidR="001C1038" w:rsidRPr="007A7C51">
        <w:rPr>
          <w:rFonts w:cs="Times New Roman"/>
        </w:rPr>
        <w:fldChar w:fldCharType="separate"/>
      </w:r>
      <w:r w:rsidR="005C50C5" w:rsidRPr="005C50C5">
        <w:rPr>
          <w:rFonts w:cs="Times New Roman"/>
          <w:noProof/>
          <w:vertAlign w:val="superscript"/>
        </w:rPr>
        <w:t>19</w:t>
      </w:r>
      <w:r w:rsidR="001C1038" w:rsidRPr="007A7C51">
        <w:rPr>
          <w:rFonts w:cs="Times New Roman"/>
        </w:rPr>
        <w:fldChar w:fldCharType="end"/>
      </w:r>
      <w:r w:rsidRPr="007A7C51">
        <w:rPr>
          <w:rFonts w:cs="Times New Roman"/>
        </w:rPr>
        <w:t xml:space="preserve"> however</w:t>
      </w:r>
      <w:r w:rsidR="00822107" w:rsidRPr="007A7C51">
        <w:rPr>
          <w:rFonts w:cs="Times New Roman"/>
        </w:rPr>
        <w:t>,</w:t>
      </w:r>
      <w:r w:rsidRPr="007A7C51">
        <w:rPr>
          <w:rFonts w:cs="Times New Roman"/>
        </w:rPr>
        <w:t xml:space="preserve"> this source was last updated in May 2015</w:t>
      </w:r>
      <w:r w:rsidR="00D70764" w:rsidRPr="007A7C51">
        <w:rPr>
          <w:rFonts w:cs="Times New Roman"/>
        </w:rPr>
        <w:t xml:space="preserve"> and </w:t>
      </w:r>
      <w:r w:rsidR="00220A43" w:rsidRPr="007A7C51">
        <w:rPr>
          <w:rFonts w:cs="Times New Roman"/>
        </w:rPr>
        <w:t xml:space="preserve">is </w:t>
      </w:r>
      <w:r w:rsidR="00D70764" w:rsidRPr="007A7C51">
        <w:rPr>
          <w:rFonts w:cs="Times New Roman"/>
        </w:rPr>
        <w:t>therefore less up-to-date</w:t>
      </w:r>
      <w:r w:rsidR="006A1AA7">
        <w:rPr>
          <w:rFonts w:cs="Times New Roman"/>
        </w:rPr>
        <w:t xml:space="preserve"> than NCJDRSU</w:t>
      </w:r>
      <w:r w:rsidRPr="007A7C51">
        <w:rPr>
          <w:rFonts w:cs="Times New Roman"/>
        </w:rPr>
        <w:t xml:space="preserve">. </w:t>
      </w:r>
      <w:r w:rsidR="00822107" w:rsidRPr="007A7C51">
        <w:rPr>
          <w:rFonts w:cs="Times New Roman"/>
        </w:rPr>
        <w:t xml:space="preserve">The literature searches were </w:t>
      </w:r>
      <w:r w:rsidR="00571DED" w:rsidRPr="007A7C51">
        <w:rPr>
          <w:rFonts w:cs="Times New Roman"/>
        </w:rPr>
        <w:t>also us</w:t>
      </w:r>
      <w:r w:rsidR="00822107" w:rsidRPr="007A7C51">
        <w:rPr>
          <w:rFonts w:cs="Times New Roman"/>
        </w:rPr>
        <w:t xml:space="preserve">ed </w:t>
      </w:r>
      <w:r w:rsidR="00571DED" w:rsidRPr="007A7C51">
        <w:rPr>
          <w:rFonts w:cs="Times New Roman"/>
        </w:rPr>
        <w:t>to retrieve</w:t>
      </w:r>
      <w:r w:rsidR="00822107" w:rsidRPr="007A7C51">
        <w:rPr>
          <w:rFonts w:cs="Times New Roman"/>
        </w:rPr>
        <w:t xml:space="preserve"> </w:t>
      </w:r>
      <w:r w:rsidR="0040602B" w:rsidRPr="007A7C51">
        <w:rPr>
          <w:rFonts w:cs="Times New Roman"/>
        </w:rPr>
        <w:t>the most</w:t>
      </w:r>
      <w:r w:rsidR="00822107" w:rsidRPr="007A7C51">
        <w:rPr>
          <w:rFonts w:cs="Times New Roman"/>
        </w:rPr>
        <w:t xml:space="preserve"> recent </w:t>
      </w:r>
      <w:r w:rsidR="00515017">
        <w:rPr>
          <w:rFonts w:cs="Times New Roman"/>
        </w:rPr>
        <w:t xml:space="preserve">or complete </w:t>
      </w:r>
      <w:r w:rsidR="00822107" w:rsidRPr="007A7C51">
        <w:rPr>
          <w:rFonts w:cs="Times New Roman"/>
        </w:rPr>
        <w:t xml:space="preserve">figures, incidence trends or studies regarding subclinical prevalence of CJD prions in tissue. </w:t>
      </w:r>
      <w:r w:rsidR="001C4180">
        <w:rPr>
          <w:rFonts w:cs="Times New Roman"/>
        </w:rPr>
        <w:t>Sixty-nine</w:t>
      </w:r>
      <w:r w:rsidR="00822107" w:rsidRPr="007A7C51">
        <w:rPr>
          <w:rFonts w:cs="Times New Roman"/>
        </w:rPr>
        <w:t xml:space="preserve"> published citations were </w:t>
      </w:r>
      <w:r w:rsidR="00986766" w:rsidRPr="007A7C51">
        <w:rPr>
          <w:rFonts w:cs="Times New Roman"/>
        </w:rPr>
        <w:t xml:space="preserve">identified as being </w:t>
      </w:r>
      <w:r w:rsidR="00822107" w:rsidRPr="007A7C51">
        <w:rPr>
          <w:rFonts w:cs="Times New Roman"/>
        </w:rPr>
        <w:t xml:space="preserve">relevant to </w:t>
      </w:r>
      <w:r w:rsidR="00A30E2B">
        <w:rPr>
          <w:rFonts w:cs="Times New Roman"/>
        </w:rPr>
        <w:t xml:space="preserve">the </w:t>
      </w:r>
      <w:r w:rsidR="00822107" w:rsidRPr="007A7C51">
        <w:rPr>
          <w:rFonts w:cs="Times New Roman"/>
        </w:rPr>
        <w:t xml:space="preserve">incidence of clinical CJD or </w:t>
      </w:r>
      <w:r w:rsidR="00A30E2B">
        <w:rPr>
          <w:rFonts w:cs="Times New Roman"/>
        </w:rPr>
        <w:t xml:space="preserve">the </w:t>
      </w:r>
      <w:r w:rsidR="00822107" w:rsidRPr="007A7C51">
        <w:rPr>
          <w:rFonts w:cs="Times New Roman"/>
        </w:rPr>
        <w:t>prevalence of subclinical CJD around the world.</w:t>
      </w:r>
      <w:r w:rsidR="00986766" w:rsidRPr="007A7C51">
        <w:rPr>
          <w:rFonts w:cs="Times New Roman"/>
        </w:rPr>
        <w:t xml:space="preserve"> </w:t>
      </w:r>
    </w:p>
    <w:p w14:paraId="1FF31602" w14:textId="48F434F3" w:rsidR="00F452B9" w:rsidRDefault="00F452B9" w:rsidP="00F452B9">
      <w:pPr>
        <w:jc w:val="both"/>
        <w:rPr>
          <w:rFonts w:cs="Times New Roman"/>
        </w:rPr>
      </w:pPr>
    </w:p>
    <w:p w14:paraId="30265941" w14:textId="3BA4035B" w:rsidR="00292024" w:rsidRPr="00F84738" w:rsidRDefault="00F70CC2" w:rsidP="00292024">
      <w:pPr>
        <w:pStyle w:val="Heading3"/>
        <w:rPr>
          <w:b w:val="0"/>
          <w:i/>
        </w:rPr>
      </w:pPr>
      <w:r w:rsidRPr="00F84738">
        <w:rPr>
          <w:b w:val="0"/>
          <w:i/>
        </w:rPr>
        <w:t xml:space="preserve">2.2.1 </w:t>
      </w:r>
      <w:r w:rsidRPr="00F84738">
        <w:rPr>
          <w:b w:val="0"/>
          <w:i/>
        </w:rPr>
        <w:tab/>
      </w:r>
      <w:r w:rsidR="00292024" w:rsidRPr="00F84738">
        <w:rPr>
          <w:b w:val="0"/>
          <w:i/>
        </w:rPr>
        <w:t>The incidence of CJD</w:t>
      </w:r>
    </w:p>
    <w:p w14:paraId="39DAC684" w14:textId="40CACC47" w:rsidR="004C1F58" w:rsidRPr="00B77DB4" w:rsidRDefault="001771CF" w:rsidP="00F452B9">
      <w:pPr>
        <w:jc w:val="both"/>
        <w:rPr>
          <w:rFonts w:cs="Times New Roman"/>
        </w:rPr>
      </w:pPr>
      <w:r w:rsidRPr="007A7C51">
        <w:rPr>
          <w:rFonts w:cs="Times New Roman"/>
        </w:rPr>
        <w:t xml:space="preserve">The global incidence of CJD is </w:t>
      </w:r>
      <w:r w:rsidR="00835EFC">
        <w:rPr>
          <w:rFonts w:cs="Times New Roman"/>
        </w:rPr>
        <w:t>typically</w:t>
      </w:r>
      <w:r w:rsidRPr="007A7C51">
        <w:rPr>
          <w:rFonts w:cs="Times New Roman"/>
        </w:rPr>
        <w:t xml:space="preserve"> reported to be around 1 to 2 cases per million per year</w:t>
      </w:r>
      <w:r w:rsidR="00A30E2B">
        <w:rPr>
          <w:rFonts w:cs="Times New Roman"/>
        </w:rPr>
        <w:t>,</w:t>
      </w:r>
      <w:r w:rsidR="008A52DE" w:rsidRPr="007A7C51">
        <w:rPr>
          <w:rFonts w:cs="Times New Roman"/>
        </w:rPr>
        <w:fldChar w:fldCharType="begin"/>
      </w:r>
      <w:r w:rsidR="0047137F">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sidR="008A52DE" w:rsidRPr="007A7C51">
        <w:rPr>
          <w:rFonts w:cs="Times New Roman"/>
        </w:rPr>
        <w:fldChar w:fldCharType="separate"/>
      </w:r>
      <w:r w:rsidR="005C50C5" w:rsidRPr="005C50C5">
        <w:rPr>
          <w:rFonts w:cs="Times New Roman"/>
          <w:noProof/>
          <w:vertAlign w:val="superscript"/>
        </w:rPr>
        <w:t>19</w:t>
      </w:r>
      <w:r w:rsidR="008A52DE" w:rsidRPr="007A7C51">
        <w:rPr>
          <w:rFonts w:cs="Times New Roman"/>
        </w:rPr>
        <w:fldChar w:fldCharType="end"/>
      </w:r>
      <w:r w:rsidR="00B2245C" w:rsidRPr="007A7C51">
        <w:rPr>
          <w:rFonts w:cs="Times New Roman"/>
        </w:rPr>
        <w:t xml:space="preserve"> </w:t>
      </w:r>
      <w:r w:rsidR="00A30E2B">
        <w:rPr>
          <w:rFonts w:cs="Times New Roman"/>
        </w:rPr>
        <w:t xml:space="preserve">based on </w:t>
      </w:r>
      <w:r w:rsidR="004C271D" w:rsidRPr="007A7C51">
        <w:rPr>
          <w:rFonts w:cs="Times New Roman"/>
        </w:rPr>
        <w:t xml:space="preserve">surveillance studies published around the world from 2005 and onwards </w:t>
      </w:r>
      <w:r w:rsidR="00B2245C" w:rsidRPr="007A7C51">
        <w:rPr>
          <w:rFonts w:cs="Times New Roman"/>
        </w:rPr>
        <w:t>(</w:t>
      </w:r>
      <w:r w:rsidR="00CB0F41" w:rsidRPr="00B301D6">
        <w:rPr>
          <w:rFonts w:cs="Times New Roman"/>
        </w:rPr>
        <w:fldChar w:fldCharType="begin"/>
      </w:r>
      <w:r w:rsidR="00CB0F41" w:rsidRPr="00B301D6">
        <w:rPr>
          <w:rFonts w:cs="Times New Roman"/>
        </w:rPr>
        <w:instrText xml:space="preserve"> REF _Ref504114749 </w:instrText>
      </w:r>
      <w:r w:rsidR="000B6F62" w:rsidRPr="00B301D6">
        <w:rPr>
          <w:rFonts w:cs="Times New Roman"/>
        </w:rPr>
        <w:instrText xml:space="preserve"> \* MERGEFORMAT </w:instrText>
      </w:r>
      <w:r w:rsidR="00CB0F41" w:rsidRPr="00B301D6">
        <w:rPr>
          <w:rFonts w:cs="Times New Roman"/>
        </w:rPr>
        <w:fldChar w:fldCharType="separate"/>
      </w:r>
      <w:r w:rsidR="00690541" w:rsidRPr="00DD794C">
        <w:rPr>
          <w:rFonts w:cs="Times New Roman"/>
          <w:noProof/>
        </w:rPr>
        <w:t>Table</w:t>
      </w:r>
      <w:r w:rsidR="00690541" w:rsidRPr="00DD794C">
        <w:rPr>
          <w:rFonts w:cs="Times New Roman"/>
        </w:rPr>
        <w:t xml:space="preserve"> </w:t>
      </w:r>
      <w:r w:rsidR="00690541">
        <w:rPr>
          <w:rFonts w:cs="Times New Roman"/>
          <w:noProof/>
        </w:rPr>
        <w:t>2</w:t>
      </w:r>
      <w:r w:rsidR="00CB0F41" w:rsidRPr="00B301D6">
        <w:rPr>
          <w:rFonts w:cs="Times New Roman"/>
          <w:noProof/>
        </w:rPr>
        <w:fldChar w:fldCharType="end"/>
      </w:r>
      <w:r w:rsidR="00B2245C" w:rsidRPr="007A7C51">
        <w:rPr>
          <w:rFonts w:cs="Times New Roman"/>
        </w:rPr>
        <w:t>)</w:t>
      </w:r>
      <w:r w:rsidRPr="007A7C51">
        <w:rPr>
          <w:rFonts w:cs="Times New Roman"/>
        </w:rPr>
        <w:t>.</w:t>
      </w:r>
      <w:r w:rsidR="004C1F58" w:rsidRPr="007A7C51">
        <w:rPr>
          <w:rFonts w:cs="Times New Roman"/>
        </w:rPr>
        <w:t xml:space="preserve"> Higher incidence rates may be more likely to occur in areas with access to established surveillance units for referring suspected cases of prion </w:t>
      </w:r>
      <w:r w:rsidR="004C1F58" w:rsidRPr="0008439D">
        <w:rPr>
          <w:rFonts w:cs="Times New Roman"/>
        </w:rPr>
        <w:t xml:space="preserve">disease. </w:t>
      </w:r>
      <w:r w:rsidR="0008439D" w:rsidRPr="0008439D">
        <w:rPr>
          <w:rFonts w:cs="Times New Roman"/>
        </w:rPr>
        <w:t>I</w:t>
      </w:r>
      <w:r w:rsidR="00F96744" w:rsidRPr="0008439D">
        <w:rPr>
          <w:rFonts w:cs="Times New Roman"/>
        </w:rPr>
        <w:t>n the UK</w:t>
      </w:r>
      <w:r w:rsidR="00835EFC" w:rsidRPr="0008439D">
        <w:rPr>
          <w:rFonts w:cs="Times New Roman"/>
        </w:rPr>
        <w:t xml:space="preserve"> since</w:t>
      </w:r>
      <w:r w:rsidR="00835EFC" w:rsidRPr="007A7C51">
        <w:rPr>
          <w:rFonts w:cs="Times New Roman"/>
        </w:rPr>
        <w:t xml:space="preserve"> 1990</w:t>
      </w:r>
      <w:r w:rsidR="00835EFC">
        <w:rPr>
          <w:rFonts w:cs="Times New Roman"/>
        </w:rPr>
        <w:t>,</w:t>
      </w:r>
      <w:r w:rsidR="00F96744" w:rsidRPr="007A7C51">
        <w:rPr>
          <w:rFonts w:cs="Times New Roman"/>
        </w:rPr>
        <w:t xml:space="preserve"> the NCJDRSU has been mandated to actively monitor and identify </w:t>
      </w:r>
      <w:r w:rsidR="0008439D">
        <w:rPr>
          <w:rFonts w:cs="Times New Roman"/>
        </w:rPr>
        <w:t xml:space="preserve">all </w:t>
      </w:r>
      <w:r w:rsidR="00F96744" w:rsidRPr="007A7C51">
        <w:rPr>
          <w:rFonts w:cs="Times New Roman"/>
        </w:rPr>
        <w:t>CJD cases</w:t>
      </w:r>
      <w:r w:rsidR="00835EFC">
        <w:rPr>
          <w:rFonts w:cs="Times New Roman"/>
        </w:rPr>
        <w:t>. I</w:t>
      </w:r>
      <w:r w:rsidR="00F96744" w:rsidRPr="007A7C51">
        <w:rPr>
          <w:rFonts w:cs="Times New Roman"/>
        </w:rPr>
        <w:t>n contrast</w:t>
      </w:r>
      <w:r w:rsidR="00A30E2B">
        <w:rPr>
          <w:rFonts w:cs="Times New Roman"/>
        </w:rPr>
        <w:t>,</w:t>
      </w:r>
      <w:r w:rsidR="00F96744" w:rsidRPr="007A7C51">
        <w:rPr>
          <w:rFonts w:cs="Times New Roman"/>
        </w:rPr>
        <w:t xml:space="preserve"> a paper by Jeon </w:t>
      </w:r>
      <w:r w:rsidR="00B301D6" w:rsidRPr="00B301D6">
        <w:rPr>
          <w:rFonts w:cs="Times New Roman"/>
          <w:i/>
        </w:rPr>
        <w:t>et al</w:t>
      </w:r>
      <w:r w:rsidR="00F96744" w:rsidRPr="007A7C51">
        <w:rPr>
          <w:rFonts w:cs="Times New Roman"/>
        </w:rPr>
        <w:t xml:space="preserve"> (2016)</w:t>
      </w:r>
      <w:r w:rsidR="00826471" w:rsidRPr="007A7C51">
        <w:rPr>
          <w:rFonts w:cs="Times New Roman"/>
        </w:rPr>
        <w:fldChar w:fldCharType="begin">
          <w:fldData xml:space="preserve">PEVuZE5vdGU+PENpdGU+PEF1dGhvcj5KZW9uPC9BdXRob3I+PFllYXI+MjAxNjwvWWVhcj48UmVj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</w:fldData>
        </w:fldChar>
      </w:r>
      <w:r w:rsidR="00D63CDB">
        <w:rPr>
          <w:rFonts w:cs="Times New Roman"/>
        </w:rPr>
        <w:instrText xml:space="preserve"> ADDIN EN.CITE </w:instrText>
      </w:r>
      <w:r w:rsidR="00D63CDB">
        <w:rPr>
          <w:rFonts w:cs="Times New Roman"/>
        </w:rPr>
        <w:fldChar w:fldCharType="begin">
          <w:fldData xml:space="preserve">PEVuZE5vdGU+PENpdGU+PEF1dGhvcj5KZW9uPC9BdXRob3I+PFllYXI+MjAxNjwvWWVhcj48UmVj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</w:fldData>
        </w:fldChar>
      </w:r>
      <w:r w:rsidR="00D63CDB">
        <w:rPr>
          <w:rFonts w:cs="Times New Roman"/>
        </w:rPr>
        <w:instrText xml:space="preserve"> ADDIN EN.CITE.DATA </w:instrText>
      </w:r>
      <w:r w:rsidR="00D63CDB">
        <w:rPr>
          <w:rFonts w:cs="Times New Roman"/>
        </w:rPr>
      </w:r>
      <w:r w:rsidR="00D63CDB">
        <w:rPr>
          <w:rFonts w:cs="Times New Roman"/>
        </w:rPr>
        <w:fldChar w:fldCharType="end"/>
      </w:r>
      <w:r w:rsidR="00826471" w:rsidRPr="007A7C51">
        <w:rPr>
          <w:rFonts w:cs="Times New Roman"/>
        </w:rPr>
      </w:r>
      <w:r w:rsidR="00826471" w:rsidRPr="007A7C51">
        <w:rPr>
          <w:rFonts w:cs="Times New Roman"/>
        </w:rPr>
        <w:fldChar w:fldCharType="separate"/>
      </w:r>
      <w:r w:rsidR="005C50C5" w:rsidRPr="005C50C5">
        <w:rPr>
          <w:rFonts w:cs="Times New Roman"/>
          <w:noProof/>
          <w:vertAlign w:val="superscript"/>
        </w:rPr>
        <w:t>20</w:t>
      </w:r>
      <w:r w:rsidR="00826471" w:rsidRPr="007A7C51">
        <w:rPr>
          <w:rFonts w:cs="Times New Roman"/>
        </w:rPr>
        <w:fldChar w:fldCharType="end"/>
      </w:r>
      <w:r w:rsidR="00F96744" w:rsidRPr="007A7C51">
        <w:rPr>
          <w:rFonts w:cs="Times New Roman"/>
        </w:rPr>
        <w:t xml:space="preserve"> described </w:t>
      </w:r>
      <w:r w:rsidR="001C4180">
        <w:rPr>
          <w:rFonts w:cs="Times New Roman"/>
        </w:rPr>
        <w:t xml:space="preserve">that </w:t>
      </w:r>
      <w:r w:rsidR="00F96744" w:rsidRPr="007A7C51">
        <w:rPr>
          <w:rFonts w:cs="Times New Roman"/>
        </w:rPr>
        <w:t xml:space="preserve">CJD surveillance </w:t>
      </w:r>
      <w:r w:rsidR="0008439D">
        <w:rPr>
          <w:rFonts w:cs="Times New Roman"/>
        </w:rPr>
        <w:t>did not begi</w:t>
      </w:r>
      <w:r w:rsidR="00F96744" w:rsidRPr="007A7C51">
        <w:rPr>
          <w:rFonts w:cs="Times New Roman"/>
        </w:rPr>
        <w:t xml:space="preserve">n in Korea </w:t>
      </w:r>
      <w:r w:rsidR="0008439D">
        <w:rPr>
          <w:rFonts w:cs="Times New Roman"/>
        </w:rPr>
        <w:t>until</w:t>
      </w:r>
      <w:r w:rsidR="00F96744" w:rsidRPr="007A7C51">
        <w:rPr>
          <w:rFonts w:cs="Times New Roman"/>
        </w:rPr>
        <w:t xml:space="preserve"> 2001, </w:t>
      </w:r>
      <w:r w:rsidR="0008439D" w:rsidRPr="0008439D">
        <w:rPr>
          <w:rFonts w:cs="Times New Roman"/>
        </w:rPr>
        <w:t xml:space="preserve">and </w:t>
      </w:r>
      <w:r w:rsidR="00F96744" w:rsidRPr="0008439D">
        <w:rPr>
          <w:rFonts w:cs="Times New Roman"/>
        </w:rPr>
        <w:t>iCJD was</w:t>
      </w:r>
      <w:r w:rsidR="00F96744" w:rsidRPr="007A7C51">
        <w:rPr>
          <w:rFonts w:cs="Times New Roman"/>
        </w:rPr>
        <w:t xml:space="preserve"> not st</w:t>
      </w:r>
      <w:r w:rsidR="003F7861" w:rsidRPr="007A7C51">
        <w:rPr>
          <w:rFonts w:cs="Times New Roman"/>
        </w:rPr>
        <w:t>udied in Korea pr</w:t>
      </w:r>
      <w:r w:rsidR="001C4180">
        <w:rPr>
          <w:rFonts w:cs="Times New Roman"/>
        </w:rPr>
        <w:t>ior</w:t>
      </w:r>
      <w:r w:rsidR="003F7861" w:rsidRPr="007A7C51">
        <w:rPr>
          <w:rFonts w:cs="Times New Roman"/>
        </w:rPr>
        <w:t xml:space="preserve"> to 2011. This indicates</w:t>
      </w:r>
      <w:r w:rsidR="00F96744" w:rsidRPr="007A7C51">
        <w:rPr>
          <w:rFonts w:cs="Times New Roman"/>
        </w:rPr>
        <w:t xml:space="preserve"> geographical </w:t>
      </w:r>
      <w:r w:rsidR="003F7861" w:rsidRPr="007A7C51">
        <w:rPr>
          <w:rFonts w:cs="Times New Roman"/>
        </w:rPr>
        <w:t xml:space="preserve">variation </w:t>
      </w:r>
      <w:r w:rsidR="00F96744" w:rsidRPr="007A7C51">
        <w:rPr>
          <w:rFonts w:cs="Times New Roman"/>
        </w:rPr>
        <w:t xml:space="preserve">in how CJD may have been detected and reported </w:t>
      </w:r>
      <w:r w:rsidR="003F7861" w:rsidRPr="007A7C51">
        <w:rPr>
          <w:rFonts w:cs="Times New Roman"/>
        </w:rPr>
        <w:t xml:space="preserve">in time </w:t>
      </w:r>
      <w:r w:rsidR="00F96744" w:rsidRPr="007A7C51">
        <w:rPr>
          <w:rFonts w:cs="Times New Roman"/>
        </w:rPr>
        <w:t>globally.</w:t>
      </w:r>
      <w:r w:rsidR="004C1F58" w:rsidRPr="007A7C51">
        <w:rPr>
          <w:rFonts w:cs="Times New Roman"/>
        </w:rPr>
        <w:t xml:space="preserve"> </w:t>
      </w:r>
    </w:p>
    <w:p w14:paraId="7B5B8560" w14:textId="65639F15" w:rsidR="003F41EF" w:rsidRPr="007A7C51" w:rsidRDefault="003F41EF" w:rsidP="00F452B9">
      <w:pPr>
        <w:jc w:val="both"/>
        <w:rPr>
          <w:rFonts w:cs="Times New Roman"/>
        </w:rPr>
      </w:pPr>
    </w:p>
    <w:p w14:paraId="1200C86A" w14:textId="77777777" w:rsidR="00F452B9" w:rsidRDefault="00F452B9">
      <w:pPr>
        <w:rPr>
          <w:rFonts w:cs="Times New Roman"/>
          <w:b/>
          <w:iCs/>
        </w:rPr>
      </w:pPr>
      <w:bookmarkStart w:id="33" w:name="_Ref504114749"/>
      <w:r>
        <w:rPr>
          <w:rFonts w:cs="Times New Roman"/>
          <w:b/>
          <w:i/>
        </w:rPr>
        <w:br w:type="page"/>
      </w:r>
    </w:p>
    <w:p w14:paraId="0118B580" w14:textId="19238843" w:rsidR="00C57583" w:rsidRPr="00DD794C" w:rsidRDefault="00C57583" w:rsidP="00F452B9">
      <w:pPr>
        <w:pStyle w:val="Caption"/>
        <w:keepNext/>
        <w:spacing w:line="360" w:lineRule="auto"/>
        <w:ind w:left="1440" w:hanging="1440"/>
        <w:jc w:val="both"/>
        <w:rPr>
          <w:rFonts w:cs="Times New Roman"/>
          <w:szCs w:val="22"/>
        </w:rPr>
      </w:pPr>
      <w:bookmarkStart w:id="34" w:name="_Toc525106689"/>
      <w:r w:rsidRPr="00DD794C">
        <w:rPr>
          <w:rFonts w:cs="Times New Roman"/>
          <w:szCs w:val="22"/>
        </w:rPr>
        <w:t xml:space="preserve">Table </w:t>
      </w:r>
      <w:r w:rsidR="00CB0F41" w:rsidRPr="00DD794C">
        <w:rPr>
          <w:rFonts w:cs="Times New Roman"/>
          <w:szCs w:val="22"/>
        </w:rPr>
        <w:fldChar w:fldCharType="begin"/>
      </w:r>
      <w:r w:rsidR="00CB0F41" w:rsidRPr="00DD794C">
        <w:rPr>
          <w:rFonts w:cs="Times New Roman"/>
          <w:szCs w:val="22"/>
        </w:rPr>
        <w:instrText xml:space="preserve"> SEQ Table \* ARABIC </w:instrText>
      </w:r>
      <w:r w:rsidR="00CB0F41" w:rsidRPr="00DD794C">
        <w:rPr>
          <w:rFonts w:cs="Times New Roman"/>
          <w:szCs w:val="22"/>
        </w:rPr>
        <w:fldChar w:fldCharType="separate"/>
      </w:r>
      <w:r w:rsidR="00690541">
        <w:rPr>
          <w:rFonts w:cs="Times New Roman"/>
          <w:noProof/>
          <w:szCs w:val="22"/>
        </w:rPr>
        <w:t>2</w:t>
      </w:r>
      <w:r w:rsidR="00CB0F41" w:rsidRPr="00DD794C">
        <w:rPr>
          <w:rFonts w:cs="Times New Roman"/>
          <w:noProof/>
          <w:szCs w:val="22"/>
        </w:rPr>
        <w:fldChar w:fldCharType="end"/>
      </w:r>
      <w:bookmarkEnd w:id="33"/>
      <w:r w:rsidR="00F452B9" w:rsidRPr="00DD794C">
        <w:rPr>
          <w:rFonts w:cs="Times New Roman"/>
          <w:noProof/>
          <w:szCs w:val="22"/>
        </w:rPr>
        <w:t>:</w:t>
      </w:r>
      <w:r w:rsidR="00F452B9" w:rsidRPr="00DD794C">
        <w:rPr>
          <w:rFonts w:cs="Times New Roman"/>
          <w:noProof/>
          <w:szCs w:val="22"/>
        </w:rPr>
        <w:tab/>
      </w:r>
      <w:r w:rsidR="00396D86" w:rsidRPr="00DD794C">
        <w:rPr>
          <w:rFonts w:cs="Times New Roman"/>
          <w:szCs w:val="22"/>
        </w:rPr>
        <w:t>Global estimations of C</w:t>
      </w:r>
      <w:r w:rsidR="00FB6B62" w:rsidRPr="00DD794C">
        <w:rPr>
          <w:rFonts w:cs="Times New Roman"/>
          <w:szCs w:val="22"/>
        </w:rPr>
        <w:t>JD</w:t>
      </w:r>
      <w:r w:rsidR="00396D86" w:rsidRPr="00DD794C">
        <w:rPr>
          <w:rFonts w:cs="Times New Roman"/>
          <w:szCs w:val="22"/>
        </w:rPr>
        <w:t xml:space="preserve"> incidence</w:t>
      </w:r>
      <w:r w:rsidRPr="00DD794C">
        <w:rPr>
          <w:rFonts w:cs="Times New Roman"/>
          <w:szCs w:val="22"/>
        </w:rPr>
        <w:t xml:space="preserve"> from studies published in 2005 or after</w:t>
      </w:r>
      <w:r w:rsidR="00623F12" w:rsidRPr="00DD794C">
        <w:rPr>
          <w:rFonts w:cs="Times New Roman"/>
          <w:szCs w:val="22"/>
        </w:rPr>
        <w:t xml:space="preserve"> </w:t>
      </w:r>
      <w:r w:rsidR="00646E54" w:rsidRPr="00DD794C">
        <w:rPr>
          <w:rFonts w:cs="Times New Roman"/>
          <w:szCs w:val="22"/>
        </w:rPr>
        <w:t>(</w:t>
      </w:r>
      <w:r w:rsidR="00623F12" w:rsidRPr="00DD794C">
        <w:rPr>
          <w:rFonts w:cs="Times New Roman"/>
          <w:szCs w:val="22"/>
        </w:rPr>
        <w:t>ordered by date</w:t>
      </w:r>
      <w:r w:rsidR="0054027F" w:rsidRPr="00DD794C">
        <w:rPr>
          <w:rFonts w:cs="Times New Roman"/>
          <w:szCs w:val="22"/>
        </w:rPr>
        <w:t xml:space="preserve">, </w:t>
      </w:r>
      <w:r w:rsidR="00646E54" w:rsidRPr="00DD794C">
        <w:rPr>
          <w:rFonts w:cs="Times New Roman"/>
          <w:szCs w:val="22"/>
        </w:rPr>
        <w:t>then alphabetically)</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194"/>
        <w:gridCol w:w="1928"/>
        <w:gridCol w:w="1733"/>
        <w:gridCol w:w="2358"/>
      </w:tblGrid>
      <w:tr w:rsidR="0047137F" w:rsidRPr="007A7C51" w14:paraId="342ED11A" w14:textId="77777777" w:rsidTr="00892AF6">
        <w:tc>
          <w:tcPr>
            <w:tcW w:w="1803" w:type="dxa"/>
          </w:tcPr>
          <w:p w14:paraId="32C1D787" w14:textId="77777777" w:rsidR="0047137F" w:rsidRPr="007A7C51" w:rsidRDefault="0047137F" w:rsidP="00892AF6">
            <w:pPr>
              <w:spacing w:after="120" w:line="240" w:lineRule="auto"/>
              <w:jc w:val="both"/>
              <w:rPr>
                <w:rFonts w:cs="Times New Roman"/>
                <w:b/>
              </w:rPr>
            </w:pPr>
            <w:r w:rsidRPr="007A7C51">
              <w:rPr>
                <w:rFonts w:cs="Times New Roman"/>
                <w:b/>
              </w:rPr>
              <w:t>Country</w:t>
            </w:r>
          </w:p>
        </w:tc>
        <w:tc>
          <w:tcPr>
            <w:tcW w:w="1194" w:type="dxa"/>
          </w:tcPr>
          <w:p w14:paraId="51761B5A" w14:textId="77777777" w:rsidR="0047137F" w:rsidRPr="007A7C51" w:rsidRDefault="0047137F" w:rsidP="00892AF6">
            <w:pPr>
              <w:spacing w:after="120" w:line="240" w:lineRule="auto"/>
              <w:jc w:val="both"/>
              <w:rPr>
                <w:rFonts w:cs="Times New Roman"/>
                <w:b/>
              </w:rPr>
            </w:pPr>
            <w:r w:rsidRPr="007A7C51">
              <w:rPr>
                <w:rFonts w:cs="Times New Roman"/>
                <w:b/>
              </w:rPr>
              <w:t>Time period of estimation</w:t>
            </w:r>
          </w:p>
        </w:tc>
        <w:tc>
          <w:tcPr>
            <w:tcW w:w="1928" w:type="dxa"/>
          </w:tcPr>
          <w:p w14:paraId="3B042636" w14:textId="77777777" w:rsidR="0047137F" w:rsidRPr="007A7C51" w:rsidRDefault="0047137F" w:rsidP="00892AF6">
            <w:pPr>
              <w:spacing w:after="120" w:line="240" w:lineRule="auto"/>
              <w:jc w:val="both"/>
              <w:rPr>
                <w:rFonts w:cs="Times New Roman"/>
                <w:b/>
              </w:rPr>
            </w:pPr>
            <w:r w:rsidRPr="007A7C51">
              <w:rPr>
                <w:rFonts w:cs="Times New Roman"/>
                <w:b/>
              </w:rPr>
              <w:t>CJD incidence</w:t>
            </w:r>
            <w:r>
              <w:rPr>
                <w:rFonts w:cs="Times New Roman"/>
                <w:b/>
              </w:rPr>
              <w:t xml:space="preserve"> or mortality rate</w:t>
            </w:r>
            <w:r w:rsidRPr="007A7C51">
              <w:rPr>
                <w:rFonts w:cs="Times New Roman"/>
                <w:b/>
              </w:rPr>
              <w:t xml:space="preserve"> per million</w:t>
            </w:r>
          </w:p>
        </w:tc>
        <w:tc>
          <w:tcPr>
            <w:tcW w:w="1733" w:type="dxa"/>
          </w:tcPr>
          <w:p w14:paraId="293AA947" w14:textId="77777777" w:rsidR="0047137F" w:rsidRPr="007A7C51" w:rsidRDefault="0047137F" w:rsidP="00892AF6">
            <w:pPr>
              <w:spacing w:after="120" w:line="240" w:lineRule="auto"/>
              <w:jc w:val="both"/>
              <w:rPr>
                <w:rFonts w:cs="Times New Roman"/>
                <w:b/>
              </w:rPr>
            </w:pPr>
            <w:r w:rsidRPr="007A7C51">
              <w:rPr>
                <w:rFonts w:cs="Times New Roman"/>
                <w:b/>
              </w:rPr>
              <w:t>CJD types included</w:t>
            </w:r>
          </w:p>
        </w:tc>
        <w:tc>
          <w:tcPr>
            <w:tcW w:w="2358" w:type="dxa"/>
          </w:tcPr>
          <w:p w14:paraId="4A7CE375" w14:textId="77777777" w:rsidR="0047137F" w:rsidRPr="007A7C51" w:rsidRDefault="0047137F" w:rsidP="00892AF6">
            <w:pPr>
              <w:spacing w:after="120" w:line="240" w:lineRule="auto"/>
              <w:jc w:val="both"/>
              <w:rPr>
                <w:rFonts w:cs="Times New Roman"/>
                <w:b/>
              </w:rPr>
            </w:pPr>
            <w:r w:rsidRPr="007A7C51">
              <w:rPr>
                <w:rFonts w:cs="Times New Roman"/>
                <w:b/>
              </w:rPr>
              <w:t>Study author/ Source</w:t>
            </w:r>
          </w:p>
        </w:tc>
      </w:tr>
      <w:tr w:rsidR="0047137F" w:rsidRPr="007A7C51" w14:paraId="3B3C2D49" w14:textId="77777777" w:rsidTr="00892AF6">
        <w:tc>
          <w:tcPr>
            <w:tcW w:w="1803" w:type="dxa"/>
          </w:tcPr>
          <w:p w14:paraId="0318A4DF" w14:textId="77777777" w:rsidR="0047137F" w:rsidRPr="005D444F" w:rsidRDefault="0047137F" w:rsidP="00892AF6">
            <w:pPr>
              <w:spacing w:after="120" w:line="240" w:lineRule="auto"/>
              <w:jc w:val="both"/>
              <w:rPr>
                <w:rFonts w:cs="Times New Roman"/>
              </w:rPr>
            </w:pPr>
            <w:r w:rsidRPr="005D444F">
              <w:rPr>
                <w:rFonts w:cs="Times New Roman"/>
              </w:rPr>
              <w:t>Austria</w:t>
            </w:r>
          </w:p>
        </w:tc>
        <w:tc>
          <w:tcPr>
            <w:tcW w:w="1194" w:type="dxa"/>
          </w:tcPr>
          <w:p w14:paraId="6379AAFE" w14:textId="77777777" w:rsidR="0047137F" w:rsidRPr="005D444F" w:rsidRDefault="0047137F" w:rsidP="00892AF6">
            <w:pPr>
              <w:spacing w:after="120" w:line="240" w:lineRule="auto"/>
              <w:jc w:val="both"/>
              <w:rPr>
                <w:rFonts w:cs="Times New Roman"/>
              </w:rPr>
            </w:pPr>
            <w:r w:rsidRPr="005D444F">
              <w:rPr>
                <w:rFonts w:cs="Times New Roman"/>
              </w:rPr>
              <w:t>1993-2017</w:t>
            </w:r>
          </w:p>
        </w:tc>
        <w:tc>
          <w:tcPr>
            <w:tcW w:w="1928" w:type="dxa"/>
          </w:tcPr>
          <w:p w14:paraId="4DA1C404" w14:textId="77777777" w:rsidR="0047137F" w:rsidRPr="005D444F" w:rsidRDefault="0047137F" w:rsidP="00892AF6">
            <w:pPr>
              <w:spacing w:after="120" w:line="240" w:lineRule="auto"/>
              <w:jc w:val="both"/>
              <w:rPr>
                <w:rFonts w:cs="Times New Roman"/>
              </w:rPr>
            </w:pPr>
            <w:r w:rsidRPr="005D444F">
              <w:rPr>
                <w:rFonts w:cs="Times New Roman"/>
              </w:rPr>
              <w:t>1.49</w:t>
            </w:r>
          </w:p>
        </w:tc>
        <w:tc>
          <w:tcPr>
            <w:tcW w:w="1733" w:type="dxa"/>
          </w:tcPr>
          <w:p w14:paraId="51E9B3F4"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0DA98411" w14:textId="4A511706"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58D16051" w14:textId="77777777" w:rsidTr="00892AF6">
        <w:tc>
          <w:tcPr>
            <w:tcW w:w="1803" w:type="dxa"/>
          </w:tcPr>
          <w:p w14:paraId="0EA20A56" w14:textId="77777777" w:rsidR="0047137F" w:rsidRPr="005D444F" w:rsidRDefault="0047137F" w:rsidP="00892AF6">
            <w:pPr>
              <w:spacing w:after="120" w:line="240" w:lineRule="auto"/>
              <w:jc w:val="both"/>
              <w:rPr>
                <w:rFonts w:cs="Times New Roman"/>
              </w:rPr>
            </w:pPr>
            <w:r>
              <w:rPr>
                <w:rFonts w:cs="Times New Roman"/>
              </w:rPr>
              <w:t>Australia</w:t>
            </w:r>
          </w:p>
        </w:tc>
        <w:tc>
          <w:tcPr>
            <w:tcW w:w="1194" w:type="dxa"/>
          </w:tcPr>
          <w:p w14:paraId="79733D49" w14:textId="77777777" w:rsidR="0047137F" w:rsidRPr="005D444F" w:rsidRDefault="0047137F" w:rsidP="00892AF6">
            <w:pPr>
              <w:spacing w:after="120" w:line="240" w:lineRule="auto"/>
              <w:jc w:val="both"/>
              <w:rPr>
                <w:rFonts w:cs="Times New Roman"/>
              </w:rPr>
            </w:pPr>
            <w:r>
              <w:rPr>
                <w:rFonts w:cs="Times New Roman"/>
              </w:rPr>
              <w:t>1993-2016</w:t>
            </w:r>
          </w:p>
        </w:tc>
        <w:tc>
          <w:tcPr>
            <w:tcW w:w="1928" w:type="dxa"/>
          </w:tcPr>
          <w:p w14:paraId="550314A0" w14:textId="77777777" w:rsidR="0047137F" w:rsidRPr="005D444F" w:rsidRDefault="0047137F" w:rsidP="00892AF6">
            <w:pPr>
              <w:spacing w:after="120" w:line="240" w:lineRule="auto"/>
              <w:jc w:val="both"/>
              <w:rPr>
                <w:rFonts w:cs="Times New Roman"/>
              </w:rPr>
            </w:pPr>
            <w:r>
              <w:rPr>
                <w:rFonts w:cs="Times New Roman"/>
              </w:rPr>
              <w:t>1.20</w:t>
            </w:r>
          </w:p>
        </w:tc>
        <w:tc>
          <w:tcPr>
            <w:tcW w:w="1733" w:type="dxa"/>
          </w:tcPr>
          <w:p w14:paraId="723B28BF"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6297136E" w14:textId="7849510A"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33E1A1AE" w14:textId="77777777" w:rsidTr="00892AF6">
        <w:tc>
          <w:tcPr>
            <w:tcW w:w="1803" w:type="dxa"/>
          </w:tcPr>
          <w:p w14:paraId="7368D8D7" w14:textId="77777777" w:rsidR="0047137F" w:rsidRPr="007A7C51" w:rsidRDefault="0047137F" w:rsidP="00892AF6">
            <w:pPr>
              <w:spacing w:after="120" w:line="240" w:lineRule="auto"/>
              <w:jc w:val="both"/>
              <w:rPr>
                <w:rFonts w:cs="Times New Roman"/>
              </w:rPr>
            </w:pPr>
            <w:r w:rsidRPr="007A7C51">
              <w:rPr>
                <w:rFonts w:cs="Times New Roman"/>
              </w:rPr>
              <w:t>Belgium</w:t>
            </w:r>
          </w:p>
        </w:tc>
        <w:tc>
          <w:tcPr>
            <w:tcW w:w="1194" w:type="dxa"/>
          </w:tcPr>
          <w:p w14:paraId="1853B302" w14:textId="77777777" w:rsidR="0047137F" w:rsidRDefault="0047137F" w:rsidP="00892AF6">
            <w:pPr>
              <w:spacing w:after="120" w:line="240" w:lineRule="auto"/>
              <w:jc w:val="both"/>
              <w:rPr>
                <w:rFonts w:cs="Times New Roman"/>
              </w:rPr>
            </w:pPr>
            <w:r>
              <w:rPr>
                <w:rFonts w:cs="Times New Roman"/>
              </w:rPr>
              <w:t>1997-2017</w:t>
            </w:r>
          </w:p>
        </w:tc>
        <w:tc>
          <w:tcPr>
            <w:tcW w:w="1928" w:type="dxa"/>
          </w:tcPr>
          <w:p w14:paraId="5E0713CA" w14:textId="77777777" w:rsidR="0047137F" w:rsidRDefault="0047137F" w:rsidP="00892AF6">
            <w:pPr>
              <w:spacing w:after="120" w:line="240" w:lineRule="auto"/>
              <w:jc w:val="both"/>
              <w:rPr>
                <w:rFonts w:cs="Times New Roman"/>
              </w:rPr>
            </w:pPr>
            <w:r>
              <w:rPr>
                <w:rFonts w:cs="Times New Roman"/>
              </w:rPr>
              <w:t>1.19</w:t>
            </w:r>
          </w:p>
        </w:tc>
        <w:tc>
          <w:tcPr>
            <w:tcW w:w="1733" w:type="dxa"/>
          </w:tcPr>
          <w:p w14:paraId="508F11D6"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1BAC1656" w14:textId="77CBF415"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164DE903" w14:textId="77777777" w:rsidTr="00892AF6">
        <w:tc>
          <w:tcPr>
            <w:tcW w:w="1803" w:type="dxa"/>
          </w:tcPr>
          <w:p w14:paraId="72047224" w14:textId="77777777" w:rsidR="0047137F" w:rsidRPr="007A7C51" w:rsidRDefault="0047137F" w:rsidP="00892AF6">
            <w:pPr>
              <w:spacing w:after="120" w:line="240" w:lineRule="auto"/>
              <w:jc w:val="both"/>
              <w:rPr>
                <w:rFonts w:cs="Times New Roman"/>
              </w:rPr>
            </w:pPr>
            <w:r w:rsidRPr="007A7C51">
              <w:rPr>
                <w:rFonts w:cs="Times New Roman"/>
              </w:rPr>
              <w:t>Canada</w:t>
            </w:r>
          </w:p>
        </w:tc>
        <w:tc>
          <w:tcPr>
            <w:tcW w:w="1194" w:type="dxa"/>
          </w:tcPr>
          <w:p w14:paraId="2F9BB86E" w14:textId="77777777" w:rsidR="0047137F" w:rsidRDefault="0047137F" w:rsidP="00892AF6">
            <w:pPr>
              <w:spacing w:after="120" w:line="240" w:lineRule="auto"/>
              <w:jc w:val="both"/>
              <w:rPr>
                <w:rFonts w:cs="Times New Roman"/>
              </w:rPr>
            </w:pPr>
            <w:r>
              <w:rPr>
                <w:rFonts w:cs="Times New Roman"/>
              </w:rPr>
              <w:t>1994-2017</w:t>
            </w:r>
          </w:p>
        </w:tc>
        <w:tc>
          <w:tcPr>
            <w:tcW w:w="1928" w:type="dxa"/>
          </w:tcPr>
          <w:p w14:paraId="03FF1647" w14:textId="77777777" w:rsidR="0047137F" w:rsidRDefault="0047137F" w:rsidP="00892AF6">
            <w:pPr>
              <w:spacing w:after="120" w:line="240" w:lineRule="auto"/>
              <w:jc w:val="both"/>
              <w:rPr>
                <w:rFonts w:cs="Times New Roman"/>
              </w:rPr>
            </w:pPr>
            <w:r>
              <w:rPr>
                <w:rFonts w:cs="Times New Roman"/>
              </w:rPr>
              <w:t>1.03</w:t>
            </w:r>
          </w:p>
        </w:tc>
        <w:tc>
          <w:tcPr>
            <w:tcW w:w="1733" w:type="dxa"/>
          </w:tcPr>
          <w:p w14:paraId="6C064BC0"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4894FA2A" w14:textId="23CBA337"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1AF45CA7" w14:textId="77777777" w:rsidTr="00892AF6">
        <w:tc>
          <w:tcPr>
            <w:tcW w:w="1803" w:type="dxa"/>
          </w:tcPr>
          <w:p w14:paraId="45F0E411" w14:textId="77777777" w:rsidR="0047137F" w:rsidRPr="007A7C51" w:rsidRDefault="0047137F" w:rsidP="00892AF6">
            <w:pPr>
              <w:spacing w:after="120" w:line="240" w:lineRule="auto"/>
              <w:jc w:val="both"/>
              <w:rPr>
                <w:rFonts w:cs="Times New Roman"/>
              </w:rPr>
            </w:pPr>
            <w:r>
              <w:rPr>
                <w:rFonts w:cs="Times New Roman"/>
              </w:rPr>
              <w:t>Czech Republic</w:t>
            </w:r>
          </w:p>
        </w:tc>
        <w:tc>
          <w:tcPr>
            <w:tcW w:w="1194" w:type="dxa"/>
          </w:tcPr>
          <w:p w14:paraId="456A410F" w14:textId="77777777" w:rsidR="0047137F" w:rsidRDefault="0047137F" w:rsidP="00892AF6">
            <w:pPr>
              <w:spacing w:after="120" w:line="240" w:lineRule="auto"/>
              <w:jc w:val="both"/>
              <w:rPr>
                <w:rFonts w:cs="Times New Roman"/>
              </w:rPr>
            </w:pPr>
            <w:r>
              <w:rPr>
                <w:rFonts w:cs="Times New Roman"/>
              </w:rPr>
              <w:t>2000-2017</w:t>
            </w:r>
          </w:p>
        </w:tc>
        <w:tc>
          <w:tcPr>
            <w:tcW w:w="1928" w:type="dxa"/>
          </w:tcPr>
          <w:p w14:paraId="184EB0F9" w14:textId="77777777" w:rsidR="0047137F" w:rsidRDefault="0047137F" w:rsidP="00892AF6">
            <w:pPr>
              <w:spacing w:after="120" w:line="240" w:lineRule="auto"/>
              <w:jc w:val="both"/>
              <w:rPr>
                <w:rFonts w:cs="Times New Roman"/>
              </w:rPr>
            </w:pPr>
            <w:r>
              <w:rPr>
                <w:rFonts w:cs="Times New Roman"/>
              </w:rPr>
              <w:t>1.16</w:t>
            </w:r>
          </w:p>
        </w:tc>
        <w:tc>
          <w:tcPr>
            <w:tcW w:w="1733" w:type="dxa"/>
          </w:tcPr>
          <w:p w14:paraId="1DE7EFBD"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65E4F0BC" w14:textId="0664BDB6"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5D81910E" w14:textId="77777777" w:rsidTr="00892AF6">
        <w:tc>
          <w:tcPr>
            <w:tcW w:w="1803" w:type="dxa"/>
          </w:tcPr>
          <w:p w14:paraId="2B932BEA" w14:textId="77777777" w:rsidR="0047137F" w:rsidRPr="007A7C51" w:rsidRDefault="0047137F" w:rsidP="00892AF6">
            <w:pPr>
              <w:spacing w:after="120" w:line="240" w:lineRule="auto"/>
              <w:jc w:val="both"/>
              <w:rPr>
                <w:rFonts w:cs="Times New Roman"/>
              </w:rPr>
            </w:pPr>
            <w:r w:rsidRPr="007A7C51">
              <w:rPr>
                <w:rFonts w:cs="Times New Roman"/>
              </w:rPr>
              <w:t>Denmark</w:t>
            </w:r>
          </w:p>
        </w:tc>
        <w:tc>
          <w:tcPr>
            <w:tcW w:w="1194" w:type="dxa"/>
          </w:tcPr>
          <w:p w14:paraId="48088128" w14:textId="77777777" w:rsidR="0047137F" w:rsidRDefault="0047137F" w:rsidP="00892AF6">
            <w:pPr>
              <w:spacing w:after="120" w:line="240" w:lineRule="auto"/>
              <w:jc w:val="both"/>
              <w:rPr>
                <w:rFonts w:cs="Times New Roman"/>
              </w:rPr>
            </w:pPr>
            <w:r>
              <w:rPr>
                <w:rFonts w:cs="Times New Roman"/>
              </w:rPr>
              <w:t>1993-2017</w:t>
            </w:r>
          </w:p>
        </w:tc>
        <w:tc>
          <w:tcPr>
            <w:tcW w:w="1928" w:type="dxa"/>
          </w:tcPr>
          <w:p w14:paraId="094FAA82" w14:textId="77777777" w:rsidR="0047137F" w:rsidRDefault="0047137F" w:rsidP="00892AF6">
            <w:pPr>
              <w:spacing w:after="120" w:line="240" w:lineRule="auto"/>
              <w:jc w:val="both"/>
              <w:rPr>
                <w:rFonts w:cs="Times New Roman"/>
              </w:rPr>
            </w:pPr>
            <w:r>
              <w:rPr>
                <w:rFonts w:cs="Times New Roman"/>
              </w:rPr>
              <w:t>1.45</w:t>
            </w:r>
          </w:p>
        </w:tc>
        <w:tc>
          <w:tcPr>
            <w:tcW w:w="1733" w:type="dxa"/>
          </w:tcPr>
          <w:p w14:paraId="504D01EF"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35501D52" w14:textId="07541E56"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37907B21" w14:textId="77777777" w:rsidTr="00892AF6">
        <w:tc>
          <w:tcPr>
            <w:tcW w:w="1803" w:type="dxa"/>
          </w:tcPr>
          <w:p w14:paraId="4EA69DC0" w14:textId="77777777" w:rsidR="0047137F" w:rsidRPr="007A7C51" w:rsidRDefault="0047137F" w:rsidP="00892AF6">
            <w:pPr>
              <w:spacing w:after="120" w:line="240" w:lineRule="auto"/>
              <w:jc w:val="both"/>
              <w:rPr>
                <w:rFonts w:cs="Times New Roman"/>
              </w:rPr>
            </w:pPr>
            <w:r>
              <w:rPr>
                <w:rFonts w:cs="Times New Roman"/>
              </w:rPr>
              <w:t>Estonia</w:t>
            </w:r>
          </w:p>
        </w:tc>
        <w:tc>
          <w:tcPr>
            <w:tcW w:w="1194" w:type="dxa"/>
          </w:tcPr>
          <w:p w14:paraId="68FEBC85" w14:textId="77777777" w:rsidR="0047137F" w:rsidRDefault="0047137F" w:rsidP="00892AF6">
            <w:pPr>
              <w:spacing w:after="120" w:line="240" w:lineRule="auto"/>
              <w:jc w:val="both"/>
              <w:rPr>
                <w:rFonts w:cs="Times New Roman"/>
              </w:rPr>
            </w:pPr>
            <w:r>
              <w:rPr>
                <w:rFonts w:cs="Times New Roman"/>
              </w:rPr>
              <w:t>2004-2017</w:t>
            </w:r>
          </w:p>
        </w:tc>
        <w:tc>
          <w:tcPr>
            <w:tcW w:w="1928" w:type="dxa"/>
          </w:tcPr>
          <w:p w14:paraId="0F931821" w14:textId="77777777" w:rsidR="0047137F" w:rsidRDefault="0047137F" w:rsidP="00892AF6">
            <w:pPr>
              <w:spacing w:after="120" w:line="240" w:lineRule="auto"/>
              <w:jc w:val="both"/>
              <w:rPr>
                <w:rFonts w:cs="Times New Roman"/>
              </w:rPr>
            </w:pPr>
            <w:r>
              <w:rPr>
                <w:rFonts w:cs="Times New Roman"/>
              </w:rPr>
              <w:t>0.32</w:t>
            </w:r>
          </w:p>
        </w:tc>
        <w:tc>
          <w:tcPr>
            <w:tcW w:w="1733" w:type="dxa"/>
          </w:tcPr>
          <w:p w14:paraId="19116D5A" w14:textId="77777777" w:rsidR="0047137F" w:rsidRPr="007A7C51" w:rsidRDefault="0047137F" w:rsidP="00892AF6">
            <w:pPr>
              <w:spacing w:after="120" w:line="240" w:lineRule="auto"/>
              <w:jc w:val="both"/>
              <w:rPr>
                <w:rFonts w:cs="Times New Roman"/>
              </w:rPr>
            </w:pPr>
            <w:r>
              <w:rPr>
                <w:rFonts w:cs="Times New Roman"/>
              </w:rPr>
              <w:t>Sporadic</w:t>
            </w:r>
          </w:p>
        </w:tc>
        <w:tc>
          <w:tcPr>
            <w:tcW w:w="2358" w:type="dxa"/>
          </w:tcPr>
          <w:p w14:paraId="4C9CD47C" w14:textId="011E5E3C" w:rsidR="0047137F" w:rsidRPr="007A7C51" w:rsidRDefault="0047137F" w:rsidP="0047137F">
            <w:pPr>
              <w:spacing w:after="120" w:line="240" w:lineRule="auto"/>
              <w:jc w:val="both"/>
              <w:rPr>
                <w:rFonts w:cs="Times New Roman"/>
              </w:rPr>
            </w:pPr>
            <w:r>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6D204167" w14:textId="77777777" w:rsidTr="00892AF6">
        <w:tc>
          <w:tcPr>
            <w:tcW w:w="1803" w:type="dxa"/>
          </w:tcPr>
          <w:p w14:paraId="3CD071E9" w14:textId="77777777" w:rsidR="0047137F" w:rsidRPr="007A7C51" w:rsidRDefault="0047137F" w:rsidP="00892AF6">
            <w:pPr>
              <w:spacing w:after="120" w:line="240" w:lineRule="auto"/>
              <w:jc w:val="both"/>
              <w:rPr>
                <w:rFonts w:cs="Times New Roman"/>
              </w:rPr>
            </w:pPr>
            <w:r w:rsidRPr="007A7C51">
              <w:rPr>
                <w:rFonts w:cs="Times New Roman"/>
              </w:rPr>
              <w:t>France</w:t>
            </w:r>
          </w:p>
        </w:tc>
        <w:tc>
          <w:tcPr>
            <w:tcW w:w="1194" w:type="dxa"/>
          </w:tcPr>
          <w:p w14:paraId="23AED814" w14:textId="77777777" w:rsidR="0047137F" w:rsidRDefault="0047137F" w:rsidP="00892AF6">
            <w:pPr>
              <w:spacing w:after="120" w:line="240" w:lineRule="auto"/>
              <w:jc w:val="both"/>
              <w:rPr>
                <w:rFonts w:cs="Times New Roman"/>
              </w:rPr>
            </w:pPr>
            <w:r>
              <w:rPr>
                <w:rFonts w:cs="Times New Roman"/>
              </w:rPr>
              <w:t>1993-2017</w:t>
            </w:r>
          </w:p>
        </w:tc>
        <w:tc>
          <w:tcPr>
            <w:tcW w:w="1928" w:type="dxa"/>
          </w:tcPr>
          <w:p w14:paraId="05A44858" w14:textId="77777777" w:rsidR="0047137F" w:rsidRDefault="0047137F" w:rsidP="00892AF6">
            <w:pPr>
              <w:spacing w:after="120" w:line="240" w:lineRule="auto"/>
              <w:jc w:val="both"/>
              <w:rPr>
                <w:rFonts w:cs="Times New Roman"/>
              </w:rPr>
            </w:pPr>
            <w:r>
              <w:rPr>
                <w:rFonts w:cs="Times New Roman"/>
              </w:rPr>
              <w:t>1.53</w:t>
            </w:r>
          </w:p>
        </w:tc>
        <w:tc>
          <w:tcPr>
            <w:tcW w:w="1733" w:type="dxa"/>
          </w:tcPr>
          <w:p w14:paraId="0A77F99D"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37AFC4DE" w14:textId="191E59A3"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6F76833C" w14:textId="77777777" w:rsidTr="00892AF6">
        <w:tc>
          <w:tcPr>
            <w:tcW w:w="1803" w:type="dxa"/>
          </w:tcPr>
          <w:p w14:paraId="0979F492" w14:textId="77777777" w:rsidR="0047137F" w:rsidRPr="007A7C51" w:rsidRDefault="0047137F" w:rsidP="00892AF6">
            <w:pPr>
              <w:spacing w:after="120" w:line="240" w:lineRule="auto"/>
              <w:jc w:val="both"/>
              <w:rPr>
                <w:rFonts w:cs="Times New Roman"/>
              </w:rPr>
            </w:pPr>
            <w:r>
              <w:rPr>
                <w:rFonts w:cs="Times New Roman"/>
              </w:rPr>
              <w:t>Germany</w:t>
            </w:r>
          </w:p>
        </w:tc>
        <w:tc>
          <w:tcPr>
            <w:tcW w:w="1194" w:type="dxa"/>
          </w:tcPr>
          <w:p w14:paraId="26A84AF3" w14:textId="77777777" w:rsidR="0047137F" w:rsidRDefault="0047137F" w:rsidP="00892AF6">
            <w:pPr>
              <w:spacing w:after="120" w:line="240" w:lineRule="auto"/>
              <w:jc w:val="both"/>
              <w:rPr>
                <w:rFonts w:cs="Times New Roman"/>
              </w:rPr>
            </w:pPr>
            <w:r>
              <w:rPr>
                <w:rFonts w:cs="Times New Roman"/>
              </w:rPr>
              <w:t>1993-2017</w:t>
            </w:r>
          </w:p>
        </w:tc>
        <w:tc>
          <w:tcPr>
            <w:tcW w:w="1928" w:type="dxa"/>
          </w:tcPr>
          <w:p w14:paraId="215011D0" w14:textId="77777777" w:rsidR="0047137F" w:rsidRDefault="0047137F" w:rsidP="00892AF6">
            <w:pPr>
              <w:spacing w:after="120" w:line="240" w:lineRule="auto"/>
              <w:jc w:val="both"/>
              <w:rPr>
                <w:rFonts w:cs="Times New Roman"/>
              </w:rPr>
            </w:pPr>
            <w:r>
              <w:rPr>
                <w:rFonts w:cs="Times New Roman"/>
              </w:rPr>
              <w:t>1.36</w:t>
            </w:r>
          </w:p>
        </w:tc>
        <w:tc>
          <w:tcPr>
            <w:tcW w:w="1733" w:type="dxa"/>
          </w:tcPr>
          <w:p w14:paraId="17C8219F"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73BE880E" w14:textId="2AD1B67C"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4A0666C3" w14:textId="77777777" w:rsidTr="00892AF6">
        <w:tc>
          <w:tcPr>
            <w:tcW w:w="1803" w:type="dxa"/>
          </w:tcPr>
          <w:p w14:paraId="30958245" w14:textId="77777777" w:rsidR="0047137F" w:rsidRDefault="0047137F" w:rsidP="00892AF6">
            <w:pPr>
              <w:spacing w:after="120" w:line="240" w:lineRule="auto"/>
              <w:jc w:val="both"/>
              <w:rPr>
                <w:rFonts w:cs="Times New Roman"/>
              </w:rPr>
            </w:pPr>
            <w:r>
              <w:rPr>
                <w:rFonts w:cs="Times New Roman"/>
              </w:rPr>
              <w:t>Hungary</w:t>
            </w:r>
          </w:p>
        </w:tc>
        <w:tc>
          <w:tcPr>
            <w:tcW w:w="1194" w:type="dxa"/>
          </w:tcPr>
          <w:p w14:paraId="72B35313" w14:textId="77777777" w:rsidR="0047137F" w:rsidRDefault="0047137F" w:rsidP="00892AF6">
            <w:pPr>
              <w:spacing w:after="120" w:line="240" w:lineRule="auto"/>
              <w:jc w:val="both"/>
              <w:rPr>
                <w:rFonts w:cs="Times New Roman"/>
              </w:rPr>
            </w:pPr>
            <w:r>
              <w:rPr>
                <w:rFonts w:cs="Times New Roman"/>
              </w:rPr>
              <w:t>1997-2017</w:t>
            </w:r>
          </w:p>
        </w:tc>
        <w:tc>
          <w:tcPr>
            <w:tcW w:w="1928" w:type="dxa"/>
          </w:tcPr>
          <w:p w14:paraId="64870114" w14:textId="77777777" w:rsidR="0047137F" w:rsidRDefault="0047137F" w:rsidP="00892AF6">
            <w:pPr>
              <w:spacing w:after="120" w:line="240" w:lineRule="auto"/>
              <w:jc w:val="both"/>
              <w:rPr>
                <w:rFonts w:cs="Times New Roman"/>
              </w:rPr>
            </w:pPr>
            <w:r>
              <w:rPr>
                <w:rFonts w:cs="Times New Roman"/>
              </w:rPr>
              <w:t>1.07</w:t>
            </w:r>
          </w:p>
        </w:tc>
        <w:tc>
          <w:tcPr>
            <w:tcW w:w="1733" w:type="dxa"/>
          </w:tcPr>
          <w:p w14:paraId="2A413BCD"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239FF1A7" w14:textId="07F42B64"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59F81C51" w14:textId="77777777" w:rsidTr="00892AF6">
        <w:tc>
          <w:tcPr>
            <w:tcW w:w="1803" w:type="dxa"/>
          </w:tcPr>
          <w:p w14:paraId="72A13189" w14:textId="77777777" w:rsidR="0047137F" w:rsidRDefault="0047137F" w:rsidP="00892AF6">
            <w:pPr>
              <w:spacing w:after="120" w:line="240" w:lineRule="auto"/>
              <w:jc w:val="both"/>
              <w:rPr>
                <w:rFonts w:cs="Times New Roman"/>
              </w:rPr>
            </w:pPr>
            <w:r>
              <w:rPr>
                <w:rFonts w:cs="Times New Roman"/>
              </w:rPr>
              <w:t>Italy</w:t>
            </w:r>
          </w:p>
        </w:tc>
        <w:tc>
          <w:tcPr>
            <w:tcW w:w="1194" w:type="dxa"/>
          </w:tcPr>
          <w:p w14:paraId="2CF647C9" w14:textId="77777777" w:rsidR="0047137F" w:rsidRDefault="0047137F" w:rsidP="00892AF6">
            <w:pPr>
              <w:spacing w:after="120" w:line="240" w:lineRule="auto"/>
              <w:jc w:val="both"/>
              <w:rPr>
                <w:rFonts w:cs="Times New Roman"/>
              </w:rPr>
            </w:pPr>
            <w:r>
              <w:rPr>
                <w:rFonts w:cs="Times New Roman"/>
              </w:rPr>
              <w:t>1993-2017</w:t>
            </w:r>
          </w:p>
        </w:tc>
        <w:tc>
          <w:tcPr>
            <w:tcW w:w="1928" w:type="dxa"/>
          </w:tcPr>
          <w:p w14:paraId="7F2CBCF6" w14:textId="77777777" w:rsidR="0047137F" w:rsidRDefault="0047137F" w:rsidP="00892AF6">
            <w:pPr>
              <w:spacing w:after="120" w:line="240" w:lineRule="auto"/>
              <w:jc w:val="both"/>
              <w:rPr>
                <w:rFonts w:cs="Times New Roman"/>
              </w:rPr>
            </w:pPr>
            <w:r>
              <w:rPr>
                <w:rFonts w:cs="Times New Roman"/>
              </w:rPr>
              <w:t>1.44</w:t>
            </w:r>
          </w:p>
        </w:tc>
        <w:tc>
          <w:tcPr>
            <w:tcW w:w="1733" w:type="dxa"/>
          </w:tcPr>
          <w:p w14:paraId="725A2C7D"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0869B2AC" w14:textId="2540F5F9"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3ECFDB84" w14:textId="77777777" w:rsidTr="00892AF6">
        <w:tc>
          <w:tcPr>
            <w:tcW w:w="1803" w:type="dxa"/>
          </w:tcPr>
          <w:p w14:paraId="1E63333C" w14:textId="77777777" w:rsidR="0047137F" w:rsidRDefault="0047137F" w:rsidP="00892AF6">
            <w:pPr>
              <w:spacing w:after="120" w:line="240" w:lineRule="auto"/>
              <w:jc w:val="both"/>
              <w:rPr>
                <w:rFonts w:cs="Times New Roman"/>
              </w:rPr>
            </w:pPr>
            <w:r>
              <w:rPr>
                <w:rFonts w:cs="Times New Roman"/>
              </w:rPr>
              <w:t>Netherlands</w:t>
            </w:r>
          </w:p>
        </w:tc>
        <w:tc>
          <w:tcPr>
            <w:tcW w:w="1194" w:type="dxa"/>
          </w:tcPr>
          <w:p w14:paraId="5EB1362C" w14:textId="77777777" w:rsidR="0047137F" w:rsidRDefault="0047137F" w:rsidP="00892AF6">
            <w:pPr>
              <w:spacing w:after="120" w:line="240" w:lineRule="auto"/>
              <w:jc w:val="both"/>
              <w:rPr>
                <w:rFonts w:cs="Times New Roman"/>
              </w:rPr>
            </w:pPr>
            <w:r>
              <w:rPr>
                <w:rFonts w:cs="Times New Roman"/>
              </w:rPr>
              <w:t>1993-2017</w:t>
            </w:r>
          </w:p>
        </w:tc>
        <w:tc>
          <w:tcPr>
            <w:tcW w:w="1928" w:type="dxa"/>
          </w:tcPr>
          <w:p w14:paraId="4F782AB9" w14:textId="77777777" w:rsidR="0047137F" w:rsidRDefault="0047137F" w:rsidP="00892AF6">
            <w:pPr>
              <w:spacing w:after="120" w:line="240" w:lineRule="auto"/>
              <w:jc w:val="both"/>
              <w:rPr>
                <w:rFonts w:cs="Times New Roman"/>
              </w:rPr>
            </w:pPr>
            <w:r>
              <w:rPr>
                <w:rFonts w:cs="Times New Roman"/>
              </w:rPr>
              <w:t>1.21</w:t>
            </w:r>
          </w:p>
        </w:tc>
        <w:tc>
          <w:tcPr>
            <w:tcW w:w="1733" w:type="dxa"/>
          </w:tcPr>
          <w:p w14:paraId="500BD4E5"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70F33F4A" w14:textId="37E65BCD"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4C5CC22C" w14:textId="77777777" w:rsidTr="00892AF6">
        <w:tc>
          <w:tcPr>
            <w:tcW w:w="1803" w:type="dxa"/>
          </w:tcPr>
          <w:p w14:paraId="47252481" w14:textId="77777777" w:rsidR="0047137F" w:rsidRDefault="0047137F" w:rsidP="00892AF6">
            <w:pPr>
              <w:spacing w:after="120" w:line="240" w:lineRule="auto"/>
              <w:jc w:val="both"/>
              <w:rPr>
                <w:rFonts w:cs="Times New Roman"/>
              </w:rPr>
            </w:pPr>
            <w:r>
              <w:rPr>
                <w:rFonts w:cs="Times New Roman"/>
              </w:rPr>
              <w:t>Norway</w:t>
            </w:r>
          </w:p>
        </w:tc>
        <w:tc>
          <w:tcPr>
            <w:tcW w:w="1194" w:type="dxa"/>
          </w:tcPr>
          <w:p w14:paraId="76F642A0" w14:textId="77777777" w:rsidR="0047137F" w:rsidRDefault="0047137F" w:rsidP="00892AF6">
            <w:pPr>
              <w:spacing w:after="120" w:line="240" w:lineRule="auto"/>
              <w:jc w:val="both"/>
              <w:rPr>
                <w:rFonts w:cs="Times New Roman"/>
              </w:rPr>
            </w:pPr>
            <w:r>
              <w:rPr>
                <w:rFonts w:cs="Times New Roman"/>
              </w:rPr>
              <w:t>1995-2017</w:t>
            </w:r>
          </w:p>
        </w:tc>
        <w:tc>
          <w:tcPr>
            <w:tcW w:w="1928" w:type="dxa"/>
          </w:tcPr>
          <w:p w14:paraId="6066E531" w14:textId="77777777" w:rsidR="0047137F" w:rsidRDefault="0047137F" w:rsidP="00892AF6">
            <w:pPr>
              <w:spacing w:after="120" w:line="240" w:lineRule="auto"/>
              <w:jc w:val="both"/>
              <w:rPr>
                <w:rFonts w:cs="Times New Roman"/>
              </w:rPr>
            </w:pPr>
            <w:r>
              <w:rPr>
                <w:rFonts w:cs="Times New Roman"/>
              </w:rPr>
              <w:t>0.96</w:t>
            </w:r>
          </w:p>
        </w:tc>
        <w:tc>
          <w:tcPr>
            <w:tcW w:w="1733" w:type="dxa"/>
          </w:tcPr>
          <w:p w14:paraId="66736662"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742BB8C8" w14:textId="25A7E4F1"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6CD7CAA8" w14:textId="77777777" w:rsidTr="00892AF6">
        <w:tc>
          <w:tcPr>
            <w:tcW w:w="1803" w:type="dxa"/>
          </w:tcPr>
          <w:p w14:paraId="1D91F305" w14:textId="77777777" w:rsidR="0047137F" w:rsidRDefault="0047137F" w:rsidP="00892AF6">
            <w:pPr>
              <w:spacing w:after="120" w:line="240" w:lineRule="auto"/>
              <w:jc w:val="both"/>
              <w:rPr>
                <w:rFonts w:cs="Times New Roman"/>
              </w:rPr>
            </w:pPr>
            <w:r>
              <w:rPr>
                <w:rFonts w:cs="Times New Roman"/>
              </w:rPr>
              <w:t>Slovakia</w:t>
            </w:r>
          </w:p>
        </w:tc>
        <w:tc>
          <w:tcPr>
            <w:tcW w:w="1194" w:type="dxa"/>
          </w:tcPr>
          <w:p w14:paraId="0324C2EA" w14:textId="77777777" w:rsidR="0047137F" w:rsidRDefault="0047137F" w:rsidP="00892AF6">
            <w:pPr>
              <w:spacing w:after="120" w:line="240" w:lineRule="auto"/>
              <w:jc w:val="both"/>
              <w:rPr>
                <w:rFonts w:cs="Times New Roman"/>
              </w:rPr>
            </w:pPr>
            <w:r>
              <w:rPr>
                <w:rFonts w:cs="Times New Roman"/>
              </w:rPr>
              <w:t>1993-2017</w:t>
            </w:r>
          </w:p>
        </w:tc>
        <w:tc>
          <w:tcPr>
            <w:tcW w:w="1928" w:type="dxa"/>
          </w:tcPr>
          <w:p w14:paraId="3456320C" w14:textId="77777777" w:rsidR="0047137F" w:rsidRDefault="0047137F" w:rsidP="00892AF6">
            <w:pPr>
              <w:spacing w:after="120" w:line="240" w:lineRule="auto"/>
              <w:jc w:val="both"/>
              <w:rPr>
                <w:rFonts w:cs="Times New Roman"/>
              </w:rPr>
            </w:pPr>
            <w:r>
              <w:rPr>
                <w:rFonts w:cs="Times New Roman"/>
              </w:rPr>
              <w:t>0.85</w:t>
            </w:r>
          </w:p>
        </w:tc>
        <w:tc>
          <w:tcPr>
            <w:tcW w:w="1733" w:type="dxa"/>
          </w:tcPr>
          <w:p w14:paraId="69CAC230"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22889563" w14:textId="391AAC2B"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5CEE3FB3" w14:textId="77777777" w:rsidTr="00892AF6">
        <w:tc>
          <w:tcPr>
            <w:tcW w:w="1803" w:type="dxa"/>
          </w:tcPr>
          <w:p w14:paraId="2D868B1D" w14:textId="77777777" w:rsidR="0047137F" w:rsidRDefault="0047137F" w:rsidP="00892AF6">
            <w:pPr>
              <w:spacing w:after="120" w:line="240" w:lineRule="auto"/>
              <w:jc w:val="both"/>
              <w:rPr>
                <w:rFonts w:cs="Times New Roman"/>
              </w:rPr>
            </w:pPr>
            <w:r>
              <w:rPr>
                <w:rFonts w:cs="Times New Roman"/>
              </w:rPr>
              <w:t>Slovenia</w:t>
            </w:r>
          </w:p>
        </w:tc>
        <w:tc>
          <w:tcPr>
            <w:tcW w:w="1194" w:type="dxa"/>
          </w:tcPr>
          <w:p w14:paraId="1D93A996" w14:textId="77777777" w:rsidR="0047137F" w:rsidRDefault="0047137F" w:rsidP="00892AF6">
            <w:pPr>
              <w:spacing w:after="120" w:line="240" w:lineRule="auto"/>
              <w:jc w:val="both"/>
              <w:rPr>
                <w:rFonts w:cs="Times New Roman"/>
              </w:rPr>
            </w:pPr>
            <w:r>
              <w:rPr>
                <w:rFonts w:cs="Times New Roman"/>
              </w:rPr>
              <w:t>1993-2017</w:t>
            </w:r>
          </w:p>
        </w:tc>
        <w:tc>
          <w:tcPr>
            <w:tcW w:w="1928" w:type="dxa"/>
          </w:tcPr>
          <w:p w14:paraId="44DD8EFF" w14:textId="77777777" w:rsidR="0047137F" w:rsidRDefault="0047137F" w:rsidP="00892AF6">
            <w:pPr>
              <w:spacing w:after="120" w:line="240" w:lineRule="auto"/>
              <w:jc w:val="both"/>
              <w:rPr>
                <w:rFonts w:cs="Times New Roman"/>
              </w:rPr>
            </w:pPr>
            <w:r>
              <w:rPr>
                <w:rFonts w:cs="Times New Roman"/>
              </w:rPr>
              <w:t>1.38</w:t>
            </w:r>
          </w:p>
        </w:tc>
        <w:tc>
          <w:tcPr>
            <w:tcW w:w="1733" w:type="dxa"/>
          </w:tcPr>
          <w:p w14:paraId="02C3ACA0"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27C21D64" w14:textId="5AD4023C"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065B3EEE" w14:textId="77777777" w:rsidTr="00892AF6">
        <w:tc>
          <w:tcPr>
            <w:tcW w:w="1803" w:type="dxa"/>
          </w:tcPr>
          <w:p w14:paraId="3B0E939D" w14:textId="77777777" w:rsidR="0047137F" w:rsidRDefault="0047137F" w:rsidP="00892AF6">
            <w:pPr>
              <w:spacing w:after="120" w:line="240" w:lineRule="auto"/>
              <w:jc w:val="both"/>
              <w:rPr>
                <w:rFonts w:cs="Times New Roman"/>
              </w:rPr>
            </w:pPr>
            <w:r w:rsidRPr="007A7C51">
              <w:rPr>
                <w:rFonts w:cs="Times New Roman"/>
              </w:rPr>
              <w:t>Spain</w:t>
            </w:r>
          </w:p>
        </w:tc>
        <w:tc>
          <w:tcPr>
            <w:tcW w:w="1194" w:type="dxa"/>
          </w:tcPr>
          <w:p w14:paraId="3941C2DB" w14:textId="77777777" w:rsidR="0047137F" w:rsidRDefault="0047137F" w:rsidP="00892AF6">
            <w:pPr>
              <w:spacing w:after="120" w:line="240" w:lineRule="auto"/>
              <w:jc w:val="both"/>
              <w:rPr>
                <w:rFonts w:cs="Times New Roman"/>
              </w:rPr>
            </w:pPr>
            <w:r>
              <w:rPr>
                <w:rFonts w:cs="Times New Roman"/>
              </w:rPr>
              <w:t>1993-2017</w:t>
            </w:r>
          </w:p>
        </w:tc>
        <w:tc>
          <w:tcPr>
            <w:tcW w:w="1928" w:type="dxa"/>
          </w:tcPr>
          <w:p w14:paraId="2ADD16B7" w14:textId="77777777" w:rsidR="0047137F" w:rsidRDefault="0047137F" w:rsidP="00892AF6">
            <w:pPr>
              <w:spacing w:after="120" w:line="240" w:lineRule="auto"/>
              <w:jc w:val="both"/>
              <w:rPr>
                <w:rFonts w:cs="Times New Roman"/>
              </w:rPr>
            </w:pPr>
            <w:r>
              <w:rPr>
                <w:rFonts w:cs="Times New Roman"/>
              </w:rPr>
              <w:t>1.30</w:t>
            </w:r>
          </w:p>
        </w:tc>
        <w:tc>
          <w:tcPr>
            <w:tcW w:w="1733" w:type="dxa"/>
          </w:tcPr>
          <w:p w14:paraId="7EBD2512" w14:textId="77777777" w:rsidR="0047137F" w:rsidRPr="007A7C51" w:rsidRDefault="0047137F" w:rsidP="00892AF6">
            <w:pPr>
              <w:spacing w:after="120" w:line="240" w:lineRule="auto"/>
              <w:jc w:val="both"/>
              <w:rPr>
                <w:rFonts w:cs="Times New Roman"/>
                <w:b/>
              </w:rPr>
            </w:pPr>
            <w:r w:rsidRPr="007A7C51">
              <w:rPr>
                <w:rFonts w:cs="Times New Roman"/>
              </w:rPr>
              <w:t>Sporadic</w:t>
            </w:r>
          </w:p>
        </w:tc>
        <w:tc>
          <w:tcPr>
            <w:tcW w:w="2358" w:type="dxa"/>
          </w:tcPr>
          <w:p w14:paraId="39442564" w14:textId="6F6082FA" w:rsidR="0047137F" w:rsidRPr="007A7C51" w:rsidRDefault="0047137F" w:rsidP="0047137F">
            <w:pPr>
              <w:spacing w:after="120" w:line="240" w:lineRule="auto"/>
              <w:jc w:val="both"/>
              <w:rPr>
                <w:rFonts w:cs="Times New Roman"/>
                <w:b/>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5248AAA8" w14:textId="77777777" w:rsidTr="00892AF6">
        <w:tc>
          <w:tcPr>
            <w:tcW w:w="1803" w:type="dxa"/>
          </w:tcPr>
          <w:p w14:paraId="7589DC84" w14:textId="77777777" w:rsidR="0047137F" w:rsidRPr="007A7C51" w:rsidRDefault="0047137F" w:rsidP="00892AF6">
            <w:pPr>
              <w:spacing w:after="120" w:line="240" w:lineRule="auto"/>
              <w:jc w:val="both"/>
              <w:rPr>
                <w:rFonts w:cs="Times New Roman"/>
              </w:rPr>
            </w:pPr>
            <w:r w:rsidRPr="007A7C51">
              <w:rPr>
                <w:rFonts w:cs="Times New Roman"/>
              </w:rPr>
              <w:t>UK</w:t>
            </w:r>
          </w:p>
        </w:tc>
        <w:tc>
          <w:tcPr>
            <w:tcW w:w="1194" w:type="dxa"/>
          </w:tcPr>
          <w:p w14:paraId="44DDACAA" w14:textId="77777777" w:rsidR="0047137F" w:rsidRPr="007A7C51" w:rsidRDefault="0047137F" w:rsidP="00892AF6">
            <w:pPr>
              <w:spacing w:after="120" w:line="240" w:lineRule="auto"/>
              <w:jc w:val="both"/>
              <w:rPr>
                <w:rFonts w:cs="Times New Roman"/>
              </w:rPr>
            </w:pPr>
            <w:r>
              <w:rPr>
                <w:rFonts w:cs="Times New Roman"/>
              </w:rPr>
              <w:t>1993-2017</w:t>
            </w:r>
          </w:p>
        </w:tc>
        <w:tc>
          <w:tcPr>
            <w:tcW w:w="1928" w:type="dxa"/>
          </w:tcPr>
          <w:p w14:paraId="0735C137" w14:textId="77777777" w:rsidR="0047137F" w:rsidRPr="007A7C51" w:rsidRDefault="0047137F" w:rsidP="00892AF6">
            <w:pPr>
              <w:spacing w:after="120" w:line="240" w:lineRule="auto"/>
              <w:jc w:val="both"/>
              <w:rPr>
                <w:rFonts w:cs="Times New Roman"/>
              </w:rPr>
            </w:pPr>
            <w:r>
              <w:rPr>
                <w:rFonts w:cs="Times New Roman"/>
              </w:rPr>
              <w:t>1.19</w:t>
            </w:r>
          </w:p>
        </w:tc>
        <w:tc>
          <w:tcPr>
            <w:tcW w:w="1733" w:type="dxa"/>
          </w:tcPr>
          <w:p w14:paraId="34420B16" w14:textId="77777777" w:rsidR="0047137F" w:rsidRPr="007A7C51" w:rsidRDefault="0047137F" w:rsidP="00892AF6">
            <w:pPr>
              <w:spacing w:after="120" w:line="240" w:lineRule="auto"/>
              <w:jc w:val="both"/>
              <w:rPr>
                <w:rFonts w:cs="Times New Roman"/>
              </w:rPr>
            </w:pPr>
            <w:r w:rsidRPr="007A7C51">
              <w:rPr>
                <w:rFonts w:cs="Times New Roman"/>
              </w:rPr>
              <w:t>Sporadic</w:t>
            </w:r>
          </w:p>
        </w:tc>
        <w:tc>
          <w:tcPr>
            <w:tcW w:w="2358" w:type="dxa"/>
          </w:tcPr>
          <w:p w14:paraId="64B015FE" w14:textId="099C793D" w:rsidR="0047137F" w:rsidRPr="007A7C51" w:rsidRDefault="0047137F" w:rsidP="00892AF6">
            <w:pPr>
              <w:spacing w:after="120" w:line="240" w:lineRule="auto"/>
              <w:jc w:val="both"/>
              <w:rPr>
                <w:rFonts w:cs="Times New Roman"/>
              </w:rPr>
            </w:pPr>
            <w:r w:rsidRPr="007A7C51">
              <w:rPr>
                <w:rFonts w:cs="Times New Roman"/>
              </w:rPr>
              <w:t>NCJDRSU 2016</w:t>
            </w:r>
            <w:r w:rsidRPr="007A7C51">
              <w:rPr>
                <w:rFonts w:cs="Times New Roman"/>
              </w:rPr>
              <w:fldChar w:fldCharType="begin"/>
            </w:r>
            <w:r w:rsidR="00892AF6">
              <w:rPr>
                <w:rFonts w:cs="Times New Roman"/>
              </w:rPr>
              <w:instrText xml:space="preserve"> ADDIN EN.CITE &lt;EndNote&gt;&lt;Cite&gt;&lt;Author&gt;The University of Edinburgh&lt;/Author&gt;&lt;Year&gt;2017&lt;/Year&gt;&lt;RecNum&gt;583&lt;/RecNum&gt;&lt;DisplayText&gt;&lt;style face="superscript"&gt;1&lt;/style&gt;&lt;/DisplayText&gt;&lt;record&gt;&lt;rec-number&gt;583&lt;/rec-number&gt;&lt;foreign-keys&gt;&lt;key app="EN" db-id="vrp0pptazv05wtesfz5vrzsj2p0rv09ttsa9" timestamp="1499838798" guid="ed2e9fbb-6748-4e41-8f56-99399974de37"&gt;583&lt;/key&gt;&lt;/foreign-keys&gt;&lt;ref-type name="Web Page"&gt;12&lt;/ref-type&gt;&lt;contributors&gt;&lt;authors&gt;&lt;author&gt;The University of Edinburgh,&lt;/author&gt;&lt;/authors&gt;&lt;/contributors&gt;&lt;titles&gt;&lt;title&gt;The National CJD Research &amp;amp; Surveilance Unit (NCJDRSU)&lt;/title&gt;&lt;/titles&gt;&lt;number&gt;11.07.2017&lt;/number&gt;&lt;keywords&gt;&lt;keyword&gt;$$Lesley added for protocol&lt;/keyword&gt;&lt;keyword&gt;$$Background&lt;/keyword&gt;&lt;keyword&gt;$$CJD relevant&lt;/keyword&gt;&lt;/keywords&gt;&lt;dates&gt;&lt;year&gt;2017&lt;/year&gt;&lt;/dates&gt;&lt;urls&gt;&lt;related-urls&gt;&lt;url&gt;&lt;style face="underline" font="default" size="100%"&gt;http://www.cjd.ed.ac.uk/&lt;/style&gt;&lt;/url&gt;&lt;/related-urls&gt;&lt;/urls&gt;&lt;/record&gt;&lt;/Cite&gt;&lt;/EndNote&gt;</w:instrText>
            </w:r>
            <w:r w:rsidRPr="007A7C51">
              <w:rPr>
                <w:rFonts w:cs="Times New Roman"/>
              </w:rPr>
              <w:fldChar w:fldCharType="separate"/>
            </w:r>
            <w:r w:rsidRPr="001D65B2">
              <w:rPr>
                <w:rFonts w:cs="Times New Roman"/>
                <w:noProof/>
                <w:vertAlign w:val="superscript"/>
              </w:rPr>
              <w:t>1</w:t>
            </w:r>
            <w:r w:rsidRPr="007A7C51">
              <w:rPr>
                <w:rFonts w:cs="Times New Roman"/>
              </w:rPr>
              <w:fldChar w:fldCharType="end"/>
            </w:r>
          </w:p>
        </w:tc>
      </w:tr>
      <w:tr w:rsidR="0047137F" w:rsidRPr="007A7C51" w14:paraId="71212F1A" w14:textId="77777777" w:rsidTr="00892AF6">
        <w:tc>
          <w:tcPr>
            <w:tcW w:w="1803" w:type="dxa"/>
          </w:tcPr>
          <w:p w14:paraId="48C7D2C3" w14:textId="77777777" w:rsidR="0047137F" w:rsidRPr="007A7C51" w:rsidRDefault="0047137F" w:rsidP="00892AF6">
            <w:pPr>
              <w:spacing w:after="120" w:line="240" w:lineRule="auto"/>
              <w:jc w:val="both"/>
              <w:rPr>
                <w:rFonts w:cs="Times New Roman"/>
              </w:rPr>
            </w:pPr>
            <w:r w:rsidRPr="007A7C51">
              <w:rPr>
                <w:rFonts w:cs="Times New Roman"/>
              </w:rPr>
              <w:t>USA</w:t>
            </w:r>
          </w:p>
        </w:tc>
        <w:tc>
          <w:tcPr>
            <w:tcW w:w="1194" w:type="dxa"/>
          </w:tcPr>
          <w:p w14:paraId="34ED539D" w14:textId="77777777" w:rsidR="0047137F" w:rsidRPr="007A7C51" w:rsidRDefault="0047137F" w:rsidP="00892AF6">
            <w:pPr>
              <w:spacing w:after="120" w:line="240" w:lineRule="auto"/>
              <w:jc w:val="both"/>
              <w:rPr>
                <w:rFonts w:cs="Times New Roman"/>
              </w:rPr>
            </w:pPr>
            <w:r w:rsidRPr="007A7C51">
              <w:rPr>
                <w:rFonts w:cs="Times New Roman"/>
              </w:rPr>
              <w:t>2016</w:t>
            </w:r>
          </w:p>
        </w:tc>
        <w:tc>
          <w:tcPr>
            <w:tcW w:w="1928" w:type="dxa"/>
          </w:tcPr>
          <w:p w14:paraId="0FAD8089" w14:textId="77777777" w:rsidR="0047137F" w:rsidRPr="007A7C51" w:rsidRDefault="0047137F" w:rsidP="00892AF6">
            <w:pPr>
              <w:spacing w:after="120" w:line="240" w:lineRule="auto"/>
              <w:jc w:val="both"/>
              <w:rPr>
                <w:rFonts w:cs="Times New Roman"/>
              </w:rPr>
            </w:pPr>
            <w:r w:rsidRPr="007A7C51">
              <w:rPr>
                <w:rFonts w:cs="Times New Roman"/>
              </w:rPr>
              <w:t>1.22</w:t>
            </w:r>
          </w:p>
        </w:tc>
        <w:tc>
          <w:tcPr>
            <w:tcW w:w="1733" w:type="dxa"/>
          </w:tcPr>
          <w:p w14:paraId="0E28BAB9" w14:textId="77777777" w:rsidR="0047137F" w:rsidRPr="007A7C51" w:rsidRDefault="0047137F" w:rsidP="00892AF6">
            <w:pPr>
              <w:spacing w:after="120" w:line="240" w:lineRule="auto"/>
              <w:jc w:val="both"/>
              <w:rPr>
                <w:rFonts w:cs="Times New Roman"/>
              </w:rPr>
            </w:pPr>
            <w:r w:rsidRPr="007A7C51">
              <w:rPr>
                <w:rFonts w:cs="Times New Roman"/>
              </w:rPr>
              <w:t>Excludes vCJD</w:t>
            </w:r>
          </w:p>
        </w:tc>
        <w:tc>
          <w:tcPr>
            <w:tcW w:w="2358" w:type="dxa"/>
          </w:tcPr>
          <w:p w14:paraId="4B901277" w14:textId="2DD86FE7" w:rsidR="0047137F" w:rsidRPr="007A7C51" w:rsidRDefault="0047137F" w:rsidP="00892AF6">
            <w:pPr>
              <w:spacing w:after="120" w:line="240" w:lineRule="auto"/>
              <w:jc w:val="both"/>
              <w:rPr>
                <w:rFonts w:cs="Times New Roman"/>
              </w:rPr>
            </w:pPr>
            <w:r w:rsidRPr="007A7C51">
              <w:rPr>
                <w:rFonts w:cs="Times New Roman"/>
              </w:rPr>
              <w:t>US Government</w:t>
            </w:r>
            <w:r w:rsidRPr="007A7C51">
              <w:rPr>
                <w:rFonts w:cs="Times New Roman"/>
              </w:rPr>
              <w:fldChar w:fldCharType="begin"/>
            </w:r>
            <w:r w:rsidR="00892AF6">
              <w:rPr>
                <w:rFonts w:cs="Times New Roman"/>
              </w:rPr>
              <w:instrText xml:space="preserve"> ADDIN EN.CITE &lt;EndNote&gt;&lt;Cite&gt;&lt;Author&gt;US Centres for Disease Control and Prevention (CDC)&lt;/Author&gt;&lt;Year&gt;2018&lt;/Year&gt;&lt;RecNum&gt;10249&lt;/RecNum&gt;&lt;DisplayText&gt;&lt;style face="superscript"&gt;21&lt;/style&gt;&lt;/DisplayText&gt;&lt;record&gt;&lt;rec-number&gt;10249&lt;/rec-number&gt;&lt;foreign-keys&gt;&lt;key app="EN" db-id="vrp0pptazv05wtesfz5vrzsj2p0rv09ttsa9" timestamp="1520851582" guid="0f10b3f5-9ac0-49e9-9f61-b1e034a13ae9"&gt;10249&lt;/key&gt;&lt;/foreign-keys&gt;&lt;ref-type name="Web Page"&gt;12&lt;/ref-type&gt;&lt;contributors&gt;&lt;authors&gt;&lt;author&gt;US Centres for Disease Control and Prevention (CDC),&lt;/author&gt;&lt;/authors&gt;&lt;/contributors&gt;&lt;titles&gt;&lt;title&gt;Creutzfeldt-Jakob Disease, Classic (CJD) Occurrence and Transmission&lt;/title&gt;&lt;/titles&gt;&lt;number&gt;23.01.18&lt;/number&gt;&lt;keywords&gt;&lt;keyword&gt;$$LU_1_prevalence CJD&lt;/keyword&gt;&lt;keyword&gt;$$Lesley google&lt;/keyword&gt;&lt;keyword&gt;$$CJD relevant&lt;/keyword&gt;&lt;/keywords&gt;&lt;dates&gt;&lt;year&gt;2018&lt;/year&gt;&lt;/dates&gt;&lt;urls&gt;&lt;related-urls&gt;&lt;url&gt;&lt;style face="underline" font="default" size="100%"&gt;https://www.cdc.gov/prions/cjd/occurrence-transmission.html&lt;/style&gt;&lt;/url&gt;&lt;/related-urls&gt;&lt;/urls&gt;&lt;/record&gt;&lt;/Cite&gt;&lt;/EndNote&gt;</w:instrText>
            </w:r>
            <w:r w:rsidRPr="007A7C51">
              <w:rPr>
                <w:rFonts w:cs="Times New Roman"/>
              </w:rPr>
              <w:fldChar w:fldCharType="separate"/>
            </w:r>
            <w:r w:rsidRPr="0047137F">
              <w:rPr>
                <w:rFonts w:cs="Times New Roman"/>
                <w:noProof/>
                <w:vertAlign w:val="superscript"/>
              </w:rPr>
              <w:t>21</w:t>
            </w:r>
            <w:r w:rsidRPr="007A7C51">
              <w:rPr>
                <w:rFonts w:cs="Times New Roman"/>
              </w:rPr>
              <w:fldChar w:fldCharType="end"/>
            </w:r>
          </w:p>
        </w:tc>
      </w:tr>
      <w:tr w:rsidR="0047137F" w:rsidRPr="007A7C51" w14:paraId="49A33DD4" w14:textId="77777777" w:rsidTr="00892AF6">
        <w:tc>
          <w:tcPr>
            <w:tcW w:w="1803" w:type="dxa"/>
          </w:tcPr>
          <w:p w14:paraId="2118EA6A" w14:textId="77777777" w:rsidR="0047137F" w:rsidRPr="007A7C51" w:rsidRDefault="0047137F" w:rsidP="00892AF6">
            <w:pPr>
              <w:spacing w:after="120" w:line="240" w:lineRule="auto"/>
              <w:jc w:val="both"/>
              <w:rPr>
                <w:rFonts w:cs="Times New Roman"/>
              </w:rPr>
            </w:pPr>
            <w:r w:rsidRPr="007A7C51">
              <w:rPr>
                <w:rFonts w:cs="Times New Roman"/>
              </w:rPr>
              <w:t>Japan</w:t>
            </w:r>
          </w:p>
        </w:tc>
        <w:tc>
          <w:tcPr>
            <w:tcW w:w="1194" w:type="dxa"/>
          </w:tcPr>
          <w:p w14:paraId="53E5A29F" w14:textId="77777777" w:rsidR="0047137F" w:rsidRPr="007A7C51" w:rsidRDefault="0047137F" w:rsidP="00892AF6">
            <w:pPr>
              <w:spacing w:after="120" w:line="240" w:lineRule="auto"/>
              <w:jc w:val="both"/>
              <w:rPr>
                <w:rFonts w:cs="Times New Roman"/>
              </w:rPr>
            </w:pPr>
            <w:r w:rsidRPr="007A7C51">
              <w:rPr>
                <w:rFonts w:cs="Times New Roman"/>
              </w:rPr>
              <w:t>1999-2015</w:t>
            </w:r>
          </w:p>
        </w:tc>
        <w:tc>
          <w:tcPr>
            <w:tcW w:w="1928" w:type="dxa"/>
          </w:tcPr>
          <w:p w14:paraId="2B9C9DDB" w14:textId="77777777" w:rsidR="0047137F" w:rsidRPr="007A7C51" w:rsidRDefault="0047137F" w:rsidP="00892AF6">
            <w:pPr>
              <w:spacing w:after="120" w:line="240" w:lineRule="auto"/>
              <w:jc w:val="both"/>
              <w:rPr>
                <w:rFonts w:cs="Times New Roman"/>
              </w:rPr>
            </w:pPr>
            <w:r w:rsidRPr="007A7C51">
              <w:rPr>
                <w:rFonts w:cs="Times New Roman"/>
              </w:rPr>
              <w:t>1.3</w:t>
            </w:r>
          </w:p>
        </w:tc>
        <w:tc>
          <w:tcPr>
            <w:tcW w:w="1733" w:type="dxa"/>
          </w:tcPr>
          <w:p w14:paraId="3260AA35" w14:textId="77777777" w:rsidR="0047137F" w:rsidRPr="007A7C51" w:rsidRDefault="0047137F" w:rsidP="00892AF6">
            <w:pPr>
              <w:spacing w:after="120" w:line="240" w:lineRule="auto"/>
              <w:jc w:val="both"/>
              <w:rPr>
                <w:rFonts w:cs="Times New Roman"/>
              </w:rPr>
            </w:pPr>
            <w:r w:rsidRPr="007A7C51">
              <w:rPr>
                <w:rFonts w:cs="Times New Roman"/>
              </w:rPr>
              <w:t>All types</w:t>
            </w:r>
          </w:p>
        </w:tc>
        <w:tc>
          <w:tcPr>
            <w:tcW w:w="2358" w:type="dxa"/>
          </w:tcPr>
          <w:p w14:paraId="416E9051" w14:textId="60C324FE" w:rsidR="0047137F" w:rsidRPr="007A7C51" w:rsidRDefault="0047137F" w:rsidP="0047137F">
            <w:pPr>
              <w:spacing w:after="120" w:line="240" w:lineRule="auto"/>
              <w:jc w:val="both"/>
              <w:rPr>
                <w:rFonts w:cs="Times New Roman"/>
              </w:rPr>
            </w:pPr>
            <w:r w:rsidRPr="007A7C51">
              <w:rPr>
                <w:rFonts w:cs="Times New Roman"/>
              </w:rPr>
              <w:t xml:space="preserve">Yamada </w:t>
            </w:r>
            <w:r w:rsidRPr="00B301D6">
              <w:rPr>
                <w:rFonts w:cs="Times New Roman"/>
                <w:i/>
              </w:rPr>
              <w:t>et al</w:t>
            </w:r>
            <w:r w:rsidRPr="007A7C51">
              <w:rPr>
                <w:rFonts w:cs="Times New Roman"/>
              </w:rPr>
              <w:t xml:space="preserve"> 2016</w:t>
            </w:r>
            <w:r w:rsidRPr="007A7C51">
              <w:rPr>
                <w:rFonts w:cs="Times New Roman"/>
              </w:rPr>
              <w:fldChar w:fldCharType="begin">
                <w:fldData xml:space="preserve">PEVuZE5vdGU+PENpdGU+PEF1dGhvcj5ZYW1hZGE8L0F1dGhvcj48WWVhcj4yMDE2PC9ZZWFyPjxS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</w:fldData>
              </w:fldChar>
            </w:r>
            <w:r>
              <w:rPr>
                <w:rFonts w:cs="Times New Roman"/>
              </w:rPr>
              <w:instrText xml:space="preserve"> ADDIN EN.CITE </w:instrText>
            </w:r>
            <w:r>
              <w:rPr>
                <w:rFonts w:cs="Times New Roman"/>
              </w:rPr>
              <w:fldChar w:fldCharType="begin">
                <w:fldData xml:space="preserve">PEVuZE5vdGU+PENpdGU+PEF1dGhvcj5ZYW1hZGE8L0F1dGhvcj48WWVhcj4yMDE2PC9ZZWFyPjxS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</w:fldData>
              </w:fldChar>
            </w:r>
            <w:r>
              <w:rPr>
                <w:rFonts w:cs="Times New Roman"/>
              </w:rPr>
              <w:instrText xml:space="preserve"> ADDIN EN.CITE.DATA </w:instrText>
            </w:r>
            <w:r>
              <w:rPr>
                <w:rFonts w:cs="Times New Roman"/>
              </w:rPr>
            </w:r>
            <w:r>
              <w:rPr>
                <w:rFonts w:cs="Times New Roman"/>
              </w:rPr>
              <w:fldChar w:fldCharType="end"/>
            </w:r>
            <w:r w:rsidRPr="007A7C51">
              <w:rPr>
                <w:rFonts w:cs="Times New Roman"/>
              </w:rPr>
            </w:r>
            <w:r w:rsidRPr="007A7C51">
              <w:rPr>
                <w:rFonts w:cs="Times New Roman"/>
              </w:rPr>
              <w:fldChar w:fldCharType="separate"/>
            </w:r>
            <w:r w:rsidRPr="0047137F">
              <w:rPr>
                <w:rFonts w:cs="Times New Roman"/>
                <w:noProof/>
                <w:vertAlign w:val="superscript"/>
              </w:rPr>
              <w:t>22</w:t>
            </w:r>
            <w:r w:rsidRPr="007A7C51">
              <w:rPr>
                <w:rFonts w:cs="Times New Roman"/>
              </w:rPr>
              <w:fldChar w:fldCharType="end"/>
            </w:r>
          </w:p>
        </w:tc>
      </w:tr>
      <w:tr w:rsidR="0047137F" w:rsidRPr="007A7C51" w14:paraId="552E3411" w14:textId="77777777" w:rsidTr="00892AF6">
        <w:tc>
          <w:tcPr>
            <w:tcW w:w="1803" w:type="dxa"/>
          </w:tcPr>
          <w:p w14:paraId="1687D605" w14:textId="77777777" w:rsidR="0047137F" w:rsidRPr="007A7C51" w:rsidRDefault="0047137F" w:rsidP="00892AF6">
            <w:pPr>
              <w:spacing w:after="120" w:line="240" w:lineRule="auto"/>
              <w:jc w:val="both"/>
              <w:rPr>
                <w:rFonts w:cs="Times New Roman"/>
              </w:rPr>
            </w:pPr>
            <w:r w:rsidRPr="007A7C51">
              <w:rPr>
                <w:rFonts w:cs="Times New Roman"/>
              </w:rPr>
              <w:t>Australia</w:t>
            </w:r>
          </w:p>
        </w:tc>
        <w:tc>
          <w:tcPr>
            <w:tcW w:w="1194" w:type="dxa"/>
          </w:tcPr>
          <w:p w14:paraId="742A35C9" w14:textId="77777777" w:rsidR="0047137F" w:rsidRPr="007A7C51" w:rsidRDefault="0047137F" w:rsidP="00892AF6">
            <w:pPr>
              <w:spacing w:after="120" w:line="240" w:lineRule="auto"/>
              <w:jc w:val="both"/>
              <w:rPr>
                <w:rFonts w:cs="Times New Roman"/>
              </w:rPr>
            </w:pPr>
            <w:r w:rsidRPr="007A7C51">
              <w:rPr>
                <w:rFonts w:cs="Times New Roman"/>
              </w:rPr>
              <w:t>1993-2014</w:t>
            </w:r>
          </w:p>
        </w:tc>
        <w:tc>
          <w:tcPr>
            <w:tcW w:w="1928" w:type="dxa"/>
          </w:tcPr>
          <w:p w14:paraId="125E5429" w14:textId="77777777" w:rsidR="0047137F" w:rsidRPr="007A7C51" w:rsidRDefault="0047137F" w:rsidP="00892AF6">
            <w:pPr>
              <w:spacing w:after="120" w:line="240" w:lineRule="auto"/>
              <w:jc w:val="both"/>
              <w:rPr>
                <w:rFonts w:cs="Times New Roman"/>
              </w:rPr>
            </w:pPr>
            <w:r w:rsidRPr="007A7C51">
              <w:rPr>
                <w:rFonts w:cs="Times New Roman"/>
              </w:rPr>
              <w:t>1.2</w:t>
            </w:r>
          </w:p>
        </w:tc>
        <w:tc>
          <w:tcPr>
            <w:tcW w:w="1733" w:type="dxa"/>
          </w:tcPr>
          <w:p w14:paraId="47CF7133" w14:textId="77777777" w:rsidR="0047137F" w:rsidRPr="007A7C51" w:rsidRDefault="0047137F" w:rsidP="00892AF6">
            <w:pPr>
              <w:spacing w:after="120" w:line="240" w:lineRule="auto"/>
              <w:jc w:val="both"/>
              <w:rPr>
                <w:rFonts w:cs="Times New Roman"/>
              </w:rPr>
            </w:pPr>
            <w:r w:rsidRPr="007A7C51">
              <w:rPr>
                <w:rFonts w:cs="Times New Roman"/>
              </w:rPr>
              <w:t>All types</w:t>
            </w:r>
          </w:p>
        </w:tc>
        <w:tc>
          <w:tcPr>
            <w:tcW w:w="2358" w:type="dxa"/>
          </w:tcPr>
          <w:p w14:paraId="7C36963A" w14:textId="2A09D356" w:rsidR="0047137F" w:rsidRPr="007A7C51" w:rsidRDefault="0047137F" w:rsidP="0047137F">
            <w:pPr>
              <w:spacing w:after="120" w:line="240" w:lineRule="auto"/>
              <w:jc w:val="both"/>
              <w:rPr>
                <w:rFonts w:cs="Times New Roman"/>
              </w:rPr>
            </w:pPr>
            <w:r w:rsidRPr="007A7C51">
              <w:rPr>
                <w:rFonts w:cs="Times New Roman"/>
              </w:rPr>
              <w:t xml:space="preserve">Klug </w:t>
            </w:r>
            <w:r w:rsidRPr="00B301D6">
              <w:rPr>
                <w:rFonts w:cs="Times New Roman"/>
                <w:i/>
              </w:rPr>
              <w:t>et al</w:t>
            </w:r>
            <w:r w:rsidRPr="007A7C51">
              <w:rPr>
                <w:rFonts w:cs="Times New Roman"/>
              </w:rPr>
              <w:t xml:space="preserve"> 2016</w:t>
            </w:r>
            <w:r w:rsidRPr="007A7C51">
              <w:rPr>
                <w:rFonts w:cs="Times New Roman"/>
              </w:rPr>
              <w:fldChar w:fldCharType="begin">
                <w:fldData xml:space="preserve">PEVuZE5vdGU+PENpdGU+PEF1dGhvcj5LbHVnPC9BdXRob3I+PFllYXI+MjAxNjwvWWVhcj48UmVj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==
</w:fldData>
              </w:fldChar>
            </w:r>
            <w:r>
              <w:rPr>
                <w:rFonts w:cs="Times New Roman"/>
              </w:rPr>
              <w:instrText xml:space="preserve"> ADDIN EN.CITE </w:instrText>
            </w:r>
            <w:r>
              <w:rPr>
                <w:rFonts w:cs="Times New Roman"/>
              </w:rPr>
              <w:fldChar w:fldCharType="begin">
                <w:fldData xml:space="preserve">PEVuZE5vdGU+PENpdGU+PEF1dGhvcj5LbHVnPC9BdXRob3I+PFllYXI+MjAxNjwvWWVhcj48UmVj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==
</w:fldData>
              </w:fldChar>
            </w:r>
            <w:r>
              <w:rPr>
                <w:rFonts w:cs="Times New Roman"/>
              </w:rPr>
              <w:instrText xml:space="preserve"> ADDIN EN.CITE.DATA </w:instrText>
            </w:r>
            <w:r>
              <w:rPr>
                <w:rFonts w:cs="Times New Roman"/>
              </w:rPr>
            </w:r>
            <w:r>
              <w:rPr>
                <w:rFonts w:cs="Times New Roman"/>
              </w:rPr>
              <w:fldChar w:fldCharType="end"/>
            </w:r>
            <w:r w:rsidRPr="007A7C51">
              <w:rPr>
                <w:rFonts w:cs="Times New Roman"/>
              </w:rPr>
            </w:r>
            <w:r w:rsidRPr="007A7C51">
              <w:rPr>
                <w:rFonts w:cs="Times New Roman"/>
              </w:rPr>
              <w:fldChar w:fldCharType="separate"/>
            </w:r>
            <w:r w:rsidRPr="0047137F">
              <w:rPr>
                <w:rFonts w:cs="Times New Roman"/>
                <w:noProof/>
                <w:vertAlign w:val="superscript"/>
              </w:rPr>
              <w:t>23</w:t>
            </w:r>
            <w:r w:rsidRPr="007A7C51">
              <w:rPr>
                <w:rFonts w:cs="Times New Roman"/>
              </w:rPr>
              <w:fldChar w:fldCharType="end"/>
            </w:r>
          </w:p>
        </w:tc>
      </w:tr>
      <w:tr w:rsidR="0047137F" w:rsidRPr="007A7C51" w14:paraId="68B2D2DF" w14:textId="77777777" w:rsidTr="00892AF6">
        <w:tc>
          <w:tcPr>
            <w:tcW w:w="1803" w:type="dxa"/>
          </w:tcPr>
          <w:p w14:paraId="689059E6" w14:textId="77777777" w:rsidR="0047137F" w:rsidRPr="007A7C51" w:rsidRDefault="0047137F" w:rsidP="00892AF6">
            <w:pPr>
              <w:spacing w:after="120" w:line="240" w:lineRule="auto"/>
              <w:jc w:val="both"/>
              <w:rPr>
                <w:rFonts w:cs="Times New Roman"/>
              </w:rPr>
            </w:pPr>
            <w:r w:rsidRPr="007A7C51">
              <w:rPr>
                <w:rFonts w:cs="Times New Roman"/>
              </w:rPr>
              <w:t>Finland</w:t>
            </w:r>
          </w:p>
        </w:tc>
        <w:tc>
          <w:tcPr>
            <w:tcW w:w="1194" w:type="dxa"/>
          </w:tcPr>
          <w:p w14:paraId="04D5B1B6" w14:textId="77777777" w:rsidR="0047137F" w:rsidRPr="007A7C51" w:rsidRDefault="0047137F" w:rsidP="00892AF6">
            <w:pPr>
              <w:spacing w:after="120" w:line="240" w:lineRule="auto"/>
              <w:jc w:val="both"/>
              <w:rPr>
                <w:rFonts w:cs="Times New Roman"/>
              </w:rPr>
            </w:pPr>
            <w:r>
              <w:rPr>
                <w:rFonts w:cs="Times New Roman"/>
              </w:rPr>
              <w:t>1997-2013</w:t>
            </w:r>
          </w:p>
        </w:tc>
        <w:tc>
          <w:tcPr>
            <w:tcW w:w="1928" w:type="dxa"/>
          </w:tcPr>
          <w:p w14:paraId="150F4ED7" w14:textId="77777777" w:rsidR="0047137F" w:rsidRPr="007A7C51" w:rsidRDefault="0047137F" w:rsidP="00892AF6">
            <w:pPr>
              <w:spacing w:after="120" w:line="240" w:lineRule="auto"/>
              <w:jc w:val="both"/>
              <w:rPr>
                <w:rFonts w:cs="Times New Roman"/>
              </w:rPr>
            </w:pPr>
            <w:r>
              <w:rPr>
                <w:rFonts w:cs="Times New Roman"/>
              </w:rPr>
              <w:t>1.45</w:t>
            </w:r>
          </w:p>
        </w:tc>
        <w:tc>
          <w:tcPr>
            <w:tcW w:w="1733" w:type="dxa"/>
          </w:tcPr>
          <w:p w14:paraId="075038AB" w14:textId="77777777" w:rsidR="0047137F" w:rsidRPr="007A7C51" w:rsidRDefault="0047137F" w:rsidP="00892AF6">
            <w:pPr>
              <w:spacing w:after="120" w:line="240" w:lineRule="auto"/>
              <w:jc w:val="both"/>
              <w:rPr>
                <w:rFonts w:cs="Times New Roman"/>
              </w:rPr>
            </w:pPr>
            <w:r>
              <w:rPr>
                <w:rFonts w:cs="Times New Roman"/>
              </w:rPr>
              <w:t>Sporadic</w:t>
            </w:r>
          </w:p>
        </w:tc>
        <w:tc>
          <w:tcPr>
            <w:tcW w:w="2358" w:type="dxa"/>
          </w:tcPr>
          <w:p w14:paraId="2B9AB231" w14:textId="2BB91CDA" w:rsidR="0047137F" w:rsidRPr="007A7C51" w:rsidRDefault="0047137F" w:rsidP="0047137F">
            <w:pPr>
              <w:spacing w:after="120" w:line="240" w:lineRule="auto"/>
              <w:jc w:val="both"/>
              <w:rPr>
                <w:rFonts w:cs="Times New Roman"/>
              </w:rPr>
            </w:pPr>
            <w:r w:rsidRPr="007A7C51">
              <w:rPr>
                <w:rFonts w:cs="Times New Roman"/>
              </w:rPr>
              <w:t>EuroCJD</w:t>
            </w:r>
            <w:r w:rsidRPr="007A7C51">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sidRPr="007A7C51">
              <w:rPr>
                <w:rFonts w:cs="Times New Roman"/>
              </w:rPr>
              <w:fldChar w:fldCharType="separate"/>
            </w:r>
            <w:r w:rsidRPr="005C50C5">
              <w:rPr>
                <w:rFonts w:cs="Times New Roman"/>
                <w:noProof/>
                <w:vertAlign w:val="superscript"/>
              </w:rPr>
              <w:t>19</w:t>
            </w:r>
            <w:r w:rsidRPr="007A7C51">
              <w:rPr>
                <w:rFonts w:cs="Times New Roman"/>
              </w:rPr>
              <w:fldChar w:fldCharType="end"/>
            </w:r>
          </w:p>
        </w:tc>
      </w:tr>
      <w:tr w:rsidR="0047137F" w:rsidRPr="007A7C51" w14:paraId="4377E931" w14:textId="77777777" w:rsidTr="00892AF6">
        <w:tc>
          <w:tcPr>
            <w:tcW w:w="1803" w:type="dxa"/>
          </w:tcPr>
          <w:p w14:paraId="2F50A362" w14:textId="77777777" w:rsidR="0047137F" w:rsidRPr="007A7C51" w:rsidRDefault="0047137F" w:rsidP="00892AF6">
            <w:pPr>
              <w:spacing w:after="120" w:line="240" w:lineRule="auto"/>
              <w:jc w:val="both"/>
              <w:rPr>
                <w:rFonts w:cs="Times New Roman"/>
              </w:rPr>
            </w:pPr>
            <w:r>
              <w:rPr>
                <w:rFonts w:cs="Times New Roman"/>
              </w:rPr>
              <w:t>Cyprus</w:t>
            </w:r>
          </w:p>
        </w:tc>
        <w:tc>
          <w:tcPr>
            <w:tcW w:w="1194" w:type="dxa"/>
          </w:tcPr>
          <w:p w14:paraId="4398AF6F" w14:textId="77777777" w:rsidR="0047137F" w:rsidRDefault="0047137F" w:rsidP="00892AF6">
            <w:pPr>
              <w:spacing w:after="120" w:line="240" w:lineRule="auto"/>
              <w:jc w:val="both"/>
              <w:rPr>
                <w:rFonts w:cs="Times New Roman"/>
              </w:rPr>
            </w:pPr>
            <w:r>
              <w:rPr>
                <w:rFonts w:cs="Times New Roman"/>
              </w:rPr>
              <w:t>1995-2013</w:t>
            </w:r>
          </w:p>
        </w:tc>
        <w:tc>
          <w:tcPr>
            <w:tcW w:w="1928" w:type="dxa"/>
          </w:tcPr>
          <w:p w14:paraId="538EFE14" w14:textId="77777777" w:rsidR="0047137F" w:rsidRDefault="0047137F" w:rsidP="00892AF6">
            <w:pPr>
              <w:spacing w:after="120" w:line="240" w:lineRule="auto"/>
              <w:jc w:val="both"/>
              <w:rPr>
                <w:rFonts w:cs="Times New Roman"/>
              </w:rPr>
            </w:pPr>
            <w:r>
              <w:rPr>
                <w:rFonts w:cs="Times New Roman"/>
              </w:rPr>
              <w:t>0.70</w:t>
            </w:r>
          </w:p>
        </w:tc>
        <w:tc>
          <w:tcPr>
            <w:tcW w:w="1733" w:type="dxa"/>
          </w:tcPr>
          <w:p w14:paraId="2FB62D6B" w14:textId="77777777" w:rsidR="0047137F" w:rsidRPr="007A7C51" w:rsidRDefault="0047137F" w:rsidP="00892AF6">
            <w:pPr>
              <w:spacing w:after="120" w:line="240" w:lineRule="auto"/>
              <w:jc w:val="both"/>
              <w:rPr>
                <w:rFonts w:cs="Times New Roman"/>
              </w:rPr>
            </w:pPr>
            <w:r>
              <w:rPr>
                <w:rFonts w:cs="Times New Roman"/>
              </w:rPr>
              <w:t>Sporadic</w:t>
            </w:r>
          </w:p>
        </w:tc>
        <w:tc>
          <w:tcPr>
            <w:tcW w:w="2358" w:type="dxa"/>
          </w:tcPr>
          <w:p w14:paraId="7AF927C7" w14:textId="6575EDBB" w:rsidR="0047137F" w:rsidRPr="007A7C51" w:rsidRDefault="0047137F" w:rsidP="0047137F">
            <w:pPr>
              <w:spacing w:after="120" w:line="240" w:lineRule="auto"/>
              <w:jc w:val="both"/>
              <w:rPr>
                <w:rFonts w:cs="Times New Roman"/>
              </w:rPr>
            </w:pPr>
            <w:r w:rsidRPr="007A7C51">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5C858FCA" w14:textId="77777777" w:rsidTr="00892AF6">
        <w:tc>
          <w:tcPr>
            <w:tcW w:w="1803" w:type="dxa"/>
          </w:tcPr>
          <w:p w14:paraId="6A39C5DB" w14:textId="77777777" w:rsidR="0047137F" w:rsidRPr="007A7C51" w:rsidRDefault="0047137F" w:rsidP="00892AF6">
            <w:pPr>
              <w:spacing w:after="120" w:line="240" w:lineRule="auto"/>
              <w:jc w:val="both"/>
              <w:rPr>
                <w:rFonts w:cs="Times New Roman"/>
              </w:rPr>
            </w:pPr>
            <w:r w:rsidRPr="007A7C51">
              <w:rPr>
                <w:rFonts w:cs="Times New Roman"/>
              </w:rPr>
              <w:t>Germany</w:t>
            </w:r>
          </w:p>
        </w:tc>
        <w:tc>
          <w:tcPr>
            <w:tcW w:w="1194" w:type="dxa"/>
          </w:tcPr>
          <w:p w14:paraId="45684038" w14:textId="77777777" w:rsidR="0047137F" w:rsidRPr="007A7C51" w:rsidRDefault="0047137F" w:rsidP="00892AF6">
            <w:pPr>
              <w:spacing w:after="120" w:line="240" w:lineRule="auto"/>
              <w:jc w:val="both"/>
              <w:rPr>
                <w:rFonts w:cs="Times New Roman"/>
              </w:rPr>
            </w:pPr>
            <w:r w:rsidRPr="007A7C51">
              <w:rPr>
                <w:rFonts w:cs="Times New Roman"/>
              </w:rPr>
              <w:t>1993-2013</w:t>
            </w:r>
          </w:p>
        </w:tc>
        <w:tc>
          <w:tcPr>
            <w:tcW w:w="1928" w:type="dxa"/>
          </w:tcPr>
          <w:p w14:paraId="4B748021" w14:textId="77777777" w:rsidR="0047137F" w:rsidRPr="007A7C51" w:rsidRDefault="0047137F" w:rsidP="00892AF6">
            <w:pPr>
              <w:spacing w:after="120" w:line="240" w:lineRule="auto"/>
              <w:jc w:val="both"/>
              <w:rPr>
                <w:rFonts w:cs="Times New Roman"/>
              </w:rPr>
            </w:pPr>
            <w:r w:rsidRPr="007A7C51">
              <w:rPr>
                <w:rFonts w:cs="Times New Roman"/>
              </w:rPr>
              <w:t>1.33</w:t>
            </w:r>
          </w:p>
        </w:tc>
        <w:tc>
          <w:tcPr>
            <w:tcW w:w="1733" w:type="dxa"/>
          </w:tcPr>
          <w:p w14:paraId="4F645F62" w14:textId="77777777" w:rsidR="0047137F" w:rsidRPr="007A7C51" w:rsidRDefault="0047137F" w:rsidP="00892AF6">
            <w:pPr>
              <w:spacing w:after="120" w:line="240" w:lineRule="auto"/>
              <w:jc w:val="both"/>
              <w:rPr>
                <w:rFonts w:cs="Times New Roman"/>
              </w:rPr>
            </w:pPr>
            <w:r w:rsidRPr="007A7C51">
              <w:rPr>
                <w:rFonts w:cs="Times New Roman"/>
              </w:rPr>
              <w:t>Excludes vCJD</w:t>
            </w:r>
          </w:p>
        </w:tc>
        <w:tc>
          <w:tcPr>
            <w:tcW w:w="2358" w:type="dxa"/>
          </w:tcPr>
          <w:p w14:paraId="58AC13EF" w14:textId="45E0A731" w:rsidR="0047137F" w:rsidRPr="007A7C51" w:rsidRDefault="0047137F" w:rsidP="0047137F">
            <w:pPr>
              <w:spacing w:after="120" w:line="240" w:lineRule="auto"/>
              <w:jc w:val="both"/>
              <w:rPr>
                <w:rFonts w:cs="Times New Roman"/>
              </w:rPr>
            </w:pPr>
            <w:r w:rsidRPr="007A7C51">
              <w:rPr>
                <w:rFonts w:cs="Times New Roman"/>
              </w:rPr>
              <w:t>EuroCJD</w:t>
            </w:r>
            <w:r w:rsidRPr="007A7C51">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sidRPr="007A7C51">
              <w:rPr>
                <w:rFonts w:cs="Times New Roman"/>
              </w:rPr>
              <w:fldChar w:fldCharType="separate"/>
            </w:r>
            <w:r w:rsidRPr="005C50C5">
              <w:rPr>
                <w:rFonts w:cs="Times New Roman"/>
                <w:noProof/>
                <w:vertAlign w:val="superscript"/>
              </w:rPr>
              <w:t>19</w:t>
            </w:r>
            <w:r w:rsidRPr="007A7C51">
              <w:rPr>
                <w:rFonts w:cs="Times New Roman"/>
              </w:rPr>
              <w:fldChar w:fldCharType="end"/>
            </w:r>
          </w:p>
        </w:tc>
      </w:tr>
      <w:tr w:rsidR="0047137F" w:rsidRPr="007A7C51" w14:paraId="5B839DFC" w14:textId="77777777" w:rsidTr="00892AF6">
        <w:tc>
          <w:tcPr>
            <w:tcW w:w="1803" w:type="dxa"/>
          </w:tcPr>
          <w:p w14:paraId="0AEA1BAB" w14:textId="77777777" w:rsidR="0047137F" w:rsidRPr="007A7C51" w:rsidRDefault="0047137F" w:rsidP="00892AF6">
            <w:pPr>
              <w:spacing w:after="120" w:line="240" w:lineRule="auto"/>
              <w:jc w:val="both"/>
              <w:rPr>
                <w:rFonts w:cs="Times New Roman"/>
              </w:rPr>
            </w:pPr>
            <w:r w:rsidRPr="007A7C51">
              <w:rPr>
                <w:rFonts w:cs="Times New Roman"/>
              </w:rPr>
              <w:t>Holland</w:t>
            </w:r>
          </w:p>
        </w:tc>
        <w:tc>
          <w:tcPr>
            <w:tcW w:w="1194" w:type="dxa"/>
          </w:tcPr>
          <w:p w14:paraId="52341615" w14:textId="77777777" w:rsidR="0047137F" w:rsidRPr="007A7C51" w:rsidRDefault="0047137F" w:rsidP="00892AF6">
            <w:pPr>
              <w:spacing w:after="120" w:line="240" w:lineRule="auto"/>
              <w:jc w:val="both"/>
              <w:rPr>
                <w:rFonts w:cs="Times New Roman"/>
              </w:rPr>
            </w:pPr>
            <w:r w:rsidRPr="007A7C51">
              <w:rPr>
                <w:rFonts w:cs="Times New Roman"/>
              </w:rPr>
              <w:t>1993-2013</w:t>
            </w:r>
          </w:p>
        </w:tc>
        <w:tc>
          <w:tcPr>
            <w:tcW w:w="1928" w:type="dxa"/>
          </w:tcPr>
          <w:p w14:paraId="33400EDA" w14:textId="77777777" w:rsidR="0047137F" w:rsidRPr="007A7C51" w:rsidRDefault="0047137F" w:rsidP="00892AF6">
            <w:pPr>
              <w:spacing w:after="120" w:line="240" w:lineRule="auto"/>
              <w:jc w:val="both"/>
              <w:rPr>
                <w:rFonts w:cs="Times New Roman"/>
              </w:rPr>
            </w:pPr>
            <w:r w:rsidRPr="007A7C51">
              <w:rPr>
                <w:rFonts w:cs="Times New Roman"/>
              </w:rPr>
              <w:t>1.21</w:t>
            </w:r>
          </w:p>
        </w:tc>
        <w:tc>
          <w:tcPr>
            <w:tcW w:w="1733" w:type="dxa"/>
          </w:tcPr>
          <w:p w14:paraId="3B869843" w14:textId="77777777" w:rsidR="0047137F" w:rsidRPr="007A7C51" w:rsidRDefault="0047137F" w:rsidP="00892AF6">
            <w:pPr>
              <w:spacing w:after="120" w:line="240" w:lineRule="auto"/>
              <w:jc w:val="both"/>
              <w:rPr>
                <w:rFonts w:cs="Times New Roman"/>
              </w:rPr>
            </w:pPr>
            <w:r w:rsidRPr="007A7C51">
              <w:rPr>
                <w:rFonts w:cs="Times New Roman"/>
              </w:rPr>
              <w:t>Excludes vCJD</w:t>
            </w:r>
          </w:p>
        </w:tc>
        <w:tc>
          <w:tcPr>
            <w:tcW w:w="2358" w:type="dxa"/>
          </w:tcPr>
          <w:p w14:paraId="358C1EBA" w14:textId="01547705" w:rsidR="0047137F" w:rsidRPr="007A7C51" w:rsidRDefault="0047137F" w:rsidP="0047137F">
            <w:pPr>
              <w:spacing w:after="120" w:line="240" w:lineRule="auto"/>
              <w:jc w:val="both"/>
              <w:rPr>
                <w:rFonts w:cs="Times New Roman"/>
              </w:rPr>
            </w:pPr>
            <w:r w:rsidRPr="007A7C51">
              <w:rPr>
                <w:rFonts w:cs="Times New Roman"/>
              </w:rPr>
              <w:t>EuroCJD</w:t>
            </w:r>
            <w:r w:rsidRPr="007A7C51">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sidRPr="007A7C51">
              <w:rPr>
                <w:rFonts w:cs="Times New Roman"/>
              </w:rPr>
              <w:fldChar w:fldCharType="separate"/>
            </w:r>
            <w:r w:rsidRPr="005C50C5">
              <w:rPr>
                <w:rFonts w:cs="Times New Roman"/>
                <w:noProof/>
                <w:vertAlign w:val="superscript"/>
              </w:rPr>
              <w:t>19</w:t>
            </w:r>
            <w:r w:rsidRPr="007A7C51">
              <w:rPr>
                <w:rFonts w:cs="Times New Roman"/>
              </w:rPr>
              <w:fldChar w:fldCharType="end"/>
            </w:r>
          </w:p>
        </w:tc>
      </w:tr>
      <w:tr w:rsidR="0047137F" w:rsidRPr="007A7C51" w14:paraId="6835A690" w14:textId="77777777" w:rsidTr="00892AF6">
        <w:tc>
          <w:tcPr>
            <w:tcW w:w="1803" w:type="dxa"/>
          </w:tcPr>
          <w:p w14:paraId="6350B346" w14:textId="77777777" w:rsidR="0047137F" w:rsidRPr="007A7C51" w:rsidRDefault="0047137F" w:rsidP="00892AF6">
            <w:pPr>
              <w:spacing w:after="120" w:line="240" w:lineRule="auto"/>
              <w:jc w:val="both"/>
              <w:rPr>
                <w:rFonts w:cs="Times New Roman"/>
              </w:rPr>
            </w:pPr>
            <w:r w:rsidRPr="007A7C51">
              <w:rPr>
                <w:rFonts w:cs="Times New Roman"/>
              </w:rPr>
              <w:t>Hungary</w:t>
            </w:r>
          </w:p>
        </w:tc>
        <w:tc>
          <w:tcPr>
            <w:tcW w:w="1194" w:type="dxa"/>
          </w:tcPr>
          <w:p w14:paraId="29FA5F65" w14:textId="77777777" w:rsidR="0047137F" w:rsidRPr="007A7C51" w:rsidRDefault="0047137F" w:rsidP="00892AF6">
            <w:pPr>
              <w:spacing w:after="120" w:line="240" w:lineRule="auto"/>
              <w:jc w:val="both"/>
              <w:rPr>
                <w:rFonts w:cs="Times New Roman"/>
              </w:rPr>
            </w:pPr>
            <w:r>
              <w:rPr>
                <w:rFonts w:cs="Times New Roman"/>
              </w:rPr>
              <w:t>1997-2013</w:t>
            </w:r>
          </w:p>
        </w:tc>
        <w:tc>
          <w:tcPr>
            <w:tcW w:w="1928" w:type="dxa"/>
          </w:tcPr>
          <w:p w14:paraId="052A6CCD" w14:textId="77777777" w:rsidR="0047137F" w:rsidRPr="007A7C51" w:rsidRDefault="0047137F" w:rsidP="00892AF6">
            <w:pPr>
              <w:spacing w:after="120" w:line="240" w:lineRule="auto"/>
              <w:jc w:val="both"/>
              <w:rPr>
                <w:rFonts w:cs="Times New Roman"/>
              </w:rPr>
            </w:pPr>
            <w:r>
              <w:rPr>
                <w:rFonts w:cs="Times New Roman"/>
              </w:rPr>
              <w:t>1.65</w:t>
            </w:r>
          </w:p>
        </w:tc>
        <w:tc>
          <w:tcPr>
            <w:tcW w:w="1733" w:type="dxa"/>
          </w:tcPr>
          <w:p w14:paraId="479CB669" w14:textId="77777777" w:rsidR="0047137F" w:rsidRPr="007A7C51" w:rsidRDefault="0047137F" w:rsidP="00892AF6">
            <w:pPr>
              <w:spacing w:after="120" w:line="240" w:lineRule="auto"/>
              <w:jc w:val="both"/>
              <w:rPr>
                <w:rFonts w:cs="Times New Roman"/>
              </w:rPr>
            </w:pPr>
            <w:r w:rsidRPr="007A7C51">
              <w:rPr>
                <w:rFonts w:cs="Times New Roman"/>
              </w:rPr>
              <w:t>Excludes vCJD</w:t>
            </w:r>
          </w:p>
        </w:tc>
        <w:tc>
          <w:tcPr>
            <w:tcW w:w="2358" w:type="dxa"/>
          </w:tcPr>
          <w:p w14:paraId="620EADFD" w14:textId="6715C18C" w:rsidR="0047137F" w:rsidRPr="007A7C51" w:rsidRDefault="0047137F" w:rsidP="0047137F">
            <w:pPr>
              <w:spacing w:after="120" w:line="240" w:lineRule="auto"/>
              <w:jc w:val="both"/>
              <w:rPr>
                <w:rFonts w:cs="Times New Roman"/>
              </w:rPr>
            </w:pPr>
            <w:r w:rsidRPr="007A7C51">
              <w:rPr>
                <w:rFonts w:cs="Times New Roman"/>
              </w:rPr>
              <w:t>EuroCJD</w:t>
            </w:r>
            <w:r w:rsidRPr="007A7C51">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sidRPr="007A7C51">
              <w:rPr>
                <w:rFonts w:cs="Times New Roman"/>
              </w:rPr>
              <w:fldChar w:fldCharType="separate"/>
            </w:r>
            <w:r w:rsidRPr="005C50C5">
              <w:rPr>
                <w:rFonts w:cs="Times New Roman"/>
                <w:noProof/>
                <w:vertAlign w:val="superscript"/>
              </w:rPr>
              <w:t>19</w:t>
            </w:r>
            <w:r w:rsidRPr="007A7C51">
              <w:rPr>
                <w:rFonts w:cs="Times New Roman"/>
              </w:rPr>
              <w:fldChar w:fldCharType="end"/>
            </w:r>
          </w:p>
        </w:tc>
      </w:tr>
      <w:tr w:rsidR="0047137F" w:rsidRPr="007A7C51" w14:paraId="53C9AB3B" w14:textId="77777777" w:rsidTr="00892AF6">
        <w:tc>
          <w:tcPr>
            <w:tcW w:w="1803" w:type="dxa"/>
          </w:tcPr>
          <w:p w14:paraId="6D43D27A" w14:textId="77777777" w:rsidR="0047137F" w:rsidRPr="007A7C51" w:rsidRDefault="0047137F" w:rsidP="00892AF6">
            <w:pPr>
              <w:spacing w:after="120" w:line="240" w:lineRule="auto"/>
              <w:jc w:val="both"/>
              <w:rPr>
                <w:rFonts w:cs="Times New Roman"/>
              </w:rPr>
            </w:pPr>
            <w:r w:rsidRPr="007A7C51">
              <w:rPr>
                <w:rFonts w:cs="Times New Roman"/>
              </w:rPr>
              <w:t>Sweden</w:t>
            </w:r>
          </w:p>
        </w:tc>
        <w:tc>
          <w:tcPr>
            <w:tcW w:w="1194" w:type="dxa"/>
          </w:tcPr>
          <w:p w14:paraId="5DEE8F4D" w14:textId="77777777" w:rsidR="0047137F" w:rsidRPr="007A7C51" w:rsidRDefault="0047137F" w:rsidP="00892AF6">
            <w:pPr>
              <w:spacing w:after="120" w:line="240" w:lineRule="auto"/>
              <w:jc w:val="both"/>
              <w:rPr>
                <w:rFonts w:cs="Times New Roman"/>
              </w:rPr>
            </w:pPr>
            <w:r w:rsidRPr="007A7C51">
              <w:rPr>
                <w:rFonts w:cs="Times New Roman"/>
              </w:rPr>
              <w:t>1997-2013</w:t>
            </w:r>
          </w:p>
        </w:tc>
        <w:tc>
          <w:tcPr>
            <w:tcW w:w="1928" w:type="dxa"/>
          </w:tcPr>
          <w:p w14:paraId="23FC55EA" w14:textId="77777777" w:rsidR="0047137F" w:rsidRPr="007A7C51" w:rsidRDefault="0047137F" w:rsidP="00892AF6">
            <w:pPr>
              <w:spacing w:after="120" w:line="240" w:lineRule="auto"/>
              <w:jc w:val="both"/>
              <w:rPr>
                <w:rFonts w:cs="Times New Roman"/>
              </w:rPr>
            </w:pPr>
            <w:r w:rsidRPr="007A7C51">
              <w:rPr>
                <w:rFonts w:cs="Times New Roman"/>
              </w:rPr>
              <w:t>1.44</w:t>
            </w:r>
          </w:p>
        </w:tc>
        <w:tc>
          <w:tcPr>
            <w:tcW w:w="1733" w:type="dxa"/>
          </w:tcPr>
          <w:p w14:paraId="2278BCCA" w14:textId="77777777" w:rsidR="0047137F" w:rsidRPr="007A7C51" w:rsidRDefault="0047137F" w:rsidP="00892AF6">
            <w:pPr>
              <w:spacing w:after="120" w:line="240" w:lineRule="auto"/>
              <w:jc w:val="both"/>
              <w:rPr>
                <w:rFonts w:cs="Times New Roman"/>
              </w:rPr>
            </w:pPr>
            <w:r w:rsidRPr="007A7C51">
              <w:rPr>
                <w:rFonts w:cs="Times New Roman"/>
              </w:rPr>
              <w:t>Excludes vCJD</w:t>
            </w:r>
          </w:p>
        </w:tc>
        <w:tc>
          <w:tcPr>
            <w:tcW w:w="2358" w:type="dxa"/>
          </w:tcPr>
          <w:p w14:paraId="0CEF4F80" w14:textId="23A8ADBA" w:rsidR="0047137F" w:rsidRPr="007A7C51" w:rsidRDefault="0047137F" w:rsidP="0047137F">
            <w:pPr>
              <w:spacing w:after="120" w:line="240" w:lineRule="auto"/>
              <w:jc w:val="both"/>
              <w:rPr>
                <w:rFonts w:cs="Times New Roman"/>
              </w:rPr>
            </w:pPr>
            <w:r w:rsidRPr="007A7C51">
              <w:rPr>
                <w:rFonts w:cs="Times New Roman"/>
              </w:rPr>
              <w:t>EuroCJD</w:t>
            </w:r>
            <w:r w:rsidRPr="007A7C51">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sidRPr="007A7C51">
              <w:rPr>
                <w:rFonts w:cs="Times New Roman"/>
              </w:rPr>
              <w:fldChar w:fldCharType="separate"/>
            </w:r>
            <w:r w:rsidRPr="005C50C5">
              <w:rPr>
                <w:rFonts w:cs="Times New Roman"/>
                <w:noProof/>
                <w:vertAlign w:val="superscript"/>
              </w:rPr>
              <w:t>19</w:t>
            </w:r>
            <w:r w:rsidRPr="007A7C51">
              <w:rPr>
                <w:rFonts w:cs="Times New Roman"/>
              </w:rPr>
              <w:fldChar w:fldCharType="end"/>
            </w:r>
          </w:p>
        </w:tc>
      </w:tr>
      <w:tr w:rsidR="0047137F" w:rsidRPr="007A7C51" w14:paraId="0C82A289" w14:textId="77777777" w:rsidTr="00892AF6">
        <w:tc>
          <w:tcPr>
            <w:tcW w:w="1803" w:type="dxa"/>
          </w:tcPr>
          <w:p w14:paraId="7ABAC614" w14:textId="77777777" w:rsidR="0047137F" w:rsidRPr="007A7C51" w:rsidRDefault="0047137F" w:rsidP="00892AF6">
            <w:pPr>
              <w:spacing w:after="120" w:line="240" w:lineRule="auto"/>
              <w:jc w:val="both"/>
              <w:rPr>
                <w:rFonts w:cs="Times New Roman"/>
              </w:rPr>
            </w:pPr>
            <w:r>
              <w:rPr>
                <w:rFonts w:cs="Times New Roman"/>
              </w:rPr>
              <w:t>Switzerland</w:t>
            </w:r>
          </w:p>
        </w:tc>
        <w:tc>
          <w:tcPr>
            <w:tcW w:w="1194" w:type="dxa"/>
          </w:tcPr>
          <w:p w14:paraId="6A4DF0B0" w14:textId="77777777" w:rsidR="0047137F" w:rsidRPr="007A7C51" w:rsidRDefault="0047137F" w:rsidP="00892AF6">
            <w:pPr>
              <w:spacing w:after="120" w:line="240" w:lineRule="auto"/>
              <w:jc w:val="both"/>
              <w:rPr>
                <w:rFonts w:cs="Times New Roman"/>
              </w:rPr>
            </w:pPr>
            <w:r>
              <w:rPr>
                <w:rFonts w:cs="Times New Roman"/>
              </w:rPr>
              <w:t>1993-2013</w:t>
            </w:r>
          </w:p>
        </w:tc>
        <w:tc>
          <w:tcPr>
            <w:tcW w:w="1928" w:type="dxa"/>
          </w:tcPr>
          <w:p w14:paraId="4B1780B4" w14:textId="77777777" w:rsidR="0047137F" w:rsidRPr="007A7C51" w:rsidRDefault="0047137F" w:rsidP="00892AF6">
            <w:pPr>
              <w:spacing w:after="120" w:line="240" w:lineRule="auto"/>
              <w:jc w:val="both"/>
              <w:rPr>
                <w:rFonts w:cs="Times New Roman"/>
              </w:rPr>
            </w:pPr>
            <w:r>
              <w:rPr>
                <w:rFonts w:cs="Times New Roman"/>
              </w:rPr>
              <w:t>1.72</w:t>
            </w:r>
          </w:p>
        </w:tc>
        <w:tc>
          <w:tcPr>
            <w:tcW w:w="1733" w:type="dxa"/>
          </w:tcPr>
          <w:p w14:paraId="5FB16164" w14:textId="77777777" w:rsidR="0047137F" w:rsidRPr="007A7C51" w:rsidRDefault="0047137F" w:rsidP="00892AF6">
            <w:pPr>
              <w:spacing w:after="120" w:line="240" w:lineRule="auto"/>
              <w:jc w:val="both"/>
              <w:rPr>
                <w:rFonts w:cs="Times New Roman"/>
              </w:rPr>
            </w:pPr>
            <w:r>
              <w:rPr>
                <w:rFonts w:cs="Times New Roman"/>
              </w:rPr>
              <w:t>Sporadic</w:t>
            </w:r>
          </w:p>
        </w:tc>
        <w:tc>
          <w:tcPr>
            <w:tcW w:w="2358" w:type="dxa"/>
          </w:tcPr>
          <w:p w14:paraId="32F217AA" w14:textId="0C7EF3A8" w:rsidR="0047137F" w:rsidRPr="007A7C51" w:rsidRDefault="0047137F" w:rsidP="0047137F">
            <w:pPr>
              <w:spacing w:after="120" w:line="240" w:lineRule="auto"/>
              <w:jc w:val="both"/>
              <w:rPr>
                <w:rFonts w:cs="Times New Roman"/>
              </w:rPr>
            </w:pPr>
            <w:r w:rsidRPr="007A7C51">
              <w:rPr>
                <w:rFonts w:cs="Times New Roman"/>
              </w:rPr>
              <w:t>EuroCJD</w:t>
            </w:r>
            <w:r w:rsidRPr="007A7C51">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sidRPr="007A7C51">
              <w:rPr>
                <w:rFonts w:cs="Times New Roman"/>
              </w:rPr>
              <w:fldChar w:fldCharType="separate"/>
            </w:r>
            <w:r w:rsidRPr="005C50C5">
              <w:rPr>
                <w:rFonts w:cs="Times New Roman"/>
                <w:noProof/>
                <w:vertAlign w:val="superscript"/>
              </w:rPr>
              <w:t>19</w:t>
            </w:r>
            <w:r w:rsidRPr="007A7C51">
              <w:rPr>
                <w:rFonts w:cs="Times New Roman"/>
              </w:rPr>
              <w:fldChar w:fldCharType="end"/>
            </w:r>
          </w:p>
        </w:tc>
      </w:tr>
      <w:tr w:rsidR="0047137F" w:rsidRPr="007A7C51" w14:paraId="4BE28C52" w14:textId="77777777" w:rsidTr="00892AF6">
        <w:tc>
          <w:tcPr>
            <w:tcW w:w="1803" w:type="dxa"/>
          </w:tcPr>
          <w:p w14:paraId="0AA22A14" w14:textId="77777777" w:rsidR="0047137F" w:rsidRPr="007A7C51" w:rsidRDefault="0047137F" w:rsidP="00892AF6">
            <w:pPr>
              <w:spacing w:after="120" w:line="240" w:lineRule="auto"/>
              <w:jc w:val="both"/>
              <w:rPr>
                <w:rFonts w:cs="Times New Roman"/>
              </w:rPr>
            </w:pPr>
            <w:r w:rsidRPr="007A7C51">
              <w:rPr>
                <w:rFonts w:cs="Times New Roman"/>
              </w:rPr>
              <w:t>Argentina</w:t>
            </w:r>
          </w:p>
        </w:tc>
        <w:tc>
          <w:tcPr>
            <w:tcW w:w="1194" w:type="dxa"/>
          </w:tcPr>
          <w:p w14:paraId="0A34FF9C" w14:textId="77777777" w:rsidR="0047137F" w:rsidRPr="007A7C51" w:rsidRDefault="0047137F" w:rsidP="00892AF6">
            <w:pPr>
              <w:spacing w:after="120" w:line="240" w:lineRule="auto"/>
              <w:jc w:val="both"/>
              <w:rPr>
                <w:rFonts w:cs="Times New Roman"/>
              </w:rPr>
            </w:pPr>
            <w:r w:rsidRPr="007A7C51">
              <w:rPr>
                <w:rFonts w:cs="Times New Roman"/>
              </w:rPr>
              <w:t>2008</w:t>
            </w:r>
          </w:p>
        </w:tc>
        <w:tc>
          <w:tcPr>
            <w:tcW w:w="1928" w:type="dxa"/>
          </w:tcPr>
          <w:p w14:paraId="2E3EBBF2" w14:textId="77777777" w:rsidR="0047137F" w:rsidRPr="007A7C51" w:rsidRDefault="0047137F" w:rsidP="00892AF6">
            <w:pPr>
              <w:spacing w:after="120" w:line="240" w:lineRule="auto"/>
              <w:jc w:val="both"/>
              <w:rPr>
                <w:rFonts w:cs="Times New Roman"/>
              </w:rPr>
            </w:pPr>
            <w:r w:rsidRPr="007A7C51">
              <w:rPr>
                <w:rFonts w:cs="Times New Roman"/>
              </w:rPr>
              <w:t>0.85</w:t>
            </w:r>
          </w:p>
        </w:tc>
        <w:tc>
          <w:tcPr>
            <w:tcW w:w="1733" w:type="dxa"/>
          </w:tcPr>
          <w:p w14:paraId="37BCF633" w14:textId="77777777" w:rsidR="0047137F" w:rsidRPr="007A7C51" w:rsidRDefault="0047137F" w:rsidP="00892AF6">
            <w:pPr>
              <w:spacing w:after="120" w:line="240" w:lineRule="auto"/>
              <w:jc w:val="both"/>
              <w:rPr>
                <w:rFonts w:cs="Times New Roman"/>
              </w:rPr>
            </w:pPr>
            <w:r w:rsidRPr="007A7C51">
              <w:rPr>
                <w:rFonts w:cs="Times New Roman"/>
              </w:rPr>
              <w:t>All types</w:t>
            </w:r>
          </w:p>
        </w:tc>
        <w:tc>
          <w:tcPr>
            <w:tcW w:w="2358" w:type="dxa"/>
          </w:tcPr>
          <w:p w14:paraId="673DE0B6" w14:textId="3BB12D8C" w:rsidR="0047137F" w:rsidRPr="007A7C51" w:rsidRDefault="0047137F" w:rsidP="0047137F">
            <w:pPr>
              <w:spacing w:after="120" w:line="240" w:lineRule="auto"/>
              <w:jc w:val="both"/>
              <w:rPr>
                <w:rFonts w:cs="Times New Roman"/>
              </w:rPr>
            </w:pPr>
            <w:r w:rsidRPr="007A7C51">
              <w:rPr>
                <w:rFonts w:cs="Times New Roman"/>
              </w:rPr>
              <w:t xml:space="preserve">Begue </w:t>
            </w:r>
            <w:r w:rsidRPr="00B301D6">
              <w:rPr>
                <w:rFonts w:cs="Times New Roman"/>
                <w:i/>
              </w:rPr>
              <w:t>et al</w:t>
            </w:r>
            <w:r w:rsidRPr="007A7C51">
              <w:rPr>
                <w:rFonts w:cs="Times New Roman"/>
              </w:rPr>
              <w:t xml:space="preserve"> 2011</w:t>
            </w:r>
            <w:r w:rsidRPr="007A7C51">
              <w:rPr>
                <w:rFonts w:cs="Times New Roman"/>
              </w:rPr>
              <w:fldChar w:fldCharType="begin">
                <w:fldData xml:space="preserve">PEVuZE5vdGU+PENpdGU+PEF1dGhvcj5CZWd1ZTwvQXV0aG9yPjxZZWFyPjIwMTE8L1llYXI+PFJl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</w:fldData>
              </w:fldChar>
            </w:r>
            <w:r>
              <w:rPr>
                <w:rFonts w:cs="Times New Roman"/>
              </w:rPr>
              <w:instrText xml:space="preserve"> ADDIN EN.CITE </w:instrText>
            </w:r>
            <w:r>
              <w:rPr>
                <w:rFonts w:cs="Times New Roman"/>
              </w:rPr>
              <w:fldChar w:fldCharType="begin">
                <w:fldData xml:space="preserve">PEVuZE5vdGU+PENpdGU+PEF1dGhvcj5CZWd1ZTwvQXV0aG9yPjxZZWFyPjIwMTE8L1llYXI+PFJl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</w:fldData>
              </w:fldChar>
            </w:r>
            <w:r>
              <w:rPr>
                <w:rFonts w:cs="Times New Roman"/>
              </w:rPr>
              <w:instrText xml:space="preserve"> ADDIN EN.CITE.DATA </w:instrText>
            </w:r>
            <w:r>
              <w:rPr>
                <w:rFonts w:cs="Times New Roman"/>
              </w:rPr>
            </w:r>
            <w:r>
              <w:rPr>
                <w:rFonts w:cs="Times New Roman"/>
              </w:rPr>
              <w:fldChar w:fldCharType="end"/>
            </w:r>
            <w:r w:rsidRPr="007A7C51">
              <w:rPr>
                <w:rFonts w:cs="Times New Roman"/>
              </w:rPr>
            </w:r>
            <w:r w:rsidRPr="007A7C51">
              <w:rPr>
                <w:rFonts w:cs="Times New Roman"/>
              </w:rPr>
              <w:fldChar w:fldCharType="separate"/>
            </w:r>
            <w:r w:rsidRPr="0047137F">
              <w:rPr>
                <w:rFonts w:cs="Times New Roman"/>
                <w:noProof/>
                <w:vertAlign w:val="superscript"/>
              </w:rPr>
              <w:t>24</w:t>
            </w:r>
            <w:r w:rsidRPr="007A7C51">
              <w:rPr>
                <w:rFonts w:cs="Times New Roman"/>
              </w:rPr>
              <w:fldChar w:fldCharType="end"/>
            </w:r>
          </w:p>
        </w:tc>
      </w:tr>
      <w:tr w:rsidR="0047137F" w:rsidRPr="007A7C51" w14:paraId="15D7DA8D" w14:textId="77777777" w:rsidTr="00892AF6">
        <w:tc>
          <w:tcPr>
            <w:tcW w:w="1803" w:type="dxa"/>
          </w:tcPr>
          <w:p w14:paraId="4D2DF656" w14:textId="77777777" w:rsidR="0047137F" w:rsidRPr="007A7C51" w:rsidRDefault="0047137F" w:rsidP="00892AF6">
            <w:pPr>
              <w:spacing w:after="120" w:line="240" w:lineRule="auto"/>
              <w:jc w:val="both"/>
              <w:rPr>
                <w:rFonts w:cs="Times New Roman"/>
              </w:rPr>
            </w:pPr>
            <w:r>
              <w:rPr>
                <w:rFonts w:cs="Times New Roman"/>
              </w:rPr>
              <w:t>Greece</w:t>
            </w:r>
          </w:p>
        </w:tc>
        <w:tc>
          <w:tcPr>
            <w:tcW w:w="1194" w:type="dxa"/>
          </w:tcPr>
          <w:p w14:paraId="77502532" w14:textId="77777777" w:rsidR="0047137F" w:rsidRPr="007A7C51" w:rsidRDefault="0047137F" w:rsidP="00892AF6">
            <w:pPr>
              <w:spacing w:after="120" w:line="240" w:lineRule="auto"/>
              <w:jc w:val="both"/>
              <w:rPr>
                <w:rFonts w:cs="Times New Roman"/>
              </w:rPr>
            </w:pPr>
            <w:r>
              <w:rPr>
                <w:rFonts w:cs="Times New Roman"/>
              </w:rPr>
              <w:t>1997-2008</w:t>
            </w:r>
          </w:p>
        </w:tc>
        <w:tc>
          <w:tcPr>
            <w:tcW w:w="1928" w:type="dxa"/>
          </w:tcPr>
          <w:p w14:paraId="58AFD4D7" w14:textId="77777777" w:rsidR="0047137F" w:rsidRPr="007A7C51" w:rsidRDefault="0047137F" w:rsidP="00892AF6">
            <w:pPr>
              <w:spacing w:after="120" w:line="240" w:lineRule="auto"/>
              <w:jc w:val="both"/>
              <w:rPr>
                <w:rFonts w:cs="Times New Roman"/>
              </w:rPr>
            </w:pPr>
            <w:r>
              <w:rPr>
                <w:rFonts w:cs="Times New Roman"/>
              </w:rPr>
              <w:t>0.62</w:t>
            </w:r>
          </w:p>
        </w:tc>
        <w:tc>
          <w:tcPr>
            <w:tcW w:w="1733" w:type="dxa"/>
          </w:tcPr>
          <w:p w14:paraId="6C8528AD" w14:textId="77777777" w:rsidR="0047137F" w:rsidRPr="007A7C51" w:rsidRDefault="0047137F" w:rsidP="00892AF6">
            <w:pPr>
              <w:spacing w:after="120" w:line="240" w:lineRule="auto"/>
              <w:jc w:val="both"/>
              <w:rPr>
                <w:rFonts w:cs="Times New Roman"/>
              </w:rPr>
            </w:pPr>
            <w:r>
              <w:rPr>
                <w:rFonts w:cs="Times New Roman"/>
              </w:rPr>
              <w:t>Sporadic</w:t>
            </w:r>
          </w:p>
        </w:tc>
        <w:tc>
          <w:tcPr>
            <w:tcW w:w="2358" w:type="dxa"/>
          </w:tcPr>
          <w:p w14:paraId="4B765641" w14:textId="6739F8DB" w:rsidR="0047137F" w:rsidRPr="007A7C51" w:rsidRDefault="0047137F" w:rsidP="0047137F">
            <w:pPr>
              <w:spacing w:after="120" w:line="240" w:lineRule="auto"/>
              <w:jc w:val="both"/>
              <w:rPr>
                <w:rFonts w:cs="Times New Roman"/>
              </w:rPr>
            </w:pPr>
            <w:r>
              <w:rPr>
                <w:rFonts w:cs="Times New Roman"/>
              </w:rPr>
              <w:t>EuroCJD</w:t>
            </w:r>
            <w:r>
              <w:rPr>
                <w:rFonts w:cs="Times New Roman"/>
              </w:rPr>
              <w:fldChar w:fldCharType="begin"/>
            </w:r>
            <w:r>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Pr>
                <w:rFonts w:cs="Times New Roman"/>
              </w:rPr>
              <w:fldChar w:fldCharType="separate"/>
            </w:r>
            <w:r w:rsidRPr="0047137F">
              <w:rPr>
                <w:rFonts w:cs="Times New Roman"/>
                <w:noProof/>
                <w:vertAlign w:val="superscript"/>
              </w:rPr>
              <w:t>19</w:t>
            </w:r>
            <w:r>
              <w:rPr>
                <w:rFonts w:cs="Times New Roman"/>
              </w:rPr>
              <w:fldChar w:fldCharType="end"/>
            </w:r>
          </w:p>
        </w:tc>
      </w:tr>
      <w:tr w:rsidR="0047137F" w:rsidRPr="007A7C51" w14:paraId="321C2B14" w14:textId="77777777" w:rsidTr="00892AF6">
        <w:tc>
          <w:tcPr>
            <w:tcW w:w="1803" w:type="dxa"/>
          </w:tcPr>
          <w:p w14:paraId="14E80C05" w14:textId="77777777" w:rsidR="0047137F" w:rsidRPr="007A7C51" w:rsidRDefault="0047137F" w:rsidP="00892AF6">
            <w:pPr>
              <w:spacing w:after="120" w:line="240" w:lineRule="auto"/>
              <w:jc w:val="both"/>
              <w:rPr>
                <w:rFonts w:cs="Times New Roman"/>
              </w:rPr>
            </w:pPr>
            <w:r w:rsidRPr="007A7C51">
              <w:rPr>
                <w:rFonts w:cs="Times New Roman"/>
              </w:rPr>
              <w:t>Taiwan</w:t>
            </w:r>
          </w:p>
        </w:tc>
        <w:tc>
          <w:tcPr>
            <w:tcW w:w="1194" w:type="dxa"/>
          </w:tcPr>
          <w:p w14:paraId="2521E985" w14:textId="77777777" w:rsidR="0047137F" w:rsidRPr="007A7C51" w:rsidRDefault="0047137F" w:rsidP="00892AF6">
            <w:pPr>
              <w:spacing w:after="120" w:line="240" w:lineRule="auto"/>
              <w:jc w:val="both"/>
              <w:rPr>
                <w:rFonts w:cs="Times New Roman"/>
              </w:rPr>
            </w:pPr>
            <w:r w:rsidRPr="007A7C51">
              <w:rPr>
                <w:rFonts w:cs="Times New Roman"/>
              </w:rPr>
              <w:t>1998-2007</w:t>
            </w:r>
          </w:p>
        </w:tc>
        <w:tc>
          <w:tcPr>
            <w:tcW w:w="1928" w:type="dxa"/>
          </w:tcPr>
          <w:p w14:paraId="210854A8" w14:textId="77777777" w:rsidR="0047137F" w:rsidRPr="007A7C51" w:rsidRDefault="0047137F" w:rsidP="00892AF6">
            <w:pPr>
              <w:spacing w:after="120" w:line="240" w:lineRule="auto"/>
              <w:jc w:val="both"/>
              <w:rPr>
                <w:rFonts w:cs="Times New Roman"/>
              </w:rPr>
            </w:pPr>
            <w:r w:rsidRPr="007A7C51">
              <w:rPr>
                <w:rFonts w:cs="Times New Roman"/>
              </w:rPr>
              <w:t>0.55</w:t>
            </w:r>
          </w:p>
        </w:tc>
        <w:tc>
          <w:tcPr>
            <w:tcW w:w="1733" w:type="dxa"/>
          </w:tcPr>
          <w:p w14:paraId="57A4737E" w14:textId="77777777" w:rsidR="0047137F" w:rsidRPr="007A7C51" w:rsidRDefault="0047137F" w:rsidP="00892AF6">
            <w:pPr>
              <w:spacing w:after="120" w:line="240" w:lineRule="auto"/>
              <w:jc w:val="both"/>
              <w:rPr>
                <w:rFonts w:cs="Times New Roman"/>
              </w:rPr>
            </w:pPr>
            <w:r w:rsidRPr="007A7C51">
              <w:rPr>
                <w:rFonts w:cs="Times New Roman"/>
              </w:rPr>
              <w:t>Sporadic</w:t>
            </w:r>
          </w:p>
        </w:tc>
        <w:tc>
          <w:tcPr>
            <w:tcW w:w="2358" w:type="dxa"/>
          </w:tcPr>
          <w:p w14:paraId="5AEF8708" w14:textId="35AE0837" w:rsidR="0047137F" w:rsidRPr="007A7C51" w:rsidRDefault="0047137F" w:rsidP="0047137F">
            <w:pPr>
              <w:spacing w:after="120" w:line="240" w:lineRule="auto"/>
              <w:jc w:val="both"/>
              <w:rPr>
                <w:rFonts w:cs="Times New Roman"/>
              </w:rPr>
            </w:pPr>
            <w:r w:rsidRPr="007A7C51">
              <w:rPr>
                <w:rFonts w:cs="Times New Roman"/>
              </w:rPr>
              <w:t xml:space="preserve">Lu </w:t>
            </w:r>
            <w:r w:rsidRPr="00B301D6">
              <w:rPr>
                <w:rFonts w:cs="Times New Roman"/>
                <w:i/>
              </w:rPr>
              <w:t>et al</w:t>
            </w:r>
            <w:r w:rsidRPr="007A7C51">
              <w:rPr>
                <w:rFonts w:cs="Times New Roman"/>
              </w:rPr>
              <w:t xml:space="preserve"> 2010</w:t>
            </w:r>
            <w:r w:rsidRPr="007A7C51">
              <w:rPr>
                <w:rFonts w:cs="Times New Roman"/>
              </w:rPr>
              <w:fldChar w:fldCharType="begin">
                <w:fldData xml:space="preserve">PEVuZE5vdGU+PENpdGU+PEF1dGhvcj5MdTwvQXV0aG9yPjxZZWFyPjIwMTA8L1llYXI+PFJlY051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</w:fldData>
              </w:fldChar>
            </w:r>
            <w:r>
              <w:rPr>
                <w:rFonts w:cs="Times New Roman"/>
              </w:rPr>
              <w:instrText xml:space="preserve"> ADDIN EN.CITE </w:instrText>
            </w:r>
            <w:r>
              <w:rPr>
                <w:rFonts w:cs="Times New Roman"/>
              </w:rPr>
              <w:fldChar w:fldCharType="begin">
                <w:fldData xml:space="preserve">PEVuZE5vdGU+PENpdGU+PEF1dGhvcj5MdTwvQXV0aG9yPjxZZWFyPjIwMTA8L1llYXI+PFJlY051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</w:fldData>
              </w:fldChar>
            </w:r>
            <w:r>
              <w:rPr>
                <w:rFonts w:cs="Times New Roman"/>
              </w:rPr>
              <w:instrText xml:space="preserve"> ADDIN EN.CITE.DATA </w:instrText>
            </w:r>
            <w:r>
              <w:rPr>
                <w:rFonts w:cs="Times New Roman"/>
              </w:rPr>
            </w:r>
            <w:r>
              <w:rPr>
                <w:rFonts w:cs="Times New Roman"/>
              </w:rPr>
              <w:fldChar w:fldCharType="end"/>
            </w:r>
            <w:r w:rsidRPr="007A7C51">
              <w:rPr>
                <w:rFonts w:cs="Times New Roman"/>
              </w:rPr>
            </w:r>
            <w:r w:rsidRPr="007A7C51">
              <w:rPr>
                <w:rFonts w:cs="Times New Roman"/>
              </w:rPr>
              <w:fldChar w:fldCharType="separate"/>
            </w:r>
            <w:r w:rsidRPr="0047137F">
              <w:rPr>
                <w:rFonts w:cs="Times New Roman"/>
                <w:noProof/>
                <w:vertAlign w:val="superscript"/>
              </w:rPr>
              <w:t>25</w:t>
            </w:r>
            <w:r w:rsidRPr="007A7C51">
              <w:rPr>
                <w:rFonts w:cs="Times New Roman"/>
              </w:rPr>
              <w:fldChar w:fldCharType="end"/>
            </w:r>
          </w:p>
        </w:tc>
      </w:tr>
    </w:tbl>
    <w:p w14:paraId="4F50B93B" w14:textId="77777777" w:rsidR="00F452B9" w:rsidRDefault="00F452B9" w:rsidP="00F452B9">
      <w:pPr>
        <w:jc w:val="both"/>
        <w:rPr>
          <w:rFonts w:cs="Times New Roman"/>
        </w:rPr>
      </w:pPr>
    </w:p>
    <w:p w14:paraId="307D714A" w14:textId="26ABF0B4" w:rsidR="00B2245C" w:rsidRDefault="00CA1BE9" w:rsidP="00292024">
      <w:pPr>
        <w:jc w:val="both"/>
        <w:rPr>
          <w:rFonts w:cs="Times New Roman"/>
        </w:rPr>
      </w:pPr>
      <w:r>
        <w:rPr>
          <w:rFonts w:cs="Times New Roman"/>
        </w:rPr>
        <w:t xml:space="preserve">A study by Gao </w:t>
      </w:r>
      <w:r w:rsidR="00B301D6" w:rsidRPr="00B301D6">
        <w:rPr>
          <w:rFonts w:cs="Times New Roman"/>
          <w:i/>
        </w:rPr>
        <w:t>et al</w:t>
      </w:r>
      <w:r>
        <w:rPr>
          <w:rFonts w:cs="Times New Roman"/>
        </w:rPr>
        <w:t xml:space="preserve"> (2011) does not report an incidence rate per million for CJD in China</w:t>
      </w:r>
      <w:r w:rsidR="00A30E2B">
        <w:rPr>
          <w:rFonts w:cs="Times New Roman"/>
        </w:rPr>
        <w:t>,</w:t>
      </w:r>
      <w:r>
        <w:rPr>
          <w:rFonts w:cs="Times New Roman"/>
        </w:rPr>
        <w:t xml:space="preserve"> but does report that during</w:t>
      </w:r>
      <w:r w:rsidRPr="001C5E3F">
        <w:rPr>
          <w:rFonts w:cs="Times New Roman"/>
        </w:rPr>
        <w:t xml:space="preserve"> the period of 2006 to 2010</w:t>
      </w:r>
      <w:r w:rsidR="001D7A5D">
        <w:rPr>
          <w:rFonts w:cs="Times New Roman"/>
        </w:rPr>
        <w:t>, 261 patients were diagnosed with</w:t>
      </w:r>
      <w:r w:rsidRPr="001C5E3F">
        <w:rPr>
          <w:rFonts w:cs="Times New Roman"/>
        </w:rPr>
        <w:t xml:space="preserve"> sCJD a</w:t>
      </w:r>
      <w:r w:rsidR="001D7A5D">
        <w:rPr>
          <w:rFonts w:cs="Times New Roman"/>
        </w:rPr>
        <w:t>nd 23 patients were diagnosed with</w:t>
      </w:r>
      <w:r w:rsidRPr="001C5E3F">
        <w:rPr>
          <w:rFonts w:cs="Times New Roman"/>
        </w:rPr>
        <w:t xml:space="preserve"> genetic human prion diseases</w:t>
      </w:r>
      <w:r>
        <w:rPr>
          <w:rFonts w:cs="Times New Roman"/>
        </w:rPr>
        <w:t xml:space="preserve"> from </w:t>
      </w:r>
      <w:r w:rsidRPr="00CA1BE9">
        <w:rPr>
          <w:rFonts w:cs="Times New Roman"/>
        </w:rPr>
        <w:t xml:space="preserve">624 suspected patients </w:t>
      </w:r>
      <w:r>
        <w:rPr>
          <w:rFonts w:cs="Times New Roman"/>
        </w:rPr>
        <w:t xml:space="preserve">who </w:t>
      </w:r>
      <w:r w:rsidRPr="00CA1BE9">
        <w:rPr>
          <w:rFonts w:cs="Times New Roman"/>
        </w:rPr>
        <w:t>were referred to China CJD surveillance</w:t>
      </w:r>
      <w:r>
        <w:rPr>
          <w:rFonts w:cs="Times New Roman"/>
        </w:rPr>
        <w:t>.</w:t>
      </w:r>
      <w:r w:rsidR="001D7A5D">
        <w:rPr>
          <w:rFonts w:cs="Times New Roman"/>
        </w:rPr>
        <w:fldChar w:fldCharType="begin">
          <w:fldData xml:space="preserve">PEVuZE5vdGU+PENpdGU+PEF1dGhvcj5HYW88L0F1dGhvcj48WWVhcj4yMDExPC9ZZWFyPjxSZWNO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==
</w:fldData>
        </w:fldChar>
      </w:r>
      <w:r w:rsidR="0047137F">
        <w:rPr>
          <w:rFonts w:cs="Times New Roman"/>
        </w:rPr>
        <w:instrText xml:space="preserve"> ADDIN EN.CITE </w:instrText>
      </w:r>
      <w:r w:rsidR="0047137F">
        <w:rPr>
          <w:rFonts w:cs="Times New Roman"/>
        </w:rPr>
        <w:fldChar w:fldCharType="begin">
          <w:fldData xml:space="preserve">PEVuZE5vdGU+PENpdGU+PEF1dGhvcj5HYW88L0F1dGhvcj48WWVhcj4yMDExPC9ZZWFyPjxSZWNO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==
</w:fldData>
        </w:fldChar>
      </w:r>
      <w:r w:rsidR="0047137F">
        <w:rPr>
          <w:rFonts w:cs="Times New Roman"/>
        </w:rPr>
        <w:instrText xml:space="preserve"> ADDIN EN.CITE.DATA </w:instrText>
      </w:r>
      <w:r w:rsidR="0047137F">
        <w:rPr>
          <w:rFonts w:cs="Times New Roman"/>
        </w:rPr>
      </w:r>
      <w:r w:rsidR="0047137F">
        <w:rPr>
          <w:rFonts w:cs="Times New Roman"/>
        </w:rPr>
        <w:fldChar w:fldCharType="end"/>
      </w:r>
      <w:r w:rsidR="001D7A5D">
        <w:rPr>
          <w:rFonts w:cs="Times New Roman"/>
        </w:rPr>
      </w:r>
      <w:r w:rsidR="001D7A5D">
        <w:rPr>
          <w:rFonts w:cs="Times New Roman"/>
        </w:rPr>
        <w:fldChar w:fldCharType="separate"/>
      </w:r>
      <w:r w:rsidR="0047137F" w:rsidRPr="0047137F">
        <w:rPr>
          <w:rFonts w:cs="Times New Roman"/>
          <w:noProof/>
          <w:vertAlign w:val="superscript"/>
        </w:rPr>
        <w:t>26</w:t>
      </w:r>
      <w:r w:rsidR="001D7A5D">
        <w:rPr>
          <w:rFonts w:cs="Times New Roman"/>
        </w:rPr>
        <w:fldChar w:fldCharType="end"/>
      </w:r>
    </w:p>
    <w:p w14:paraId="4C51CB71" w14:textId="77777777" w:rsidR="00292024" w:rsidRPr="00292024" w:rsidRDefault="00292024" w:rsidP="00292024">
      <w:pPr>
        <w:jc w:val="both"/>
        <w:rPr>
          <w:rFonts w:cs="Times New Roman"/>
        </w:rPr>
      </w:pPr>
    </w:p>
    <w:p w14:paraId="07F513BD" w14:textId="1B3C8E0E" w:rsidR="00175C97" w:rsidRPr="006A1AA7" w:rsidRDefault="00175C97" w:rsidP="00F452B9">
      <w:pPr>
        <w:pStyle w:val="Heading4"/>
        <w:spacing w:before="0"/>
        <w:rPr>
          <w:sz w:val="22"/>
        </w:rPr>
      </w:pPr>
      <w:r w:rsidRPr="006A1AA7">
        <w:rPr>
          <w:sz w:val="22"/>
        </w:rPr>
        <w:t xml:space="preserve">Increase in </w:t>
      </w:r>
      <w:r w:rsidR="00507127" w:rsidRPr="006A1AA7">
        <w:rPr>
          <w:sz w:val="22"/>
        </w:rPr>
        <w:t xml:space="preserve">UK </w:t>
      </w:r>
      <w:r w:rsidR="00BD35A1" w:rsidRPr="006A1AA7">
        <w:rPr>
          <w:sz w:val="22"/>
        </w:rPr>
        <w:t>s</w:t>
      </w:r>
      <w:r w:rsidRPr="006A1AA7">
        <w:rPr>
          <w:sz w:val="22"/>
        </w:rPr>
        <w:t>CJD incidence over time</w:t>
      </w:r>
    </w:p>
    <w:p w14:paraId="6002E976" w14:textId="37997A28" w:rsidR="00F452B9" w:rsidRDefault="007D3094" w:rsidP="00F452B9">
      <w:pPr>
        <w:autoSpaceDE w:val="0"/>
        <w:autoSpaceDN w:val="0"/>
        <w:adjustRightInd w:val="0"/>
        <w:jc w:val="both"/>
        <w:rPr>
          <w:rFonts w:cs="Times New Roman"/>
        </w:rPr>
      </w:pPr>
      <w:r>
        <w:rPr>
          <w:rFonts w:cs="Times New Roman"/>
        </w:rPr>
        <w:t>Between 1990 and 2017</w:t>
      </w:r>
      <w:r w:rsidR="00A30E2B">
        <w:rPr>
          <w:rFonts w:cs="Times New Roman"/>
        </w:rPr>
        <w:t>,</w:t>
      </w:r>
      <w:r>
        <w:rPr>
          <w:rFonts w:cs="Times New Roman"/>
        </w:rPr>
        <w:t xml:space="preserve"> the NCJDRSU recorded figures of iatrogenic CJD (from </w:t>
      </w:r>
      <w:r w:rsidR="008457C0">
        <w:rPr>
          <w:rFonts w:cs="Times New Roman"/>
        </w:rPr>
        <w:t xml:space="preserve">receipt of </w:t>
      </w:r>
      <w:r>
        <w:rPr>
          <w:rFonts w:cs="Times New Roman"/>
        </w:rPr>
        <w:t>human gonadotrophin, human-derived growth hormone or dura mater) and vCJD</w:t>
      </w:r>
      <w:r w:rsidR="001243D8">
        <w:rPr>
          <w:rFonts w:cs="Times New Roman"/>
        </w:rPr>
        <w:t xml:space="preserve"> which</w:t>
      </w:r>
      <w:r>
        <w:rPr>
          <w:rFonts w:cs="Times New Roman"/>
        </w:rPr>
        <w:t xml:space="preserve"> are </w:t>
      </w:r>
      <w:r w:rsidR="008457C0">
        <w:rPr>
          <w:rFonts w:cs="Times New Roman"/>
        </w:rPr>
        <w:t xml:space="preserve">relatively </w:t>
      </w:r>
      <w:r>
        <w:rPr>
          <w:rFonts w:cs="Times New Roman"/>
        </w:rPr>
        <w:t>low</w:t>
      </w:r>
      <w:r w:rsidR="00E95B19">
        <w:rPr>
          <w:rFonts w:cs="Times New Roman"/>
        </w:rPr>
        <w:t xml:space="preserve"> compared to sporadic CJD</w:t>
      </w:r>
      <w:r>
        <w:rPr>
          <w:rFonts w:cs="Times New Roman"/>
        </w:rPr>
        <w:t xml:space="preserve">. </w:t>
      </w:r>
      <w:r w:rsidR="0080595C" w:rsidRPr="007A7C51">
        <w:rPr>
          <w:rFonts w:cs="Times New Roman"/>
        </w:rPr>
        <w:fldChar w:fldCharType="begin"/>
      </w:r>
      <w:r w:rsidR="0080595C" w:rsidRPr="007A7C51">
        <w:rPr>
          <w:rFonts w:cs="Times New Roman"/>
        </w:rPr>
        <w:instrText xml:space="preserve"> REF _Ref503859594 \h </w:instrText>
      </w:r>
      <w:r w:rsidR="000B6F62" w:rsidRPr="007A7C51">
        <w:rPr>
          <w:rFonts w:cs="Times New Roman"/>
        </w:rPr>
        <w:instrText xml:space="preserve"> \* MERGEFORMAT </w:instrText>
      </w:r>
      <w:r w:rsidR="0080595C" w:rsidRPr="007A7C51">
        <w:rPr>
          <w:rFonts w:cs="Times New Roman"/>
        </w:rPr>
      </w:r>
      <w:r w:rsidR="0080595C" w:rsidRPr="007A7C51">
        <w:rPr>
          <w:rFonts w:cs="Times New Roman"/>
        </w:rPr>
        <w:fldChar w:fldCharType="separate"/>
      </w:r>
      <w:r w:rsidR="00690541" w:rsidRPr="00D96D80">
        <w:rPr>
          <w:rFonts w:cs="Times New Roman"/>
        </w:rPr>
        <w:t xml:space="preserve">Figure </w:t>
      </w:r>
      <w:r w:rsidR="00690541">
        <w:rPr>
          <w:rFonts w:cs="Times New Roman"/>
          <w:noProof/>
        </w:rPr>
        <w:t>2</w:t>
      </w:r>
      <w:r w:rsidR="0080595C" w:rsidRPr="007A7C51">
        <w:rPr>
          <w:rFonts w:cs="Times New Roman"/>
        </w:rPr>
        <w:fldChar w:fldCharType="end"/>
      </w:r>
      <w:r w:rsidR="0080595C" w:rsidRPr="007A7C51">
        <w:rPr>
          <w:rFonts w:cs="Times New Roman"/>
        </w:rPr>
        <w:t xml:space="preserve"> plot</w:t>
      </w:r>
      <w:r w:rsidR="00835EFC">
        <w:rPr>
          <w:rFonts w:cs="Times New Roman"/>
        </w:rPr>
        <w:t>s</w:t>
      </w:r>
      <w:r w:rsidR="0080595C" w:rsidRPr="007A7C51">
        <w:rPr>
          <w:rFonts w:cs="Times New Roman"/>
        </w:rPr>
        <w:t xml:space="preserve"> the number of deaths in the UK </w:t>
      </w:r>
      <w:r w:rsidR="00E247B9" w:rsidRPr="007A7C51">
        <w:rPr>
          <w:rFonts w:cs="Times New Roman"/>
        </w:rPr>
        <w:t>that have been attributed</w:t>
      </w:r>
      <w:r w:rsidR="0080595C" w:rsidRPr="007A7C51">
        <w:rPr>
          <w:rFonts w:cs="Times New Roman"/>
        </w:rPr>
        <w:t xml:space="preserve"> to definite or probable CJD</w:t>
      </w:r>
      <w:r w:rsidR="00E247B9" w:rsidRPr="007A7C51">
        <w:rPr>
          <w:rFonts w:cs="Times New Roman"/>
        </w:rPr>
        <w:t xml:space="preserve"> between 1996 and 2017</w:t>
      </w:r>
      <w:r w:rsidR="00AF6A4B">
        <w:rPr>
          <w:rFonts w:cs="Times New Roman"/>
        </w:rPr>
        <w:t xml:space="preserve"> (2</w:t>
      </w:r>
      <w:r w:rsidR="00AF6A4B" w:rsidRPr="00740DCB">
        <w:rPr>
          <w:rFonts w:cs="Times New Roman"/>
          <w:vertAlign w:val="superscript"/>
        </w:rPr>
        <w:t>nd</w:t>
      </w:r>
      <w:r w:rsidR="00AF6A4B">
        <w:rPr>
          <w:rFonts w:cs="Times New Roman"/>
        </w:rPr>
        <w:t xml:space="preserve"> May</w:t>
      </w:r>
      <w:r w:rsidR="00EE1954">
        <w:rPr>
          <w:rFonts w:cs="Times New Roman"/>
        </w:rPr>
        <w:t xml:space="preserve"> 2018</w:t>
      </w:r>
      <w:r w:rsidR="00AF6A4B">
        <w:rPr>
          <w:rFonts w:cs="Times New Roman"/>
        </w:rPr>
        <w:t>)</w:t>
      </w:r>
      <w:r w:rsidR="00835EFC">
        <w:rPr>
          <w:rFonts w:cs="Times New Roman"/>
        </w:rPr>
        <w:t xml:space="preserve"> as reported by the NCJDRSU</w:t>
      </w:r>
      <w:r w:rsidR="0080595C" w:rsidRPr="007A7C51">
        <w:rPr>
          <w:rFonts w:cs="Times New Roman"/>
        </w:rPr>
        <w:t xml:space="preserve">. An increase in </w:t>
      </w:r>
      <w:r w:rsidR="003E53FB" w:rsidRPr="007A7C51">
        <w:rPr>
          <w:rFonts w:cs="Times New Roman"/>
        </w:rPr>
        <w:t xml:space="preserve">sporadic CJD </w:t>
      </w:r>
      <w:r w:rsidR="0080595C" w:rsidRPr="007A7C51">
        <w:rPr>
          <w:rFonts w:cs="Times New Roman"/>
        </w:rPr>
        <w:t>cases is noted over the 27-year period</w:t>
      </w:r>
      <w:r w:rsidR="003E53FB" w:rsidRPr="007A7C51">
        <w:rPr>
          <w:rFonts w:cs="Times New Roman"/>
        </w:rPr>
        <w:t xml:space="preserve"> whilst iatrogenic, genetic and variant forms remain low</w:t>
      </w:r>
      <w:r w:rsidR="0080595C" w:rsidRPr="007A7C51">
        <w:rPr>
          <w:rFonts w:cs="Times New Roman"/>
        </w:rPr>
        <w:t>.</w:t>
      </w:r>
    </w:p>
    <w:p w14:paraId="3C3CBF1B" w14:textId="00EFF6AD" w:rsidR="00F452B9" w:rsidRDefault="00F452B9">
      <w:pPr>
        <w:rPr>
          <w:rFonts w:cs="Times New Roman"/>
        </w:rPr>
      </w:pPr>
    </w:p>
    <w:p w14:paraId="223418F2" w14:textId="0A022D9B" w:rsidR="00F452B9" w:rsidRPr="00D96D80" w:rsidRDefault="00F452B9" w:rsidP="006E1D8B">
      <w:pPr>
        <w:pStyle w:val="Caption"/>
        <w:spacing w:line="360" w:lineRule="auto"/>
        <w:ind w:left="1440" w:hanging="1440"/>
        <w:rPr>
          <w:rFonts w:cs="Times New Roman"/>
          <w:noProof/>
        </w:rPr>
      </w:pPr>
      <w:bookmarkStart w:id="35" w:name="_Ref503859594"/>
      <w:bookmarkStart w:id="36" w:name="_Toc525106719"/>
      <w:r w:rsidRPr="00D96D80">
        <w:rPr>
          <w:rFonts w:cs="Times New Roman"/>
        </w:rPr>
        <w:t xml:space="preserve">Figure </w:t>
      </w:r>
      <w:r w:rsidRPr="00D96D80">
        <w:rPr>
          <w:rFonts w:cs="Times New Roman"/>
        </w:rPr>
        <w:fldChar w:fldCharType="begin"/>
      </w:r>
      <w:r w:rsidRPr="00D96D80">
        <w:rPr>
          <w:rFonts w:cs="Times New Roman"/>
        </w:rPr>
        <w:instrText xml:space="preserve"> SEQ Figure \* ARABIC </w:instrText>
      </w:r>
      <w:r w:rsidRPr="00D96D80">
        <w:rPr>
          <w:rFonts w:cs="Times New Roman"/>
        </w:rPr>
        <w:fldChar w:fldCharType="separate"/>
      </w:r>
      <w:r w:rsidR="00690541">
        <w:rPr>
          <w:rFonts w:cs="Times New Roman"/>
          <w:noProof/>
        </w:rPr>
        <w:t>2</w:t>
      </w:r>
      <w:r w:rsidRPr="00D96D80">
        <w:rPr>
          <w:rFonts w:cs="Times New Roman"/>
          <w:noProof/>
        </w:rPr>
        <w:fldChar w:fldCharType="end"/>
      </w:r>
      <w:bookmarkEnd w:id="35"/>
      <w:r w:rsidR="00D96D80" w:rsidRPr="00D96D80">
        <w:rPr>
          <w:rFonts w:cs="Times New Roman"/>
          <w:noProof/>
        </w:rPr>
        <w:t>:</w:t>
      </w:r>
      <w:r w:rsidR="00D96D80" w:rsidRPr="00D96D80">
        <w:rPr>
          <w:rFonts w:cs="Times New Roman"/>
          <w:noProof/>
        </w:rPr>
        <w:tab/>
      </w:r>
      <w:r w:rsidRPr="00D96D80">
        <w:rPr>
          <w:rFonts w:cs="Times New Roman"/>
        </w:rPr>
        <w:t>Deaths from probable or definite CJD in the UK using data from the NCJDRSU between 1996-2017</w:t>
      </w:r>
      <w:bookmarkEnd w:id="36"/>
    </w:p>
    <w:p w14:paraId="6AC34FB9" w14:textId="7C6A3ECD" w:rsidR="00507127" w:rsidRPr="009F5584" w:rsidRDefault="00437F78" w:rsidP="009F5584">
      <w:pPr>
        <w:autoSpaceDE w:val="0"/>
        <w:autoSpaceDN w:val="0"/>
        <w:adjustRightInd w:val="0"/>
        <w:spacing w:after="120"/>
        <w:jc w:val="both"/>
        <w:rPr>
          <w:rFonts w:cs="Times New Roman"/>
          <w:sz w:val="24"/>
          <w:szCs w:val="24"/>
        </w:rPr>
      </w:pPr>
      <w:r>
        <w:rPr>
          <w:noProof/>
          <w:lang w:eastAsia="en-GB"/>
        </w:rPr>
        <w:drawing>
          <wp:anchor distT="0" distB="0" distL="114300" distR="114300" simplePos="0" relativeHeight="251746304" behindDoc="0" locked="0" layoutInCell="1" allowOverlap="1" wp14:anchorId="2B3882CE" wp14:editId="702A0C6F">
            <wp:simplePos x="0" y="0"/>
            <wp:positionH relativeFrom="margin">
              <wp:align>left</wp:align>
            </wp:positionH>
            <wp:positionV relativeFrom="paragraph">
              <wp:posOffset>242570</wp:posOffset>
            </wp:positionV>
            <wp:extent cx="5770880" cy="3054350"/>
            <wp:effectExtent l="0" t="0" r="20320" b="1270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55AAF93A" w14:textId="5FF06B8A" w:rsidR="00FB4405" w:rsidRPr="007A7C51" w:rsidRDefault="00FC5BBC" w:rsidP="00D96D80">
      <w:pPr>
        <w:autoSpaceDE w:val="0"/>
        <w:autoSpaceDN w:val="0"/>
        <w:adjustRightInd w:val="0"/>
        <w:jc w:val="both"/>
        <w:rPr>
          <w:rFonts w:cs="Times New Roman"/>
        </w:rPr>
      </w:pPr>
      <w:r w:rsidRPr="007A7C51">
        <w:rPr>
          <w:rFonts w:cs="Times New Roman"/>
        </w:rPr>
        <w:t>Possible reasons for the</w:t>
      </w:r>
      <w:r w:rsidR="00650B39" w:rsidRPr="007A7C51">
        <w:rPr>
          <w:rFonts w:cs="Times New Roman"/>
        </w:rPr>
        <w:t xml:space="preserve"> increase</w:t>
      </w:r>
      <w:r w:rsidRPr="007A7C51">
        <w:rPr>
          <w:rFonts w:cs="Times New Roman"/>
        </w:rPr>
        <w:t xml:space="preserve"> in </w:t>
      </w:r>
      <w:r w:rsidR="00606028" w:rsidRPr="007A7C51">
        <w:rPr>
          <w:rFonts w:cs="Times New Roman"/>
        </w:rPr>
        <w:t xml:space="preserve">the detection of </w:t>
      </w:r>
      <w:r w:rsidR="00E247B9" w:rsidRPr="007A7C51">
        <w:rPr>
          <w:rFonts w:cs="Times New Roman"/>
        </w:rPr>
        <w:t>s</w:t>
      </w:r>
      <w:r w:rsidRPr="007A7C51">
        <w:rPr>
          <w:rFonts w:cs="Times New Roman"/>
        </w:rPr>
        <w:t>CJD cases in the UK</w:t>
      </w:r>
      <w:r w:rsidR="00650B39" w:rsidRPr="007A7C51">
        <w:rPr>
          <w:rFonts w:cs="Times New Roman"/>
        </w:rPr>
        <w:t xml:space="preserve"> </w:t>
      </w:r>
      <w:r w:rsidR="00E95B19">
        <w:rPr>
          <w:rFonts w:cs="Times New Roman"/>
        </w:rPr>
        <w:t xml:space="preserve">are speculated to </w:t>
      </w:r>
      <w:r w:rsidR="00650B39" w:rsidRPr="007A7C51">
        <w:rPr>
          <w:rFonts w:cs="Times New Roman"/>
        </w:rPr>
        <w:t xml:space="preserve">include: </w:t>
      </w:r>
    </w:p>
    <w:p w14:paraId="69605601" w14:textId="1F32016B" w:rsidR="00FB4405" w:rsidRPr="007A7C51" w:rsidRDefault="00E90E93" w:rsidP="00D96D80">
      <w:pPr>
        <w:pStyle w:val="ListParagraph"/>
        <w:numPr>
          <w:ilvl w:val="0"/>
          <w:numId w:val="1"/>
        </w:numPr>
        <w:autoSpaceDE w:val="0"/>
        <w:autoSpaceDN w:val="0"/>
        <w:adjustRightInd w:val="0"/>
        <w:jc w:val="both"/>
        <w:rPr>
          <w:rFonts w:cs="Times New Roman"/>
        </w:rPr>
      </w:pPr>
      <w:r>
        <w:rPr>
          <w:rFonts w:cs="Times New Roman"/>
        </w:rPr>
        <w:t>i</w:t>
      </w:r>
      <w:r w:rsidR="008B7114" w:rsidRPr="007A7C51">
        <w:rPr>
          <w:rFonts w:cs="Times New Roman"/>
        </w:rPr>
        <w:t xml:space="preserve">mproved </w:t>
      </w:r>
      <w:r w:rsidR="00E933B5" w:rsidRPr="007A7C51">
        <w:rPr>
          <w:rFonts w:cs="Times New Roman"/>
        </w:rPr>
        <w:t>case-ascertainment</w:t>
      </w:r>
      <w:r w:rsidR="008B7114" w:rsidRPr="007A7C51">
        <w:rPr>
          <w:rFonts w:cs="Times New Roman"/>
        </w:rPr>
        <w:t xml:space="preserve"> due to </w:t>
      </w:r>
      <w:r w:rsidR="00606028" w:rsidRPr="007A7C51">
        <w:rPr>
          <w:rFonts w:cs="Times New Roman"/>
        </w:rPr>
        <w:t>clinician awareness and</w:t>
      </w:r>
      <w:r w:rsidR="00CD3F17" w:rsidRPr="007A7C51">
        <w:rPr>
          <w:rFonts w:cs="Times New Roman"/>
        </w:rPr>
        <w:t>/or</w:t>
      </w:r>
      <w:r w:rsidR="00606028" w:rsidRPr="007A7C51">
        <w:rPr>
          <w:rFonts w:cs="Times New Roman"/>
        </w:rPr>
        <w:t xml:space="preserve"> </w:t>
      </w:r>
      <w:r w:rsidR="008B7114" w:rsidRPr="007A7C51">
        <w:rPr>
          <w:rFonts w:cs="Times New Roman"/>
        </w:rPr>
        <w:t xml:space="preserve">improvements in </w:t>
      </w:r>
      <w:r w:rsidR="00606028" w:rsidRPr="007A7C51">
        <w:rPr>
          <w:rFonts w:cs="Times New Roman"/>
        </w:rPr>
        <w:t>diagnostic testing</w:t>
      </w:r>
      <w:r w:rsidR="00650B39" w:rsidRPr="007A7C51">
        <w:rPr>
          <w:rFonts w:cs="Times New Roman"/>
        </w:rPr>
        <w:t xml:space="preserve">; </w:t>
      </w:r>
    </w:p>
    <w:p w14:paraId="50783740" w14:textId="58894FE1" w:rsidR="00FB4405" w:rsidRPr="007A7C51" w:rsidRDefault="00E90E93" w:rsidP="00D96D80">
      <w:pPr>
        <w:pStyle w:val="ListParagraph"/>
        <w:numPr>
          <w:ilvl w:val="0"/>
          <w:numId w:val="1"/>
        </w:numPr>
        <w:autoSpaceDE w:val="0"/>
        <w:autoSpaceDN w:val="0"/>
        <w:adjustRightInd w:val="0"/>
        <w:jc w:val="both"/>
        <w:rPr>
          <w:rFonts w:cs="Times New Roman"/>
        </w:rPr>
      </w:pPr>
      <w:r>
        <w:rPr>
          <w:rFonts w:cs="Times New Roman"/>
        </w:rPr>
        <w:t>population increases;</w:t>
      </w:r>
    </w:p>
    <w:p w14:paraId="3FD8E475" w14:textId="45CF35BD" w:rsidR="00FB4405" w:rsidRDefault="00650B39" w:rsidP="00D96D80">
      <w:pPr>
        <w:pStyle w:val="ListParagraph"/>
        <w:numPr>
          <w:ilvl w:val="0"/>
          <w:numId w:val="1"/>
        </w:numPr>
        <w:autoSpaceDE w:val="0"/>
        <w:autoSpaceDN w:val="0"/>
        <w:adjustRightInd w:val="0"/>
        <w:jc w:val="both"/>
        <w:rPr>
          <w:rFonts w:cs="Times New Roman"/>
        </w:rPr>
      </w:pPr>
      <w:r w:rsidRPr="007A7C51">
        <w:rPr>
          <w:rFonts w:cs="Times New Roman"/>
        </w:rPr>
        <w:t>an ageing population</w:t>
      </w:r>
      <w:r w:rsidR="00E90E93">
        <w:rPr>
          <w:rFonts w:cs="Times New Roman"/>
        </w:rPr>
        <w:t>;</w:t>
      </w:r>
    </w:p>
    <w:p w14:paraId="199E3129" w14:textId="05648D6B" w:rsidR="00EE1954" w:rsidRPr="007A7C51" w:rsidRDefault="00437F78" w:rsidP="00D96D80">
      <w:pPr>
        <w:pStyle w:val="ListParagraph"/>
        <w:numPr>
          <w:ilvl w:val="0"/>
          <w:numId w:val="1"/>
        </w:numPr>
        <w:autoSpaceDE w:val="0"/>
        <w:autoSpaceDN w:val="0"/>
        <w:adjustRightInd w:val="0"/>
        <w:jc w:val="both"/>
        <w:rPr>
          <w:rFonts w:cs="Times New Roman"/>
        </w:rPr>
      </w:pPr>
      <w:r>
        <w:rPr>
          <w:rFonts w:cs="Times New Roman"/>
        </w:rPr>
        <w:t>c</w:t>
      </w:r>
      <w:r w:rsidR="00EE1954">
        <w:rPr>
          <w:rFonts w:cs="Times New Roman"/>
        </w:rPr>
        <w:t xml:space="preserve">hanges to the </w:t>
      </w:r>
      <w:r w:rsidR="00E90E93">
        <w:rPr>
          <w:rFonts w:cs="Times New Roman"/>
        </w:rPr>
        <w:t xml:space="preserve">sporadic </w:t>
      </w:r>
      <w:r w:rsidR="00EE1954">
        <w:rPr>
          <w:rFonts w:cs="Times New Roman"/>
        </w:rPr>
        <w:t>case definition</w:t>
      </w:r>
      <w:r w:rsidR="00E90E93">
        <w:rPr>
          <w:rFonts w:cs="Times New Roman"/>
        </w:rPr>
        <w:t xml:space="preserve"> to include cerebrospinal fluid and </w:t>
      </w:r>
      <w:r w:rsidR="00E90E93">
        <w:rPr>
          <w:rFonts w:eastAsia="Calibri" w:cs="Times New Roman"/>
          <w:lang w:val="en"/>
        </w:rPr>
        <w:t>magnetic resonance imaging (</w:t>
      </w:r>
      <w:r w:rsidR="00E90E93">
        <w:rPr>
          <w:rFonts w:cs="Times New Roman"/>
        </w:rPr>
        <w:t>MRI) diagnostic tests.</w:t>
      </w:r>
    </w:p>
    <w:p w14:paraId="08026387" w14:textId="77777777" w:rsidR="00D96D80" w:rsidRDefault="00D96D80" w:rsidP="00D96D80">
      <w:pPr>
        <w:autoSpaceDE w:val="0"/>
        <w:autoSpaceDN w:val="0"/>
        <w:adjustRightInd w:val="0"/>
        <w:jc w:val="both"/>
        <w:rPr>
          <w:rFonts w:cs="Times New Roman"/>
        </w:rPr>
      </w:pPr>
    </w:p>
    <w:p w14:paraId="24B6524C" w14:textId="0618F1B7" w:rsidR="00250E79" w:rsidRDefault="009748E5" w:rsidP="00D96D80">
      <w:pPr>
        <w:autoSpaceDE w:val="0"/>
        <w:autoSpaceDN w:val="0"/>
        <w:adjustRightInd w:val="0"/>
        <w:jc w:val="both"/>
        <w:rPr>
          <w:rFonts w:cs="Times New Roman"/>
        </w:rPr>
      </w:pPr>
      <w:r w:rsidRPr="007A7C51">
        <w:rPr>
          <w:rFonts w:cs="Times New Roman"/>
        </w:rPr>
        <w:t xml:space="preserve">An upwards trajectory of CJD cases may be attributable to the way that data are collected for surveillance of CJD. Case ascertainment is likely to improve in areas where CJD surveillance is strong, where there is greater awareness among health professionals of CJD and where there are more neurologists able to diagnose CJD. As the national surveillance programme for CJD </w:t>
      </w:r>
      <w:r w:rsidR="00396D86" w:rsidRPr="007A7C51">
        <w:rPr>
          <w:rFonts w:cs="Times New Roman"/>
        </w:rPr>
        <w:t>has been operating since</w:t>
      </w:r>
      <w:r w:rsidRPr="007A7C51">
        <w:rPr>
          <w:rFonts w:cs="Times New Roman"/>
        </w:rPr>
        <w:t xml:space="preserve"> May 1990 and is a prospective surveillance programme</w:t>
      </w:r>
      <w:r w:rsidR="00C073FF">
        <w:rPr>
          <w:rFonts w:cs="Times New Roman"/>
        </w:rPr>
        <w:t>,</w:t>
      </w:r>
      <w:r w:rsidRPr="007A7C51">
        <w:rPr>
          <w:rFonts w:cs="Times New Roman"/>
        </w:rPr>
        <w:t xml:space="preserve"> there are likely to be improvements over time with </w:t>
      </w:r>
      <w:r w:rsidR="00C073FF">
        <w:rPr>
          <w:rFonts w:cs="Times New Roman"/>
        </w:rPr>
        <w:t xml:space="preserve">respect to </w:t>
      </w:r>
      <w:r w:rsidRPr="007A7C51">
        <w:rPr>
          <w:rFonts w:cs="Times New Roman"/>
        </w:rPr>
        <w:t>how this rare condition is detected, referred, investigat</w:t>
      </w:r>
      <w:r w:rsidR="00E95B19">
        <w:rPr>
          <w:rFonts w:cs="Times New Roman"/>
        </w:rPr>
        <w:t>ed and reported when compared with</w:t>
      </w:r>
      <w:r w:rsidRPr="007A7C51">
        <w:rPr>
          <w:rFonts w:cs="Times New Roman"/>
        </w:rPr>
        <w:t xml:space="preserve"> retrospective surveillance studies. Moreover, in CJD, due to the potential for iatrogenic transmission, there has been a focussed collaborative effort to </w:t>
      </w:r>
      <w:r w:rsidR="00D72061">
        <w:rPr>
          <w:rFonts w:cs="Times New Roman"/>
        </w:rPr>
        <w:t>examine evidence of transmission through different exposures by examining links to confirmed CJD cases</w:t>
      </w:r>
      <w:r w:rsidRPr="007A7C51">
        <w:rPr>
          <w:rFonts w:cs="Times New Roman"/>
        </w:rPr>
        <w:t xml:space="preserve"> through </w:t>
      </w:r>
      <w:r w:rsidR="00D3360E">
        <w:rPr>
          <w:rFonts w:cs="Times New Roman"/>
        </w:rPr>
        <w:t>retrospective “</w:t>
      </w:r>
      <w:r w:rsidRPr="007A7C51">
        <w:rPr>
          <w:rFonts w:cs="Times New Roman"/>
        </w:rPr>
        <w:t>lookback</w:t>
      </w:r>
      <w:r w:rsidR="00D3360E">
        <w:rPr>
          <w:rFonts w:cs="Times New Roman"/>
        </w:rPr>
        <w:t>”</w:t>
      </w:r>
      <w:r w:rsidR="00602211">
        <w:rPr>
          <w:rFonts w:cs="Times New Roman"/>
        </w:rPr>
        <w:t xml:space="preserve"> studies.</w:t>
      </w:r>
      <w:r w:rsidR="00826471" w:rsidRPr="007A7C51">
        <w:rPr>
          <w:rFonts w:cs="Times New Roman"/>
        </w:rPr>
        <w:fldChar w:fldCharType="begin">
          <w:fldData xml:space="preserve">PEVuZE5vdGU+PENpdGU+PEF1dGhvcj5Nb2xlc3dvcnRoPC9BdXRob3I+PFllYXI+MjAxMzwvWWVh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</w:fldData>
        </w:fldChar>
      </w:r>
      <w:r w:rsidR="0047137F">
        <w:rPr>
          <w:rFonts w:cs="Times New Roman"/>
        </w:rPr>
        <w:instrText xml:space="preserve"> ADDIN EN.CITE </w:instrText>
      </w:r>
      <w:r w:rsidR="0047137F">
        <w:rPr>
          <w:rFonts w:cs="Times New Roman"/>
        </w:rPr>
        <w:fldChar w:fldCharType="begin">
          <w:fldData xml:space="preserve">PEVuZE5vdGU+PENpdGU+PEF1dGhvcj5Nb2xlc3dvcnRoPC9BdXRob3I+PFllYXI+MjAxMzwvWWVh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</w:fldData>
        </w:fldChar>
      </w:r>
      <w:r w:rsidR="0047137F">
        <w:rPr>
          <w:rFonts w:cs="Times New Roman"/>
        </w:rPr>
        <w:instrText xml:space="preserve"> ADDIN EN.CITE.DATA </w:instrText>
      </w:r>
      <w:r w:rsidR="0047137F">
        <w:rPr>
          <w:rFonts w:cs="Times New Roman"/>
        </w:rPr>
      </w:r>
      <w:r w:rsidR="0047137F">
        <w:rPr>
          <w:rFonts w:cs="Times New Roman"/>
        </w:rPr>
        <w:fldChar w:fldCharType="end"/>
      </w:r>
      <w:r w:rsidR="00826471" w:rsidRPr="007A7C51">
        <w:rPr>
          <w:rFonts w:cs="Times New Roman"/>
        </w:rPr>
      </w:r>
      <w:r w:rsidR="00826471" w:rsidRPr="007A7C51">
        <w:rPr>
          <w:rFonts w:cs="Times New Roman"/>
        </w:rPr>
        <w:fldChar w:fldCharType="separate"/>
      </w:r>
      <w:r w:rsidR="0047137F" w:rsidRPr="0047137F">
        <w:rPr>
          <w:rFonts w:cs="Times New Roman"/>
          <w:noProof/>
          <w:vertAlign w:val="superscript"/>
        </w:rPr>
        <w:t>27</w:t>
      </w:r>
      <w:r w:rsidR="00826471" w:rsidRPr="007A7C51">
        <w:rPr>
          <w:rFonts w:cs="Times New Roman"/>
        </w:rPr>
        <w:fldChar w:fldCharType="end"/>
      </w:r>
      <w:r w:rsidR="00347548" w:rsidRPr="007A7C51">
        <w:rPr>
          <w:rFonts w:cs="Times New Roman"/>
        </w:rPr>
        <w:t xml:space="preserve"> </w:t>
      </w:r>
    </w:p>
    <w:p w14:paraId="22CB94BF" w14:textId="77777777" w:rsidR="00D96D80" w:rsidRPr="007A7C51" w:rsidRDefault="00D96D80" w:rsidP="00D96D80">
      <w:pPr>
        <w:autoSpaceDE w:val="0"/>
        <w:autoSpaceDN w:val="0"/>
        <w:adjustRightInd w:val="0"/>
        <w:jc w:val="both"/>
        <w:rPr>
          <w:rFonts w:cs="Times New Roman"/>
        </w:rPr>
      </w:pPr>
    </w:p>
    <w:p w14:paraId="60CEC48E" w14:textId="2DEB7407" w:rsidR="001E6615" w:rsidRPr="007A7C51" w:rsidRDefault="00CD3F17" w:rsidP="00D96D80">
      <w:pPr>
        <w:autoSpaceDE w:val="0"/>
        <w:autoSpaceDN w:val="0"/>
        <w:adjustRightInd w:val="0"/>
        <w:jc w:val="both"/>
        <w:rPr>
          <w:rFonts w:cs="Times New Roman"/>
        </w:rPr>
      </w:pPr>
      <w:r w:rsidRPr="007A7C51">
        <w:rPr>
          <w:rFonts w:cs="Times New Roman"/>
        </w:rPr>
        <w:t xml:space="preserve">The gradual increase in sCJD, but not gCJD adds support to the </w:t>
      </w:r>
      <w:r w:rsidR="00AB2416" w:rsidRPr="007A7C51">
        <w:rPr>
          <w:rFonts w:cs="Times New Roman"/>
        </w:rPr>
        <w:t>‘</w:t>
      </w:r>
      <w:r w:rsidRPr="007A7C51">
        <w:rPr>
          <w:rFonts w:cs="Times New Roman"/>
        </w:rPr>
        <w:t>ageing population</w:t>
      </w:r>
      <w:r w:rsidR="00AB2416" w:rsidRPr="007A7C51">
        <w:rPr>
          <w:rFonts w:cs="Times New Roman"/>
        </w:rPr>
        <w:t>’ theory</w:t>
      </w:r>
      <w:r w:rsidRPr="007A7C51">
        <w:rPr>
          <w:rFonts w:cs="Times New Roman"/>
        </w:rPr>
        <w:t xml:space="preserve"> over </w:t>
      </w:r>
      <w:r w:rsidR="0045018A" w:rsidRPr="007A7C51">
        <w:rPr>
          <w:rFonts w:cs="Times New Roman"/>
        </w:rPr>
        <w:t xml:space="preserve">merely </w:t>
      </w:r>
      <w:r w:rsidRPr="007A7C51">
        <w:rPr>
          <w:rFonts w:cs="Times New Roman"/>
        </w:rPr>
        <w:t>population increase and improved case ascertainment</w:t>
      </w:r>
      <w:r w:rsidR="00AB2416" w:rsidRPr="007A7C51">
        <w:rPr>
          <w:rFonts w:cs="Times New Roman"/>
        </w:rPr>
        <w:t>.</w:t>
      </w:r>
      <w:r w:rsidRPr="007A7C51">
        <w:rPr>
          <w:rFonts w:cs="Times New Roman"/>
        </w:rPr>
        <w:t xml:space="preserve"> </w:t>
      </w:r>
    </w:p>
    <w:p w14:paraId="5B3631B5" w14:textId="0C661571" w:rsidR="00606028" w:rsidRPr="007A7C51" w:rsidRDefault="00606028" w:rsidP="00D96D80">
      <w:pPr>
        <w:autoSpaceDE w:val="0"/>
        <w:autoSpaceDN w:val="0"/>
        <w:adjustRightInd w:val="0"/>
        <w:jc w:val="both"/>
        <w:rPr>
          <w:rFonts w:cs="Times New Roman"/>
        </w:rPr>
      </w:pPr>
    </w:p>
    <w:p w14:paraId="1E4812D9" w14:textId="30EA4C08" w:rsidR="00250E79" w:rsidRPr="006A1AA7" w:rsidRDefault="00250E79" w:rsidP="00D96D80">
      <w:pPr>
        <w:pStyle w:val="Heading4"/>
        <w:spacing w:before="0"/>
        <w:rPr>
          <w:sz w:val="22"/>
        </w:rPr>
      </w:pPr>
      <w:r w:rsidRPr="006A1AA7">
        <w:rPr>
          <w:sz w:val="22"/>
        </w:rPr>
        <w:t xml:space="preserve">Increase in </w:t>
      </w:r>
      <w:r w:rsidR="00BD35A1" w:rsidRPr="006A1AA7">
        <w:rPr>
          <w:sz w:val="22"/>
        </w:rPr>
        <w:t>s</w:t>
      </w:r>
      <w:r w:rsidRPr="006A1AA7">
        <w:rPr>
          <w:sz w:val="22"/>
        </w:rPr>
        <w:t xml:space="preserve">CJD incidence </w:t>
      </w:r>
      <w:r w:rsidR="00C07A9D" w:rsidRPr="006A1AA7">
        <w:rPr>
          <w:sz w:val="22"/>
        </w:rPr>
        <w:t>globally</w:t>
      </w:r>
    </w:p>
    <w:p w14:paraId="76D1D423" w14:textId="0A2D667D" w:rsidR="009B14CE" w:rsidRDefault="00185469" w:rsidP="00D96D80">
      <w:pPr>
        <w:autoSpaceDE w:val="0"/>
        <w:autoSpaceDN w:val="0"/>
        <w:adjustRightInd w:val="0"/>
        <w:jc w:val="both"/>
        <w:rPr>
          <w:rFonts w:cs="Times New Roman"/>
        </w:rPr>
      </w:pPr>
      <w:r>
        <w:rPr>
          <w:rFonts w:cs="Times New Roman"/>
        </w:rPr>
        <w:t>R</w:t>
      </w:r>
      <w:r w:rsidR="00250E79" w:rsidRPr="007A7C51">
        <w:rPr>
          <w:rFonts w:cs="Times New Roman"/>
        </w:rPr>
        <w:t xml:space="preserve">eports of increased rates of </w:t>
      </w:r>
      <w:r w:rsidR="00602211">
        <w:rPr>
          <w:rFonts w:cs="Times New Roman"/>
        </w:rPr>
        <w:t>s</w:t>
      </w:r>
      <w:r w:rsidR="00250E79" w:rsidRPr="007A7C51">
        <w:rPr>
          <w:rFonts w:cs="Times New Roman"/>
        </w:rPr>
        <w:t xml:space="preserve">CJD were noted from other countries. </w:t>
      </w:r>
      <w:r w:rsidR="009B14CE">
        <w:rPr>
          <w:rFonts w:cs="Times New Roman"/>
        </w:rPr>
        <w:t xml:space="preserve">In Finland, an increased incidence of </w:t>
      </w:r>
      <w:r w:rsidR="00602211">
        <w:rPr>
          <w:rFonts w:cs="Times New Roman"/>
        </w:rPr>
        <w:t>s</w:t>
      </w:r>
      <w:r w:rsidR="009B14CE">
        <w:rPr>
          <w:rFonts w:cs="Times New Roman"/>
        </w:rPr>
        <w:t xml:space="preserve">CJD was noted between the period 1974-1989 of 0.6 per million to 1.36-1.44 per million in 2007-2013 in an abstract by Isotalo </w:t>
      </w:r>
      <w:r w:rsidR="00B301D6" w:rsidRPr="00B301D6">
        <w:rPr>
          <w:rFonts w:cs="Times New Roman"/>
          <w:i/>
        </w:rPr>
        <w:t>et al</w:t>
      </w:r>
      <w:r w:rsidR="009B14CE">
        <w:rPr>
          <w:rFonts w:cs="Times New Roman"/>
        </w:rPr>
        <w:t xml:space="preserve"> (2015).</w:t>
      </w:r>
      <w:r w:rsidR="009B14CE">
        <w:rPr>
          <w:rFonts w:cs="Times New Roman"/>
        </w:rPr>
        <w:fldChar w:fldCharType="begin">
          <w:fldData xml:space="preserve">PEVuZE5vdGU+PENpdGU+PEF1dGhvcj5Jc290YWxvPC9BdXRob3I+PFllYXI+MjAxNTwvWWVhcj48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</w:fldData>
        </w:fldChar>
      </w:r>
      <w:r w:rsidR="0076576E">
        <w:rPr>
          <w:rFonts w:cs="Times New Roman"/>
        </w:rPr>
        <w:instrText xml:space="preserve"> ADDIN EN.CITE </w:instrText>
      </w:r>
      <w:r w:rsidR="0076576E">
        <w:rPr>
          <w:rFonts w:cs="Times New Roman"/>
        </w:rPr>
        <w:fldChar w:fldCharType="begin">
          <w:fldData xml:space="preserve">PEVuZE5vdGU+PENpdGU+PEF1dGhvcj5Jc290YWxvPC9BdXRob3I+PFllYXI+MjAxNTwvWWVhcj48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9B14CE">
        <w:rPr>
          <w:rFonts w:cs="Times New Roman"/>
        </w:rPr>
      </w:r>
      <w:r w:rsidR="009B14CE">
        <w:rPr>
          <w:rFonts w:cs="Times New Roman"/>
        </w:rPr>
        <w:fldChar w:fldCharType="separate"/>
      </w:r>
      <w:r w:rsidR="0076576E" w:rsidRPr="0076576E">
        <w:rPr>
          <w:rFonts w:cs="Times New Roman"/>
          <w:noProof/>
          <w:vertAlign w:val="superscript"/>
        </w:rPr>
        <w:t>28</w:t>
      </w:r>
      <w:r w:rsidR="009B14CE">
        <w:rPr>
          <w:rFonts w:cs="Times New Roman"/>
        </w:rPr>
        <w:fldChar w:fldCharType="end"/>
      </w:r>
      <w:r w:rsidR="009B14CE">
        <w:rPr>
          <w:rFonts w:cs="Times New Roman"/>
        </w:rPr>
        <w:t xml:space="preserve"> </w:t>
      </w:r>
      <w:r w:rsidR="00250E79" w:rsidRPr="007A7C51">
        <w:rPr>
          <w:rFonts w:cs="Times New Roman"/>
        </w:rPr>
        <w:t xml:space="preserve">An abstract by Chen </w:t>
      </w:r>
      <w:r w:rsidR="00B301D6" w:rsidRPr="00B301D6">
        <w:rPr>
          <w:rFonts w:cs="Times New Roman"/>
          <w:i/>
        </w:rPr>
        <w:t>et al</w:t>
      </w:r>
      <w:r w:rsidR="00250E79" w:rsidRPr="007A7C51">
        <w:rPr>
          <w:rFonts w:cs="Times New Roman"/>
        </w:rPr>
        <w:t xml:space="preserve"> (2016) reports that </w:t>
      </w:r>
      <w:r w:rsidR="00602211">
        <w:rPr>
          <w:rFonts w:cs="Times New Roman"/>
        </w:rPr>
        <w:t>s</w:t>
      </w:r>
      <w:r w:rsidR="00250E79" w:rsidRPr="007A7C51">
        <w:rPr>
          <w:rFonts w:cs="Times New Roman"/>
        </w:rPr>
        <w:t xml:space="preserve">CJD incidence rates </w:t>
      </w:r>
      <w:r w:rsidR="009D44DC">
        <w:rPr>
          <w:rFonts w:cs="Times New Roman"/>
        </w:rPr>
        <w:t xml:space="preserve">in Taiwan </w:t>
      </w:r>
      <w:r w:rsidR="00250E79" w:rsidRPr="007A7C51">
        <w:rPr>
          <w:rFonts w:cs="Times New Roman"/>
        </w:rPr>
        <w:t>doubled betwe</w:t>
      </w:r>
      <w:r w:rsidR="00C07A9D" w:rsidRPr="007A7C51">
        <w:rPr>
          <w:rFonts w:cs="Times New Roman"/>
        </w:rPr>
        <w:t>en 2008</w:t>
      </w:r>
      <w:r w:rsidR="00250E79" w:rsidRPr="007A7C51">
        <w:rPr>
          <w:rFonts w:cs="Times New Roman"/>
        </w:rPr>
        <w:t xml:space="preserve"> to 2015.</w:t>
      </w:r>
      <w:r w:rsidR="00DB67C1" w:rsidRPr="007A7C51">
        <w:rPr>
          <w:rFonts w:cs="Times New Roman"/>
        </w:rPr>
        <w:fldChar w:fldCharType="begin">
          <w:fldData xml:space="preserve">PEVuZE5vdGU+PENpdGU+PEF1dGhvcj5DaGVuPC9BdXRob3I+PFllYXI+MjAxNjwvWWVhcj48UmVj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PEVuZE5vdGU+PENpdGU+PEF1dGhvcj5DaGVuPC9BdXRob3I+PFllYXI+MjAxNjwvWWVhcj48UmVj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DB67C1" w:rsidRPr="007A7C51">
        <w:rPr>
          <w:rFonts w:cs="Times New Roman"/>
        </w:rPr>
      </w:r>
      <w:r w:rsidR="00DB67C1" w:rsidRPr="007A7C51">
        <w:rPr>
          <w:rFonts w:cs="Times New Roman"/>
        </w:rPr>
        <w:fldChar w:fldCharType="separate"/>
      </w:r>
      <w:r w:rsidR="0076576E" w:rsidRPr="0076576E">
        <w:rPr>
          <w:rFonts w:cs="Times New Roman"/>
          <w:noProof/>
          <w:vertAlign w:val="superscript"/>
        </w:rPr>
        <w:t>29</w:t>
      </w:r>
      <w:r w:rsidR="00DB67C1" w:rsidRPr="007A7C51">
        <w:rPr>
          <w:rFonts w:cs="Times New Roman"/>
        </w:rPr>
        <w:fldChar w:fldCharType="end"/>
      </w:r>
      <w:r w:rsidR="00250E79" w:rsidRPr="007A7C51">
        <w:rPr>
          <w:rFonts w:cs="Times New Roman"/>
        </w:rPr>
        <w:t xml:space="preserve"> They also report that age </w:t>
      </w:r>
      <w:r w:rsidR="00ED6FB2" w:rsidRPr="007A7C51">
        <w:rPr>
          <w:rFonts w:cs="Times New Roman"/>
        </w:rPr>
        <w:t xml:space="preserve">at </w:t>
      </w:r>
      <w:r w:rsidR="00250E79" w:rsidRPr="007A7C51">
        <w:rPr>
          <w:rFonts w:cs="Times New Roman"/>
        </w:rPr>
        <w:t xml:space="preserve">onset </w:t>
      </w:r>
      <w:r>
        <w:rPr>
          <w:rFonts w:cs="Times New Roman"/>
        </w:rPr>
        <w:t>became</w:t>
      </w:r>
      <w:r w:rsidR="00250E79" w:rsidRPr="007A7C51">
        <w:rPr>
          <w:rFonts w:cs="Times New Roman"/>
        </w:rPr>
        <w:t xml:space="preserve"> earlier.</w:t>
      </w:r>
      <w:r w:rsidR="00533A73" w:rsidRPr="007A7C51">
        <w:rPr>
          <w:rFonts w:cs="Times New Roman"/>
        </w:rPr>
        <w:t xml:space="preserve"> </w:t>
      </w:r>
      <w:r w:rsidR="009D44DC">
        <w:rPr>
          <w:rFonts w:cs="Times New Roman"/>
        </w:rPr>
        <w:t xml:space="preserve">Chen </w:t>
      </w:r>
      <w:r w:rsidR="00B301D6" w:rsidRPr="00B301D6">
        <w:rPr>
          <w:rFonts w:cs="Times New Roman"/>
          <w:i/>
        </w:rPr>
        <w:t>et al</w:t>
      </w:r>
      <w:r w:rsidR="00533A73" w:rsidRPr="007A7C51">
        <w:rPr>
          <w:rFonts w:cs="Times New Roman"/>
        </w:rPr>
        <w:t xml:space="preserve"> speculate that reasons for the increase in CJD cases </w:t>
      </w:r>
      <w:r w:rsidR="00ED6FB2" w:rsidRPr="007A7C51">
        <w:rPr>
          <w:rFonts w:cs="Times New Roman"/>
        </w:rPr>
        <w:t>include</w:t>
      </w:r>
      <w:r w:rsidR="00533A73" w:rsidRPr="007A7C51">
        <w:rPr>
          <w:rFonts w:cs="Times New Roman"/>
        </w:rPr>
        <w:t>: physician´s sensitivity</w:t>
      </w:r>
      <w:r w:rsidR="009D44DC">
        <w:rPr>
          <w:rFonts w:cs="Times New Roman"/>
        </w:rPr>
        <w:t xml:space="preserve"> in recognising CJD</w:t>
      </w:r>
      <w:r w:rsidR="00ED6FB2" w:rsidRPr="007A7C51">
        <w:rPr>
          <w:rFonts w:cs="Times New Roman"/>
        </w:rPr>
        <w:t xml:space="preserve">; </w:t>
      </w:r>
      <w:r w:rsidR="00533A73" w:rsidRPr="007A7C51">
        <w:rPr>
          <w:rFonts w:cs="Times New Roman"/>
        </w:rPr>
        <w:t>improved reporting system</w:t>
      </w:r>
      <w:r w:rsidR="009D44DC">
        <w:rPr>
          <w:rFonts w:cs="Times New Roman"/>
        </w:rPr>
        <w:t>s</w:t>
      </w:r>
      <w:r w:rsidR="00ED6FB2" w:rsidRPr="007A7C51">
        <w:rPr>
          <w:rFonts w:cs="Times New Roman"/>
        </w:rPr>
        <w:t xml:space="preserve">; </w:t>
      </w:r>
      <w:r w:rsidR="00533A73" w:rsidRPr="007A7C51">
        <w:rPr>
          <w:rFonts w:cs="Times New Roman"/>
        </w:rPr>
        <w:t>concern</w:t>
      </w:r>
      <w:r w:rsidR="009D44DC">
        <w:rPr>
          <w:rFonts w:cs="Times New Roman"/>
        </w:rPr>
        <w:t>s</w:t>
      </w:r>
      <w:r w:rsidR="00533A73" w:rsidRPr="007A7C51">
        <w:rPr>
          <w:rFonts w:cs="Times New Roman"/>
        </w:rPr>
        <w:t xml:space="preserve"> around vCJD</w:t>
      </w:r>
      <w:r w:rsidR="00F54B45">
        <w:rPr>
          <w:rFonts w:cs="Times New Roman"/>
        </w:rPr>
        <w:t>,</w:t>
      </w:r>
      <w:r w:rsidR="00ED6FB2" w:rsidRPr="007A7C51">
        <w:rPr>
          <w:rFonts w:cs="Times New Roman"/>
        </w:rPr>
        <w:t xml:space="preserve"> </w:t>
      </w:r>
      <w:r w:rsidR="00533A73" w:rsidRPr="007A7C51">
        <w:rPr>
          <w:rFonts w:cs="Times New Roman"/>
        </w:rPr>
        <w:t>and high media coverage.</w:t>
      </w:r>
      <w:r w:rsidR="003530F6">
        <w:rPr>
          <w:rFonts w:cs="Times New Roman"/>
        </w:rPr>
        <w:t xml:space="preserve"> </w:t>
      </w:r>
      <w:r w:rsidR="00250E79" w:rsidRPr="007A7C51">
        <w:rPr>
          <w:rFonts w:cs="Times New Roman"/>
        </w:rPr>
        <w:t>A published study from Belgium noted a relevant</w:t>
      </w:r>
      <w:r w:rsidR="009D44DC">
        <w:rPr>
          <w:rFonts w:cs="Times New Roman"/>
        </w:rPr>
        <w:t xml:space="preserve"> </w:t>
      </w:r>
      <w:r w:rsidR="00250E79" w:rsidRPr="007A7C51">
        <w:rPr>
          <w:rFonts w:cs="Times New Roman"/>
        </w:rPr>
        <w:t>trend of significantly increased age-specific incidence of sCJD patients between 70 and 90 years old in the period 2002-</w:t>
      </w:r>
      <w:r w:rsidR="009D44DC">
        <w:rPr>
          <w:rFonts w:cs="Times New Roman"/>
        </w:rPr>
        <w:t>2004 compared with</w:t>
      </w:r>
      <w:r w:rsidR="00250E79" w:rsidRPr="007A7C51">
        <w:rPr>
          <w:rFonts w:cs="Times New Roman"/>
        </w:rPr>
        <w:t xml:space="preserve"> 1998-2001 using retrospectively obtained data (1990-1997, p &lt; 0.01).</w:t>
      </w:r>
      <w:r w:rsidR="00DB67C1" w:rsidRPr="007A7C51">
        <w:rPr>
          <w:rFonts w:cs="Times New Roman"/>
        </w:rPr>
        <w:fldChar w:fldCharType="begin">
          <w:fldData xml:space="preserve">PEVuZE5vdGU+PENpdGU+PEF1dGhvcj5WYW4gRXZlcmJyb2VjazwvQXV0aG9yPjxZZWFyPjIwMDY8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PEVuZE5vdGU+PENpdGU+PEF1dGhvcj5WYW4gRXZlcmJyb2VjazwvQXV0aG9yPjxZZWFyPjIwMDY8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DB67C1" w:rsidRPr="007A7C51">
        <w:rPr>
          <w:rFonts w:cs="Times New Roman"/>
        </w:rPr>
      </w:r>
      <w:r w:rsidR="00DB67C1" w:rsidRPr="007A7C51">
        <w:rPr>
          <w:rFonts w:cs="Times New Roman"/>
        </w:rPr>
        <w:fldChar w:fldCharType="separate"/>
      </w:r>
      <w:r w:rsidR="0076576E" w:rsidRPr="0076576E">
        <w:rPr>
          <w:rFonts w:cs="Times New Roman"/>
          <w:noProof/>
          <w:vertAlign w:val="superscript"/>
        </w:rPr>
        <w:t>30</w:t>
      </w:r>
      <w:r w:rsidR="00DB67C1" w:rsidRPr="007A7C51">
        <w:rPr>
          <w:rFonts w:cs="Times New Roman"/>
        </w:rPr>
        <w:fldChar w:fldCharType="end"/>
      </w:r>
      <w:r w:rsidR="00250E79" w:rsidRPr="007A7C51">
        <w:rPr>
          <w:rFonts w:cs="Times New Roman"/>
        </w:rPr>
        <w:t xml:space="preserve"> The authors conducted a clinical and biochemical analysis to investigate this increase</w:t>
      </w:r>
      <w:r w:rsidR="00F54B45">
        <w:rPr>
          <w:rFonts w:cs="Times New Roman"/>
        </w:rPr>
        <w:t>,</w:t>
      </w:r>
      <w:r w:rsidR="00250E79" w:rsidRPr="007A7C51">
        <w:rPr>
          <w:rFonts w:cs="Times New Roman"/>
        </w:rPr>
        <w:t xml:space="preserve"> but could not identify any reason other than an increased vigilance for the diagnosis.</w:t>
      </w:r>
      <w:r w:rsidR="007D493E">
        <w:rPr>
          <w:rFonts w:cs="Times New Roman"/>
        </w:rPr>
        <w:t xml:space="preserve"> </w:t>
      </w:r>
      <w:r w:rsidR="009B14CE">
        <w:rPr>
          <w:rFonts w:cs="Times New Roman"/>
        </w:rPr>
        <w:t xml:space="preserve">Similarly, in Japan, Ae </w:t>
      </w:r>
      <w:r w:rsidR="00B301D6" w:rsidRPr="00B301D6">
        <w:rPr>
          <w:rFonts w:cs="Times New Roman"/>
          <w:i/>
        </w:rPr>
        <w:t>et al</w:t>
      </w:r>
      <w:r w:rsidR="009B14CE">
        <w:rPr>
          <w:rFonts w:cs="Times New Roman"/>
        </w:rPr>
        <w:t xml:space="preserve"> (2016) report in a study abstract that the annual incidence of human prion diseases has tended to increase since 1999, but particularly in older patients (aged 70 or more), with cases of rapidly developing dementia increasingly being identified by domestic physicians.</w:t>
      </w:r>
      <w:r w:rsidR="009B14CE">
        <w:rPr>
          <w:rFonts w:cs="Times New Roman"/>
        </w:rPr>
        <w:fldChar w:fldCharType="begin">
          <w:fldData xml:space="preserve">PEVuZE5vdGU+PENpdGU+PEF1dGhvcj5BZTwvQXV0aG9yPjxZZWFyPjIwMTY8L1llYXI+PFJlY051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</w:fldData>
        </w:fldChar>
      </w:r>
      <w:r w:rsidR="0076576E">
        <w:rPr>
          <w:rFonts w:cs="Times New Roman"/>
        </w:rPr>
        <w:instrText xml:space="preserve"> ADDIN EN.CITE </w:instrText>
      </w:r>
      <w:r w:rsidR="0076576E">
        <w:rPr>
          <w:rFonts w:cs="Times New Roman"/>
        </w:rPr>
        <w:fldChar w:fldCharType="begin">
          <w:fldData xml:space="preserve">PEVuZE5vdGU+PENpdGU+PEF1dGhvcj5BZTwvQXV0aG9yPjxZZWFyPjIwMTY8L1llYXI+PFJlY051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9B14CE">
        <w:rPr>
          <w:rFonts w:cs="Times New Roman"/>
        </w:rPr>
      </w:r>
      <w:r w:rsidR="009B14CE">
        <w:rPr>
          <w:rFonts w:cs="Times New Roman"/>
        </w:rPr>
        <w:fldChar w:fldCharType="separate"/>
      </w:r>
      <w:r w:rsidR="0076576E" w:rsidRPr="0076576E">
        <w:rPr>
          <w:rFonts w:cs="Times New Roman"/>
          <w:noProof/>
          <w:vertAlign w:val="superscript"/>
        </w:rPr>
        <w:t>31</w:t>
      </w:r>
      <w:r w:rsidR="009B14CE">
        <w:rPr>
          <w:rFonts w:cs="Times New Roman"/>
        </w:rPr>
        <w:fldChar w:fldCharType="end"/>
      </w:r>
      <w:r w:rsidR="009B14CE">
        <w:rPr>
          <w:rFonts w:cs="Times New Roman"/>
        </w:rPr>
        <w:t xml:space="preserve"> </w:t>
      </w:r>
    </w:p>
    <w:p w14:paraId="39BAA063" w14:textId="77777777" w:rsidR="009B14CE" w:rsidRDefault="009B14CE" w:rsidP="00D96D80">
      <w:pPr>
        <w:autoSpaceDE w:val="0"/>
        <w:autoSpaceDN w:val="0"/>
        <w:adjustRightInd w:val="0"/>
        <w:jc w:val="both"/>
        <w:rPr>
          <w:rFonts w:cs="Times New Roman"/>
        </w:rPr>
      </w:pPr>
    </w:p>
    <w:p w14:paraId="62154B9C" w14:textId="0C06A042" w:rsidR="00250E79" w:rsidRPr="007A7C51" w:rsidRDefault="007D493E" w:rsidP="00D96D80">
      <w:pPr>
        <w:autoSpaceDE w:val="0"/>
        <w:autoSpaceDN w:val="0"/>
        <w:adjustRightInd w:val="0"/>
        <w:jc w:val="both"/>
        <w:rPr>
          <w:rFonts w:cs="Times New Roman"/>
        </w:rPr>
      </w:pPr>
      <w:r>
        <w:rPr>
          <w:rFonts w:cs="Times New Roman"/>
        </w:rPr>
        <w:t>One study from Slovenia reported a</w:t>
      </w:r>
      <w:r w:rsidR="009B14CE">
        <w:rPr>
          <w:rFonts w:cs="Times New Roman"/>
        </w:rPr>
        <w:t>n apparent</w:t>
      </w:r>
      <w:r>
        <w:rPr>
          <w:rFonts w:cs="Times New Roman"/>
        </w:rPr>
        <w:t xml:space="preserve"> fluctuation of sCJD cases in 2015, with 7 definite and 2 probable sCJD cases resulting in an incidence of 4.36 per million for </w:t>
      </w:r>
      <w:r w:rsidR="000B3FED">
        <w:rPr>
          <w:rFonts w:cs="Times New Roman"/>
        </w:rPr>
        <w:t xml:space="preserve">the country </w:t>
      </w:r>
      <w:r>
        <w:rPr>
          <w:rFonts w:cs="Times New Roman"/>
        </w:rPr>
        <w:t>that year.</w:t>
      </w:r>
      <w:r>
        <w:rPr>
          <w:rFonts w:cs="Times New Roman"/>
        </w:rPr>
        <w:fldChar w:fldCharType="begin">
          <w:fldData xml:space="preserve">PEVuZE5vdGU+PENpdGU+PEF1dGhvcj5SdXM8L0F1dGhvcj48WWVhcj4yMDE2PC9ZZWFyPjxSZWNO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=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PEVuZE5vdGU+PENpdGU+PEF1dGhvcj5SdXM8L0F1dGhvcj48WWVhcj4yMDE2PC9ZZWFyPjxSZWNO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=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Pr>
          <w:rFonts w:cs="Times New Roman"/>
        </w:rPr>
      </w:r>
      <w:r>
        <w:rPr>
          <w:rFonts w:cs="Times New Roman"/>
        </w:rPr>
        <w:fldChar w:fldCharType="separate"/>
      </w:r>
      <w:r w:rsidR="0076576E" w:rsidRPr="0076576E">
        <w:rPr>
          <w:rFonts w:cs="Times New Roman"/>
          <w:noProof/>
          <w:vertAlign w:val="superscript"/>
        </w:rPr>
        <w:t>32</w:t>
      </w:r>
      <w:r>
        <w:rPr>
          <w:rFonts w:cs="Times New Roman"/>
        </w:rPr>
        <w:fldChar w:fldCharType="end"/>
      </w:r>
    </w:p>
    <w:p w14:paraId="16AF6729" w14:textId="77777777" w:rsidR="00250E79" w:rsidRPr="009F5584" w:rsidRDefault="00250E79" w:rsidP="00D96D80">
      <w:pPr>
        <w:autoSpaceDE w:val="0"/>
        <w:autoSpaceDN w:val="0"/>
        <w:adjustRightInd w:val="0"/>
        <w:jc w:val="both"/>
        <w:rPr>
          <w:rFonts w:cs="Times New Roman"/>
          <w:sz w:val="24"/>
          <w:szCs w:val="24"/>
        </w:rPr>
      </w:pPr>
    </w:p>
    <w:p w14:paraId="2FDC599D" w14:textId="1D9D4C9C" w:rsidR="00E247B9" w:rsidRPr="006A1AA7" w:rsidRDefault="00E247B9" w:rsidP="00D96D80">
      <w:pPr>
        <w:pStyle w:val="Heading4"/>
        <w:spacing w:before="0"/>
        <w:rPr>
          <w:sz w:val="22"/>
        </w:rPr>
      </w:pPr>
      <w:r w:rsidRPr="006A1AA7">
        <w:rPr>
          <w:sz w:val="22"/>
        </w:rPr>
        <w:t>Autopsy and biopsy in CJD</w:t>
      </w:r>
    </w:p>
    <w:p w14:paraId="182D6A23" w14:textId="33738136" w:rsidR="00E933B5" w:rsidRPr="007A7C51" w:rsidRDefault="00FD3CB7" w:rsidP="00D96D80">
      <w:pPr>
        <w:autoSpaceDE w:val="0"/>
        <w:autoSpaceDN w:val="0"/>
        <w:adjustRightInd w:val="0"/>
        <w:jc w:val="both"/>
        <w:rPr>
          <w:rFonts w:cs="Times New Roman"/>
        </w:rPr>
      </w:pPr>
      <w:r>
        <w:rPr>
          <w:rFonts w:cs="Times New Roman"/>
        </w:rPr>
        <w:t>In the UK, c</w:t>
      </w:r>
      <w:r w:rsidR="00791668" w:rsidRPr="007A7C51">
        <w:rPr>
          <w:rFonts w:cs="Times New Roman"/>
        </w:rPr>
        <w:t xml:space="preserve">onfirmation </w:t>
      </w:r>
      <w:r w:rsidR="00B56917">
        <w:rPr>
          <w:rFonts w:cs="Times New Roman"/>
        </w:rPr>
        <w:t xml:space="preserve">of CJD from </w:t>
      </w:r>
      <w:r w:rsidR="00365120">
        <w:rPr>
          <w:rFonts w:cs="Times New Roman"/>
        </w:rPr>
        <w:t>neuropatholog</w:t>
      </w:r>
      <w:r w:rsidR="00B56917">
        <w:rPr>
          <w:rFonts w:cs="Times New Roman"/>
        </w:rPr>
        <w:t>ical</w:t>
      </w:r>
      <w:r w:rsidR="00365120" w:rsidRPr="007A7C51">
        <w:rPr>
          <w:rFonts w:cs="Times New Roman"/>
        </w:rPr>
        <w:t xml:space="preserve"> </w:t>
      </w:r>
      <w:r w:rsidR="00700FF2">
        <w:rPr>
          <w:rFonts w:cs="Times New Roman"/>
        </w:rPr>
        <w:t>(</w:t>
      </w:r>
      <w:r w:rsidR="00791668" w:rsidRPr="007A7C51">
        <w:rPr>
          <w:rFonts w:cs="Times New Roman"/>
        </w:rPr>
        <w:t>via</w:t>
      </w:r>
      <w:r w:rsidR="00365120">
        <w:rPr>
          <w:rFonts w:cs="Times New Roman"/>
        </w:rPr>
        <w:t xml:space="preserve"> autopsy or </w:t>
      </w:r>
      <w:r w:rsidR="00E933B5" w:rsidRPr="007A7C51">
        <w:rPr>
          <w:rFonts w:cs="Times New Roman"/>
        </w:rPr>
        <w:t>brain biopsy</w:t>
      </w:r>
      <w:r w:rsidR="00365120">
        <w:t xml:space="preserve">), immunocytochemical or biochemical </w:t>
      </w:r>
      <w:r w:rsidR="00B56917">
        <w:t xml:space="preserve">examination </w:t>
      </w:r>
      <w:r w:rsidR="00ED6FB2" w:rsidRPr="007A7C51">
        <w:rPr>
          <w:rFonts w:cs="Times New Roman"/>
        </w:rPr>
        <w:t xml:space="preserve">is </w:t>
      </w:r>
      <w:r w:rsidR="00E933B5" w:rsidRPr="007A7C51">
        <w:rPr>
          <w:rFonts w:cs="Times New Roman"/>
        </w:rPr>
        <w:t>required f</w:t>
      </w:r>
      <w:r w:rsidR="00572C33" w:rsidRPr="007A7C51">
        <w:rPr>
          <w:rFonts w:cs="Times New Roman"/>
        </w:rPr>
        <w:t>or obtaining</w:t>
      </w:r>
      <w:r w:rsidR="006A1AA7">
        <w:rPr>
          <w:rFonts w:cs="Times New Roman"/>
        </w:rPr>
        <w:t xml:space="preserve"> a</w:t>
      </w:r>
      <w:r w:rsidR="00572C33" w:rsidRPr="007A7C51">
        <w:rPr>
          <w:rFonts w:cs="Times New Roman"/>
        </w:rPr>
        <w:t xml:space="preserve"> </w:t>
      </w:r>
      <w:r w:rsidR="00851989" w:rsidRPr="007A7C51">
        <w:rPr>
          <w:rFonts w:cs="Times New Roman"/>
        </w:rPr>
        <w:t>definit</w:t>
      </w:r>
      <w:r w:rsidR="00572C33" w:rsidRPr="007A7C51">
        <w:rPr>
          <w:rFonts w:cs="Times New Roman"/>
        </w:rPr>
        <w:t>ive</w:t>
      </w:r>
      <w:r w:rsidR="00E933B5" w:rsidRPr="007A7C51">
        <w:rPr>
          <w:rFonts w:cs="Times New Roman"/>
        </w:rPr>
        <w:t xml:space="preserve"> sCJD diagnosis</w:t>
      </w:r>
      <w:r w:rsidR="009D44DC">
        <w:rPr>
          <w:rFonts w:cs="Times New Roman"/>
        </w:rPr>
        <w:t xml:space="preserve">. </w:t>
      </w:r>
      <w:r>
        <w:rPr>
          <w:rFonts w:cs="Times New Roman"/>
        </w:rPr>
        <w:t>For</w:t>
      </w:r>
      <w:r w:rsidR="00B56917">
        <w:rPr>
          <w:rFonts w:cs="Times New Roman"/>
        </w:rPr>
        <w:t xml:space="preserve"> vCJD</w:t>
      </w:r>
      <w:r w:rsidR="00243D7C">
        <w:rPr>
          <w:rFonts w:cs="Times New Roman"/>
        </w:rPr>
        <w:t>,</w:t>
      </w:r>
      <w:r w:rsidR="00B56917">
        <w:rPr>
          <w:rFonts w:cs="Times New Roman"/>
        </w:rPr>
        <w:t xml:space="preserve"> confirmation must be through neuropathology.</w:t>
      </w:r>
      <w:r w:rsidR="00D63CDB">
        <w:rPr>
          <w:rFonts w:cs="Times New Roman"/>
        </w:rPr>
        <w:fldChar w:fldCharType="begin"/>
      </w:r>
      <w:r w:rsidR="00892AF6">
        <w:rPr>
          <w:rFonts w:cs="Times New Roman"/>
        </w:rPr>
        <w:instrText xml:space="preserve"> ADDIN EN.CITE &lt;EndNote&gt;&lt;Cite&gt;&lt;Author&gt;The University of Edinburgh&lt;/Author&gt;&lt;Year&gt;2017&lt;/Year&gt;&lt;RecNum&gt;583&lt;/RecNum&gt;&lt;DisplayText&gt;&lt;style face="superscript"&gt;1&lt;/style&gt;&lt;/DisplayText&gt;&lt;record&gt;&lt;rec-number&gt;583&lt;/rec-number&gt;&lt;foreign-keys&gt;&lt;key app="EN" db-id="vrp0pptazv05wtesfz5vrzsj2p0rv09ttsa9" timestamp="1499838798" guid="ed2e9fbb-6748-4e41-8f56-99399974de37"&gt;583&lt;/key&gt;&lt;/foreign-keys&gt;&lt;ref-type name="Web Page"&gt;12&lt;/ref-type&gt;&lt;contributors&gt;&lt;authors&gt;&lt;author&gt;The University of Edinburgh,&lt;/author&gt;&lt;/authors&gt;&lt;/contributors&gt;&lt;titles&gt;&lt;title&gt;The National CJD Research &amp;amp; Surveilance Unit (NCJDRSU)&lt;/title&gt;&lt;/titles&gt;&lt;number&gt;11.07.2017&lt;/number&gt;&lt;keywords&gt;&lt;keyword&gt;$$Lesley added for protocol&lt;/keyword&gt;&lt;keyword&gt;$$Background&lt;/keyword&gt;&lt;keyword&gt;$$CJD relevant&lt;/keyword&gt;&lt;/keywords&gt;&lt;dates&gt;&lt;year&gt;2017&lt;/year&gt;&lt;/dates&gt;&lt;urls&gt;&lt;related-urls&gt;&lt;url&gt;&lt;style face="underline" font="default" size="100%"&gt;http://www.cjd.ed.ac.uk/&lt;/style&gt;&lt;/url&gt;&lt;/related-urls&gt;&lt;/urls&gt;&lt;/record&gt;&lt;/Cite&gt;&lt;/EndNote&gt;</w:instrText>
      </w:r>
      <w:r w:rsidR="00D63CDB">
        <w:rPr>
          <w:rFonts w:cs="Times New Roman"/>
        </w:rPr>
        <w:fldChar w:fldCharType="separate"/>
      </w:r>
      <w:r w:rsidR="00D63CDB" w:rsidRPr="00D63CDB">
        <w:rPr>
          <w:rFonts w:cs="Times New Roman"/>
          <w:noProof/>
          <w:vertAlign w:val="superscript"/>
        </w:rPr>
        <w:t>1</w:t>
      </w:r>
      <w:r w:rsidR="00D63CDB">
        <w:rPr>
          <w:rFonts w:cs="Times New Roman"/>
        </w:rPr>
        <w:fldChar w:fldCharType="end"/>
      </w:r>
      <w:r w:rsidR="00B56917">
        <w:rPr>
          <w:rFonts w:cs="Times New Roman"/>
        </w:rPr>
        <w:t xml:space="preserve"> </w:t>
      </w:r>
      <w:r w:rsidR="009D44DC">
        <w:rPr>
          <w:rFonts w:cs="Times New Roman"/>
        </w:rPr>
        <w:t>D</w:t>
      </w:r>
      <w:r w:rsidR="00E933B5" w:rsidRPr="007A7C51">
        <w:rPr>
          <w:rFonts w:cs="Times New Roman"/>
        </w:rPr>
        <w:t xml:space="preserve">espite the observed increase in sCJD cases over the last twenty years, autopsy </w:t>
      </w:r>
      <w:r w:rsidR="00572C33" w:rsidRPr="007A7C51">
        <w:rPr>
          <w:rFonts w:cs="Times New Roman"/>
        </w:rPr>
        <w:t>is</w:t>
      </w:r>
      <w:r w:rsidR="00E933B5" w:rsidRPr="007A7C51">
        <w:rPr>
          <w:rFonts w:cs="Times New Roman"/>
        </w:rPr>
        <w:t xml:space="preserve"> not performed </w:t>
      </w:r>
      <w:r w:rsidR="00B418C1">
        <w:rPr>
          <w:rFonts w:cs="Times New Roman"/>
        </w:rPr>
        <w:t xml:space="preserve">routinely </w:t>
      </w:r>
      <w:r w:rsidR="00851989" w:rsidRPr="007A7C51">
        <w:rPr>
          <w:rFonts w:cs="Times New Roman"/>
        </w:rPr>
        <w:t>on sporadic CJD cases. In the UK, almost 50% of all cases referred to the NCJDRSU undergo autopsy</w:t>
      </w:r>
      <w:r w:rsidR="00875F98" w:rsidRPr="007A7C51">
        <w:rPr>
          <w:rFonts w:cs="Times New Roman"/>
        </w:rPr>
        <w:t>.</w:t>
      </w:r>
      <w:r w:rsidR="008D353A" w:rsidRPr="007A7C51">
        <w:rPr>
          <w:rFonts w:cs="Times New Roman"/>
        </w:rPr>
        <w:fldChar w:fldCharType="begin"/>
      </w:r>
      <w:r w:rsidR="00D63CDB">
        <w:rPr>
          <w:rFonts w:cs="Times New Roman"/>
        </w:rPr>
        <w:instrText xml:space="preserve"> ADDIN EN.CITE &lt;EndNote&gt;&lt;Cite&gt;&lt;Author&gt;National CJD Research &amp;amp; Surveillance Unit&lt;/Author&gt;&lt;Year&gt;2016&lt;/Year&gt;&lt;RecNum&gt;10247&lt;/RecNum&gt;&lt;DisplayText&gt;&lt;style face="superscript"&gt;2&lt;/style&gt;&lt;/DisplayText&gt;&lt;record&gt;&lt;rec-number&gt;10247&lt;/rec-number&gt;&lt;foreign-keys&gt;&lt;key app="EN" db-id="vrp0pptazv05wtesfz5vrzsj2p0rv09ttsa9" timestamp="1520851581" guid="2d57af3e-e0a8-492f-890b-635cc5992b00"&gt;10247&lt;/key&gt;&lt;/foreign-keys&gt;&lt;ref-type name="Report"&gt;27&lt;/ref-type&gt;&lt;contributors&gt;&lt;authors&gt;&lt;author&gt;National CJD Research &amp;amp; Surveillance Unit,&lt;/author&gt;&lt;/authors&gt;&lt;/contributors&gt;&lt;titles&gt;&lt;title&gt;Creutzfeldt-Jakob Disease Surveillance in the UK: 25th Annual Report 2016&lt;/title&gt;&lt;/titles&gt;&lt;keywords&gt;&lt;keyword&gt;$$LU_1_prevalence CJD&lt;/keyword&gt;&lt;keyword&gt;$$Lesley google&lt;/keyword&gt;&lt;keyword&gt;$$Background&lt;/keyword&gt;&lt;/keywords&gt;&lt;dates&gt;&lt;year&gt;2016&lt;/year&gt;&lt;/dates&gt;&lt;publisher&gt;The National CJD Research &amp;amp; Surveillance Unit, Western General Hospital, Edinburgh, EH4 2XU&lt;/publisher&gt;&lt;urls&gt;&lt;related-urls&gt;&lt;url&gt;https://www.cjd.ed.ac.uk/sites/default/files/report25.pdf&lt;/url&gt;&lt;/related-urls&gt;&lt;/urls&gt;&lt;access-date&gt;23.01.18&lt;/access-date&gt;&lt;/record&gt;&lt;/Cite&gt;&lt;/EndNote&gt;</w:instrText>
      </w:r>
      <w:r w:rsidR="008D353A" w:rsidRPr="007A7C51">
        <w:rPr>
          <w:rFonts w:cs="Times New Roman"/>
        </w:rPr>
        <w:fldChar w:fldCharType="separate"/>
      </w:r>
      <w:r w:rsidR="001D65B2" w:rsidRPr="001D65B2">
        <w:rPr>
          <w:rFonts w:cs="Times New Roman"/>
          <w:noProof/>
          <w:vertAlign w:val="superscript"/>
        </w:rPr>
        <w:t>2</w:t>
      </w:r>
      <w:r w:rsidR="008D353A" w:rsidRPr="007A7C51">
        <w:rPr>
          <w:rFonts w:cs="Times New Roman"/>
        </w:rPr>
        <w:fldChar w:fldCharType="end"/>
      </w:r>
      <w:r w:rsidR="00851989" w:rsidRPr="007A7C51">
        <w:rPr>
          <w:rFonts w:cs="Times New Roman"/>
        </w:rPr>
        <w:t xml:space="preserve"> T</w:t>
      </w:r>
      <w:r w:rsidR="00E933B5" w:rsidRPr="007A7C51">
        <w:rPr>
          <w:rFonts w:cs="Times New Roman"/>
        </w:rPr>
        <w:t xml:space="preserve">he most recent case of vCJD appeared in </w:t>
      </w:r>
      <w:r w:rsidR="00ED6FB2" w:rsidRPr="007A7C51">
        <w:rPr>
          <w:rFonts w:cs="Times New Roman"/>
        </w:rPr>
        <w:t xml:space="preserve">its </w:t>
      </w:r>
      <w:r w:rsidR="00E933B5" w:rsidRPr="007A7C51">
        <w:rPr>
          <w:rFonts w:cs="Times New Roman"/>
        </w:rPr>
        <w:t>clinical presentation and neuroimaging to be sCJD</w:t>
      </w:r>
      <w:r w:rsidR="00ED6FB2" w:rsidRPr="007A7C51">
        <w:rPr>
          <w:rFonts w:cs="Times New Roman"/>
        </w:rPr>
        <w:t>,</w:t>
      </w:r>
      <w:r w:rsidR="00E933B5" w:rsidRPr="007A7C51">
        <w:rPr>
          <w:rFonts w:cs="Times New Roman"/>
        </w:rPr>
        <w:t xml:space="preserve"> but as the age of the patient was atypically young (36</w:t>
      </w:r>
      <w:r w:rsidR="00ED6FB2" w:rsidRPr="007A7C51">
        <w:rPr>
          <w:rFonts w:cs="Times New Roman"/>
        </w:rPr>
        <w:t xml:space="preserve"> </w:t>
      </w:r>
      <w:r w:rsidR="00E933B5" w:rsidRPr="007A7C51">
        <w:rPr>
          <w:rFonts w:cs="Times New Roman"/>
        </w:rPr>
        <w:t>years of age)</w:t>
      </w:r>
      <w:r w:rsidR="00D07629">
        <w:rPr>
          <w:rFonts w:cs="Times New Roman"/>
        </w:rPr>
        <w:t>,</w:t>
      </w:r>
      <w:r w:rsidR="00E933B5" w:rsidRPr="007A7C51">
        <w:rPr>
          <w:rFonts w:cs="Times New Roman"/>
        </w:rPr>
        <w:t xml:space="preserve"> </w:t>
      </w:r>
      <w:r w:rsidR="00396D86" w:rsidRPr="007A7C51">
        <w:rPr>
          <w:rFonts w:cs="Times New Roman"/>
        </w:rPr>
        <w:t xml:space="preserve">a </w:t>
      </w:r>
      <w:r w:rsidR="00E933B5" w:rsidRPr="007A7C51">
        <w:rPr>
          <w:rFonts w:cs="Times New Roman"/>
        </w:rPr>
        <w:t xml:space="preserve">pathological examination after death in February 2016 confirmed vCJD despite </w:t>
      </w:r>
      <w:r w:rsidR="00D07629">
        <w:rPr>
          <w:rFonts w:cs="Times New Roman"/>
        </w:rPr>
        <w:t xml:space="preserve">the </w:t>
      </w:r>
      <w:r w:rsidR="00E933B5" w:rsidRPr="007A7C51">
        <w:rPr>
          <w:rFonts w:cs="Times New Roman"/>
        </w:rPr>
        <w:t>absence of</w:t>
      </w:r>
      <w:r w:rsidR="00396D86" w:rsidRPr="007A7C51">
        <w:rPr>
          <w:rFonts w:cs="Times New Roman"/>
        </w:rPr>
        <w:t xml:space="preserve"> clinical</w:t>
      </w:r>
      <w:r w:rsidR="00E933B5" w:rsidRPr="007A7C51">
        <w:rPr>
          <w:rFonts w:cs="Times New Roman"/>
        </w:rPr>
        <w:t xml:space="preserve"> epidemiologic diagnostic criteria for probable or possible vCJD.</w:t>
      </w:r>
      <w:r w:rsidR="00E933B5" w:rsidRPr="007A7C51">
        <w:rPr>
          <w:rFonts w:cs="Times New Roman"/>
        </w:rPr>
        <w:fldChar w:fldCharType="begin"/>
      </w:r>
      <w:r w:rsidR="0076576E">
        <w:rPr>
          <w:rFonts w:cs="Times New Roman"/>
        </w:rPr>
        <w:instrText xml:space="preserve"> ADDIN EN.CITE &lt;EndNote&gt;&lt;Cite&gt;&lt;Author&gt;Mok&lt;/Author&gt;&lt;Year&gt;2017&lt;/Year&gt;&lt;RecNum&gt;9731&lt;/RecNum&gt;&lt;DisplayText&gt;&lt;style face="superscript"&gt;33&lt;/style&gt;&lt;/DisplayText&gt;&lt;record&gt;&lt;rec-number&gt;9731&lt;/rec-number&gt;&lt;foreign-keys&gt;&lt;key app="EN" db-id="vrp0pptazv05wtesfz5vrzsj2p0rv09ttsa9" timestamp="1511786612" guid="4955f14a-2207-4abf-b2f5-8bf0a8ef41c3"&gt;9731&lt;/key&gt;&lt;/foreign-keys&gt;&lt;ref-type name="Journal Article"&gt;17&lt;/ref-type&gt;&lt;contributors&gt;&lt;authors&gt;&lt;author&gt;Mok, Tzehow&lt;/author&gt;&lt;author&gt;Jaunmuktane, Zane&lt;/author&gt;&lt;author&gt;Joiner, Susan&lt;/author&gt;&lt;author&gt;Campbell, Tracy&lt;/author&gt;&lt;author&gt;Morgan, Catherine&lt;/author&gt;&lt;author&gt;Wakerley, Benjamin&lt;/author&gt;&lt;author&gt;Golestani, Farhad&lt;/author&gt;&lt;author&gt;Rudge, Peter&lt;/author&gt;&lt;author&gt;Mead, Simon&lt;/author&gt;&lt;author&gt;Jäger, H. Rolf&lt;/author&gt;&lt;author&gt;Wadsworth, Jonathan D.F.&lt;/author&gt;&lt;author&gt;Brandner, Sebastian&lt;/author&gt;&lt;author&gt;Collinge, John&lt;/author&gt;&lt;/authors&gt;&lt;/contributors&gt;&lt;titles&gt;&lt;title&gt;Variant Creutzfeldt–Jakob Disease in a Patient with Heterozygosity at PRNP Codon 129&lt;/title&gt;&lt;secondary-title&gt;New England Journal of Medicine&lt;/secondary-title&gt;&lt;/titles&gt;&lt;periodical&gt;&lt;full-title&gt;New England Journal of Medicine&lt;/full-title&gt;&lt;/periodical&gt;&lt;pages&gt;292-294&lt;/pages&gt;&lt;volume&gt;376&lt;/volume&gt;&lt;number&gt;3&lt;/number&gt;&lt;keywords&gt;&lt;keyword&gt;$$LU_1_prevalence CJD&lt;/keyword&gt;&lt;keyword&gt;$$LU_4_CJD infectivity&lt;/keyword&gt;&lt;keyword&gt;$$CJD relevant&lt;/keyword&gt;&lt;keyword&gt;$$Lesley google&lt;/keyword&gt;&lt;/keywords&gt;&lt;dates&gt;&lt;year&gt;2017&lt;/year&gt;&lt;/dates&gt;&lt;accession-num&gt;28099827&lt;/accession-num&gt;&lt;urls&gt;&lt;related-urls&gt;&lt;url&gt;http://www.nejm.org/doi/full/10.1056/NEJMc1610003&lt;/url&gt;&lt;/related-urls&gt;&lt;/urls&gt;&lt;electronic-resource-num&gt;10.1056/NEJMc1610003&lt;/electronic-resource-num&gt;&lt;/record&gt;&lt;/Cite&gt;&lt;/EndNote&gt;</w:instrText>
      </w:r>
      <w:r w:rsidR="00E933B5" w:rsidRPr="007A7C51">
        <w:rPr>
          <w:rFonts w:cs="Times New Roman"/>
        </w:rPr>
        <w:fldChar w:fldCharType="separate"/>
      </w:r>
      <w:r w:rsidR="0076576E" w:rsidRPr="0076576E">
        <w:rPr>
          <w:rFonts w:cs="Times New Roman"/>
          <w:noProof/>
          <w:vertAlign w:val="superscript"/>
        </w:rPr>
        <w:t>33</w:t>
      </w:r>
      <w:r w:rsidR="00E933B5" w:rsidRPr="007A7C51">
        <w:rPr>
          <w:rFonts w:cs="Times New Roman"/>
        </w:rPr>
        <w:fldChar w:fldCharType="end"/>
      </w:r>
      <w:r w:rsidR="00E933B5" w:rsidRPr="007A7C51">
        <w:rPr>
          <w:rFonts w:cs="Times New Roman"/>
        </w:rPr>
        <w:t xml:space="preserve"> </w:t>
      </w:r>
      <w:r w:rsidR="00396D86" w:rsidRPr="007A7C51">
        <w:rPr>
          <w:rFonts w:cs="Times New Roman"/>
        </w:rPr>
        <w:t>On the basis of this recent vCJD case, pathological examination of every sCJD case would be required to k</w:t>
      </w:r>
      <w:r w:rsidR="009D44DC">
        <w:rPr>
          <w:rFonts w:cs="Times New Roman"/>
        </w:rPr>
        <w:t>now the true figures of autopsy-</w:t>
      </w:r>
      <w:r w:rsidR="00396D86" w:rsidRPr="007A7C51">
        <w:rPr>
          <w:rFonts w:cs="Times New Roman"/>
        </w:rPr>
        <w:t xml:space="preserve">proven sCJD </w:t>
      </w:r>
      <w:r w:rsidR="009D44DC">
        <w:rPr>
          <w:rFonts w:cs="Times New Roman"/>
        </w:rPr>
        <w:t>and</w:t>
      </w:r>
      <w:r w:rsidR="00396D86" w:rsidRPr="007A7C51">
        <w:rPr>
          <w:rFonts w:cs="Times New Roman"/>
        </w:rPr>
        <w:t xml:space="preserve"> vCJD. </w:t>
      </w:r>
      <w:r w:rsidR="009D44DC">
        <w:rPr>
          <w:rFonts w:cs="Times New Roman"/>
        </w:rPr>
        <w:t>Given this</w:t>
      </w:r>
      <w:r w:rsidR="00396D86" w:rsidRPr="007A7C51">
        <w:rPr>
          <w:rFonts w:cs="Times New Roman"/>
        </w:rPr>
        <w:t>, a</w:t>
      </w:r>
      <w:r w:rsidR="00E933B5" w:rsidRPr="007A7C51">
        <w:rPr>
          <w:rFonts w:cs="Times New Roman"/>
        </w:rPr>
        <w:t>n alternative possible explanation for the increasing number of sporadic CJD cases over the last 20 years could be attributable to an altered incubation and clinical presentation of acquired CJD (variant or iatrogenic CJD) that mimics sCJD or another neurological condition</w:t>
      </w:r>
      <w:r w:rsidR="003F0EE9">
        <w:rPr>
          <w:rFonts w:cs="Times New Roman"/>
        </w:rPr>
        <w:t xml:space="preserve">. </w:t>
      </w:r>
      <w:r w:rsidR="002C3D9A">
        <w:rPr>
          <w:rFonts w:cs="Times New Roman"/>
        </w:rPr>
        <w:t xml:space="preserve">Indeed, surgery has been posited as a risk factor for sCJD from a number of epidemiological studies and a retrospective study by Urwin </w:t>
      </w:r>
      <w:r w:rsidR="00B301D6" w:rsidRPr="00B301D6">
        <w:rPr>
          <w:rFonts w:cs="Times New Roman"/>
          <w:i/>
        </w:rPr>
        <w:t>et al</w:t>
      </w:r>
      <w:r w:rsidR="002C3D9A">
        <w:rPr>
          <w:rFonts w:cs="Times New Roman"/>
        </w:rPr>
        <w:t xml:space="preserve"> (2016) is described as ongoing to investigate this risk factor further in a review of UK sCJD cases.</w:t>
      </w:r>
      <w:r w:rsidR="002C3D9A">
        <w:rPr>
          <w:rFonts w:cs="Times New Roman"/>
        </w:rPr>
        <w:fldChar w:fldCharType="begin">
          <w:fldData xml:space="preserve">PEVuZE5vdGU+PENpdGU+PEF1dGhvcj5VcndpbjwvQXV0aG9yPjxZZWFyPjIwMTY8L1llYXI+PFJl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PEVuZE5vdGU+PENpdGU+PEF1dGhvcj5VcndpbjwvQXV0aG9yPjxZZWFyPjIwMTY8L1llYXI+PFJl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2C3D9A">
        <w:rPr>
          <w:rFonts w:cs="Times New Roman"/>
        </w:rPr>
      </w:r>
      <w:r w:rsidR="002C3D9A">
        <w:rPr>
          <w:rFonts w:cs="Times New Roman"/>
        </w:rPr>
        <w:fldChar w:fldCharType="separate"/>
      </w:r>
      <w:r w:rsidR="0076576E" w:rsidRPr="0076576E">
        <w:rPr>
          <w:rFonts w:cs="Times New Roman"/>
          <w:noProof/>
          <w:vertAlign w:val="superscript"/>
        </w:rPr>
        <w:t>34</w:t>
      </w:r>
      <w:r w:rsidR="002C3D9A">
        <w:rPr>
          <w:rFonts w:cs="Times New Roman"/>
        </w:rPr>
        <w:fldChar w:fldCharType="end"/>
      </w:r>
    </w:p>
    <w:p w14:paraId="30CCF34B" w14:textId="77777777" w:rsidR="00E933B5" w:rsidRPr="007A7C51" w:rsidRDefault="00E933B5" w:rsidP="00D96D80">
      <w:pPr>
        <w:autoSpaceDE w:val="0"/>
        <w:autoSpaceDN w:val="0"/>
        <w:adjustRightInd w:val="0"/>
        <w:jc w:val="both"/>
        <w:rPr>
          <w:rFonts w:cs="Times New Roman"/>
        </w:rPr>
      </w:pPr>
    </w:p>
    <w:p w14:paraId="1FB1E94D" w14:textId="721A0AF0" w:rsidR="00333BE7" w:rsidRPr="007A7C51" w:rsidRDefault="00650B39" w:rsidP="00D96D80">
      <w:pPr>
        <w:autoSpaceDE w:val="0"/>
        <w:autoSpaceDN w:val="0"/>
        <w:adjustRightInd w:val="0"/>
        <w:jc w:val="both"/>
        <w:rPr>
          <w:rFonts w:cs="Times New Roman"/>
        </w:rPr>
      </w:pPr>
      <w:r w:rsidRPr="007A7C51">
        <w:rPr>
          <w:rFonts w:cs="Times New Roman"/>
        </w:rPr>
        <w:t>Cursory analysis of published literature</w:t>
      </w:r>
      <w:r w:rsidR="00AC3967" w:rsidRPr="007A7C51">
        <w:rPr>
          <w:rFonts w:cs="Times New Roman"/>
        </w:rPr>
        <w:t xml:space="preserve"> from studies on CJD around the world</w:t>
      </w:r>
      <w:r w:rsidRPr="007A7C51">
        <w:rPr>
          <w:rFonts w:cs="Times New Roman"/>
        </w:rPr>
        <w:t xml:space="preserve"> generate</w:t>
      </w:r>
      <w:r w:rsidR="00D1355F" w:rsidRPr="007A7C51">
        <w:rPr>
          <w:rFonts w:cs="Times New Roman"/>
        </w:rPr>
        <w:t>s</w:t>
      </w:r>
      <w:r w:rsidRPr="007A7C51">
        <w:rPr>
          <w:rFonts w:cs="Times New Roman"/>
        </w:rPr>
        <w:t xml:space="preserve"> potential reasons for why autopsy </w:t>
      </w:r>
      <w:r w:rsidR="00333BE7" w:rsidRPr="007A7C51">
        <w:rPr>
          <w:rFonts w:cs="Times New Roman"/>
        </w:rPr>
        <w:t>is</w:t>
      </w:r>
      <w:r w:rsidRPr="007A7C51">
        <w:rPr>
          <w:rFonts w:cs="Times New Roman"/>
        </w:rPr>
        <w:t xml:space="preserve"> not always routinely completed in sCJD</w:t>
      </w:r>
      <w:r w:rsidR="00AC3967" w:rsidRPr="007A7C51">
        <w:rPr>
          <w:rFonts w:cs="Times New Roman"/>
        </w:rPr>
        <w:t xml:space="preserve"> patients</w:t>
      </w:r>
      <w:r w:rsidR="006717B5" w:rsidRPr="007A7C51">
        <w:rPr>
          <w:rFonts w:cs="Times New Roman"/>
        </w:rPr>
        <w:t xml:space="preserve">. Brain biopsy and autopsy </w:t>
      </w:r>
      <w:r w:rsidR="00367CE0" w:rsidRPr="007A7C51">
        <w:rPr>
          <w:rFonts w:cs="Times New Roman"/>
        </w:rPr>
        <w:t xml:space="preserve">of suspected CJD cases </w:t>
      </w:r>
      <w:r w:rsidR="006717B5" w:rsidRPr="007A7C51">
        <w:rPr>
          <w:rFonts w:cs="Times New Roman"/>
        </w:rPr>
        <w:t>carry the risk of iatrogenic transmission</w:t>
      </w:r>
      <w:r w:rsidR="004F5261">
        <w:rPr>
          <w:rFonts w:cs="Times New Roman"/>
        </w:rPr>
        <w:t xml:space="preserve"> to medical or pathology staff</w:t>
      </w:r>
      <w:r w:rsidR="00BA6AEC">
        <w:rPr>
          <w:rFonts w:cs="Times New Roman"/>
        </w:rPr>
        <w:t>,</w:t>
      </w:r>
      <w:r w:rsidR="006717B5" w:rsidRPr="007A7C51">
        <w:rPr>
          <w:rFonts w:cs="Times New Roman"/>
        </w:rPr>
        <w:t xml:space="preserve"> meaning that </w:t>
      </w:r>
      <w:r w:rsidR="00367CE0" w:rsidRPr="007A7C51">
        <w:rPr>
          <w:rFonts w:cs="Times New Roman"/>
        </w:rPr>
        <w:t xml:space="preserve">there is an extra burden of duty to ensure </w:t>
      </w:r>
      <w:r w:rsidR="006717B5" w:rsidRPr="007A7C51">
        <w:rPr>
          <w:rFonts w:cs="Times New Roman"/>
        </w:rPr>
        <w:t xml:space="preserve">stringent infection control protocols are </w:t>
      </w:r>
      <w:r w:rsidR="00925361" w:rsidRPr="007A7C51">
        <w:rPr>
          <w:rFonts w:cs="Times New Roman"/>
        </w:rPr>
        <w:t>followed</w:t>
      </w:r>
      <w:r w:rsidR="006717B5" w:rsidRPr="007A7C51">
        <w:rPr>
          <w:rFonts w:cs="Times New Roman"/>
        </w:rPr>
        <w:t xml:space="preserve">. </w:t>
      </w:r>
      <w:r w:rsidR="009D44DC">
        <w:rPr>
          <w:rFonts w:cs="Times New Roman"/>
        </w:rPr>
        <w:t>P</w:t>
      </w:r>
      <w:r w:rsidR="006717B5" w:rsidRPr="007A7C51">
        <w:rPr>
          <w:rFonts w:cs="Times New Roman"/>
        </w:rPr>
        <w:t>rotocols for instrument decontamination are required for brain</w:t>
      </w:r>
      <w:r w:rsidR="00505F03" w:rsidRPr="007A7C51">
        <w:rPr>
          <w:rFonts w:cs="Times New Roman"/>
        </w:rPr>
        <w:t xml:space="preserve"> biopsy. For example, </w:t>
      </w:r>
      <w:r w:rsidR="006717B5" w:rsidRPr="007A7C51">
        <w:rPr>
          <w:rFonts w:cs="Times New Roman"/>
        </w:rPr>
        <w:t xml:space="preserve">Shi </w:t>
      </w:r>
      <w:r w:rsidR="00B301D6" w:rsidRPr="00B301D6">
        <w:rPr>
          <w:rFonts w:cs="Times New Roman"/>
          <w:i/>
        </w:rPr>
        <w:t>et al</w:t>
      </w:r>
      <w:r w:rsidR="00505F03" w:rsidRPr="007A7C51">
        <w:rPr>
          <w:rFonts w:cs="Times New Roman"/>
        </w:rPr>
        <w:t xml:space="preserve"> </w:t>
      </w:r>
      <w:r w:rsidR="006717B5" w:rsidRPr="007A7C51">
        <w:rPr>
          <w:rFonts w:cs="Times New Roman"/>
        </w:rPr>
        <w:t>(2016</w:t>
      </w:r>
      <w:r w:rsidR="00F25602">
        <w:rPr>
          <w:rFonts w:cs="Times New Roman"/>
        </w:rPr>
        <w:fldChar w:fldCharType="begin"/>
      </w:r>
      <w:r w:rsidR="0076576E">
        <w:rPr>
          <w:rFonts w:cs="Times New Roman"/>
        </w:rPr>
        <w:instrText xml:space="preserve"> ADDIN EN.CITE &lt;EndNote&gt;&lt;Cite&gt;&lt;Author&gt;Shi&lt;/Author&gt;&lt;Year&gt;2016&lt;/Year&gt;&lt;RecNum&gt;10243&lt;/RecNum&gt;&lt;DisplayText&gt;&lt;style face="superscript"&gt;35&lt;/style&gt;&lt;/DisplayText&gt;&lt;record&gt;&lt;rec-number&gt;10243&lt;/rec-number&gt;&lt;foreign-keys&gt;&lt;key app="EN" db-id="vrp0pptazv05wtesfz5vrzsj2p0rv09ttsa9" timestamp="1516259018" guid="ad7e1c9f-8168-4113-b822-38b68c672f4b"&gt;10243&lt;/key&gt;&lt;/foreign-keys&gt;&lt;ref-type name="Journal Article"&gt;17&lt;/ref-type&gt;&lt;contributors&gt;&lt;authors&gt;&lt;author&gt;Shi, Jian&lt;/author&gt;&lt;author&gt;Chen, Qi&lt;/author&gt;&lt;author&gt;Chen, Xiangming&lt;/author&gt;&lt;author&gt;Zhang, Jianmin&lt;/author&gt;&lt;/authors&gt;&lt;/contributors&gt;&lt;titles&gt;&lt;title&gt;Case Report Clinical scenarios in creutzfeldt-jakob disease (CJD): report of nine cases&lt;/title&gt;&lt;secondary-title&gt;Int J Clin Exp Pathol&lt;/secondary-title&gt;&lt;/titles&gt;&lt;periodical&gt;&lt;full-title&gt;Int J Clin Exp Pathol&lt;/full-title&gt;&lt;/periodical&gt;&lt;pages&gt;2744-2751&lt;/pages&gt;&lt;volume&gt;9&lt;/volume&gt;&lt;number&gt;2&lt;/number&gt;&lt;keywords&gt;&lt;keyword&gt;$$Lesley google&lt;/keyword&gt;&lt;keyword&gt;$$CJD relevant&lt;/keyword&gt;&lt;keyword&gt;$$LU_exclude post abstract sift&lt;/keyword&gt;&lt;keyword&gt;$$case report&lt;/keyword&gt;&lt;/keywords&gt;&lt;dates&gt;&lt;year&gt;2016&lt;/year&gt;&lt;/dates&gt;&lt;urls&gt;&lt;/urls&gt;&lt;/record&gt;&lt;/Cite&gt;&lt;/EndNote&gt;</w:instrText>
      </w:r>
      <w:r w:rsidR="00F25602">
        <w:rPr>
          <w:rFonts w:cs="Times New Roman"/>
        </w:rPr>
        <w:fldChar w:fldCharType="separate"/>
      </w:r>
      <w:r w:rsidR="0076576E" w:rsidRPr="0076576E">
        <w:rPr>
          <w:rFonts w:cs="Times New Roman"/>
          <w:noProof/>
          <w:vertAlign w:val="superscript"/>
        </w:rPr>
        <w:t>35</w:t>
      </w:r>
      <w:r w:rsidR="00F25602">
        <w:rPr>
          <w:rFonts w:cs="Times New Roman"/>
        </w:rPr>
        <w:fldChar w:fldCharType="end"/>
      </w:r>
      <w:r w:rsidR="006717B5" w:rsidRPr="007A7C51">
        <w:rPr>
          <w:rFonts w:cs="Times New Roman"/>
        </w:rPr>
        <w:t xml:space="preserve">) state that </w:t>
      </w:r>
      <w:r w:rsidR="00925361" w:rsidRPr="007A7C51">
        <w:rPr>
          <w:rFonts w:cs="Times New Roman"/>
        </w:rPr>
        <w:t>whilst</w:t>
      </w:r>
      <w:r w:rsidR="006A1AA7">
        <w:rPr>
          <w:rFonts w:cs="Times New Roman"/>
        </w:rPr>
        <w:t xml:space="preserve"> an</w:t>
      </w:r>
      <w:r w:rsidR="00925361" w:rsidRPr="007A7C51">
        <w:rPr>
          <w:rFonts w:cs="Times New Roman"/>
        </w:rPr>
        <w:t xml:space="preserve"> </w:t>
      </w:r>
      <w:r w:rsidR="006717B5" w:rsidRPr="007A7C51">
        <w:rPr>
          <w:rFonts w:cs="Times New Roman"/>
        </w:rPr>
        <w:t xml:space="preserve">intracranial biopsy procedure is invasive and carries risk of cerebral infection or hematoma, </w:t>
      </w:r>
      <w:r w:rsidR="00925361" w:rsidRPr="007A7C51">
        <w:rPr>
          <w:rFonts w:cs="Times New Roman"/>
        </w:rPr>
        <w:t>it</w:t>
      </w:r>
      <w:r w:rsidR="006717B5" w:rsidRPr="007A7C51">
        <w:rPr>
          <w:rFonts w:cs="Times New Roman"/>
        </w:rPr>
        <w:t xml:space="preserve"> is generally a safe</w:t>
      </w:r>
      <w:r w:rsidR="009D44DC">
        <w:rPr>
          <w:rFonts w:cs="Times New Roman"/>
        </w:rPr>
        <w:t xml:space="preserve"> and well-tolerated procedure</w:t>
      </w:r>
      <w:r w:rsidR="00BA6AEC">
        <w:rPr>
          <w:rFonts w:cs="Times New Roman"/>
        </w:rPr>
        <w:t>;</w:t>
      </w:r>
      <w:r w:rsidR="009D44DC">
        <w:rPr>
          <w:rFonts w:cs="Times New Roman"/>
        </w:rPr>
        <w:t xml:space="preserve"> h</w:t>
      </w:r>
      <w:r w:rsidR="00925361" w:rsidRPr="007A7C51">
        <w:rPr>
          <w:rFonts w:cs="Times New Roman"/>
        </w:rPr>
        <w:t>owever, s</w:t>
      </w:r>
      <w:r w:rsidR="006717B5" w:rsidRPr="007A7C51">
        <w:rPr>
          <w:rFonts w:cs="Times New Roman"/>
        </w:rPr>
        <w:t xml:space="preserve">pecial precautions to prevent the spread of prions must be taken. </w:t>
      </w:r>
      <w:r w:rsidR="00E711C2" w:rsidRPr="007A7C51">
        <w:rPr>
          <w:rFonts w:cs="Times New Roman"/>
        </w:rPr>
        <w:t>M</w:t>
      </w:r>
      <w:r w:rsidR="006717B5" w:rsidRPr="007A7C51">
        <w:rPr>
          <w:rFonts w:cs="Times New Roman"/>
        </w:rPr>
        <w:t xml:space="preserve">edical </w:t>
      </w:r>
      <w:r w:rsidR="00E711C2" w:rsidRPr="007A7C51">
        <w:rPr>
          <w:rFonts w:cs="Times New Roman"/>
        </w:rPr>
        <w:t xml:space="preserve">instruments and equipment </w:t>
      </w:r>
      <w:r w:rsidR="006717B5" w:rsidRPr="007A7C51">
        <w:rPr>
          <w:rFonts w:cs="Times New Roman"/>
        </w:rPr>
        <w:t xml:space="preserve">supplies must be </w:t>
      </w:r>
      <w:r w:rsidR="000151F2">
        <w:rPr>
          <w:rFonts w:cs="Times New Roman"/>
        </w:rPr>
        <w:t xml:space="preserve">either </w:t>
      </w:r>
      <w:r w:rsidR="006717B5" w:rsidRPr="007A7C51">
        <w:rPr>
          <w:rFonts w:cs="Times New Roman"/>
        </w:rPr>
        <w:t xml:space="preserve">destroyed by incineration </w:t>
      </w:r>
      <w:r w:rsidR="000151F2">
        <w:rPr>
          <w:rFonts w:cs="Times New Roman"/>
        </w:rPr>
        <w:t>or</w:t>
      </w:r>
      <w:r w:rsidR="006717B5" w:rsidRPr="007A7C51">
        <w:rPr>
          <w:rFonts w:cs="Times New Roman"/>
        </w:rPr>
        <w:t xml:space="preserve"> autoclaved </w:t>
      </w:r>
      <w:r w:rsidR="000151F2">
        <w:rPr>
          <w:rFonts w:cs="Times New Roman"/>
        </w:rPr>
        <w:t>and sterilised</w:t>
      </w:r>
      <w:r w:rsidR="006717B5" w:rsidRPr="007A7C51">
        <w:rPr>
          <w:rFonts w:cs="Times New Roman"/>
        </w:rPr>
        <w:t>.</w:t>
      </w:r>
      <w:r w:rsidR="00AC3967" w:rsidRPr="007A7C51">
        <w:rPr>
          <w:rFonts w:cs="Times New Roman"/>
        </w:rPr>
        <w:t xml:space="preserve"> </w:t>
      </w:r>
      <w:r w:rsidR="00333BE7" w:rsidRPr="007A7C51">
        <w:rPr>
          <w:rFonts w:cs="Times New Roman"/>
        </w:rPr>
        <w:t xml:space="preserve">Similarly, Baig </w:t>
      </w:r>
      <w:r w:rsidR="00B301D6" w:rsidRPr="00B301D6">
        <w:rPr>
          <w:rFonts w:cs="Times New Roman"/>
          <w:i/>
        </w:rPr>
        <w:t>et al</w:t>
      </w:r>
      <w:r w:rsidR="00333BE7" w:rsidRPr="007A7C51">
        <w:rPr>
          <w:rFonts w:cs="Times New Roman"/>
        </w:rPr>
        <w:t xml:space="preserve"> 2013</w:t>
      </w:r>
      <w:r w:rsidR="008D353A" w:rsidRPr="007A7C51">
        <w:rPr>
          <w:rFonts w:cs="Times New Roman"/>
        </w:rPr>
        <w:fldChar w:fldCharType="begin"/>
      </w:r>
      <w:r w:rsidR="0076576E">
        <w:rPr>
          <w:rFonts w:cs="Times New Roman"/>
        </w:rPr>
        <w:instrText xml:space="preserve"> ADDIN EN.CITE &lt;EndNote&gt;&lt;Cite&gt;&lt;Author&gt;Baig&lt;/Author&gt;&lt;Year&gt;2013&lt;/Year&gt;&lt;RecNum&gt;8382&lt;/RecNum&gt;&lt;DisplayText&gt;&lt;style face="superscript"&gt;36&lt;/style&gt;&lt;/DisplayText&gt;&lt;record&gt;&lt;rec-number&gt;8382&lt;/rec-number&gt;&lt;foreign-keys&gt;&lt;key app="EN" db-id="vrp0pptazv05wtesfz5vrzsj2p0rv09ttsa9" timestamp="1506588781" guid="a0241d82-55f3-45b8-bd57-4507846e3cf1"&gt;8382&lt;/key&gt;&lt;/foreign-keys&gt;&lt;ref-type name="Journal Article"&gt;17&lt;/ref-type&gt;&lt;contributors&gt;&lt;authors&gt;&lt;author&gt;Baig, M, M.&lt;/author&gt;&lt;author&gt;Phillips, M.&lt;/author&gt;&lt;/authors&gt;&lt;/contributors&gt;&lt;titles&gt;&lt;title&gt;A case of Creutzfeldt-Jakob disease: diagnostic dilemmas of a rapidly fatal disease&lt;/title&gt;&lt;secondary-title&gt;Infectious Disease Reports&lt;/secondary-title&gt;&lt;/titles&gt;&lt;periodical&gt;&lt;full-title&gt;Infectious Disease Reports&lt;/full-title&gt;&lt;/periodical&gt;&lt;pages&gt;e10&lt;/pages&gt;&lt;volume&gt;5&lt;/volume&gt;&lt;number&gt;2&lt;/number&gt;&lt;keywords&gt;&lt;keyword&gt;$$LU_1_prevalence CJD&lt;/keyword&gt;&lt;keyword&gt;$$LU_2_surgery transmission risk&lt;/keyword&gt;&lt;keyword&gt;$$CJD relevant&lt;/keyword&gt;&lt;keyword&gt;$$1_prevalence CJD&lt;/keyword&gt;&lt;keyword&gt;$$2_surgery transmission risk&lt;/keyword&gt;&lt;keyword&gt;$$iatrogenic CJD&lt;/keyword&gt;&lt;/keywords&gt;&lt;dates&gt;&lt;year&gt;2013&lt;/year&gt;&lt;pub-dates&gt;&lt;date&gt;Oct 09&lt;/date&gt;&lt;/pub-dates&gt;&lt;/dates&gt;&lt;isbn&gt;2036-7430&lt;/isbn&gt;&lt;accession-num&gt;24470960&lt;/accession-num&gt;&lt;urls&gt;&lt;related-urls&gt;&lt;url&gt;http://ovidsp.ovid.com/ovidweb.cgi?T=JS&amp;amp;CSC=Y&amp;amp;NEWS=N&amp;amp;PAGE=fulltext&amp;amp;D=prem&amp;amp;AN=24470960http://resolver.shef.ac.uk/?http://find.shef.ac.uk/openurl/44SFD/44SFD_services_page?sid=OVID:medline&amp;amp;id=pmid:24470960&amp;amp;id=doi:10.4081%2Fidr.2013.e10&amp;amp;issn=2036-7430&amp;amp;isbn=&amp;amp;volume=5&amp;amp;issue=2&amp;amp;spage=e10&amp;amp;pages=e10&amp;amp;date=2013&amp;amp;title=Infectious+Disease+Reports&amp;amp;atitle=A+case+of+Creutzfeldt-Jakob+disease%3A+diagnostic+dilemmas+of+a+rapidly+fatal+disease.&amp;amp;aulast=M+Baig&amp;amp;pid=%3Cauthor%3EM+Baig+M%3BPhillips+M%3C%2Fauthor%3E%3CAN%3E24470960%3C%2FAN%3E%3CDT%3EJournal+Article%3C%2FDT%3E&lt;/url&gt;&lt;/related-urls&gt;&lt;/urls&gt;&lt;electronic-resource-num&gt;https://dx.doi.org/10.4081/idr.2013.e10&lt;/electronic-resource-num&gt;&lt;/record&gt;&lt;/Cite&gt;&lt;/EndNote&gt;</w:instrText>
      </w:r>
      <w:r w:rsidR="008D353A" w:rsidRPr="007A7C51">
        <w:rPr>
          <w:rFonts w:cs="Times New Roman"/>
        </w:rPr>
        <w:fldChar w:fldCharType="separate"/>
      </w:r>
      <w:r w:rsidR="0076576E" w:rsidRPr="0076576E">
        <w:rPr>
          <w:rFonts w:cs="Times New Roman"/>
          <w:noProof/>
          <w:vertAlign w:val="superscript"/>
        </w:rPr>
        <w:t>36</w:t>
      </w:r>
      <w:r w:rsidR="008D353A" w:rsidRPr="007A7C51">
        <w:rPr>
          <w:rFonts w:cs="Times New Roman"/>
        </w:rPr>
        <w:fldChar w:fldCharType="end"/>
      </w:r>
      <w:r w:rsidR="00333BE7" w:rsidRPr="007A7C51">
        <w:rPr>
          <w:rFonts w:cs="Times New Roman"/>
        </w:rPr>
        <w:t xml:space="preserve"> state that getting </w:t>
      </w:r>
      <w:r w:rsidR="009D44DC">
        <w:rPr>
          <w:rFonts w:cs="Times New Roman"/>
        </w:rPr>
        <w:t xml:space="preserve">a </w:t>
      </w:r>
      <w:r w:rsidR="00333BE7" w:rsidRPr="007A7C51">
        <w:rPr>
          <w:rFonts w:cs="Times New Roman"/>
        </w:rPr>
        <w:t xml:space="preserve">biopsy in a timely manner is </w:t>
      </w:r>
      <w:r w:rsidR="009D44DC">
        <w:rPr>
          <w:rFonts w:cs="Times New Roman"/>
        </w:rPr>
        <w:t xml:space="preserve">commonly </w:t>
      </w:r>
      <w:r w:rsidR="00333BE7" w:rsidRPr="007A7C51">
        <w:rPr>
          <w:rFonts w:cs="Times New Roman"/>
        </w:rPr>
        <w:t>not possible given the costly and aggressive nature of the diagnostic test and that the rigorous decontamination and sterilization techniques for handling tissue at biopsy may make it impractical in a community setting.</w:t>
      </w:r>
    </w:p>
    <w:p w14:paraId="05498B7B" w14:textId="77777777" w:rsidR="001C1038" w:rsidRPr="007A7C51" w:rsidRDefault="001C1038" w:rsidP="00D96D80">
      <w:pPr>
        <w:autoSpaceDE w:val="0"/>
        <w:autoSpaceDN w:val="0"/>
        <w:adjustRightInd w:val="0"/>
        <w:jc w:val="both"/>
        <w:rPr>
          <w:rFonts w:cs="Times New Roman"/>
        </w:rPr>
      </w:pPr>
    </w:p>
    <w:p w14:paraId="767A81E4" w14:textId="77777777" w:rsidR="001C1038" w:rsidRPr="006A1AA7" w:rsidRDefault="001C1038" w:rsidP="00D96D80">
      <w:pPr>
        <w:pStyle w:val="Heading4"/>
        <w:spacing w:before="0"/>
        <w:rPr>
          <w:sz w:val="22"/>
        </w:rPr>
      </w:pPr>
      <w:r w:rsidRPr="006A1AA7">
        <w:rPr>
          <w:sz w:val="22"/>
        </w:rPr>
        <w:t>Racial and geographical differences</w:t>
      </w:r>
    </w:p>
    <w:p w14:paraId="54D5ECD5" w14:textId="0F487DB2" w:rsidR="001C1038" w:rsidRDefault="001C1038" w:rsidP="00D96D80">
      <w:pPr>
        <w:jc w:val="both"/>
        <w:rPr>
          <w:rFonts w:cs="Times New Roman"/>
        </w:rPr>
      </w:pPr>
      <w:r w:rsidRPr="007A7C51">
        <w:rPr>
          <w:rFonts w:cs="Times New Roman"/>
        </w:rPr>
        <w:t xml:space="preserve">Variations in </w:t>
      </w:r>
      <w:r w:rsidR="00D2154F" w:rsidRPr="007A7C51">
        <w:rPr>
          <w:rFonts w:cs="Times New Roman"/>
        </w:rPr>
        <w:t xml:space="preserve">CJD incidence according to </w:t>
      </w:r>
      <w:r w:rsidRPr="007A7C51">
        <w:rPr>
          <w:rFonts w:cs="Times New Roman"/>
        </w:rPr>
        <w:t xml:space="preserve">race were noted in the literature with the age-adjusted CJD incidence for white people in the US reported as </w:t>
      </w:r>
      <w:r w:rsidR="00BA6AEC">
        <w:rPr>
          <w:rFonts w:cs="Times New Roman"/>
        </w:rPr>
        <w:t xml:space="preserve">being </w:t>
      </w:r>
      <w:r w:rsidRPr="007A7C51">
        <w:rPr>
          <w:rFonts w:cs="Times New Roman"/>
        </w:rPr>
        <w:t xml:space="preserve">2.7 times higher than that for black people (1.04 and 0.40, respectively) by Maddox </w:t>
      </w:r>
      <w:r w:rsidR="00B301D6" w:rsidRPr="00B301D6">
        <w:rPr>
          <w:rFonts w:cs="Times New Roman"/>
          <w:i/>
        </w:rPr>
        <w:t>et al</w:t>
      </w:r>
      <w:r w:rsidRPr="007A7C51">
        <w:rPr>
          <w:rFonts w:cs="Times New Roman"/>
        </w:rPr>
        <w:t xml:space="preserve"> </w:t>
      </w:r>
      <w:r w:rsidR="00615663">
        <w:rPr>
          <w:rFonts w:cs="Times New Roman"/>
        </w:rPr>
        <w:t>(</w:t>
      </w:r>
      <w:r w:rsidRPr="007A7C51">
        <w:rPr>
          <w:rFonts w:cs="Times New Roman"/>
        </w:rPr>
        <w:t>2010</w:t>
      </w:r>
      <w:r w:rsidR="00615663">
        <w:rPr>
          <w:rFonts w:cs="Times New Roman"/>
        </w:rPr>
        <w:t>)</w:t>
      </w:r>
      <w:r w:rsidRPr="007A7C51">
        <w:rPr>
          <w:rFonts w:cs="Times New Roman"/>
        </w:rPr>
        <w:fldChar w:fldCharType="begin">
          <w:fldData xml:space="preserve">PEVuZE5vdGU+PENpdGU+PEF1dGhvcj5NYWRkb3g8L0F1dGhvcj48WWVhcj4yMDEwPC9ZZWFyPjxS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</w:fldData>
        </w:fldChar>
      </w:r>
      <w:r w:rsidR="0076576E">
        <w:rPr>
          <w:rFonts w:cs="Times New Roman"/>
        </w:rPr>
        <w:instrText xml:space="preserve"> ADDIN EN.CITE </w:instrText>
      </w:r>
      <w:r w:rsidR="0076576E">
        <w:rPr>
          <w:rFonts w:cs="Times New Roman"/>
        </w:rPr>
        <w:fldChar w:fldCharType="begin">
          <w:fldData xml:space="preserve">PEVuZE5vdGU+PENpdGU+PEF1dGhvcj5NYWRkb3g8L0F1dGhvcj48WWVhcj4yMDEwPC9ZZWFyPjxS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37</w:t>
      </w:r>
      <w:r w:rsidRPr="007A7C51">
        <w:rPr>
          <w:rFonts w:cs="Times New Roman"/>
        </w:rPr>
        <w:fldChar w:fldCharType="end"/>
      </w:r>
      <w:r w:rsidR="00615663">
        <w:rPr>
          <w:rFonts w:cs="Times New Roman"/>
        </w:rPr>
        <w:t xml:space="preserve"> and Holman </w:t>
      </w:r>
      <w:r w:rsidR="00B301D6" w:rsidRPr="00B301D6">
        <w:rPr>
          <w:rFonts w:cs="Times New Roman"/>
          <w:i/>
        </w:rPr>
        <w:t>et al</w:t>
      </w:r>
      <w:r w:rsidR="00615663">
        <w:rPr>
          <w:rFonts w:cs="Times New Roman"/>
        </w:rPr>
        <w:t xml:space="preserve"> (2010)</w:t>
      </w:r>
      <w:r w:rsidRPr="007A7C51">
        <w:rPr>
          <w:rFonts w:cs="Times New Roman"/>
        </w:rPr>
        <w:t>.</w:t>
      </w:r>
      <w:r w:rsidR="00615663">
        <w:rPr>
          <w:rFonts w:cs="Times New Roman"/>
        </w:rPr>
        <w:fldChar w:fldCharType="begin">
          <w:fldData xml:space="preserve">PEVuZE5vdGU+PENpdGU+PEF1dGhvcj5Ib2xtYW48L0F1dGhvcj48WWVhcj4yMDEwPC9ZZWFyPjxS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</w:fldData>
        </w:fldChar>
      </w:r>
      <w:r w:rsidR="0076576E">
        <w:rPr>
          <w:rFonts w:cs="Times New Roman"/>
        </w:rPr>
        <w:instrText xml:space="preserve"> ADDIN EN.CITE </w:instrText>
      </w:r>
      <w:r w:rsidR="0076576E">
        <w:rPr>
          <w:rFonts w:cs="Times New Roman"/>
        </w:rPr>
        <w:fldChar w:fldCharType="begin">
          <w:fldData xml:space="preserve">PEVuZE5vdGU+PENpdGU+PEF1dGhvcj5Ib2xtYW48L0F1dGhvcj48WWVhcj4yMDEwPC9ZZWFyPjxS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615663">
        <w:rPr>
          <w:rFonts w:cs="Times New Roman"/>
        </w:rPr>
      </w:r>
      <w:r w:rsidR="00615663">
        <w:rPr>
          <w:rFonts w:cs="Times New Roman"/>
        </w:rPr>
        <w:fldChar w:fldCharType="separate"/>
      </w:r>
      <w:r w:rsidR="0076576E" w:rsidRPr="0076576E">
        <w:rPr>
          <w:rFonts w:cs="Times New Roman"/>
          <w:noProof/>
          <w:vertAlign w:val="superscript"/>
        </w:rPr>
        <w:t>38</w:t>
      </w:r>
      <w:r w:rsidR="00615663">
        <w:rPr>
          <w:rFonts w:cs="Times New Roman"/>
        </w:rPr>
        <w:fldChar w:fldCharType="end"/>
      </w:r>
      <w:r w:rsidRPr="007A7C51">
        <w:rPr>
          <w:rFonts w:cs="Times New Roman"/>
        </w:rPr>
        <w:t xml:space="preserve"> Similarly, </w:t>
      </w:r>
      <w:r w:rsidR="009D44DC">
        <w:rPr>
          <w:rFonts w:cs="Times New Roman"/>
        </w:rPr>
        <w:t>the</w:t>
      </w:r>
      <w:r w:rsidRPr="007A7C51">
        <w:rPr>
          <w:rFonts w:cs="Times New Roman"/>
        </w:rPr>
        <w:t xml:space="preserve"> estimated incidence of </w:t>
      </w:r>
      <w:r w:rsidR="009D44DC">
        <w:rPr>
          <w:rFonts w:cs="Times New Roman"/>
        </w:rPr>
        <w:t>CJD (</w:t>
      </w:r>
      <w:r w:rsidRPr="007A7C51">
        <w:rPr>
          <w:rFonts w:cs="Times New Roman"/>
        </w:rPr>
        <w:t>0.7 per million</w:t>
      </w:r>
      <w:r w:rsidR="009D44DC">
        <w:rPr>
          <w:rFonts w:cs="Times New Roman"/>
        </w:rPr>
        <w:t>)</w:t>
      </w:r>
      <w:r w:rsidRPr="007A7C51">
        <w:rPr>
          <w:rFonts w:cs="Times New Roman"/>
        </w:rPr>
        <w:t xml:space="preserve"> among Asians and Pacific Islanders in the United States between 2003-2009, was reported as </w:t>
      </w:r>
      <w:r w:rsidR="00BA6AEC">
        <w:rPr>
          <w:rFonts w:cs="Times New Roman"/>
        </w:rPr>
        <w:t xml:space="preserve">being </w:t>
      </w:r>
      <w:r w:rsidRPr="007A7C51">
        <w:rPr>
          <w:rFonts w:cs="Times New Roman"/>
        </w:rPr>
        <w:t xml:space="preserve">significantly lower than that for white people (p &lt; 0.001) by </w:t>
      </w:r>
      <w:r w:rsidR="00615663">
        <w:rPr>
          <w:rFonts w:cs="Times New Roman"/>
        </w:rPr>
        <w:t xml:space="preserve">Maddox </w:t>
      </w:r>
      <w:r w:rsidR="00B301D6" w:rsidRPr="00B301D6">
        <w:rPr>
          <w:rFonts w:cs="Times New Roman"/>
          <w:i/>
        </w:rPr>
        <w:t>et al</w:t>
      </w:r>
      <w:r w:rsidR="00615663">
        <w:rPr>
          <w:rFonts w:cs="Times New Roman"/>
        </w:rPr>
        <w:t xml:space="preserve"> (2013</w:t>
      </w:r>
      <w:r w:rsidRPr="007A7C51">
        <w:rPr>
          <w:rFonts w:cs="Times New Roman"/>
        </w:rPr>
        <w:t>).</w:t>
      </w:r>
      <w:r w:rsidRPr="007A7C51">
        <w:rPr>
          <w:rFonts w:cs="Times New Roman"/>
        </w:rPr>
        <w:fldChar w:fldCharType="begin">
          <w:fldData xml:space="preserve">PEVuZE5vdGU+PENpdGU+PEF1dGhvcj5NYWRkb3g8L0F1dGhvcj48WWVhcj4yMDEzPC9ZZWFyPjxS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</w:fldData>
        </w:fldChar>
      </w:r>
      <w:r w:rsidR="0076576E">
        <w:rPr>
          <w:rFonts w:cs="Times New Roman"/>
        </w:rPr>
        <w:instrText xml:space="preserve"> ADDIN EN.CITE </w:instrText>
      </w:r>
      <w:r w:rsidR="0076576E">
        <w:rPr>
          <w:rFonts w:cs="Times New Roman"/>
        </w:rPr>
        <w:fldChar w:fldCharType="begin">
          <w:fldData xml:space="preserve">PEVuZE5vdGU+PENpdGU+PEF1dGhvcj5NYWRkb3g8L0F1dGhvcj48WWVhcj4yMDEzPC9ZZWFyPjxS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39</w:t>
      </w:r>
      <w:r w:rsidRPr="007A7C51">
        <w:rPr>
          <w:rFonts w:cs="Times New Roman"/>
        </w:rPr>
        <w:fldChar w:fldCharType="end"/>
      </w:r>
    </w:p>
    <w:p w14:paraId="77163189" w14:textId="77777777" w:rsidR="00D96D80" w:rsidRPr="007A7C51" w:rsidRDefault="00D96D80" w:rsidP="00D96D80">
      <w:pPr>
        <w:jc w:val="both"/>
        <w:rPr>
          <w:rFonts w:cs="Times New Roman"/>
        </w:rPr>
      </w:pPr>
    </w:p>
    <w:p w14:paraId="2DEB7B86" w14:textId="2185F851" w:rsidR="001C1038" w:rsidRDefault="001C1038" w:rsidP="00D96D80">
      <w:pPr>
        <w:autoSpaceDE w:val="0"/>
        <w:autoSpaceDN w:val="0"/>
        <w:adjustRightInd w:val="0"/>
        <w:jc w:val="both"/>
        <w:rPr>
          <w:rFonts w:cs="Times New Roman"/>
        </w:rPr>
      </w:pPr>
      <w:r w:rsidRPr="007A7C51">
        <w:rPr>
          <w:rFonts w:cs="Times New Roman"/>
        </w:rPr>
        <w:t xml:space="preserve">Nakatani </w:t>
      </w:r>
      <w:r w:rsidR="00B301D6" w:rsidRPr="00B301D6">
        <w:rPr>
          <w:rFonts w:cs="Times New Roman"/>
          <w:i/>
        </w:rPr>
        <w:t>et al</w:t>
      </w:r>
      <w:r w:rsidRPr="007A7C51">
        <w:rPr>
          <w:rFonts w:cs="Times New Roman"/>
        </w:rPr>
        <w:t xml:space="preserve"> (2015) noted that sCJD appeared to have regional variations in occurrence in Japan, suggesting that the existence of genetic or region-specific factors may affect the incidence of the disease, such as hereditary background or other local factors.</w:t>
      </w:r>
      <w:r w:rsidR="005716A1">
        <w:rPr>
          <w:rFonts w:cs="Times New Roman"/>
        </w:rPr>
        <w:fldChar w:fldCharType="begin">
          <w:fldData xml:space="preserve">PEVuZE5vdGU+PENpdGU+PEF1dGhvcj5OYWthdGFuaTwvQXV0aG9yPjxZZWFyPjIwMTU8L1llYXI+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PEVuZE5vdGU+PENpdGU+PEF1dGhvcj5OYWthdGFuaTwvQXV0aG9yPjxZZWFyPjIwMTU8L1llYXI+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5716A1">
        <w:rPr>
          <w:rFonts w:cs="Times New Roman"/>
        </w:rPr>
      </w:r>
      <w:r w:rsidR="005716A1">
        <w:rPr>
          <w:rFonts w:cs="Times New Roman"/>
        </w:rPr>
        <w:fldChar w:fldCharType="separate"/>
      </w:r>
      <w:r w:rsidR="0076576E" w:rsidRPr="0076576E">
        <w:rPr>
          <w:rFonts w:cs="Times New Roman"/>
          <w:noProof/>
          <w:vertAlign w:val="superscript"/>
        </w:rPr>
        <w:t>40</w:t>
      </w:r>
      <w:r w:rsidR="005716A1">
        <w:rPr>
          <w:rFonts w:cs="Times New Roman"/>
        </w:rPr>
        <w:fldChar w:fldCharType="end"/>
      </w:r>
      <w:r w:rsidRPr="007A7C51">
        <w:rPr>
          <w:rFonts w:cs="Times New Roman"/>
        </w:rPr>
        <w:t xml:space="preserve"> In this study</w:t>
      </w:r>
      <w:r w:rsidR="00BA6AEC">
        <w:rPr>
          <w:rFonts w:cs="Times New Roman"/>
        </w:rPr>
        <w:t>,</w:t>
      </w:r>
      <w:r w:rsidRPr="007A7C51">
        <w:rPr>
          <w:rFonts w:cs="Times New Roman"/>
        </w:rPr>
        <w:t xml:space="preserve"> geographical clusters of sCJD were scattered in the western half of Japan. However, no direct evidence to support theories about the causative factors underlying this trend in occurrence of sCJD are presented and therefore this particular phenomenon remains to be explored. Klug </w:t>
      </w:r>
      <w:r w:rsidR="00B301D6" w:rsidRPr="00B301D6">
        <w:rPr>
          <w:rFonts w:cs="Times New Roman"/>
          <w:i/>
        </w:rPr>
        <w:t>et al</w:t>
      </w:r>
      <w:r w:rsidRPr="007A7C51">
        <w:rPr>
          <w:rFonts w:cs="Times New Roman"/>
        </w:rPr>
        <w:t xml:space="preserve"> (2009) conducted a spatial and epidemiological analysis of sCJD case-clusters in Australia.</w:t>
      </w:r>
      <w:r w:rsidRPr="007A7C51">
        <w:rPr>
          <w:rFonts w:cs="Times New Roman"/>
        </w:rPr>
        <w:fldChar w:fldCharType="begin">
          <w:fldData xml:space="preserve">PEVuZE5vdGU+PENpdGU+PEF1dGhvcj5LbHVnPC9BdXRob3I+PFllYXI+MjAwOTwvWWVhcj48UmVj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PEVuZE5vdGU+PENpdGU+PEF1dGhvcj5LbHVnPC9BdXRob3I+PFllYXI+MjAwOTwvWWVhcj48UmVj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41</w:t>
      </w:r>
      <w:r w:rsidRPr="007A7C51">
        <w:rPr>
          <w:rFonts w:cs="Times New Roman"/>
        </w:rPr>
        <w:fldChar w:fldCharType="end"/>
      </w:r>
      <w:r w:rsidRPr="007A7C51">
        <w:rPr>
          <w:rFonts w:cs="Times New Roman"/>
        </w:rPr>
        <w:t xml:space="preserve"> The</w:t>
      </w:r>
      <w:r w:rsidR="00E0405B">
        <w:rPr>
          <w:rFonts w:cs="Times New Roman"/>
        </w:rPr>
        <w:t xml:space="preserve"> authors</w:t>
      </w:r>
      <w:r w:rsidRPr="007A7C51">
        <w:rPr>
          <w:rFonts w:cs="Times New Roman"/>
        </w:rPr>
        <w:t xml:space="preserve"> conclude</w:t>
      </w:r>
      <w:r w:rsidR="007A73FD" w:rsidRPr="007A7C51">
        <w:rPr>
          <w:rFonts w:cs="Times New Roman"/>
        </w:rPr>
        <w:t>d</w:t>
      </w:r>
      <w:r w:rsidRPr="007A7C51">
        <w:rPr>
          <w:rFonts w:cs="Times New Roman"/>
        </w:rPr>
        <w:t xml:space="preserve"> that the observed increase of sCJD cases in a geographic area is likely to be related to better awareness of the disease by local neurologists rather than to an increase in risk factors.</w:t>
      </w:r>
    </w:p>
    <w:p w14:paraId="29773FEB" w14:textId="77777777" w:rsidR="00D96D80" w:rsidRPr="007A7C51" w:rsidRDefault="00D96D80" w:rsidP="00D96D80">
      <w:pPr>
        <w:autoSpaceDE w:val="0"/>
        <w:autoSpaceDN w:val="0"/>
        <w:adjustRightInd w:val="0"/>
        <w:jc w:val="both"/>
        <w:rPr>
          <w:rFonts w:cs="Times New Roman"/>
        </w:rPr>
      </w:pPr>
    </w:p>
    <w:p w14:paraId="3DEE9CD8" w14:textId="666474F3" w:rsidR="001C1038" w:rsidRPr="007A7C51" w:rsidRDefault="001C1038" w:rsidP="00D96D80">
      <w:pPr>
        <w:autoSpaceDE w:val="0"/>
        <w:autoSpaceDN w:val="0"/>
        <w:adjustRightInd w:val="0"/>
        <w:jc w:val="both"/>
        <w:rPr>
          <w:rFonts w:cs="Times New Roman"/>
        </w:rPr>
      </w:pPr>
      <w:r w:rsidRPr="007A7C51">
        <w:rPr>
          <w:rFonts w:cs="Times New Roman"/>
        </w:rPr>
        <w:t>Genetic forms of CJD are most often associated with a mutation at codon 200.</w:t>
      </w:r>
      <w:r w:rsidRPr="007A7C51">
        <w:rPr>
          <w:rFonts w:cs="Times New Roman"/>
        </w:rPr>
        <w:fldChar w:fldCharType="begin">
          <w:fldData xml:space="preserve">PEVuZE5vdGU+PENpdGU+PEF1dGhvcj5CcmFuZGVsPC9BdXRob3I+PFllYXI+MjAxMzwvWWVhcj48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PEVuZE5vdGU+PENpdGU+PEF1dGhvcj5CcmFuZGVsPC9BdXRob3I+PFllYXI+MjAxMzwvWWVhcj48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42</w:t>
      </w:r>
      <w:r w:rsidRPr="007A7C51">
        <w:rPr>
          <w:rFonts w:cs="Times New Roman"/>
        </w:rPr>
        <w:fldChar w:fldCharType="end"/>
      </w:r>
      <w:r w:rsidRPr="007A7C51">
        <w:rPr>
          <w:rFonts w:cs="Times New Roman"/>
        </w:rPr>
        <w:t xml:space="preserve"> Mitrova </w:t>
      </w:r>
      <w:r w:rsidR="00B301D6" w:rsidRPr="00B301D6">
        <w:rPr>
          <w:rFonts w:cs="Times New Roman"/>
          <w:i/>
        </w:rPr>
        <w:t>et al</w:t>
      </w:r>
      <w:r w:rsidRPr="007A7C51">
        <w:rPr>
          <w:rFonts w:cs="Times New Roman"/>
        </w:rPr>
        <w:t xml:space="preserve"> (2014) </w:t>
      </w:r>
      <w:r w:rsidR="00E0405B">
        <w:rPr>
          <w:rFonts w:cs="Times New Roman"/>
        </w:rPr>
        <w:t xml:space="preserve">report that whilst </w:t>
      </w:r>
      <w:r w:rsidRPr="007A7C51">
        <w:rPr>
          <w:rFonts w:cs="Times New Roman"/>
        </w:rPr>
        <w:t>gCJD represents about 10-15 % of all CJD patients in the majority of countries, in Slovakia</w:t>
      </w:r>
      <w:r w:rsidR="00725CD9">
        <w:rPr>
          <w:rFonts w:cs="Times New Roman"/>
        </w:rPr>
        <w:t>,</w:t>
      </w:r>
      <w:r w:rsidRPr="007A7C51">
        <w:rPr>
          <w:rFonts w:cs="Times New Roman"/>
        </w:rPr>
        <w:t xml:space="preserve"> the rate of gCJD has been above 65% since 1975 due to an accumulation of gCJD incidence in </w:t>
      </w:r>
      <w:r w:rsidR="007A73FD" w:rsidRPr="007A7C51">
        <w:rPr>
          <w:rFonts w:cs="Times New Roman"/>
        </w:rPr>
        <w:t xml:space="preserve">two </w:t>
      </w:r>
      <w:r w:rsidRPr="007A7C51">
        <w:rPr>
          <w:rFonts w:cs="Times New Roman"/>
        </w:rPr>
        <w:t>clusters in central Slovakia.</w:t>
      </w:r>
      <w:r w:rsidRPr="007A7C51">
        <w:rPr>
          <w:rFonts w:cs="Times New Roman"/>
        </w:rPr>
        <w:fldChar w:fldCharType="begin">
          <w:fldData xml:space="preserve">PEVuZE5vdGU+PENpdGU+PEF1dGhvcj5NaXRyb3ZhPC9BdXRob3I+PFllYXI+MjAxNDwvWWVhcj48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PEVuZE5vdGU+PENpdGU+PEF1dGhvcj5NaXRyb3ZhPC9BdXRob3I+PFllYXI+MjAxNDwvWWVhcj48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43</w:t>
      </w:r>
      <w:r w:rsidRPr="007A7C51">
        <w:rPr>
          <w:rFonts w:cs="Times New Roman"/>
        </w:rPr>
        <w:fldChar w:fldCharType="end"/>
      </w:r>
      <w:r w:rsidRPr="007A7C51">
        <w:rPr>
          <w:rFonts w:cs="Times New Roman"/>
        </w:rPr>
        <w:t xml:space="preserve"> The authors state that all but one of the 202 patients who had gCJD in Slovakia carried the mutation form E200K and highlight that asymptomatic carriers of this gene could contribute to iatrogenic transmission of CJD. A voluntary genetic testing study conducted by the authors showed positivity for the E200K mutation in 9 out of 2662 subjects who were unrelated to the gCJD cases both inside and outside of the focal cluster. This finding indicates an unusual phenomenon of increased prevalence of the E200K mutation linked to gCJD linked in the Slovak region.</w:t>
      </w:r>
      <w:r w:rsidR="00C030C2" w:rsidRPr="007A7C51">
        <w:rPr>
          <w:rFonts w:cs="Times New Roman"/>
        </w:rPr>
        <w:t xml:space="preserve"> A study by Ladogana </w:t>
      </w:r>
      <w:r w:rsidR="00B301D6" w:rsidRPr="00B301D6">
        <w:rPr>
          <w:rFonts w:cs="Times New Roman"/>
          <w:i/>
        </w:rPr>
        <w:t>et al</w:t>
      </w:r>
      <w:r w:rsidR="00C030C2" w:rsidRPr="007A7C51">
        <w:rPr>
          <w:rFonts w:cs="Times New Roman"/>
        </w:rPr>
        <w:t xml:space="preserve"> (2005) reported similar prevalence of sCJD across the UK, France, Germany, Italy, the Netherlands, and Slovakia, but </w:t>
      </w:r>
      <w:r w:rsidR="00E0405B">
        <w:rPr>
          <w:rFonts w:cs="Times New Roman"/>
        </w:rPr>
        <w:t xml:space="preserve">also reported </w:t>
      </w:r>
      <w:r w:rsidR="00C030C2" w:rsidRPr="007A7C51">
        <w:rPr>
          <w:rFonts w:cs="Times New Roman"/>
        </w:rPr>
        <w:t>an excess of genetic cases in Italy and Slovakia.</w:t>
      </w:r>
      <w:r w:rsidR="00DB67C1" w:rsidRPr="007A7C51">
        <w:rPr>
          <w:rFonts w:cs="Times New Roman"/>
        </w:rPr>
        <w:fldChar w:fldCharType="begin">
          <w:fldData xml:space="preserve">PEVuZE5vdGU+PENpdGU+PEF1dGhvcj5MYWRvZ2FuYTwvQXV0aG9yPjxZZWFyPjIwMDU8L1llYXI+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PEVuZE5vdGU+PENpdGU+PEF1dGhvcj5MYWRvZ2FuYTwvQXV0aG9yPjxZZWFyPjIwMDU8L1llYXI+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DB67C1" w:rsidRPr="007A7C51">
        <w:rPr>
          <w:rFonts w:cs="Times New Roman"/>
        </w:rPr>
      </w:r>
      <w:r w:rsidR="00DB67C1" w:rsidRPr="007A7C51">
        <w:rPr>
          <w:rFonts w:cs="Times New Roman"/>
        </w:rPr>
        <w:fldChar w:fldCharType="separate"/>
      </w:r>
      <w:r w:rsidR="0076576E" w:rsidRPr="0076576E">
        <w:rPr>
          <w:rFonts w:cs="Times New Roman"/>
          <w:noProof/>
          <w:vertAlign w:val="superscript"/>
        </w:rPr>
        <w:t>44</w:t>
      </w:r>
      <w:r w:rsidR="00DB67C1" w:rsidRPr="007A7C51">
        <w:rPr>
          <w:rFonts w:cs="Times New Roman"/>
        </w:rPr>
        <w:fldChar w:fldCharType="end"/>
      </w:r>
    </w:p>
    <w:p w14:paraId="207832E3" w14:textId="5399E614" w:rsidR="00333BE7" w:rsidRDefault="00333BE7" w:rsidP="00D96D80">
      <w:pPr>
        <w:autoSpaceDE w:val="0"/>
        <w:autoSpaceDN w:val="0"/>
        <w:adjustRightInd w:val="0"/>
        <w:jc w:val="both"/>
        <w:rPr>
          <w:rFonts w:cs="Times New Roman"/>
          <w:sz w:val="24"/>
          <w:szCs w:val="24"/>
        </w:rPr>
      </w:pPr>
    </w:p>
    <w:p w14:paraId="25F450C2" w14:textId="3F5D3196" w:rsidR="00A70EE7" w:rsidRPr="006A1AA7" w:rsidRDefault="00EC1BE3" w:rsidP="00D96D80">
      <w:pPr>
        <w:pStyle w:val="Heading4"/>
        <w:spacing w:before="0"/>
        <w:rPr>
          <w:sz w:val="22"/>
        </w:rPr>
      </w:pPr>
      <w:r w:rsidRPr="006A1AA7">
        <w:rPr>
          <w:sz w:val="22"/>
        </w:rPr>
        <w:t>D</w:t>
      </w:r>
      <w:r w:rsidR="00AA60AD" w:rsidRPr="006A1AA7">
        <w:rPr>
          <w:sz w:val="22"/>
        </w:rPr>
        <w:t>iagnosis</w:t>
      </w:r>
      <w:r w:rsidR="00A70EE7" w:rsidRPr="006A1AA7">
        <w:rPr>
          <w:sz w:val="22"/>
        </w:rPr>
        <w:t xml:space="preserve"> of CJD</w:t>
      </w:r>
    </w:p>
    <w:p w14:paraId="72EFBB73" w14:textId="6024391A" w:rsidR="00AA60AD" w:rsidRPr="007A7C51" w:rsidRDefault="00EC1BE3" w:rsidP="00D96D80">
      <w:pPr>
        <w:jc w:val="both"/>
        <w:rPr>
          <w:rFonts w:cs="Times New Roman"/>
        </w:rPr>
      </w:pPr>
      <w:r w:rsidRPr="007A7C51">
        <w:rPr>
          <w:rFonts w:cs="Times New Roman"/>
        </w:rPr>
        <w:t>G</w:t>
      </w:r>
      <w:r w:rsidR="00AC3E06" w:rsidRPr="007A7C51">
        <w:rPr>
          <w:rFonts w:cs="Times New Roman"/>
        </w:rPr>
        <w:t>lobal differences in the culture of pursuing autopsy to confir</w:t>
      </w:r>
      <w:r w:rsidR="007F4C26" w:rsidRPr="007A7C51">
        <w:rPr>
          <w:rFonts w:cs="Times New Roman"/>
        </w:rPr>
        <w:t xml:space="preserve">m </w:t>
      </w:r>
      <w:r w:rsidR="00AC3E06" w:rsidRPr="007A7C51">
        <w:rPr>
          <w:rFonts w:cs="Times New Roman"/>
        </w:rPr>
        <w:t>CJD</w:t>
      </w:r>
      <w:r w:rsidRPr="007A7C51">
        <w:rPr>
          <w:rFonts w:cs="Times New Roman"/>
        </w:rPr>
        <w:t xml:space="preserve"> diagnosis and</w:t>
      </w:r>
      <w:r w:rsidR="00AC3E06" w:rsidRPr="007A7C51">
        <w:rPr>
          <w:rFonts w:cs="Times New Roman"/>
        </w:rPr>
        <w:t xml:space="preserve"> subtype</w:t>
      </w:r>
      <w:r w:rsidRPr="007A7C51">
        <w:rPr>
          <w:rFonts w:cs="Times New Roman"/>
        </w:rPr>
        <w:t xml:space="preserve"> are likely to exist depending on national CJD surveillance protocols</w:t>
      </w:r>
      <w:r w:rsidR="00AC3E06" w:rsidRPr="007A7C51">
        <w:rPr>
          <w:rFonts w:cs="Times New Roman"/>
        </w:rPr>
        <w:t xml:space="preserve">. For example, </w:t>
      </w:r>
      <w:r w:rsidR="00AC3967" w:rsidRPr="007A7C51">
        <w:rPr>
          <w:rFonts w:cs="Times New Roman"/>
        </w:rPr>
        <w:t xml:space="preserve">Tuskan-Mohar </w:t>
      </w:r>
      <w:r w:rsidR="00B301D6" w:rsidRPr="00B301D6">
        <w:rPr>
          <w:rFonts w:cs="Times New Roman"/>
          <w:i/>
        </w:rPr>
        <w:t>et al</w:t>
      </w:r>
      <w:r w:rsidR="00AC3967" w:rsidRPr="007A7C51">
        <w:rPr>
          <w:rFonts w:cs="Times New Roman"/>
        </w:rPr>
        <w:t xml:space="preserve"> (2012) report that post-mortem examination w</w:t>
      </w:r>
      <w:r w:rsidR="005E286B" w:rsidRPr="007A7C51">
        <w:rPr>
          <w:rFonts w:cs="Times New Roman"/>
        </w:rPr>
        <w:t>as not performed in any of the five</w:t>
      </w:r>
      <w:r w:rsidR="00AC3967" w:rsidRPr="007A7C51">
        <w:rPr>
          <w:rFonts w:cs="Times New Roman"/>
        </w:rPr>
        <w:t xml:space="preserve"> cases of CJD occurring in Croatia between 2001 and 2011 due to patient </w:t>
      </w:r>
      <w:r w:rsidR="00396D86" w:rsidRPr="007A7C51">
        <w:rPr>
          <w:rFonts w:cs="Times New Roman"/>
        </w:rPr>
        <w:t>families’</w:t>
      </w:r>
      <w:r w:rsidR="00AC3967" w:rsidRPr="007A7C51">
        <w:rPr>
          <w:rFonts w:cs="Times New Roman"/>
        </w:rPr>
        <w:t xml:space="preserve"> refusal of the procedure.</w:t>
      </w:r>
      <w:r w:rsidR="00FC6175" w:rsidRPr="007A7C51">
        <w:rPr>
          <w:rFonts w:cs="Times New Roman"/>
        </w:rPr>
        <w:fldChar w:fldCharType="begin">
          <w:fldData xml:space="preserve">PEVuZE5vdGU+PENpdGU+PEF1dGhvcj5UdXNrYW4tTW9oYXI8L0F1dGhvcj48WWVhcj4yMDEyPC9Z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</w:fldData>
        </w:fldChar>
      </w:r>
      <w:r w:rsidR="0076576E">
        <w:rPr>
          <w:rFonts w:cs="Times New Roman"/>
        </w:rPr>
        <w:instrText xml:space="preserve"> ADDIN EN.CITE </w:instrText>
      </w:r>
      <w:r w:rsidR="0076576E">
        <w:rPr>
          <w:rFonts w:cs="Times New Roman"/>
        </w:rPr>
        <w:fldChar w:fldCharType="begin">
          <w:fldData xml:space="preserve">PEVuZE5vdGU+PENpdGU+PEF1dGhvcj5UdXNrYW4tTW9oYXI8L0F1dGhvcj48WWVhcj4yMDEyPC9Z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FC6175" w:rsidRPr="007A7C51">
        <w:rPr>
          <w:rFonts w:cs="Times New Roman"/>
        </w:rPr>
      </w:r>
      <w:r w:rsidR="00FC6175" w:rsidRPr="007A7C51">
        <w:rPr>
          <w:rFonts w:cs="Times New Roman"/>
        </w:rPr>
        <w:fldChar w:fldCharType="separate"/>
      </w:r>
      <w:r w:rsidR="0076576E" w:rsidRPr="0076576E">
        <w:rPr>
          <w:rFonts w:cs="Times New Roman"/>
          <w:noProof/>
          <w:vertAlign w:val="superscript"/>
        </w:rPr>
        <w:t>45</w:t>
      </w:r>
      <w:r w:rsidR="00FC6175" w:rsidRPr="007A7C51">
        <w:rPr>
          <w:rFonts w:cs="Times New Roman"/>
        </w:rPr>
        <w:fldChar w:fldCharType="end"/>
      </w:r>
      <w:r w:rsidR="008569F7" w:rsidRPr="007A7C51">
        <w:rPr>
          <w:rFonts w:cs="Times New Roman"/>
        </w:rPr>
        <w:t xml:space="preserve"> </w:t>
      </w:r>
      <w:r w:rsidR="00A70EE7" w:rsidRPr="007A7C51">
        <w:rPr>
          <w:rFonts w:cs="Times New Roman"/>
        </w:rPr>
        <w:t xml:space="preserve">More generally, Kosier </w:t>
      </w:r>
      <w:r w:rsidR="00B301D6" w:rsidRPr="00B301D6">
        <w:rPr>
          <w:rFonts w:cs="Times New Roman"/>
          <w:i/>
        </w:rPr>
        <w:t>et al</w:t>
      </w:r>
      <w:r w:rsidR="00A70EE7" w:rsidRPr="007A7C51">
        <w:rPr>
          <w:rFonts w:cs="Times New Roman"/>
        </w:rPr>
        <w:t xml:space="preserve"> (2017) state anecdotally </w:t>
      </w:r>
      <w:r w:rsidR="00271AD2" w:rsidRPr="007A7C51">
        <w:rPr>
          <w:rFonts w:cs="Times New Roman"/>
        </w:rPr>
        <w:t>in</w:t>
      </w:r>
      <w:r w:rsidR="00A70EE7" w:rsidRPr="007A7C51">
        <w:rPr>
          <w:rFonts w:cs="Times New Roman"/>
        </w:rPr>
        <w:t xml:space="preserve"> a </w:t>
      </w:r>
      <w:r w:rsidR="003B1766" w:rsidRPr="007A7C51">
        <w:rPr>
          <w:rFonts w:cs="Times New Roman"/>
        </w:rPr>
        <w:t xml:space="preserve">US </w:t>
      </w:r>
      <w:r w:rsidR="00A70EE7" w:rsidRPr="007A7C51">
        <w:rPr>
          <w:rFonts w:cs="Times New Roman"/>
        </w:rPr>
        <w:t>case report</w:t>
      </w:r>
      <w:r w:rsidR="003B1766" w:rsidRPr="007A7C51">
        <w:rPr>
          <w:rFonts w:cs="Times New Roman"/>
        </w:rPr>
        <w:t xml:space="preserve"> </w:t>
      </w:r>
      <w:r w:rsidR="00A70EE7" w:rsidRPr="007A7C51">
        <w:rPr>
          <w:rFonts w:cs="Times New Roman"/>
        </w:rPr>
        <w:t xml:space="preserve">that diagnosis </w:t>
      </w:r>
      <w:r w:rsidR="006A1AA7">
        <w:rPr>
          <w:rFonts w:cs="Times New Roman"/>
        </w:rPr>
        <w:t>of</w:t>
      </w:r>
      <w:r w:rsidR="00A70EE7" w:rsidRPr="007A7C51">
        <w:rPr>
          <w:rFonts w:cs="Times New Roman"/>
        </w:rPr>
        <w:t xml:space="preserve"> CJD is often delayed due to clinician bias toward more obvious possible medical or psychiatric causes.</w:t>
      </w:r>
      <w:r w:rsidR="00A6456F" w:rsidRPr="007A7C51">
        <w:rPr>
          <w:rFonts w:cs="Times New Roman"/>
        </w:rPr>
        <w:fldChar w:fldCharType="begin">
          <w:fldData xml:space="preserve">PEVuZE5vdGU+PENpdGU+PEF1dGhvcj5Lb3NpZXI8L0F1dGhvcj48WWVhcj4yMDE3PC9ZZWFyPjxS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=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PEVuZE5vdGU+PENpdGU+PEF1dGhvcj5Lb3NpZXI8L0F1dGhvcj48WWVhcj4yMDE3PC9ZZWFyPjxS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=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A6456F" w:rsidRPr="007A7C51">
        <w:rPr>
          <w:rFonts w:cs="Times New Roman"/>
        </w:rPr>
      </w:r>
      <w:r w:rsidR="00A6456F" w:rsidRPr="007A7C51">
        <w:rPr>
          <w:rFonts w:cs="Times New Roman"/>
        </w:rPr>
        <w:fldChar w:fldCharType="separate"/>
      </w:r>
      <w:r w:rsidR="0076576E" w:rsidRPr="0076576E">
        <w:rPr>
          <w:rFonts w:cs="Times New Roman"/>
          <w:noProof/>
          <w:vertAlign w:val="superscript"/>
        </w:rPr>
        <w:t>46</w:t>
      </w:r>
      <w:r w:rsidR="00A6456F" w:rsidRPr="007A7C51">
        <w:rPr>
          <w:rFonts w:cs="Times New Roman"/>
        </w:rPr>
        <w:fldChar w:fldCharType="end"/>
      </w:r>
      <w:r w:rsidR="00A70EE7" w:rsidRPr="007A7C51">
        <w:rPr>
          <w:rFonts w:cs="Times New Roman"/>
        </w:rPr>
        <w:t xml:space="preserve"> </w:t>
      </w:r>
      <w:r w:rsidR="003B1766" w:rsidRPr="007A7C51">
        <w:rPr>
          <w:rFonts w:cs="Times New Roman"/>
        </w:rPr>
        <w:t>Li</w:t>
      </w:r>
      <w:r w:rsidR="004F5261">
        <w:rPr>
          <w:rFonts w:cs="Times New Roman"/>
        </w:rPr>
        <w:t>t</w:t>
      </w:r>
      <w:r w:rsidR="003B1766" w:rsidRPr="007A7C51">
        <w:rPr>
          <w:rFonts w:cs="Times New Roman"/>
        </w:rPr>
        <w:t xml:space="preserve">zroth </w:t>
      </w:r>
      <w:r w:rsidR="00B301D6" w:rsidRPr="00B301D6">
        <w:rPr>
          <w:rFonts w:cs="Times New Roman"/>
          <w:i/>
        </w:rPr>
        <w:t>et al</w:t>
      </w:r>
      <w:r w:rsidR="003B1766" w:rsidRPr="007A7C51">
        <w:rPr>
          <w:rFonts w:cs="Times New Roman"/>
        </w:rPr>
        <w:t xml:space="preserve"> (2015) highlight that </w:t>
      </w:r>
      <w:r w:rsidR="00E0405B" w:rsidRPr="007A7C51">
        <w:rPr>
          <w:rFonts w:cs="Times New Roman"/>
        </w:rPr>
        <w:t>in Belgium</w:t>
      </w:r>
      <w:r w:rsidR="00725CD9">
        <w:rPr>
          <w:rFonts w:cs="Times New Roman"/>
        </w:rPr>
        <w:t>,</w:t>
      </w:r>
      <w:r w:rsidR="00E0405B" w:rsidRPr="007A7C51">
        <w:rPr>
          <w:rFonts w:cs="Times New Roman"/>
        </w:rPr>
        <w:t xml:space="preserve"> </w:t>
      </w:r>
      <w:r w:rsidR="003B1766" w:rsidRPr="007A7C51">
        <w:rPr>
          <w:rFonts w:cs="Times New Roman"/>
        </w:rPr>
        <w:t>between 1998 to 2012, on average 60% of hospitalised patients who died with suspected CJD were captured by the surveillance system.</w:t>
      </w:r>
      <w:r w:rsidR="004F5261">
        <w:rPr>
          <w:rFonts w:cs="Times New Roman"/>
        </w:rPr>
        <w:fldChar w:fldCharType="begin"/>
      </w:r>
      <w:r w:rsidR="0076576E">
        <w:rPr>
          <w:rFonts w:cs="Times New Roman"/>
        </w:rPr>
        <w:instrText xml:space="preserve"> ADDIN EN.CITE &lt;EndNote&gt;&lt;Cite&gt;&lt;Author&gt;Litzroth&lt;/Author&gt;&lt;Year&gt;2015&lt;/Year&gt;&lt;RecNum&gt;10245&lt;/RecNum&gt;&lt;DisplayText&gt;&lt;style face="superscript"&gt;47&lt;/style&gt;&lt;/DisplayText&gt;&lt;record&gt;&lt;rec-number&gt;10245&lt;/rec-number&gt;&lt;foreign-keys&gt;&lt;key app="EN" db-id="vrp0pptazv05wtesfz5vrzsj2p0rv09ttsa9" timestamp="1516619123" guid="eb4e9875-0fe9-4853-af9e-318a3f89b236"&gt;10245&lt;/key&gt;&lt;/foreign-keys&gt;&lt;ref-type name="Journal Article"&gt;17&lt;/ref-type&gt;&lt;contributors&gt;&lt;authors&gt;&lt;author&gt;Litzroth, Amber&lt;/author&gt;&lt;author&gt;Cras, Patrick&lt;/author&gt;&lt;author&gt;De Vil, Bart&lt;/author&gt;&lt;author&gt;Quoilin, Sophie&lt;/author&gt;&lt;/authors&gt;&lt;/contributors&gt;&lt;titles&gt;&lt;title&gt;Overview and evaluation of 15 years of Creutzfeldt-Jakob disease surveillance in Belgium, 1998-2012&lt;/title&gt;&lt;secondary-title&gt;BMC neurology&lt;/secondary-title&gt;&lt;/titles&gt;&lt;periodical&gt;&lt;full-title&gt;Bmc Neurology&lt;/full-title&gt;&lt;/periodical&gt;&lt;pages&gt;250&lt;/pages&gt;&lt;volume&gt;15&lt;/volume&gt;&lt;number&gt;1&lt;/number&gt;&lt;keywords&gt;&lt;keyword&gt;$$LU_1_prevalence CJD&lt;/keyword&gt;&lt;keyword&gt;$$Lesley google&lt;/keyword&gt;&lt;keyword&gt;$$CJD relevant&lt;/keyword&gt;&lt;/keywords&gt;&lt;dates&gt;&lt;year&gt;2015&lt;/year&gt;&lt;/dates&gt;&lt;isbn&gt;1471-2377&lt;/isbn&gt;&lt;urls&gt;&lt;/urls&gt;&lt;/record&gt;&lt;/Cite&gt;&lt;/EndNote&gt;</w:instrText>
      </w:r>
      <w:r w:rsidR="004F5261">
        <w:rPr>
          <w:rFonts w:cs="Times New Roman"/>
        </w:rPr>
        <w:fldChar w:fldCharType="separate"/>
      </w:r>
      <w:r w:rsidR="0076576E" w:rsidRPr="0076576E">
        <w:rPr>
          <w:rFonts w:cs="Times New Roman"/>
          <w:noProof/>
          <w:vertAlign w:val="superscript"/>
        </w:rPr>
        <w:t>47</w:t>
      </w:r>
      <w:r w:rsidR="004F5261">
        <w:rPr>
          <w:rFonts w:cs="Times New Roman"/>
        </w:rPr>
        <w:fldChar w:fldCharType="end"/>
      </w:r>
      <w:r w:rsidR="003B1766" w:rsidRPr="007A7C51">
        <w:rPr>
          <w:rFonts w:cs="Times New Roman"/>
        </w:rPr>
        <w:t xml:space="preserve"> The authors also report that 11% of surveyed neurologists would not refer suspect vCJD cases for autopsy, nor contact a reference centre for diagnostic support and that 61% of surveyed neurologists were not familiar with the surveillance system. </w:t>
      </w:r>
    </w:p>
    <w:p w14:paraId="323E70AC" w14:textId="77777777" w:rsidR="00AA60AD" w:rsidRPr="007A7C51" w:rsidRDefault="00AA60AD" w:rsidP="00D96D80">
      <w:pPr>
        <w:jc w:val="both"/>
        <w:rPr>
          <w:rFonts w:cs="Times New Roman"/>
        </w:rPr>
      </w:pPr>
    </w:p>
    <w:p w14:paraId="4F5814AB" w14:textId="16BFC849" w:rsidR="00AA60AD" w:rsidRDefault="00954A9C" w:rsidP="00D96D80">
      <w:pPr>
        <w:jc w:val="both"/>
        <w:rPr>
          <w:rFonts w:cs="Times New Roman"/>
        </w:rPr>
      </w:pPr>
      <w:r w:rsidRPr="007A7C51">
        <w:rPr>
          <w:rFonts w:cs="Times New Roman"/>
        </w:rPr>
        <w:t xml:space="preserve">Two studies from Ireland describe a </w:t>
      </w:r>
      <w:r w:rsidR="000A57E2" w:rsidRPr="007A7C51">
        <w:rPr>
          <w:rFonts w:cs="Times New Roman"/>
        </w:rPr>
        <w:t>relatively</w:t>
      </w:r>
      <w:r w:rsidRPr="007A7C51">
        <w:rPr>
          <w:rFonts w:cs="Times New Roman"/>
        </w:rPr>
        <w:t xml:space="preserve"> sensitive surveillance system </w:t>
      </w:r>
      <w:r w:rsidR="000A57E2" w:rsidRPr="007A7C51">
        <w:rPr>
          <w:rFonts w:cs="Times New Roman"/>
        </w:rPr>
        <w:t>for</w:t>
      </w:r>
      <w:r w:rsidRPr="007A7C51">
        <w:rPr>
          <w:rFonts w:cs="Times New Roman"/>
        </w:rPr>
        <w:t xml:space="preserve"> CJD detection but less accuracy in obtaining a final confirmatory CJD diagnosis</w:t>
      </w:r>
      <w:r w:rsidR="00E0405B">
        <w:rPr>
          <w:rFonts w:cs="Times New Roman"/>
        </w:rPr>
        <w:t>. One</w:t>
      </w:r>
      <w:r w:rsidR="00A70EE7" w:rsidRPr="007A7C51">
        <w:rPr>
          <w:rFonts w:cs="Times New Roman"/>
        </w:rPr>
        <w:t xml:space="preserve"> study found from a review of 21 referrals to the National CJD Centre</w:t>
      </w:r>
      <w:r w:rsidR="00E0405B">
        <w:rPr>
          <w:rFonts w:cs="Times New Roman"/>
        </w:rPr>
        <w:t xml:space="preserve"> in Ireland</w:t>
      </w:r>
      <w:r w:rsidR="00A70EE7" w:rsidRPr="007A7C51">
        <w:rPr>
          <w:rFonts w:cs="Times New Roman"/>
        </w:rPr>
        <w:t>, that only five were positive for CJD, with 12 being referred as part of their diffe</w:t>
      </w:r>
      <w:r w:rsidR="00864898" w:rsidRPr="007A7C51">
        <w:rPr>
          <w:rFonts w:cs="Times New Roman"/>
        </w:rPr>
        <w:t xml:space="preserve">rential diagnosis. The authors, </w:t>
      </w:r>
      <w:r w:rsidR="00A70EE7" w:rsidRPr="007A7C51">
        <w:rPr>
          <w:rFonts w:cs="Times New Roman"/>
        </w:rPr>
        <w:t xml:space="preserve">Brett </w:t>
      </w:r>
      <w:r w:rsidR="00B301D6" w:rsidRPr="00B301D6">
        <w:rPr>
          <w:rFonts w:cs="Times New Roman"/>
          <w:i/>
        </w:rPr>
        <w:t>et al</w:t>
      </w:r>
      <w:r w:rsidR="00A70EE7" w:rsidRPr="007A7C51">
        <w:rPr>
          <w:rFonts w:cs="Times New Roman"/>
        </w:rPr>
        <w:t xml:space="preserve"> </w:t>
      </w:r>
      <w:r w:rsidR="000A57E2" w:rsidRPr="007A7C51">
        <w:rPr>
          <w:rFonts w:cs="Times New Roman"/>
        </w:rPr>
        <w:t>(</w:t>
      </w:r>
      <w:r w:rsidR="00A70EE7" w:rsidRPr="007A7C51">
        <w:rPr>
          <w:rFonts w:cs="Times New Roman"/>
        </w:rPr>
        <w:t>2017)</w:t>
      </w:r>
      <w:r w:rsidR="0058755C">
        <w:rPr>
          <w:rFonts w:cs="Times New Roman"/>
        </w:rPr>
        <w:t>,</w:t>
      </w:r>
      <w:r w:rsidR="00A6456F" w:rsidRPr="007A7C51">
        <w:rPr>
          <w:rFonts w:cs="Times New Roman"/>
        </w:rPr>
        <w:fldChar w:fldCharType="begin">
          <w:fldData xml:space="preserve">PEVuZE5vdGU+PENpdGU+PEF1dGhvcj5CcmV0dDwvQXV0aG9yPjxZZWFyPjIwMTc8L1llYXI+PFJl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</w:fldData>
        </w:fldChar>
      </w:r>
      <w:r w:rsidR="0076576E">
        <w:rPr>
          <w:rFonts w:cs="Times New Roman"/>
        </w:rPr>
        <w:instrText xml:space="preserve"> ADDIN EN.CITE </w:instrText>
      </w:r>
      <w:r w:rsidR="0076576E">
        <w:rPr>
          <w:rFonts w:cs="Times New Roman"/>
        </w:rPr>
        <w:fldChar w:fldCharType="begin">
          <w:fldData xml:space="preserve">PEVuZE5vdGU+PENpdGU+PEF1dGhvcj5CcmV0dDwvQXV0aG9yPjxZZWFyPjIwMTc8L1llYXI+PFJl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A6456F" w:rsidRPr="007A7C51">
        <w:rPr>
          <w:rFonts w:cs="Times New Roman"/>
        </w:rPr>
      </w:r>
      <w:r w:rsidR="00A6456F" w:rsidRPr="007A7C51">
        <w:rPr>
          <w:rFonts w:cs="Times New Roman"/>
        </w:rPr>
        <w:fldChar w:fldCharType="separate"/>
      </w:r>
      <w:r w:rsidR="0076576E" w:rsidRPr="0076576E">
        <w:rPr>
          <w:rFonts w:cs="Times New Roman"/>
          <w:noProof/>
          <w:vertAlign w:val="superscript"/>
        </w:rPr>
        <w:t>48</w:t>
      </w:r>
      <w:r w:rsidR="00A6456F" w:rsidRPr="007A7C51">
        <w:rPr>
          <w:rFonts w:cs="Times New Roman"/>
        </w:rPr>
        <w:fldChar w:fldCharType="end"/>
      </w:r>
      <w:r w:rsidR="00A70EE7" w:rsidRPr="007A7C51">
        <w:rPr>
          <w:rFonts w:cs="Times New Roman"/>
        </w:rPr>
        <w:t xml:space="preserve"> </w:t>
      </w:r>
      <w:r w:rsidR="00864898" w:rsidRPr="007A7C51">
        <w:rPr>
          <w:rFonts w:cs="Times New Roman"/>
        </w:rPr>
        <w:t>caution</w:t>
      </w:r>
      <w:r w:rsidR="00A70EE7" w:rsidRPr="007A7C51">
        <w:rPr>
          <w:rFonts w:cs="Times New Roman"/>
        </w:rPr>
        <w:t xml:space="preserve"> that more often than not, the clinical suspicion of CJD was not borne out by the final neuropathological diagnosis and that failure by clinicians to adhere to the recommended CJD investigation algorithm impacts adversely on the neuropathology workload and causes unnecessary concern among operating theatre, laboratory and nursing personnel. </w:t>
      </w:r>
      <w:r w:rsidR="00AA60AD" w:rsidRPr="007A7C51">
        <w:rPr>
          <w:rFonts w:cs="Times New Roman"/>
        </w:rPr>
        <w:t xml:space="preserve">Loftus </w:t>
      </w:r>
      <w:r w:rsidR="00B301D6" w:rsidRPr="00B301D6">
        <w:rPr>
          <w:rFonts w:cs="Times New Roman"/>
          <w:i/>
        </w:rPr>
        <w:t>et al</w:t>
      </w:r>
      <w:r w:rsidR="00AA60AD" w:rsidRPr="007A7C51">
        <w:rPr>
          <w:rFonts w:cs="Times New Roman"/>
        </w:rPr>
        <w:t xml:space="preserve"> (2017) </w:t>
      </w:r>
      <w:r w:rsidR="00864898" w:rsidRPr="007A7C51">
        <w:rPr>
          <w:rFonts w:cs="Times New Roman"/>
        </w:rPr>
        <w:t>also raise</w:t>
      </w:r>
      <w:r w:rsidR="00AA60AD" w:rsidRPr="007A7C51">
        <w:rPr>
          <w:rFonts w:cs="Times New Roman"/>
        </w:rPr>
        <w:t xml:space="preserve"> </w:t>
      </w:r>
      <w:r w:rsidR="007A73FD" w:rsidRPr="007A7C51">
        <w:rPr>
          <w:rFonts w:cs="Times New Roman"/>
        </w:rPr>
        <w:t xml:space="preserve">the issue </w:t>
      </w:r>
      <w:r w:rsidR="00AA60AD" w:rsidRPr="007A7C51">
        <w:rPr>
          <w:rFonts w:cs="Times New Roman"/>
        </w:rPr>
        <w:t>that the terms “probable</w:t>
      </w:r>
      <w:r w:rsidRPr="007A7C51">
        <w:rPr>
          <w:rFonts w:cs="Times New Roman"/>
        </w:rPr>
        <w:t xml:space="preserve"> CJD</w:t>
      </w:r>
      <w:r w:rsidR="00AA60AD" w:rsidRPr="007A7C51">
        <w:rPr>
          <w:rFonts w:cs="Times New Roman"/>
        </w:rPr>
        <w:t>” and “definite</w:t>
      </w:r>
      <w:r w:rsidRPr="007A7C51">
        <w:rPr>
          <w:rFonts w:cs="Times New Roman"/>
        </w:rPr>
        <w:t xml:space="preserve"> CJD</w:t>
      </w:r>
      <w:r w:rsidR="00AA60AD" w:rsidRPr="007A7C51">
        <w:rPr>
          <w:rFonts w:cs="Times New Roman"/>
        </w:rPr>
        <w:t xml:space="preserve">” </w:t>
      </w:r>
      <w:r w:rsidR="007A73FD" w:rsidRPr="007A7C51">
        <w:rPr>
          <w:rFonts w:cs="Times New Roman"/>
        </w:rPr>
        <w:t xml:space="preserve">might </w:t>
      </w:r>
      <w:r w:rsidR="00AA60AD" w:rsidRPr="007A7C51">
        <w:rPr>
          <w:rFonts w:cs="Times New Roman"/>
        </w:rPr>
        <w:t>be used indiscriminately. They highlight from an analysis of 100 cases of CJD</w:t>
      </w:r>
      <w:r w:rsidR="00864898" w:rsidRPr="007A7C51">
        <w:rPr>
          <w:rFonts w:cs="Times New Roman"/>
        </w:rPr>
        <w:t xml:space="preserve"> in Ireland</w:t>
      </w:r>
      <w:r w:rsidR="00AA60AD" w:rsidRPr="007A7C51">
        <w:rPr>
          <w:rFonts w:cs="Times New Roman"/>
        </w:rPr>
        <w:t xml:space="preserve">, that </w:t>
      </w:r>
      <w:r w:rsidR="00E0405B">
        <w:rPr>
          <w:rFonts w:cs="Times New Roman"/>
        </w:rPr>
        <w:t>approximately</w:t>
      </w:r>
      <w:r w:rsidR="00AA60AD" w:rsidRPr="007A7C51">
        <w:rPr>
          <w:rFonts w:cs="Times New Roman"/>
        </w:rPr>
        <w:t xml:space="preserve"> half of cases </w:t>
      </w:r>
      <w:r w:rsidR="00864898" w:rsidRPr="007A7C51">
        <w:rPr>
          <w:rFonts w:cs="Times New Roman"/>
        </w:rPr>
        <w:t xml:space="preserve">(n=50/96 referrals) </w:t>
      </w:r>
      <w:r w:rsidR="00AA60AD" w:rsidRPr="007A7C51">
        <w:rPr>
          <w:rFonts w:cs="Times New Roman"/>
        </w:rPr>
        <w:t xml:space="preserve">were confirmed </w:t>
      </w:r>
      <w:r w:rsidR="00864898" w:rsidRPr="007A7C51">
        <w:rPr>
          <w:rFonts w:cs="Times New Roman"/>
        </w:rPr>
        <w:t xml:space="preserve">as </w:t>
      </w:r>
      <w:r w:rsidR="000A57E2" w:rsidRPr="007A7C51">
        <w:rPr>
          <w:rFonts w:cs="Times New Roman"/>
        </w:rPr>
        <w:t xml:space="preserve">definite </w:t>
      </w:r>
      <w:r w:rsidR="00864898" w:rsidRPr="007A7C51">
        <w:rPr>
          <w:rFonts w:cs="Times New Roman"/>
        </w:rPr>
        <w:t xml:space="preserve">CJD </w:t>
      </w:r>
      <w:r w:rsidR="00AA60AD" w:rsidRPr="007A7C51">
        <w:rPr>
          <w:rFonts w:cs="Times New Roman"/>
        </w:rPr>
        <w:t>via tissue samples</w:t>
      </w:r>
      <w:r w:rsidR="00864898" w:rsidRPr="007A7C51">
        <w:rPr>
          <w:rFonts w:cs="Times New Roman"/>
        </w:rPr>
        <w:t xml:space="preserve"> through biopsy or autopsy</w:t>
      </w:r>
      <w:r w:rsidR="00AA60AD" w:rsidRPr="007A7C51">
        <w:rPr>
          <w:rFonts w:cs="Times New Roman"/>
        </w:rPr>
        <w:t>.</w:t>
      </w:r>
      <w:r w:rsidR="001C1038" w:rsidRPr="007A7C51">
        <w:rPr>
          <w:rFonts w:cs="Times New Roman"/>
        </w:rPr>
        <w:fldChar w:fldCharType="begin">
          <w:fldData xml:space="preserve">PEVuZE5vdGU+PENpdGU+PEF1dGhvcj5Mb2Z0dXM8L0F1dGhvcj48WWVhcj4yMDE3PC9ZZWFyPjxS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PEVuZE5vdGU+PENpdGU+PEF1dGhvcj5Mb2Z0dXM8L0F1dGhvcj48WWVhcj4yMDE3PC9ZZWFyPjxS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7A7C51">
        <w:rPr>
          <w:rFonts w:cs="Times New Roman"/>
        </w:rPr>
      </w:r>
      <w:r w:rsidR="001C1038" w:rsidRPr="007A7C51">
        <w:rPr>
          <w:rFonts w:cs="Times New Roman"/>
        </w:rPr>
        <w:fldChar w:fldCharType="separate"/>
      </w:r>
      <w:r w:rsidR="0076576E" w:rsidRPr="0076576E">
        <w:rPr>
          <w:rFonts w:cs="Times New Roman"/>
          <w:noProof/>
          <w:vertAlign w:val="superscript"/>
        </w:rPr>
        <w:t>49</w:t>
      </w:r>
      <w:r w:rsidR="001C1038" w:rsidRPr="007A7C51">
        <w:rPr>
          <w:rFonts w:cs="Times New Roman"/>
        </w:rPr>
        <w:fldChar w:fldCharType="end"/>
      </w:r>
      <w:r w:rsidR="000A57E2" w:rsidRPr="007A7C51">
        <w:rPr>
          <w:rFonts w:cs="Times New Roman"/>
        </w:rPr>
        <w:t xml:space="preserve"> The authors propose an algorithm for CJD referrals to reduce infection control and diagnostic difficulties encountered in CJD surveillance.</w:t>
      </w:r>
    </w:p>
    <w:p w14:paraId="3C8B748D" w14:textId="77777777" w:rsidR="008F4587" w:rsidRPr="007A7C51" w:rsidRDefault="008F4587" w:rsidP="00D96D80">
      <w:pPr>
        <w:jc w:val="both"/>
        <w:rPr>
          <w:rFonts w:cs="Times New Roman"/>
        </w:rPr>
      </w:pPr>
    </w:p>
    <w:p w14:paraId="0D37E527" w14:textId="3BF1E370" w:rsidR="003660D1" w:rsidRPr="008F4587" w:rsidRDefault="00580209" w:rsidP="00D96D80">
      <w:pPr>
        <w:jc w:val="both"/>
      </w:pPr>
      <w:r w:rsidRPr="007A7C51">
        <w:rPr>
          <w:rFonts w:cs="Times New Roman"/>
        </w:rPr>
        <w:t xml:space="preserve">Despite the fact that sCJD is a condition known to affect older people, detection </w:t>
      </w:r>
      <w:r w:rsidR="00E0405B">
        <w:rPr>
          <w:rFonts w:cs="Times New Roman"/>
        </w:rPr>
        <w:t>is likely to have</w:t>
      </w:r>
      <w:r w:rsidRPr="007A7C51">
        <w:rPr>
          <w:rFonts w:cs="Times New Roman"/>
        </w:rPr>
        <w:t xml:space="preserve"> improved in the last six years. </w:t>
      </w:r>
      <w:r w:rsidRPr="007A7C51">
        <w:rPr>
          <w:rFonts w:cs="Times New Roman"/>
        </w:rPr>
        <w:fldChar w:fldCharType="begin"/>
      </w:r>
      <w:r w:rsidRPr="007A7C51">
        <w:rPr>
          <w:rFonts w:cs="Times New Roman"/>
        </w:rPr>
        <w:instrText xml:space="preserve"> REF _Ref504395737 \h </w:instrText>
      </w:r>
      <w:r w:rsidR="000B6F62" w:rsidRPr="007A7C51">
        <w:rPr>
          <w:rFonts w:cs="Times New Roman"/>
        </w:rPr>
        <w:instrText xml:space="preserve"> \* MERGEFORMAT </w:instrText>
      </w:r>
      <w:r w:rsidRPr="007A7C51">
        <w:rPr>
          <w:rFonts w:cs="Times New Roman"/>
        </w:rPr>
      </w:r>
      <w:r w:rsidRPr="007A7C51">
        <w:rPr>
          <w:rFonts w:cs="Times New Roman"/>
        </w:rPr>
        <w:fldChar w:fldCharType="separate"/>
      </w:r>
      <w:r w:rsidR="00690541">
        <w:rPr>
          <w:noProof/>
        </w:rPr>
        <w:t>Figure</w:t>
      </w:r>
      <w:r w:rsidR="00690541">
        <w:t xml:space="preserve"> </w:t>
      </w:r>
      <w:r w:rsidR="00690541">
        <w:rPr>
          <w:noProof/>
        </w:rPr>
        <w:t>3</w:t>
      </w:r>
      <w:r w:rsidRPr="007A7C51">
        <w:rPr>
          <w:rFonts w:cs="Times New Roman"/>
        </w:rPr>
        <w:fldChar w:fldCharType="end"/>
      </w:r>
      <w:r w:rsidR="00851989" w:rsidRPr="007A7C51">
        <w:rPr>
          <w:rFonts w:cs="Times New Roman"/>
        </w:rPr>
        <w:t xml:space="preserve"> </w:t>
      </w:r>
      <w:r w:rsidR="00F9670D">
        <w:rPr>
          <w:rFonts w:cs="Times New Roman"/>
        </w:rPr>
        <w:t>is taken from the 25</w:t>
      </w:r>
      <w:r w:rsidR="00F9670D" w:rsidRPr="00F9670D">
        <w:rPr>
          <w:rFonts w:cs="Times New Roman"/>
          <w:vertAlign w:val="superscript"/>
        </w:rPr>
        <w:t>th</w:t>
      </w:r>
      <w:r w:rsidR="00F9670D">
        <w:rPr>
          <w:rFonts w:cs="Times New Roman"/>
        </w:rPr>
        <w:t xml:space="preserve"> Annual Report of</w:t>
      </w:r>
      <w:r w:rsidR="00F9670D" w:rsidRPr="007A7C51">
        <w:rPr>
          <w:rFonts w:cs="Times New Roman"/>
        </w:rPr>
        <w:t xml:space="preserve"> the NCJDRSU </w:t>
      </w:r>
      <w:r w:rsidR="00F9670D">
        <w:rPr>
          <w:rFonts w:cs="Times New Roman"/>
        </w:rPr>
        <w:t xml:space="preserve">(2016) and </w:t>
      </w:r>
      <w:r w:rsidR="00851989" w:rsidRPr="007A7C51">
        <w:rPr>
          <w:rFonts w:cs="Times New Roman"/>
        </w:rPr>
        <w:t>shows a steep</w:t>
      </w:r>
      <w:r w:rsidRPr="007A7C51">
        <w:rPr>
          <w:rFonts w:cs="Times New Roman"/>
        </w:rPr>
        <w:t xml:space="preserve"> increase in the detection of CJD mortality</w:t>
      </w:r>
      <w:r w:rsidR="00925361" w:rsidRPr="007A7C51">
        <w:rPr>
          <w:rFonts w:cs="Times New Roman"/>
        </w:rPr>
        <w:t xml:space="preserve"> in the UK</w:t>
      </w:r>
      <w:r w:rsidR="00826471" w:rsidRPr="007A7C51">
        <w:rPr>
          <w:rFonts w:cs="Times New Roman"/>
        </w:rPr>
        <w:fldChar w:fldCharType="begin"/>
      </w:r>
      <w:r w:rsidR="00D63CDB">
        <w:rPr>
          <w:rFonts w:cs="Times New Roman"/>
        </w:rPr>
        <w:instrText xml:space="preserve"> ADDIN EN.CITE &lt;EndNote&gt;&lt;Cite&gt;&lt;Author&gt;National CJD Research &amp;amp; Surveillance Unit&lt;/Author&gt;&lt;Year&gt;2016&lt;/Year&gt;&lt;RecNum&gt;10247&lt;/RecNum&gt;&lt;DisplayText&gt;&lt;style face="superscript"&gt;2&lt;/style&gt;&lt;/DisplayText&gt;&lt;record&gt;&lt;rec-number&gt;10247&lt;/rec-number&gt;&lt;foreign-keys&gt;&lt;key app="EN" db-id="vrp0pptazv05wtesfz5vrzsj2p0rv09ttsa9" timestamp="1520851581" guid="2d57af3e-e0a8-492f-890b-635cc5992b00"&gt;10247&lt;/key&gt;&lt;/foreign-keys&gt;&lt;ref-type name="Report"&gt;27&lt;/ref-type&gt;&lt;contributors&gt;&lt;authors&gt;&lt;author&gt;National CJD Research &amp;amp; Surveillance Unit,&lt;/author&gt;&lt;/authors&gt;&lt;/contributors&gt;&lt;titles&gt;&lt;title&gt;Creutzfeldt-Jakob Disease Surveillance in the UK: 25th Annual Report 2016&lt;/title&gt;&lt;/titles&gt;&lt;keywords&gt;&lt;keyword&gt;$$LU_1_prevalence CJD&lt;/keyword&gt;&lt;keyword&gt;$$Lesley google&lt;/keyword&gt;&lt;keyword&gt;$$Background&lt;/keyword&gt;&lt;/keywords&gt;&lt;dates&gt;&lt;year&gt;2016&lt;/year&gt;&lt;/dates&gt;&lt;publisher&gt;The National CJD Research &amp;amp; Surveillance Unit, Western General Hospital, Edinburgh, EH4 2XU&lt;/publisher&gt;&lt;urls&gt;&lt;related-urls&gt;&lt;url&gt;https://www.cjd.ed.ac.uk/sites/default/files/report25.pdf&lt;/url&gt;&lt;/related-urls&gt;&lt;/urls&gt;&lt;access-date&gt;23.01.18&lt;/access-date&gt;&lt;/record&gt;&lt;/Cite&gt;&lt;/EndNote&gt;</w:instrText>
      </w:r>
      <w:r w:rsidR="00826471" w:rsidRPr="007A7C51">
        <w:rPr>
          <w:rFonts w:cs="Times New Roman"/>
        </w:rPr>
        <w:fldChar w:fldCharType="separate"/>
      </w:r>
      <w:r w:rsidR="001D65B2" w:rsidRPr="001D65B2">
        <w:rPr>
          <w:rFonts w:cs="Times New Roman"/>
          <w:noProof/>
          <w:vertAlign w:val="superscript"/>
        </w:rPr>
        <w:t>2</w:t>
      </w:r>
      <w:r w:rsidR="00826471" w:rsidRPr="007A7C51">
        <w:rPr>
          <w:rFonts w:cs="Times New Roman"/>
        </w:rPr>
        <w:fldChar w:fldCharType="end"/>
      </w:r>
      <w:r w:rsidRPr="007A7C51">
        <w:rPr>
          <w:rFonts w:cs="Times New Roman"/>
        </w:rPr>
        <w:t>, particularly in the age category of 65-69 years.</w:t>
      </w:r>
      <w:r w:rsidR="00B46304" w:rsidRPr="007A7C51">
        <w:rPr>
          <w:rFonts w:cs="Times New Roman"/>
        </w:rPr>
        <w:t xml:space="preserve"> </w:t>
      </w:r>
      <w:r w:rsidR="003660D1">
        <w:rPr>
          <w:rFonts w:cs="Times New Roman"/>
        </w:rPr>
        <w:t xml:space="preserve">However, incidence using age-adjusted data of CJD-related deaths per million will be influenced by the assumed population in each band. The mortality rates for 1995-2004 use the same census data as 2005-2009. </w:t>
      </w:r>
      <w:r w:rsidR="002A1CA2">
        <w:rPr>
          <w:rFonts w:cs="Times New Roman"/>
        </w:rPr>
        <w:t xml:space="preserve">However, </w:t>
      </w:r>
      <w:r w:rsidR="003660D1">
        <w:rPr>
          <w:rFonts w:cs="Times New Roman"/>
        </w:rPr>
        <w:t xml:space="preserve">if there are </w:t>
      </w:r>
      <w:r w:rsidR="00B87CA6">
        <w:rPr>
          <w:rFonts w:cs="Times New Roman"/>
        </w:rPr>
        <w:t xml:space="preserve">proportionately </w:t>
      </w:r>
      <w:r w:rsidR="003660D1">
        <w:rPr>
          <w:rFonts w:cs="Times New Roman"/>
        </w:rPr>
        <w:t>more older people in the more recent age band then the incidence will be inflated.</w:t>
      </w:r>
    </w:p>
    <w:p w14:paraId="7ADCB25C" w14:textId="77777777" w:rsidR="00D96D80" w:rsidRDefault="00D96D80" w:rsidP="00D96D80">
      <w:pPr>
        <w:jc w:val="both"/>
        <w:rPr>
          <w:rFonts w:cs="Times New Roman"/>
        </w:rPr>
      </w:pPr>
    </w:p>
    <w:p w14:paraId="234F032C" w14:textId="77777777" w:rsidR="007B6334" w:rsidRDefault="007B6334">
      <w:pPr>
        <w:spacing w:after="160" w:line="259" w:lineRule="auto"/>
        <w:rPr>
          <w:b/>
          <w:iCs/>
          <w:szCs w:val="18"/>
        </w:rPr>
      </w:pPr>
      <w:bookmarkStart w:id="37" w:name="_Ref504395737"/>
      <w:r>
        <w:br w:type="page"/>
      </w:r>
    </w:p>
    <w:p w14:paraId="5C6ADF6D" w14:textId="5562195A" w:rsidR="00D96D80" w:rsidRPr="006C68C6" w:rsidRDefault="00D96D80" w:rsidP="00D96D80">
      <w:pPr>
        <w:pStyle w:val="Caption"/>
        <w:ind w:left="1440" w:hanging="1440"/>
        <w:rPr>
          <w:noProof/>
        </w:rPr>
      </w:pPr>
      <w:bookmarkStart w:id="38" w:name="_Toc525106720"/>
      <w:r>
        <w:t xml:space="preserve">Figure </w:t>
      </w:r>
      <w:r w:rsidR="00F62DB8">
        <w:rPr>
          <w:noProof/>
        </w:rPr>
        <w:fldChar w:fldCharType="begin"/>
      </w:r>
      <w:r w:rsidR="00F62DB8">
        <w:rPr>
          <w:noProof/>
        </w:rPr>
        <w:instrText xml:space="preserve"> SEQ Figure \* ARABIC </w:instrText>
      </w:r>
      <w:r w:rsidR="00F62DB8">
        <w:rPr>
          <w:noProof/>
        </w:rPr>
        <w:fldChar w:fldCharType="separate"/>
      </w:r>
      <w:r w:rsidR="00690541">
        <w:rPr>
          <w:noProof/>
        </w:rPr>
        <w:t>3</w:t>
      </w:r>
      <w:r w:rsidR="00F62DB8">
        <w:rPr>
          <w:noProof/>
        </w:rPr>
        <w:fldChar w:fldCharType="end"/>
      </w:r>
      <w:bookmarkEnd w:id="37"/>
      <w:r>
        <w:rPr>
          <w:noProof/>
        </w:rPr>
        <w:t>:</w:t>
      </w:r>
      <w:r>
        <w:rPr>
          <w:noProof/>
        </w:rPr>
        <w:tab/>
      </w:r>
      <w:r>
        <w:t>Age-specific mortality rates from sporadic CJD in the UK 1979-2016: replicated from NCJDRSU Annual Report 2016</w:t>
      </w:r>
      <w:bookmarkEnd w:id="38"/>
    </w:p>
    <w:p w14:paraId="7BA8F099" w14:textId="77777777" w:rsidR="00D96D80" w:rsidRDefault="003660D1" w:rsidP="00F9670D">
      <w:pPr>
        <w:jc w:val="both"/>
        <w:rPr>
          <w:rFonts w:cs="Times New Roman"/>
        </w:rPr>
      </w:pPr>
      <w:r w:rsidRPr="007A7C51">
        <w:rPr>
          <w:rFonts w:cs="Times New Roman"/>
          <w:noProof/>
          <w:lang w:eastAsia="en-GB"/>
        </w:rPr>
        <w:drawing>
          <wp:anchor distT="0" distB="0" distL="114300" distR="114300" simplePos="0" relativeHeight="251566080" behindDoc="0" locked="0" layoutInCell="1" allowOverlap="1" wp14:anchorId="4CAFCEED" wp14:editId="128098B6">
            <wp:simplePos x="0" y="0"/>
            <wp:positionH relativeFrom="margin">
              <wp:posOffset>-92710</wp:posOffset>
            </wp:positionH>
            <wp:positionV relativeFrom="paragraph">
              <wp:posOffset>82550</wp:posOffset>
            </wp:positionV>
            <wp:extent cx="5838825" cy="370522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F057F" w14:textId="078A80EA" w:rsidR="00580209" w:rsidRDefault="003660D1" w:rsidP="00D96D80">
      <w:pPr>
        <w:jc w:val="both"/>
        <w:rPr>
          <w:rFonts w:cs="Times New Roman"/>
        </w:rPr>
      </w:pPr>
      <w:r w:rsidRPr="007A7C51">
        <w:rPr>
          <w:rFonts w:cs="Times New Roman"/>
        </w:rPr>
        <w:t xml:space="preserve">Due to the median age of onset of sCJD symptoms, it is possible that CJD and prion disease cases may be concealed among cases of more commonly encountered </w:t>
      </w:r>
      <w:r>
        <w:rPr>
          <w:rFonts w:cs="Times New Roman"/>
        </w:rPr>
        <w:t xml:space="preserve">but similarly rapidly deteriorating </w:t>
      </w:r>
      <w:r w:rsidRPr="007A7C51">
        <w:rPr>
          <w:rFonts w:cs="Times New Roman"/>
        </w:rPr>
        <w:t xml:space="preserve">neurological conditions </w:t>
      </w:r>
      <w:r>
        <w:rPr>
          <w:rFonts w:cs="Times New Roman"/>
        </w:rPr>
        <w:t xml:space="preserve">affecting older people, </w:t>
      </w:r>
      <w:r w:rsidRPr="007A7C51">
        <w:rPr>
          <w:rFonts w:cs="Times New Roman"/>
        </w:rPr>
        <w:t>such as Alzheimer’s disease. In the published literature</w:t>
      </w:r>
      <w:r w:rsidR="00B11C37">
        <w:rPr>
          <w:rFonts w:cs="Times New Roman"/>
        </w:rPr>
        <w:t>,</w:t>
      </w:r>
      <w:r w:rsidRPr="007A7C51">
        <w:rPr>
          <w:rFonts w:cs="Times New Roman"/>
        </w:rPr>
        <w:t xml:space="preserve"> there are numerous reports of CJD mimicking other conditions including stroke</w:t>
      </w:r>
      <w:r w:rsidR="00B11C37">
        <w:rPr>
          <w:rFonts w:cs="Times New Roman"/>
        </w:rPr>
        <w:t>,</w:t>
      </w:r>
      <w:r w:rsidRPr="007A7C51">
        <w:rPr>
          <w:rFonts w:cs="Times New Roman"/>
        </w:rPr>
        <w:fldChar w:fldCharType="begin">
          <w:fldData xml:space="preserve">PEVuZE5vdGU+PENpdGU+PEF1dGhvcj5BbGk8L0F1dGhvcj48WWVhcj4yMDE1PC9ZZWFyPjxSZWNO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PEVuZE5vdGU+PENpdGU+PEF1dGhvcj5BbGk8L0F1dGhvcj48WWVhcj4yMDE1PC9ZZWFyPjxSZWNO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50, 51</w:t>
      </w:r>
      <w:r w:rsidRPr="007A7C51">
        <w:rPr>
          <w:rFonts w:cs="Times New Roman"/>
        </w:rPr>
        <w:fldChar w:fldCharType="end"/>
      </w:r>
      <w:r w:rsidRPr="007A7C51">
        <w:rPr>
          <w:rFonts w:cs="Times New Roman"/>
        </w:rPr>
        <w:t xml:space="preserve"> acute neuropathy</w:t>
      </w:r>
      <w:r w:rsidR="00B11C37">
        <w:rPr>
          <w:rFonts w:cs="Times New Roman"/>
        </w:rPr>
        <w:t>,</w:t>
      </w:r>
      <w:r w:rsidRPr="007A7C51">
        <w:rPr>
          <w:rFonts w:cs="Times New Roman"/>
        </w:rPr>
        <w:fldChar w:fldCharType="begin">
          <w:fldData xml:space="preserve">PEVuZE5vdGU+PENpdGU+PEF1dGhvcj5IYW51bWFudGh1PC9BdXRob3I+PFllYXI+MjAxNzwvWWVh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PEVuZE5vdGU+PENpdGU+PEF1dGhvcj5IYW51bWFudGh1PC9BdXRob3I+PFllYXI+MjAxNzwvWWVh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52</w:t>
      </w:r>
      <w:r w:rsidRPr="007A7C51">
        <w:rPr>
          <w:rFonts w:cs="Times New Roman"/>
        </w:rPr>
        <w:fldChar w:fldCharType="end"/>
      </w:r>
      <w:r w:rsidRPr="007A7C51">
        <w:rPr>
          <w:rFonts w:cs="Times New Roman"/>
        </w:rPr>
        <w:t xml:space="preserve"> hyperparathyroidism</w:t>
      </w:r>
      <w:r w:rsidR="00B11C37">
        <w:rPr>
          <w:rFonts w:cs="Times New Roman"/>
        </w:rPr>
        <w:t>,</w:t>
      </w:r>
      <w:r w:rsidRPr="007A7C51">
        <w:rPr>
          <w:rFonts w:cs="Times New Roman"/>
        </w:rPr>
        <w:fldChar w:fldCharType="begin">
          <w:fldData xml:space="preserve">PEVuZE5vdGU+PENpdGU+PEF1dGhvcj5LYXJhdGFzPC9BdXRob3I+PFllYXI+MjAwNzwvWWVhcj48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=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PEVuZE5vdGU+PENpdGU+PEF1dGhvcj5LYXJhdGFzPC9BdXRob3I+PFllYXI+MjAwNzwvWWVhcj48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=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53</w:t>
      </w:r>
      <w:r w:rsidRPr="007A7C51">
        <w:rPr>
          <w:rFonts w:cs="Times New Roman"/>
        </w:rPr>
        <w:fldChar w:fldCharType="end"/>
      </w:r>
      <w:r w:rsidRPr="007A7C51">
        <w:rPr>
          <w:rFonts w:cs="Times New Roman"/>
        </w:rPr>
        <w:t xml:space="preserve"> dementia</w:t>
      </w:r>
      <w:r w:rsidR="00B11C37">
        <w:rPr>
          <w:rFonts w:cs="Times New Roman"/>
        </w:rPr>
        <w:t>,</w:t>
      </w:r>
      <w:r w:rsidRPr="007A7C51">
        <w:rPr>
          <w:rFonts w:cs="Times New Roman"/>
        </w:rPr>
        <w:fldChar w:fldCharType="begin">
          <w:fldData xml:space="preserve">PEVuZE5vdGU+PENpdGU+PEF1dGhvcj5LaGVyPC9BdXRob3I+PFllYXI+MjAwOTwvWWVhcj48UmVj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PEVuZE5vdGU+PENpdGU+PEF1dGhvcj5LaGVyPC9BdXRob3I+PFllYXI+MjAwOTwvWWVhcj48UmVj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47,54-57</w:t>
      </w:r>
      <w:r w:rsidRPr="007A7C51">
        <w:rPr>
          <w:rFonts w:cs="Times New Roman"/>
        </w:rPr>
        <w:fldChar w:fldCharType="end"/>
      </w:r>
      <w:r w:rsidRPr="007A7C51">
        <w:rPr>
          <w:rFonts w:cs="Times New Roman"/>
        </w:rPr>
        <w:t xml:space="preserve"> </w:t>
      </w:r>
      <w:r>
        <w:rPr>
          <w:rFonts w:cs="Times New Roman"/>
        </w:rPr>
        <w:t>Lewy body dementia</w:t>
      </w:r>
      <w:r w:rsidR="00B11C37">
        <w:rPr>
          <w:rFonts w:cs="Times New Roman"/>
        </w:rPr>
        <w:t>,</w:t>
      </w:r>
      <w:r>
        <w:rPr>
          <w:rFonts w:cs="Times New Roman"/>
        </w:rPr>
        <w:fldChar w:fldCharType="begin"/>
      </w:r>
      <w:r w:rsidR="0076576E">
        <w:rPr>
          <w:rFonts w:cs="Times New Roman"/>
        </w:rPr>
        <w:instrText xml:space="preserve"> ADDIN EN.CITE &lt;EndNote&gt;&lt;Cite&gt;&lt;Author&gt;Litzroth&lt;/Author&gt;&lt;Year&gt;2015&lt;/Year&gt;&lt;RecNum&gt;10245&lt;/RecNum&gt;&lt;DisplayText&gt;&lt;style face="superscript"&gt;47&lt;/style&gt;&lt;/DisplayText&gt;&lt;record&gt;&lt;rec-number&gt;10245&lt;/rec-number&gt;&lt;foreign-keys&gt;&lt;key app="EN" db-id="vrp0pptazv05wtesfz5vrzsj2p0rv09ttsa9" timestamp="1516619123" guid="eb4e9875-0fe9-4853-af9e-318a3f89b236"&gt;10245&lt;/key&gt;&lt;/foreign-keys&gt;&lt;ref-type name="Journal Article"&gt;17&lt;/ref-type&gt;&lt;contributors&gt;&lt;authors&gt;&lt;author&gt;Litzroth, Amber&lt;/author&gt;&lt;author&gt;Cras, Patrick&lt;/author&gt;&lt;author&gt;De Vil, Bart&lt;/author&gt;&lt;author&gt;Quoilin, Sophie&lt;/author&gt;&lt;/authors&gt;&lt;/contributors&gt;&lt;titles&gt;&lt;title&gt;Overview and evaluation of 15 years of Creutzfeldt-Jakob disease surveillance in Belgium, 1998-2012&lt;/title&gt;&lt;secondary-title&gt;BMC neurology&lt;/secondary-title&gt;&lt;/titles&gt;&lt;periodical&gt;&lt;full-title&gt;Bmc Neurology&lt;/full-title&gt;&lt;/periodical&gt;&lt;pages&gt;250&lt;/pages&gt;&lt;volume&gt;15&lt;/volume&gt;&lt;number&gt;1&lt;/number&gt;&lt;keywords&gt;&lt;keyword&gt;$$LU_1_prevalence CJD&lt;/keyword&gt;&lt;keyword&gt;$$Lesley google&lt;/keyword&gt;&lt;keyword&gt;$$CJD relevant&lt;/keyword&gt;&lt;/keywords&gt;&lt;dates&gt;&lt;year&gt;2015&lt;/year&gt;&lt;/dates&gt;&lt;isbn&gt;1471-2377&lt;/isbn&gt;&lt;urls&gt;&lt;/urls&gt;&lt;/record&gt;&lt;/Cite&gt;&lt;/EndNote&gt;</w:instrText>
      </w:r>
      <w:r>
        <w:rPr>
          <w:rFonts w:cs="Times New Roman"/>
        </w:rPr>
        <w:fldChar w:fldCharType="separate"/>
      </w:r>
      <w:r w:rsidR="0076576E" w:rsidRPr="0076576E">
        <w:rPr>
          <w:rFonts w:cs="Times New Roman"/>
          <w:noProof/>
          <w:vertAlign w:val="superscript"/>
        </w:rPr>
        <w:t>47</w:t>
      </w:r>
      <w:r>
        <w:rPr>
          <w:rFonts w:cs="Times New Roman"/>
        </w:rPr>
        <w:fldChar w:fldCharType="end"/>
      </w:r>
      <w:r>
        <w:rPr>
          <w:rFonts w:cs="Times New Roman"/>
        </w:rPr>
        <w:t xml:space="preserve"> encephalitis</w:t>
      </w:r>
      <w:r w:rsidR="00B11C37">
        <w:rPr>
          <w:rFonts w:cs="Times New Roman"/>
        </w:rPr>
        <w:t>,</w:t>
      </w:r>
      <w:r>
        <w:rPr>
          <w:rFonts w:cs="Times New Roman"/>
        </w:rPr>
        <w:fldChar w:fldCharType="begin"/>
      </w:r>
      <w:r w:rsidR="0076576E">
        <w:rPr>
          <w:rFonts w:cs="Times New Roman"/>
        </w:rPr>
        <w:instrText xml:space="preserve"> ADDIN EN.CITE &lt;EndNote&gt;&lt;Cite&gt;&lt;Author&gt;Litzroth&lt;/Author&gt;&lt;Year&gt;2015&lt;/Year&gt;&lt;RecNum&gt;10245&lt;/RecNum&gt;&lt;DisplayText&gt;&lt;style face="superscript"&gt;47&lt;/style&gt;&lt;/DisplayText&gt;&lt;record&gt;&lt;rec-number&gt;10245&lt;/rec-number&gt;&lt;foreign-keys&gt;&lt;key app="EN" db-id="vrp0pptazv05wtesfz5vrzsj2p0rv09ttsa9" timestamp="1516619123" guid="eb4e9875-0fe9-4853-af9e-318a3f89b236"&gt;10245&lt;/key&gt;&lt;/foreign-keys&gt;&lt;ref-type name="Journal Article"&gt;17&lt;/ref-type&gt;&lt;contributors&gt;&lt;authors&gt;&lt;author&gt;Litzroth, Amber&lt;/author&gt;&lt;author&gt;Cras, Patrick&lt;/author&gt;&lt;author&gt;De Vil, Bart&lt;/author&gt;&lt;author&gt;Quoilin, Sophie&lt;/author&gt;&lt;/authors&gt;&lt;/contributors&gt;&lt;titles&gt;&lt;title&gt;Overview and evaluation of 15 years of Creutzfeldt-Jakob disease surveillance in Belgium, 1998-2012&lt;/title&gt;&lt;secondary-title&gt;BMC neurology&lt;/secondary-title&gt;&lt;/titles&gt;&lt;periodical&gt;&lt;full-title&gt;Bmc Neurology&lt;/full-title&gt;&lt;/periodical&gt;&lt;pages&gt;250&lt;/pages&gt;&lt;volume&gt;15&lt;/volume&gt;&lt;number&gt;1&lt;/number&gt;&lt;keywords&gt;&lt;keyword&gt;$$LU_1_prevalence CJD&lt;/keyword&gt;&lt;keyword&gt;$$Lesley google&lt;/keyword&gt;&lt;keyword&gt;$$CJD relevant&lt;/keyword&gt;&lt;/keywords&gt;&lt;dates&gt;&lt;year&gt;2015&lt;/year&gt;&lt;/dates&gt;&lt;isbn&gt;1471-2377&lt;/isbn&gt;&lt;urls&gt;&lt;/urls&gt;&lt;/record&gt;&lt;/Cite&gt;&lt;/EndNote&gt;</w:instrText>
      </w:r>
      <w:r>
        <w:rPr>
          <w:rFonts w:cs="Times New Roman"/>
        </w:rPr>
        <w:fldChar w:fldCharType="separate"/>
      </w:r>
      <w:r w:rsidR="0076576E" w:rsidRPr="0076576E">
        <w:rPr>
          <w:rFonts w:cs="Times New Roman"/>
          <w:noProof/>
          <w:vertAlign w:val="superscript"/>
        </w:rPr>
        <w:t>47</w:t>
      </w:r>
      <w:r>
        <w:rPr>
          <w:rFonts w:cs="Times New Roman"/>
        </w:rPr>
        <w:fldChar w:fldCharType="end"/>
      </w:r>
      <w:r>
        <w:rPr>
          <w:rFonts w:cs="Times New Roman"/>
        </w:rPr>
        <w:t xml:space="preserve"> </w:t>
      </w:r>
      <w:r w:rsidRPr="007A7C51">
        <w:rPr>
          <w:rFonts w:cs="Times New Roman"/>
        </w:rPr>
        <w:t>aphasia</w:t>
      </w:r>
      <w:r w:rsidR="00B11C37">
        <w:rPr>
          <w:rFonts w:cs="Times New Roman"/>
        </w:rPr>
        <w:t>,</w:t>
      </w:r>
      <w:r w:rsidRPr="007A7C51">
        <w:rPr>
          <w:rFonts w:cs="Times New Roman"/>
        </w:rPr>
        <w:fldChar w:fldCharType="begin">
          <w:fldData xml:space="preserve">PEVuZE5vdGU+PENpdGU+PEF1dGhvcj5LcnlzdGluYTwvQXV0aG9yPjxZZWFyPjIwMTE8L1llYXI+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=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PEVuZE5vdGU+PENpdGU+PEF1dGhvcj5LcnlzdGluYTwvQXV0aG9yPjxZZWFyPjIwMTE8L1llYXI+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=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58</w:t>
      </w:r>
      <w:r w:rsidRPr="007A7C51">
        <w:rPr>
          <w:rFonts w:cs="Times New Roman"/>
        </w:rPr>
        <w:fldChar w:fldCharType="end"/>
      </w:r>
      <w:r w:rsidRPr="007A7C51">
        <w:rPr>
          <w:rFonts w:cs="Times New Roman"/>
        </w:rPr>
        <w:t xml:space="preserve"> Alzheimer’s disease</w:t>
      </w:r>
      <w:r w:rsidR="00B11C37">
        <w:rPr>
          <w:rFonts w:cs="Times New Roman"/>
        </w:rPr>
        <w:t>,</w:t>
      </w:r>
      <w:r w:rsidRPr="007A7C51">
        <w:rPr>
          <w:rFonts w:cs="Times New Roman"/>
        </w:rPr>
        <w:fldChar w:fldCharType="begin">
          <w:fldData xml:space="preserve">PEVuZE5vdGU+PENpdGU+PEF1dGhvcj5QYWNoYWxza2E8L0F1dGhvcj48WWVhcj4yMDA3PC9ZZWFy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PEVuZE5vdGU+PENpdGU+PEF1dGhvcj5QYWNoYWxza2E8L0F1dGhvcj48WWVhcj4yMDA3PC9ZZWFy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47, 56</w:t>
      </w:r>
      <w:r w:rsidRPr="007A7C51">
        <w:rPr>
          <w:rFonts w:cs="Times New Roman"/>
        </w:rPr>
        <w:fldChar w:fldCharType="end"/>
      </w:r>
      <w:r>
        <w:rPr>
          <w:rFonts w:cs="Times New Roman"/>
        </w:rPr>
        <w:t xml:space="preserve"> psychiatric decompensation</w:t>
      </w:r>
      <w:r>
        <w:rPr>
          <w:rFonts w:cs="Times New Roman"/>
        </w:rPr>
        <w:fldChar w:fldCharType="begin">
          <w:fldData xml:space="preserve">PEVuZE5vdGU+PENpdGU+PEF1dGhvcj5Lb3NpZXI8L0F1dGhvcj48WWVhcj4yMDE3PC9ZZWFyPjxS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=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PEVuZE5vdGU+PENpdGU+PEF1dGhvcj5Lb3NpZXI8L0F1dGhvcj48WWVhcj4yMDE3PC9ZZWFyPjxS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=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Pr>
          <w:rFonts w:cs="Times New Roman"/>
        </w:rPr>
      </w:r>
      <w:r>
        <w:rPr>
          <w:rFonts w:cs="Times New Roman"/>
        </w:rPr>
        <w:fldChar w:fldCharType="separate"/>
      </w:r>
      <w:r w:rsidR="0076576E" w:rsidRPr="0076576E">
        <w:rPr>
          <w:rFonts w:cs="Times New Roman"/>
          <w:noProof/>
          <w:vertAlign w:val="superscript"/>
        </w:rPr>
        <w:t>46</w:t>
      </w:r>
      <w:r>
        <w:rPr>
          <w:rFonts w:cs="Times New Roman"/>
        </w:rPr>
        <w:fldChar w:fldCharType="end"/>
      </w:r>
      <w:r w:rsidRPr="007A7C51">
        <w:rPr>
          <w:rFonts w:cs="Times New Roman"/>
        </w:rPr>
        <w:t xml:space="preserve"> and movement disorder</w:t>
      </w:r>
      <w:r w:rsidR="00D96D80">
        <w:rPr>
          <w:rFonts w:cs="Times New Roman"/>
        </w:rPr>
        <w:t>.</w:t>
      </w:r>
      <w:r w:rsidRPr="007A7C51">
        <w:rPr>
          <w:rFonts w:cs="Times New Roman"/>
        </w:rPr>
        <w:fldChar w:fldCharType="begin">
          <w:fldData xml:space="preserve">PEVuZE5vdGU+PENpdGU+PEF1dGhvcj5TYW5uPC9BdXRob3I+PFllYXI+MjAxNjwvWWVhcj48UmVj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PEVuZE5vdGU+PENpdGU+PEF1dGhvcj5TYW5uPC9BdXRob3I+PFllYXI+MjAxNjwvWWVhcj48UmVj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59</w:t>
      </w:r>
      <w:r w:rsidRPr="007A7C51">
        <w:rPr>
          <w:rFonts w:cs="Times New Roman"/>
        </w:rPr>
        <w:fldChar w:fldCharType="end"/>
      </w:r>
      <w:r w:rsidRPr="007A7C51">
        <w:rPr>
          <w:rFonts w:cs="Times New Roman"/>
        </w:rPr>
        <w:t xml:space="preserve"> </w:t>
      </w:r>
      <w:r>
        <w:rPr>
          <w:rFonts w:cs="Times New Roman"/>
        </w:rPr>
        <w:t>The potential for CJD cases to be misdiagnosed</w:t>
      </w:r>
      <w:r w:rsidRPr="007A7C51">
        <w:rPr>
          <w:rFonts w:cs="Times New Roman"/>
        </w:rPr>
        <w:t xml:space="preserve"> was first demonstrated in a study in 1995 which found from an analysis of dementia autopsies that only about 60% of prion disease cases with pathologically typical spongiform encephalopathy were identified clinically during life.</w:t>
      </w:r>
      <w:r w:rsidRPr="007A7C51">
        <w:rPr>
          <w:rFonts w:cs="Times New Roman"/>
        </w:rPr>
        <w:fldChar w:fldCharType="begin"/>
      </w:r>
      <w:r w:rsidR="0076576E">
        <w:rPr>
          <w:rFonts w:cs="Times New Roman"/>
        </w:rPr>
        <w:instrText xml:space="preserve"> ADDIN EN.CITE &lt;EndNote&gt;&lt;Cite&gt;&lt;Author&gt;Bruton&lt;/Author&gt;&lt;Year&gt;1995&lt;/Year&gt;&lt;RecNum&gt;10246&lt;/RecNum&gt;&lt;DisplayText&gt;&lt;style face="superscript"&gt;60&lt;/style&gt;&lt;/DisplayText&gt;&lt;record&gt;&lt;rec-number&gt;10246&lt;/rec-number&gt;&lt;foreign-keys&gt;&lt;key app="EN" db-id="vrp0pptazv05wtesfz5vrzsj2p0rv09ttsa9" timestamp="1520851581" guid="aed67d89-f13b-4b0c-8491-dc40eac398cf"&gt;10246&lt;/key&gt;&lt;/foreign-keys&gt;&lt;ref-type name="Journal Article"&gt;17&lt;/ref-type&gt;&lt;contributors&gt;&lt;authors&gt;&lt;author&gt;Bruton, CJ&lt;/author&gt;&lt;author&gt;Bruton, RK&lt;/author&gt;&lt;author&gt;Gentleman, SM&lt;/author&gt;&lt;author&gt;Roberts, GW&lt;/author&gt;&lt;/authors&gt;&lt;/contributors&gt;&lt;titles&gt;&lt;title&gt;Diagnosis and incidence of prion (Creutzfeldt-Jakob) disease: a retrospective archival survey with implications for future research&lt;/title&gt;&lt;secondary-title&gt;Neurodegeneration&lt;/secondary-title&gt;&lt;/titles&gt;&lt;periodical&gt;&lt;full-title&gt;Neurodegeneration&lt;/full-title&gt;&lt;/periodical&gt;&lt;pages&gt;357-368&lt;/pages&gt;&lt;volume&gt;4&lt;/volume&gt;&lt;number&gt;4&lt;/number&gt;&lt;keywords&gt;&lt;keyword&gt;$$Committee recommended&lt;/keyword&gt;&lt;keyword&gt;$$Lesley google&lt;/keyword&gt;&lt;keyword&gt;$$Background&lt;/keyword&gt;&lt;keyword&gt;$$CJD relevant&lt;/keyword&gt;&lt;/keywords&gt;&lt;dates&gt;&lt;year&gt;1995&lt;/year&gt;&lt;/dates&gt;&lt;isbn&gt;1055-8330&lt;/isbn&gt;&lt;urls&gt;&lt;/urls&gt;&lt;/record&gt;&lt;/Cite&gt;&lt;/EndNote&gt;</w:instrText>
      </w:r>
      <w:r w:rsidRPr="007A7C51">
        <w:rPr>
          <w:rFonts w:cs="Times New Roman"/>
        </w:rPr>
        <w:fldChar w:fldCharType="separate"/>
      </w:r>
      <w:r w:rsidR="0076576E" w:rsidRPr="0076576E">
        <w:rPr>
          <w:rFonts w:cs="Times New Roman"/>
          <w:noProof/>
          <w:vertAlign w:val="superscript"/>
        </w:rPr>
        <w:t>60</w:t>
      </w:r>
      <w:r w:rsidRPr="007A7C51">
        <w:rPr>
          <w:rFonts w:cs="Times New Roman"/>
        </w:rPr>
        <w:fldChar w:fldCharType="end"/>
      </w:r>
      <w:r w:rsidRPr="007A7C51">
        <w:rPr>
          <w:rFonts w:cs="Times New Roman"/>
        </w:rPr>
        <w:t xml:space="preserve"> Therefore, the observed rates of any type of CJD could still be an underestimat</w:t>
      </w:r>
      <w:r w:rsidR="00B11C37">
        <w:rPr>
          <w:rFonts w:cs="Times New Roman"/>
        </w:rPr>
        <w:t>e</w:t>
      </w:r>
      <w:r w:rsidRPr="007A7C51">
        <w:rPr>
          <w:rFonts w:cs="Times New Roman"/>
        </w:rPr>
        <w:t xml:space="preserve"> of the actual rate of CJD deaths in the absence of definitive pathological examination of all cases. It is also plausible that numerous cases of CJD which </w:t>
      </w:r>
      <w:r w:rsidR="001D24AE" w:rsidRPr="007A7C51">
        <w:rPr>
          <w:rFonts w:cs="Times New Roman"/>
        </w:rPr>
        <w:t xml:space="preserve">occur </w:t>
      </w:r>
      <w:r w:rsidR="00767562" w:rsidRPr="007A7C51">
        <w:rPr>
          <w:rFonts w:cs="Times New Roman"/>
        </w:rPr>
        <w:t>l</w:t>
      </w:r>
      <w:r w:rsidR="001D24AE" w:rsidRPr="007A7C51">
        <w:rPr>
          <w:rFonts w:cs="Times New Roman"/>
        </w:rPr>
        <w:t>ater in life, particularly where access to clinicians with experience</w:t>
      </w:r>
      <w:r w:rsidR="00271AD2" w:rsidRPr="007A7C51">
        <w:rPr>
          <w:rFonts w:cs="Times New Roman"/>
        </w:rPr>
        <w:t xml:space="preserve"> </w:t>
      </w:r>
      <w:r w:rsidR="001D24AE" w:rsidRPr="007A7C51">
        <w:rPr>
          <w:rFonts w:cs="Times New Roman"/>
        </w:rPr>
        <w:t>of diagnosing CJD is limited, may result in</w:t>
      </w:r>
      <w:r w:rsidR="00875F98" w:rsidRPr="007A7C51">
        <w:rPr>
          <w:rFonts w:cs="Times New Roman"/>
        </w:rPr>
        <w:t xml:space="preserve"> some cases of</w:t>
      </w:r>
      <w:r w:rsidR="001D24AE" w:rsidRPr="007A7C51">
        <w:rPr>
          <w:rFonts w:cs="Times New Roman"/>
        </w:rPr>
        <w:t xml:space="preserve"> misclassification of CJD, despite </w:t>
      </w:r>
      <w:r w:rsidR="000F443E">
        <w:rPr>
          <w:rFonts w:cs="Times New Roman"/>
        </w:rPr>
        <w:t xml:space="preserve">potentially </w:t>
      </w:r>
      <w:r w:rsidR="001D24AE" w:rsidRPr="007A7C51">
        <w:rPr>
          <w:rFonts w:cs="Times New Roman"/>
        </w:rPr>
        <w:t>improved detection.</w:t>
      </w:r>
      <w:r w:rsidR="00BE21EA">
        <w:rPr>
          <w:rFonts w:cs="Times New Roman"/>
        </w:rPr>
        <w:t xml:space="preserve"> </w:t>
      </w:r>
      <w:r w:rsidR="00F9670D">
        <w:rPr>
          <w:rFonts w:cs="Times New Roman"/>
        </w:rPr>
        <w:t>However, g</w:t>
      </w:r>
      <w:r w:rsidR="00BE21EA">
        <w:rPr>
          <w:rFonts w:cs="Times New Roman"/>
        </w:rPr>
        <w:t xml:space="preserve">iven the rarity of CJD presentation </w:t>
      </w:r>
      <w:r w:rsidR="00F9670D">
        <w:rPr>
          <w:rFonts w:cs="Times New Roman"/>
        </w:rPr>
        <w:t xml:space="preserve">worldwide </w:t>
      </w:r>
      <w:r w:rsidR="00BE21EA">
        <w:rPr>
          <w:rFonts w:cs="Times New Roman"/>
        </w:rPr>
        <w:t xml:space="preserve">and </w:t>
      </w:r>
      <w:r w:rsidR="00C25D64">
        <w:rPr>
          <w:rFonts w:cs="Times New Roman"/>
        </w:rPr>
        <w:t xml:space="preserve">consequent </w:t>
      </w:r>
      <w:r w:rsidR="00F9670D">
        <w:rPr>
          <w:rFonts w:cs="Times New Roman"/>
        </w:rPr>
        <w:t xml:space="preserve">clinical </w:t>
      </w:r>
      <w:r w:rsidR="00BE21EA">
        <w:rPr>
          <w:rFonts w:cs="Times New Roman"/>
        </w:rPr>
        <w:t xml:space="preserve">expertise, a degree of caution should be exercised in </w:t>
      </w:r>
      <w:r w:rsidR="00B11C37">
        <w:rPr>
          <w:rFonts w:cs="Times New Roman"/>
        </w:rPr>
        <w:t xml:space="preserve">the </w:t>
      </w:r>
      <w:r w:rsidR="00BE21EA">
        <w:rPr>
          <w:rFonts w:cs="Times New Roman"/>
        </w:rPr>
        <w:t xml:space="preserve">interpretation of the limited available data.  </w:t>
      </w:r>
    </w:p>
    <w:p w14:paraId="66161C33" w14:textId="77777777" w:rsidR="00D96D80" w:rsidRPr="007A7C51" w:rsidRDefault="00D96D80" w:rsidP="00D96D80">
      <w:pPr>
        <w:jc w:val="both"/>
        <w:rPr>
          <w:rFonts w:cs="Times New Roman"/>
        </w:rPr>
      </w:pPr>
    </w:p>
    <w:p w14:paraId="750498D5" w14:textId="024E8F65" w:rsidR="002023E0" w:rsidRPr="006A1AA7" w:rsidRDefault="002023E0" w:rsidP="00D96D80">
      <w:pPr>
        <w:pStyle w:val="Heading4"/>
        <w:spacing w:before="0"/>
        <w:rPr>
          <w:sz w:val="22"/>
        </w:rPr>
      </w:pPr>
      <w:r w:rsidRPr="006A1AA7">
        <w:rPr>
          <w:sz w:val="22"/>
        </w:rPr>
        <w:t>Disease duration</w:t>
      </w:r>
    </w:p>
    <w:p w14:paraId="286E09C6" w14:textId="3E728650" w:rsidR="00B47B9C" w:rsidRPr="007A7C51" w:rsidRDefault="00BE21EA" w:rsidP="00D96D80">
      <w:pPr>
        <w:autoSpaceDE w:val="0"/>
        <w:autoSpaceDN w:val="0"/>
        <w:adjustRightInd w:val="0"/>
        <w:jc w:val="both"/>
        <w:rPr>
          <w:rFonts w:cs="Times New Roman"/>
        </w:rPr>
      </w:pPr>
      <w:r>
        <w:rPr>
          <w:rFonts w:cs="Times New Roman"/>
        </w:rPr>
        <w:t xml:space="preserve">Disease duration </w:t>
      </w:r>
      <w:r w:rsidR="00700FF2">
        <w:rPr>
          <w:rFonts w:cs="Times New Roman"/>
        </w:rPr>
        <w:t>is</w:t>
      </w:r>
      <w:r>
        <w:rPr>
          <w:rFonts w:cs="Times New Roman"/>
        </w:rPr>
        <w:t xml:space="preserve"> regarded as the time between </w:t>
      </w:r>
      <w:r w:rsidR="00700FF2">
        <w:rPr>
          <w:rFonts w:cs="Times New Roman"/>
        </w:rPr>
        <w:t xml:space="preserve">the </w:t>
      </w:r>
      <w:r>
        <w:rPr>
          <w:rFonts w:cs="Times New Roman"/>
        </w:rPr>
        <w:t>onset of clinical CJD symptom</w:t>
      </w:r>
      <w:r w:rsidR="00700FF2">
        <w:rPr>
          <w:rFonts w:cs="Times New Roman"/>
        </w:rPr>
        <w:t>s</w:t>
      </w:r>
      <w:r>
        <w:rPr>
          <w:rFonts w:cs="Times New Roman"/>
        </w:rPr>
        <w:t xml:space="preserve"> </w:t>
      </w:r>
      <w:r w:rsidR="00700FF2">
        <w:rPr>
          <w:rFonts w:cs="Times New Roman"/>
        </w:rPr>
        <w:t>and</w:t>
      </w:r>
      <w:r>
        <w:rPr>
          <w:rFonts w:cs="Times New Roman"/>
        </w:rPr>
        <w:t xml:space="preserve"> death. </w:t>
      </w:r>
      <w:r w:rsidR="000B635E" w:rsidRPr="007A7C51">
        <w:rPr>
          <w:rFonts w:cs="Times New Roman"/>
        </w:rPr>
        <w:t>Sporadic CJD i</w:t>
      </w:r>
      <w:r w:rsidR="009968D1" w:rsidRPr="007A7C51">
        <w:rPr>
          <w:rFonts w:cs="Times New Roman"/>
        </w:rPr>
        <w:t>s</w:t>
      </w:r>
      <w:r w:rsidR="00B47B9C" w:rsidRPr="007A7C51">
        <w:rPr>
          <w:rFonts w:cs="Times New Roman"/>
        </w:rPr>
        <w:t xml:space="preserve"> commonly</w:t>
      </w:r>
      <w:r w:rsidR="009968D1" w:rsidRPr="007A7C51">
        <w:rPr>
          <w:rFonts w:cs="Times New Roman"/>
        </w:rPr>
        <w:t xml:space="preserve"> reported to have a disease duration of </w:t>
      </w:r>
      <w:r w:rsidR="000B635E" w:rsidRPr="007A7C51">
        <w:rPr>
          <w:rFonts w:cs="Times New Roman"/>
        </w:rPr>
        <w:t xml:space="preserve">around </w:t>
      </w:r>
      <w:r w:rsidR="009968D1" w:rsidRPr="007A7C51">
        <w:rPr>
          <w:rFonts w:cs="Times New Roman"/>
        </w:rPr>
        <w:t>4</w:t>
      </w:r>
      <w:r w:rsidR="000B635E" w:rsidRPr="007A7C51">
        <w:rPr>
          <w:rFonts w:cs="Times New Roman"/>
        </w:rPr>
        <w:t xml:space="preserve"> to 7 months</w:t>
      </w:r>
      <w:r w:rsidR="00E46B87">
        <w:rPr>
          <w:rFonts w:cs="Times New Roman"/>
        </w:rPr>
        <w:t>;</w:t>
      </w:r>
      <w:r w:rsidR="000B635E" w:rsidRPr="007A7C51">
        <w:rPr>
          <w:rFonts w:cs="Times New Roman"/>
        </w:rPr>
        <w:fldChar w:fldCharType="begin">
          <w:fldData xml:space="preserve">PEVuZE5vdGU+PENpdGU+PEF1dGhvcj5VcndpbjwvQXV0aG9yPjxZZWFyPjIwMTc8L1llYXI+PFJl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PEVuZE5vdGU+PENpdGU+PEF1dGhvcj5VcndpbjwvQXV0aG9yPjxZZWFyPjIwMTc8L1llYXI+PFJl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0B635E" w:rsidRPr="007A7C51">
        <w:rPr>
          <w:rFonts w:cs="Times New Roman"/>
        </w:rPr>
      </w:r>
      <w:r w:rsidR="000B635E" w:rsidRPr="007A7C51">
        <w:rPr>
          <w:rFonts w:cs="Times New Roman"/>
        </w:rPr>
        <w:fldChar w:fldCharType="separate"/>
      </w:r>
      <w:r w:rsidR="0076576E" w:rsidRPr="0076576E">
        <w:rPr>
          <w:rFonts w:cs="Times New Roman"/>
          <w:noProof/>
          <w:vertAlign w:val="superscript"/>
        </w:rPr>
        <w:t>2, 19, 61-63</w:t>
      </w:r>
      <w:r w:rsidR="000B635E" w:rsidRPr="007A7C51">
        <w:rPr>
          <w:rFonts w:cs="Times New Roman"/>
        </w:rPr>
        <w:fldChar w:fldCharType="end"/>
      </w:r>
      <w:r w:rsidR="000B635E" w:rsidRPr="007A7C51">
        <w:rPr>
          <w:rFonts w:cs="Times New Roman"/>
        </w:rPr>
        <w:t xml:space="preserve"> however</w:t>
      </w:r>
      <w:r w:rsidR="009968D1" w:rsidRPr="007A7C51">
        <w:rPr>
          <w:rFonts w:cs="Times New Roman"/>
        </w:rPr>
        <w:t xml:space="preserve">, </w:t>
      </w:r>
      <w:r w:rsidR="002023E0" w:rsidRPr="007A7C51">
        <w:rPr>
          <w:rFonts w:cs="Times New Roman"/>
        </w:rPr>
        <w:t xml:space="preserve">Nagoshi </w:t>
      </w:r>
      <w:r w:rsidR="00B301D6" w:rsidRPr="00B301D6">
        <w:rPr>
          <w:rFonts w:cs="Times New Roman"/>
          <w:i/>
        </w:rPr>
        <w:t>et al</w:t>
      </w:r>
      <w:r w:rsidR="002023E0" w:rsidRPr="007A7C51">
        <w:rPr>
          <w:rFonts w:cs="Times New Roman"/>
        </w:rPr>
        <w:t xml:space="preserve"> (2011) report that duration of disease </w:t>
      </w:r>
      <w:r w:rsidR="00925361" w:rsidRPr="007A7C51">
        <w:rPr>
          <w:rFonts w:cs="Times New Roman"/>
        </w:rPr>
        <w:t>wa</w:t>
      </w:r>
      <w:r w:rsidR="002023E0" w:rsidRPr="007A7C51">
        <w:rPr>
          <w:rFonts w:cs="Times New Roman"/>
        </w:rPr>
        <w:t>s longer for sporadic CJD in Japan than in Western countries. They state that sCJD, which represented 77.0% of cases</w:t>
      </w:r>
      <w:r w:rsidR="00E96AF6" w:rsidRPr="007A7C51">
        <w:rPr>
          <w:rFonts w:cs="Times New Roman"/>
        </w:rPr>
        <w:t xml:space="preserve"> of prion disease in their surveillance network</w:t>
      </w:r>
      <w:r w:rsidR="009968D1" w:rsidRPr="007A7C51">
        <w:rPr>
          <w:rFonts w:cs="Times New Roman"/>
        </w:rPr>
        <w:t xml:space="preserve"> between 1999-2008</w:t>
      </w:r>
      <w:r w:rsidR="002023E0" w:rsidRPr="007A7C51">
        <w:rPr>
          <w:rFonts w:cs="Times New Roman"/>
        </w:rPr>
        <w:t>,</w:t>
      </w:r>
      <w:r w:rsidR="00E96AF6" w:rsidRPr="007A7C51">
        <w:rPr>
          <w:rFonts w:cs="Times New Roman"/>
        </w:rPr>
        <w:t xml:space="preserve"> had a</w:t>
      </w:r>
      <w:r w:rsidR="002023E0" w:rsidRPr="007A7C51">
        <w:rPr>
          <w:rFonts w:cs="Times New Roman"/>
        </w:rPr>
        <w:t xml:space="preserve"> mean disease duration </w:t>
      </w:r>
      <w:r w:rsidR="00E96AF6" w:rsidRPr="007A7C51">
        <w:rPr>
          <w:rFonts w:cs="Times New Roman"/>
        </w:rPr>
        <w:t>of</w:t>
      </w:r>
      <w:r w:rsidR="002023E0" w:rsidRPr="007A7C51">
        <w:rPr>
          <w:rFonts w:cs="Times New Roman"/>
        </w:rPr>
        <w:t xml:space="preserve"> 15.7 months</w:t>
      </w:r>
      <w:r w:rsidR="000F443E">
        <w:rPr>
          <w:rFonts w:cs="Times New Roman"/>
        </w:rPr>
        <w:t>.</w:t>
      </w:r>
      <w:r w:rsidR="00615311" w:rsidRPr="007A7C51">
        <w:rPr>
          <w:rFonts w:cs="Times New Roman"/>
        </w:rPr>
        <w:t xml:space="preserve"> </w:t>
      </w:r>
      <w:r w:rsidR="005B5B9B" w:rsidRPr="007A7C51">
        <w:rPr>
          <w:rFonts w:cs="Times New Roman"/>
        </w:rPr>
        <w:t xml:space="preserve">This </w:t>
      </w:r>
      <w:r w:rsidR="000B635E" w:rsidRPr="007A7C51">
        <w:rPr>
          <w:rFonts w:cs="Times New Roman"/>
        </w:rPr>
        <w:t xml:space="preserve">longer </w:t>
      </w:r>
      <w:r w:rsidR="005B5B9B" w:rsidRPr="007A7C51">
        <w:rPr>
          <w:rFonts w:cs="Times New Roman"/>
        </w:rPr>
        <w:t xml:space="preserve">disease duration </w:t>
      </w:r>
      <w:r w:rsidR="000B635E" w:rsidRPr="007A7C51">
        <w:rPr>
          <w:rFonts w:cs="Times New Roman"/>
        </w:rPr>
        <w:t xml:space="preserve">in Japan </w:t>
      </w:r>
      <w:r w:rsidR="005B5B9B" w:rsidRPr="007A7C51">
        <w:rPr>
          <w:rFonts w:cs="Times New Roman"/>
        </w:rPr>
        <w:t>is more akin to the median observed in the UK for variant CJD which is 14 months from the onset of symptoms to death (NCJDRSU 2016 Annual Report)</w:t>
      </w:r>
      <w:r w:rsidR="00675093" w:rsidRPr="007A7C51">
        <w:rPr>
          <w:rFonts w:cs="Times New Roman"/>
        </w:rPr>
        <w:t xml:space="preserve"> or indeed iatrogenic CJD</w:t>
      </w:r>
      <w:r w:rsidR="00B47B9C" w:rsidRPr="007A7C51">
        <w:rPr>
          <w:rFonts w:cs="Times New Roman"/>
        </w:rPr>
        <w:t xml:space="preserve"> via </w:t>
      </w:r>
      <w:r w:rsidR="008115EA">
        <w:rPr>
          <w:rFonts w:cs="Times New Roman"/>
        </w:rPr>
        <w:t>hGH</w:t>
      </w:r>
      <w:r w:rsidR="00925361" w:rsidRPr="007A7C51">
        <w:rPr>
          <w:rFonts w:cs="Times New Roman"/>
        </w:rPr>
        <w:t xml:space="preserve">, </w:t>
      </w:r>
      <w:r w:rsidR="000B635E" w:rsidRPr="007A7C51">
        <w:rPr>
          <w:rFonts w:cs="Times New Roman"/>
        </w:rPr>
        <w:t xml:space="preserve">the median of </w:t>
      </w:r>
      <w:r w:rsidR="00925361" w:rsidRPr="007A7C51">
        <w:rPr>
          <w:rFonts w:cs="Times New Roman"/>
        </w:rPr>
        <w:t xml:space="preserve">which </w:t>
      </w:r>
      <w:r w:rsidR="000B635E" w:rsidRPr="007A7C51">
        <w:rPr>
          <w:rFonts w:cs="Times New Roman"/>
        </w:rPr>
        <w:t>i</w:t>
      </w:r>
      <w:r w:rsidR="00925361" w:rsidRPr="007A7C51">
        <w:rPr>
          <w:rFonts w:cs="Times New Roman"/>
        </w:rPr>
        <w:t xml:space="preserve">s reported </w:t>
      </w:r>
      <w:r w:rsidR="00832632" w:rsidRPr="007A7C51">
        <w:rPr>
          <w:rFonts w:cs="Times New Roman"/>
        </w:rPr>
        <w:t xml:space="preserve">as 16 months (mean 14 months) for 22 </w:t>
      </w:r>
      <w:r w:rsidR="00B47B9C" w:rsidRPr="007A7C51">
        <w:rPr>
          <w:rFonts w:cs="Times New Roman"/>
        </w:rPr>
        <w:t xml:space="preserve">iCJD </w:t>
      </w:r>
      <w:r w:rsidR="00832632" w:rsidRPr="007A7C51">
        <w:rPr>
          <w:rFonts w:cs="Times New Roman"/>
        </w:rPr>
        <w:t>patients</w:t>
      </w:r>
      <w:r w:rsidR="00F25602">
        <w:rPr>
          <w:rFonts w:cs="Times New Roman"/>
        </w:rPr>
        <w:t>.</w:t>
      </w:r>
      <w:r w:rsidR="00832632" w:rsidRPr="007A7C51">
        <w:rPr>
          <w:rFonts w:cs="Times New Roma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832632" w:rsidRPr="007A7C51">
        <w:rPr>
          <w:rFonts w:cs="Times New Roman"/>
        </w:rPr>
      </w:r>
      <w:r w:rsidR="00832632" w:rsidRPr="007A7C51">
        <w:rPr>
          <w:rFonts w:cs="Times New Roman"/>
        </w:rPr>
        <w:fldChar w:fldCharType="separate"/>
      </w:r>
      <w:r w:rsidR="0076576E" w:rsidRPr="0076576E">
        <w:rPr>
          <w:rFonts w:cs="Times New Roman"/>
          <w:noProof/>
          <w:vertAlign w:val="superscript"/>
        </w:rPr>
        <w:t>64</w:t>
      </w:r>
      <w:r w:rsidR="00832632" w:rsidRPr="007A7C51">
        <w:rPr>
          <w:rFonts w:cs="Times New Roman"/>
        </w:rPr>
        <w:fldChar w:fldCharType="end"/>
      </w:r>
      <w:r w:rsidR="005B5B9B" w:rsidRPr="007A7C51">
        <w:rPr>
          <w:rFonts w:cs="Times New Roman"/>
        </w:rPr>
        <w:t xml:space="preserve">  </w:t>
      </w:r>
      <w:r w:rsidR="00B47B9C" w:rsidRPr="007A7C51">
        <w:rPr>
          <w:rFonts w:cs="Times New Roman"/>
        </w:rPr>
        <w:t xml:space="preserve">Nagoshi </w:t>
      </w:r>
      <w:r w:rsidR="00B301D6" w:rsidRPr="00B301D6">
        <w:rPr>
          <w:rFonts w:cs="Times New Roman"/>
          <w:i/>
        </w:rPr>
        <w:t>et al</w:t>
      </w:r>
      <w:r w:rsidR="00B47B9C" w:rsidRPr="007A7C51">
        <w:rPr>
          <w:rFonts w:cs="Times New Roman"/>
        </w:rPr>
        <w:t xml:space="preserve"> (2011) also report that disease duration was longer in females (19.7 mon</w:t>
      </w:r>
      <w:r w:rsidR="004C2713">
        <w:rPr>
          <w:rFonts w:cs="Times New Roman"/>
        </w:rPr>
        <w:t>ths) than males (14.5 months) for</w:t>
      </w:r>
      <w:r w:rsidR="00B47B9C" w:rsidRPr="007A7C51">
        <w:rPr>
          <w:rFonts w:cs="Times New Roman"/>
        </w:rPr>
        <w:t xml:space="preserve"> sCJD </w:t>
      </w:r>
      <w:r w:rsidR="004C2713">
        <w:rPr>
          <w:rFonts w:cs="Times New Roman"/>
        </w:rPr>
        <w:t>and</w:t>
      </w:r>
      <w:r w:rsidR="00B47B9C" w:rsidRPr="007A7C51">
        <w:rPr>
          <w:rFonts w:cs="Times New Roman"/>
        </w:rPr>
        <w:t xml:space="preserve"> that this tendency was also true for </w:t>
      </w:r>
      <w:r w:rsidR="0021248F" w:rsidRPr="007A7C51">
        <w:rPr>
          <w:rFonts w:cs="Times New Roman"/>
        </w:rPr>
        <w:t>d</w:t>
      </w:r>
      <w:r w:rsidR="00635170">
        <w:rPr>
          <w:rFonts w:cs="Times New Roman"/>
        </w:rPr>
        <w:t xml:space="preserve">ura </w:t>
      </w:r>
      <w:r w:rsidR="0021248F">
        <w:rPr>
          <w:rFonts w:cs="Times New Roman"/>
        </w:rPr>
        <w:t>mater i</w:t>
      </w:r>
      <w:r w:rsidR="0021248F" w:rsidRPr="007A7C51">
        <w:rPr>
          <w:rFonts w:cs="Times New Roman"/>
        </w:rPr>
        <w:t>CJD</w:t>
      </w:r>
      <w:r w:rsidR="0021248F">
        <w:rPr>
          <w:rFonts w:cs="Times New Roman"/>
        </w:rPr>
        <w:t xml:space="preserve"> and types of</w:t>
      </w:r>
      <w:r w:rsidR="0021248F" w:rsidRPr="007A7C51">
        <w:rPr>
          <w:rFonts w:cs="Times New Roman"/>
        </w:rPr>
        <w:t xml:space="preserve"> </w:t>
      </w:r>
      <w:r w:rsidR="00B47B9C" w:rsidRPr="007A7C51">
        <w:rPr>
          <w:rFonts w:cs="Times New Roman"/>
        </w:rPr>
        <w:t>gCJD</w:t>
      </w:r>
      <w:r w:rsidR="0021248F">
        <w:rPr>
          <w:rFonts w:cs="Times New Roman"/>
        </w:rPr>
        <w:t xml:space="preserve"> including</w:t>
      </w:r>
      <w:r w:rsidR="00B47B9C" w:rsidRPr="007A7C51">
        <w:rPr>
          <w:rFonts w:cs="Times New Roman"/>
        </w:rPr>
        <w:t xml:space="preserve"> </w:t>
      </w:r>
      <w:r w:rsidR="000F443E" w:rsidRPr="000C07FF">
        <w:rPr>
          <w:rFonts w:cs="Times New Roman"/>
        </w:rPr>
        <w:t>human Gerstmann-Sträussler-Scheinker (GSS</w:t>
      </w:r>
      <w:r w:rsidR="000F443E">
        <w:rPr>
          <w:rFonts w:cs="Times New Roman"/>
        </w:rPr>
        <w:t>)</w:t>
      </w:r>
      <w:r w:rsidR="000F443E" w:rsidRPr="007A7C51">
        <w:rPr>
          <w:rFonts w:cs="Times New Roman"/>
        </w:rPr>
        <w:t xml:space="preserve"> </w:t>
      </w:r>
      <w:r w:rsidR="00B47B9C" w:rsidRPr="007A7C51">
        <w:rPr>
          <w:rFonts w:cs="Times New Roman"/>
        </w:rPr>
        <w:t xml:space="preserve">and </w:t>
      </w:r>
      <w:r w:rsidR="0021248F">
        <w:rPr>
          <w:rFonts w:cs="Times New Roman"/>
        </w:rPr>
        <w:t>fatal f</w:t>
      </w:r>
      <w:r w:rsidR="000F443E">
        <w:rPr>
          <w:rFonts w:cs="Times New Roman"/>
        </w:rPr>
        <w:t xml:space="preserve">amilial </w:t>
      </w:r>
      <w:r w:rsidR="0021248F">
        <w:rPr>
          <w:rFonts w:cs="Times New Roman"/>
        </w:rPr>
        <w:t>i</w:t>
      </w:r>
      <w:r w:rsidR="000F443E">
        <w:rPr>
          <w:rFonts w:cs="Times New Roman"/>
        </w:rPr>
        <w:t>nsomnia (</w:t>
      </w:r>
      <w:r w:rsidR="00B47B9C" w:rsidRPr="007A7C51">
        <w:rPr>
          <w:rFonts w:cs="Times New Roman"/>
        </w:rPr>
        <w:t>FFI</w:t>
      </w:r>
      <w:r w:rsidR="000F443E">
        <w:rPr>
          <w:rFonts w:cs="Times New Roman"/>
        </w:rPr>
        <w:t>)</w:t>
      </w:r>
      <w:r w:rsidR="00B47B9C" w:rsidRPr="007A7C51">
        <w:rPr>
          <w:rFonts w:cs="Times New Roman"/>
        </w:rPr>
        <w:t xml:space="preserve">. </w:t>
      </w:r>
      <w:r w:rsidR="002A59F8">
        <w:rPr>
          <w:rFonts w:cs="Times New Roman"/>
        </w:rPr>
        <w:t xml:space="preserve">Nagoshi </w:t>
      </w:r>
      <w:r w:rsidR="00B301D6" w:rsidRPr="00B301D6">
        <w:rPr>
          <w:rFonts w:cs="Times New Roman"/>
          <w:i/>
        </w:rPr>
        <w:t>et al</w:t>
      </w:r>
      <w:r w:rsidR="00B47B9C" w:rsidRPr="007A7C51">
        <w:rPr>
          <w:rFonts w:cs="Times New Roman"/>
        </w:rPr>
        <w:t xml:space="preserve"> also report that </w:t>
      </w:r>
      <w:r w:rsidR="00C25D64">
        <w:rPr>
          <w:rFonts w:cs="Times New Roman"/>
        </w:rPr>
        <w:t>young</w:t>
      </w:r>
      <w:r w:rsidR="00C25D64" w:rsidRPr="007A7C51">
        <w:rPr>
          <w:rFonts w:cs="Times New Roman"/>
        </w:rPr>
        <w:t xml:space="preserve">er </w:t>
      </w:r>
      <w:r w:rsidR="00B47B9C" w:rsidRPr="007A7C51">
        <w:rPr>
          <w:rFonts w:cs="Times New Roman"/>
        </w:rPr>
        <w:t>onset of disease was associated with longer disease duration for all types of CJD.</w:t>
      </w:r>
    </w:p>
    <w:p w14:paraId="5BA1DE8A" w14:textId="77777777" w:rsidR="005E286B" w:rsidRPr="009F5584" w:rsidRDefault="005E286B" w:rsidP="00D96D80">
      <w:pPr>
        <w:autoSpaceDE w:val="0"/>
        <w:autoSpaceDN w:val="0"/>
        <w:adjustRightInd w:val="0"/>
        <w:jc w:val="both"/>
        <w:rPr>
          <w:rFonts w:cs="Times New Roman"/>
          <w:sz w:val="24"/>
          <w:szCs w:val="24"/>
        </w:rPr>
      </w:pPr>
    </w:p>
    <w:p w14:paraId="22B58A91" w14:textId="3A129442" w:rsidR="00B47B9C" w:rsidRPr="006A1AA7" w:rsidRDefault="0088320C" w:rsidP="00292024">
      <w:pPr>
        <w:pStyle w:val="Heading4"/>
        <w:rPr>
          <w:sz w:val="22"/>
        </w:rPr>
      </w:pPr>
      <w:r w:rsidRPr="006A1AA7">
        <w:rPr>
          <w:sz w:val="22"/>
        </w:rPr>
        <w:t>Genotype</w:t>
      </w:r>
      <w:r w:rsidR="00B40006" w:rsidRPr="006A1AA7">
        <w:rPr>
          <w:sz w:val="22"/>
        </w:rPr>
        <w:t>: codon 129</w:t>
      </w:r>
    </w:p>
    <w:p w14:paraId="08562F24" w14:textId="34F1A909" w:rsidR="00294505" w:rsidRDefault="00B23DCC" w:rsidP="00D96D80">
      <w:pPr>
        <w:autoSpaceDE w:val="0"/>
        <w:autoSpaceDN w:val="0"/>
        <w:adjustRightInd w:val="0"/>
        <w:jc w:val="both"/>
        <w:rPr>
          <w:rFonts w:cs="Times New Roman"/>
        </w:rPr>
      </w:pPr>
      <w:r>
        <w:rPr>
          <w:rFonts w:cs="Times New Roman"/>
        </w:rPr>
        <w:t>M</w:t>
      </w:r>
      <w:r w:rsidR="00294505" w:rsidRPr="007A7C51">
        <w:rPr>
          <w:rFonts w:cs="Times New Roman"/>
        </w:rPr>
        <w:t xml:space="preserve">ethionine homozygosity at codon 129 (MM) </w:t>
      </w:r>
      <w:r>
        <w:rPr>
          <w:rFonts w:cs="Times New Roman"/>
        </w:rPr>
        <w:t>i</w:t>
      </w:r>
      <w:r w:rsidRPr="007A7C51">
        <w:rPr>
          <w:rFonts w:cs="Times New Roman"/>
        </w:rPr>
        <w:t xml:space="preserve">s </w:t>
      </w:r>
      <w:r w:rsidR="00294505" w:rsidRPr="007A7C51">
        <w:rPr>
          <w:rFonts w:cs="Times New Roman"/>
        </w:rPr>
        <w:t>considered the most susceptible genotype for CJD with sCJD and vCJD occurring mostly in MM homozygous individuals</w:t>
      </w:r>
      <w:r w:rsidR="0099198C" w:rsidRPr="007A7C51">
        <w:rPr>
          <w:rFonts w:cs="Times New Roman"/>
        </w:rPr>
        <w:t>. I</w:t>
      </w:r>
      <w:r w:rsidR="00294505" w:rsidRPr="007A7C51">
        <w:rPr>
          <w:rFonts w:cs="Times New Roman"/>
        </w:rPr>
        <w:t>n sCJD, both methionine and valine homozygotes</w:t>
      </w:r>
      <w:r w:rsidR="0099198C" w:rsidRPr="007A7C51">
        <w:rPr>
          <w:rFonts w:cs="Times New Roman"/>
        </w:rPr>
        <w:t xml:space="preserve"> (VV)</w:t>
      </w:r>
      <w:r w:rsidR="00294505" w:rsidRPr="007A7C51">
        <w:rPr>
          <w:rFonts w:cs="Times New Roman"/>
        </w:rPr>
        <w:t xml:space="preserve"> at PRNP codon 129 are at increased risk of the disease.</w:t>
      </w:r>
      <w:r w:rsidR="00294505" w:rsidRPr="007A7C51">
        <w:rPr>
          <w:rFonts w:cs="Times New Roman"/>
        </w:rPr>
        <w:fldChar w:fldCharType="begin"/>
      </w:r>
      <w:r w:rsidR="0076576E">
        <w:rPr>
          <w:rFonts w:cs="Times New Roman"/>
        </w:rPr>
        <w:instrText xml:space="preserve"> ADDIN EN.CITE &lt;EndNote&gt;&lt;Cite&gt;&lt;Author&gt;Sanchez-Juan&lt;/Author&gt;&lt;Year&gt;2011&lt;/Year&gt;&lt;RecNum&gt;8485&lt;/RecNum&gt;&lt;DisplayText&gt;&lt;style face="superscript"&gt;65&lt;/style&gt;&lt;/DisplayText&gt;&lt;record&gt;&lt;rec-number&gt;8485&lt;/rec-number&gt;&lt;foreign-keys&gt;&lt;key app="EN" db-id="vrp0pptazv05wtesfz5vrzsj2p0rv09ttsa9" timestamp="1506588796" guid="c02eedaf-b0fd-4a16-a7ad-9570251b9a94"&gt;8485&lt;/key&gt;&lt;/foreign-keys&gt;&lt;ref-type name="Journal Article"&gt;17&lt;/ref-type&gt;&lt;contributors&gt;&lt;authors&gt;&lt;author&gt;Sanchez-Juan, P.&lt;/author&gt;&lt;author&gt;Bishop, M. T.&lt;/author&gt;&lt;author&gt;Croes, E. A.&lt;/author&gt;&lt;author&gt;Knight, R. S. G.&lt;/author&gt;&lt;author&gt;Will, R. G.&lt;/author&gt;&lt;author&gt;van Duijn, C. M.&lt;/author&gt;&lt;author&gt;Manson, J. C.&lt;/author&gt;&lt;/authors&gt;&lt;/contributors&gt;&lt;titles&gt;&lt;title&gt;A polymorphism in the regulatory region of PRNP is associated with increased risk of sporadic Creutzfeldt-Jakob disease&lt;/title&gt;&lt;secondary-title&gt;Bmc Medical Genetics&lt;/secondary-title&gt;&lt;/titles&gt;&lt;periodical&gt;&lt;full-title&gt;Bmc Medical Genetics&lt;/full-title&gt;&lt;/periodical&gt;&lt;volume&gt;12&lt;/volume&gt;&lt;keywords&gt;&lt;keyword&gt;$$LU_1_prevalence CJD&lt;/keyword&gt;&lt;keyword&gt;$$CJD relevant&lt;/keyword&gt;&lt;keyword&gt;$$1_prevalence CJD&lt;/keyword&gt;&lt;/keywords&gt;&lt;dates&gt;&lt;year&gt;2011&lt;/year&gt;&lt;pub-dates&gt;&lt;date&gt;May&lt;/date&gt;&lt;/pub-dates&gt;&lt;/dates&gt;&lt;isbn&gt;1471-2350&lt;/isbn&gt;&lt;accession-num&gt;WOS:000291702300001&lt;/accession-num&gt;&lt;urls&gt;&lt;related-urls&gt;&lt;url&gt;&amp;lt;Go to ISI&amp;gt;://WOS:000291702300001&lt;/url&gt;&lt;/related-urls&gt;&lt;/urls&gt;&lt;electronic-resource-num&gt;10.1186/1471-2350-12-73&lt;/electronic-resource-num&gt;&lt;/record&gt;&lt;/Cite&gt;&lt;/EndNote&gt;</w:instrText>
      </w:r>
      <w:r w:rsidR="00294505" w:rsidRPr="007A7C51">
        <w:rPr>
          <w:rFonts w:cs="Times New Roman"/>
        </w:rPr>
        <w:fldChar w:fldCharType="separate"/>
      </w:r>
      <w:r w:rsidR="0076576E" w:rsidRPr="0076576E">
        <w:rPr>
          <w:rFonts w:cs="Times New Roman"/>
          <w:noProof/>
          <w:vertAlign w:val="superscript"/>
        </w:rPr>
        <w:t>65</w:t>
      </w:r>
      <w:r w:rsidR="00294505" w:rsidRPr="007A7C51">
        <w:rPr>
          <w:rFonts w:cs="Times New Roman"/>
        </w:rPr>
        <w:fldChar w:fldCharType="end"/>
      </w:r>
      <w:r w:rsidR="00294505" w:rsidRPr="007A7C51">
        <w:rPr>
          <w:rFonts w:cs="Times New Roman"/>
        </w:rPr>
        <w:t xml:space="preserve"> In the north of Europe, the MM genotype represents 38% of the </w:t>
      </w:r>
      <w:r w:rsidR="00FA2D8B">
        <w:rPr>
          <w:rFonts w:cs="Times New Roman"/>
        </w:rPr>
        <w:t xml:space="preserve">general </w:t>
      </w:r>
      <w:r w:rsidR="00294505" w:rsidRPr="007A7C51">
        <w:rPr>
          <w:rFonts w:cs="Times New Roman"/>
        </w:rPr>
        <w:t>population whilst 11% are</w:t>
      </w:r>
      <w:r w:rsidR="0099198C" w:rsidRPr="007A7C51">
        <w:rPr>
          <w:rFonts w:cs="Times New Roman"/>
        </w:rPr>
        <w:t xml:space="preserve"> </w:t>
      </w:r>
      <w:r w:rsidR="00294505" w:rsidRPr="007A7C51">
        <w:rPr>
          <w:rFonts w:cs="Times New Roman"/>
        </w:rPr>
        <w:t>VV and 51% are heterozygotes (MV) at codon 129 of PRNP.</w:t>
      </w:r>
      <w:r w:rsidR="00294505" w:rsidRPr="007A7C51">
        <w:rPr>
          <w:rFonts w:cs="Times New Roman"/>
        </w:rPr>
        <w:fldChar w:fldCharType="begin"/>
      </w:r>
      <w:r w:rsidR="0076576E">
        <w:rPr>
          <w:rFonts w:cs="Times New Roman"/>
        </w:rPr>
        <w:instrText xml:space="preserve"> ADDIN EN.CITE &lt;EndNote&gt;&lt;Cite&gt;&lt;Author&gt;Brandner&lt;/Author&gt;&lt;Year&gt;2017&lt;/Year&gt;&lt;RecNum&gt;10257&lt;/RecNum&gt;&lt;DisplayText&gt;&lt;style face="superscript"&gt;66&lt;/style&gt;&lt;/DisplayText&gt;&lt;record&gt;&lt;rec-number&gt;10257&lt;/rec-number&gt;&lt;foreign-keys&gt;&lt;key app="EN" db-id="vrp0pptazv05wtesfz5vrzsj2p0rv09ttsa9" timestamp="1520851587" guid="46f9e330-88a1-47d6-8395-d3dfccceb631"&gt;10257&lt;/key&gt;&lt;/foreign-keys&gt;&lt;ref-type name="Journal Article"&gt;17&lt;/ref-type&gt;&lt;contributors&gt;&lt;authors&gt;&lt;author&gt;Brandner, Sebastian&lt;/author&gt;&lt;author&gt;Jaunmuktane, Zane&lt;/author&gt;&lt;/authors&gt;&lt;/contributors&gt;&lt;titles&gt;&lt;title&gt;Prion disease: experimental models and reality&lt;/title&gt;&lt;secondary-title&gt;Acta neuropathologica&lt;/secondary-title&gt;&lt;/titles&gt;&lt;periodical&gt;&lt;full-title&gt;Acta Neuropathologica&lt;/full-title&gt;&lt;/periodical&gt;&lt;pages&gt;197-222&lt;/pages&gt;&lt;volume&gt;133&lt;/volume&gt;&lt;number&gt;2&lt;/number&gt;&lt;keywords&gt;&lt;keyword&gt;$$Lesley google&lt;/keyword&gt;&lt;keyword&gt;$$CJD relevant&lt;/keyword&gt;&lt;keyword&gt;$$Background&lt;/keyword&gt;&lt;/keywords&gt;&lt;dates&gt;&lt;year&gt;2017&lt;/year&gt;&lt;/dates&gt;&lt;isbn&gt;0001-6322&lt;/isbn&gt;&lt;urls&gt;&lt;/urls&gt;&lt;/record&gt;&lt;/Cite&gt;&lt;/EndNote&gt;</w:instrText>
      </w:r>
      <w:r w:rsidR="00294505" w:rsidRPr="007A7C51">
        <w:rPr>
          <w:rFonts w:cs="Times New Roman"/>
        </w:rPr>
        <w:fldChar w:fldCharType="separate"/>
      </w:r>
      <w:r w:rsidR="0076576E" w:rsidRPr="0076576E">
        <w:rPr>
          <w:rFonts w:cs="Times New Roman"/>
          <w:noProof/>
          <w:vertAlign w:val="superscript"/>
        </w:rPr>
        <w:t>66</w:t>
      </w:r>
      <w:r w:rsidR="00294505" w:rsidRPr="007A7C51">
        <w:rPr>
          <w:rFonts w:cs="Times New Roman"/>
        </w:rPr>
        <w:fldChar w:fldCharType="end"/>
      </w:r>
      <w:r w:rsidR="00FA2D8B">
        <w:rPr>
          <w:rFonts w:cs="Times New Roman"/>
        </w:rPr>
        <w:t xml:space="preserve"> An epidemiological study </w:t>
      </w:r>
      <w:r w:rsidR="00EF264E">
        <w:rPr>
          <w:rFonts w:cs="Times New Roman"/>
        </w:rPr>
        <w:t xml:space="preserve">by Giaccone </w:t>
      </w:r>
      <w:r w:rsidR="00B301D6" w:rsidRPr="00B301D6">
        <w:rPr>
          <w:rFonts w:cs="Times New Roman"/>
          <w:i/>
        </w:rPr>
        <w:t>et al</w:t>
      </w:r>
      <w:r w:rsidR="00EF264E">
        <w:rPr>
          <w:rFonts w:cs="Times New Roman"/>
        </w:rPr>
        <w:t xml:space="preserve"> (2009) </w:t>
      </w:r>
      <w:r w:rsidR="00FA2D8B">
        <w:rPr>
          <w:rFonts w:cs="Times New Roman"/>
        </w:rPr>
        <w:t>of the PRNP genotype of 402 consecutive sCJD cases in Italy revealed that 70.4% (n=283) were MM, 15.4% (n=62) were MV and 14.2% (n=57) were VV.</w:t>
      </w:r>
      <w:r w:rsidR="00710F07">
        <w:rPr>
          <w:rFonts w:cs="Times New Roman"/>
        </w:rPr>
        <w:fldChar w:fldCharType="begin">
          <w:fldData xml:space="preserve">PEVuZE5vdGU+PENpdGU+PEF1dGhvcj5HaWFjY29uZTwvQXV0aG9yPjxZZWFyPjIwMDk8L1llYXI+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PEVuZE5vdGU+PENpdGU+PEF1dGhvcj5HaWFjY29uZTwvQXV0aG9yPjxZZWFyPjIwMDk8L1llYXI+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710F07">
        <w:rPr>
          <w:rFonts w:cs="Times New Roman"/>
        </w:rPr>
      </w:r>
      <w:r w:rsidR="00710F07">
        <w:rPr>
          <w:rFonts w:cs="Times New Roman"/>
        </w:rPr>
        <w:fldChar w:fldCharType="separate"/>
      </w:r>
      <w:r w:rsidR="0076576E" w:rsidRPr="0076576E">
        <w:rPr>
          <w:rFonts w:cs="Times New Roman"/>
          <w:noProof/>
          <w:vertAlign w:val="superscript"/>
        </w:rPr>
        <w:t>67</w:t>
      </w:r>
      <w:r w:rsidR="00710F07">
        <w:rPr>
          <w:rFonts w:cs="Times New Roman"/>
        </w:rPr>
        <w:fldChar w:fldCharType="end"/>
      </w:r>
      <w:r w:rsidR="00710F07">
        <w:rPr>
          <w:rFonts w:cs="Times New Roman"/>
        </w:rPr>
        <w:t xml:space="preserve"> W</w:t>
      </w:r>
      <w:r w:rsidR="00FA2D8B">
        <w:rPr>
          <w:rFonts w:cs="Times New Roman"/>
        </w:rPr>
        <w:t>hilst the numbers of MV and VV sCJD cases appear comparable</w:t>
      </w:r>
      <w:r w:rsidR="00710F07">
        <w:rPr>
          <w:rFonts w:cs="Times New Roman"/>
        </w:rPr>
        <w:t xml:space="preserve"> in this study</w:t>
      </w:r>
      <w:r w:rsidR="00FA2D8B">
        <w:rPr>
          <w:rFonts w:cs="Times New Roman"/>
        </w:rPr>
        <w:t xml:space="preserve">, the </w:t>
      </w:r>
      <w:r w:rsidR="00EF264E">
        <w:rPr>
          <w:rFonts w:cs="Times New Roman"/>
        </w:rPr>
        <w:t xml:space="preserve">fact that over half of the population </w:t>
      </w:r>
      <w:r w:rsidR="00710F07">
        <w:rPr>
          <w:rFonts w:cs="Times New Roman"/>
        </w:rPr>
        <w:t xml:space="preserve">in Europe </w:t>
      </w:r>
      <w:r w:rsidR="00EF264E">
        <w:rPr>
          <w:rFonts w:cs="Times New Roman"/>
        </w:rPr>
        <w:t>are MV indicates that the relative incidence of sCJD in heterozygotes at codon 129 is low.</w:t>
      </w:r>
    </w:p>
    <w:p w14:paraId="25654C04" w14:textId="77777777" w:rsidR="00BA6AEC" w:rsidRPr="007A7C51" w:rsidRDefault="00BA6AEC" w:rsidP="00D96D80">
      <w:pPr>
        <w:autoSpaceDE w:val="0"/>
        <w:autoSpaceDN w:val="0"/>
        <w:adjustRightInd w:val="0"/>
        <w:jc w:val="both"/>
        <w:rPr>
          <w:rFonts w:cs="Times New Roman"/>
        </w:rPr>
      </w:pPr>
    </w:p>
    <w:p w14:paraId="6D5B1DB1" w14:textId="12DA19F3" w:rsidR="00294505" w:rsidRDefault="00294505" w:rsidP="00D96D80">
      <w:pPr>
        <w:autoSpaceDE w:val="0"/>
        <w:autoSpaceDN w:val="0"/>
        <w:adjustRightInd w:val="0"/>
        <w:jc w:val="both"/>
        <w:rPr>
          <w:rFonts w:cs="Times New Roman"/>
        </w:rPr>
      </w:pPr>
      <w:r w:rsidRPr="007A7C51">
        <w:rPr>
          <w:rFonts w:cs="Times New Roman"/>
        </w:rPr>
        <w:t xml:space="preserve">In 2006, a re-analysis of the three appendices </w:t>
      </w:r>
      <w:r w:rsidR="002C73CC">
        <w:rPr>
          <w:rFonts w:cs="Times New Roman"/>
        </w:rPr>
        <w:t xml:space="preserve">by Ironside </w:t>
      </w:r>
      <w:r w:rsidR="00B301D6" w:rsidRPr="00B301D6">
        <w:rPr>
          <w:rFonts w:cs="Times New Roman"/>
          <w:i/>
        </w:rPr>
        <w:t>et al</w:t>
      </w:r>
      <w:r w:rsidR="002C73CC">
        <w:rPr>
          <w:rFonts w:cs="Times New Roman"/>
        </w:rPr>
        <w:t xml:space="preserve"> (2006) </w:t>
      </w:r>
      <w:r w:rsidRPr="007A7C51">
        <w:rPr>
          <w:rFonts w:cs="Times New Roman"/>
        </w:rPr>
        <w:t xml:space="preserve">identified </w:t>
      </w:r>
      <w:r w:rsidR="002C73CC">
        <w:rPr>
          <w:rFonts w:cs="Times New Roman"/>
        </w:rPr>
        <w:t>(</w:t>
      </w:r>
      <w:r w:rsidRPr="007A7C51">
        <w:rPr>
          <w:rFonts w:cs="Times New Roman"/>
        </w:rPr>
        <w:t>f</w:t>
      </w:r>
      <w:r w:rsidR="002C73CC">
        <w:rPr>
          <w:rFonts w:cs="Times New Roman"/>
        </w:rPr>
        <w:t>rom the</w:t>
      </w:r>
      <w:r w:rsidRPr="007A7C51">
        <w:rPr>
          <w:rFonts w:cs="Times New Roman"/>
        </w:rPr>
        <w:t xml:space="preserve"> cohort of 12,674 appendix and tonsil samples </w:t>
      </w:r>
      <w:r w:rsidR="002C73CC">
        <w:rPr>
          <w:rFonts w:cs="Times New Roman"/>
        </w:rPr>
        <w:t xml:space="preserve">analysed </w:t>
      </w:r>
      <w:r w:rsidRPr="007A7C51">
        <w:rPr>
          <w:rFonts w:cs="Times New Roman"/>
        </w:rPr>
        <w:t xml:space="preserve">by Hilton </w:t>
      </w:r>
      <w:r w:rsidR="00B301D6" w:rsidRPr="00B301D6">
        <w:rPr>
          <w:rFonts w:cs="Times New Roman"/>
          <w:i/>
        </w:rPr>
        <w:t>et al</w:t>
      </w:r>
      <w:r w:rsidRPr="007A7C51">
        <w:rPr>
          <w:rFonts w:cs="Times New Roman"/>
        </w:rPr>
        <w:t xml:space="preserve"> (2004)</w:t>
      </w:r>
      <w:r w:rsidRPr="007A7C51">
        <w:rPr>
          <w:rFonts w:cs="Times New Roman"/>
        </w:rPr>
        <w:fldChar w:fldCharType="begin"/>
      </w:r>
      <w:r w:rsidR="00892AF6">
        <w:rPr>
          <w:rFonts w:cs="Times New Roman"/>
        </w:rPr>
        <w:instrText xml:space="preserve"> ADDIN EN.CITE &lt;EndNote&gt;&lt;Cite&gt;&lt;Author&gt;Hilton&lt;/Author&gt;&lt;Year&gt;2004&lt;/Year&gt;&lt;RecNum&gt;579&lt;/RecNum&gt;&lt;DisplayText&gt;&lt;style face="superscript"&gt;7&lt;/style&gt;&lt;/DisplayText&gt;&lt;record&gt;&lt;rec-number&gt;579&lt;/rec-number&gt;&lt;foreign-keys&gt;&lt;key app="EN" db-id="vrp0pptazv05wtesfz5vrzsj2p0rv09ttsa9" timestamp="1499838794" guid="ad5bc5a4-b6b3-4f5e-b060-180f9763091a"&gt;579&lt;/key&gt;&lt;/foreign-keys&gt;&lt;ref-type name="Journal Article"&gt;17&lt;/ref-type&gt;&lt;contributors&gt;&lt;authors&gt;&lt;author&gt;Hilton, David A&lt;/author&gt;&lt;author&gt;Ghani, Azra C&lt;/author&gt;&lt;author&gt;Conyers, Lisa&lt;/author&gt;&lt;author&gt;Edwards, Philip&lt;/author&gt;&lt;author&gt;McCardle, Linda&lt;/author&gt;&lt;author&gt;Ritchie, Diane&lt;/author&gt;&lt;author&gt;Penney, Mark&lt;/author&gt;&lt;author&gt;Hegazy, Doha&lt;/author&gt;&lt;author&gt;Ironside, James W&lt;/author&gt;&lt;/authors&gt;&lt;/contributors&gt;&lt;titles&gt;&lt;title&gt;Prevalence of lymphoreticular prion protein accumulation in UK tissue samples&lt;/title&gt;&lt;secondary-title&gt;The Journal of Pathology&lt;/secondary-title&gt;&lt;/titles&gt;&lt;periodical&gt;&lt;full-title&gt;The Journal of pathology&lt;/full-title&gt;&lt;/periodical&gt;&lt;pages&gt;733-739&lt;/pages&gt;&lt;volume&gt;203&lt;/volume&gt;&lt;number&gt;3&lt;/number&gt;&lt;keywords&gt;&lt;keyword&gt;$$Lesley added for protocol&lt;/keyword&gt;&lt;/keywords&gt;&lt;dates&gt;&lt;year&gt;2004&lt;/year&gt;&lt;/dates&gt;&lt;isbn&gt;1096-9896&lt;/isbn&gt;&lt;urls&gt;&lt;related-urls&gt;&lt;url&gt;&lt;style face="underline" font="default" size="100%"&gt;http://onlinelibrary.wiley.com/doi/10.1002/path.1580/full&lt;/style&gt;&lt;/url&gt;&lt;/related-urls&gt;&lt;/urls&gt;&lt;access-date&gt;11.07.2017&lt;/access-date&gt;&lt;/record&gt;&lt;/Cite&gt;&lt;/EndNote&gt;</w:instrText>
      </w:r>
      <w:r w:rsidRPr="007A7C51">
        <w:rPr>
          <w:rFonts w:cs="Times New Roman"/>
        </w:rPr>
        <w:fldChar w:fldCharType="separate"/>
      </w:r>
      <w:r w:rsidR="001D65B2" w:rsidRPr="001D65B2">
        <w:rPr>
          <w:rFonts w:cs="Times New Roman"/>
          <w:noProof/>
          <w:vertAlign w:val="superscript"/>
        </w:rPr>
        <w:t>7</w:t>
      </w:r>
      <w:r w:rsidRPr="007A7C51">
        <w:rPr>
          <w:rFonts w:cs="Times New Roman"/>
        </w:rPr>
        <w:fldChar w:fldCharType="end"/>
      </w:r>
      <w:r w:rsidR="002C73CC">
        <w:rPr>
          <w:rFonts w:cs="Times New Roman"/>
        </w:rPr>
        <w:t>)</w:t>
      </w:r>
      <w:r w:rsidRPr="007A7C51">
        <w:rPr>
          <w:rFonts w:cs="Times New Roman"/>
        </w:rPr>
        <w:t xml:space="preserve"> </w:t>
      </w:r>
      <w:r w:rsidR="002C73CC">
        <w:rPr>
          <w:rFonts w:cs="Times New Roman"/>
        </w:rPr>
        <w:t>as</w:t>
      </w:r>
      <w:r w:rsidRPr="007A7C51">
        <w:rPr>
          <w:rFonts w:cs="Times New Roman"/>
        </w:rPr>
        <w:t xml:space="preserve"> positive for disease associated prion protein (PrP) found two of the three were VV genotype which provided the first indication that the valine homozygotes are also susceptible to vCJD infection.</w:t>
      </w:r>
      <w:r w:rsidRPr="007A7C51">
        <w:rPr>
          <w:rFonts w:cs="Times New Roman"/>
        </w:rPr>
        <w:fldChar w:fldCharType="begin">
          <w:fldData xml:space="preserve">PEVuZE5vdGU+PENpdGU+PEF1dGhvcj5Jcm9uc2lkZTwvQXV0aG9yPjxZZWFyPjIwMDY8L1llYXI+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PEVuZE5vdGU+PENpdGU+PEF1dGhvcj5Jcm9uc2lkZTwvQXV0aG9yPjxZZWFyPjIwMDY8L1llYXI+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68</w:t>
      </w:r>
      <w:r w:rsidRPr="007A7C51">
        <w:rPr>
          <w:rFonts w:cs="Times New Roman"/>
        </w:rPr>
        <w:fldChar w:fldCharType="end"/>
      </w:r>
      <w:r w:rsidRPr="007A7C51">
        <w:rPr>
          <w:rFonts w:cs="Times New Roman"/>
        </w:rPr>
        <w:t xml:space="preserve"> The authors suggested that people infected with vCJD who are VV may have a prolonged incubation period with subclinical infection that could cause secondary infection via blood transfusion or surgery. Additionally</w:t>
      </w:r>
      <w:r w:rsidR="002A59F8">
        <w:rPr>
          <w:rFonts w:cs="Times New Roman"/>
        </w:rPr>
        <w:t>,</w:t>
      </w:r>
      <w:r w:rsidRPr="007A7C51">
        <w:rPr>
          <w:rFonts w:cs="Times New Roman"/>
        </w:rPr>
        <w:t xml:space="preserve"> detection of subclinical prion accumulation in peripheral tissue by Gill </w:t>
      </w:r>
      <w:r w:rsidR="00B301D6" w:rsidRPr="00B301D6">
        <w:rPr>
          <w:rFonts w:cs="Times New Roman"/>
          <w:i/>
        </w:rPr>
        <w:t>et al</w:t>
      </w:r>
      <w:r w:rsidRPr="007A7C51">
        <w:rPr>
          <w:rFonts w:cs="Times New Roman"/>
        </w:rPr>
        <w:t xml:space="preserve"> (2013)</w:t>
      </w:r>
      <w:r w:rsidRPr="007A7C51">
        <w:rPr>
          <w:rFonts w:cs="Times New Roman"/>
        </w:rPr>
        <w:fldChar w:fldCharType="begin">
          <w:fldData xml:space="preserve">PEVuZE5vdGU+PENpdGU+PEF1dGhvcj5HaWxsPC9BdXRob3I+PFllYXI+MjAxMzwvWWVhcj48UmVj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PEVuZE5vdGU+PENpdGU+PEF1dGhvcj5HaWxsPC9BdXRob3I+PFllYXI+MjAxMzwvWWVhcj48UmVj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69</w:t>
      </w:r>
      <w:r w:rsidRPr="007A7C51">
        <w:rPr>
          <w:rFonts w:cs="Times New Roman"/>
        </w:rPr>
        <w:fldChar w:fldCharType="end"/>
      </w:r>
      <w:r w:rsidRPr="007A7C51">
        <w:rPr>
          <w:rFonts w:cs="Times New Roman"/>
        </w:rPr>
        <w:t xml:space="preserve"> </w:t>
      </w:r>
      <w:r w:rsidR="002A59F8">
        <w:rPr>
          <w:rFonts w:cs="Times New Roman"/>
        </w:rPr>
        <w:t xml:space="preserve">from </w:t>
      </w:r>
      <w:r w:rsidRPr="007A7C51">
        <w:rPr>
          <w:rFonts w:cs="Times New Roman"/>
        </w:rPr>
        <w:t>16 positive appendix samples</w:t>
      </w:r>
      <w:r w:rsidR="002A59F8">
        <w:rPr>
          <w:rFonts w:cs="Times New Roman"/>
        </w:rPr>
        <w:t xml:space="preserve"> found that</w:t>
      </w:r>
      <w:r w:rsidRPr="007A7C51">
        <w:rPr>
          <w:rFonts w:cs="Times New Roman"/>
        </w:rPr>
        <w:t xml:space="preserve"> eight were MM, four were MV, and four were VV at PRNP codon 129</w:t>
      </w:r>
      <w:r w:rsidR="002A59F8">
        <w:rPr>
          <w:rFonts w:cs="Times New Roman"/>
        </w:rPr>
        <w:t>, indicating</w:t>
      </w:r>
      <w:r w:rsidR="002A59F8" w:rsidRPr="007A7C51">
        <w:rPr>
          <w:rFonts w:cs="Times New Roman"/>
        </w:rPr>
        <w:t xml:space="preserve"> genetic susceptibility for subclinical CJD </w:t>
      </w:r>
      <w:r w:rsidR="002A59F8">
        <w:rPr>
          <w:rFonts w:cs="Times New Roman"/>
        </w:rPr>
        <w:t>wa</w:t>
      </w:r>
      <w:r w:rsidR="002A59F8" w:rsidRPr="007A7C51">
        <w:rPr>
          <w:rFonts w:cs="Times New Roman"/>
        </w:rPr>
        <w:t xml:space="preserve">s more equally </w:t>
      </w:r>
      <w:r w:rsidR="002A59F8">
        <w:rPr>
          <w:rFonts w:cs="Times New Roman"/>
        </w:rPr>
        <w:t>distributed in the population.</w:t>
      </w:r>
    </w:p>
    <w:p w14:paraId="3490171D" w14:textId="77777777" w:rsidR="00F25602" w:rsidRPr="007A7C51" w:rsidRDefault="00F25602" w:rsidP="00D96D80">
      <w:pPr>
        <w:autoSpaceDE w:val="0"/>
        <w:autoSpaceDN w:val="0"/>
        <w:adjustRightInd w:val="0"/>
        <w:jc w:val="both"/>
        <w:rPr>
          <w:rFonts w:cs="Times New Roman"/>
        </w:rPr>
      </w:pPr>
    </w:p>
    <w:p w14:paraId="5B8EF02F" w14:textId="3EA21CCA" w:rsidR="00294505" w:rsidRPr="007A7C51" w:rsidRDefault="00294505" w:rsidP="00D96D80">
      <w:pPr>
        <w:autoSpaceDE w:val="0"/>
        <w:autoSpaceDN w:val="0"/>
        <w:adjustRightInd w:val="0"/>
        <w:jc w:val="both"/>
        <w:rPr>
          <w:rFonts w:cs="Times New Roman"/>
        </w:rPr>
      </w:pPr>
      <w:r w:rsidRPr="007A7C51">
        <w:rPr>
          <w:rFonts w:cs="Times New Roman"/>
        </w:rPr>
        <w:t xml:space="preserve">Heterozygosity </w:t>
      </w:r>
      <w:r w:rsidR="006E589E">
        <w:rPr>
          <w:rFonts w:cs="Times New Roman"/>
        </w:rPr>
        <w:t xml:space="preserve">at PRNP codon 129 </w:t>
      </w:r>
      <w:r w:rsidRPr="007A7C51">
        <w:rPr>
          <w:rFonts w:cs="Times New Roman"/>
        </w:rPr>
        <w:t xml:space="preserve">was generally believed to confer </w:t>
      </w:r>
      <w:r w:rsidR="006E589E">
        <w:rPr>
          <w:rFonts w:cs="Times New Roman"/>
        </w:rPr>
        <w:t>complete</w:t>
      </w:r>
      <w:r w:rsidRPr="007A7C51">
        <w:rPr>
          <w:rFonts w:cs="Times New Roman"/>
        </w:rPr>
        <w:t xml:space="preserve"> resistance to both sporadic and acquired prion diseases.</w:t>
      </w:r>
      <w:r w:rsidRPr="007A7C51">
        <w:rPr>
          <w:rFonts w:cs="Times New Roman"/>
        </w:rPr>
        <w:fldChar w:fldCharType="begin">
          <w:fldData xml:space="preserve">PEVuZE5vdGU+PENpdGU+PEF1dGhvcj5NZWFkPC9BdXRob3I+PFllYXI+MjAwODwvWWVhcj48UmVj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PEVuZE5vdGU+PENpdGU+PEF1dGhvcj5NZWFkPC9BdXRob3I+PFllYXI+MjAwODwvWWVhcj48UmVj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70</w:t>
      </w:r>
      <w:r w:rsidRPr="007A7C51">
        <w:rPr>
          <w:rFonts w:cs="Times New Roman"/>
        </w:rPr>
        <w:fldChar w:fldCharType="end"/>
      </w:r>
      <w:r w:rsidRPr="007A7C51">
        <w:rPr>
          <w:rFonts w:cs="Times New Roman"/>
        </w:rPr>
        <w:t xml:space="preserve"> However, the most recent case of clinical vCJD in 2016 was heterozygous</w:t>
      </w:r>
      <w:r w:rsidRPr="007A7C51">
        <w:rPr>
          <w:rFonts w:cs="Times New Roman"/>
        </w:rPr>
        <w:fldChar w:fldCharType="begin"/>
      </w:r>
      <w:r w:rsidR="0076576E">
        <w:rPr>
          <w:rFonts w:cs="Times New Roman"/>
        </w:rPr>
        <w:instrText xml:space="preserve"> ADDIN EN.CITE &lt;EndNote&gt;&lt;Cite&gt;&lt;Author&gt;Mok&lt;/Author&gt;&lt;Year&gt;2017&lt;/Year&gt;&lt;RecNum&gt;9731&lt;/RecNum&gt;&lt;DisplayText&gt;&lt;style face="superscript"&gt;33&lt;/style&gt;&lt;/DisplayText&gt;&lt;record&gt;&lt;rec-number&gt;9731&lt;/rec-number&gt;&lt;foreign-keys&gt;&lt;key app="EN" db-id="vrp0pptazv05wtesfz5vrzsj2p0rv09ttsa9" timestamp="1511786612" guid="4955f14a-2207-4abf-b2f5-8bf0a8ef41c3"&gt;9731&lt;/key&gt;&lt;/foreign-keys&gt;&lt;ref-type name="Journal Article"&gt;17&lt;/ref-type&gt;&lt;contributors&gt;&lt;authors&gt;&lt;author&gt;Mok, Tzehow&lt;/author&gt;&lt;author&gt;Jaunmuktane, Zane&lt;/author&gt;&lt;author&gt;Joiner, Susan&lt;/author&gt;&lt;author&gt;Campbell, Tracy&lt;/author&gt;&lt;author&gt;Morgan, Catherine&lt;/author&gt;&lt;author&gt;Wakerley, Benjamin&lt;/author&gt;&lt;author&gt;Golestani, Farhad&lt;/author&gt;&lt;author&gt;Rudge, Peter&lt;/author&gt;&lt;author&gt;Mead, Simon&lt;/author&gt;&lt;author&gt;Jäger, H. Rolf&lt;/author&gt;&lt;author&gt;Wadsworth, Jonathan D.F.&lt;/author&gt;&lt;author&gt;Brandner, Sebastian&lt;/author&gt;&lt;author&gt;Collinge, John&lt;/author&gt;&lt;/authors&gt;&lt;/contributors&gt;&lt;titles&gt;&lt;title&gt;Variant Creutzfeldt–Jakob Disease in a Patient with Heterozygosity at PRNP Codon 129&lt;/title&gt;&lt;secondary-title&gt;New England Journal of Medicine&lt;/secondary-title&gt;&lt;/titles&gt;&lt;periodical&gt;&lt;full-title&gt;New England Journal of Medicine&lt;/full-title&gt;&lt;/periodical&gt;&lt;pages&gt;292-294&lt;/pages&gt;&lt;volume&gt;376&lt;/volume&gt;&lt;number&gt;3&lt;/number&gt;&lt;keywords&gt;&lt;keyword&gt;$$LU_1_prevalence CJD&lt;/keyword&gt;&lt;keyword&gt;$$LU_4_CJD infectivity&lt;/keyword&gt;&lt;keyword&gt;$$CJD relevant&lt;/keyword&gt;&lt;keyword&gt;$$Lesley google&lt;/keyword&gt;&lt;/keywords&gt;&lt;dates&gt;&lt;year&gt;2017&lt;/year&gt;&lt;/dates&gt;&lt;accession-num&gt;28099827&lt;/accession-num&gt;&lt;urls&gt;&lt;related-urls&gt;&lt;url&gt;http://www.nejm.org/doi/full/10.1056/NEJMc1610003&lt;/url&gt;&lt;/related-urls&gt;&lt;/urls&gt;&lt;electronic-resource-num&gt;10.1056/NEJMc1610003&lt;/electronic-resource-num&gt;&lt;/record&gt;&lt;/Cite&gt;&lt;/EndNote&gt;</w:instrText>
      </w:r>
      <w:r w:rsidRPr="007A7C51">
        <w:rPr>
          <w:rFonts w:cs="Times New Roman"/>
        </w:rPr>
        <w:fldChar w:fldCharType="separate"/>
      </w:r>
      <w:r w:rsidR="0076576E" w:rsidRPr="0076576E">
        <w:rPr>
          <w:rFonts w:cs="Times New Roman"/>
          <w:noProof/>
          <w:vertAlign w:val="superscript"/>
        </w:rPr>
        <w:t>33</w:t>
      </w:r>
      <w:r w:rsidRPr="007A7C51">
        <w:rPr>
          <w:rFonts w:cs="Times New Roman"/>
        </w:rPr>
        <w:fldChar w:fldCharType="end"/>
      </w:r>
      <w:r w:rsidRPr="007A7C51">
        <w:rPr>
          <w:rFonts w:cs="Times New Roman"/>
        </w:rPr>
        <w:t xml:space="preserve"> and an additional </w:t>
      </w:r>
      <w:r w:rsidR="00B23DCC">
        <w:rPr>
          <w:rFonts w:cs="Times New Roman"/>
        </w:rPr>
        <w:t>possible</w:t>
      </w:r>
      <w:r w:rsidR="00B23DCC" w:rsidRPr="007A7C51">
        <w:rPr>
          <w:rFonts w:cs="Times New Roman"/>
        </w:rPr>
        <w:t xml:space="preserve"> </w:t>
      </w:r>
      <w:r w:rsidRPr="007A7C51">
        <w:rPr>
          <w:rFonts w:cs="Times New Roman"/>
        </w:rPr>
        <w:t>vCJD case reported</w:t>
      </w:r>
      <w:r w:rsidR="00947B0F">
        <w:rPr>
          <w:rFonts w:cs="Times New Roman"/>
        </w:rPr>
        <w:t xml:space="preserve"> by Kaski </w:t>
      </w:r>
      <w:r w:rsidR="00B301D6" w:rsidRPr="00B301D6">
        <w:rPr>
          <w:rFonts w:cs="Times New Roman"/>
          <w:i/>
        </w:rPr>
        <w:t>et al</w:t>
      </w:r>
      <w:r w:rsidRPr="007A7C51">
        <w:rPr>
          <w:rFonts w:cs="Times New Roman"/>
        </w:rPr>
        <w:t xml:space="preserve"> in 2008 was also  heterozygous, </w:t>
      </w:r>
      <w:r w:rsidRPr="007A7C51">
        <w:rPr>
          <w:rFonts w:cs="Times New Roman"/>
        </w:rPr>
        <w:fldChar w:fldCharType="begin"/>
      </w:r>
      <w:r w:rsidR="0076576E">
        <w:rPr>
          <w:rFonts w:cs="Times New Roman"/>
        </w:rPr>
        <w:instrText xml:space="preserve"> ADDIN EN.CITE &lt;EndNote&gt;&lt;Cite&gt;&lt;Author&gt;Kaski&lt;/Author&gt;&lt;Year&gt;2009&lt;/Year&gt;&lt;RecNum&gt;10239&lt;/RecNum&gt;&lt;DisplayText&gt;&lt;style face="superscript"&gt;71&lt;/style&gt;&lt;/DisplayText&gt;&lt;record&gt;&lt;rec-number&gt;10239&lt;/rec-number&gt;&lt;foreign-keys&gt;&lt;key app="EN" db-id="vrp0pptazv05wtesfz5vrzsj2p0rv09ttsa9" timestamp="1514885066" guid="2fa54a76-654a-4e9f-9802-5b67a93fcb56"&gt;10239&lt;/key&gt;&lt;/foreign-keys&gt;&lt;ref-type name="Journal Article"&gt;17&lt;/ref-type&gt;&lt;contributors&gt;&lt;authors&gt;&lt;author&gt;Kaski, Diego&lt;/author&gt;&lt;author&gt;Mead, Simon&lt;/author&gt;&lt;author&gt;Hyare, Harpreet&lt;/author&gt;&lt;author&gt;Cooper, Sarah&lt;/author&gt;&lt;author&gt;Jampana, Ravi&lt;/author&gt;&lt;author&gt;Overell, James&lt;/author&gt;&lt;author&gt;Knight, Richard&lt;/author&gt;&lt;author&gt;Collinge, John&lt;/author&gt;&lt;author&gt;Rudge, Peter&lt;/author&gt;&lt;/authors&gt;&lt;/contributors&gt;&lt;titles&gt;&lt;title&gt;Variant CJD in an individual heterozygous for PRNP codon 129&lt;/title&gt;&lt;secondary-title&gt;The Lancet&lt;/secondary-title&gt;&lt;/titles&gt;&lt;periodical&gt;&lt;full-title&gt;The Lancet&lt;/full-title&gt;&lt;/periodical&gt;&lt;pages&gt;2128&lt;/pages&gt;&lt;volume&gt;374&lt;/volume&gt;&lt;number&gt;9707&lt;/number&gt;&lt;keywords&gt;&lt;keyword&gt;$$LU_1_prevalence CJD&lt;/keyword&gt;&lt;keyword&gt;$$CJD relevant&lt;/keyword&gt;&lt;keyword&gt;$$case report&lt;/keyword&gt;&lt;keyword&gt;$$1_prevalence CJD&lt;/keyword&gt;&lt;keyword&gt;$$Lesley google&lt;/keyword&gt;&lt;/keywords&gt;&lt;dates&gt;&lt;year&gt;2009&lt;/year&gt;&lt;/dates&gt;&lt;publisher&gt;Elsevier&lt;/publisher&gt;&lt;isbn&gt;0140-6736&lt;/isbn&gt;&lt;urls&gt;&lt;/urls&gt;&lt;/record&gt;&lt;/Cite&gt;&lt;/EndNote&gt;</w:instrText>
      </w:r>
      <w:r w:rsidRPr="007A7C51">
        <w:rPr>
          <w:rFonts w:cs="Times New Roman"/>
        </w:rPr>
        <w:fldChar w:fldCharType="separate"/>
      </w:r>
      <w:r w:rsidR="0076576E" w:rsidRPr="0076576E">
        <w:rPr>
          <w:rFonts w:cs="Times New Roman"/>
          <w:noProof/>
          <w:vertAlign w:val="superscript"/>
        </w:rPr>
        <w:t>71</w:t>
      </w:r>
      <w:r w:rsidRPr="007A7C51">
        <w:rPr>
          <w:rFonts w:cs="Times New Roman"/>
        </w:rPr>
        <w:fldChar w:fldCharType="end"/>
      </w:r>
      <w:r w:rsidRPr="007A7C51">
        <w:rPr>
          <w:rFonts w:cs="Times New Roman"/>
        </w:rPr>
        <w:t xml:space="preserve"> but this </w:t>
      </w:r>
      <w:r w:rsidR="00B23DCC">
        <w:rPr>
          <w:rFonts w:cs="Times New Roman"/>
        </w:rPr>
        <w:t>possible</w:t>
      </w:r>
      <w:r w:rsidR="00B23DCC" w:rsidRPr="007A7C51">
        <w:rPr>
          <w:rFonts w:cs="Times New Roman"/>
        </w:rPr>
        <w:t xml:space="preserve"> </w:t>
      </w:r>
      <w:r w:rsidRPr="007A7C51">
        <w:rPr>
          <w:rFonts w:cs="Times New Roman"/>
        </w:rPr>
        <w:t xml:space="preserve">vCJD case was not confirmed by autopsy. Case reports indicate that the MV genotype is susceptible to both subclinical </w:t>
      </w:r>
      <w:r w:rsidR="002A59F8">
        <w:rPr>
          <w:rFonts w:cs="Times New Roman"/>
        </w:rPr>
        <w:t>iCJD;</w:t>
      </w:r>
      <w:r w:rsidRPr="007A7C51">
        <w:rPr>
          <w:rFonts w:cs="Times New Roman"/>
        </w:rPr>
        <w:t xml:space="preserve"> a heterozygous 73-year-old male with haemophilia whose spleen at autopsy gave a strong positive result on repeated testing for </w:t>
      </w:r>
      <w:r w:rsidR="00764CB7" w:rsidRPr="007A7C51">
        <w:rPr>
          <w:rFonts w:eastAsia="Calibri" w:cs="Times New Roman"/>
        </w:rPr>
        <w:t>protease-resistant prion protein</w:t>
      </w:r>
      <w:r w:rsidR="00764CB7" w:rsidRPr="007A7C51">
        <w:rPr>
          <w:rFonts w:cs="Times New Roman"/>
        </w:rPr>
        <w:t xml:space="preserve"> </w:t>
      </w:r>
      <w:r w:rsidR="00764CB7">
        <w:rPr>
          <w:rFonts w:cs="Times New Roman"/>
        </w:rPr>
        <w:t>(</w:t>
      </w:r>
      <w:r w:rsidRPr="007A7C51">
        <w:rPr>
          <w:rFonts w:cs="Times New Roman"/>
        </w:rPr>
        <w:t>PrP</w:t>
      </w:r>
      <w:r w:rsidRPr="007A7C51">
        <w:rPr>
          <w:rFonts w:cs="Times New Roman"/>
          <w:vertAlign w:val="superscript"/>
        </w:rPr>
        <w:t>res</w:t>
      </w:r>
      <w:r w:rsidR="00764CB7">
        <w:rPr>
          <w:rFonts w:cs="Times New Roman"/>
        </w:rPr>
        <w:t>)</w:t>
      </w:r>
      <w:r w:rsidRPr="007A7C51">
        <w:rPr>
          <w:rFonts w:cs="Times New Roman"/>
        </w:rPr>
        <w:t xml:space="preserve"> by Western blot analysis</w:t>
      </w:r>
      <w:r w:rsidR="00AD0757" w:rsidRPr="007A7C51">
        <w:rPr>
          <w:rFonts w:cs="Times New Roman"/>
        </w:rPr>
        <w:t>, as</w:t>
      </w:r>
      <w:r w:rsidRPr="007A7C51">
        <w:rPr>
          <w:rFonts w:cs="Times New Roman"/>
        </w:rPr>
        <w:t xml:space="preserve"> reported by Peden </w:t>
      </w:r>
      <w:r w:rsidR="00B301D6" w:rsidRPr="00B301D6">
        <w:rPr>
          <w:rFonts w:cs="Times New Roman"/>
          <w:i/>
        </w:rPr>
        <w:t>et al</w:t>
      </w:r>
      <w:r w:rsidRPr="007A7C51">
        <w:rPr>
          <w:rFonts w:cs="Times New Roman"/>
        </w:rPr>
        <w:t xml:space="preserve"> (2010)</w:t>
      </w:r>
      <w:r w:rsidR="00AE6C98">
        <w:rPr>
          <w:rFonts w:cs="Times New Roman"/>
        </w:rPr>
        <w:t>.</w:t>
      </w:r>
      <w:r w:rsidRPr="007A7C51">
        <w:rPr>
          <w:rFonts w:cs="Times New Roman"/>
        </w:rPr>
        <w:fldChar w:fldCharType="begin"/>
      </w:r>
      <w:r w:rsidR="0076576E">
        <w:rPr>
          <w:rFonts w:cs="Times New Roman"/>
        </w:rPr>
        <w:instrText xml:space="preserve"> ADDIN EN.CITE &lt;EndNote&gt;&lt;Cite&gt;&lt;Author&gt;Peden&lt;/Author&gt;&lt;Year&gt;2010&lt;/Year&gt;&lt;RecNum&gt;8422&lt;/RecNum&gt;&lt;DisplayText&gt;&lt;style face="superscript"&gt;72&lt;/style&gt;&lt;/DisplayText&gt;&lt;record&gt;&lt;rec-number&gt;8422&lt;/rec-number&gt;&lt;foreign-keys&gt;&lt;key app="EN" db-id="vrp0pptazv05wtesfz5vrzsj2p0rv09ttsa9" timestamp="1506588787" guid="11126cc0-1d45-480d-96d0-63bbe60445ca"&gt;8422&lt;/key&gt;&lt;/foreign-keys&gt;&lt;ref-type name="Journal Article"&gt;17&lt;/ref-type&gt;&lt;contributors&gt;&lt;authors&gt;&lt;author&gt;Peden, A.&lt;/author&gt;&lt;author&gt;McCardle, L.&lt;/author&gt;&lt;author&gt;Head, M. W.&lt;/author&gt;&lt;author&gt;Love, S.&lt;/author&gt;&lt;author&gt;Ward, H. J. T.&lt;/author&gt;&lt;author&gt;Cousens, S. N.&lt;/author&gt;&lt;author&gt;Keeling, D. M.&lt;/author&gt;&lt;author&gt;Millar, C. M.&lt;/author&gt;&lt;author&gt;Hill, F. G. H.&lt;/author&gt;&lt;author&gt;Ironside, J. W.&lt;/author&gt;&lt;/authors&gt;&lt;/contributors&gt;&lt;titles&gt;&lt;title&gt;Variant CJD infection in the spleen of a neurologically asymptomatic UK adult patient with haemophilia&lt;/title&gt;&lt;secondary-title&gt;Haemophilia&lt;/secondary-title&gt;&lt;/titles&gt;&lt;periodical&gt;&lt;full-title&gt;Haemophilia&lt;/full-title&gt;&lt;/periodical&gt;&lt;pages&gt;296-304&lt;/pages&gt;&lt;volume&gt;16&lt;/volume&gt;&lt;number&gt;2&lt;/number&gt;&lt;keywords&gt;&lt;keyword&gt;$$LU_1_prevalence CJD&lt;/keyword&gt;&lt;keyword&gt;$$CC_3_TSE incubation&lt;/keyword&gt;&lt;keyword&gt;$$CJD relevant&lt;/keyword&gt;&lt;keyword&gt;$$1_prevalence CJD&lt;/keyword&gt;&lt;/keywords&gt;&lt;dates&gt;&lt;year&gt;2010&lt;/year&gt;&lt;pub-dates&gt;&lt;date&gt;Mar&lt;/date&gt;&lt;/pub-dates&gt;&lt;/dates&gt;&lt;isbn&gt;1351-8216&lt;/isbn&gt;&lt;accession-num&gt;WOS:000274941200012&lt;/accession-num&gt;&lt;urls&gt;&lt;related-urls&gt;&lt;url&gt;&amp;lt;Go to ISI&amp;gt;://WOS:000274941200012&lt;/url&gt;&lt;/related-urls&gt;&lt;/urls&gt;&lt;electronic-resource-num&gt;10.1111/j.1365-2516.2009.02181.x&lt;/electronic-resource-num&gt;&lt;/record&gt;&lt;/Cite&gt;&lt;/EndNote&gt;</w:instrText>
      </w:r>
      <w:r w:rsidRPr="007A7C51">
        <w:rPr>
          <w:rFonts w:cs="Times New Roman"/>
        </w:rPr>
        <w:fldChar w:fldCharType="separate"/>
      </w:r>
      <w:r w:rsidR="0076576E" w:rsidRPr="0076576E">
        <w:rPr>
          <w:rFonts w:cs="Times New Roman"/>
          <w:noProof/>
          <w:vertAlign w:val="superscript"/>
        </w:rPr>
        <w:t>72</w:t>
      </w:r>
      <w:r w:rsidRPr="007A7C51">
        <w:rPr>
          <w:rFonts w:cs="Times New Roman"/>
        </w:rPr>
        <w:fldChar w:fldCharType="end"/>
      </w:r>
      <w:r w:rsidRPr="007A7C51">
        <w:rPr>
          <w:rFonts w:cs="Times New Roman"/>
        </w:rPr>
        <w:t xml:space="preserve"> This patient had received over 9000 units of factor VIII concentrate prepared from plasma pools known to include donations from a vCJD-infected donor. </w:t>
      </w:r>
      <w:r w:rsidR="008115EA">
        <w:rPr>
          <w:rFonts w:cs="Times New Roman"/>
        </w:rPr>
        <w:t>Furthermore</w:t>
      </w:r>
      <w:r w:rsidRPr="007A7C51">
        <w:rPr>
          <w:rFonts w:cs="Times New Roman"/>
        </w:rPr>
        <w:t>, the case</w:t>
      </w:r>
      <w:r w:rsidR="004C2713">
        <w:rPr>
          <w:rFonts w:cs="Times New Roman"/>
        </w:rPr>
        <w:t xml:space="preserve"> report</w:t>
      </w:r>
      <w:r w:rsidRPr="007A7C51">
        <w:rPr>
          <w:rFonts w:cs="Times New Roman"/>
        </w:rPr>
        <w:t xml:space="preserve"> in 2004 of blood-transfusion-transmitted subclinical vCJD who was heterozygous at codon 129 but died of another cause unrelated to CJD</w:t>
      </w:r>
      <w:r w:rsidRPr="007A7C51">
        <w:rPr>
          <w:rFonts w:cs="Times New Roman"/>
        </w:rPr>
        <w:fldChar w:fldCharType="begin"/>
      </w:r>
      <w:r w:rsidR="0076576E">
        <w:rPr>
          <w:rFonts w:cs="Times New Roman"/>
        </w:rPr>
        <w:instrText xml:space="preserve"> ADDIN EN.CITE &lt;EndNote&gt;&lt;Cite&gt;&lt;Author&gt;Peden&lt;/Author&gt;&lt;Year&gt;2004&lt;/Year&gt;&lt;RecNum&gt;10256&lt;/RecNum&gt;&lt;DisplayText&gt;&lt;style face="superscript"&gt;73&lt;/style&gt;&lt;/DisplayText&gt;&lt;record&gt;&lt;rec-number&gt;10256&lt;/rec-number&gt;&lt;foreign-keys&gt;&lt;key app="EN" db-id="vrp0pptazv05wtesfz5vrzsj2p0rv09ttsa9" timestamp="1520851587" guid="5ecc7404-379c-4936-9b28-431cb34bfd08"&gt;10256&lt;/key&gt;&lt;/foreign-keys&gt;&lt;ref-type name="Journal Article"&gt;17&lt;/ref-type&gt;&lt;contributors&gt;&lt;authors&gt;&lt;author&gt;Peden, Alexander H&lt;/author&gt;&lt;author&gt;Head, Mark W&lt;/author&gt;&lt;author&gt;Diane, L Ritchie&lt;/author&gt;&lt;author&gt;Jeanne, E Bell&lt;/author&gt;&lt;author&gt;James, W Ironside&lt;/author&gt;&lt;/authors&gt;&lt;/contributors&gt;&lt;titles&gt;&lt;title&gt;Preclinical vCJD after blood transfusion in a PRNP codon 129 heterozygous patient&lt;/title&gt;&lt;secondary-title&gt;The Lancet&lt;/secondary-title&gt;&lt;/titles&gt;&lt;periodical&gt;&lt;full-title&gt;The Lancet&lt;/full-title&gt;&lt;/periodical&gt;&lt;pages&gt;527-529&lt;/pages&gt;&lt;volume&gt;364&lt;/volume&gt;&lt;number&gt;9433&lt;/number&gt;&lt;keywords&gt;&lt;keyword&gt;$$Committee recommended&lt;/keyword&gt;&lt;keyword&gt;$$CJD relevant&lt;/keyword&gt;&lt;keyword&gt;$$transfusion&lt;/keyword&gt;&lt;/keywords&gt;&lt;dates&gt;&lt;year&gt;2004&lt;/year&gt;&lt;/dates&gt;&lt;isbn&gt;0140-6736&lt;/isbn&gt;&lt;urls&gt;&lt;/urls&gt;&lt;/record&gt;&lt;/Cite&gt;&lt;/EndNote&gt;</w:instrText>
      </w:r>
      <w:r w:rsidRPr="007A7C51">
        <w:rPr>
          <w:rFonts w:cs="Times New Roman"/>
        </w:rPr>
        <w:fldChar w:fldCharType="separate"/>
      </w:r>
      <w:r w:rsidR="0076576E" w:rsidRPr="0076576E">
        <w:rPr>
          <w:rFonts w:cs="Times New Roman"/>
          <w:noProof/>
          <w:vertAlign w:val="superscript"/>
        </w:rPr>
        <w:t>73</w:t>
      </w:r>
      <w:r w:rsidRPr="007A7C51">
        <w:rPr>
          <w:rFonts w:cs="Times New Roman"/>
        </w:rPr>
        <w:fldChar w:fldCharType="end"/>
      </w:r>
      <w:r w:rsidRPr="007A7C51">
        <w:rPr>
          <w:rFonts w:cs="Times New Roman"/>
        </w:rPr>
        <w:t xml:space="preserve"> </w:t>
      </w:r>
      <w:r w:rsidR="008115EA">
        <w:rPr>
          <w:rFonts w:cs="Times New Roman"/>
        </w:rPr>
        <w:t>highlights the possibility</w:t>
      </w:r>
      <w:r w:rsidRPr="007A7C51">
        <w:rPr>
          <w:rFonts w:cs="Times New Roman"/>
        </w:rPr>
        <w:t xml:space="preserve"> of potential transmission</w:t>
      </w:r>
      <w:r w:rsidR="006D05FD">
        <w:rPr>
          <w:rFonts w:cs="Times New Roman"/>
        </w:rPr>
        <w:t xml:space="preserve"> to th</w:t>
      </w:r>
      <w:r w:rsidR="00692BA2">
        <w:rPr>
          <w:rFonts w:cs="Times New Roman"/>
        </w:rPr>
        <w:t>i</w:t>
      </w:r>
      <w:r w:rsidR="006D05FD">
        <w:rPr>
          <w:rFonts w:cs="Times New Roman"/>
        </w:rPr>
        <w:t>s genotype</w:t>
      </w:r>
      <w:r w:rsidRPr="007A7C51">
        <w:rPr>
          <w:rFonts w:cs="Times New Roman"/>
        </w:rPr>
        <w:t xml:space="preserve">. </w:t>
      </w:r>
      <w:r w:rsidR="008115EA">
        <w:rPr>
          <w:rFonts w:cs="Times New Roman"/>
        </w:rPr>
        <w:t>A study using</w:t>
      </w:r>
      <w:r w:rsidR="003C50A9" w:rsidRPr="007A7C51">
        <w:rPr>
          <w:rFonts w:cs="Times New Roman"/>
        </w:rPr>
        <w:t xml:space="preserve"> mice supports the notion that transmission efficiency of vCJD is greatest in MM but </w:t>
      </w:r>
      <w:r w:rsidR="00007540" w:rsidRPr="007A7C51">
        <w:rPr>
          <w:rFonts w:cs="Times New Roman"/>
        </w:rPr>
        <w:t xml:space="preserve">indicates that </w:t>
      </w:r>
      <w:r w:rsidR="003C50A9" w:rsidRPr="007A7C51">
        <w:rPr>
          <w:rFonts w:cs="Times New Roman"/>
        </w:rPr>
        <w:t>all genotypes are susceptible, with the MV and VV genotype</w:t>
      </w:r>
      <w:r w:rsidR="00007540" w:rsidRPr="007A7C51">
        <w:rPr>
          <w:rFonts w:cs="Times New Roman"/>
        </w:rPr>
        <w:t>s</w:t>
      </w:r>
      <w:r w:rsidR="003C50A9" w:rsidRPr="007A7C51">
        <w:rPr>
          <w:rFonts w:cs="Times New Roman"/>
        </w:rPr>
        <w:t xml:space="preserve"> benefitting from </w:t>
      </w:r>
      <w:r w:rsidR="00007540" w:rsidRPr="007A7C51">
        <w:rPr>
          <w:rFonts w:cs="Times New Roman"/>
        </w:rPr>
        <w:t xml:space="preserve">apparent </w:t>
      </w:r>
      <w:r w:rsidR="003C50A9" w:rsidRPr="007A7C51">
        <w:rPr>
          <w:rFonts w:cs="Times New Roman"/>
        </w:rPr>
        <w:t>reduced transmission efficiency and longer asymptomatic incubation periods.</w:t>
      </w:r>
      <w:r w:rsidR="00EA289D" w:rsidRPr="007A7C51">
        <w:rPr>
          <w:rFonts w:cs="Times New Roman"/>
        </w:rPr>
        <w:fldChar w:fldCharType="begin">
          <w:fldData xml:space="preserve">PEVuZE5vdGU+PENpdGU+PEF1dGhvcj5CaXNob3A8L0F1dGhvcj48WWVhcj4yMDA2PC9ZZWFyPjxS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PEVuZE5vdGU+PENpdGU+PEF1dGhvcj5CaXNob3A8L0F1dGhvcj48WWVhcj4yMDA2PC9ZZWFyPjxS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EA289D" w:rsidRPr="007A7C51">
        <w:rPr>
          <w:rFonts w:cs="Times New Roman"/>
        </w:rPr>
      </w:r>
      <w:r w:rsidR="00EA289D" w:rsidRPr="007A7C51">
        <w:rPr>
          <w:rFonts w:cs="Times New Roman"/>
        </w:rPr>
        <w:fldChar w:fldCharType="separate"/>
      </w:r>
      <w:r w:rsidR="0076576E" w:rsidRPr="0076576E">
        <w:rPr>
          <w:rFonts w:cs="Times New Roman"/>
          <w:noProof/>
          <w:vertAlign w:val="superscript"/>
        </w:rPr>
        <w:t>74</w:t>
      </w:r>
      <w:r w:rsidR="00EA289D" w:rsidRPr="007A7C51">
        <w:rPr>
          <w:rFonts w:cs="Times New Roman"/>
        </w:rPr>
        <w:fldChar w:fldCharType="end"/>
      </w:r>
    </w:p>
    <w:p w14:paraId="4313C641" w14:textId="651FDAF6" w:rsidR="00294505" w:rsidRPr="009F5584" w:rsidRDefault="00294505" w:rsidP="00D96D80">
      <w:pPr>
        <w:autoSpaceDE w:val="0"/>
        <w:autoSpaceDN w:val="0"/>
        <w:adjustRightInd w:val="0"/>
        <w:jc w:val="both"/>
        <w:rPr>
          <w:rFonts w:cs="Times New Roman"/>
          <w:sz w:val="24"/>
          <w:szCs w:val="24"/>
        </w:rPr>
      </w:pPr>
    </w:p>
    <w:p w14:paraId="53C39244" w14:textId="7921B7C0" w:rsidR="00B47B9C" w:rsidRPr="006A1AA7" w:rsidRDefault="00B47B9C" w:rsidP="00D96D80">
      <w:pPr>
        <w:pStyle w:val="Heading4"/>
        <w:spacing w:before="0"/>
        <w:rPr>
          <w:sz w:val="22"/>
        </w:rPr>
      </w:pPr>
      <w:r w:rsidRPr="006A1AA7">
        <w:rPr>
          <w:sz w:val="22"/>
        </w:rPr>
        <w:t>Disease duration and genotype</w:t>
      </w:r>
    </w:p>
    <w:p w14:paraId="41CBBBE5" w14:textId="3C83FA34" w:rsidR="008C61E8" w:rsidRDefault="00615311" w:rsidP="00D96D80">
      <w:pPr>
        <w:autoSpaceDE w:val="0"/>
        <w:autoSpaceDN w:val="0"/>
        <w:adjustRightInd w:val="0"/>
        <w:jc w:val="both"/>
        <w:rPr>
          <w:rFonts w:cs="Times New Roman"/>
        </w:rPr>
      </w:pPr>
      <w:r w:rsidRPr="007A7C51">
        <w:rPr>
          <w:rFonts w:cs="Times New Roman"/>
        </w:rPr>
        <w:t xml:space="preserve">PRNP data from 378 </w:t>
      </w:r>
      <w:r w:rsidR="00B47B9C" w:rsidRPr="007A7C51">
        <w:rPr>
          <w:rFonts w:cs="Times New Roman"/>
        </w:rPr>
        <w:t>of the</w:t>
      </w:r>
      <w:r w:rsidR="009968D1" w:rsidRPr="007A7C51">
        <w:rPr>
          <w:rFonts w:cs="Times New Roman"/>
        </w:rPr>
        <w:t xml:space="preserve"> Japanese </w:t>
      </w:r>
      <w:r w:rsidRPr="007A7C51">
        <w:rPr>
          <w:rFonts w:cs="Times New Roman"/>
        </w:rPr>
        <w:t xml:space="preserve">patients </w:t>
      </w:r>
      <w:r w:rsidR="008C61E8">
        <w:rPr>
          <w:rFonts w:cs="Times New Roman"/>
        </w:rPr>
        <w:t xml:space="preserve">reported by Nagoshi </w:t>
      </w:r>
      <w:r w:rsidR="00B301D6" w:rsidRPr="00B301D6">
        <w:rPr>
          <w:rFonts w:cs="Times New Roman"/>
          <w:i/>
        </w:rPr>
        <w:t>et al</w:t>
      </w:r>
      <w:r w:rsidR="008C61E8">
        <w:rPr>
          <w:rFonts w:cs="Times New Roman"/>
        </w:rPr>
        <w:t xml:space="preserve"> (2011) </w:t>
      </w:r>
      <w:r w:rsidR="00A527D6" w:rsidRPr="007A7C51">
        <w:rPr>
          <w:rFonts w:cs="Times New Roman"/>
        </w:rPr>
        <w:t xml:space="preserve">diagnosed </w:t>
      </w:r>
      <w:r w:rsidR="00832632" w:rsidRPr="007A7C51">
        <w:rPr>
          <w:rFonts w:cs="Times New Roman"/>
        </w:rPr>
        <w:t xml:space="preserve">with sporadic CJD </w:t>
      </w:r>
      <w:r w:rsidRPr="007A7C51">
        <w:rPr>
          <w:rFonts w:cs="Times New Roman"/>
        </w:rPr>
        <w:t xml:space="preserve">showed that 364 cases (96.3%) had MM genotype </w:t>
      </w:r>
      <w:r w:rsidR="00087A9C" w:rsidRPr="007A7C51">
        <w:rPr>
          <w:rFonts w:cs="Times New Roman"/>
        </w:rPr>
        <w:t>but</w:t>
      </w:r>
      <w:r w:rsidRPr="007A7C51">
        <w:rPr>
          <w:rFonts w:cs="Times New Roman"/>
        </w:rPr>
        <w:t xml:space="preserve"> that disease duration was longest for the 11 patients (2.9%) who had MV genotype (mean, 32.2 months vs 16.6 months for MM and 13.2 months for VV).</w:t>
      </w:r>
      <w:r w:rsidR="00FD6776">
        <w:rPr>
          <w:rFonts w:cs="Times New Roman"/>
        </w:rPr>
        <w:fldChar w:fldCharType="begin">
          <w:fldData xml:space="preserve">PEVuZE5vdGU+PENpdGU+PEF1dGhvcj5OYWdvc2hpPC9BdXRob3I+PFllYXI+MjAxMTwvWWVhcj48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PEVuZE5vdGU+PENpdGU+PEF1dGhvcj5OYWdvc2hpPC9BdXRob3I+PFllYXI+MjAxMTwvWWVhcj48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FD6776">
        <w:rPr>
          <w:rFonts w:cs="Times New Roman"/>
        </w:rPr>
      </w:r>
      <w:r w:rsidR="00FD6776">
        <w:rPr>
          <w:rFonts w:cs="Times New Roman"/>
        </w:rPr>
        <w:fldChar w:fldCharType="separate"/>
      </w:r>
      <w:r w:rsidR="0076576E" w:rsidRPr="0076576E">
        <w:rPr>
          <w:rFonts w:cs="Times New Roman"/>
          <w:noProof/>
          <w:vertAlign w:val="superscript"/>
        </w:rPr>
        <w:t>75</w:t>
      </w:r>
      <w:r w:rsidR="00FD6776">
        <w:rPr>
          <w:rFonts w:cs="Times New Roman"/>
        </w:rPr>
        <w:fldChar w:fldCharType="end"/>
      </w:r>
      <w:r w:rsidR="002D3AE4" w:rsidRPr="007A7C51">
        <w:rPr>
          <w:rFonts w:cs="Times New Roman"/>
        </w:rPr>
        <w:t xml:space="preserve"> Begue </w:t>
      </w:r>
      <w:r w:rsidR="00B301D6" w:rsidRPr="00B301D6">
        <w:rPr>
          <w:rFonts w:cs="Times New Roman"/>
          <w:i/>
        </w:rPr>
        <w:t>et al</w:t>
      </w:r>
      <w:r w:rsidR="002D3AE4" w:rsidRPr="007A7C51">
        <w:rPr>
          <w:rFonts w:cs="Times New Roman"/>
        </w:rPr>
        <w:t xml:space="preserve"> (2011) report data for disease duration for sCJD from 59 definite cases in Argentina</w:t>
      </w:r>
      <w:r w:rsidR="0052255B" w:rsidRPr="007A7C51">
        <w:rPr>
          <w:rFonts w:cs="Times New Roman"/>
        </w:rPr>
        <w:t>.</w:t>
      </w:r>
      <w:r w:rsidR="002D3AE4" w:rsidRPr="007A7C51">
        <w:rPr>
          <w:rFonts w:cs="Times New Roman"/>
        </w:rPr>
        <w:t xml:space="preserve"> </w:t>
      </w:r>
      <w:r w:rsidR="0052255B" w:rsidRPr="007A7C51">
        <w:rPr>
          <w:rFonts w:cs="Times New Roman"/>
        </w:rPr>
        <w:t>G</w:t>
      </w:r>
      <w:r w:rsidR="002D3AE4" w:rsidRPr="007A7C51">
        <w:rPr>
          <w:rFonts w:cs="Times New Roman"/>
        </w:rPr>
        <w:t>enotype</w:t>
      </w:r>
      <w:r w:rsidR="0052255B" w:rsidRPr="007A7C51">
        <w:rPr>
          <w:rFonts w:cs="Times New Roman"/>
        </w:rPr>
        <w:t xml:space="preserve"> analysis</w:t>
      </w:r>
      <w:r w:rsidR="002D3AE4" w:rsidRPr="007A7C51">
        <w:rPr>
          <w:rFonts w:cs="Times New Roman"/>
        </w:rPr>
        <w:t xml:space="preserve"> indicated that MV was associated with </w:t>
      </w:r>
      <w:r w:rsidR="0052255B" w:rsidRPr="007A7C51">
        <w:rPr>
          <w:rFonts w:cs="Times New Roman"/>
        </w:rPr>
        <w:t>the longest</w:t>
      </w:r>
      <w:r w:rsidR="002D3AE4" w:rsidRPr="007A7C51">
        <w:rPr>
          <w:rFonts w:cs="Times New Roman"/>
        </w:rPr>
        <w:t xml:space="preserve"> disease duration (10.9 months), follow</w:t>
      </w:r>
      <w:r w:rsidR="00A527D6" w:rsidRPr="007A7C51">
        <w:rPr>
          <w:rFonts w:cs="Times New Roman"/>
        </w:rPr>
        <w:t>ed by VV (5.6 months) and MM (3.</w:t>
      </w:r>
      <w:r w:rsidR="002D3AE4" w:rsidRPr="007A7C51">
        <w:rPr>
          <w:rFonts w:cs="Times New Roman"/>
        </w:rPr>
        <w:t>6 months).</w:t>
      </w:r>
      <w:r w:rsidR="00D15E17">
        <w:rPr>
          <w:rFonts w:cs="Times New Roman"/>
        </w:rPr>
        <w:fldChar w:fldCharType="begin">
          <w:fldData xml:space="preserve">PEVuZE5vdGU+PENpdGU+PEF1dGhvcj5CZWd1ZTwvQXV0aG9yPjxZZWFyPjIwMTE8L1llYXI+PFJl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</w:fldData>
        </w:fldChar>
      </w:r>
      <w:r w:rsidR="0047137F">
        <w:rPr>
          <w:rFonts w:cs="Times New Roman"/>
        </w:rPr>
        <w:instrText xml:space="preserve"> ADDIN EN.CITE </w:instrText>
      </w:r>
      <w:r w:rsidR="0047137F">
        <w:rPr>
          <w:rFonts w:cs="Times New Roman"/>
        </w:rPr>
        <w:fldChar w:fldCharType="begin">
          <w:fldData xml:space="preserve">PEVuZE5vdGU+PENpdGU+PEF1dGhvcj5CZWd1ZTwvQXV0aG9yPjxZZWFyPjIwMTE8L1llYXI+PFJl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</w:fldData>
        </w:fldChar>
      </w:r>
      <w:r w:rsidR="0047137F">
        <w:rPr>
          <w:rFonts w:cs="Times New Roman"/>
        </w:rPr>
        <w:instrText xml:space="preserve"> ADDIN EN.CITE.DATA </w:instrText>
      </w:r>
      <w:r w:rsidR="0047137F">
        <w:rPr>
          <w:rFonts w:cs="Times New Roman"/>
        </w:rPr>
      </w:r>
      <w:r w:rsidR="0047137F">
        <w:rPr>
          <w:rFonts w:cs="Times New Roman"/>
        </w:rPr>
        <w:fldChar w:fldCharType="end"/>
      </w:r>
      <w:r w:rsidR="00D15E17">
        <w:rPr>
          <w:rFonts w:cs="Times New Roman"/>
        </w:rPr>
      </w:r>
      <w:r w:rsidR="00D15E17">
        <w:rPr>
          <w:rFonts w:cs="Times New Roman"/>
        </w:rPr>
        <w:fldChar w:fldCharType="separate"/>
      </w:r>
      <w:r w:rsidR="0047137F" w:rsidRPr="0047137F">
        <w:rPr>
          <w:rFonts w:cs="Times New Roman"/>
          <w:noProof/>
          <w:vertAlign w:val="superscript"/>
        </w:rPr>
        <w:t>24</w:t>
      </w:r>
      <w:r w:rsidR="00D15E17">
        <w:rPr>
          <w:rFonts w:cs="Times New Roman"/>
        </w:rPr>
        <w:fldChar w:fldCharType="end"/>
      </w:r>
      <w:r w:rsidR="002D3AE4" w:rsidRPr="007A7C51">
        <w:rPr>
          <w:rFonts w:cs="Times New Roman"/>
        </w:rPr>
        <w:t xml:space="preserve"> </w:t>
      </w:r>
      <w:r w:rsidR="00832632" w:rsidRPr="007A7C51">
        <w:rPr>
          <w:rFonts w:cs="Times New Roman"/>
        </w:rPr>
        <w:t xml:space="preserve">Data from Rudge </w:t>
      </w:r>
      <w:r w:rsidR="00B301D6" w:rsidRPr="00B301D6">
        <w:rPr>
          <w:rFonts w:cs="Times New Roman"/>
          <w:i/>
        </w:rPr>
        <w:t>et al</w:t>
      </w:r>
      <w:r w:rsidR="00832632" w:rsidRPr="007A7C51">
        <w:rPr>
          <w:rFonts w:cs="Times New Roman"/>
        </w:rPr>
        <w:t xml:space="preserve"> (2015)</w:t>
      </w:r>
      <w:r w:rsidR="00832632" w:rsidRPr="007A7C51">
        <w:rPr>
          <w:rFonts w:cs="Times New Roma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832632" w:rsidRPr="007A7C51">
        <w:rPr>
          <w:rFonts w:cs="Times New Roman"/>
        </w:rPr>
      </w:r>
      <w:r w:rsidR="00832632" w:rsidRPr="007A7C51">
        <w:rPr>
          <w:rFonts w:cs="Times New Roman"/>
        </w:rPr>
        <w:fldChar w:fldCharType="separate"/>
      </w:r>
      <w:r w:rsidR="0076576E" w:rsidRPr="0076576E">
        <w:rPr>
          <w:rFonts w:cs="Times New Roman"/>
          <w:noProof/>
          <w:vertAlign w:val="superscript"/>
        </w:rPr>
        <w:t>64</w:t>
      </w:r>
      <w:r w:rsidR="00832632" w:rsidRPr="007A7C51">
        <w:rPr>
          <w:rFonts w:cs="Times New Roman"/>
        </w:rPr>
        <w:fldChar w:fldCharType="end"/>
      </w:r>
      <w:r w:rsidR="00832632" w:rsidRPr="007A7C51">
        <w:rPr>
          <w:rFonts w:cs="Times New Roman"/>
        </w:rPr>
        <w:t xml:space="preserve"> </w:t>
      </w:r>
      <w:r w:rsidR="00C06BD3">
        <w:rPr>
          <w:rFonts w:cs="Times New Roman"/>
        </w:rPr>
        <w:t xml:space="preserve">relating to </w:t>
      </w:r>
      <w:r w:rsidR="00F66677">
        <w:rPr>
          <w:rFonts w:cs="Times New Roman"/>
        </w:rPr>
        <w:t xml:space="preserve">CJD </w:t>
      </w:r>
      <w:r w:rsidR="00C06BD3">
        <w:rPr>
          <w:rFonts w:cs="Times New Roman"/>
        </w:rPr>
        <w:t>transmi</w:t>
      </w:r>
      <w:r w:rsidR="00F66677">
        <w:rPr>
          <w:rFonts w:cs="Times New Roman"/>
        </w:rPr>
        <w:t>ssion via</w:t>
      </w:r>
      <w:r w:rsidR="00C06BD3">
        <w:rPr>
          <w:rFonts w:cs="Times New Roman"/>
        </w:rPr>
        <w:t xml:space="preserve"> hGH</w:t>
      </w:r>
      <w:r w:rsidR="00C06BD3" w:rsidRPr="007A7C51">
        <w:rPr>
          <w:rFonts w:cs="Times New Roman"/>
        </w:rPr>
        <w:t xml:space="preserve"> </w:t>
      </w:r>
      <w:r w:rsidR="008C61E8">
        <w:rPr>
          <w:rFonts w:cs="Times New Roman"/>
        </w:rPr>
        <w:t xml:space="preserve">in the UK </w:t>
      </w:r>
      <w:r w:rsidR="00832632" w:rsidRPr="007A7C51">
        <w:rPr>
          <w:rFonts w:cs="Times New Roman"/>
        </w:rPr>
        <w:t xml:space="preserve">also found that </w:t>
      </w:r>
      <w:r w:rsidR="009E1CD6">
        <w:rPr>
          <w:rFonts w:cs="Times New Roman"/>
        </w:rPr>
        <w:t>MM</w:t>
      </w:r>
      <w:r w:rsidR="00832632" w:rsidRPr="007A7C51">
        <w:rPr>
          <w:rFonts w:cs="Times New Roman"/>
        </w:rPr>
        <w:t xml:space="preserve"> patients </w:t>
      </w:r>
      <w:r w:rsidR="00BC233B" w:rsidRPr="007A7C51">
        <w:rPr>
          <w:rFonts w:cs="Times New Roman"/>
        </w:rPr>
        <w:t>had</w:t>
      </w:r>
      <w:r w:rsidR="00832632" w:rsidRPr="007A7C51">
        <w:rPr>
          <w:rFonts w:cs="Times New Roman"/>
        </w:rPr>
        <w:t xml:space="preserve"> the shortest disease duration. </w:t>
      </w:r>
      <w:r w:rsidR="00F66677" w:rsidRPr="00F66677">
        <w:rPr>
          <w:rFonts w:cs="Times New Roman"/>
        </w:rPr>
        <w:t>MM patients</w:t>
      </w:r>
      <w:r w:rsidR="00F66677">
        <w:rPr>
          <w:rFonts w:cs="Times New Roman"/>
        </w:rPr>
        <w:t xml:space="preserve"> </w:t>
      </w:r>
      <w:r w:rsidR="00F66677" w:rsidRPr="00F66677">
        <w:rPr>
          <w:rFonts w:cs="Times New Roman"/>
        </w:rPr>
        <w:t>had a mean duration of 7.8 months, the VV patient 17</w:t>
      </w:r>
      <w:r w:rsidR="00F66677">
        <w:rPr>
          <w:rFonts w:cs="Times New Roman"/>
        </w:rPr>
        <w:t xml:space="preserve"> </w:t>
      </w:r>
      <w:r w:rsidR="00F66677" w:rsidRPr="00F66677">
        <w:rPr>
          <w:rFonts w:cs="Times New Roman"/>
        </w:rPr>
        <w:t xml:space="preserve">months and </w:t>
      </w:r>
      <w:r w:rsidR="009E1CD6">
        <w:rPr>
          <w:rFonts w:cs="Times New Roman"/>
        </w:rPr>
        <w:t xml:space="preserve">MV had </w:t>
      </w:r>
      <w:r w:rsidR="00F66677" w:rsidRPr="00F66677">
        <w:rPr>
          <w:rFonts w:cs="Times New Roman"/>
        </w:rPr>
        <w:t>a mean of</w:t>
      </w:r>
      <w:r w:rsidR="00F66677">
        <w:rPr>
          <w:rFonts w:cs="Times New Roman"/>
        </w:rPr>
        <w:t xml:space="preserve"> </w:t>
      </w:r>
      <w:r w:rsidR="00F66677" w:rsidRPr="00F66677">
        <w:rPr>
          <w:rFonts w:cs="Times New Roman"/>
        </w:rPr>
        <w:t>18.6 months (</w:t>
      </w:r>
      <w:r w:rsidR="008115EA">
        <w:rPr>
          <w:rFonts w:cs="Times New Roman"/>
        </w:rPr>
        <w:t xml:space="preserve">range: </w:t>
      </w:r>
      <w:r w:rsidR="00F66677" w:rsidRPr="00F66677">
        <w:rPr>
          <w:rFonts w:cs="Times New Roman"/>
        </w:rPr>
        <w:t>10–32 months). In addition, the duration of</w:t>
      </w:r>
      <w:r w:rsidR="00F66677">
        <w:rPr>
          <w:rFonts w:cs="Times New Roman"/>
        </w:rPr>
        <w:t xml:space="preserve"> </w:t>
      </w:r>
      <w:r w:rsidR="00F66677" w:rsidRPr="00F66677">
        <w:rPr>
          <w:rFonts w:cs="Times New Roman"/>
        </w:rPr>
        <w:t xml:space="preserve">disease from first symptom was significantly longer in </w:t>
      </w:r>
      <w:r w:rsidR="009E1CD6">
        <w:rPr>
          <w:rFonts w:cs="Times New Roman"/>
        </w:rPr>
        <w:t xml:space="preserve">MV patients </w:t>
      </w:r>
      <w:r w:rsidR="00F66677">
        <w:rPr>
          <w:rFonts w:cs="Times New Roman"/>
        </w:rPr>
        <w:t xml:space="preserve">(P = </w:t>
      </w:r>
      <w:r w:rsidR="00F66677" w:rsidRPr="00F66677">
        <w:rPr>
          <w:rFonts w:cs="Times New Roman"/>
        </w:rPr>
        <w:t>0</w:t>
      </w:r>
      <w:r w:rsidR="00F66677">
        <w:rPr>
          <w:rFonts w:cs="Times New Roman"/>
        </w:rPr>
        <w:t>.02, two-tailed t-test). Whilst</w:t>
      </w:r>
      <w:r w:rsidR="00F66677" w:rsidRPr="00F66677">
        <w:rPr>
          <w:rFonts w:cs="Times New Roman"/>
        </w:rPr>
        <w:t xml:space="preserve"> there</w:t>
      </w:r>
      <w:r w:rsidR="00F66677">
        <w:rPr>
          <w:rFonts w:cs="Times New Roman"/>
        </w:rPr>
        <w:t xml:space="preserve"> </w:t>
      </w:r>
      <w:r w:rsidR="00F66677" w:rsidRPr="00F66677">
        <w:rPr>
          <w:rFonts w:cs="Times New Roman"/>
        </w:rPr>
        <w:t>were only four patients who were MM</w:t>
      </w:r>
      <w:r w:rsidR="00F66677">
        <w:rPr>
          <w:rFonts w:cs="Times New Roman"/>
        </w:rPr>
        <w:t>,</w:t>
      </w:r>
      <w:r w:rsidR="00F66677" w:rsidRPr="00F66677">
        <w:rPr>
          <w:rFonts w:cs="Times New Roman"/>
        </w:rPr>
        <w:t xml:space="preserve"> three of these</w:t>
      </w:r>
      <w:r w:rsidR="00F66677">
        <w:rPr>
          <w:rFonts w:cs="Times New Roman"/>
        </w:rPr>
        <w:t xml:space="preserve"> </w:t>
      </w:r>
      <w:r w:rsidR="00F66677" w:rsidRPr="00F66677">
        <w:rPr>
          <w:rFonts w:cs="Times New Roman"/>
        </w:rPr>
        <w:t>had the most rapid progression (P = 0.04, Mann Whitney</w:t>
      </w:r>
      <w:r w:rsidR="00F66677">
        <w:rPr>
          <w:rFonts w:cs="Times New Roman"/>
        </w:rPr>
        <w:t xml:space="preserve"> </w:t>
      </w:r>
      <w:r w:rsidR="00F66677" w:rsidRPr="00F66677">
        <w:rPr>
          <w:rFonts w:cs="Times New Roman"/>
        </w:rPr>
        <w:t>U-test).</w:t>
      </w:r>
      <w:r w:rsidR="00DD0380" w:rsidRPr="007A7C51">
        <w:rPr>
          <w:rFonts w:cs="Times New Roman"/>
        </w:rPr>
        <w:t xml:space="preserve">Yamada </w:t>
      </w:r>
      <w:r w:rsidR="00B301D6" w:rsidRPr="00B301D6">
        <w:rPr>
          <w:rFonts w:cs="Times New Roman"/>
          <w:i/>
        </w:rPr>
        <w:t>et al</w:t>
      </w:r>
      <w:r w:rsidR="00DD0380" w:rsidRPr="007A7C51">
        <w:rPr>
          <w:rFonts w:cs="Times New Roman"/>
        </w:rPr>
        <w:t xml:space="preserve"> (2016) state that the majority of the general Japanese population (93%) carry the MM genotype.</w:t>
      </w:r>
      <w:r w:rsidR="001C1038" w:rsidRPr="007A7C51">
        <w:rPr>
          <w:rFonts w:cs="Times New Roman"/>
        </w:rPr>
        <w:fldChar w:fldCharType="begin">
          <w:fldData xml:space="preserve">PEVuZE5vdGU+PENpdGU+PEF1dGhvcj5ZYW1hZGE8L0F1dGhvcj48WWVhcj4yMDE2PC9ZZWFyPjxS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</w:fldData>
        </w:fldChar>
      </w:r>
      <w:r w:rsidR="0047137F">
        <w:rPr>
          <w:rFonts w:cs="Times New Roman"/>
        </w:rPr>
        <w:instrText xml:space="preserve"> ADDIN EN.CITE </w:instrText>
      </w:r>
      <w:r w:rsidR="0047137F">
        <w:rPr>
          <w:rFonts w:cs="Times New Roman"/>
        </w:rPr>
        <w:fldChar w:fldCharType="begin">
          <w:fldData xml:space="preserve">PEVuZE5vdGU+PENpdGU+PEF1dGhvcj5ZYW1hZGE8L0F1dGhvcj48WWVhcj4yMDE2PC9ZZWFyPjxS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</w:fldData>
        </w:fldChar>
      </w:r>
      <w:r w:rsidR="0047137F">
        <w:rPr>
          <w:rFonts w:cs="Times New Roman"/>
        </w:rPr>
        <w:instrText xml:space="preserve"> ADDIN EN.CITE.DATA </w:instrText>
      </w:r>
      <w:r w:rsidR="0047137F">
        <w:rPr>
          <w:rFonts w:cs="Times New Roman"/>
        </w:rPr>
      </w:r>
      <w:r w:rsidR="0047137F">
        <w:rPr>
          <w:rFonts w:cs="Times New Roman"/>
        </w:rPr>
        <w:fldChar w:fldCharType="end"/>
      </w:r>
      <w:r w:rsidR="001C1038" w:rsidRPr="007A7C51">
        <w:rPr>
          <w:rFonts w:cs="Times New Roman"/>
        </w:rPr>
      </w:r>
      <w:r w:rsidR="001C1038" w:rsidRPr="007A7C51">
        <w:rPr>
          <w:rFonts w:cs="Times New Roman"/>
        </w:rPr>
        <w:fldChar w:fldCharType="separate"/>
      </w:r>
      <w:r w:rsidR="0047137F" w:rsidRPr="0047137F">
        <w:rPr>
          <w:rFonts w:cs="Times New Roman"/>
          <w:noProof/>
          <w:vertAlign w:val="superscript"/>
        </w:rPr>
        <w:t>22</w:t>
      </w:r>
      <w:r w:rsidR="001C1038" w:rsidRPr="007A7C51">
        <w:rPr>
          <w:rFonts w:cs="Times New Roman"/>
        </w:rPr>
        <w:fldChar w:fldCharType="end"/>
      </w:r>
      <w:r w:rsidR="00DD0380" w:rsidRPr="007A7C51">
        <w:rPr>
          <w:rFonts w:cs="Times New Roman"/>
        </w:rPr>
        <w:t xml:space="preserve"> </w:t>
      </w:r>
      <w:r w:rsidR="008C61E8">
        <w:rPr>
          <w:rFonts w:cs="Times New Roman"/>
        </w:rPr>
        <w:t>C</w:t>
      </w:r>
      <w:r w:rsidR="00691E36" w:rsidRPr="007A7C51">
        <w:rPr>
          <w:rFonts w:cs="Times New Roman"/>
        </w:rPr>
        <w:t xml:space="preserve">onsidering that a large share </w:t>
      </w:r>
      <w:r w:rsidR="002D3AE4" w:rsidRPr="007A7C51">
        <w:rPr>
          <w:rFonts w:cs="Times New Roman"/>
        </w:rPr>
        <w:t xml:space="preserve">of patients in the Argentinian sample </w:t>
      </w:r>
      <w:r w:rsidR="008C61E8">
        <w:rPr>
          <w:rFonts w:cs="Times New Roman"/>
        </w:rPr>
        <w:t xml:space="preserve">also </w:t>
      </w:r>
      <w:r w:rsidR="002D3AE4" w:rsidRPr="007A7C51">
        <w:rPr>
          <w:rFonts w:cs="Times New Roman"/>
        </w:rPr>
        <w:t>contained MM genotype (n=37, 66%)</w:t>
      </w:r>
      <w:r w:rsidR="00691E36" w:rsidRPr="007A7C51">
        <w:rPr>
          <w:rFonts w:cs="Times New Roman"/>
        </w:rPr>
        <w:t>,</w:t>
      </w:r>
      <w:r w:rsidR="002D3AE4" w:rsidRPr="007A7C51">
        <w:rPr>
          <w:rFonts w:cs="Times New Roman"/>
        </w:rPr>
        <w:t xml:space="preserve"> </w:t>
      </w:r>
      <w:r w:rsidR="0052255B" w:rsidRPr="007A7C51">
        <w:rPr>
          <w:rFonts w:cs="Times New Roman"/>
        </w:rPr>
        <w:t xml:space="preserve">genotype </w:t>
      </w:r>
      <w:r w:rsidR="009968D1" w:rsidRPr="007A7C51">
        <w:rPr>
          <w:rFonts w:cs="Times New Roman"/>
        </w:rPr>
        <w:t>data</w:t>
      </w:r>
      <w:r w:rsidR="00691E36" w:rsidRPr="007A7C51">
        <w:rPr>
          <w:rFonts w:cs="Times New Roman"/>
        </w:rPr>
        <w:t xml:space="preserve"> at codon 129</w:t>
      </w:r>
      <w:r w:rsidR="009968D1" w:rsidRPr="007A7C51">
        <w:rPr>
          <w:rFonts w:cs="Times New Roman"/>
        </w:rPr>
        <w:t xml:space="preserve"> </w:t>
      </w:r>
      <w:r w:rsidR="0052255B" w:rsidRPr="007A7C51">
        <w:rPr>
          <w:rFonts w:cs="Times New Roman"/>
        </w:rPr>
        <w:t xml:space="preserve">alone cannot account for the </w:t>
      </w:r>
      <w:r w:rsidR="00A527D6" w:rsidRPr="007A7C51">
        <w:rPr>
          <w:rFonts w:cs="Times New Roman"/>
        </w:rPr>
        <w:t xml:space="preserve">substantial </w:t>
      </w:r>
      <w:r w:rsidR="0052255B" w:rsidRPr="007A7C51">
        <w:rPr>
          <w:rFonts w:cs="Times New Roman"/>
        </w:rPr>
        <w:t xml:space="preserve">difference in disease duration </w:t>
      </w:r>
      <w:r w:rsidR="008C61E8">
        <w:rPr>
          <w:rFonts w:cs="Times New Roman"/>
        </w:rPr>
        <w:t xml:space="preserve">for sCJD </w:t>
      </w:r>
      <w:r w:rsidR="00A527D6" w:rsidRPr="007A7C51">
        <w:rPr>
          <w:rFonts w:cs="Times New Roman"/>
        </w:rPr>
        <w:t xml:space="preserve">reported </w:t>
      </w:r>
      <w:r w:rsidR="0052255B" w:rsidRPr="007A7C51">
        <w:rPr>
          <w:rFonts w:cs="Times New Roman"/>
        </w:rPr>
        <w:t>between Japan and other countries</w:t>
      </w:r>
      <w:r w:rsidR="008C61E8">
        <w:rPr>
          <w:rFonts w:cs="Times New Roman"/>
        </w:rPr>
        <w:t>.</w:t>
      </w:r>
    </w:p>
    <w:p w14:paraId="36F1C68D" w14:textId="77777777" w:rsidR="00622C6B" w:rsidRPr="007A7C51" w:rsidRDefault="00622C6B" w:rsidP="00D96D80">
      <w:pPr>
        <w:autoSpaceDE w:val="0"/>
        <w:autoSpaceDN w:val="0"/>
        <w:adjustRightInd w:val="0"/>
        <w:jc w:val="both"/>
        <w:rPr>
          <w:rFonts w:cs="Times New Roman"/>
        </w:rPr>
      </w:pPr>
    </w:p>
    <w:p w14:paraId="174B20F0" w14:textId="3D1A0913" w:rsidR="006E37C0" w:rsidRPr="007A7C51" w:rsidRDefault="008C61E8" w:rsidP="00D96D80">
      <w:pPr>
        <w:autoSpaceDE w:val="0"/>
        <w:autoSpaceDN w:val="0"/>
        <w:adjustRightInd w:val="0"/>
        <w:jc w:val="both"/>
        <w:rPr>
          <w:rFonts w:cs="Times New Roman"/>
        </w:rPr>
      </w:pPr>
      <w:r>
        <w:rPr>
          <w:rFonts w:cs="Times New Roman"/>
        </w:rPr>
        <w:t>Data from Japan,</w:t>
      </w:r>
      <w:r>
        <w:rPr>
          <w:rFonts w:cs="Times New Roman"/>
        </w:rPr>
        <w:fldChar w:fldCharType="begin">
          <w:fldData xml:space="preserve">PEVuZE5vdGU+PENpdGU+PEF1dGhvcj5OYWdvc2hpPC9BdXRob3I+PFllYXI+MjAxMTwvWWVhcj48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PEVuZE5vdGU+PENpdGU+PEF1dGhvcj5OYWdvc2hpPC9BdXRob3I+PFllYXI+MjAxMTwvWWVhcj48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Pr>
          <w:rFonts w:cs="Times New Roman"/>
        </w:rPr>
      </w:r>
      <w:r>
        <w:rPr>
          <w:rFonts w:cs="Times New Roman"/>
        </w:rPr>
        <w:fldChar w:fldCharType="separate"/>
      </w:r>
      <w:r w:rsidR="0076576E" w:rsidRPr="0076576E">
        <w:rPr>
          <w:rFonts w:cs="Times New Roman"/>
          <w:noProof/>
          <w:vertAlign w:val="superscript"/>
        </w:rPr>
        <w:t>75</w:t>
      </w:r>
      <w:r>
        <w:rPr>
          <w:rFonts w:cs="Times New Roman"/>
        </w:rPr>
        <w:fldChar w:fldCharType="end"/>
      </w:r>
      <w:r>
        <w:rPr>
          <w:rFonts w:cs="Times New Roman"/>
        </w:rPr>
        <w:t xml:space="preserve"> Argentina,</w:t>
      </w:r>
      <w:r>
        <w:rPr>
          <w:rFonts w:cs="Times New Roman"/>
        </w:rPr>
        <w:fldChar w:fldCharType="begin">
          <w:fldData xml:space="preserve">PEVuZE5vdGU+PENpdGU+PEF1dGhvcj5CZWd1ZTwvQXV0aG9yPjxZZWFyPjIwMTE8L1llYXI+PFJl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</w:fldData>
        </w:fldChar>
      </w:r>
      <w:r w:rsidR="0047137F">
        <w:rPr>
          <w:rFonts w:cs="Times New Roman"/>
        </w:rPr>
        <w:instrText xml:space="preserve"> ADDIN EN.CITE </w:instrText>
      </w:r>
      <w:r w:rsidR="0047137F">
        <w:rPr>
          <w:rFonts w:cs="Times New Roman"/>
        </w:rPr>
        <w:fldChar w:fldCharType="begin">
          <w:fldData xml:space="preserve">PEVuZE5vdGU+PENpdGU+PEF1dGhvcj5CZWd1ZTwvQXV0aG9yPjxZZWFyPjIwMTE8L1llYXI+PFJl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</w:fldData>
        </w:fldChar>
      </w:r>
      <w:r w:rsidR="0047137F">
        <w:rPr>
          <w:rFonts w:cs="Times New Roman"/>
        </w:rPr>
        <w:instrText xml:space="preserve"> ADDIN EN.CITE.DATA </w:instrText>
      </w:r>
      <w:r w:rsidR="0047137F">
        <w:rPr>
          <w:rFonts w:cs="Times New Roman"/>
        </w:rPr>
      </w:r>
      <w:r w:rsidR="0047137F">
        <w:rPr>
          <w:rFonts w:cs="Times New Roman"/>
        </w:rPr>
        <w:fldChar w:fldCharType="end"/>
      </w:r>
      <w:r>
        <w:rPr>
          <w:rFonts w:cs="Times New Roman"/>
        </w:rPr>
      </w:r>
      <w:r>
        <w:rPr>
          <w:rFonts w:cs="Times New Roman"/>
        </w:rPr>
        <w:fldChar w:fldCharType="separate"/>
      </w:r>
      <w:r w:rsidR="0047137F" w:rsidRPr="0047137F">
        <w:rPr>
          <w:rFonts w:cs="Times New Roman"/>
          <w:noProof/>
          <w:vertAlign w:val="superscript"/>
        </w:rPr>
        <w:t>24</w:t>
      </w:r>
      <w:r>
        <w:rPr>
          <w:rFonts w:cs="Times New Roman"/>
        </w:rPr>
        <w:fldChar w:fldCharType="end"/>
      </w:r>
      <w:r>
        <w:rPr>
          <w:rFonts w:cs="Times New Roman"/>
        </w:rPr>
        <w:t xml:space="preserve"> and the UK</w:t>
      </w:r>
      <w:r w:rsidR="00FC55C0" w:rsidRPr="007A7C51">
        <w:rPr>
          <w:rFonts w:cs="Times New Roma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FC55C0" w:rsidRPr="007A7C51">
        <w:rPr>
          <w:rFonts w:cs="Times New Roman"/>
        </w:rPr>
      </w:r>
      <w:r w:rsidR="00FC55C0" w:rsidRPr="007A7C51">
        <w:rPr>
          <w:rFonts w:cs="Times New Roman"/>
        </w:rPr>
        <w:fldChar w:fldCharType="separate"/>
      </w:r>
      <w:r w:rsidR="0076576E" w:rsidRPr="0076576E">
        <w:rPr>
          <w:rFonts w:cs="Times New Roman"/>
          <w:noProof/>
          <w:vertAlign w:val="superscript"/>
        </w:rPr>
        <w:t>64</w:t>
      </w:r>
      <w:r w:rsidR="00FC55C0" w:rsidRPr="007A7C51">
        <w:rPr>
          <w:rFonts w:cs="Times New Roman"/>
        </w:rPr>
        <w:fldChar w:fldCharType="end"/>
      </w:r>
      <w:r>
        <w:rPr>
          <w:rFonts w:cs="Times New Roman"/>
        </w:rPr>
        <w:t xml:space="preserve"> therefore indicate that MV genotype is associated with the longest disease duration compared with homozygotes. </w:t>
      </w:r>
      <w:r w:rsidRPr="007A7C51">
        <w:rPr>
          <w:rFonts w:cs="Times New Roman"/>
        </w:rPr>
        <w:t>In gCJD</w:t>
      </w:r>
      <w:r w:rsidR="00FF096E">
        <w:rPr>
          <w:rFonts w:cs="Times New Roman"/>
        </w:rPr>
        <w:t>,</w:t>
      </w:r>
      <w:r w:rsidRPr="007A7C51">
        <w:rPr>
          <w:rFonts w:cs="Times New Roman"/>
        </w:rPr>
        <w:t xml:space="preserve"> disease duration was </w:t>
      </w:r>
      <w:r>
        <w:rPr>
          <w:rFonts w:cs="Times New Roman"/>
        </w:rPr>
        <w:t xml:space="preserve">also </w:t>
      </w:r>
      <w:r w:rsidRPr="007A7C51">
        <w:rPr>
          <w:rFonts w:cs="Times New Roman"/>
        </w:rPr>
        <w:t xml:space="preserve">reported to be significantly longer in codon 129 heterozygotes by Pennington </w:t>
      </w:r>
      <w:r w:rsidR="00B301D6" w:rsidRPr="00B301D6">
        <w:rPr>
          <w:rFonts w:cs="Times New Roman"/>
          <w:i/>
        </w:rPr>
        <w:t>et al</w:t>
      </w:r>
      <w:r w:rsidRPr="007A7C51">
        <w:rPr>
          <w:rFonts w:cs="Times New Roman"/>
        </w:rPr>
        <w:t xml:space="preserve"> (2010).</w:t>
      </w:r>
      <w:r w:rsidRPr="007A7C51">
        <w:rPr>
          <w:rFonts w:cs="Times New Roman"/>
        </w:rPr>
        <w:fldChar w:fldCharType="begin">
          <w:fldData xml:space="preserve">PEVuZE5vdGU+PENpdGU+PEF1dGhvcj5QZW5uaW5ndG9uPC9BdXRob3I+PFllYXI+MjAxMDwvWWVh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</w:fldData>
        </w:fldChar>
      </w:r>
      <w:r w:rsidR="0076576E">
        <w:rPr>
          <w:rFonts w:cs="Times New Roman"/>
        </w:rPr>
        <w:instrText xml:space="preserve"> ADDIN EN.CITE </w:instrText>
      </w:r>
      <w:r w:rsidR="0076576E">
        <w:rPr>
          <w:rFonts w:cs="Times New Roman"/>
        </w:rPr>
        <w:fldChar w:fldCharType="begin">
          <w:fldData xml:space="preserve">PEVuZE5vdGU+PENpdGU+PEF1dGhvcj5QZW5uaW5ndG9uPC9BdXRob3I+PFllYXI+MjAxMDwvWWVh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76</w:t>
      </w:r>
      <w:r w:rsidRPr="007A7C51">
        <w:rPr>
          <w:rFonts w:cs="Times New Roman"/>
        </w:rPr>
        <w:fldChar w:fldCharType="end"/>
      </w:r>
    </w:p>
    <w:p w14:paraId="2F30E05C" w14:textId="011BF807" w:rsidR="00BE398E" w:rsidRPr="009F5584" w:rsidRDefault="00BE398E" w:rsidP="00D96D80">
      <w:pPr>
        <w:autoSpaceDE w:val="0"/>
        <w:autoSpaceDN w:val="0"/>
        <w:adjustRightInd w:val="0"/>
        <w:jc w:val="both"/>
        <w:rPr>
          <w:rFonts w:cs="Times New Roman"/>
          <w:sz w:val="24"/>
          <w:szCs w:val="24"/>
        </w:rPr>
      </w:pPr>
    </w:p>
    <w:p w14:paraId="2906C66A" w14:textId="7F611D83" w:rsidR="00BE398E" w:rsidRPr="006A1AA7" w:rsidRDefault="00BC233B" w:rsidP="00292024">
      <w:pPr>
        <w:pStyle w:val="Heading4"/>
        <w:rPr>
          <w:sz w:val="22"/>
        </w:rPr>
      </w:pPr>
      <w:r w:rsidRPr="006A1AA7">
        <w:rPr>
          <w:sz w:val="22"/>
        </w:rPr>
        <w:t>V</w:t>
      </w:r>
      <w:r w:rsidR="00142676" w:rsidRPr="006A1AA7">
        <w:rPr>
          <w:sz w:val="22"/>
        </w:rPr>
        <w:t xml:space="preserve">ariant </w:t>
      </w:r>
      <w:r w:rsidR="00CE1441" w:rsidRPr="006A1AA7">
        <w:rPr>
          <w:sz w:val="22"/>
        </w:rPr>
        <w:t>CJD</w:t>
      </w:r>
    </w:p>
    <w:p w14:paraId="512D3091" w14:textId="117B7F02" w:rsidR="00E42BD1" w:rsidRPr="007A7C51" w:rsidRDefault="00CE1441" w:rsidP="00D96D80">
      <w:pPr>
        <w:jc w:val="both"/>
        <w:rPr>
          <w:rFonts w:cs="Times New Roman"/>
        </w:rPr>
      </w:pPr>
      <w:r w:rsidRPr="007A7C51">
        <w:rPr>
          <w:rFonts w:cs="Times New Roman"/>
        </w:rPr>
        <w:t>The</w:t>
      </w:r>
      <w:r w:rsidR="00B47B9C" w:rsidRPr="007A7C51">
        <w:rPr>
          <w:rFonts w:cs="Times New Roman"/>
        </w:rPr>
        <w:t xml:space="preserve"> </w:t>
      </w:r>
      <w:r w:rsidR="00BD35A1">
        <w:rPr>
          <w:rFonts w:cs="Times New Roman"/>
        </w:rPr>
        <w:t xml:space="preserve">annual </w:t>
      </w:r>
      <w:r w:rsidR="00B47B9C" w:rsidRPr="007A7C51">
        <w:rPr>
          <w:rFonts w:cs="Times New Roman"/>
        </w:rPr>
        <w:t>number of</w:t>
      </w:r>
      <w:r w:rsidRPr="007A7C51">
        <w:rPr>
          <w:rFonts w:cs="Times New Roman"/>
        </w:rPr>
        <w:t xml:space="preserve"> </w:t>
      </w:r>
      <w:r w:rsidR="00B47B9C" w:rsidRPr="007A7C51">
        <w:rPr>
          <w:rFonts w:cs="Times New Roman"/>
        </w:rPr>
        <w:t>confirmed</w:t>
      </w:r>
      <w:r w:rsidRPr="007A7C51">
        <w:rPr>
          <w:rFonts w:cs="Times New Roman"/>
        </w:rPr>
        <w:t xml:space="preserve"> cases of c</w:t>
      </w:r>
      <w:r w:rsidR="00787072" w:rsidRPr="007A7C51">
        <w:rPr>
          <w:rFonts w:cs="Times New Roman"/>
        </w:rPr>
        <w:t xml:space="preserve">linical vCJD </w:t>
      </w:r>
      <w:r w:rsidR="004149B9" w:rsidRPr="007A7C51">
        <w:rPr>
          <w:rFonts w:cs="Times New Roman"/>
        </w:rPr>
        <w:t xml:space="preserve">has declined </w:t>
      </w:r>
      <w:r w:rsidR="00BD35A1">
        <w:rPr>
          <w:rFonts w:cs="Times New Roman"/>
        </w:rPr>
        <w:t>since 2005. As of</w:t>
      </w:r>
      <w:r w:rsidR="00787072" w:rsidRPr="007A7C51">
        <w:rPr>
          <w:rFonts w:cs="Times New Roman"/>
        </w:rPr>
        <w:t xml:space="preserve"> 2016</w:t>
      </w:r>
      <w:r w:rsidRPr="007A7C51">
        <w:rPr>
          <w:rFonts w:cs="Times New Roman"/>
        </w:rPr>
        <w:t xml:space="preserve">, </w:t>
      </w:r>
      <w:r w:rsidR="00787072" w:rsidRPr="007A7C51">
        <w:rPr>
          <w:rFonts w:cs="Times New Roman"/>
        </w:rPr>
        <w:t xml:space="preserve">the </w:t>
      </w:r>
      <w:r w:rsidR="00BD35A1">
        <w:rPr>
          <w:rFonts w:cs="Times New Roman"/>
        </w:rPr>
        <w:t>NCJDRSU</w:t>
      </w:r>
      <w:r w:rsidR="00E111FA" w:rsidRPr="007A7C51">
        <w:rPr>
          <w:rFonts w:cs="Times New Roman"/>
        </w:rPr>
        <w:t xml:space="preserve"> recorded </w:t>
      </w:r>
      <w:r w:rsidRPr="007A7C51">
        <w:rPr>
          <w:rFonts w:cs="Times New Roman"/>
        </w:rPr>
        <w:t>17</w:t>
      </w:r>
      <w:r w:rsidR="00787072" w:rsidRPr="007A7C51">
        <w:rPr>
          <w:rFonts w:cs="Times New Roman"/>
        </w:rPr>
        <w:t>8</w:t>
      </w:r>
      <w:r w:rsidRPr="007A7C51">
        <w:rPr>
          <w:rFonts w:cs="Times New Roman"/>
        </w:rPr>
        <w:t xml:space="preserve"> cases of vCJD</w:t>
      </w:r>
      <w:r w:rsidR="00E44F62">
        <w:rPr>
          <w:rFonts w:cs="Times New Roman"/>
        </w:rPr>
        <w:t xml:space="preserve"> in the UK</w:t>
      </w:r>
      <w:r w:rsidR="00283365">
        <w:rPr>
          <w:rFonts w:cs="Times New Roman"/>
        </w:rPr>
        <w:t>.</w:t>
      </w:r>
      <w:r w:rsidR="00E111FA" w:rsidRPr="007A7C51">
        <w:rPr>
          <w:rFonts w:cs="Times New Roman"/>
        </w:rPr>
        <w:fldChar w:fldCharType="begin"/>
      </w:r>
      <w:r w:rsidR="00892AF6">
        <w:rPr>
          <w:rFonts w:cs="Times New Roman"/>
        </w:rPr>
        <w:instrText xml:space="preserve"> ADDIN EN.CITE &lt;EndNote&gt;&lt;Cite&gt;&lt;Author&gt;The University of Edinburgh&lt;/Author&gt;&lt;Year&gt;2017&lt;/Year&gt;&lt;RecNum&gt;583&lt;/RecNum&gt;&lt;DisplayText&gt;&lt;style face="superscript"&gt;1&lt;/style&gt;&lt;/DisplayText&gt;&lt;record&gt;&lt;rec-number&gt;583&lt;/rec-number&gt;&lt;foreign-keys&gt;&lt;key app="EN" db-id="vrp0pptazv05wtesfz5vrzsj2p0rv09ttsa9" timestamp="1499838798" guid="ed2e9fbb-6748-4e41-8f56-99399974de37"&gt;583&lt;/key&gt;&lt;/foreign-keys&gt;&lt;ref-type name="Web Page"&gt;12&lt;/ref-type&gt;&lt;contributors&gt;&lt;authors&gt;&lt;author&gt;The University of Edinburgh,&lt;/author&gt;&lt;/authors&gt;&lt;/contributors&gt;&lt;titles&gt;&lt;title&gt;The National CJD Research &amp;amp; Surveilance Unit (NCJDRSU)&lt;/title&gt;&lt;/titles&gt;&lt;number&gt;11.07.2017&lt;/number&gt;&lt;keywords&gt;&lt;keyword&gt;$$Lesley added for protocol&lt;/keyword&gt;&lt;keyword&gt;$$Background&lt;/keyword&gt;&lt;keyword&gt;$$CJD relevant&lt;/keyword&gt;&lt;/keywords&gt;&lt;dates&gt;&lt;year&gt;2017&lt;/year&gt;&lt;/dates&gt;&lt;urls&gt;&lt;related-urls&gt;&lt;url&gt;&lt;style face="underline" font="default" size="100%"&gt;http://www.cjd.ed.ac.uk/&lt;/style&gt;&lt;/url&gt;&lt;/related-urls&gt;&lt;/urls&gt;&lt;/record&gt;&lt;/Cite&gt;&lt;/EndNote&gt;</w:instrText>
      </w:r>
      <w:r w:rsidR="00E111FA" w:rsidRPr="007A7C51">
        <w:rPr>
          <w:rFonts w:cs="Times New Roman"/>
        </w:rPr>
        <w:fldChar w:fldCharType="separate"/>
      </w:r>
      <w:r w:rsidR="001D65B2" w:rsidRPr="001D65B2">
        <w:rPr>
          <w:rFonts w:cs="Times New Roman"/>
          <w:noProof/>
          <w:vertAlign w:val="superscript"/>
        </w:rPr>
        <w:t>1</w:t>
      </w:r>
      <w:r w:rsidR="00E111FA" w:rsidRPr="007A7C51">
        <w:rPr>
          <w:rFonts w:cs="Times New Roman"/>
        </w:rPr>
        <w:fldChar w:fldCharType="end"/>
      </w:r>
      <w:r w:rsidR="00283365">
        <w:rPr>
          <w:rFonts w:cs="Times New Roman"/>
        </w:rPr>
        <w:t xml:space="preserve"> </w:t>
      </w:r>
      <w:r w:rsidR="00A6637A">
        <w:rPr>
          <w:rFonts w:cs="Times New Roman"/>
        </w:rPr>
        <w:t>T</w:t>
      </w:r>
      <w:r w:rsidR="00A6637A" w:rsidRPr="007A7C51">
        <w:rPr>
          <w:rFonts w:cs="Times New Roman"/>
        </w:rPr>
        <w:t xml:space="preserve">he most recent vCJD case </w:t>
      </w:r>
      <w:r w:rsidR="00A6637A">
        <w:rPr>
          <w:rFonts w:cs="Times New Roman"/>
        </w:rPr>
        <w:t>occurred</w:t>
      </w:r>
      <w:r w:rsidR="00A6637A" w:rsidRPr="007A7C51">
        <w:rPr>
          <w:rFonts w:cs="Times New Roman"/>
        </w:rPr>
        <w:t xml:space="preserve"> in an individual who was heterozygous at codon 129</w:t>
      </w:r>
      <w:r w:rsidR="00A6637A">
        <w:rPr>
          <w:rFonts w:cs="Times New Roman"/>
        </w:rPr>
        <w:t>.</w:t>
      </w:r>
      <w:r w:rsidR="00A6637A" w:rsidRPr="007A7C51">
        <w:rPr>
          <w:rFonts w:cs="Times New Roman"/>
        </w:rPr>
        <w:fldChar w:fldCharType="begin"/>
      </w:r>
      <w:r w:rsidR="0076576E">
        <w:rPr>
          <w:rFonts w:cs="Times New Roman"/>
        </w:rPr>
        <w:instrText xml:space="preserve"> ADDIN EN.CITE &lt;EndNote&gt;&lt;Cite&gt;&lt;Author&gt;Mok&lt;/Author&gt;&lt;Year&gt;2017&lt;/Year&gt;&lt;RecNum&gt;9731&lt;/RecNum&gt;&lt;DisplayText&gt;&lt;style face="superscript"&gt;33&lt;/style&gt;&lt;/DisplayText&gt;&lt;record&gt;&lt;rec-number&gt;9731&lt;/rec-number&gt;&lt;foreign-keys&gt;&lt;key app="EN" db-id="vrp0pptazv05wtesfz5vrzsj2p0rv09ttsa9" timestamp="1511786612" guid="4955f14a-2207-4abf-b2f5-8bf0a8ef41c3"&gt;9731&lt;/key&gt;&lt;/foreign-keys&gt;&lt;ref-type name="Journal Article"&gt;17&lt;/ref-type&gt;&lt;contributors&gt;&lt;authors&gt;&lt;author&gt;Mok, Tzehow&lt;/author&gt;&lt;author&gt;Jaunmuktane, Zane&lt;/author&gt;&lt;author&gt;Joiner, Susan&lt;/author&gt;&lt;author&gt;Campbell, Tracy&lt;/author&gt;&lt;author&gt;Morgan, Catherine&lt;/author&gt;&lt;author&gt;Wakerley, Benjamin&lt;/author&gt;&lt;author&gt;Golestani, Farhad&lt;/author&gt;&lt;author&gt;Rudge, Peter&lt;/author&gt;&lt;author&gt;Mead, Simon&lt;/author&gt;&lt;author&gt;Jäger, H. Rolf&lt;/author&gt;&lt;author&gt;Wadsworth, Jonathan D.F.&lt;/author&gt;&lt;author&gt;Brandner, Sebastian&lt;/author&gt;&lt;author&gt;Collinge, John&lt;/author&gt;&lt;/authors&gt;&lt;/contributors&gt;&lt;titles&gt;&lt;title&gt;Variant Creutzfeldt–Jakob Disease in a Patient with Heterozygosity at PRNP Codon 129&lt;/title&gt;&lt;secondary-title&gt;New England Journal of Medicine&lt;/secondary-title&gt;&lt;/titles&gt;&lt;periodical&gt;&lt;full-title&gt;New England Journal of Medicine&lt;/full-title&gt;&lt;/periodical&gt;&lt;pages&gt;292-294&lt;/pages&gt;&lt;volume&gt;376&lt;/volume&gt;&lt;number&gt;3&lt;/number&gt;&lt;keywords&gt;&lt;keyword&gt;$$LU_1_prevalence CJD&lt;/keyword&gt;&lt;keyword&gt;$$LU_4_CJD infectivity&lt;/keyword&gt;&lt;keyword&gt;$$CJD relevant&lt;/keyword&gt;&lt;keyword&gt;$$Lesley google&lt;/keyword&gt;&lt;/keywords&gt;&lt;dates&gt;&lt;year&gt;2017&lt;/year&gt;&lt;/dates&gt;&lt;accession-num&gt;28099827&lt;/accession-num&gt;&lt;urls&gt;&lt;related-urls&gt;&lt;url&gt;http://www.nejm.org/doi/full/10.1056/NEJMc1610003&lt;/url&gt;&lt;/related-urls&gt;&lt;/urls&gt;&lt;electronic-resource-num&gt;10.1056/NEJMc1610003&lt;/electronic-resource-num&gt;&lt;/record&gt;&lt;/Cite&gt;&lt;/EndNote&gt;</w:instrText>
      </w:r>
      <w:r w:rsidR="00A6637A" w:rsidRPr="007A7C51">
        <w:rPr>
          <w:rFonts w:cs="Times New Roman"/>
        </w:rPr>
        <w:fldChar w:fldCharType="separate"/>
      </w:r>
      <w:r w:rsidR="0076576E" w:rsidRPr="0076576E">
        <w:rPr>
          <w:rFonts w:cs="Times New Roman"/>
          <w:noProof/>
          <w:vertAlign w:val="superscript"/>
        </w:rPr>
        <w:t>33</w:t>
      </w:r>
      <w:r w:rsidR="00A6637A" w:rsidRPr="007A7C51">
        <w:rPr>
          <w:rFonts w:cs="Times New Roman"/>
        </w:rPr>
        <w:fldChar w:fldCharType="end"/>
      </w:r>
      <w:r w:rsidR="00A6637A">
        <w:rPr>
          <w:rFonts w:cs="Times New Roman"/>
        </w:rPr>
        <w:t xml:space="preserve"> </w:t>
      </w:r>
      <w:r w:rsidR="00E111FA" w:rsidRPr="007A7C51">
        <w:rPr>
          <w:rFonts w:cs="Times New Roman"/>
        </w:rPr>
        <w:t xml:space="preserve">A further 52 cases have been reported from other countries </w:t>
      </w:r>
      <w:r w:rsidR="00271AD2" w:rsidRPr="007A7C51">
        <w:rPr>
          <w:rFonts w:cs="Times New Roman"/>
        </w:rPr>
        <w:t xml:space="preserve">around the world </w:t>
      </w:r>
      <w:r w:rsidR="00E111FA" w:rsidRPr="007A7C51">
        <w:rPr>
          <w:rFonts w:cs="Times New Roman"/>
        </w:rPr>
        <w:t xml:space="preserve">bringing the </w:t>
      </w:r>
      <w:r w:rsidR="00271AD2" w:rsidRPr="007A7C51">
        <w:rPr>
          <w:rFonts w:cs="Times New Roman"/>
        </w:rPr>
        <w:t>global</w:t>
      </w:r>
      <w:r w:rsidR="001E07B6" w:rsidRPr="007A7C51">
        <w:rPr>
          <w:rFonts w:cs="Times New Roman"/>
        </w:rPr>
        <w:t xml:space="preserve"> </w:t>
      </w:r>
      <w:r w:rsidR="00E111FA" w:rsidRPr="007A7C51">
        <w:rPr>
          <w:rFonts w:cs="Times New Roman"/>
        </w:rPr>
        <w:t>total</w:t>
      </w:r>
      <w:r w:rsidR="00271AD2" w:rsidRPr="007A7C51">
        <w:rPr>
          <w:rFonts w:cs="Times New Roman"/>
        </w:rPr>
        <w:t xml:space="preserve"> of clinical vCJD cases</w:t>
      </w:r>
      <w:r w:rsidR="00E111FA" w:rsidRPr="007A7C51">
        <w:rPr>
          <w:rFonts w:cs="Times New Roman"/>
        </w:rPr>
        <w:t xml:space="preserve"> to 231.</w:t>
      </w:r>
      <w:r w:rsidR="00FD6776">
        <w:rPr>
          <w:rFonts w:cs="Times New Roman"/>
        </w:rPr>
        <w:fldChar w:fldCharType="begin">
          <w:fldData xml:space="preserve">PEVuZE5vdGU+PENpdGU+PEF1dGhvcj5Db3VsdGhhcnQ8L0F1dGhvcj48WWVhcj4yMDE2PC9ZZWFy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PEVuZE5vdGU+PENpdGU+PEF1dGhvcj5Db3VsdGhhcnQ8L0F1dGhvcj48WWVhcj4yMDE2PC9ZZWFy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FD6776">
        <w:rPr>
          <w:rFonts w:cs="Times New Roman"/>
        </w:rPr>
      </w:r>
      <w:r w:rsidR="00FD6776">
        <w:rPr>
          <w:rFonts w:cs="Times New Roman"/>
        </w:rPr>
        <w:fldChar w:fldCharType="separate"/>
      </w:r>
      <w:r w:rsidR="0076576E" w:rsidRPr="0076576E">
        <w:rPr>
          <w:rFonts w:cs="Times New Roman"/>
          <w:noProof/>
          <w:vertAlign w:val="superscript"/>
        </w:rPr>
        <w:t>77</w:t>
      </w:r>
      <w:r w:rsidR="00FD6776">
        <w:rPr>
          <w:rFonts w:cs="Times New Roman"/>
        </w:rPr>
        <w:fldChar w:fldCharType="end"/>
      </w:r>
      <w:r w:rsidR="00E111FA" w:rsidRPr="007A7C51">
        <w:rPr>
          <w:rFonts w:cs="Times New Roman"/>
        </w:rPr>
        <w:t xml:space="preserve"> B</w:t>
      </w:r>
      <w:r w:rsidRPr="007A7C51">
        <w:rPr>
          <w:rFonts w:cs="Times New Roman"/>
        </w:rPr>
        <w:t>etween 2005</w:t>
      </w:r>
      <w:r w:rsidR="00A6637A">
        <w:rPr>
          <w:rFonts w:cs="Times New Roman"/>
        </w:rPr>
        <w:t xml:space="preserve"> and 2014, 68</w:t>
      </w:r>
      <w:r w:rsidR="00F32C91" w:rsidRPr="007A7C51">
        <w:rPr>
          <w:rFonts w:cs="Times New Roman"/>
        </w:rPr>
        <w:t xml:space="preserve"> </w:t>
      </w:r>
      <w:r w:rsidR="00E111FA" w:rsidRPr="007A7C51">
        <w:rPr>
          <w:rFonts w:cs="Times New Roman"/>
        </w:rPr>
        <w:t xml:space="preserve">vCJD </w:t>
      </w:r>
      <w:r w:rsidR="00F32C91" w:rsidRPr="007A7C51">
        <w:rPr>
          <w:rFonts w:cs="Times New Roman"/>
        </w:rPr>
        <w:t xml:space="preserve">cases were reported </w:t>
      </w:r>
      <w:r w:rsidR="00E111FA" w:rsidRPr="007A7C51">
        <w:rPr>
          <w:rFonts w:cs="Times New Roman"/>
        </w:rPr>
        <w:t>from 1</w:t>
      </w:r>
      <w:r w:rsidR="00A6637A">
        <w:rPr>
          <w:rFonts w:cs="Times New Roman"/>
        </w:rPr>
        <w:t>1</w:t>
      </w:r>
      <w:r w:rsidR="00E111FA" w:rsidRPr="007A7C51">
        <w:rPr>
          <w:rFonts w:cs="Times New Roman"/>
        </w:rPr>
        <w:t xml:space="preserve"> countries</w:t>
      </w:r>
      <w:r w:rsidR="00F32C91" w:rsidRPr="007A7C51">
        <w:rPr>
          <w:rFonts w:cs="Times New Roman"/>
        </w:rPr>
        <w:t xml:space="preserve"> </w:t>
      </w:r>
      <w:r w:rsidR="00E111FA" w:rsidRPr="007A7C51">
        <w:rPr>
          <w:rFonts w:cs="Times New Roman"/>
        </w:rPr>
        <w:t>including</w:t>
      </w:r>
      <w:r w:rsidR="00F32C91" w:rsidRPr="007A7C51">
        <w:rPr>
          <w:rFonts w:cs="Times New Roman"/>
        </w:rPr>
        <w:t xml:space="preserve"> the UK (n=29), France (n=19), Spain (n=5), Ireland (n=3), USA (n=3), Holland (n=3), Portugal (n=2), Italy (n=1), Canada (n=1), Saudi Arabia (n=1),</w:t>
      </w:r>
      <w:r w:rsidR="00A6637A">
        <w:rPr>
          <w:rFonts w:cs="Times New Roman"/>
        </w:rPr>
        <w:t xml:space="preserve"> </w:t>
      </w:r>
      <w:r w:rsidR="00F32C91" w:rsidRPr="007A7C51">
        <w:rPr>
          <w:rFonts w:cs="Times New Roman"/>
        </w:rPr>
        <w:t>and Taiwan (n=1).</w:t>
      </w:r>
      <w:r w:rsidR="00E111FA" w:rsidRPr="007A7C51">
        <w:rPr>
          <w:rFonts w:cs="Times New Roman"/>
        </w:rPr>
        <w:fldChar w:fldCharType="begin"/>
      </w:r>
      <w:r w:rsidR="0047137F">
        <w:rPr>
          <w:rFonts w:cs="Times New Roman"/>
        </w:rPr>
        <w:instrText xml:space="preserve"> ADDIN EN.CITE &lt;EndNote&gt;&lt;Cite&gt;&lt;Author&gt;Creutzfeldt-Jakob Disease International Surveillance Network formerly EuroCJD&lt;/Author&gt;&lt;Year&gt;2017&lt;/Year&gt;&lt;RecNum&gt;10251&lt;/RecNum&gt;&lt;DisplayText&gt;&lt;style face="superscript"&gt;19&lt;/style&gt;&lt;/DisplayText&gt;&lt;record&gt;&lt;rec-number&gt;10251&lt;/rec-number&gt;&lt;foreign-keys&gt;&lt;key app="EN" db-id="vrp0pptazv05wtesfz5vrzsj2p0rv09ttsa9" timestamp="1520851583" guid="eedffaa2-8263-4e01-bfea-ea694c4e245b"&gt;10251&lt;/key&gt;&lt;/foreign-keys&gt;&lt;ref-type name="Web Page"&gt;12&lt;/ref-type&gt;&lt;contributors&gt;&lt;authors&gt;&lt;author&gt;Creutzfeldt-Jakob Disease International Surveillance Network formerly EuroCJD,&lt;/author&gt;&lt;/authors&gt;&lt;/contributors&gt;&lt;titles&gt;&lt;title&gt;CJD Surveillance Data 1993-2017&lt;/title&gt;&lt;/titles&gt;&lt;keywords&gt;&lt;keyword&gt;$$LU_1_prevalence CJD&lt;/keyword&gt;&lt;keyword&gt;$$Lesley google&lt;/keyword&gt;&lt;keyword&gt;$$CJD relevant&lt;/keyword&gt;&lt;/keywords&gt;&lt;dates&gt;&lt;year&gt;2017&lt;/year&gt;&lt;/dates&gt;&lt;urls&gt;&lt;related-urls&gt;&lt;url&gt;&lt;style face="underline" font="default" size="100%"&gt;http://www.eurocjd.ed.ac.uk/surveillance%20data%201.html&lt;/style&gt;&lt;/url&gt;&lt;/related-urls&gt;&lt;/urls&gt;&lt;access-date&gt;23.01.18&lt;/access-date&gt;&lt;/record&gt;&lt;/Cite&gt;&lt;/EndNote&gt;</w:instrText>
      </w:r>
      <w:r w:rsidR="00E111FA" w:rsidRPr="007A7C51">
        <w:rPr>
          <w:rFonts w:cs="Times New Roman"/>
        </w:rPr>
        <w:fldChar w:fldCharType="separate"/>
      </w:r>
      <w:r w:rsidR="005C50C5" w:rsidRPr="005C50C5">
        <w:rPr>
          <w:rFonts w:cs="Times New Roman"/>
          <w:noProof/>
          <w:vertAlign w:val="superscript"/>
        </w:rPr>
        <w:t>19</w:t>
      </w:r>
      <w:r w:rsidR="00E111FA" w:rsidRPr="007A7C51">
        <w:rPr>
          <w:rFonts w:cs="Times New Roman"/>
        </w:rPr>
        <w:fldChar w:fldCharType="end"/>
      </w:r>
      <w:r w:rsidR="008F531B" w:rsidRPr="007A7C51">
        <w:rPr>
          <w:rFonts w:cs="Times New Roman"/>
        </w:rPr>
        <w:t xml:space="preserve"> </w:t>
      </w:r>
      <w:r w:rsidR="00554D50" w:rsidRPr="007A7C51">
        <w:rPr>
          <w:rFonts w:cs="Times New Roman"/>
        </w:rPr>
        <w:t xml:space="preserve">Three of the 178 </w:t>
      </w:r>
      <w:r w:rsidR="00A6637A">
        <w:rPr>
          <w:rFonts w:cs="Times New Roman"/>
        </w:rPr>
        <w:t xml:space="preserve">UK </w:t>
      </w:r>
      <w:r w:rsidR="00554D50" w:rsidRPr="007A7C51">
        <w:rPr>
          <w:rFonts w:cs="Times New Roman"/>
        </w:rPr>
        <w:t>cases</w:t>
      </w:r>
      <w:r w:rsidR="005203BB">
        <w:rPr>
          <w:rFonts w:cs="Times New Roman"/>
        </w:rPr>
        <w:t xml:space="preserve"> that occurred up to 2016</w:t>
      </w:r>
      <w:r w:rsidR="00554D50" w:rsidRPr="007A7C51">
        <w:rPr>
          <w:rFonts w:cs="Times New Roman"/>
        </w:rPr>
        <w:t xml:space="preserve"> are considered to have occurred through blood transfusion</w:t>
      </w:r>
      <w:r w:rsidR="009C2FDB" w:rsidRPr="007A7C51">
        <w:rPr>
          <w:rFonts w:cs="Times New Roman"/>
        </w:rPr>
        <w:t>.</w:t>
      </w:r>
      <w:r w:rsidR="00FD6776">
        <w:rPr>
          <w:rFonts w:cs="Times New Roman"/>
        </w:rPr>
        <w:fldChar w:fldCharType="begin"/>
      </w:r>
      <w:r w:rsidR="00D63CDB">
        <w:rPr>
          <w:rFonts w:cs="Times New Roman"/>
        </w:rPr>
        <w:instrText xml:space="preserve"> ADDIN EN.CITE &lt;EndNote&gt;&lt;Cite&gt;&lt;Author&gt;National CJD Research &amp;amp; Surveillance Unit&lt;/Author&gt;&lt;Year&gt;2016&lt;/Year&gt;&lt;RecNum&gt;10247&lt;/RecNum&gt;&lt;DisplayText&gt;&lt;style face="superscript"&gt;2&lt;/style&gt;&lt;/DisplayText&gt;&lt;record&gt;&lt;rec-number&gt;10247&lt;/rec-number&gt;&lt;foreign-keys&gt;&lt;key app="EN" db-id="vrp0pptazv05wtesfz5vrzsj2p0rv09ttsa9" timestamp="1520851581" guid="2d57af3e-e0a8-492f-890b-635cc5992b00"&gt;10247&lt;/key&gt;&lt;/foreign-keys&gt;&lt;ref-type name="Report"&gt;27&lt;/ref-type&gt;&lt;contributors&gt;&lt;authors&gt;&lt;author&gt;National CJD Research &amp;amp; Surveillance Unit,&lt;/author&gt;&lt;/authors&gt;&lt;/contributors&gt;&lt;titles&gt;&lt;title&gt;Creutzfeldt-Jakob Disease Surveillance in the UK: 25th Annual Report 2016&lt;/title&gt;&lt;/titles&gt;&lt;keywords&gt;&lt;keyword&gt;$$LU_1_prevalence CJD&lt;/keyword&gt;&lt;keyword&gt;$$Lesley google&lt;/keyword&gt;&lt;keyword&gt;$$Background&lt;/keyword&gt;&lt;/keywords&gt;&lt;dates&gt;&lt;year&gt;2016&lt;/year&gt;&lt;/dates&gt;&lt;publisher&gt;The National CJD Research &amp;amp; Surveillance Unit, Western General Hospital, Edinburgh, EH4 2XU&lt;/publisher&gt;&lt;urls&gt;&lt;related-urls&gt;&lt;url&gt;https://www.cjd.ed.ac.uk/sites/default/files/report25.pdf&lt;/url&gt;&lt;/related-urls&gt;&lt;/urls&gt;&lt;access-date&gt;23.01.18&lt;/access-date&gt;&lt;/record&gt;&lt;/Cite&gt;&lt;/EndNote&gt;</w:instrText>
      </w:r>
      <w:r w:rsidR="00FD6776">
        <w:rPr>
          <w:rFonts w:cs="Times New Roman"/>
        </w:rPr>
        <w:fldChar w:fldCharType="separate"/>
      </w:r>
      <w:r w:rsidR="001D65B2" w:rsidRPr="001D65B2">
        <w:rPr>
          <w:rFonts w:cs="Times New Roman"/>
          <w:noProof/>
          <w:vertAlign w:val="superscript"/>
        </w:rPr>
        <w:t>2</w:t>
      </w:r>
      <w:r w:rsidR="00FD6776">
        <w:rPr>
          <w:rFonts w:cs="Times New Roman"/>
        </w:rPr>
        <w:fldChar w:fldCharType="end"/>
      </w:r>
      <w:r w:rsidR="009C2FDB" w:rsidRPr="007A7C51">
        <w:rPr>
          <w:rFonts w:cs="Times New Roman"/>
        </w:rPr>
        <w:t xml:space="preserve"> A further fourth case of vCJD </w:t>
      </w:r>
      <w:r w:rsidR="005203BB">
        <w:rPr>
          <w:rFonts w:cs="Times New Roman"/>
        </w:rPr>
        <w:t xml:space="preserve">transmission through blood transfusion </w:t>
      </w:r>
      <w:r w:rsidR="009C2FDB" w:rsidRPr="007A7C51">
        <w:rPr>
          <w:rFonts w:cs="Times New Roman"/>
        </w:rPr>
        <w:t>was identified in the spleen</w:t>
      </w:r>
      <w:r w:rsidR="00386760" w:rsidRPr="007A7C51">
        <w:rPr>
          <w:rFonts w:cs="Times New Roman"/>
        </w:rPr>
        <w:t xml:space="preserve"> </w:t>
      </w:r>
      <w:r w:rsidR="009C2FDB" w:rsidRPr="007A7C51">
        <w:rPr>
          <w:rFonts w:cs="Times New Roman"/>
        </w:rPr>
        <w:t xml:space="preserve">of an individual </w:t>
      </w:r>
      <w:r w:rsidR="003B0BCA" w:rsidRPr="007A7C51">
        <w:rPr>
          <w:rFonts w:cs="Times New Roman"/>
        </w:rPr>
        <w:t xml:space="preserve">(heterozygous at codon 129) </w:t>
      </w:r>
      <w:r w:rsidR="009C2FDB" w:rsidRPr="007A7C51">
        <w:rPr>
          <w:rFonts w:cs="Times New Roman"/>
        </w:rPr>
        <w:t>who die</w:t>
      </w:r>
      <w:r w:rsidR="00386760" w:rsidRPr="007A7C51">
        <w:rPr>
          <w:rFonts w:cs="Times New Roman"/>
        </w:rPr>
        <w:t xml:space="preserve">d of </w:t>
      </w:r>
      <w:r w:rsidR="005203BB">
        <w:rPr>
          <w:rFonts w:cs="Times New Roman"/>
        </w:rPr>
        <w:t>a non-CJD-related</w:t>
      </w:r>
      <w:r w:rsidR="00386760" w:rsidRPr="007A7C51">
        <w:rPr>
          <w:rFonts w:cs="Times New Roman"/>
        </w:rPr>
        <w:t xml:space="preserve"> cause</w:t>
      </w:r>
      <w:r w:rsidR="005203BB">
        <w:rPr>
          <w:rFonts w:cs="Times New Roman"/>
        </w:rPr>
        <w:t>. This</w:t>
      </w:r>
      <w:r w:rsidR="009C2FDB" w:rsidRPr="007A7C51">
        <w:rPr>
          <w:rFonts w:cs="Times New Roman"/>
        </w:rPr>
        <w:t xml:space="preserve"> is </w:t>
      </w:r>
      <w:r w:rsidR="00826471" w:rsidRPr="007A7C51">
        <w:rPr>
          <w:rFonts w:cs="Times New Roman"/>
        </w:rPr>
        <w:t>consider</w:t>
      </w:r>
      <w:r w:rsidR="005203BB">
        <w:rPr>
          <w:rFonts w:cs="Times New Roman"/>
        </w:rPr>
        <w:t>ed to be</w:t>
      </w:r>
      <w:r w:rsidR="009C2FDB" w:rsidRPr="007A7C51">
        <w:rPr>
          <w:rFonts w:cs="Times New Roman"/>
        </w:rPr>
        <w:t xml:space="preserve"> preclinical vCJD.</w:t>
      </w:r>
      <w:r w:rsidR="00826471" w:rsidRPr="007A7C51">
        <w:rPr>
          <w:rFonts w:cs="Times New Roman"/>
        </w:rPr>
        <w:fldChar w:fldCharType="begin"/>
      </w:r>
      <w:r w:rsidR="0076576E">
        <w:rPr>
          <w:rFonts w:cs="Times New Roman"/>
        </w:rPr>
        <w:instrText xml:space="preserve"> ADDIN EN.CITE &lt;EndNote&gt;&lt;Cite&gt;&lt;Author&gt;Peden&lt;/Author&gt;&lt;Year&gt;2004&lt;/Year&gt;&lt;RecNum&gt;10256&lt;/RecNum&gt;&lt;DisplayText&gt;&lt;style face="superscript"&gt;73&lt;/style&gt;&lt;/DisplayText&gt;&lt;record&gt;&lt;rec-number&gt;10256&lt;/rec-number&gt;&lt;foreign-keys&gt;&lt;key app="EN" db-id="vrp0pptazv05wtesfz5vrzsj2p0rv09ttsa9" timestamp="1520851587" guid="5ecc7404-379c-4936-9b28-431cb34bfd08"&gt;10256&lt;/key&gt;&lt;/foreign-keys&gt;&lt;ref-type name="Journal Article"&gt;17&lt;/ref-type&gt;&lt;contributors&gt;&lt;authors&gt;&lt;author&gt;Peden, Alexander H&lt;/author&gt;&lt;author&gt;Head, Mark W&lt;/author&gt;&lt;author&gt;Diane, L Ritchie&lt;/author&gt;&lt;author&gt;Jeanne, E Bell&lt;/author&gt;&lt;author&gt;James, W Ironside&lt;/author&gt;&lt;/authors&gt;&lt;/contributors&gt;&lt;titles&gt;&lt;title&gt;Preclinical vCJD after blood transfusion in a PRNP codon 129 heterozygous patient&lt;/title&gt;&lt;secondary-title&gt;The Lancet&lt;/secondary-title&gt;&lt;/titles&gt;&lt;periodical&gt;&lt;full-title&gt;The Lancet&lt;/full-title&gt;&lt;/periodical&gt;&lt;pages&gt;527-529&lt;/pages&gt;&lt;volume&gt;364&lt;/volume&gt;&lt;number&gt;9433&lt;/number&gt;&lt;keywords&gt;&lt;keyword&gt;$$Committee recommended&lt;/keyword&gt;&lt;keyword&gt;$$CJD relevant&lt;/keyword&gt;&lt;keyword&gt;$$transfusion&lt;/keyword&gt;&lt;/keywords&gt;&lt;dates&gt;&lt;year&gt;2004&lt;/year&gt;&lt;/dates&gt;&lt;isbn&gt;0140-6736&lt;/isbn&gt;&lt;urls&gt;&lt;/urls&gt;&lt;/record&gt;&lt;/Cite&gt;&lt;/EndNote&gt;</w:instrText>
      </w:r>
      <w:r w:rsidR="00826471" w:rsidRPr="007A7C51">
        <w:rPr>
          <w:rFonts w:cs="Times New Roman"/>
        </w:rPr>
        <w:fldChar w:fldCharType="separate"/>
      </w:r>
      <w:r w:rsidR="0076576E" w:rsidRPr="0076576E">
        <w:rPr>
          <w:rFonts w:cs="Times New Roman"/>
          <w:noProof/>
          <w:vertAlign w:val="superscript"/>
        </w:rPr>
        <w:t>73</w:t>
      </w:r>
      <w:r w:rsidR="00826471" w:rsidRPr="007A7C51">
        <w:rPr>
          <w:rFonts w:cs="Times New Roman"/>
        </w:rPr>
        <w:fldChar w:fldCharType="end"/>
      </w:r>
      <w:r w:rsidR="009C2FDB" w:rsidRPr="007A7C51">
        <w:rPr>
          <w:rFonts w:cs="Times New Roman"/>
        </w:rPr>
        <w:t xml:space="preserve"> </w:t>
      </w:r>
      <w:r w:rsidR="00A24ED4">
        <w:rPr>
          <w:rFonts w:cs="Times New Roman"/>
        </w:rPr>
        <w:t>T</w:t>
      </w:r>
      <w:r w:rsidR="0086735B">
        <w:rPr>
          <w:rFonts w:cs="Times New Roman"/>
        </w:rPr>
        <w:t>hree</w:t>
      </w:r>
      <w:r w:rsidR="00A24ED4">
        <w:rPr>
          <w:rFonts w:cs="Times New Roman"/>
        </w:rPr>
        <w:t xml:space="preserve"> further</w:t>
      </w:r>
      <w:r w:rsidR="00297726">
        <w:rPr>
          <w:rFonts w:cs="Times New Roman"/>
        </w:rPr>
        <w:t xml:space="preserve"> potential</w:t>
      </w:r>
      <w:r w:rsidR="005203BB">
        <w:rPr>
          <w:rFonts w:cs="Times New Roman"/>
        </w:rPr>
        <w:t>,</w:t>
      </w:r>
      <w:r w:rsidR="00297726">
        <w:rPr>
          <w:rFonts w:cs="Times New Roman"/>
        </w:rPr>
        <w:t xml:space="preserve"> but unconfirmed</w:t>
      </w:r>
      <w:r w:rsidR="005203BB">
        <w:rPr>
          <w:rFonts w:cs="Times New Roman"/>
        </w:rPr>
        <w:t>,</w:t>
      </w:r>
      <w:r w:rsidR="00297726">
        <w:rPr>
          <w:rFonts w:cs="Times New Roman"/>
        </w:rPr>
        <w:t xml:space="preserve"> case</w:t>
      </w:r>
      <w:r w:rsidR="005203BB">
        <w:rPr>
          <w:rFonts w:cs="Times New Roman"/>
        </w:rPr>
        <w:t>s of CJD transmission through blood transfusion</w:t>
      </w:r>
      <w:r w:rsidR="00297726">
        <w:rPr>
          <w:rFonts w:cs="Times New Roman"/>
        </w:rPr>
        <w:t xml:space="preserve"> are described by Chohan </w:t>
      </w:r>
      <w:r w:rsidR="00B301D6" w:rsidRPr="00B301D6">
        <w:rPr>
          <w:rFonts w:cs="Times New Roman"/>
          <w:i/>
        </w:rPr>
        <w:t>et al</w:t>
      </w:r>
      <w:r w:rsidR="00297726">
        <w:rPr>
          <w:rFonts w:cs="Times New Roman"/>
        </w:rPr>
        <w:t xml:space="preserve"> (2010)</w:t>
      </w:r>
      <w:r w:rsidR="00FD6776">
        <w:rPr>
          <w:rFonts w:cs="Times New Roman"/>
        </w:rPr>
        <w:fldChar w:fldCharType="begin">
          <w:fldData xml:space="preserve">PEVuZE5vdGU+PENpdGU+PEF1dGhvcj5DaG9oYW48L0F1dGhvcj48WWVhcj4yMDEwPC9ZZWFyPjxS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PEVuZE5vdGU+PENpdGU+PEF1dGhvcj5DaG9oYW48L0F1dGhvcj48WWVhcj4yMDEwPC9ZZWFyPjxS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FD6776">
        <w:rPr>
          <w:rFonts w:cs="Times New Roman"/>
        </w:rPr>
      </w:r>
      <w:r w:rsidR="00FD6776">
        <w:rPr>
          <w:rFonts w:cs="Times New Roman"/>
        </w:rPr>
        <w:fldChar w:fldCharType="separate"/>
      </w:r>
      <w:r w:rsidR="0076576E" w:rsidRPr="0076576E">
        <w:rPr>
          <w:rFonts w:cs="Times New Roman"/>
          <w:noProof/>
          <w:vertAlign w:val="superscript"/>
        </w:rPr>
        <w:t>78</w:t>
      </w:r>
      <w:r w:rsidR="00FD6776">
        <w:rPr>
          <w:rFonts w:cs="Times New Roman"/>
        </w:rPr>
        <w:fldChar w:fldCharType="end"/>
      </w:r>
      <w:r w:rsidR="00297726">
        <w:rPr>
          <w:rFonts w:cs="Times New Roman"/>
        </w:rPr>
        <w:t xml:space="preserve"> and Davidson </w:t>
      </w:r>
      <w:r w:rsidR="00B301D6" w:rsidRPr="00B301D6">
        <w:rPr>
          <w:rFonts w:cs="Times New Roman"/>
          <w:i/>
        </w:rPr>
        <w:t>et al</w:t>
      </w:r>
      <w:r w:rsidR="00297726">
        <w:rPr>
          <w:rFonts w:cs="Times New Roman"/>
        </w:rPr>
        <w:t xml:space="preserve"> (2014).</w:t>
      </w:r>
      <w:r w:rsidR="00FD6776">
        <w:rPr>
          <w:rFonts w:cs="Times New Roman"/>
        </w:rPr>
        <w:fldChar w:fldCharType="begin">
          <w:fldData xml:space="preserve">PEVuZE5vdGU+PENpdGU+PEF1dGhvcj5EYXZpZHNvbjwvQXV0aG9yPjxZZWFyPjIwMTQ8L1llYXI+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PEVuZE5vdGU+PENpdGU+PEF1dGhvcj5EYXZpZHNvbjwvQXV0aG9yPjxZZWFyPjIwMTQ8L1llYXI+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FD6776">
        <w:rPr>
          <w:rFonts w:cs="Times New Roman"/>
        </w:rPr>
      </w:r>
      <w:r w:rsidR="00FD6776">
        <w:rPr>
          <w:rFonts w:cs="Times New Roman"/>
        </w:rPr>
        <w:fldChar w:fldCharType="separate"/>
      </w:r>
      <w:r w:rsidR="0076576E" w:rsidRPr="0076576E">
        <w:rPr>
          <w:rFonts w:cs="Times New Roman"/>
          <w:noProof/>
          <w:vertAlign w:val="superscript"/>
        </w:rPr>
        <w:t>79</w:t>
      </w:r>
      <w:r w:rsidR="00FD6776">
        <w:rPr>
          <w:rFonts w:cs="Times New Roman"/>
        </w:rPr>
        <w:fldChar w:fldCharType="end"/>
      </w:r>
      <w:r w:rsidR="00297726">
        <w:rPr>
          <w:rFonts w:cs="Times New Roman"/>
        </w:rPr>
        <w:t xml:space="preserve"> </w:t>
      </w:r>
      <w:r w:rsidR="00A6637A" w:rsidRPr="007A7C51">
        <w:rPr>
          <w:rFonts w:cs="Times New Roman"/>
        </w:rPr>
        <w:t xml:space="preserve">A </w:t>
      </w:r>
      <w:r w:rsidR="00A6637A">
        <w:rPr>
          <w:rFonts w:cs="Times New Roman"/>
        </w:rPr>
        <w:t>retrospective</w:t>
      </w:r>
      <w:r w:rsidR="00A6637A" w:rsidRPr="007A7C51">
        <w:rPr>
          <w:rFonts w:cs="Times New Roman"/>
        </w:rPr>
        <w:t xml:space="preserve"> study by Molesworth </w:t>
      </w:r>
      <w:r w:rsidR="00B301D6" w:rsidRPr="00B301D6">
        <w:rPr>
          <w:rFonts w:cs="Times New Roman"/>
          <w:i/>
        </w:rPr>
        <w:t>et al</w:t>
      </w:r>
      <w:r w:rsidR="00A6637A" w:rsidRPr="007A7C51">
        <w:rPr>
          <w:rFonts w:cs="Times New Roman"/>
        </w:rPr>
        <w:t xml:space="preserve"> (2014)</w:t>
      </w:r>
      <w:r w:rsidR="00A6637A">
        <w:rPr>
          <w:rFonts w:cs="Times New Roman"/>
        </w:rPr>
        <w:t xml:space="preserve"> </w:t>
      </w:r>
      <w:r w:rsidR="006A1AA7">
        <w:rPr>
          <w:rFonts w:cs="Times New Roman"/>
        </w:rPr>
        <w:t xml:space="preserve">that </w:t>
      </w:r>
      <w:r w:rsidR="00A6637A">
        <w:rPr>
          <w:rFonts w:cs="Times New Roman"/>
        </w:rPr>
        <w:t>was</w:t>
      </w:r>
      <w:r w:rsidR="00A6637A" w:rsidRPr="007A7C51">
        <w:rPr>
          <w:rFonts w:cs="Times New Roman"/>
        </w:rPr>
        <w:t xml:space="preserve"> performed to identify situations where the transplantation of organs or tissues might have occurred that involved 177</w:t>
      </w:r>
      <w:r w:rsidR="00E44F62">
        <w:rPr>
          <w:rFonts w:cs="Times New Roman"/>
        </w:rPr>
        <w:t xml:space="preserve"> of the</w:t>
      </w:r>
      <w:r w:rsidR="00A6637A" w:rsidRPr="007A7C51">
        <w:rPr>
          <w:rFonts w:cs="Times New Roman"/>
        </w:rPr>
        <w:t xml:space="preserve"> UK vCJD cases, found no evidence of transplant-associated vCJD in the UK.</w:t>
      </w:r>
      <w:r w:rsidR="003861AC">
        <w:rPr>
          <w:rFonts w:cs="Times New Roman"/>
        </w:rPr>
        <w:fldChar w:fldCharType="begin">
          <w:fldData xml:space="preserve">PEVuZE5vdGU+PENpdGU+PEF1dGhvcj5Nb2xlc3dvcnRoPC9BdXRob3I+PFllYXI+MjAxNDwvWWVh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</w:fldData>
        </w:fldChar>
      </w:r>
      <w:r w:rsidR="0076576E">
        <w:rPr>
          <w:rFonts w:cs="Times New Roman"/>
        </w:rPr>
        <w:instrText xml:space="preserve"> ADDIN EN.CITE </w:instrText>
      </w:r>
      <w:r w:rsidR="0076576E">
        <w:rPr>
          <w:rFonts w:cs="Times New Roman"/>
        </w:rPr>
        <w:fldChar w:fldCharType="begin">
          <w:fldData xml:space="preserve">PEVuZE5vdGU+PENpdGU+PEF1dGhvcj5Nb2xlc3dvcnRoPC9BdXRob3I+PFllYXI+MjAxNDwvWWVh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3861AC">
        <w:rPr>
          <w:rFonts w:cs="Times New Roman"/>
        </w:rPr>
      </w:r>
      <w:r w:rsidR="003861AC">
        <w:rPr>
          <w:rFonts w:cs="Times New Roman"/>
        </w:rPr>
        <w:fldChar w:fldCharType="separate"/>
      </w:r>
      <w:r w:rsidR="0076576E" w:rsidRPr="0076576E">
        <w:rPr>
          <w:rFonts w:cs="Times New Roman"/>
          <w:noProof/>
          <w:vertAlign w:val="superscript"/>
        </w:rPr>
        <w:t>80</w:t>
      </w:r>
      <w:r w:rsidR="003861AC">
        <w:rPr>
          <w:rFonts w:cs="Times New Roman"/>
        </w:rPr>
        <w:fldChar w:fldCharType="end"/>
      </w:r>
      <w:r w:rsidR="00A6637A">
        <w:rPr>
          <w:rFonts w:cs="Times New Roman"/>
        </w:rPr>
        <w:t xml:space="preserve"> </w:t>
      </w:r>
      <w:r w:rsidR="009C2FDB" w:rsidRPr="007A7C51">
        <w:rPr>
          <w:rFonts w:cs="Times New Roman"/>
        </w:rPr>
        <w:t>T</w:t>
      </w:r>
      <w:r w:rsidR="00554D50" w:rsidRPr="007A7C51">
        <w:rPr>
          <w:rFonts w:cs="Times New Roman"/>
        </w:rPr>
        <w:t xml:space="preserve">he remaining 175 </w:t>
      </w:r>
      <w:r w:rsidR="009C2FDB" w:rsidRPr="007A7C51">
        <w:rPr>
          <w:rFonts w:cs="Times New Roman"/>
        </w:rPr>
        <w:t xml:space="preserve">clinical vCJD </w:t>
      </w:r>
      <w:r w:rsidR="00554D50" w:rsidRPr="007A7C51">
        <w:rPr>
          <w:rFonts w:cs="Times New Roman"/>
        </w:rPr>
        <w:t>cases are presumed to be related to dietary exposure to BSE.</w:t>
      </w:r>
      <w:r w:rsidR="00FD6776">
        <w:rPr>
          <w:rFonts w:cs="Times New Roman"/>
        </w:rPr>
        <w:fldChar w:fldCharType="begin"/>
      </w:r>
      <w:r w:rsidR="0076576E">
        <w:rPr>
          <w:rFonts w:cs="Times New Roman"/>
        </w:rPr>
        <w:instrText xml:space="preserve"> ADDIN EN.CITE &lt;EndNote&gt;&lt;Cite&gt;&lt;Author&gt;Ward&lt;/Author&gt;&lt;Year&gt;2006&lt;/Year&gt;&lt;RecNum&gt;8521&lt;/RecNum&gt;&lt;DisplayText&gt;&lt;style face="superscript"&gt;81&lt;/style&gt;&lt;/DisplayText&gt;&lt;record&gt;&lt;rec-number&gt;8521&lt;/rec-number&gt;&lt;foreign-keys&gt;&lt;key app="EN" db-id="vrp0pptazv05wtesfz5vrzsj2p0rv09ttsa9" timestamp="1506588801" guid="12595925-579e-45a2-bb34-e00196347c7e"&gt;8521&lt;/key&gt;&lt;/foreign-keys&gt;&lt;ref-type name="Journal Article"&gt;17&lt;/ref-type&gt;&lt;contributors&gt;&lt;authors&gt;&lt;author&gt;Ward, H. J. T.&lt;/author&gt;&lt;author&gt;Will, R. G.&lt;/author&gt;&lt;author&gt;Ghani, A.&lt;/author&gt;&lt;author&gt;Ironside, J. W.&lt;/author&gt;&lt;/authors&gt;&lt;/contributors&gt;&lt;titles&gt;&lt;title&gt;An update on variant CJD (vCJD), secondary transmission and prevalence&lt;/title&gt;&lt;secondary-title&gt;European Journal of Neurology&lt;/secondary-title&gt;&lt;/titles&gt;&lt;periodical&gt;&lt;full-title&gt;European Journal of Neurology&lt;/full-title&gt;&lt;/periodical&gt;&lt;pages&gt;306-307&lt;/pages&gt;&lt;volume&gt;13&lt;/volume&gt;&lt;keywords&gt;&lt;keyword&gt;$$LU_1_prevalence CJD&lt;/keyword&gt;&lt;keyword&gt;$$CJD relevant&lt;/keyword&gt;&lt;keyword&gt;$$1_prevalence CJD&lt;/keyword&gt;&lt;/keywords&gt;&lt;dates&gt;&lt;year&gt;2006&lt;/year&gt;&lt;pub-dates&gt;&lt;date&gt;Sep&lt;/date&gt;&lt;/pub-dates&gt;&lt;/dates&gt;&lt;isbn&gt;1351-5101&lt;/isbn&gt;&lt;accession-num&gt;WOS:000240523200988&lt;/accession-num&gt;&lt;urls&gt;&lt;related-urls&gt;&lt;url&gt;&amp;lt;Go to ISI&amp;gt;://WOS:000240523200988&lt;/url&gt;&lt;/related-urls&gt;&lt;/urls&gt;&lt;/record&gt;&lt;/Cite&gt;&lt;/EndNote&gt;</w:instrText>
      </w:r>
      <w:r w:rsidR="00FD6776">
        <w:rPr>
          <w:rFonts w:cs="Times New Roman"/>
        </w:rPr>
        <w:fldChar w:fldCharType="separate"/>
      </w:r>
      <w:r w:rsidR="0076576E" w:rsidRPr="0076576E">
        <w:rPr>
          <w:rFonts w:cs="Times New Roman"/>
          <w:noProof/>
          <w:vertAlign w:val="superscript"/>
        </w:rPr>
        <w:t>81</w:t>
      </w:r>
      <w:r w:rsidR="00FD6776">
        <w:rPr>
          <w:rFonts w:cs="Times New Roman"/>
        </w:rPr>
        <w:fldChar w:fldCharType="end"/>
      </w:r>
    </w:p>
    <w:p w14:paraId="73B7220A" w14:textId="321FDA81" w:rsidR="00E42BD1" w:rsidRDefault="00E42BD1" w:rsidP="00D96D80">
      <w:pPr>
        <w:autoSpaceDE w:val="0"/>
        <w:autoSpaceDN w:val="0"/>
        <w:adjustRightInd w:val="0"/>
        <w:jc w:val="both"/>
        <w:rPr>
          <w:rFonts w:cs="Times New Roman"/>
          <w:sz w:val="24"/>
          <w:szCs w:val="24"/>
        </w:rPr>
      </w:pPr>
    </w:p>
    <w:p w14:paraId="0B0E5EC2" w14:textId="36AEE04F" w:rsidR="00AB16C5" w:rsidRPr="006A1AA7" w:rsidRDefault="00AB16C5" w:rsidP="00292024">
      <w:pPr>
        <w:pStyle w:val="Heading4"/>
        <w:rPr>
          <w:sz w:val="22"/>
        </w:rPr>
      </w:pPr>
      <w:r w:rsidRPr="006A1AA7">
        <w:rPr>
          <w:sz w:val="22"/>
        </w:rPr>
        <w:t>Iatrogenic CJD</w:t>
      </w:r>
    </w:p>
    <w:p w14:paraId="20131A3D" w14:textId="7485121D" w:rsidR="003167EB" w:rsidRDefault="002704F6" w:rsidP="00D96D80">
      <w:pPr>
        <w:autoSpaceDE w:val="0"/>
        <w:autoSpaceDN w:val="0"/>
        <w:adjustRightInd w:val="0"/>
        <w:jc w:val="both"/>
        <w:rPr>
          <w:rFonts w:cs="Times New Roman"/>
        </w:rPr>
      </w:pPr>
      <w:r w:rsidRPr="007A7C51">
        <w:rPr>
          <w:rFonts w:cs="Times New Roman"/>
        </w:rPr>
        <w:t xml:space="preserve">The most common causes of iCJD were </w:t>
      </w:r>
      <w:r w:rsidR="00B50E6B" w:rsidRPr="007A7C51">
        <w:rPr>
          <w:rFonts w:cs="Times New Roman"/>
        </w:rPr>
        <w:t>human</w:t>
      </w:r>
      <w:r w:rsidRPr="007A7C51">
        <w:rPr>
          <w:rFonts w:cs="Times New Roman"/>
        </w:rPr>
        <w:t xml:space="preserve"> growth hormones </w:t>
      </w:r>
      <w:r w:rsidR="00B50E6B" w:rsidRPr="007A7C51">
        <w:rPr>
          <w:rFonts w:cs="Times New Roman"/>
        </w:rPr>
        <w:t>(</w:t>
      </w:r>
      <w:r w:rsidR="00297726" w:rsidRPr="007A7C51">
        <w:rPr>
          <w:rFonts w:cs="Times New Roman"/>
        </w:rPr>
        <w:t>hGH</w:t>
      </w:r>
      <w:r w:rsidR="00B50E6B" w:rsidRPr="007A7C51">
        <w:rPr>
          <w:rFonts w:cs="Times New Roman"/>
        </w:rPr>
        <w:t xml:space="preserve">) </w:t>
      </w:r>
      <w:r w:rsidRPr="007A7C51">
        <w:rPr>
          <w:rFonts w:cs="Times New Roman"/>
        </w:rPr>
        <w:t xml:space="preserve">and dura mater grafts obtained from human cadavers. A review of worldwide iCJD cases published by Brown </w:t>
      </w:r>
      <w:r w:rsidR="00B301D6" w:rsidRPr="00B301D6">
        <w:rPr>
          <w:rFonts w:cs="Times New Roman"/>
          <w:i/>
        </w:rPr>
        <w:t>et al</w:t>
      </w:r>
      <w:r w:rsidRPr="007A7C51">
        <w:rPr>
          <w:rFonts w:cs="Times New Roman"/>
        </w:rPr>
        <w:t xml:space="preserve"> (2012)</w:t>
      </w:r>
      <w:r w:rsidR="003167EB" w:rsidRPr="007A7C51">
        <w:rPr>
          <w:rFonts w:cs="Times New Roman"/>
        </w:rPr>
        <w:t xml:space="preserve"> identified 469 cases from</w:t>
      </w:r>
      <w:r w:rsidR="008046DF" w:rsidRPr="007A7C51">
        <w:rPr>
          <w:rFonts w:cs="Times New Roman"/>
        </w:rPr>
        <w:t>:</w:t>
      </w:r>
      <w:r w:rsidR="003167EB" w:rsidRPr="007A7C51">
        <w:rPr>
          <w:rFonts w:cs="Times New Roman"/>
        </w:rPr>
        <w:t xml:space="preserve"> dura mater grafts (n=228); surgical instruments (n=4); EEG needles (n=2); corneal transplants (n=2); </w:t>
      </w:r>
      <w:r w:rsidR="00297726" w:rsidRPr="007A7C51">
        <w:rPr>
          <w:rFonts w:cs="Times New Roman"/>
        </w:rPr>
        <w:t>hGH</w:t>
      </w:r>
      <w:r w:rsidR="003167EB" w:rsidRPr="007A7C51">
        <w:rPr>
          <w:rFonts w:cs="Times New Roman"/>
        </w:rPr>
        <w:t xml:space="preserve"> (n=226); gonadotropin (n=4) and packed red blood cells (n=3)</w:t>
      </w:r>
      <w:r w:rsidRPr="007A7C51">
        <w:rPr>
          <w:rFonts w:cs="Times New Roman"/>
        </w:rPr>
        <w:t>.</w:t>
      </w:r>
      <w:r w:rsidR="002F2DE1" w:rsidRPr="007A7C51">
        <w:rPr>
          <w:rFonts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cs="Times New Roman"/>
        </w:rPr>
        <w:instrText xml:space="preserve"> ADDIN EN.CITE </w:instrText>
      </w:r>
      <w:r w:rsidR="00D63CDB">
        <w:rPr>
          <w:rFonts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cs="Times New Roman"/>
        </w:rPr>
        <w:instrText xml:space="preserve"> ADDIN EN.CITE.DATA </w:instrText>
      </w:r>
      <w:r w:rsidR="00D63CDB">
        <w:rPr>
          <w:rFonts w:cs="Times New Roman"/>
        </w:rPr>
      </w:r>
      <w:r w:rsidR="00D63CDB">
        <w:rPr>
          <w:rFonts w:cs="Times New Roman"/>
        </w:rPr>
        <w:fldChar w:fldCharType="end"/>
      </w:r>
      <w:r w:rsidR="002F2DE1" w:rsidRPr="007A7C51">
        <w:rPr>
          <w:rFonts w:cs="Times New Roman"/>
        </w:rPr>
      </w:r>
      <w:r w:rsidR="002F2DE1" w:rsidRPr="007A7C51">
        <w:rPr>
          <w:rFonts w:cs="Times New Roman"/>
        </w:rPr>
        <w:fldChar w:fldCharType="separate"/>
      </w:r>
      <w:r w:rsidR="001D65B2" w:rsidRPr="001D65B2">
        <w:rPr>
          <w:rFonts w:cs="Times New Roman"/>
          <w:noProof/>
          <w:vertAlign w:val="superscript"/>
        </w:rPr>
        <w:t>3</w:t>
      </w:r>
      <w:r w:rsidR="002F2DE1" w:rsidRPr="007A7C51">
        <w:rPr>
          <w:rFonts w:cs="Times New Roman"/>
        </w:rPr>
        <w:fldChar w:fldCharType="end"/>
      </w:r>
      <w:r w:rsidR="00902199" w:rsidRPr="007A7C51">
        <w:rPr>
          <w:rFonts w:cs="Times New Roman"/>
        </w:rPr>
        <w:t xml:space="preserve"> </w:t>
      </w:r>
    </w:p>
    <w:p w14:paraId="745ADBDF" w14:textId="77777777" w:rsidR="00622C6B" w:rsidRPr="007A7C51" w:rsidRDefault="00622C6B" w:rsidP="00D96D80">
      <w:pPr>
        <w:autoSpaceDE w:val="0"/>
        <w:autoSpaceDN w:val="0"/>
        <w:adjustRightInd w:val="0"/>
        <w:jc w:val="both"/>
        <w:rPr>
          <w:rFonts w:cs="Times New Roman"/>
        </w:rPr>
      </w:pPr>
    </w:p>
    <w:p w14:paraId="34171913" w14:textId="0B641659" w:rsidR="002704F6" w:rsidRDefault="00902199" w:rsidP="00D96D80">
      <w:pPr>
        <w:autoSpaceDE w:val="0"/>
        <w:autoSpaceDN w:val="0"/>
        <w:adjustRightInd w:val="0"/>
        <w:jc w:val="both"/>
        <w:rPr>
          <w:rFonts w:cs="Times New Roman"/>
        </w:rPr>
      </w:pPr>
      <w:r w:rsidRPr="007A7C51">
        <w:rPr>
          <w:rFonts w:cs="Times New Roman"/>
        </w:rPr>
        <w:t>In the UK</w:t>
      </w:r>
      <w:r w:rsidR="003167EB" w:rsidRPr="007A7C51">
        <w:rPr>
          <w:rFonts w:cs="Times New Roman"/>
        </w:rPr>
        <w:t>,</w:t>
      </w:r>
      <w:r w:rsidRPr="007A7C51">
        <w:rPr>
          <w:rFonts w:cs="Times New Roman"/>
        </w:rPr>
        <w:t xml:space="preserve"> 85 cases of iCJD </w:t>
      </w:r>
      <w:r w:rsidR="003167EB" w:rsidRPr="007A7C51">
        <w:rPr>
          <w:rFonts w:cs="Times New Roman"/>
        </w:rPr>
        <w:t>were</w:t>
      </w:r>
      <w:r w:rsidRPr="007A7C51">
        <w:rPr>
          <w:rFonts w:cs="Times New Roman"/>
        </w:rPr>
        <w:t xml:space="preserve"> identified </w:t>
      </w:r>
      <w:r w:rsidR="003167EB" w:rsidRPr="007A7C51">
        <w:rPr>
          <w:rFonts w:cs="Times New Roman"/>
        </w:rPr>
        <w:t>between</w:t>
      </w:r>
      <w:r w:rsidRPr="007A7C51">
        <w:rPr>
          <w:rFonts w:cs="Times New Roman"/>
        </w:rPr>
        <w:t xml:space="preserve"> 1970 to December 2016</w:t>
      </w:r>
      <w:r w:rsidR="003167EB" w:rsidRPr="007A7C51">
        <w:rPr>
          <w:rFonts w:cs="Times New Roman"/>
        </w:rPr>
        <w:t xml:space="preserve"> and are described by the NCJDRSU.</w:t>
      </w:r>
      <w:r w:rsidR="00661C36">
        <w:rPr>
          <w:rFonts w:cs="Times New Roman"/>
        </w:rPr>
        <w:fldChar w:fldCharType="begin"/>
      </w:r>
      <w:r w:rsidR="00892AF6">
        <w:rPr>
          <w:rFonts w:cs="Times New Roman"/>
        </w:rPr>
        <w:instrText xml:space="preserve"> ADDIN EN.CITE &lt;EndNote&gt;&lt;Cite&gt;&lt;Author&gt;The University of Edinburgh&lt;/Author&gt;&lt;Year&gt;2017&lt;/Year&gt;&lt;RecNum&gt;583&lt;/RecNum&gt;&lt;DisplayText&gt;&lt;style face="superscript"&gt;1&lt;/style&gt;&lt;/DisplayText&gt;&lt;record&gt;&lt;rec-number&gt;583&lt;/rec-number&gt;&lt;foreign-keys&gt;&lt;key app="EN" db-id="vrp0pptazv05wtesfz5vrzsj2p0rv09ttsa9" timestamp="1499838798" guid="ed2e9fbb-6748-4e41-8f56-99399974de37"&gt;583&lt;/key&gt;&lt;/foreign-keys&gt;&lt;ref-type name="Web Page"&gt;12&lt;/ref-type&gt;&lt;contributors&gt;&lt;authors&gt;&lt;author&gt;The University of Edinburgh,&lt;/author&gt;&lt;/authors&gt;&lt;/contributors&gt;&lt;titles&gt;&lt;title&gt;The National CJD Research &amp;amp; Surveilance Unit (NCJDRSU)&lt;/title&gt;&lt;/titles&gt;&lt;number&gt;11.07.2017&lt;/number&gt;&lt;keywords&gt;&lt;keyword&gt;$$Lesley added for protocol&lt;/keyword&gt;&lt;keyword&gt;$$Background&lt;/keyword&gt;&lt;keyword&gt;$$CJD relevant&lt;/keyword&gt;&lt;/keywords&gt;&lt;dates&gt;&lt;year&gt;2017&lt;/year&gt;&lt;/dates&gt;&lt;urls&gt;&lt;related-urls&gt;&lt;url&gt;&lt;style face="underline" font="default" size="100%"&gt;http://www.cjd.ed.ac.uk/&lt;/style&gt;&lt;/url&gt;&lt;/related-urls&gt;&lt;/urls&gt;&lt;/record&gt;&lt;/Cite&gt;&lt;/EndNote&gt;</w:instrText>
      </w:r>
      <w:r w:rsidR="00661C36">
        <w:rPr>
          <w:rFonts w:cs="Times New Roman"/>
        </w:rPr>
        <w:fldChar w:fldCharType="separate"/>
      </w:r>
      <w:r w:rsidR="001D65B2" w:rsidRPr="001D65B2">
        <w:rPr>
          <w:rFonts w:cs="Times New Roman"/>
          <w:noProof/>
          <w:vertAlign w:val="superscript"/>
        </w:rPr>
        <w:t>1</w:t>
      </w:r>
      <w:r w:rsidR="00661C36">
        <w:rPr>
          <w:rFonts w:cs="Times New Roman"/>
        </w:rPr>
        <w:fldChar w:fldCharType="end"/>
      </w:r>
      <w:r w:rsidR="003167EB" w:rsidRPr="007A7C51">
        <w:rPr>
          <w:rFonts w:cs="Times New Roman"/>
        </w:rPr>
        <w:t xml:space="preserve"> </w:t>
      </w:r>
      <w:r w:rsidRPr="007A7C51">
        <w:rPr>
          <w:rFonts w:cs="Times New Roman"/>
        </w:rPr>
        <w:t xml:space="preserve">Eight were from dura mater </w:t>
      </w:r>
      <w:r w:rsidR="003167EB" w:rsidRPr="007A7C51">
        <w:rPr>
          <w:rFonts w:cs="Times New Roman"/>
        </w:rPr>
        <w:t>grafts</w:t>
      </w:r>
      <w:r w:rsidRPr="007A7C51">
        <w:rPr>
          <w:rFonts w:cs="Times New Roman"/>
        </w:rPr>
        <w:t xml:space="preserve">, 76 from hGH and one </w:t>
      </w:r>
      <w:r w:rsidR="003167EB" w:rsidRPr="007A7C51">
        <w:rPr>
          <w:rFonts w:cs="Times New Roman"/>
        </w:rPr>
        <w:t>from</w:t>
      </w:r>
      <w:r w:rsidRPr="007A7C51">
        <w:rPr>
          <w:rFonts w:cs="Times New Roman"/>
        </w:rPr>
        <w:t xml:space="preserve"> human gonadotrophin (hGN). All cases have died with a mean age at death for the hGH/hGN group of 35 years (with a range of 20-51 years) and </w:t>
      </w:r>
      <w:r w:rsidR="003167EB" w:rsidRPr="007A7C51">
        <w:rPr>
          <w:rFonts w:cs="Times New Roman"/>
        </w:rPr>
        <w:t>46.5</w:t>
      </w:r>
      <w:r w:rsidRPr="007A7C51">
        <w:rPr>
          <w:rFonts w:cs="Times New Roman"/>
        </w:rPr>
        <w:t xml:space="preserve"> years for the dura mater cases (range 27-78 years).</w:t>
      </w:r>
    </w:p>
    <w:p w14:paraId="16D3715B" w14:textId="77777777" w:rsidR="00F25602" w:rsidRPr="007A7C51" w:rsidRDefault="00F25602" w:rsidP="00D96D80">
      <w:pPr>
        <w:autoSpaceDE w:val="0"/>
        <w:autoSpaceDN w:val="0"/>
        <w:adjustRightInd w:val="0"/>
        <w:jc w:val="both"/>
        <w:rPr>
          <w:rFonts w:cs="Times New Roman"/>
        </w:rPr>
      </w:pPr>
    </w:p>
    <w:p w14:paraId="78C3D56A" w14:textId="60FC0159" w:rsidR="00603022" w:rsidRPr="007A7C51" w:rsidRDefault="003167EB" w:rsidP="00D96D80">
      <w:pPr>
        <w:autoSpaceDE w:val="0"/>
        <w:autoSpaceDN w:val="0"/>
        <w:adjustRightInd w:val="0"/>
        <w:jc w:val="both"/>
        <w:rPr>
          <w:rFonts w:cs="Times New Roman"/>
        </w:rPr>
      </w:pPr>
      <w:r w:rsidRPr="007A7C51">
        <w:rPr>
          <w:rFonts w:cs="Times New Roman"/>
        </w:rPr>
        <w:t>S</w:t>
      </w:r>
      <w:r w:rsidR="005203BB">
        <w:rPr>
          <w:rFonts w:cs="Times New Roman"/>
        </w:rPr>
        <w:t>ubsequent to</w:t>
      </w:r>
      <w:r w:rsidRPr="007A7C51">
        <w:rPr>
          <w:rFonts w:cs="Times New Roman"/>
        </w:rPr>
        <w:t xml:space="preserve"> the three cases of blood transfusion transmitted vCJD </w:t>
      </w:r>
      <w:r w:rsidR="00EB67F4" w:rsidRPr="007A7C51">
        <w:rPr>
          <w:rFonts w:cs="Times New Roman"/>
        </w:rPr>
        <w:t xml:space="preserve">described </w:t>
      </w:r>
      <w:r w:rsidRPr="007A7C51">
        <w:rPr>
          <w:rFonts w:cs="Times New Roman"/>
        </w:rPr>
        <w:t>above</w:t>
      </w:r>
      <w:r w:rsidR="00EB67F4" w:rsidRPr="007A7C51">
        <w:rPr>
          <w:rFonts w:cs="Times New Roman"/>
        </w:rPr>
        <w:t>,</w:t>
      </w:r>
      <w:r w:rsidRPr="007A7C51">
        <w:rPr>
          <w:rFonts w:cs="Times New Roman"/>
        </w:rPr>
        <w:t xml:space="preserve"> </w:t>
      </w:r>
      <w:r w:rsidR="002704F6" w:rsidRPr="007A7C51">
        <w:rPr>
          <w:rFonts w:cs="Times New Roman"/>
        </w:rPr>
        <w:t>n</w:t>
      </w:r>
      <w:r w:rsidR="00AB16C5" w:rsidRPr="007A7C51">
        <w:rPr>
          <w:rFonts w:cs="Times New Roman"/>
        </w:rPr>
        <w:t>o new cases of transfusion</w:t>
      </w:r>
      <w:r w:rsidR="000D314A" w:rsidRPr="007A7C51">
        <w:rPr>
          <w:rFonts w:cs="Times New Roman"/>
        </w:rPr>
        <w:t>-</w:t>
      </w:r>
      <w:r w:rsidR="00AB16C5" w:rsidRPr="007A7C51">
        <w:rPr>
          <w:rFonts w:cs="Times New Roman"/>
        </w:rPr>
        <w:t xml:space="preserve">associated </w:t>
      </w:r>
      <w:r w:rsidR="000D314A" w:rsidRPr="007A7C51">
        <w:rPr>
          <w:rFonts w:cs="Times New Roman"/>
        </w:rPr>
        <w:t xml:space="preserve">infection </w:t>
      </w:r>
      <w:r w:rsidR="00EB67F4" w:rsidRPr="007A7C51">
        <w:rPr>
          <w:rFonts w:cs="Times New Roman"/>
        </w:rPr>
        <w:t xml:space="preserve">have </w:t>
      </w:r>
      <w:r w:rsidR="0086735B">
        <w:rPr>
          <w:rFonts w:cs="Times New Roman"/>
        </w:rPr>
        <w:t>been</w:t>
      </w:r>
      <w:r w:rsidRPr="007A7C51">
        <w:rPr>
          <w:rFonts w:cs="Times New Roman"/>
        </w:rPr>
        <w:t xml:space="preserve"> </w:t>
      </w:r>
      <w:r w:rsidR="00FD6776">
        <w:rPr>
          <w:rFonts w:cs="Times New Roman"/>
        </w:rPr>
        <w:t>identified</w:t>
      </w:r>
      <w:r w:rsidRPr="007A7C51">
        <w:rPr>
          <w:rFonts w:cs="Times New Roman"/>
        </w:rPr>
        <w:t xml:space="preserve"> </w:t>
      </w:r>
      <w:r w:rsidR="00EB67F4" w:rsidRPr="007A7C51">
        <w:rPr>
          <w:rFonts w:cs="Times New Roman"/>
        </w:rPr>
        <w:t xml:space="preserve">since 2007 </w:t>
      </w:r>
      <w:r w:rsidR="0086735B">
        <w:rPr>
          <w:rFonts w:cs="Times New Roman"/>
        </w:rPr>
        <w:t>based on</w:t>
      </w:r>
      <w:r w:rsidR="002704F6" w:rsidRPr="007A7C51">
        <w:rPr>
          <w:rFonts w:cs="Times New Roman"/>
        </w:rPr>
        <w:t xml:space="preserve"> an epidemiological analysis of CJD cases and blood transfusion recipients</w:t>
      </w:r>
      <w:r w:rsidRPr="007A7C51">
        <w:rPr>
          <w:rFonts w:cs="Times New Roman"/>
        </w:rPr>
        <w:t xml:space="preserve"> by Urwin </w:t>
      </w:r>
      <w:r w:rsidR="00B301D6" w:rsidRPr="00B301D6">
        <w:rPr>
          <w:rFonts w:cs="Times New Roman"/>
          <w:i/>
        </w:rPr>
        <w:t>et al</w:t>
      </w:r>
      <w:r w:rsidRPr="007A7C51">
        <w:rPr>
          <w:rFonts w:cs="Times New Roman"/>
        </w:rPr>
        <w:t xml:space="preserve"> (2016)</w:t>
      </w:r>
      <w:r w:rsidR="0065607D">
        <w:rPr>
          <w:rFonts w:cs="Times New Roman"/>
        </w:rPr>
        <w:t>.</w:t>
      </w:r>
      <w:r w:rsidR="002F2DE1" w:rsidRPr="007A7C51">
        <w:rPr>
          <w:rFonts w:cs="Times New Roman"/>
        </w:rPr>
        <w:fldChar w:fldCharType="begin">
          <w:fldData xml:space="preserve">PEVuZE5vdGU+PENpdGU+PEF1dGhvcj5VcndpbjwvQXV0aG9yPjxZZWFyPjIwMTY8L1llYXI+PFJl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=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PEVuZE5vdGU+PENpdGU+PEF1dGhvcj5VcndpbjwvQXV0aG9yPjxZZWFyPjIwMTY8L1llYXI+PFJl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=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2F2DE1" w:rsidRPr="007A7C51">
        <w:rPr>
          <w:rFonts w:cs="Times New Roman"/>
        </w:rPr>
      </w:r>
      <w:r w:rsidR="002F2DE1" w:rsidRPr="007A7C51">
        <w:rPr>
          <w:rFonts w:cs="Times New Roman"/>
        </w:rPr>
        <w:fldChar w:fldCharType="separate"/>
      </w:r>
      <w:r w:rsidR="0076576E" w:rsidRPr="0076576E">
        <w:rPr>
          <w:rFonts w:cs="Times New Roman"/>
          <w:noProof/>
          <w:vertAlign w:val="superscript"/>
        </w:rPr>
        <w:t>82</w:t>
      </w:r>
      <w:r w:rsidR="002F2DE1" w:rsidRPr="007A7C51">
        <w:rPr>
          <w:rFonts w:cs="Times New Roman"/>
        </w:rPr>
        <w:fldChar w:fldCharType="end"/>
      </w:r>
      <w:r w:rsidR="0086735B">
        <w:rPr>
          <w:rFonts w:cs="Times New Roman"/>
        </w:rPr>
        <w:t xml:space="preserve"> The Urwin </w:t>
      </w:r>
      <w:r w:rsidR="00B301D6" w:rsidRPr="00B301D6">
        <w:rPr>
          <w:rFonts w:cs="Times New Roman"/>
          <w:i/>
        </w:rPr>
        <w:t>et al</w:t>
      </w:r>
      <w:r w:rsidR="0086735B">
        <w:rPr>
          <w:rFonts w:cs="Times New Roman"/>
        </w:rPr>
        <w:t xml:space="preserve"> study referenced the</w:t>
      </w:r>
      <w:r w:rsidR="00FD6776">
        <w:rPr>
          <w:rFonts w:cs="Times New Roman"/>
        </w:rPr>
        <w:t xml:space="preserve"> </w:t>
      </w:r>
      <w:r w:rsidR="0086735B">
        <w:rPr>
          <w:rFonts w:cs="Times New Roman"/>
        </w:rPr>
        <w:t xml:space="preserve">Davidson </w:t>
      </w:r>
      <w:r w:rsidR="00B301D6" w:rsidRPr="00B301D6">
        <w:rPr>
          <w:rFonts w:cs="Times New Roman"/>
          <w:i/>
        </w:rPr>
        <w:t>et al</w:t>
      </w:r>
      <w:r w:rsidR="0086735B">
        <w:rPr>
          <w:rFonts w:cs="Times New Roman"/>
        </w:rPr>
        <w:t xml:space="preserve"> (2014)</w:t>
      </w:r>
      <w:r w:rsidR="0065607D">
        <w:rPr>
          <w:rFonts w:cs="Times New Roman"/>
        </w:rPr>
        <w:t xml:space="preserve"> paper</w:t>
      </w:r>
      <w:r w:rsidR="0086735B">
        <w:rPr>
          <w:rFonts w:cs="Times New Roman"/>
        </w:rPr>
        <w:t>,</w:t>
      </w:r>
      <w:r w:rsidR="0086735B">
        <w:rPr>
          <w:rFonts w:cs="Times New Roman"/>
        </w:rPr>
        <w:fldChar w:fldCharType="begin">
          <w:fldData xml:space="preserve">PEVuZE5vdGU+PENpdGU+PEF1dGhvcj5EYXZpZHNvbjwvQXV0aG9yPjxZZWFyPjIwMTQ8L1llYXI+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PEVuZE5vdGU+PENpdGU+PEF1dGhvcj5EYXZpZHNvbjwvQXV0aG9yPjxZZWFyPjIwMTQ8L1llYXI+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86735B">
        <w:rPr>
          <w:rFonts w:cs="Times New Roman"/>
        </w:rPr>
      </w:r>
      <w:r w:rsidR="0086735B">
        <w:rPr>
          <w:rFonts w:cs="Times New Roman"/>
        </w:rPr>
        <w:fldChar w:fldCharType="separate"/>
      </w:r>
      <w:r w:rsidR="0076576E" w:rsidRPr="0076576E">
        <w:rPr>
          <w:rFonts w:cs="Times New Roman"/>
          <w:noProof/>
          <w:vertAlign w:val="superscript"/>
        </w:rPr>
        <w:t>79</w:t>
      </w:r>
      <w:r w:rsidR="0086735B">
        <w:rPr>
          <w:rFonts w:cs="Times New Roman"/>
        </w:rPr>
        <w:fldChar w:fldCharType="end"/>
      </w:r>
      <w:r w:rsidR="0086735B">
        <w:rPr>
          <w:rFonts w:cs="Times New Roman"/>
        </w:rPr>
        <w:t xml:space="preserve"> but not the</w:t>
      </w:r>
      <w:r w:rsidR="0086735B" w:rsidRPr="0086735B">
        <w:rPr>
          <w:rFonts w:cs="Times New Roman"/>
        </w:rPr>
        <w:t xml:space="preserve"> </w:t>
      </w:r>
      <w:r w:rsidR="006E1D8B">
        <w:rPr>
          <w:rFonts w:cs="Times New Roman"/>
        </w:rPr>
        <w:t xml:space="preserve">Chohan </w:t>
      </w:r>
      <w:r w:rsidR="00B301D6" w:rsidRPr="00B301D6">
        <w:rPr>
          <w:rFonts w:cs="Times New Roman"/>
          <w:i/>
        </w:rPr>
        <w:t>et al</w:t>
      </w:r>
      <w:r w:rsidR="006E1D8B">
        <w:rPr>
          <w:rFonts w:cs="Times New Roman"/>
        </w:rPr>
        <w:t xml:space="preserve"> (2010) paper.</w:t>
      </w:r>
      <w:r w:rsidR="0086735B">
        <w:rPr>
          <w:rFonts w:cs="Times New Roman"/>
        </w:rPr>
        <w:fldChar w:fldCharType="begin">
          <w:fldData xml:space="preserve">PEVuZE5vdGU+PENpdGU+PEF1dGhvcj5DaG9oYW48L0F1dGhvcj48WWVhcj4yMDEwPC9ZZWFyPjxS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PEVuZE5vdGU+PENpdGU+PEF1dGhvcj5DaG9oYW48L0F1dGhvcj48WWVhcj4yMDEwPC9ZZWFyPjxS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86735B">
        <w:rPr>
          <w:rFonts w:cs="Times New Roman"/>
        </w:rPr>
      </w:r>
      <w:r w:rsidR="0086735B">
        <w:rPr>
          <w:rFonts w:cs="Times New Roman"/>
        </w:rPr>
        <w:fldChar w:fldCharType="separate"/>
      </w:r>
      <w:r w:rsidR="0076576E" w:rsidRPr="0076576E">
        <w:rPr>
          <w:rFonts w:cs="Times New Roman"/>
          <w:noProof/>
          <w:vertAlign w:val="superscript"/>
        </w:rPr>
        <w:t>78</w:t>
      </w:r>
      <w:r w:rsidR="0086735B">
        <w:rPr>
          <w:rFonts w:cs="Times New Roman"/>
        </w:rPr>
        <w:fldChar w:fldCharType="end"/>
      </w:r>
      <w:r w:rsidR="0086735B">
        <w:rPr>
          <w:rFonts w:cs="Times New Roman"/>
        </w:rPr>
        <w:t xml:space="preserve"> These two papers discuss three </w:t>
      </w:r>
      <w:r w:rsidR="00FD6776">
        <w:rPr>
          <w:rFonts w:cs="Times New Roman"/>
        </w:rPr>
        <w:t>potential</w:t>
      </w:r>
      <w:r w:rsidR="0086735B">
        <w:rPr>
          <w:rFonts w:cs="Times New Roman"/>
        </w:rPr>
        <w:t>, but unconfirmed,</w:t>
      </w:r>
      <w:r w:rsidR="00FD6776">
        <w:rPr>
          <w:rFonts w:cs="Times New Roman"/>
        </w:rPr>
        <w:t xml:space="preserve"> cases </w:t>
      </w:r>
      <w:r w:rsidR="0086735B">
        <w:rPr>
          <w:rFonts w:cs="Times New Roman"/>
        </w:rPr>
        <w:t>of CJD transmission via blood transfusion</w:t>
      </w:r>
      <w:r w:rsidR="002704F6" w:rsidRPr="007A7C51">
        <w:rPr>
          <w:rFonts w:cs="Times New Roman"/>
        </w:rPr>
        <w:t xml:space="preserve">. </w:t>
      </w:r>
      <w:r w:rsidR="00B40006" w:rsidRPr="007A7C51">
        <w:rPr>
          <w:rFonts w:cs="Times New Roman"/>
        </w:rPr>
        <w:t xml:space="preserve">Ward </w:t>
      </w:r>
      <w:r w:rsidR="00B301D6" w:rsidRPr="00B301D6">
        <w:rPr>
          <w:rFonts w:cs="Times New Roman"/>
          <w:i/>
        </w:rPr>
        <w:t>et al</w:t>
      </w:r>
      <w:r w:rsidR="00B40006" w:rsidRPr="007A7C51">
        <w:rPr>
          <w:rFonts w:cs="Times New Roman"/>
        </w:rPr>
        <w:t xml:space="preserve"> (2009) studied the risks in treatment for haemophilia and conclude</w:t>
      </w:r>
      <w:r w:rsidR="000D314A" w:rsidRPr="007A7C51">
        <w:rPr>
          <w:rFonts w:cs="Times New Roman"/>
        </w:rPr>
        <w:t>d</w:t>
      </w:r>
      <w:r w:rsidR="00B40006" w:rsidRPr="007A7C51">
        <w:rPr>
          <w:rFonts w:cs="Times New Roman"/>
        </w:rPr>
        <w:t xml:space="preserve"> that it is unlikely that any of the UK vCJD clinical cases to date were infected through exposure to fractionated plasma products.</w:t>
      </w:r>
      <w:r w:rsidR="001C1038" w:rsidRPr="007A7C51">
        <w:rPr>
          <w:rFonts w:cs="Times New Roman"/>
        </w:rPr>
        <w:fldChar w:fldCharType="begin">
          <w:fldData xml:space="preserve">PEVuZE5vdGU+PENpdGU+PEF1dGhvcj5XYXJkPC9BdXRob3I+PFllYXI+MjAwOTwvWWVhcj48UmVj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PEVuZE5vdGU+PENpdGU+PEF1dGhvcj5XYXJkPC9BdXRob3I+PFllYXI+MjAwOTwvWWVhcj48UmVj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7A7C51">
        <w:rPr>
          <w:rFonts w:cs="Times New Roman"/>
        </w:rPr>
      </w:r>
      <w:r w:rsidR="001C1038" w:rsidRPr="007A7C51">
        <w:rPr>
          <w:rFonts w:cs="Times New Roman"/>
        </w:rPr>
        <w:fldChar w:fldCharType="separate"/>
      </w:r>
      <w:r w:rsidR="0076576E" w:rsidRPr="0076576E">
        <w:rPr>
          <w:rFonts w:cs="Times New Roman"/>
          <w:noProof/>
          <w:vertAlign w:val="superscript"/>
        </w:rPr>
        <w:t>83</w:t>
      </w:r>
      <w:r w:rsidR="001C1038" w:rsidRPr="007A7C51">
        <w:rPr>
          <w:rFonts w:cs="Times New Roman"/>
        </w:rPr>
        <w:fldChar w:fldCharType="end"/>
      </w:r>
      <w:r w:rsidR="00B40006" w:rsidRPr="007A7C51">
        <w:rPr>
          <w:rFonts w:cs="Times New Roman"/>
        </w:rPr>
        <w:t xml:space="preserve"> </w:t>
      </w:r>
      <w:r w:rsidR="00603022" w:rsidRPr="007A7C51">
        <w:rPr>
          <w:rFonts w:cs="Times New Roman"/>
        </w:rPr>
        <w:t xml:space="preserve">Evidence regarding incidence of iCJD from surgery is discussed in </w:t>
      </w:r>
      <w:r w:rsidR="006A1AA7">
        <w:rPr>
          <w:rFonts w:cs="Times New Roman"/>
        </w:rPr>
        <w:t>the review on the risk of CJD transmission via surgery</w:t>
      </w:r>
      <w:r w:rsidR="00764214" w:rsidRPr="007A7C51">
        <w:rPr>
          <w:rFonts w:cs="Times New Roman"/>
        </w:rPr>
        <w:t>.</w:t>
      </w:r>
    </w:p>
    <w:p w14:paraId="07250716" w14:textId="77777777" w:rsidR="005E286B" w:rsidRDefault="005E286B" w:rsidP="00D96D80">
      <w:pPr>
        <w:autoSpaceDE w:val="0"/>
        <w:autoSpaceDN w:val="0"/>
        <w:adjustRightInd w:val="0"/>
        <w:jc w:val="both"/>
        <w:rPr>
          <w:rFonts w:cs="Times New Roman"/>
          <w:sz w:val="24"/>
          <w:szCs w:val="24"/>
        </w:rPr>
      </w:pPr>
    </w:p>
    <w:p w14:paraId="23C7B0FF" w14:textId="43CEA508" w:rsidR="00BE398E" w:rsidRPr="00F84738" w:rsidRDefault="00F70CC2" w:rsidP="00A27868">
      <w:pPr>
        <w:pStyle w:val="Heading3"/>
        <w:rPr>
          <w:b w:val="0"/>
          <w:i/>
        </w:rPr>
      </w:pPr>
      <w:r w:rsidRPr="00F84738">
        <w:rPr>
          <w:b w:val="0"/>
          <w:i/>
        </w:rPr>
        <w:t xml:space="preserve">2.2.2 </w:t>
      </w:r>
      <w:r w:rsidRPr="00F84738">
        <w:rPr>
          <w:b w:val="0"/>
          <w:i/>
        </w:rPr>
        <w:tab/>
      </w:r>
      <w:r w:rsidR="00CB1362" w:rsidRPr="00F84738">
        <w:rPr>
          <w:b w:val="0"/>
          <w:i/>
        </w:rPr>
        <w:t>The</w:t>
      </w:r>
      <w:r w:rsidR="00142676" w:rsidRPr="00F84738">
        <w:rPr>
          <w:b w:val="0"/>
          <w:i/>
        </w:rPr>
        <w:t xml:space="preserve"> e</w:t>
      </w:r>
      <w:r w:rsidR="00D1628B" w:rsidRPr="00F84738">
        <w:rPr>
          <w:b w:val="0"/>
          <w:i/>
        </w:rPr>
        <w:t>stimated prevalence of subclinical vCJD</w:t>
      </w:r>
      <w:r w:rsidR="00FD3894" w:rsidRPr="00F84738">
        <w:rPr>
          <w:b w:val="0"/>
          <w:i/>
        </w:rPr>
        <w:t xml:space="preserve"> in the UK</w:t>
      </w:r>
    </w:p>
    <w:p w14:paraId="601F4FFC" w14:textId="6CC4254D" w:rsidR="00FC1744" w:rsidRDefault="003B110B" w:rsidP="00D96D80">
      <w:pPr>
        <w:autoSpaceDE w:val="0"/>
        <w:autoSpaceDN w:val="0"/>
        <w:adjustRightInd w:val="0"/>
        <w:jc w:val="both"/>
        <w:rPr>
          <w:rFonts w:cs="Times New Roman"/>
        </w:rPr>
      </w:pPr>
      <w:r w:rsidRPr="007A7C51">
        <w:rPr>
          <w:rFonts w:cs="Times New Roman"/>
        </w:rPr>
        <w:t xml:space="preserve">In vCJD, prions </w:t>
      </w:r>
      <w:r w:rsidR="00AE31D9" w:rsidRPr="007A7C51">
        <w:rPr>
          <w:rFonts w:cs="Times New Roman"/>
        </w:rPr>
        <w:t xml:space="preserve">appear to </w:t>
      </w:r>
      <w:r w:rsidRPr="007A7C51">
        <w:rPr>
          <w:rFonts w:cs="Times New Roman"/>
        </w:rPr>
        <w:t xml:space="preserve">replicate </w:t>
      </w:r>
      <w:r w:rsidR="00AE31D9" w:rsidRPr="007A7C51">
        <w:rPr>
          <w:rFonts w:cs="Times New Roman"/>
        </w:rPr>
        <w:t xml:space="preserve">extensively </w:t>
      </w:r>
      <w:r w:rsidRPr="007A7C51">
        <w:rPr>
          <w:rFonts w:cs="Times New Roman"/>
        </w:rPr>
        <w:t xml:space="preserve">within lymphoid tissue, and therefore, tonsil and appendix tissues are </w:t>
      </w:r>
      <w:r w:rsidR="00A0564B" w:rsidRPr="007A7C51">
        <w:rPr>
          <w:rFonts w:cs="Times New Roman"/>
        </w:rPr>
        <w:t>some</w:t>
      </w:r>
      <w:r w:rsidRPr="007A7C51">
        <w:rPr>
          <w:rFonts w:cs="Times New Roman"/>
        </w:rPr>
        <w:t xml:space="preserve"> of the earliest sites that </w:t>
      </w:r>
      <w:r w:rsidR="00AE31D9" w:rsidRPr="007A7C51">
        <w:rPr>
          <w:rFonts w:cs="Times New Roman"/>
        </w:rPr>
        <w:t>can be used to assess abnormal prion accumulation</w:t>
      </w:r>
      <w:r w:rsidRPr="007A7C51">
        <w:rPr>
          <w:rFonts w:cs="Times New Roman"/>
        </w:rPr>
        <w:t xml:space="preserve">. </w:t>
      </w:r>
      <w:r w:rsidR="000D7838">
        <w:rPr>
          <w:rFonts w:cs="Times New Roman"/>
        </w:rPr>
        <w:t>Such a</w:t>
      </w:r>
      <w:r w:rsidR="00661C36">
        <w:rPr>
          <w:rFonts w:cs="Times New Roman"/>
        </w:rPr>
        <w:t>bnormal prion accumulation prior to the o</w:t>
      </w:r>
      <w:r w:rsidR="000D7838">
        <w:rPr>
          <w:rFonts w:cs="Times New Roman"/>
        </w:rPr>
        <w:t xml:space="preserve">nset of clinical symptoms </w:t>
      </w:r>
      <w:r w:rsidR="0086735B">
        <w:rPr>
          <w:rFonts w:cs="Times New Roman"/>
        </w:rPr>
        <w:t>is</w:t>
      </w:r>
      <w:r w:rsidR="00661C36">
        <w:rPr>
          <w:rFonts w:cs="Times New Roman"/>
        </w:rPr>
        <w:t xml:space="preserve"> regarded as subclinical CJD</w:t>
      </w:r>
      <w:r w:rsidR="0082734D">
        <w:rPr>
          <w:rFonts w:cs="Times New Roman"/>
        </w:rPr>
        <w:t xml:space="preserve"> </w:t>
      </w:r>
      <w:r w:rsidR="0082734D">
        <w:t>for the purposes of risk assessment</w:t>
      </w:r>
      <w:r w:rsidR="000D7838">
        <w:rPr>
          <w:rFonts w:cs="Times New Roman"/>
        </w:rPr>
        <w:t>,</w:t>
      </w:r>
      <w:r w:rsidR="00661C36">
        <w:rPr>
          <w:rFonts w:cs="Times New Roman"/>
        </w:rPr>
        <w:t xml:space="preserve"> </w:t>
      </w:r>
      <w:r w:rsidR="0086735B">
        <w:rPr>
          <w:rFonts w:cs="Times New Roman"/>
        </w:rPr>
        <w:t xml:space="preserve">and </w:t>
      </w:r>
      <w:r w:rsidR="00661C36">
        <w:rPr>
          <w:rFonts w:cs="Times New Roman"/>
        </w:rPr>
        <w:t>th</w:t>
      </w:r>
      <w:r w:rsidR="000D7838">
        <w:rPr>
          <w:rFonts w:cs="Times New Roman"/>
        </w:rPr>
        <w:t>ought to represent a potentially background, but low, level of infection in the population.</w:t>
      </w:r>
      <w:r w:rsidR="00F41084">
        <w:rPr>
          <w:rFonts w:cs="Times New Roman"/>
        </w:rPr>
        <w:fldChar w:fldCharType="begin"/>
      </w:r>
      <w:r w:rsidR="0076576E">
        <w:rPr>
          <w:rFonts w:cs="Times New Roman"/>
        </w:rPr>
        <w:instrText xml:space="preserve"> ADDIN EN.CITE &lt;EndNote&gt;&lt;Cite&gt;&lt;Author&gt;Diack&lt;/Author&gt;&lt;Year&gt;2017&lt;/Year&gt;&lt;RecNum&gt;10241&lt;/RecNum&gt;&lt;DisplayText&gt;&lt;style face="superscript"&gt;84&lt;/style&gt;&lt;/DisplayText&gt;&lt;record&gt;&lt;rec-number&gt;10241&lt;/rec-number&gt;&lt;foreign-keys&gt;&lt;key app="EN" db-id="vrp0pptazv05wtesfz5vrzsj2p0rv09ttsa9" timestamp="1514885077" guid="7c91e84b-7710-4f47-818f-083ce0a10d57"&gt;10241&lt;/key&gt;&lt;/foreign-keys&gt;&lt;ref-type name="Journal Article"&gt;17&lt;/ref-type&gt;&lt;contributors&gt;&lt;authors&gt;&lt;author&gt;Diack, Abigail B&lt;/author&gt;&lt;author&gt;Will, Robert G&lt;/author&gt;&lt;author&gt;Manson, Jean C&lt;/author&gt;&lt;/authors&gt;&lt;/contributors&gt;&lt;titles&gt;&lt;title&gt;Public health risks from subclinical variant CJD&lt;/title&gt;&lt;secondary-title&gt;PLoS pathogens&lt;/secondary-title&gt;&lt;/titles&gt;&lt;periodical&gt;&lt;full-title&gt;PLoS Pathogens&lt;/full-title&gt;&lt;abbr-1&gt;PLoS Pathog&lt;/abbr-1&gt;&lt;/periodical&gt;&lt;pages&gt;e1006642&lt;/pages&gt;&lt;volume&gt;13&lt;/volume&gt;&lt;number&gt;11&lt;/number&gt;&lt;keywords&gt;&lt;keyword&gt;$$LU_1_prevalence CJD&lt;/keyword&gt;&lt;keyword&gt;$$Lesley google&lt;/keyword&gt;&lt;keyword&gt;$$CJD relevant&lt;/keyword&gt;&lt;keyword&gt;$$review or discussion&lt;/keyword&gt;&lt;/keywords&gt;&lt;dates&gt;&lt;year&gt;2017&lt;/year&gt;&lt;/dates&gt;&lt;isbn&gt;1553-7374&lt;/isbn&gt;&lt;urls&gt;&lt;/urls&gt;&lt;/record&gt;&lt;/Cite&gt;&lt;/EndNote&gt;</w:instrText>
      </w:r>
      <w:r w:rsidR="00F41084">
        <w:rPr>
          <w:rFonts w:cs="Times New Roman"/>
        </w:rPr>
        <w:fldChar w:fldCharType="separate"/>
      </w:r>
      <w:r w:rsidR="0076576E" w:rsidRPr="0076576E">
        <w:rPr>
          <w:rFonts w:cs="Times New Roman"/>
          <w:noProof/>
          <w:vertAlign w:val="superscript"/>
        </w:rPr>
        <w:t>84</w:t>
      </w:r>
      <w:r w:rsidR="00F41084">
        <w:rPr>
          <w:rFonts w:cs="Times New Roman"/>
        </w:rPr>
        <w:fldChar w:fldCharType="end"/>
      </w:r>
      <w:r w:rsidR="000D7838">
        <w:rPr>
          <w:rFonts w:cs="Times New Roman"/>
        </w:rPr>
        <w:t xml:space="preserve"> </w:t>
      </w:r>
      <w:r w:rsidR="00A0564B" w:rsidRPr="007A7C51">
        <w:rPr>
          <w:rFonts w:cs="Times New Roman"/>
        </w:rPr>
        <w:t>Immunohistochemistry</w:t>
      </w:r>
      <w:r w:rsidR="00FC1744" w:rsidRPr="007A7C51">
        <w:rPr>
          <w:rFonts w:cs="Times New Roman"/>
        </w:rPr>
        <w:t xml:space="preserve"> staining is regarded as highly indicative of the abnormal prion protein pattern that has been observed </w:t>
      </w:r>
      <w:r w:rsidR="00AE31D9" w:rsidRPr="007A7C51">
        <w:rPr>
          <w:rFonts w:cs="Times New Roman"/>
        </w:rPr>
        <w:t>in</w:t>
      </w:r>
      <w:r w:rsidR="00FC1744" w:rsidRPr="007A7C51">
        <w:rPr>
          <w:rFonts w:cs="Times New Roman"/>
        </w:rPr>
        <w:t xml:space="preserve"> cases </w:t>
      </w:r>
      <w:r w:rsidR="00CE1962" w:rsidRPr="007A7C51">
        <w:rPr>
          <w:rFonts w:cs="Times New Roman"/>
        </w:rPr>
        <w:t xml:space="preserve">of </w:t>
      </w:r>
      <w:r w:rsidR="00FC1744" w:rsidRPr="007A7C51">
        <w:rPr>
          <w:rFonts w:cs="Times New Roman"/>
        </w:rPr>
        <w:t>vCJD</w:t>
      </w:r>
      <w:r w:rsidR="00CE1962" w:rsidRPr="007A7C51">
        <w:rPr>
          <w:rFonts w:cs="Times New Roman"/>
        </w:rPr>
        <w:t>,</w:t>
      </w:r>
      <w:r w:rsidR="00FC1744" w:rsidRPr="007A7C51">
        <w:rPr>
          <w:rFonts w:cs="Times New Roman"/>
        </w:rPr>
        <w:t xml:space="preserve"> </w:t>
      </w:r>
      <w:r w:rsidR="0086735B">
        <w:rPr>
          <w:rFonts w:cs="Times New Roman"/>
        </w:rPr>
        <w:t xml:space="preserve">but </w:t>
      </w:r>
      <w:r w:rsidR="00FC1744" w:rsidRPr="007A7C51">
        <w:rPr>
          <w:rFonts w:cs="Times New Roman"/>
        </w:rPr>
        <w:t xml:space="preserve">not observed in </w:t>
      </w:r>
      <w:r w:rsidR="0086735B">
        <w:rPr>
          <w:rFonts w:cs="Times New Roman"/>
        </w:rPr>
        <w:t>other types of CJD</w:t>
      </w:r>
      <w:r w:rsidR="00A0564B" w:rsidRPr="007A7C51">
        <w:rPr>
          <w:rFonts w:cs="Times New Roman"/>
        </w:rPr>
        <w:t xml:space="preserve"> and is used</w:t>
      </w:r>
      <w:r w:rsidR="00F209CB" w:rsidRPr="007A7C51">
        <w:rPr>
          <w:rFonts w:cs="Times New Roman"/>
        </w:rPr>
        <w:t xml:space="preserve"> to</w:t>
      </w:r>
      <w:r w:rsidR="00A0564B" w:rsidRPr="007A7C51">
        <w:rPr>
          <w:rFonts w:cs="Times New Roman"/>
        </w:rPr>
        <w:t xml:space="preserve"> estimate the approximate number of individuals who may go on to develop vCJD or </w:t>
      </w:r>
      <w:r w:rsidR="0086735B">
        <w:rPr>
          <w:rFonts w:cs="Times New Roman"/>
        </w:rPr>
        <w:t>be asymptomatic</w:t>
      </w:r>
      <w:r w:rsidR="00A0564B" w:rsidRPr="007A7C51">
        <w:rPr>
          <w:rFonts w:cs="Times New Roman"/>
        </w:rPr>
        <w:t xml:space="preserve"> carriers of the disease</w:t>
      </w:r>
      <w:r w:rsidR="00FC1744" w:rsidRPr="007A7C51">
        <w:rPr>
          <w:rFonts w:cs="Times New Roman"/>
        </w:rPr>
        <w:t>.</w:t>
      </w:r>
      <w:r w:rsidR="00F41084">
        <w:rPr>
          <w:rFonts w:cs="Times New Roman"/>
        </w:rPr>
        <w:fldChar w:fldCharType="begin">
          <w:fldData xml:space="preserve">PEVuZE5vdGU+PENpdGU+PEF1dGhvcj5EaWFjazwvQXV0aG9yPjxZZWFyPjIwMTQ8L1llYXI+PFJl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PEVuZE5vdGU+PENpdGU+PEF1dGhvcj5EaWFjazwvQXV0aG9yPjxZZWFyPjIwMTQ8L1llYXI+PFJl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F41084">
        <w:rPr>
          <w:rFonts w:cs="Times New Roman"/>
        </w:rPr>
      </w:r>
      <w:r w:rsidR="00F41084">
        <w:rPr>
          <w:rFonts w:cs="Times New Roman"/>
        </w:rPr>
        <w:fldChar w:fldCharType="separate"/>
      </w:r>
      <w:r w:rsidR="0076576E" w:rsidRPr="0076576E">
        <w:rPr>
          <w:rFonts w:cs="Times New Roman"/>
          <w:noProof/>
          <w:vertAlign w:val="superscript"/>
        </w:rPr>
        <w:t>85</w:t>
      </w:r>
      <w:r w:rsidR="00F41084">
        <w:rPr>
          <w:rFonts w:cs="Times New Roman"/>
        </w:rPr>
        <w:fldChar w:fldCharType="end"/>
      </w:r>
    </w:p>
    <w:p w14:paraId="0B3F794A" w14:textId="77777777" w:rsidR="00622C6B" w:rsidRPr="007A7C51" w:rsidRDefault="00622C6B" w:rsidP="00D96D80">
      <w:pPr>
        <w:autoSpaceDE w:val="0"/>
        <w:autoSpaceDN w:val="0"/>
        <w:adjustRightInd w:val="0"/>
        <w:jc w:val="both"/>
        <w:rPr>
          <w:rFonts w:cs="Times New Roman"/>
        </w:rPr>
      </w:pPr>
    </w:p>
    <w:p w14:paraId="739B0A13" w14:textId="0AC46E60" w:rsidR="003B110B" w:rsidRPr="00B77DB4" w:rsidRDefault="0058627C" w:rsidP="00D96D80">
      <w:pPr>
        <w:autoSpaceDE w:val="0"/>
        <w:autoSpaceDN w:val="0"/>
        <w:adjustRightInd w:val="0"/>
        <w:jc w:val="both"/>
      </w:pPr>
      <w:r>
        <w:rPr>
          <w:rFonts w:cs="Times New Roman"/>
        </w:rPr>
        <w:t xml:space="preserve">A key study conducted by Gill </w:t>
      </w:r>
      <w:r>
        <w:rPr>
          <w:rFonts w:cs="Times New Roman"/>
          <w:i/>
        </w:rPr>
        <w:t xml:space="preserve">et al </w:t>
      </w:r>
      <w:r w:rsidRPr="0058627C">
        <w:rPr>
          <w:rFonts w:cs="Times New Roman"/>
        </w:rPr>
        <w:t>(2013)</w:t>
      </w:r>
      <w:r>
        <w:rPr>
          <w:rFonts w:cs="Times New Roman"/>
        </w:rPr>
        <w:t>,</w:t>
      </w:r>
      <w:r w:rsidRPr="0058627C">
        <w:rPr>
          <w:rFonts w:cs="Times New Roman"/>
        </w:rPr>
        <w:t xml:space="preserve"> </w:t>
      </w:r>
      <w:r>
        <w:rPr>
          <w:rFonts w:cs="Times New Roman"/>
        </w:rPr>
        <w:t xml:space="preserve">and referred to as the </w:t>
      </w:r>
      <w:r w:rsidR="0036392B">
        <w:rPr>
          <w:rFonts w:cs="Times New Roman"/>
        </w:rPr>
        <w:t>‘</w:t>
      </w:r>
      <w:r>
        <w:rPr>
          <w:rFonts w:cs="Times New Roman"/>
        </w:rPr>
        <w:t>Appendix II</w:t>
      </w:r>
      <w:r w:rsidR="0036392B">
        <w:rPr>
          <w:rFonts w:cs="Times New Roman"/>
        </w:rPr>
        <w:t>’</w:t>
      </w:r>
      <w:r>
        <w:rPr>
          <w:rFonts w:cs="Times New Roman"/>
        </w:rPr>
        <w:t xml:space="preserve"> study, examined </w:t>
      </w:r>
      <w:r w:rsidRPr="007A7C51">
        <w:rPr>
          <w:rFonts w:cs="Times New Roman"/>
        </w:rPr>
        <w:t xml:space="preserve">subclinical prion accumulation in </w:t>
      </w:r>
      <w:r>
        <w:rPr>
          <w:rFonts w:cs="Times New Roman"/>
        </w:rPr>
        <w:t xml:space="preserve">excised </w:t>
      </w:r>
      <w:r w:rsidRPr="007A7C51">
        <w:rPr>
          <w:rFonts w:cs="Times New Roman"/>
        </w:rPr>
        <w:t>peripheral tissue</w:t>
      </w:r>
      <w:r>
        <w:rPr>
          <w:rFonts w:cs="Times New Roman"/>
        </w:rPr>
        <w:t xml:space="preserve">s from general population cohorts born between </w:t>
      </w:r>
      <w:r w:rsidRPr="007A7C51">
        <w:rPr>
          <w:rFonts w:cs="Times New Roman"/>
          <w:color w:val="000000"/>
        </w:rPr>
        <w:t>1941-60 and 1961-85</w:t>
      </w:r>
      <w:r>
        <w:rPr>
          <w:rFonts w:cs="Times New Roman"/>
        </w:rPr>
        <w:t>.</w:t>
      </w:r>
      <w:r w:rsidRPr="007A7C51">
        <w:rPr>
          <w:rFonts w:cs="Times New Roman"/>
        </w:rPr>
        <w:fldChar w:fldCharType="begin">
          <w:fldData xml:space="preserve">PEVuZE5vdGU+PENpdGU+PEF1dGhvcj5HaWxsPC9BdXRob3I+PFllYXI+MjAxMzwvWWVhcj48UmVj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PEVuZE5vdGU+PENpdGU+PEF1dGhvcj5HaWxsPC9BdXRob3I+PFllYXI+MjAxMzwvWWVhcj48UmVj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69</w:t>
      </w:r>
      <w:r w:rsidRPr="007A7C51">
        <w:rPr>
          <w:rFonts w:cs="Times New Roman"/>
        </w:rPr>
        <w:fldChar w:fldCharType="end"/>
      </w:r>
      <w:r w:rsidRPr="007A7C51">
        <w:rPr>
          <w:rFonts w:cs="Times New Roman"/>
        </w:rPr>
        <w:t xml:space="preserve"> </w:t>
      </w:r>
      <w:r>
        <w:rPr>
          <w:rFonts w:cs="Times New Roman"/>
        </w:rPr>
        <w:t xml:space="preserve"> Detection of abnormal prion accumulation in </w:t>
      </w:r>
      <w:r w:rsidR="0036392B">
        <w:rPr>
          <w:rFonts w:cs="Times New Roman"/>
        </w:rPr>
        <w:t xml:space="preserve">appendix </w:t>
      </w:r>
      <w:r>
        <w:rPr>
          <w:rFonts w:cs="Times New Roman"/>
        </w:rPr>
        <w:t xml:space="preserve">samples from these two cohorts resulted in a central estimation of 1 in 2000 for populations exposed to the BSE epidemic. </w:t>
      </w:r>
      <w:r w:rsidR="003B110B" w:rsidRPr="007A7C51">
        <w:rPr>
          <w:rFonts w:cs="Times New Roman"/>
        </w:rPr>
        <w:t>The Advisory Committee on Dangerous Pathogens</w:t>
      </w:r>
      <w:r w:rsidR="008C4960" w:rsidRPr="007A7C51">
        <w:rPr>
          <w:rFonts w:cs="Times New Roman"/>
        </w:rPr>
        <w:t xml:space="preserve"> (ACDP)</w:t>
      </w:r>
      <w:r w:rsidR="003B110B" w:rsidRPr="007A7C51">
        <w:rPr>
          <w:rFonts w:cs="Times New Roman"/>
        </w:rPr>
        <w:t xml:space="preserve"> TSE subgroup produced a summary </w:t>
      </w:r>
      <w:r w:rsidR="0086735B">
        <w:rPr>
          <w:rFonts w:cs="Times New Roman"/>
        </w:rPr>
        <w:t xml:space="preserve">of findings </w:t>
      </w:r>
      <w:r w:rsidR="003B110B" w:rsidRPr="007A7C51">
        <w:rPr>
          <w:rFonts w:cs="Times New Roman"/>
        </w:rPr>
        <w:t>following completion of the most recent study of stored appendices (</w:t>
      </w:r>
      <w:r w:rsidR="00C22F20">
        <w:rPr>
          <w:rFonts w:cs="Times New Roman"/>
        </w:rPr>
        <w:t>‘</w:t>
      </w:r>
      <w:r w:rsidR="003B110B" w:rsidRPr="007A7C51">
        <w:rPr>
          <w:rFonts w:cs="Times New Roman"/>
        </w:rPr>
        <w:t>Appendix III</w:t>
      </w:r>
      <w:r w:rsidR="00C22F20">
        <w:rPr>
          <w:rFonts w:cs="Times New Roman"/>
        </w:rPr>
        <w:t>’</w:t>
      </w:r>
      <w:r w:rsidR="003B110B" w:rsidRPr="007A7C51">
        <w:rPr>
          <w:rFonts w:cs="Times New Roman"/>
        </w:rPr>
        <w:t xml:space="preserve">) and </w:t>
      </w:r>
      <w:r w:rsidR="0086735B">
        <w:rPr>
          <w:rFonts w:cs="Times New Roman"/>
        </w:rPr>
        <w:t>calculated</w:t>
      </w:r>
      <w:r w:rsidR="003B110B" w:rsidRPr="007A7C51">
        <w:rPr>
          <w:rFonts w:cs="Times New Roman"/>
        </w:rPr>
        <w:t xml:space="preserve"> a rough central prevalence estimate of </w:t>
      </w:r>
      <w:r w:rsidR="00084E92">
        <w:rPr>
          <w:rFonts w:cs="Times New Roman"/>
        </w:rPr>
        <w:t>a</w:t>
      </w:r>
      <w:r w:rsidR="003B110B" w:rsidRPr="007A7C51">
        <w:rPr>
          <w:rFonts w:cs="Times New Roman"/>
        </w:rPr>
        <w:t>symptomatic carriers of vCJD in the UK population</w:t>
      </w:r>
      <w:r w:rsidR="00084E92">
        <w:rPr>
          <w:rFonts w:cs="Times New Roman"/>
        </w:rPr>
        <w:t>, previo</w:t>
      </w:r>
      <w:r w:rsidR="003C7C6E">
        <w:rPr>
          <w:rFonts w:cs="Times New Roman"/>
        </w:rPr>
        <w:t>usly presumed unexposed to BSE,</w:t>
      </w:r>
      <w:r w:rsidR="003B110B" w:rsidRPr="007A7C51">
        <w:rPr>
          <w:rFonts w:cs="Times New Roman"/>
        </w:rPr>
        <w:t xml:space="preserve"> of </w:t>
      </w:r>
      <w:r w:rsidR="0086735B">
        <w:rPr>
          <w:rFonts w:cs="Times New Roman"/>
        </w:rPr>
        <w:t xml:space="preserve">approximately </w:t>
      </w:r>
      <w:r w:rsidR="003B110B" w:rsidRPr="007A7C51">
        <w:rPr>
          <w:rFonts w:cs="Times New Roman"/>
        </w:rPr>
        <w:t>1 in 4,200 or 240 per million.</w:t>
      </w:r>
      <w:r w:rsidR="003B110B" w:rsidRPr="007A7C51">
        <w:rPr>
          <w:rFonts w:cs="Times New Roman"/>
        </w:rPr>
        <w:fldChar w:fldCharType="begin"/>
      </w:r>
      <w:r w:rsidR="00892AF6">
        <w:rPr>
          <w:rFonts w:cs="Times New Roman"/>
        </w:rPr>
        <w:instrText xml:space="preserve"> ADDIN EN.CITE &lt;EndNote&gt;&lt;Cite&gt;&lt;Author&gt;Advisory Committee on Dangerous Pathogens TSE Subgroup&lt;/Author&gt;&lt;Year&gt;2016&lt;/Year&gt;&lt;RecNum&gt;938&lt;/RecNum&gt;&lt;DisplayText&gt;&lt;style face="superscript"&gt;15, 16&lt;/style&gt;&lt;/DisplayText&gt;&lt;record&gt;&lt;rec-number&gt;938&lt;/rec-number&gt;&lt;foreign-keys&gt;&lt;key app="EN" db-id="vrp0pptazv05wtesfz5vrzsj2p0rv09ttsa9" timestamp="1499838849" guid="764217db-2c93-4692-a373-cc04e2c39e7f"&gt;938&lt;/key&gt;&lt;/foreign-keys&gt;&lt;ref-type name="Report"&gt;27&lt;/ref-type&gt;&lt;contributors&gt;&lt;authors&gt;&lt;author&gt;Advisory Committee on Dangerous Pathogens TSE Subgroup,&lt;/author&gt;&lt;/authors&gt;&lt;/contributors&gt;&lt;titles&gt;&lt;title&gt;Updated position statement on occurrence of vCJD and prevalence of infection in the UK&lt;/title&gt;&lt;/titles&gt;&lt;keywords&gt;&lt;keyword&gt;$$Committee recommended&lt;/keyword&gt;&lt;/keywords&gt;&lt;dates&gt;&lt;year&gt;2016&lt;/year&gt;&lt;/dates&gt;&lt;urls&gt;&lt;related-urls&gt;&lt;url&gt;https://app.box.com/s/hhhhg857fjpu2bnxhv6e/file/30140977007&lt;/url&gt;&lt;/related-urls&gt;&lt;/urls&gt;&lt;access-date&gt;29.01.2018&lt;/access-date&gt;&lt;/record&gt;&lt;/Cite&gt;&lt;Cite&gt;&lt;Author&gt;Public Health England&lt;/Author&gt;&lt;Year&gt;2016&lt;/Year&gt;&lt;RecNum&gt;10252&lt;/RecNum&gt;&lt;record&gt;&lt;rec-number&gt;10252&lt;/rec-number&gt;&lt;foreign-keys&gt;&lt;key app="EN" db-id="vrp0pptazv05wtesfz5vrzsj2p0rv09ttsa9" timestamp="1520851584" guid="c4ddae63-73b7-4f44-82e7-790fba58b17a"&gt;10252&lt;/key&gt;&lt;/foreign-keys&gt;&lt;ref-type name="Report"&gt;27&lt;/ref-type&gt;&lt;contributors&gt;&lt;authors&gt;&lt;author&gt;Public Health England,&lt;/author&gt;&lt;/authors&gt;&lt;/contributors&gt;&lt;titles&gt;&lt;title&gt;Summary results of the third national survey of abnormal prion prevalence in archived appendix specimens&lt;/title&gt;&lt;secondary-title&gt;Health Protection Report&lt;/secondary-title&gt;&lt;/titles&gt;&lt;volume&gt;10&lt;/volume&gt;&lt;number&gt;26&lt;/number&gt;&lt;keywords&gt;&lt;keyword&gt;$$Lesley google&lt;/keyword&gt;&lt;/keywords&gt;&lt;dates&gt;&lt;year&gt;2016&lt;/year&gt;&lt;pub-dates&gt;&lt;date&gt;12th August 2016&lt;/date&gt;&lt;/pub-dates&gt;&lt;/dates&gt;&lt;urls&gt;&lt;related-urls&gt;&lt;url&gt;&lt;style face="underline" font="default" size="100%"&gt;https://app.box.com/s/hhhhg857fjpu2bnxhv6e/file/91796156506&lt;/style&gt;&lt;/url&gt;&lt;/related-urls&gt;&lt;/urls&gt;&lt;access-date&gt;06.02.2018&lt;/access-date&gt;&lt;/record&gt;&lt;/Cite&gt;&lt;/EndNote&gt;</w:instrText>
      </w:r>
      <w:r w:rsidR="003B110B" w:rsidRPr="007A7C51">
        <w:rPr>
          <w:rFonts w:cs="Times New Roman"/>
        </w:rPr>
        <w:fldChar w:fldCharType="separate"/>
      </w:r>
      <w:r w:rsidR="005C50C5" w:rsidRPr="005C50C5">
        <w:rPr>
          <w:rFonts w:cs="Times New Roman"/>
          <w:noProof/>
          <w:vertAlign w:val="superscript"/>
        </w:rPr>
        <w:t>15, 16</w:t>
      </w:r>
      <w:r w:rsidR="003B110B" w:rsidRPr="007A7C51">
        <w:rPr>
          <w:rFonts w:cs="Times New Roman"/>
        </w:rPr>
        <w:fldChar w:fldCharType="end"/>
      </w:r>
      <w:r w:rsidR="003B110B" w:rsidRPr="007A7C51">
        <w:rPr>
          <w:rFonts w:cs="Times New Roman"/>
        </w:rPr>
        <w:t xml:space="preserve"> This estimate is based on</w:t>
      </w:r>
      <w:r w:rsidR="0086735B">
        <w:rPr>
          <w:rFonts w:cs="Times New Roman"/>
        </w:rPr>
        <w:t xml:space="preserve"> results of immunohistochemical </w:t>
      </w:r>
      <w:r w:rsidR="003B110B" w:rsidRPr="007A7C51">
        <w:rPr>
          <w:rFonts w:cs="Times New Roman"/>
        </w:rPr>
        <w:t xml:space="preserve">(IHC) staining of appendices from two </w:t>
      </w:r>
      <w:r w:rsidR="0036392B">
        <w:rPr>
          <w:rFonts w:cs="Times New Roman"/>
        </w:rPr>
        <w:t xml:space="preserve">birth </w:t>
      </w:r>
      <w:r w:rsidR="003B110B" w:rsidRPr="007A7C51">
        <w:rPr>
          <w:rFonts w:cs="Times New Roman"/>
        </w:rPr>
        <w:t>cohorts which are describe</w:t>
      </w:r>
      <w:r w:rsidR="00965ECD">
        <w:rPr>
          <w:rFonts w:cs="Times New Roman"/>
        </w:rPr>
        <w:t>d</w:t>
      </w:r>
      <w:r w:rsidR="003B110B" w:rsidRPr="007A7C51">
        <w:rPr>
          <w:rFonts w:cs="Times New Roman"/>
        </w:rPr>
        <w:t xml:space="preserve"> in </w:t>
      </w:r>
      <w:r w:rsidR="003B110B" w:rsidRPr="007A7C51">
        <w:rPr>
          <w:rFonts w:cs="Times New Roman"/>
        </w:rPr>
        <w:fldChar w:fldCharType="begin"/>
      </w:r>
      <w:r w:rsidR="003B110B" w:rsidRPr="007A7C51">
        <w:rPr>
          <w:rFonts w:cs="Times New Roman"/>
        </w:rPr>
        <w:instrText xml:space="preserve"> REF _Ref506554775 \h </w:instrText>
      </w:r>
      <w:r w:rsidR="007A7C51">
        <w:rPr>
          <w:rFonts w:cs="Times New Roman"/>
        </w:rPr>
        <w:instrText xml:space="preserve"> \* MERGEFORMAT </w:instrText>
      </w:r>
      <w:r w:rsidR="003B110B" w:rsidRPr="007A7C51">
        <w:rPr>
          <w:rFonts w:cs="Times New Roman"/>
        </w:rPr>
      </w:r>
      <w:r w:rsidR="003B110B" w:rsidRPr="007A7C51">
        <w:rPr>
          <w:rFonts w:cs="Times New Roman"/>
        </w:rPr>
        <w:fldChar w:fldCharType="separate"/>
      </w:r>
      <w:r w:rsidR="00690541">
        <w:rPr>
          <w:noProof/>
        </w:rPr>
        <w:t>Table</w:t>
      </w:r>
      <w:r w:rsidR="00690541">
        <w:t xml:space="preserve"> </w:t>
      </w:r>
      <w:r w:rsidR="00690541">
        <w:rPr>
          <w:noProof/>
        </w:rPr>
        <w:t>3</w:t>
      </w:r>
      <w:r w:rsidR="003B110B" w:rsidRPr="007A7C51">
        <w:rPr>
          <w:rFonts w:cs="Times New Roman"/>
        </w:rPr>
        <w:fldChar w:fldCharType="end"/>
      </w:r>
      <w:r w:rsidR="003B110B" w:rsidRPr="007A7C51">
        <w:rPr>
          <w:rFonts w:cs="Times New Roman"/>
        </w:rPr>
        <w:t>.</w:t>
      </w:r>
    </w:p>
    <w:p w14:paraId="1AF1E9CA" w14:textId="66AEEF4D" w:rsidR="00D1628B" w:rsidRDefault="00D1628B" w:rsidP="00D96D80">
      <w:pPr>
        <w:autoSpaceDE w:val="0"/>
        <w:autoSpaceDN w:val="0"/>
        <w:adjustRightInd w:val="0"/>
        <w:jc w:val="both"/>
        <w:rPr>
          <w:rFonts w:cs="Times New Roman"/>
          <w:sz w:val="24"/>
          <w:szCs w:val="24"/>
        </w:rPr>
      </w:pPr>
    </w:p>
    <w:p w14:paraId="7829F15D" w14:textId="2B43731E" w:rsidR="005470B8" w:rsidRDefault="005470B8" w:rsidP="00622C6B">
      <w:pPr>
        <w:pStyle w:val="Caption"/>
        <w:keepNext/>
        <w:spacing w:line="360" w:lineRule="auto"/>
      </w:pPr>
      <w:bookmarkStart w:id="39" w:name="_Ref506554775"/>
      <w:bookmarkStart w:id="40" w:name="_Toc525106690"/>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3</w:t>
      </w:r>
      <w:r w:rsidR="00F62DB8">
        <w:rPr>
          <w:noProof/>
        </w:rPr>
        <w:fldChar w:fldCharType="end"/>
      </w:r>
      <w:bookmarkEnd w:id="39"/>
      <w:r>
        <w:t>:</w:t>
      </w:r>
      <w:r w:rsidR="00622C6B">
        <w:tab/>
      </w:r>
      <w:r w:rsidR="00E34929">
        <w:t>R</w:t>
      </w:r>
      <w:r w:rsidR="00E34929" w:rsidRPr="001A64AC">
        <w:t>esults</w:t>
      </w:r>
      <w:r w:rsidR="00E34929">
        <w:t xml:space="preserve"> of the</w:t>
      </w:r>
      <w:r w:rsidR="00E34929" w:rsidRPr="001A64AC">
        <w:t xml:space="preserve"> </w:t>
      </w:r>
      <w:r w:rsidRPr="001A64AC">
        <w:t>Appendix III</w:t>
      </w:r>
      <w:r w:rsidR="00E34929">
        <w:t xml:space="preserve"> study</w:t>
      </w:r>
      <w:bookmarkEnd w:id="40"/>
      <w:r w:rsidRPr="001A64A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261"/>
        <w:gridCol w:w="1791"/>
      </w:tblGrid>
      <w:tr w:rsidR="00294703" w:rsidRPr="007A7C51" w14:paraId="7B9E994C" w14:textId="77777777" w:rsidTr="00931EC4">
        <w:tc>
          <w:tcPr>
            <w:tcW w:w="3964" w:type="dxa"/>
          </w:tcPr>
          <w:p w14:paraId="101F3D19" w14:textId="7EE24127" w:rsidR="00294703" w:rsidRPr="007A7C51" w:rsidRDefault="00294703" w:rsidP="00622C6B">
            <w:pPr>
              <w:autoSpaceDE w:val="0"/>
              <w:autoSpaceDN w:val="0"/>
              <w:adjustRightInd w:val="0"/>
              <w:spacing w:after="120" w:line="240" w:lineRule="auto"/>
              <w:jc w:val="both"/>
              <w:rPr>
                <w:rFonts w:cs="Times New Roman"/>
              </w:rPr>
            </w:pPr>
            <w:r w:rsidRPr="007A7C51">
              <w:rPr>
                <w:rFonts w:cs="Times New Roman"/>
              </w:rPr>
              <w:t>Appendix III cohort</w:t>
            </w:r>
          </w:p>
        </w:tc>
        <w:tc>
          <w:tcPr>
            <w:tcW w:w="3261" w:type="dxa"/>
          </w:tcPr>
          <w:p w14:paraId="19778F1F" w14:textId="2DCE841C" w:rsidR="00294703" w:rsidRPr="007A7C51" w:rsidRDefault="00294703" w:rsidP="00622C6B">
            <w:pPr>
              <w:autoSpaceDE w:val="0"/>
              <w:autoSpaceDN w:val="0"/>
              <w:adjustRightInd w:val="0"/>
              <w:spacing w:after="120" w:line="240" w:lineRule="auto"/>
              <w:jc w:val="both"/>
              <w:rPr>
                <w:rFonts w:cs="Times New Roman"/>
              </w:rPr>
            </w:pPr>
            <w:r w:rsidRPr="007A7C51">
              <w:rPr>
                <w:rFonts w:cs="Times New Roman"/>
              </w:rPr>
              <w:t>I</w:t>
            </w:r>
            <w:r w:rsidR="00FC1744" w:rsidRPr="007A7C51">
              <w:rPr>
                <w:rFonts w:cs="Times New Roman"/>
              </w:rPr>
              <w:t>HC stain</w:t>
            </w:r>
            <w:r w:rsidRPr="007A7C51">
              <w:rPr>
                <w:rFonts w:cs="Times New Roman"/>
              </w:rPr>
              <w:t xml:space="preserve"> results</w:t>
            </w:r>
          </w:p>
        </w:tc>
        <w:tc>
          <w:tcPr>
            <w:tcW w:w="1791" w:type="dxa"/>
          </w:tcPr>
          <w:p w14:paraId="1ABA6417" w14:textId="1D6F279A" w:rsidR="00294703" w:rsidRPr="007A7C51" w:rsidRDefault="00294703" w:rsidP="00622C6B">
            <w:pPr>
              <w:autoSpaceDE w:val="0"/>
              <w:autoSpaceDN w:val="0"/>
              <w:adjustRightInd w:val="0"/>
              <w:spacing w:after="120" w:line="240" w:lineRule="auto"/>
              <w:jc w:val="both"/>
              <w:rPr>
                <w:rFonts w:cs="Times New Roman"/>
              </w:rPr>
            </w:pPr>
            <w:r w:rsidRPr="007A7C51">
              <w:rPr>
                <w:rFonts w:cs="Times New Roman"/>
              </w:rPr>
              <w:t>Central estimate</w:t>
            </w:r>
          </w:p>
        </w:tc>
      </w:tr>
      <w:tr w:rsidR="00294703" w:rsidRPr="007A7C51" w14:paraId="2948A35B" w14:textId="77777777" w:rsidTr="00931EC4">
        <w:tc>
          <w:tcPr>
            <w:tcW w:w="3964" w:type="dxa"/>
          </w:tcPr>
          <w:p w14:paraId="0E6BFBBD" w14:textId="3740F1FC" w:rsidR="00294703" w:rsidRPr="007A7C51" w:rsidRDefault="00294703" w:rsidP="00622C6B">
            <w:pPr>
              <w:pStyle w:val="ListParagraph"/>
              <w:numPr>
                <w:ilvl w:val="0"/>
                <w:numId w:val="4"/>
              </w:numPr>
              <w:autoSpaceDE w:val="0"/>
              <w:autoSpaceDN w:val="0"/>
              <w:adjustRightInd w:val="0"/>
              <w:spacing w:after="120" w:line="240" w:lineRule="auto"/>
              <w:jc w:val="both"/>
              <w:rPr>
                <w:rFonts w:cs="Times New Roman"/>
                <w:color w:val="000000"/>
              </w:rPr>
            </w:pPr>
            <w:r w:rsidRPr="007A7C51">
              <w:rPr>
                <w:rFonts w:cs="Times New Roman"/>
                <w:color w:val="000000"/>
              </w:rPr>
              <w:t>Appendices removed between 1970-1979 and before the BSE epidemic</w:t>
            </w:r>
          </w:p>
        </w:tc>
        <w:tc>
          <w:tcPr>
            <w:tcW w:w="3261" w:type="dxa"/>
          </w:tcPr>
          <w:p w14:paraId="5FA53057" w14:textId="7B29861E" w:rsidR="00294703" w:rsidRPr="007A7C51" w:rsidRDefault="00294703" w:rsidP="00622C6B">
            <w:pPr>
              <w:autoSpaceDE w:val="0"/>
              <w:autoSpaceDN w:val="0"/>
              <w:adjustRightInd w:val="0"/>
              <w:spacing w:after="120" w:line="240" w:lineRule="auto"/>
              <w:jc w:val="both"/>
              <w:rPr>
                <w:rFonts w:cs="Times New Roman"/>
              </w:rPr>
            </w:pPr>
            <w:r w:rsidRPr="007A7C51">
              <w:rPr>
                <w:rFonts w:cs="Times New Roman"/>
              </w:rPr>
              <w:t>2 positive samples from 14,692 appendices</w:t>
            </w:r>
          </w:p>
        </w:tc>
        <w:tc>
          <w:tcPr>
            <w:tcW w:w="1791" w:type="dxa"/>
          </w:tcPr>
          <w:p w14:paraId="5F3C59A9" w14:textId="1630DD76" w:rsidR="00294703" w:rsidRPr="007A7C51" w:rsidRDefault="00294703" w:rsidP="00622C6B">
            <w:pPr>
              <w:autoSpaceDE w:val="0"/>
              <w:autoSpaceDN w:val="0"/>
              <w:adjustRightInd w:val="0"/>
              <w:spacing w:after="120" w:line="240" w:lineRule="auto"/>
              <w:jc w:val="both"/>
              <w:rPr>
                <w:rFonts w:cs="Times New Roman"/>
              </w:rPr>
            </w:pPr>
            <w:r w:rsidRPr="007A7C51">
              <w:rPr>
                <w:rFonts w:cs="Times New Roman"/>
              </w:rPr>
              <w:t>1 in 7,000</w:t>
            </w:r>
          </w:p>
        </w:tc>
      </w:tr>
      <w:tr w:rsidR="00294703" w:rsidRPr="007A7C51" w14:paraId="78209EC6" w14:textId="77777777" w:rsidTr="00931EC4">
        <w:tc>
          <w:tcPr>
            <w:tcW w:w="3964" w:type="dxa"/>
          </w:tcPr>
          <w:p w14:paraId="62AF904E" w14:textId="24D34917" w:rsidR="00294703" w:rsidRPr="007A7C51" w:rsidRDefault="00294703" w:rsidP="00622C6B">
            <w:pPr>
              <w:pStyle w:val="ListParagraph"/>
              <w:numPr>
                <w:ilvl w:val="0"/>
                <w:numId w:val="4"/>
              </w:numPr>
              <w:autoSpaceDE w:val="0"/>
              <w:autoSpaceDN w:val="0"/>
              <w:adjustRightInd w:val="0"/>
              <w:spacing w:after="120" w:line="240" w:lineRule="auto"/>
              <w:jc w:val="both"/>
              <w:rPr>
                <w:rFonts w:cs="Times New Roman"/>
              </w:rPr>
            </w:pPr>
            <w:r w:rsidRPr="007A7C51">
              <w:rPr>
                <w:rFonts w:cs="Times New Roman"/>
                <w:color w:val="000000"/>
              </w:rPr>
              <w:t>Appendices removed from patients born after 1</w:t>
            </w:r>
            <w:r w:rsidRPr="007A7C51">
              <w:rPr>
                <w:rFonts w:cs="Times New Roman"/>
                <w:color w:val="000000"/>
                <w:vertAlign w:val="superscript"/>
              </w:rPr>
              <w:t>st</w:t>
            </w:r>
            <w:r w:rsidRPr="007A7C51">
              <w:rPr>
                <w:rFonts w:cs="Times New Roman"/>
                <w:color w:val="000000"/>
              </w:rPr>
              <w:t xml:space="preserve"> January 1996 and after measures to remove BSE were in place</w:t>
            </w:r>
          </w:p>
        </w:tc>
        <w:tc>
          <w:tcPr>
            <w:tcW w:w="3261" w:type="dxa"/>
          </w:tcPr>
          <w:p w14:paraId="043FEDA9" w14:textId="4E07E543" w:rsidR="00294703" w:rsidRPr="007A7C51" w:rsidRDefault="00294703" w:rsidP="00622C6B">
            <w:pPr>
              <w:autoSpaceDE w:val="0"/>
              <w:autoSpaceDN w:val="0"/>
              <w:adjustRightInd w:val="0"/>
              <w:spacing w:after="120" w:line="240" w:lineRule="auto"/>
              <w:jc w:val="both"/>
              <w:rPr>
                <w:rFonts w:cs="Times New Roman"/>
              </w:rPr>
            </w:pPr>
            <w:r w:rsidRPr="007A7C51">
              <w:rPr>
                <w:rFonts w:cs="Times New Roman"/>
              </w:rPr>
              <w:t>5 positive samples from 14,824 appendices</w:t>
            </w:r>
          </w:p>
        </w:tc>
        <w:tc>
          <w:tcPr>
            <w:tcW w:w="1791" w:type="dxa"/>
          </w:tcPr>
          <w:p w14:paraId="238D2066" w14:textId="7889FDA6" w:rsidR="00294703" w:rsidRPr="007A7C51" w:rsidRDefault="00294703" w:rsidP="00622C6B">
            <w:pPr>
              <w:autoSpaceDE w:val="0"/>
              <w:autoSpaceDN w:val="0"/>
              <w:adjustRightInd w:val="0"/>
              <w:spacing w:after="120" w:line="240" w:lineRule="auto"/>
              <w:jc w:val="both"/>
              <w:rPr>
                <w:rFonts w:cs="Times New Roman"/>
              </w:rPr>
            </w:pPr>
            <w:r w:rsidRPr="007A7C51">
              <w:rPr>
                <w:rFonts w:cs="Times New Roman"/>
              </w:rPr>
              <w:t>1 in 3,000</w:t>
            </w:r>
          </w:p>
        </w:tc>
      </w:tr>
    </w:tbl>
    <w:p w14:paraId="7A85E2E0" w14:textId="7D5DA5E1" w:rsidR="00142676" w:rsidRPr="009F5584" w:rsidRDefault="00142676" w:rsidP="00622C6B">
      <w:pPr>
        <w:autoSpaceDE w:val="0"/>
        <w:autoSpaceDN w:val="0"/>
        <w:adjustRightInd w:val="0"/>
        <w:jc w:val="both"/>
        <w:rPr>
          <w:rFonts w:cs="Times New Roman"/>
          <w:sz w:val="24"/>
          <w:szCs w:val="24"/>
        </w:rPr>
      </w:pPr>
    </w:p>
    <w:p w14:paraId="1BD9D3AE" w14:textId="77777777" w:rsidR="005A44EE" w:rsidRPr="006A1AA7" w:rsidRDefault="005A44EE" w:rsidP="00292024">
      <w:pPr>
        <w:pStyle w:val="Heading4"/>
        <w:rPr>
          <w:sz w:val="22"/>
        </w:rPr>
      </w:pPr>
      <w:r w:rsidRPr="006A1AA7">
        <w:rPr>
          <w:sz w:val="22"/>
        </w:rPr>
        <w:t>vCJD and BSE</w:t>
      </w:r>
    </w:p>
    <w:p w14:paraId="77C63C43" w14:textId="742568BF" w:rsidR="004C52FB" w:rsidRDefault="004C52FB" w:rsidP="00622C6B">
      <w:pPr>
        <w:autoSpaceDE w:val="0"/>
        <w:autoSpaceDN w:val="0"/>
        <w:adjustRightInd w:val="0"/>
        <w:jc w:val="both"/>
        <w:rPr>
          <w:rFonts w:cs="Times New Roman"/>
        </w:rPr>
      </w:pPr>
      <w:r w:rsidRPr="007A7C51">
        <w:rPr>
          <w:rFonts w:cs="Times New Roman"/>
        </w:rPr>
        <w:t>T</w:t>
      </w:r>
      <w:r w:rsidR="005A44EE" w:rsidRPr="007A7C51">
        <w:rPr>
          <w:rFonts w:cs="Times New Roman"/>
        </w:rPr>
        <w:t xml:space="preserve">he hypothesis of </w:t>
      </w:r>
      <w:r w:rsidR="00E347EE" w:rsidRPr="007A7C51">
        <w:rPr>
          <w:rFonts w:cs="Times New Roman"/>
        </w:rPr>
        <w:t xml:space="preserve">zoonotic transmission through </w:t>
      </w:r>
      <w:r w:rsidR="005A44EE" w:rsidRPr="007A7C51">
        <w:rPr>
          <w:rFonts w:cs="Times New Roman"/>
        </w:rPr>
        <w:t>dietary exposure</w:t>
      </w:r>
      <w:r w:rsidR="007C2E12" w:rsidRPr="007A7C51">
        <w:rPr>
          <w:rFonts w:cs="Times New Roman"/>
        </w:rPr>
        <w:t xml:space="preserve"> from</w:t>
      </w:r>
      <w:r w:rsidR="005A44EE" w:rsidRPr="007A7C51">
        <w:rPr>
          <w:rFonts w:cs="Times New Roman"/>
        </w:rPr>
        <w:t xml:space="preserve"> </w:t>
      </w:r>
      <w:r w:rsidR="007C2E12" w:rsidRPr="007A7C51">
        <w:rPr>
          <w:rFonts w:cs="Times New Roman"/>
        </w:rPr>
        <w:t xml:space="preserve">the BSE outbreak is largely upheld </w:t>
      </w:r>
      <w:r w:rsidR="005A44EE" w:rsidRPr="007A7C51">
        <w:rPr>
          <w:rFonts w:cs="Times New Roman"/>
        </w:rPr>
        <w:t xml:space="preserve">as the </w:t>
      </w:r>
      <w:r w:rsidR="007C2E12" w:rsidRPr="007A7C51">
        <w:rPr>
          <w:rFonts w:cs="Times New Roman"/>
        </w:rPr>
        <w:t xml:space="preserve">most plausible </w:t>
      </w:r>
      <w:r w:rsidR="005A44EE" w:rsidRPr="007A7C51">
        <w:rPr>
          <w:rFonts w:cs="Times New Roman"/>
        </w:rPr>
        <w:t xml:space="preserve">route of </w:t>
      </w:r>
      <w:r w:rsidR="00E347EE" w:rsidRPr="007A7C51">
        <w:rPr>
          <w:rFonts w:cs="Times New Roman"/>
        </w:rPr>
        <w:t xml:space="preserve">vCJD </w:t>
      </w:r>
      <w:r w:rsidR="005A44EE" w:rsidRPr="007A7C51">
        <w:rPr>
          <w:rFonts w:cs="Times New Roman"/>
        </w:rPr>
        <w:t>infection</w:t>
      </w:r>
      <w:r w:rsidR="00E347EE" w:rsidRPr="007A7C51">
        <w:rPr>
          <w:rFonts w:cs="Times New Roman"/>
        </w:rPr>
        <w:t xml:space="preserve"> in humans</w:t>
      </w:r>
      <w:r w:rsidR="0076256B" w:rsidRPr="007A7C51">
        <w:rPr>
          <w:rFonts w:cs="Times New Roman"/>
        </w:rPr>
        <w:t xml:space="preserve"> and </w:t>
      </w:r>
      <w:r w:rsidR="00524032" w:rsidRPr="007A7C51">
        <w:rPr>
          <w:rFonts w:cs="Times New Roman"/>
        </w:rPr>
        <w:t>transmission has been replicated in wild-type mice</w:t>
      </w:r>
      <w:r w:rsidRPr="007A7C51">
        <w:rPr>
          <w:rFonts w:cs="Times New Roman"/>
        </w:rPr>
        <w:t>.</w:t>
      </w:r>
      <w:r w:rsidR="00DB67C1" w:rsidRPr="007A7C51">
        <w:rPr>
          <w:rFonts w:cs="Times New Roman"/>
        </w:rPr>
        <w:fldChar w:fldCharType="begin">
          <w:fldData xml:space="preserve">PEVuZE5vdGU+PENpdGU+PEF1dGhvcj5SaXRjaGllPC9BdXRob3I+PFllYXI+MjAwOTwvWWVhcj48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PEVuZE5vdGU+PENpdGU+PEF1dGhvcj5SaXRjaGllPC9BdXRob3I+PFllYXI+MjAwOTwvWWVhcj48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DB67C1" w:rsidRPr="007A7C51">
        <w:rPr>
          <w:rFonts w:cs="Times New Roman"/>
        </w:rPr>
      </w:r>
      <w:r w:rsidR="00DB67C1" w:rsidRPr="007A7C51">
        <w:rPr>
          <w:rFonts w:cs="Times New Roman"/>
        </w:rPr>
        <w:fldChar w:fldCharType="separate"/>
      </w:r>
      <w:r w:rsidR="0076576E" w:rsidRPr="0076576E">
        <w:rPr>
          <w:rFonts w:cs="Times New Roman"/>
          <w:noProof/>
          <w:vertAlign w:val="superscript"/>
        </w:rPr>
        <w:t>86</w:t>
      </w:r>
      <w:r w:rsidR="00DB67C1" w:rsidRPr="007A7C51">
        <w:rPr>
          <w:rFonts w:cs="Times New Roman"/>
        </w:rPr>
        <w:fldChar w:fldCharType="end"/>
      </w:r>
      <w:r w:rsidRPr="007A7C51">
        <w:rPr>
          <w:rFonts w:cs="Times New Roman"/>
        </w:rPr>
        <w:t xml:space="preserve"> </w:t>
      </w:r>
      <w:r w:rsidR="00524032" w:rsidRPr="007A7C51">
        <w:rPr>
          <w:rFonts w:cs="Times New Roman"/>
        </w:rPr>
        <w:t>Moreover</w:t>
      </w:r>
      <w:r w:rsidR="00BB6341" w:rsidRPr="007A7C51">
        <w:rPr>
          <w:rFonts w:cs="Times New Roman"/>
        </w:rPr>
        <w:t>, a</w:t>
      </w:r>
      <w:r w:rsidRPr="007A7C51">
        <w:rPr>
          <w:rFonts w:cs="Times New Roman"/>
        </w:rPr>
        <w:t xml:space="preserve"> recent study by Diack </w:t>
      </w:r>
      <w:r w:rsidR="00B301D6" w:rsidRPr="00B301D6">
        <w:rPr>
          <w:rFonts w:cs="Times New Roman"/>
          <w:i/>
        </w:rPr>
        <w:t>et al</w:t>
      </w:r>
      <w:r w:rsidRPr="007A7C51">
        <w:rPr>
          <w:rFonts w:cs="Times New Roman"/>
        </w:rPr>
        <w:t xml:space="preserve"> (2016) examined two Spanish cases of vCJD; a mother and son who resided in a BSE endemic area, and who are thought to have ingested bovine brain.</w:t>
      </w:r>
      <w:r w:rsidR="001C1038" w:rsidRPr="007A7C51">
        <w:rPr>
          <w:rFonts w:cs="Times New Roman"/>
        </w:rPr>
        <w:fldChar w:fldCharType="begin">
          <w:fldData xml:space="preserve">PEVuZE5vdGU+PENpdGU+PEF1dGhvcj5EaWFjazwvQXV0aG9yPjxZZWFyPjIwMTY8L1llYXI+PFJl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</w:fldData>
        </w:fldChar>
      </w:r>
      <w:r w:rsidR="0076576E">
        <w:rPr>
          <w:rFonts w:cs="Times New Roman"/>
        </w:rPr>
        <w:instrText xml:space="preserve"> ADDIN EN.CITE </w:instrText>
      </w:r>
      <w:r w:rsidR="0076576E">
        <w:rPr>
          <w:rFonts w:cs="Times New Roman"/>
        </w:rPr>
        <w:fldChar w:fldCharType="begin">
          <w:fldData xml:space="preserve">PEVuZE5vdGU+PENpdGU+PEF1dGhvcj5EaWFjazwvQXV0aG9yPjxZZWFyPjIwMTY8L1llYXI+PFJl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7A7C51">
        <w:rPr>
          <w:rFonts w:cs="Times New Roman"/>
        </w:rPr>
      </w:r>
      <w:r w:rsidR="001C1038" w:rsidRPr="007A7C51">
        <w:rPr>
          <w:rFonts w:cs="Times New Roman"/>
        </w:rPr>
        <w:fldChar w:fldCharType="separate"/>
      </w:r>
      <w:r w:rsidR="0076576E" w:rsidRPr="0076576E">
        <w:rPr>
          <w:rFonts w:cs="Times New Roman"/>
          <w:noProof/>
          <w:vertAlign w:val="superscript"/>
        </w:rPr>
        <w:t>87</w:t>
      </w:r>
      <w:r w:rsidR="001C1038" w:rsidRPr="007A7C51">
        <w:rPr>
          <w:rFonts w:cs="Times New Roman"/>
        </w:rPr>
        <w:fldChar w:fldCharType="end"/>
      </w:r>
      <w:r w:rsidRPr="007A7C51">
        <w:rPr>
          <w:rFonts w:cs="Times New Roman"/>
        </w:rPr>
        <w:t xml:space="preserve"> The resulting strain characteristics are similar to </w:t>
      </w:r>
      <w:r w:rsidR="006A1AA7">
        <w:rPr>
          <w:rFonts w:cs="Times New Roman"/>
        </w:rPr>
        <w:t>those</w:t>
      </w:r>
      <w:r w:rsidRPr="007A7C51">
        <w:rPr>
          <w:rFonts w:cs="Times New Roman"/>
        </w:rPr>
        <w:t xml:space="preserve"> of UK cases </w:t>
      </w:r>
      <w:r w:rsidR="00CE61C7">
        <w:rPr>
          <w:rFonts w:cs="Times New Roman"/>
        </w:rPr>
        <w:t>implying</w:t>
      </w:r>
      <w:r w:rsidRPr="007A7C51">
        <w:rPr>
          <w:rFonts w:cs="Times New Roman"/>
        </w:rPr>
        <w:t xml:space="preserve"> that both individuals were infected by BSE and supporting the hypothesis of</w:t>
      </w:r>
      <w:r w:rsidR="00CE61C7">
        <w:rPr>
          <w:rFonts w:cs="Times New Roman"/>
        </w:rPr>
        <w:t xml:space="preserve"> risk via ingestion of high tit</w:t>
      </w:r>
      <w:r w:rsidRPr="007A7C51">
        <w:rPr>
          <w:rFonts w:cs="Times New Roman"/>
        </w:rPr>
        <w:t>r</w:t>
      </w:r>
      <w:r w:rsidR="00CE61C7">
        <w:rPr>
          <w:rFonts w:cs="Times New Roman"/>
        </w:rPr>
        <w:t>e</w:t>
      </w:r>
      <w:r w:rsidRPr="007A7C51">
        <w:rPr>
          <w:rFonts w:cs="Times New Roman"/>
        </w:rPr>
        <w:t xml:space="preserve"> bovine material.</w:t>
      </w:r>
    </w:p>
    <w:p w14:paraId="31360F63" w14:textId="77777777" w:rsidR="00B04C52" w:rsidRDefault="00B04C52" w:rsidP="00622C6B">
      <w:pPr>
        <w:autoSpaceDE w:val="0"/>
        <w:autoSpaceDN w:val="0"/>
        <w:adjustRightInd w:val="0"/>
        <w:jc w:val="both"/>
        <w:rPr>
          <w:rFonts w:cs="Times New Roman"/>
        </w:rPr>
      </w:pPr>
    </w:p>
    <w:p w14:paraId="0E9A6E11" w14:textId="3C51CD05" w:rsidR="005A44EE" w:rsidRDefault="00BA2E9E" w:rsidP="00622C6B">
      <w:pPr>
        <w:autoSpaceDE w:val="0"/>
        <w:autoSpaceDN w:val="0"/>
        <w:adjustRightInd w:val="0"/>
        <w:jc w:val="both"/>
        <w:rPr>
          <w:rFonts w:cs="Times New Roman"/>
        </w:rPr>
      </w:pPr>
      <w:r w:rsidRPr="00D47D1A">
        <w:rPr>
          <w:rFonts w:cs="Times New Roman"/>
        </w:rPr>
        <w:t>T</w:t>
      </w:r>
      <w:r w:rsidR="00B04C52" w:rsidRPr="00D47D1A">
        <w:rPr>
          <w:rFonts w:cs="Times New Roman"/>
        </w:rPr>
        <w:t>he A</w:t>
      </w:r>
      <w:r w:rsidR="005A44EE" w:rsidRPr="00D47D1A">
        <w:rPr>
          <w:rFonts w:cs="Times New Roman"/>
        </w:rPr>
        <w:t>ppendix III study</w:t>
      </w:r>
      <w:r w:rsidR="005A44EE" w:rsidRPr="00D47D1A">
        <w:rPr>
          <w:rFonts w:cs="Times New Roman"/>
        </w:rPr>
        <w:fldChar w:fldCharType="begin"/>
      </w:r>
      <w:r w:rsidR="0076576E">
        <w:rPr>
          <w:rFonts w:cs="Times New Roman"/>
        </w:rPr>
        <w:instrText xml:space="preserve"> ADDIN EN.CITE &lt;EndNote&gt;&lt;Cite&gt;&lt;Author&gt;Diack&lt;/Author&gt;&lt;Year&gt;2017&lt;/Year&gt;&lt;RecNum&gt;10241&lt;/RecNum&gt;&lt;DisplayText&gt;&lt;style face="superscript"&gt;84&lt;/style&gt;&lt;/DisplayText&gt;&lt;record&gt;&lt;rec-number&gt;10241&lt;/rec-number&gt;&lt;foreign-keys&gt;&lt;key app="EN" db-id="vrp0pptazv05wtesfz5vrzsj2p0rv09ttsa9" timestamp="1514885077" guid="7c91e84b-7710-4f47-818f-083ce0a10d57"&gt;10241&lt;/key&gt;&lt;/foreign-keys&gt;&lt;ref-type name="Journal Article"&gt;17&lt;/ref-type&gt;&lt;contributors&gt;&lt;authors&gt;&lt;author&gt;Diack, Abigail B&lt;/author&gt;&lt;author&gt;Will, Robert G&lt;/author&gt;&lt;author&gt;Manson, Jean C&lt;/author&gt;&lt;/authors&gt;&lt;/contributors&gt;&lt;titles&gt;&lt;title&gt;Public health risks from subclinical variant CJD&lt;/title&gt;&lt;secondary-title&gt;PLoS pathogens&lt;/secondary-title&gt;&lt;/titles&gt;&lt;periodical&gt;&lt;full-title&gt;PLoS Pathogens&lt;/full-title&gt;&lt;abbr-1&gt;PLoS Pathog&lt;/abbr-1&gt;&lt;/periodical&gt;&lt;pages&gt;e1006642&lt;/pages&gt;&lt;volume&gt;13&lt;/volume&gt;&lt;number&gt;11&lt;/number&gt;&lt;keywords&gt;&lt;keyword&gt;$$LU_1_prevalence CJD&lt;/keyword&gt;&lt;keyword&gt;$$Lesley google&lt;/keyword&gt;&lt;keyword&gt;$$CJD relevant&lt;/keyword&gt;&lt;keyword&gt;$$review or discussion&lt;/keyword&gt;&lt;/keywords&gt;&lt;dates&gt;&lt;year&gt;2017&lt;/year&gt;&lt;/dates&gt;&lt;isbn&gt;1553-7374&lt;/isbn&gt;&lt;urls&gt;&lt;/urls&gt;&lt;/record&gt;&lt;/Cite&gt;&lt;/EndNote&gt;</w:instrText>
      </w:r>
      <w:r w:rsidR="005A44EE" w:rsidRPr="00D47D1A">
        <w:rPr>
          <w:rFonts w:cs="Times New Roman"/>
        </w:rPr>
        <w:fldChar w:fldCharType="separate"/>
      </w:r>
      <w:r w:rsidR="0076576E" w:rsidRPr="0076576E">
        <w:rPr>
          <w:rFonts w:cs="Times New Roman"/>
          <w:noProof/>
          <w:vertAlign w:val="superscript"/>
        </w:rPr>
        <w:t>84</w:t>
      </w:r>
      <w:r w:rsidR="005A44EE" w:rsidRPr="00D47D1A">
        <w:rPr>
          <w:rFonts w:cs="Times New Roman"/>
        </w:rPr>
        <w:fldChar w:fldCharType="end"/>
      </w:r>
      <w:r w:rsidR="005A44EE" w:rsidRPr="00D47D1A">
        <w:rPr>
          <w:rFonts w:cs="Times New Roman"/>
        </w:rPr>
        <w:t xml:space="preserve"> </w:t>
      </w:r>
      <w:r w:rsidR="00B04C52" w:rsidRPr="00D47D1A">
        <w:t xml:space="preserve">highlights that abnormally- stained appendices </w:t>
      </w:r>
      <w:r w:rsidR="00D47D1A">
        <w:t xml:space="preserve">associated </w:t>
      </w:r>
      <w:r w:rsidR="00B04C52" w:rsidRPr="00D47D1A">
        <w:t xml:space="preserve">with variant CJD (vCJD) prion accumulation have been confirmed in cohorts of people who were not considered to have had significant exposure to </w:t>
      </w:r>
      <w:r w:rsidR="00B04C52" w:rsidRPr="00D47D1A">
        <w:rPr>
          <w:rFonts w:cs="Times New Roman"/>
        </w:rPr>
        <w:t xml:space="preserve">BSE because they were from: a) appendices removed before the BSE epidemic in the UK (prior to 1980) or b) appendices from patients born after food safety measures to limit BSE were implemented (after 1996). </w:t>
      </w:r>
      <w:r w:rsidR="00D47D1A" w:rsidRPr="00D47D1A">
        <w:rPr>
          <w:rFonts w:cs="Times New Roman"/>
        </w:rPr>
        <w:t xml:space="preserve">The presence of </w:t>
      </w:r>
      <w:r w:rsidR="00D47D1A">
        <w:rPr>
          <w:rFonts w:cs="Times New Roman"/>
        </w:rPr>
        <w:t xml:space="preserve">these </w:t>
      </w:r>
      <w:r w:rsidR="00D47D1A" w:rsidRPr="00D47D1A">
        <w:rPr>
          <w:rFonts w:cs="Times New Roman"/>
        </w:rPr>
        <w:t>7 positive samples</w:t>
      </w:r>
      <w:r w:rsidR="00D47D1A">
        <w:rPr>
          <w:rFonts w:cs="Times New Roman"/>
        </w:rPr>
        <w:t xml:space="preserve"> in these cohorts</w:t>
      </w:r>
      <w:r w:rsidR="00D47D1A" w:rsidRPr="00D47D1A">
        <w:rPr>
          <w:rFonts w:cs="Times New Roman"/>
        </w:rPr>
        <w:t xml:space="preserve"> </w:t>
      </w:r>
      <w:r w:rsidR="00B04C52" w:rsidRPr="00D47D1A">
        <w:t>suggests that either there is low background prevalence of abnormal prion protein</w:t>
      </w:r>
      <w:r w:rsidR="00B04C52">
        <w:t xml:space="preserve"> staining in human lymphoid tissue that </w:t>
      </w:r>
      <w:r w:rsidR="00D47D1A">
        <w:rPr>
          <w:rFonts w:cs="Times New Roman"/>
        </w:rPr>
        <w:t>may not represent subclinical</w:t>
      </w:r>
      <w:r w:rsidR="00D47D1A">
        <w:t xml:space="preserve"> vCJD</w:t>
      </w:r>
      <w:r w:rsidR="00B04C52">
        <w:t>, and may be unlikely to progress to vCJD, or that the duration period of human exposure to the BSE epidemic was longer than previously thought.</w:t>
      </w:r>
      <w:r w:rsidR="003B0BCA" w:rsidRPr="007A7C51">
        <w:rPr>
          <w:rFonts w:cs="Times New Roman"/>
        </w:rPr>
        <w:t xml:space="preserve"> Moreover, planned statistical analysis found no difference between the prevalence observed in the cohort considered to be most at risk to the BSE epidemic </w:t>
      </w:r>
      <w:r w:rsidR="006A1AA7">
        <w:rPr>
          <w:rFonts w:cs="Times New Roman"/>
        </w:rPr>
        <w:t xml:space="preserve">as </w:t>
      </w:r>
      <w:r w:rsidR="003B0BCA" w:rsidRPr="007A7C51">
        <w:rPr>
          <w:rFonts w:cs="Times New Roman"/>
        </w:rPr>
        <w:t xml:space="preserve">described </w:t>
      </w:r>
      <w:r w:rsidR="00CE61C7">
        <w:rPr>
          <w:rFonts w:cs="Times New Roman"/>
        </w:rPr>
        <w:t xml:space="preserve">as </w:t>
      </w:r>
      <w:r w:rsidR="003B0BCA" w:rsidRPr="007A7C51">
        <w:rPr>
          <w:rFonts w:cs="Times New Roman"/>
        </w:rPr>
        <w:t xml:space="preserve">by Gill </w:t>
      </w:r>
      <w:r w:rsidR="00B301D6" w:rsidRPr="00B301D6">
        <w:rPr>
          <w:rFonts w:cs="Times New Roman"/>
          <w:i/>
        </w:rPr>
        <w:t>et al</w:t>
      </w:r>
      <w:r w:rsidR="003B0BCA" w:rsidRPr="007A7C51">
        <w:rPr>
          <w:rFonts w:cs="Times New Roman"/>
        </w:rPr>
        <w:t xml:space="preserve"> (2013).</w:t>
      </w:r>
      <w:r w:rsidR="00826471" w:rsidRPr="007A7C51">
        <w:rPr>
          <w:rFonts w:cs="Times New Roman"/>
        </w:rPr>
        <w:fldChar w:fldCharType="begin"/>
      </w:r>
      <w:r w:rsidR="0076576E">
        <w:rPr>
          <w:rFonts w:cs="Times New Roman"/>
        </w:rPr>
        <w:instrText xml:space="preserve"> ADDIN EN.CITE &lt;EndNote&gt;&lt;Cite&gt;&lt;Author&gt;Gill&lt;/Author&gt;&lt;Year&gt;2013&lt;/Year&gt;&lt;RecNum&gt;947&lt;/RecNum&gt;&lt;DisplayText&gt;&lt;style face="superscript"&gt;88&lt;/style&gt;&lt;/DisplayText&gt;&lt;record&gt;&lt;rec-number&gt;947&lt;/rec-number&gt;&lt;foreign-keys&gt;&lt;key app="EN" db-id="vrp0pptazv05wtesfz5vrzsj2p0rv09ttsa9" timestamp="1499838947" guid="60c5efa0-3f94-49a0-a94c-5b0d68b032b8"&gt;947&lt;/key&gt;&lt;/foreign-keys&gt;&lt;ref-type name="Journal Article"&gt;17&lt;/ref-type&gt;&lt;contributors&gt;&lt;authors&gt;&lt;author&gt;Gill, O Noel&lt;/author&gt;&lt;author&gt;Spencer, Yvonne&lt;/author&gt;&lt;author&gt;Richard-Loendt, Angela&lt;/author&gt;&lt;author&gt;Kelly, Carole&lt;/author&gt;&lt;author&gt;Dabaghian, Reza&lt;/author&gt;&lt;author&gt;Boyes, Lynnette&lt;/author&gt;&lt;author&gt;Linehan, Jacqueline&lt;/author&gt;&lt;author&gt;Simmons, Marion&lt;/author&gt;&lt;author&gt;Webb, Paul&lt;/author&gt;&lt;author&gt;Bellerby, Peter&lt;/author&gt;&lt;/authors&gt;&lt;/contributors&gt;&lt;titles&gt;&lt;title&gt;Prevalent abnormal prion protein in human appendixes after bovine spongiform encephalopathy epizootic: large scale survey&lt;/title&gt;&lt;secondary-title&gt;Bmj&lt;/secondary-title&gt;&lt;/titles&gt;&lt;periodical&gt;&lt;full-title&gt;Bmj&lt;/full-title&gt;&lt;/periodical&gt;&lt;pages&gt;f5675&lt;/pages&gt;&lt;volume&gt;347&lt;/volume&gt;&lt;keywords&gt;&lt;keyword&gt;$$Committee recommended&lt;/keyword&gt;&lt;/keywords&gt;&lt;dates&gt;&lt;year&gt;2013&lt;/year&gt;&lt;/dates&gt;&lt;isbn&gt;1756-1833&lt;/isbn&gt;&lt;urls&gt;&lt;related-urls&gt;&lt;url&gt;&lt;style face="underline" font="default" size="100%"&gt;http://www.bmj.com/content/347/bmj.f5675.full&lt;/style&gt;&lt;/url&gt;&lt;/related-urls&gt;&lt;/urls&gt;&lt;access-date&gt;11.07.2017&lt;/access-date&gt;&lt;/record&gt;&lt;/Cite&gt;&lt;/EndNote&gt;</w:instrText>
      </w:r>
      <w:r w:rsidR="00826471" w:rsidRPr="007A7C51">
        <w:rPr>
          <w:rFonts w:cs="Times New Roman"/>
        </w:rPr>
        <w:fldChar w:fldCharType="separate"/>
      </w:r>
      <w:r w:rsidR="0076576E" w:rsidRPr="0076576E">
        <w:rPr>
          <w:rFonts w:cs="Times New Roman"/>
          <w:noProof/>
          <w:vertAlign w:val="superscript"/>
        </w:rPr>
        <w:t>88</w:t>
      </w:r>
      <w:r w:rsidR="00826471" w:rsidRPr="007A7C51">
        <w:rPr>
          <w:rFonts w:cs="Times New Roman"/>
        </w:rPr>
        <w:fldChar w:fldCharType="end"/>
      </w:r>
    </w:p>
    <w:p w14:paraId="2B7720B1" w14:textId="77777777" w:rsidR="00622C6B" w:rsidRPr="007A7C51" w:rsidRDefault="00622C6B" w:rsidP="00622C6B">
      <w:pPr>
        <w:autoSpaceDE w:val="0"/>
        <w:autoSpaceDN w:val="0"/>
        <w:adjustRightInd w:val="0"/>
        <w:jc w:val="both"/>
        <w:rPr>
          <w:rFonts w:cs="Times New Roman"/>
        </w:rPr>
      </w:pPr>
    </w:p>
    <w:p w14:paraId="6FB33146" w14:textId="0A1D3B4E" w:rsidR="00177008" w:rsidRDefault="00FC1744" w:rsidP="00622C6B">
      <w:pPr>
        <w:autoSpaceDE w:val="0"/>
        <w:autoSpaceDN w:val="0"/>
        <w:adjustRightInd w:val="0"/>
        <w:jc w:val="both"/>
        <w:rPr>
          <w:rFonts w:cs="Times New Roman"/>
        </w:rPr>
      </w:pPr>
      <w:r w:rsidRPr="007A7C51">
        <w:rPr>
          <w:rFonts w:cs="Times New Roman"/>
        </w:rPr>
        <w:t xml:space="preserve">One </w:t>
      </w:r>
      <w:r w:rsidR="00177008" w:rsidRPr="007A7C51">
        <w:rPr>
          <w:rFonts w:cs="Times New Roman"/>
        </w:rPr>
        <w:t xml:space="preserve">possible interpretation is that the prevalence of abnormal prion protein does not vary between cohorts because the staining observed represents a low background prevalence of subclinical vCJD in human lymphoid tissues that is </w:t>
      </w:r>
      <w:r w:rsidR="007C2E12" w:rsidRPr="007A7C51">
        <w:rPr>
          <w:rFonts w:cs="Times New Roman"/>
        </w:rPr>
        <w:t xml:space="preserve">largely </w:t>
      </w:r>
      <w:r w:rsidR="00177008" w:rsidRPr="007A7C51">
        <w:rPr>
          <w:rFonts w:cs="Times New Roman"/>
        </w:rPr>
        <w:t>unrelated to the BSE outbreak.</w:t>
      </w:r>
    </w:p>
    <w:p w14:paraId="142DEF5C" w14:textId="77777777" w:rsidR="00622C6B" w:rsidRPr="007A7C51" w:rsidRDefault="00622C6B" w:rsidP="00622C6B">
      <w:pPr>
        <w:autoSpaceDE w:val="0"/>
        <w:autoSpaceDN w:val="0"/>
        <w:adjustRightInd w:val="0"/>
        <w:jc w:val="both"/>
        <w:rPr>
          <w:rFonts w:cs="Times New Roman"/>
        </w:rPr>
      </w:pPr>
    </w:p>
    <w:p w14:paraId="135469B2" w14:textId="0506B151" w:rsidR="00FC1744" w:rsidRPr="007A7C51" w:rsidRDefault="00177008" w:rsidP="00622C6B">
      <w:pPr>
        <w:autoSpaceDE w:val="0"/>
        <w:autoSpaceDN w:val="0"/>
        <w:adjustRightInd w:val="0"/>
        <w:jc w:val="both"/>
        <w:rPr>
          <w:rFonts w:cs="Times New Roman"/>
        </w:rPr>
      </w:pPr>
      <w:r w:rsidRPr="007A7C51">
        <w:rPr>
          <w:rFonts w:cs="Times New Roman"/>
        </w:rPr>
        <w:t xml:space="preserve">Another </w:t>
      </w:r>
      <w:r w:rsidR="00FC1744" w:rsidRPr="007A7C51">
        <w:rPr>
          <w:rFonts w:cs="Times New Roman"/>
        </w:rPr>
        <w:t xml:space="preserve">possible interpretation is that the duration of the BSE </w:t>
      </w:r>
      <w:r w:rsidRPr="007A7C51">
        <w:rPr>
          <w:rFonts w:cs="Times New Roman"/>
        </w:rPr>
        <w:t>epidemic</w:t>
      </w:r>
      <w:r w:rsidR="00FC1744" w:rsidRPr="007A7C51">
        <w:rPr>
          <w:rFonts w:cs="Times New Roman"/>
        </w:rPr>
        <w:t xml:space="preserve"> and </w:t>
      </w:r>
      <w:r w:rsidRPr="007A7C51">
        <w:rPr>
          <w:rFonts w:cs="Times New Roman"/>
        </w:rPr>
        <w:t xml:space="preserve">subsequent ingestion by humans through the food chain was </w:t>
      </w:r>
      <w:r w:rsidR="00FC1744" w:rsidRPr="007A7C51">
        <w:rPr>
          <w:rFonts w:cs="Times New Roman"/>
        </w:rPr>
        <w:t>longer than</w:t>
      </w:r>
      <w:r w:rsidRPr="007A7C51">
        <w:rPr>
          <w:rFonts w:cs="Times New Roman"/>
        </w:rPr>
        <w:t xml:space="preserve"> </w:t>
      </w:r>
      <w:r w:rsidR="00C472A9">
        <w:rPr>
          <w:rFonts w:cs="Times New Roman"/>
        </w:rPr>
        <w:t>the presumed duration (</w:t>
      </w:r>
      <w:r w:rsidRPr="007A7C51">
        <w:rPr>
          <w:rFonts w:cs="Times New Roman"/>
        </w:rPr>
        <w:t>between the years 1980-1996</w:t>
      </w:r>
      <w:r w:rsidR="00C472A9">
        <w:rPr>
          <w:rFonts w:cs="Times New Roman"/>
        </w:rPr>
        <w:t>)</w:t>
      </w:r>
      <w:r w:rsidRPr="007A7C51">
        <w:rPr>
          <w:rFonts w:cs="Times New Roman"/>
        </w:rPr>
        <w:t xml:space="preserve">. These two possibilities are considered by the </w:t>
      </w:r>
      <w:r w:rsidR="008C4960" w:rsidRPr="007A7C51">
        <w:rPr>
          <w:rFonts w:cs="Times New Roman"/>
        </w:rPr>
        <w:t>ACDP</w:t>
      </w:r>
      <w:r w:rsidRPr="007A7C51">
        <w:rPr>
          <w:rFonts w:cs="Times New Roman"/>
        </w:rPr>
        <w:t xml:space="preserve"> TSE subgroup as not necessarily being mutually exclusive nor fully satisfactory.</w:t>
      </w:r>
      <w:r w:rsidR="005B184A" w:rsidRPr="007A7C51">
        <w:rPr>
          <w:rFonts w:cs="Times New Roman"/>
        </w:rPr>
        <w:t xml:space="preserve"> </w:t>
      </w:r>
    </w:p>
    <w:p w14:paraId="2B79E594" w14:textId="77777777" w:rsidR="001B74F5" w:rsidRDefault="001B74F5" w:rsidP="00622C6B">
      <w:pPr>
        <w:autoSpaceDE w:val="0"/>
        <w:autoSpaceDN w:val="0"/>
        <w:adjustRightInd w:val="0"/>
        <w:jc w:val="both"/>
        <w:rPr>
          <w:rFonts w:cs="Times New Roman"/>
          <w:sz w:val="24"/>
          <w:szCs w:val="24"/>
        </w:rPr>
      </w:pPr>
    </w:p>
    <w:p w14:paraId="7352D90B" w14:textId="6ADDA3AF" w:rsidR="005A44EE" w:rsidRPr="00C472A9" w:rsidRDefault="005A44EE" w:rsidP="00292024">
      <w:pPr>
        <w:pStyle w:val="Heading4"/>
        <w:rPr>
          <w:sz w:val="22"/>
        </w:rPr>
      </w:pPr>
      <w:r w:rsidRPr="00D25530">
        <w:rPr>
          <w:sz w:val="22"/>
        </w:rPr>
        <w:t>Previous e</w:t>
      </w:r>
      <w:r w:rsidR="00C472A9">
        <w:rPr>
          <w:sz w:val="22"/>
        </w:rPr>
        <w:t>stimate</w:t>
      </w:r>
      <w:r w:rsidRPr="00C472A9">
        <w:rPr>
          <w:sz w:val="22"/>
        </w:rPr>
        <w:t xml:space="preserve">s of prevalence of abnormal prion in humans </w:t>
      </w:r>
    </w:p>
    <w:p w14:paraId="6640246B" w14:textId="3C1375B3" w:rsidR="00E247B9" w:rsidRPr="00690541" w:rsidRDefault="005A44EE" w:rsidP="00B77DB4">
      <w:pPr>
        <w:autoSpaceDE w:val="0"/>
        <w:autoSpaceDN w:val="0"/>
        <w:adjustRightInd w:val="0"/>
        <w:jc w:val="both"/>
        <w:rPr>
          <w:rFonts w:cs="Times New Roman"/>
        </w:rPr>
      </w:pPr>
      <w:r w:rsidRPr="007A7C51">
        <w:rPr>
          <w:rFonts w:cs="Times New Roman"/>
        </w:rPr>
        <w:t xml:space="preserve">Primary studies </w:t>
      </w:r>
      <w:r w:rsidR="00FF62E2">
        <w:rPr>
          <w:rFonts w:cs="Times New Roman"/>
        </w:rPr>
        <w:t>(</w:t>
      </w:r>
      <w:r w:rsidRPr="007A7C51">
        <w:rPr>
          <w:rFonts w:cs="Times New Roman"/>
        </w:rPr>
        <w:t>published after 2005</w:t>
      </w:r>
      <w:r w:rsidR="00FF62E2">
        <w:rPr>
          <w:rFonts w:cs="Times New Roman"/>
        </w:rPr>
        <w:t>)</w:t>
      </w:r>
      <w:r w:rsidRPr="007A7C51">
        <w:rPr>
          <w:rFonts w:cs="Times New Roman"/>
        </w:rPr>
        <w:t xml:space="preserve"> that provide estimates for subclinical CJD in the general population</w:t>
      </w:r>
      <w:r w:rsidR="00FF62E2">
        <w:rPr>
          <w:rFonts w:cs="Times New Roman"/>
        </w:rPr>
        <w:t xml:space="preserve"> based on </w:t>
      </w:r>
      <w:r w:rsidR="00FF62E2" w:rsidRPr="007A7C51">
        <w:rPr>
          <w:rFonts w:cs="Times New Roman"/>
        </w:rPr>
        <w:t xml:space="preserve">analysis of peripheral tissue </w:t>
      </w:r>
      <w:r w:rsidRPr="007A7C51">
        <w:rPr>
          <w:rFonts w:cs="Times New Roman"/>
        </w:rPr>
        <w:t xml:space="preserve">are displayed in </w:t>
      </w:r>
      <w:r w:rsidRPr="00851AC2">
        <w:rPr>
          <w:rFonts w:cs="Times New Roman"/>
        </w:rPr>
        <w:fldChar w:fldCharType="begin"/>
      </w:r>
      <w:r w:rsidRPr="00851AC2">
        <w:rPr>
          <w:rFonts w:cs="Times New Roman"/>
        </w:rPr>
        <w:instrText xml:space="preserve"> REF _Ref505349969 \h  \* MERGEFORMAT </w:instrText>
      </w:r>
      <w:r w:rsidRPr="00851AC2">
        <w:rPr>
          <w:rFonts w:cs="Times New Roman"/>
        </w:rPr>
      </w:r>
      <w:r w:rsidRPr="00851AC2">
        <w:rPr>
          <w:rFonts w:cs="Times New Roman"/>
        </w:rPr>
        <w:fldChar w:fldCharType="separate"/>
      </w:r>
      <w:r w:rsidR="00690541" w:rsidRPr="00A20906">
        <w:rPr>
          <w:rFonts w:cs="Times New Roman"/>
        </w:rPr>
        <w:t xml:space="preserve">Table </w:t>
      </w:r>
      <w:r w:rsidR="00690541">
        <w:rPr>
          <w:rFonts w:cs="Times New Roman"/>
          <w:noProof/>
        </w:rPr>
        <w:t>4</w:t>
      </w:r>
      <w:r w:rsidRPr="00851AC2">
        <w:rPr>
          <w:rFonts w:cs="Times New Roman"/>
        </w:rPr>
        <w:fldChar w:fldCharType="end"/>
      </w:r>
      <w:r w:rsidRPr="00851AC2">
        <w:rPr>
          <w:rFonts w:cs="Times New Roman"/>
        </w:rPr>
        <w:t xml:space="preserve">. </w:t>
      </w:r>
      <w:r w:rsidRPr="007A7C51">
        <w:rPr>
          <w:rFonts w:cs="Times New Roman"/>
        </w:rPr>
        <w:t>Central estimates range between 0 per million population and 493 per million population.</w:t>
      </w:r>
      <w:r w:rsidR="003B0BCA" w:rsidRPr="007A7C51">
        <w:rPr>
          <w:rFonts w:cs="Times New Roman"/>
        </w:rPr>
        <w:t xml:space="preserve"> Studies </w:t>
      </w:r>
      <w:r w:rsidR="00FF62E2">
        <w:rPr>
          <w:rFonts w:cs="Times New Roman"/>
        </w:rPr>
        <w:t>providing</w:t>
      </w:r>
      <w:r w:rsidR="003B0BCA" w:rsidRPr="007A7C51">
        <w:rPr>
          <w:rFonts w:cs="Times New Roman"/>
        </w:rPr>
        <w:t xml:space="preserve"> evidence of </w:t>
      </w:r>
      <w:r w:rsidR="00FF62E2">
        <w:rPr>
          <w:rFonts w:cs="Times New Roman"/>
        </w:rPr>
        <w:t xml:space="preserve">the prevalence of </w:t>
      </w:r>
      <w:r w:rsidR="003B0BCA" w:rsidRPr="007A7C51">
        <w:rPr>
          <w:rFonts w:cs="Times New Roman"/>
        </w:rPr>
        <w:t xml:space="preserve">vCJD prions in lymphoid tissues published </w:t>
      </w:r>
      <w:r w:rsidR="002A677D" w:rsidRPr="007A7C51">
        <w:rPr>
          <w:rFonts w:cs="Times New Roman"/>
        </w:rPr>
        <w:t xml:space="preserve">prior </w:t>
      </w:r>
      <w:r w:rsidR="003B0BCA" w:rsidRPr="007A7C51">
        <w:rPr>
          <w:rFonts w:cs="Times New Roman"/>
        </w:rPr>
        <w:t xml:space="preserve">to 2005 are described in a review published by Olsen </w:t>
      </w:r>
      <w:r w:rsidR="00B301D6" w:rsidRPr="00B301D6">
        <w:rPr>
          <w:rFonts w:cs="Times New Roman"/>
          <w:i/>
        </w:rPr>
        <w:t>et al</w:t>
      </w:r>
      <w:r w:rsidR="003B0BCA" w:rsidRPr="007A7C51">
        <w:rPr>
          <w:rFonts w:cs="Times New Roman"/>
        </w:rPr>
        <w:t xml:space="preserve"> (2005)</w:t>
      </w:r>
      <w:r w:rsidR="00A01059">
        <w:rPr>
          <w:rFonts w:cs="Times New Roman"/>
        </w:rPr>
        <w:t>.</w:t>
      </w:r>
      <w:r w:rsidR="003B0BCA" w:rsidRPr="007A7C51">
        <w:rPr>
          <w:rFonts w:cs="Times New Roman"/>
        </w:rPr>
        <w:fldChar w:fldCharType="begin">
          <w:fldData xml:space="preserve">PEVuZE5vdGU+PENpdGU+PEF1dGhvcj5PbHNlbjwvQXV0aG9yPjxZZWFyPjIwMDU8L1llYXI+PFJl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==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PEVuZE5vdGU+PENpdGU+PEF1dGhvcj5PbHNlbjwvQXV0aG9yPjxZZWFyPjIwMDU8L1llYXI+PFJl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==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3B0BCA" w:rsidRPr="007A7C51">
        <w:rPr>
          <w:rFonts w:cs="Times New Roman"/>
        </w:rPr>
      </w:r>
      <w:r w:rsidR="003B0BCA" w:rsidRPr="007A7C51">
        <w:rPr>
          <w:rFonts w:cs="Times New Roman"/>
        </w:rPr>
        <w:fldChar w:fldCharType="separate"/>
      </w:r>
      <w:r w:rsidR="0076576E" w:rsidRPr="0076576E">
        <w:rPr>
          <w:rFonts w:cs="Times New Roman"/>
          <w:noProof/>
          <w:vertAlign w:val="superscript"/>
        </w:rPr>
        <w:t>89</w:t>
      </w:r>
      <w:r w:rsidR="003B0BCA" w:rsidRPr="007A7C51">
        <w:rPr>
          <w:rFonts w:cs="Times New Roman"/>
        </w:rPr>
        <w:fldChar w:fldCharType="end"/>
      </w:r>
      <w:r w:rsidR="0064302A">
        <w:rPr>
          <w:rFonts w:cs="Times New Roman"/>
        </w:rPr>
        <w:t xml:space="preserve"> </w:t>
      </w:r>
      <w:r w:rsidR="00FF62E2">
        <w:rPr>
          <w:rFonts w:cs="Times New Roman"/>
        </w:rPr>
        <w:t>This review</w:t>
      </w:r>
      <w:r w:rsidR="0064302A">
        <w:rPr>
          <w:rFonts w:cs="Times New Roman"/>
        </w:rPr>
        <w:t xml:space="preserve"> includes the </w:t>
      </w:r>
      <w:r w:rsidR="0065763F">
        <w:rPr>
          <w:rFonts w:cs="Times New Roman"/>
        </w:rPr>
        <w:t xml:space="preserve">cross-sectional </w:t>
      </w:r>
      <w:r w:rsidR="0064302A">
        <w:rPr>
          <w:rFonts w:cs="Times New Roman"/>
        </w:rPr>
        <w:t xml:space="preserve">study by Hilton </w:t>
      </w:r>
      <w:r w:rsidR="00B301D6" w:rsidRPr="00B301D6">
        <w:rPr>
          <w:rFonts w:cs="Times New Roman"/>
          <w:i/>
        </w:rPr>
        <w:t>et al</w:t>
      </w:r>
      <w:r w:rsidR="0064302A">
        <w:rPr>
          <w:rFonts w:cs="Times New Roman"/>
        </w:rPr>
        <w:t xml:space="preserve"> (2004)</w:t>
      </w:r>
      <w:r w:rsidR="00FF62E2">
        <w:rPr>
          <w:rFonts w:cs="Times New Roman"/>
        </w:rPr>
        <w:t xml:space="preserve"> which </w:t>
      </w:r>
      <w:r w:rsidR="0064302A">
        <w:rPr>
          <w:rFonts w:cs="Times New Roman"/>
        </w:rPr>
        <w:t>estimated the prevalence</w:t>
      </w:r>
      <w:r w:rsidR="0065763F">
        <w:rPr>
          <w:rFonts w:cs="Times New Roman"/>
        </w:rPr>
        <w:t xml:space="preserve"> in the sample population to be 120 per million from 11,228 appendices.</w:t>
      </w:r>
      <w:r w:rsidR="0064302A">
        <w:rPr>
          <w:rFonts w:cs="Times New Roman"/>
        </w:rPr>
        <w:t xml:space="preserve"> </w:t>
      </w:r>
    </w:p>
    <w:p w14:paraId="196C013F" w14:textId="77777777" w:rsidR="00BC0130" w:rsidRDefault="00BC0130" w:rsidP="007B6334">
      <w:bookmarkStart w:id="41" w:name="_Ref505349969"/>
    </w:p>
    <w:p w14:paraId="29E41CF6" w14:textId="77777777" w:rsidR="007B6334" w:rsidRDefault="007B6334">
      <w:pPr>
        <w:spacing w:after="160" w:line="259" w:lineRule="auto"/>
        <w:rPr>
          <w:rFonts w:cs="Times New Roman"/>
          <w:b/>
          <w:iCs/>
          <w:sz w:val="24"/>
          <w:szCs w:val="24"/>
        </w:rPr>
      </w:pPr>
      <w:r>
        <w:rPr>
          <w:rFonts w:cs="Times New Roman"/>
          <w:sz w:val="24"/>
          <w:szCs w:val="24"/>
        </w:rPr>
        <w:br w:type="page"/>
      </w:r>
    </w:p>
    <w:p w14:paraId="132975D8" w14:textId="358647C8" w:rsidR="00E247B9" w:rsidRPr="00A20906" w:rsidRDefault="00E247B9" w:rsidP="00622C6B">
      <w:pPr>
        <w:pStyle w:val="Caption"/>
        <w:keepNext/>
        <w:spacing w:after="120" w:line="360" w:lineRule="auto"/>
        <w:ind w:left="1440" w:hanging="1440"/>
        <w:jc w:val="both"/>
        <w:rPr>
          <w:rFonts w:cs="Times New Roman"/>
          <w:szCs w:val="22"/>
        </w:rPr>
      </w:pPr>
      <w:bookmarkStart w:id="42" w:name="_Toc525106691"/>
      <w:r w:rsidRPr="00A20906">
        <w:rPr>
          <w:rFonts w:cs="Times New Roman"/>
          <w:szCs w:val="22"/>
        </w:rPr>
        <w:t xml:space="preserve">Table </w:t>
      </w:r>
      <w:r w:rsidR="00CB0F41" w:rsidRPr="00A20906">
        <w:rPr>
          <w:rFonts w:cs="Times New Roman"/>
          <w:szCs w:val="22"/>
        </w:rPr>
        <w:fldChar w:fldCharType="begin"/>
      </w:r>
      <w:r w:rsidR="00CB0F41" w:rsidRPr="00A20906">
        <w:rPr>
          <w:rFonts w:cs="Times New Roman"/>
          <w:szCs w:val="22"/>
        </w:rPr>
        <w:instrText xml:space="preserve"> SEQ Table \* ARABIC </w:instrText>
      </w:r>
      <w:r w:rsidR="00CB0F41" w:rsidRPr="00A20906">
        <w:rPr>
          <w:rFonts w:cs="Times New Roman"/>
          <w:szCs w:val="22"/>
        </w:rPr>
        <w:fldChar w:fldCharType="separate"/>
      </w:r>
      <w:r w:rsidR="00690541">
        <w:rPr>
          <w:rFonts w:cs="Times New Roman"/>
          <w:noProof/>
          <w:szCs w:val="22"/>
        </w:rPr>
        <w:t>4</w:t>
      </w:r>
      <w:r w:rsidR="00CB0F41" w:rsidRPr="00A20906">
        <w:rPr>
          <w:rFonts w:cs="Times New Roman"/>
          <w:noProof/>
          <w:szCs w:val="22"/>
        </w:rPr>
        <w:fldChar w:fldCharType="end"/>
      </w:r>
      <w:bookmarkEnd w:id="41"/>
      <w:r w:rsidRPr="00A20906">
        <w:rPr>
          <w:rFonts w:cs="Times New Roman"/>
          <w:szCs w:val="22"/>
        </w:rPr>
        <w:t>:</w:t>
      </w:r>
      <w:r w:rsidR="00622C6B" w:rsidRPr="00A20906">
        <w:rPr>
          <w:rFonts w:cs="Times New Roman"/>
          <w:szCs w:val="22"/>
        </w:rPr>
        <w:tab/>
      </w:r>
      <w:r w:rsidRPr="00A20906">
        <w:rPr>
          <w:rFonts w:cs="Times New Roman"/>
          <w:szCs w:val="22"/>
        </w:rPr>
        <w:t>Studies estimating the prevalence of CJD from peripheral tissue samples</w:t>
      </w:r>
      <w:r w:rsidR="0065763F" w:rsidRPr="00A20906">
        <w:rPr>
          <w:rFonts w:cs="Times New Roman"/>
          <w:szCs w:val="22"/>
        </w:rPr>
        <w:t>, published after 2005</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593"/>
        <w:gridCol w:w="1716"/>
        <w:gridCol w:w="2464"/>
        <w:gridCol w:w="1998"/>
      </w:tblGrid>
      <w:tr w:rsidR="00DD19A8" w:rsidRPr="007A7C51" w14:paraId="4469F25E" w14:textId="77777777" w:rsidTr="00931EC4">
        <w:tc>
          <w:tcPr>
            <w:tcW w:w="1245" w:type="dxa"/>
          </w:tcPr>
          <w:p w14:paraId="21449D09" w14:textId="7E058A82" w:rsidR="00142676" w:rsidRPr="007A7C51" w:rsidRDefault="009A625B" w:rsidP="00622C6B">
            <w:pPr>
              <w:autoSpaceDE w:val="0"/>
              <w:autoSpaceDN w:val="0"/>
              <w:adjustRightInd w:val="0"/>
              <w:spacing w:after="120" w:line="240" w:lineRule="auto"/>
              <w:jc w:val="both"/>
              <w:rPr>
                <w:rFonts w:cs="Times New Roman"/>
              </w:rPr>
            </w:pPr>
            <w:r w:rsidRPr="007A7C51">
              <w:rPr>
                <w:rFonts w:cs="Times New Roman"/>
              </w:rPr>
              <w:t>Study</w:t>
            </w:r>
          </w:p>
        </w:tc>
        <w:tc>
          <w:tcPr>
            <w:tcW w:w="1593" w:type="dxa"/>
          </w:tcPr>
          <w:p w14:paraId="60492D45" w14:textId="7740D3CA" w:rsidR="00142676" w:rsidRPr="007A7C51" w:rsidRDefault="009A625B" w:rsidP="00622C6B">
            <w:pPr>
              <w:autoSpaceDE w:val="0"/>
              <w:autoSpaceDN w:val="0"/>
              <w:adjustRightInd w:val="0"/>
              <w:spacing w:after="120" w:line="240" w:lineRule="auto"/>
              <w:jc w:val="both"/>
              <w:rPr>
                <w:rFonts w:cs="Times New Roman"/>
              </w:rPr>
            </w:pPr>
            <w:r w:rsidRPr="007A7C51">
              <w:rPr>
                <w:rFonts w:cs="Times New Roman"/>
              </w:rPr>
              <w:t>Design</w:t>
            </w:r>
          </w:p>
        </w:tc>
        <w:tc>
          <w:tcPr>
            <w:tcW w:w="1716" w:type="dxa"/>
          </w:tcPr>
          <w:p w14:paraId="725AA973" w14:textId="5A41A4F5" w:rsidR="00142676" w:rsidRPr="007A7C51" w:rsidRDefault="009A625B" w:rsidP="00622C6B">
            <w:pPr>
              <w:autoSpaceDE w:val="0"/>
              <w:autoSpaceDN w:val="0"/>
              <w:adjustRightInd w:val="0"/>
              <w:spacing w:after="120" w:line="240" w:lineRule="auto"/>
              <w:jc w:val="both"/>
              <w:rPr>
                <w:rFonts w:cs="Times New Roman"/>
              </w:rPr>
            </w:pPr>
            <w:r w:rsidRPr="007A7C51">
              <w:rPr>
                <w:rFonts w:cs="Times New Roman"/>
              </w:rPr>
              <w:t>No. samples</w:t>
            </w:r>
          </w:p>
        </w:tc>
        <w:tc>
          <w:tcPr>
            <w:tcW w:w="2464" w:type="dxa"/>
          </w:tcPr>
          <w:p w14:paraId="1B238482" w14:textId="46556E5E" w:rsidR="00142676" w:rsidRPr="007A7C51" w:rsidRDefault="009A625B" w:rsidP="00622C6B">
            <w:pPr>
              <w:autoSpaceDE w:val="0"/>
              <w:autoSpaceDN w:val="0"/>
              <w:adjustRightInd w:val="0"/>
              <w:spacing w:after="120" w:line="240" w:lineRule="auto"/>
              <w:jc w:val="both"/>
              <w:rPr>
                <w:rFonts w:cs="Times New Roman"/>
              </w:rPr>
            </w:pPr>
            <w:r w:rsidRPr="007A7C51">
              <w:rPr>
                <w:rFonts w:cs="Times New Roman"/>
              </w:rPr>
              <w:t>Predicted/estimated prevalence</w:t>
            </w:r>
          </w:p>
        </w:tc>
        <w:tc>
          <w:tcPr>
            <w:tcW w:w="1998" w:type="dxa"/>
          </w:tcPr>
          <w:p w14:paraId="3C9F4013" w14:textId="7B266F33" w:rsidR="00142676" w:rsidRPr="007A7C51" w:rsidRDefault="009A625B" w:rsidP="00622C6B">
            <w:pPr>
              <w:autoSpaceDE w:val="0"/>
              <w:autoSpaceDN w:val="0"/>
              <w:adjustRightInd w:val="0"/>
              <w:spacing w:after="120" w:line="240" w:lineRule="auto"/>
              <w:jc w:val="both"/>
              <w:rPr>
                <w:rFonts w:cs="Times New Roman"/>
              </w:rPr>
            </w:pPr>
            <w:r w:rsidRPr="007A7C51">
              <w:rPr>
                <w:rFonts w:cs="Times New Roman"/>
              </w:rPr>
              <w:t>Description of estimation</w:t>
            </w:r>
          </w:p>
        </w:tc>
      </w:tr>
      <w:tr w:rsidR="00DD19A8" w:rsidRPr="007A7C51" w14:paraId="2F489AAA" w14:textId="77777777" w:rsidTr="00931EC4">
        <w:tc>
          <w:tcPr>
            <w:tcW w:w="1245" w:type="dxa"/>
          </w:tcPr>
          <w:p w14:paraId="23EAAC3B" w14:textId="79A70BA7" w:rsidR="00DD19A8" w:rsidRPr="007A7C51" w:rsidRDefault="00DD19A8" w:rsidP="0076576E">
            <w:pPr>
              <w:autoSpaceDE w:val="0"/>
              <w:autoSpaceDN w:val="0"/>
              <w:adjustRightInd w:val="0"/>
              <w:spacing w:after="120" w:line="240" w:lineRule="auto"/>
              <w:jc w:val="both"/>
              <w:rPr>
                <w:rFonts w:cs="Times New Roman"/>
              </w:rPr>
            </w:pPr>
            <w:r w:rsidRPr="007A7C51">
              <w:rPr>
                <w:rFonts w:cs="Times New Roman"/>
              </w:rPr>
              <w:t xml:space="preserve">Gill </w:t>
            </w:r>
            <w:r w:rsidR="00B301D6" w:rsidRPr="00B301D6">
              <w:rPr>
                <w:rFonts w:cs="Times New Roman"/>
                <w:i/>
              </w:rPr>
              <w:t>et al</w:t>
            </w:r>
            <w:r w:rsidRPr="007A7C51">
              <w:rPr>
                <w:rFonts w:cs="Times New Roman"/>
              </w:rPr>
              <w:t xml:space="preserve"> 2013</w:t>
            </w:r>
            <w:r w:rsidR="00826471" w:rsidRPr="007A7C51">
              <w:rPr>
                <w:rFonts w:cs="Times New Roman"/>
              </w:rPr>
              <w:fldChar w:fldCharType="begin"/>
            </w:r>
            <w:r w:rsidR="0076576E">
              <w:rPr>
                <w:rFonts w:cs="Times New Roman"/>
              </w:rPr>
              <w:instrText xml:space="preserve"> ADDIN EN.CITE &lt;EndNote&gt;&lt;Cite&gt;&lt;Author&gt;Gill&lt;/Author&gt;&lt;Year&gt;2013&lt;/Year&gt;&lt;RecNum&gt;947&lt;/RecNum&gt;&lt;DisplayText&gt;&lt;style face="superscript"&gt;88&lt;/style&gt;&lt;/DisplayText&gt;&lt;record&gt;&lt;rec-number&gt;947&lt;/rec-number&gt;&lt;foreign-keys&gt;&lt;key app="EN" db-id="vrp0pptazv05wtesfz5vrzsj2p0rv09ttsa9" timestamp="1499838947" guid="60c5efa0-3f94-49a0-a94c-5b0d68b032b8"&gt;947&lt;/key&gt;&lt;/foreign-keys&gt;&lt;ref-type name="Journal Article"&gt;17&lt;/ref-type&gt;&lt;contributors&gt;&lt;authors&gt;&lt;author&gt;Gill, O Noel&lt;/author&gt;&lt;author&gt;Spencer, Yvonne&lt;/author&gt;&lt;author&gt;Richard-Loendt, Angela&lt;/author&gt;&lt;author&gt;Kelly, Carole&lt;/author&gt;&lt;author&gt;Dabaghian, Reza&lt;/author&gt;&lt;author&gt;Boyes, Lynnette&lt;/author&gt;&lt;author&gt;Linehan, Jacqueline&lt;/author&gt;&lt;author&gt;Simmons, Marion&lt;/author&gt;&lt;author&gt;Webb, Paul&lt;/author&gt;&lt;author&gt;Bellerby, Peter&lt;/author&gt;&lt;/authors&gt;&lt;/contributors&gt;&lt;titles&gt;&lt;title&gt;Prevalent abnormal prion protein in human appendixes after bovine spongiform encephalopathy epizootic: large scale survey&lt;/title&gt;&lt;secondary-title&gt;Bmj&lt;/secondary-title&gt;&lt;/titles&gt;&lt;periodical&gt;&lt;full-title&gt;Bmj&lt;/full-title&gt;&lt;/periodical&gt;&lt;pages&gt;f5675&lt;/pages&gt;&lt;volume&gt;347&lt;/volume&gt;&lt;keywords&gt;&lt;keyword&gt;$$Committee recommended&lt;/keyword&gt;&lt;/keywords&gt;&lt;dates&gt;&lt;year&gt;2013&lt;/year&gt;&lt;/dates&gt;&lt;isbn&gt;1756-1833&lt;/isbn&gt;&lt;urls&gt;&lt;related-urls&gt;&lt;url&gt;&lt;style face="underline" font="default" size="100%"&gt;http://www.bmj.com/content/347/bmj.f5675.full&lt;/style&gt;&lt;/url&gt;&lt;/related-urls&gt;&lt;/urls&gt;&lt;access-date&gt;11.07.2017&lt;/access-date&gt;&lt;/record&gt;&lt;/Cite&gt;&lt;/EndNote&gt;</w:instrText>
            </w:r>
            <w:r w:rsidR="00826471" w:rsidRPr="007A7C51">
              <w:rPr>
                <w:rFonts w:cs="Times New Roman"/>
              </w:rPr>
              <w:fldChar w:fldCharType="separate"/>
            </w:r>
            <w:r w:rsidR="0076576E" w:rsidRPr="0076576E">
              <w:rPr>
                <w:rFonts w:cs="Times New Roman"/>
                <w:noProof/>
                <w:vertAlign w:val="superscript"/>
              </w:rPr>
              <w:t>88</w:t>
            </w:r>
            <w:r w:rsidR="00826471" w:rsidRPr="007A7C51">
              <w:rPr>
                <w:rFonts w:cs="Times New Roman"/>
              </w:rPr>
              <w:fldChar w:fldCharType="end"/>
            </w:r>
          </w:p>
        </w:tc>
        <w:tc>
          <w:tcPr>
            <w:tcW w:w="1593" w:type="dxa"/>
          </w:tcPr>
          <w:p w14:paraId="7CDE0C00" w14:textId="1F9CF903" w:rsidR="00DD19A8" w:rsidRPr="007A7C51" w:rsidRDefault="00DD19A8" w:rsidP="00622C6B">
            <w:pPr>
              <w:autoSpaceDE w:val="0"/>
              <w:autoSpaceDN w:val="0"/>
              <w:adjustRightInd w:val="0"/>
              <w:spacing w:after="120" w:line="240" w:lineRule="auto"/>
              <w:jc w:val="both"/>
              <w:rPr>
                <w:rFonts w:cs="Times New Roman"/>
                <w:color w:val="000000"/>
              </w:rPr>
            </w:pPr>
            <w:r w:rsidRPr="007A7C51">
              <w:rPr>
                <w:rFonts w:cs="Times New Roman"/>
                <w:color w:val="000000"/>
              </w:rPr>
              <w:t>UK histological analysis of appendix samples from the 1941-60 and 1961-85 birth cohorts</w:t>
            </w:r>
          </w:p>
        </w:tc>
        <w:tc>
          <w:tcPr>
            <w:tcW w:w="1716" w:type="dxa"/>
          </w:tcPr>
          <w:p w14:paraId="6D7F6185" w14:textId="5F246C40" w:rsidR="00DD19A8" w:rsidRPr="007A7C51" w:rsidRDefault="00DD19A8" w:rsidP="00622C6B">
            <w:pPr>
              <w:spacing w:after="120" w:line="240" w:lineRule="auto"/>
              <w:jc w:val="both"/>
              <w:rPr>
                <w:rFonts w:cs="Times New Roman"/>
                <w:color w:val="000000"/>
              </w:rPr>
            </w:pPr>
            <w:r w:rsidRPr="007A7C51">
              <w:rPr>
                <w:rFonts w:cs="Times New Roman"/>
                <w:color w:val="000000"/>
              </w:rPr>
              <w:t>32</w:t>
            </w:r>
            <w:r w:rsidR="00CB0F41" w:rsidRPr="007A7C51">
              <w:rPr>
                <w:rFonts w:cs="Times New Roman"/>
                <w:color w:val="000000"/>
              </w:rPr>
              <w:t>,</w:t>
            </w:r>
            <w:r w:rsidRPr="007A7C51">
              <w:rPr>
                <w:rFonts w:cs="Times New Roman"/>
                <w:color w:val="000000"/>
              </w:rPr>
              <w:t>441</w:t>
            </w:r>
          </w:p>
        </w:tc>
        <w:tc>
          <w:tcPr>
            <w:tcW w:w="2464" w:type="dxa"/>
          </w:tcPr>
          <w:p w14:paraId="343E3361" w14:textId="78EC1B13" w:rsidR="00DD19A8" w:rsidRPr="001D1C67" w:rsidRDefault="00DD19A8" w:rsidP="00F95E8C">
            <w:pPr>
              <w:autoSpaceDE w:val="0"/>
              <w:autoSpaceDN w:val="0"/>
              <w:adjustRightInd w:val="0"/>
              <w:spacing w:after="120" w:line="240" w:lineRule="auto"/>
              <w:jc w:val="both"/>
              <w:rPr>
                <w:rFonts w:cs="Times New Roman"/>
                <w:color w:val="000000"/>
                <w:lang w:val="it-IT"/>
              </w:rPr>
            </w:pPr>
            <w:r w:rsidRPr="001D1C67">
              <w:rPr>
                <w:rFonts w:cs="Times New Roman"/>
                <w:color w:val="000000"/>
                <w:lang w:val="it-IT"/>
              </w:rPr>
              <w:t>1 in 2000 or 493 per million 9 (95%</w:t>
            </w:r>
            <w:r w:rsidR="00F95E8C">
              <w:rPr>
                <w:rFonts w:cs="Times New Roman"/>
                <w:color w:val="000000"/>
                <w:lang w:val="it-IT"/>
              </w:rPr>
              <w:t xml:space="preserve"> </w:t>
            </w:r>
            <w:r w:rsidR="00FF62E2" w:rsidRPr="001D1C67">
              <w:rPr>
                <w:rFonts w:cs="Times New Roman"/>
                <w:color w:val="000000"/>
                <w:lang w:val="it-IT"/>
              </w:rPr>
              <w:t>CI</w:t>
            </w:r>
            <w:r w:rsidR="00F95E8C">
              <w:rPr>
                <w:rFonts w:cs="Times New Roman"/>
                <w:color w:val="000000"/>
                <w:lang w:val="it-IT"/>
              </w:rPr>
              <w:t xml:space="preserve"> </w:t>
            </w:r>
            <w:r w:rsidR="00FF62E2" w:rsidRPr="001D1C67">
              <w:rPr>
                <w:rFonts w:cs="Times New Roman"/>
                <w:color w:val="000000"/>
                <w:lang w:val="it-IT"/>
              </w:rPr>
              <w:t xml:space="preserve"> </w:t>
            </w:r>
            <w:r w:rsidR="000C5770" w:rsidRPr="001D1C67">
              <w:rPr>
                <w:rFonts w:cs="Times New Roman"/>
                <w:color w:val="000000"/>
                <w:lang w:val="it-IT"/>
              </w:rPr>
              <w:t>282 to 801 per million)</w:t>
            </w:r>
          </w:p>
          <w:p w14:paraId="5FF14AB2" w14:textId="4D4B5007" w:rsidR="00DD19A8" w:rsidRPr="001D1C67" w:rsidRDefault="000C5770" w:rsidP="00622C6B">
            <w:pPr>
              <w:autoSpaceDE w:val="0"/>
              <w:autoSpaceDN w:val="0"/>
              <w:adjustRightInd w:val="0"/>
              <w:spacing w:after="120" w:line="240" w:lineRule="auto"/>
              <w:jc w:val="both"/>
              <w:rPr>
                <w:rFonts w:cs="Times New Roman"/>
                <w:color w:val="000000"/>
                <w:lang w:val="it-IT"/>
              </w:rPr>
            </w:pPr>
            <w:r w:rsidRPr="001D1C67">
              <w:rPr>
                <w:rFonts w:cs="Times New Roman"/>
                <w:color w:val="000000"/>
                <w:lang w:val="it-IT"/>
              </w:rPr>
              <w:t>1941-60 = 733 per million</w:t>
            </w:r>
            <w:r w:rsidR="00430D20" w:rsidRPr="001D1C67">
              <w:rPr>
                <w:rFonts w:cs="Times New Roman"/>
                <w:color w:val="000000"/>
                <w:lang w:val="it-IT"/>
              </w:rPr>
              <w:t xml:space="preserve"> (</w:t>
            </w:r>
            <w:r w:rsidR="00FF62E2" w:rsidRPr="001D1C67">
              <w:rPr>
                <w:rFonts w:cs="Times New Roman"/>
                <w:color w:val="000000"/>
                <w:lang w:val="it-IT"/>
              </w:rPr>
              <w:t xml:space="preserve">95% CI </w:t>
            </w:r>
            <w:r w:rsidR="00430D20" w:rsidRPr="001D1C67">
              <w:rPr>
                <w:rFonts w:cs="Times New Roman"/>
                <w:color w:val="000000"/>
                <w:lang w:val="it-IT"/>
              </w:rPr>
              <w:t>269-1596 per million)</w:t>
            </w:r>
          </w:p>
          <w:p w14:paraId="4ACD1F88" w14:textId="52649DB4" w:rsidR="00DD19A8" w:rsidRPr="001D1C67" w:rsidRDefault="00DD19A8" w:rsidP="00622C6B">
            <w:pPr>
              <w:autoSpaceDE w:val="0"/>
              <w:autoSpaceDN w:val="0"/>
              <w:adjustRightInd w:val="0"/>
              <w:spacing w:after="120" w:line="240" w:lineRule="auto"/>
              <w:jc w:val="both"/>
              <w:rPr>
                <w:rFonts w:cs="Times New Roman"/>
                <w:color w:val="000000"/>
                <w:lang w:val="it-IT"/>
              </w:rPr>
            </w:pPr>
            <w:r w:rsidRPr="001D1C67">
              <w:rPr>
                <w:rFonts w:cs="Times New Roman"/>
                <w:color w:val="000000"/>
                <w:lang w:val="it-IT"/>
              </w:rPr>
              <w:t>1961-85 = 412 per million</w:t>
            </w:r>
            <w:r w:rsidR="00430D20" w:rsidRPr="001D1C67">
              <w:rPr>
                <w:rFonts w:cs="Times New Roman"/>
                <w:color w:val="000000"/>
                <w:lang w:val="it-IT"/>
              </w:rPr>
              <w:t xml:space="preserve"> (</w:t>
            </w:r>
            <w:r w:rsidR="00FF62E2" w:rsidRPr="001D1C67">
              <w:rPr>
                <w:rFonts w:cs="Times New Roman"/>
                <w:color w:val="000000"/>
                <w:lang w:val="it-IT"/>
              </w:rPr>
              <w:t xml:space="preserve">95% CI </w:t>
            </w:r>
            <w:r w:rsidR="00430D20" w:rsidRPr="001D1C67">
              <w:rPr>
                <w:rFonts w:cs="Times New Roman"/>
                <w:color w:val="000000"/>
                <w:lang w:val="it-IT"/>
              </w:rPr>
              <w:t>198 – 758 per million)</w:t>
            </w:r>
          </w:p>
        </w:tc>
        <w:tc>
          <w:tcPr>
            <w:tcW w:w="1998" w:type="dxa"/>
          </w:tcPr>
          <w:p w14:paraId="69241E3C" w14:textId="5F929EE4" w:rsidR="00DD19A8" w:rsidRPr="007A7C51" w:rsidRDefault="00DD19A8" w:rsidP="00622C6B">
            <w:pPr>
              <w:autoSpaceDE w:val="0"/>
              <w:autoSpaceDN w:val="0"/>
              <w:adjustRightInd w:val="0"/>
              <w:spacing w:after="120" w:line="240" w:lineRule="auto"/>
              <w:jc w:val="both"/>
              <w:rPr>
                <w:rFonts w:cs="Times New Roman"/>
                <w:color w:val="000000"/>
              </w:rPr>
            </w:pPr>
            <w:r w:rsidRPr="007A7C51">
              <w:rPr>
                <w:rFonts w:cs="Times New Roman"/>
                <w:color w:val="000000"/>
              </w:rPr>
              <w:t>Found 16 to be positive for subclinical abnormal prion protein PrP</w:t>
            </w:r>
          </w:p>
          <w:p w14:paraId="3A3F73C2" w14:textId="760F5EDF" w:rsidR="00DD19A8" w:rsidRPr="007A7C51" w:rsidRDefault="00DD19A8" w:rsidP="00622C6B">
            <w:pPr>
              <w:autoSpaceDE w:val="0"/>
              <w:autoSpaceDN w:val="0"/>
              <w:adjustRightInd w:val="0"/>
              <w:spacing w:after="120" w:line="240" w:lineRule="auto"/>
              <w:jc w:val="both"/>
              <w:rPr>
                <w:rFonts w:cs="Times New Roman"/>
                <w:color w:val="000000"/>
              </w:rPr>
            </w:pPr>
            <w:r w:rsidRPr="007A7C51">
              <w:rPr>
                <w:rFonts w:cs="Times New Roman"/>
                <w:color w:val="000000"/>
              </w:rPr>
              <w:t>50% of the 16 positive samples were MM, 25% MV, and 25% VV</w:t>
            </w:r>
          </w:p>
        </w:tc>
      </w:tr>
      <w:tr w:rsidR="005F01F0" w:rsidRPr="007A7C51" w14:paraId="3A7022B6" w14:textId="77777777" w:rsidTr="00931EC4">
        <w:tc>
          <w:tcPr>
            <w:tcW w:w="1245" w:type="dxa"/>
          </w:tcPr>
          <w:p w14:paraId="2CBC29B9" w14:textId="245D0C39" w:rsidR="005F01F0" w:rsidRPr="007A7C51" w:rsidRDefault="005F01F0" w:rsidP="0076576E">
            <w:pPr>
              <w:autoSpaceDE w:val="0"/>
              <w:autoSpaceDN w:val="0"/>
              <w:adjustRightInd w:val="0"/>
              <w:spacing w:after="120" w:line="240" w:lineRule="auto"/>
              <w:jc w:val="both"/>
              <w:rPr>
                <w:rFonts w:cs="Times New Roman"/>
              </w:rPr>
            </w:pPr>
            <w:r w:rsidRPr="007A7C51">
              <w:rPr>
                <w:rFonts w:cs="Times New Roman"/>
              </w:rPr>
              <w:t xml:space="preserve">De Marco </w:t>
            </w:r>
            <w:r w:rsidR="00B301D6" w:rsidRPr="00B301D6">
              <w:rPr>
                <w:rFonts w:cs="Times New Roman"/>
                <w:i/>
              </w:rPr>
              <w:t>et al</w:t>
            </w:r>
            <w:r w:rsidRPr="007A7C51">
              <w:rPr>
                <w:rFonts w:cs="Times New Roman"/>
              </w:rPr>
              <w:t xml:space="preserve"> 2010</w:t>
            </w:r>
            <w:r w:rsidRPr="007A7C51">
              <w:rPr>
                <w:rFonts w:cs="Times New Roman"/>
              </w:rPr>
              <w:fldChar w:fldCharType="begin">
                <w:fldData xml:space="preserve">PEVuZE5vdGU+PENpdGU+PEF1dGhvcj5kZSBNYXJjbzwvQXV0aG9yPjxZZWFyPjIwMTA8L1llYXI+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PEVuZE5vdGU+PENpdGU+PEF1dGhvcj5kZSBNYXJjbzwvQXV0aG9yPjxZZWFyPjIwMTA8L1llYXI+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90</w:t>
            </w:r>
            <w:r w:rsidRPr="007A7C51">
              <w:rPr>
                <w:rFonts w:cs="Times New Roman"/>
              </w:rPr>
              <w:fldChar w:fldCharType="end"/>
            </w:r>
          </w:p>
        </w:tc>
        <w:tc>
          <w:tcPr>
            <w:tcW w:w="1593" w:type="dxa"/>
          </w:tcPr>
          <w:p w14:paraId="49996C5B" w14:textId="4D0100AF" w:rsidR="005F01F0" w:rsidRPr="007A7C51" w:rsidRDefault="00FF62E2" w:rsidP="00622C6B">
            <w:pPr>
              <w:autoSpaceDE w:val="0"/>
              <w:autoSpaceDN w:val="0"/>
              <w:adjustRightInd w:val="0"/>
              <w:spacing w:after="120" w:line="240" w:lineRule="auto"/>
              <w:jc w:val="both"/>
              <w:rPr>
                <w:rFonts w:cs="Times New Roman"/>
              </w:rPr>
            </w:pPr>
            <w:r>
              <w:rPr>
                <w:rFonts w:cs="Times New Roman"/>
                <w:color w:val="000000"/>
              </w:rPr>
              <w:t xml:space="preserve">Two </w:t>
            </w:r>
            <w:r w:rsidR="005F01F0" w:rsidRPr="007A7C51">
              <w:rPr>
                <w:rFonts w:cs="Times New Roman"/>
                <w:color w:val="000000"/>
              </w:rPr>
              <w:t>estimation</w:t>
            </w:r>
            <w:r>
              <w:rPr>
                <w:rFonts w:cs="Times New Roman"/>
                <w:color w:val="000000"/>
              </w:rPr>
              <w:t>s</w:t>
            </w:r>
            <w:r w:rsidR="005F01F0" w:rsidRPr="007A7C51">
              <w:rPr>
                <w:rFonts w:cs="Times New Roman"/>
                <w:color w:val="000000"/>
              </w:rPr>
              <w:t xml:space="preserve"> based on </w:t>
            </w:r>
            <w:r>
              <w:rPr>
                <w:rFonts w:cs="Times New Roman"/>
                <w:color w:val="000000"/>
              </w:rPr>
              <w:t xml:space="preserve">UK </w:t>
            </w:r>
            <w:r w:rsidR="005F01F0" w:rsidRPr="007A7C51">
              <w:rPr>
                <w:rFonts w:cs="Times New Roman"/>
                <w:color w:val="000000"/>
              </w:rPr>
              <w:t>tonsil tissue samples from the 1961-1985 birth cohort</w:t>
            </w:r>
          </w:p>
        </w:tc>
        <w:tc>
          <w:tcPr>
            <w:tcW w:w="1716" w:type="dxa"/>
          </w:tcPr>
          <w:p w14:paraId="1DDECA35" w14:textId="100328AA" w:rsidR="005F01F0" w:rsidRPr="007A7C51" w:rsidRDefault="005E286B" w:rsidP="00622C6B">
            <w:pPr>
              <w:spacing w:after="120" w:line="240" w:lineRule="auto"/>
              <w:jc w:val="both"/>
              <w:rPr>
                <w:rFonts w:cs="Times New Roman"/>
                <w:color w:val="000000"/>
              </w:rPr>
            </w:pPr>
            <w:r w:rsidRPr="007A7C51">
              <w:rPr>
                <w:rFonts w:cs="Times New Roman"/>
                <w:color w:val="000000"/>
              </w:rPr>
              <w:t>10,075</w:t>
            </w:r>
          </w:p>
        </w:tc>
        <w:tc>
          <w:tcPr>
            <w:tcW w:w="2464" w:type="dxa"/>
          </w:tcPr>
          <w:p w14:paraId="0700235B" w14:textId="2ABFAF83" w:rsidR="005F01F0" w:rsidRPr="001D1C67" w:rsidRDefault="0064302A" w:rsidP="00622C6B">
            <w:pPr>
              <w:autoSpaceDE w:val="0"/>
              <w:autoSpaceDN w:val="0"/>
              <w:adjustRightInd w:val="0"/>
              <w:spacing w:after="120" w:line="240" w:lineRule="auto"/>
              <w:jc w:val="both"/>
              <w:rPr>
                <w:rFonts w:cs="Times New Roman"/>
                <w:color w:val="000000"/>
                <w:lang w:val="it-IT"/>
              </w:rPr>
            </w:pPr>
            <w:r w:rsidRPr="001D1C67">
              <w:rPr>
                <w:rFonts w:cs="Times New Roman"/>
                <w:color w:val="000000"/>
                <w:lang w:val="it-IT"/>
              </w:rPr>
              <w:t>High</w:t>
            </w:r>
            <w:r w:rsidR="005F01F0" w:rsidRPr="001D1C67">
              <w:rPr>
                <w:rFonts w:cs="Times New Roman"/>
                <w:color w:val="000000"/>
                <w:lang w:val="it-IT"/>
              </w:rPr>
              <w:t>: 109 per million (</w:t>
            </w:r>
            <w:r w:rsidR="00FF62E2" w:rsidRPr="001D1C67">
              <w:rPr>
                <w:rFonts w:cs="Times New Roman"/>
                <w:color w:val="000000"/>
                <w:lang w:val="it-IT"/>
              </w:rPr>
              <w:t xml:space="preserve">95% CI </w:t>
            </w:r>
            <w:r w:rsidR="005F01F0" w:rsidRPr="001D1C67">
              <w:rPr>
                <w:rFonts w:cs="Times New Roman"/>
                <w:color w:val="000000"/>
                <w:lang w:val="it-IT"/>
              </w:rPr>
              <w:t>3-608 per million)</w:t>
            </w:r>
            <w:r w:rsidR="005F01F0" w:rsidRPr="001D1C67">
              <w:rPr>
                <w:rFonts w:cs="Times New Roman"/>
                <w:color w:val="000000"/>
                <w:lang w:val="it-IT"/>
              </w:rPr>
              <w:br/>
            </w:r>
          </w:p>
          <w:p w14:paraId="2B591434" w14:textId="26CC2AA7" w:rsidR="005F01F0" w:rsidRPr="007A7C51" w:rsidRDefault="0064302A" w:rsidP="00622C6B">
            <w:pPr>
              <w:autoSpaceDE w:val="0"/>
              <w:autoSpaceDN w:val="0"/>
              <w:adjustRightInd w:val="0"/>
              <w:spacing w:after="120" w:line="240" w:lineRule="auto"/>
              <w:jc w:val="both"/>
              <w:rPr>
                <w:rFonts w:cs="Times New Roman"/>
              </w:rPr>
            </w:pPr>
            <w:r w:rsidRPr="007A7C51">
              <w:rPr>
                <w:rFonts w:cs="Times New Roman"/>
                <w:color w:val="000000"/>
              </w:rPr>
              <w:t>Low</w:t>
            </w:r>
            <w:r w:rsidR="005F01F0" w:rsidRPr="007A7C51">
              <w:rPr>
                <w:rFonts w:cs="Times New Roman"/>
                <w:color w:val="000000"/>
              </w:rPr>
              <w:t xml:space="preserve">: </w:t>
            </w:r>
            <w:r w:rsidR="00430D20">
              <w:rPr>
                <w:rFonts w:cs="Times New Roman"/>
                <w:color w:val="000000"/>
              </w:rPr>
              <w:t>0 per million (</w:t>
            </w:r>
            <w:r w:rsidR="00FF62E2">
              <w:rPr>
                <w:rFonts w:cs="Times New Roman"/>
                <w:color w:val="000000"/>
              </w:rPr>
              <w:t xml:space="preserve">95% CI </w:t>
            </w:r>
            <w:r w:rsidR="005F01F0" w:rsidRPr="007A7C51">
              <w:rPr>
                <w:rFonts w:cs="Times New Roman"/>
                <w:color w:val="000000"/>
              </w:rPr>
              <w:t>0-403 per million for the 1961-1985 cohort</w:t>
            </w:r>
            <w:r w:rsidR="00430D20">
              <w:rPr>
                <w:rFonts w:cs="Times New Roman"/>
                <w:color w:val="000000"/>
              </w:rPr>
              <w:t>)</w:t>
            </w:r>
          </w:p>
        </w:tc>
        <w:tc>
          <w:tcPr>
            <w:tcW w:w="1998" w:type="dxa"/>
          </w:tcPr>
          <w:p w14:paraId="1368E6EF" w14:textId="1649C7D8" w:rsidR="005F01F0" w:rsidRPr="007A7C51" w:rsidRDefault="005F01F0" w:rsidP="00622C6B">
            <w:pPr>
              <w:autoSpaceDE w:val="0"/>
              <w:autoSpaceDN w:val="0"/>
              <w:adjustRightInd w:val="0"/>
              <w:spacing w:after="120" w:line="240" w:lineRule="auto"/>
              <w:jc w:val="both"/>
              <w:rPr>
                <w:rFonts w:cs="Times New Roman"/>
              </w:rPr>
            </w:pPr>
            <w:r w:rsidRPr="007A7C51">
              <w:rPr>
                <w:rFonts w:cs="Times New Roman"/>
                <w:color w:val="000000"/>
              </w:rPr>
              <w:t xml:space="preserve">One specimen showed both positive and negative on further tests so </w:t>
            </w:r>
            <w:r w:rsidR="00FF62E2">
              <w:rPr>
                <w:rFonts w:cs="Times New Roman"/>
                <w:color w:val="000000"/>
              </w:rPr>
              <w:t xml:space="preserve">the 2 estimates </w:t>
            </w:r>
            <w:r w:rsidRPr="007A7C51">
              <w:rPr>
                <w:rFonts w:cs="Times New Roman"/>
                <w:color w:val="000000"/>
              </w:rPr>
              <w:t>reflect both positive and negative scenarios</w:t>
            </w:r>
          </w:p>
        </w:tc>
      </w:tr>
      <w:tr w:rsidR="005F01F0" w:rsidRPr="007A7C51" w14:paraId="4BAC516A" w14:textId="77777777" w:rsidTr="00931EC4">
        <w:tc>
          <w:tcPr>
            <w:tcW w:w="1245" w:type="dxa"/>
          </w:tcPr>
          <w:p w14:paraId="08B6E346" w14:textId="3C9D87C7" w:rsidR="005F01F0" w:rsidRPr="007A7C51" w:rsidRDefault="005F01F0" w:rsidP="0076576E">
            <w:pPr>
              <w:autoSpaceDE w:val="0"/>
              <w:autoSpaceDN w:val="0"/>
              <w:adjustRightInd w:val="0"/>
              <w:spacing w:after="120" w:line="240" w:lineRule="auto"/>
              <w:jc w:val="both"/>
              <w:rPr>
                <w:rFonts w:cs="Times New Roman"/>
              </w:rPr>
            </w:pPr>
            <w:r w:rsidRPr="007A7C51">
              <w:rPr>
                <w:rFonts w:cs="Times New Roman"/>
              </w:rPr>
              <w:t xml:space="preserve">Clewley </w:t>
            </w:r>
            <w:r w:rsidR="00B301D6" w:rsidRPr="00B301D6">
              <w:rPr>
                <w:rFonts w:cs="Times New Roman"/>
                <w:i/>
              </w:rPr>
              <w:t>et al</w:t>
            </w:r>
            <w:r w:rsidRPr="007A7C51">
              <w:rPr>
                <w:rFonts w:cs="Times New Roman"/>
              </w:rPr>
              <w:t xml:space="preserve"> 2009</w:t>
            </w:r>
            <w:r w:rsidRPr="007A7C51">
              <w:rPr>
                <w:rFonts w:cs="Times New Roman"/>
              </w:rPr>
              <w:fldChar w:fldCharType="begin">
                <w:fldData xml:space="preserve">PEVuZE5vdGU+PENpdGU+PEF1dGhvcj5DbGV3bGV5PC9BdXRob3I+PFllYXI+MjAwOTwvWWVhcj48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PEVuZE5vdGU+PENpdGU+PEF1dGhvcj5DbGV3bGV5PC9BdXRob3I+PFllYXI+MjAwOTwvWWVhcj48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7A7C51">
              <w:rPr>
                <w:rFonts w:cs="Times New Roman"/>
              </w:rPr>
            </w:r>
            <w:r w:rsidRPr="007A7C51">
              <w:rPr>
                <w:rFonts w:cs="Times New Roman"/>
              </w:rPr>
              <w:fldChar w:fldCharType="separate"/>
            </w:r>
            <w:r w:rsidR="0076576E" w:rsidRPr="0076576E">
              <w:rPr>
                <w:rFonts w:cs="Times New Roman"/>
                <w:noProof/>
                <w:vertAlign w:val="superscript"/>
              </w:rPr>
              <w:t>91</w:t>
            </w:r>
            <w:r w:rsidRPr="007A7C51">
              <w:rPr>
                <w:rFonts w:cs="Times New Roman"/>
              </w:rPr>
              <w:fldChar w:fldCharType="end"/>
            </w:r>
          </w:p>
        </w:tc>
        <w:tc>
          <w:tcPr>
            <w:tcW w:w="1593" w:type="dxa"/>
          </w:tcPr>
          <w:p w14:paraId="6B39A727" w14:textId="56B0201E" w:rsidR="005F01F0" w:rsidRPr="007A7C51" w:rsidRDefault="005F01F0" w:rsidP="00622C6B">
            <w:pPr>
              <w:autoSpaceDE w:val="0"/>
              <w:autoSpaceDN w:val="0"/>
              <w:adjustRightInd w:val="0"/>
              <w:spacing w:after="120" w:line="240" w:lineRule="auto"/>
              <w:jc w:val="both"/>
              <w:rPr>
                <w:rFonts w:cs="Times New Roman"/>
                <w:color w:val="000000"/>
              </w:rPr>
            </w:pPr>
            <w:r w:rsidRPr="007A7C51">
              <w:rPr>
                <w:rFonts w:cs="Times New Roman"/>
                <w:color w:val="000000"/>
              </w:rPr>
              <w:t xml:space="preserve">UK estimation combining tonsil tissue samples </w:t>
            </w:r>
          </w:p>
        </w:tc>
        <w:tc>
          <w:tcPr>
            <w:tcW w:w="1716" w:type="dxa"/>
          </w:tcPr>
          <w:p w14:paraId="1D83E649" w14:textId="77777777" w:rsidR="005F01F0" w:rsidRDefault="005F01F0" w:rsidP="00622C6B">
            <w:pPr>
              <w:spacing w:after="120" w:line="240" w:lineRule="auto"/>
              <w:jc w:val="both"/>
              <w:rPr>
                <w:rFonts w:cs="Times New Roman"/>
                <w:color w:val="000000"/>
              </w:rPr>
            </w:pPr>
            <w:r w:rsidRPr="007A7C51">
              <w:rPr>
                <w:rFonts w:cs="Times New Roman"/>
                <w:color w:val="000000"/>
              </w:rPr>
              <w:t>63,007</w:t>
            </w:r>
          </w:p>
          <w:p w14:paraId="682635DA" w14:textId="77777777" w:rsidR="00AF13E8" w:rsidRDefault="00AF13E8" w:rsidP="00622C6B">
            <w:pPr>
              <w:spacing w:after="120" w:line="240" w:lineRule="auto"/>
              <w:jc w:val="both"/>
              <w:rPr>
                <w:rFonts w:cs="Times New Roman"/>
                <w:color w:val="000000"/>
              </w:rPr>
            </w:pPr>
          </w:p>
          <w:p w14:paraId="1DCE8240" w14:textId="1CECDEA7" w:rsidR="00AF13E8" w:rsidRPr="007A7C51" w:rsidRDefault="00AF13E8" w:rsidP="00622C6B">
            <w:pPr>
              <w:spacing w:after="120" w:line="240" w:lineRule="auto"/>
              <w:jc w:val="both"/>
              <w:rPr>
                <w:rFonts w:cs="Times New Roman"/>
                <w:color w:val="000000"/>
              </w:rPr>
            </w:pPr>
            <w:r>
              <w:rPr>
                <w:rFonts w:cs="Times New Roman"/>
                <w:color w:val="000000"/>
              </w:rPr>
              <w:t>(32,661 from the 1961-95 cohorts)</w:t>
            </w:r>
          </w:p>
        </w:tc>
        <w:tc>
          <w:tcPr>
            <w:tcW w:w="2464" w:type="dxa"/>
          </w:tcPr>
          <w:p w14:paraId="16678720" w14:textId="20A9FE18" w:rsidR="005F01F0" w:rsidRPr="007A7C51" w:rsidRDefault="005F01F0" w:rsidP="00622C6B">
            <w:pPr>
              <w:autoSpaceDE w:val="0"/>
              <w:autoSpaceDN w:val="0"/>
              <w:adjustRightInd w:val="0"/>
              <w:spacing w:after="120" w:line="240" w:lineRule="auto"/>
              <w:jc w:val="both"/>
              <w:rPr>
                <w:rFonts w:cs="Times New Roman"/>
                <w:color w:val="000000"/>
              </w:rPr>
            </w:pPr>
            <w:r w:rsidRPr="007A7C51">
              <w:rPr>
                <w:rFonts w:cs="Times New Roman"/>
                <w:color w:val="000000"/>
              </w:rPr>
              <w:t>0 per million (</w:t>
            </w:r>
            <w:r w:rsidR="00FF62E2">
              <w:rPr>
                <w:rFonts w:cs="Times New Roman"/>
                <w:color w:val="000000"/>
              </w:rPr>
              <w:t xml:space="preserve">95% CI </w:t>
            </w:r>
            <w:r w:rsidRPr="007A7C51">
              <w:rPr>
                <w:rFonts w:cs="Times New Roman"/>
                <w:color w:val="000000"/>
              </w:rPr>
              <w:t>0-</w:t>
            </w:r>
            <w:r w:rsidR="00AF13E8">
              <w:rPr>
                <w:rFonts w:cs="Times New Roman"/>
                <w:color w:val="000000"/>
              </w:rPr>
              <w:t>289 per million [1961-85 cohort]; 0-113</w:t>
            </w:r>
            <w:r w:rsidR="00AF13E8" w:rsidRPr="007A7C51">
              <w:rPr>
                <w:rFonts w:cs="Times New Roman"/>
                <w:color w:val="000000"/>
              </w:rPr>
              <w:t xml:space="preserve"> per million</w:t>
            </w:r>
            <w:r w:rsidR="00AF13E8">
              <w:rPr>
                <w:rFonts w:cs="Times New Roman"/>
                <w:color w:val="000000"/>
              </w:rPr>
              <w:t xml:space="preserve"> [1961-1995 cohort]; 0-185 per million [1986-95 cohort]; 0-122 per million [1996-2007 cohort]</w:t>
            </w:r>
            <w:r w:rsidRPr="007A7C51">
              <w:rPr>
                <w:rFonts w:cs="Times New Roman"/>
                <w:color w:val="000000"/>
              </w:rPr>
              <w:t>)</w:t>
            </w:r>
          </w:p>
        </w:tc>
        <w:tc>
          <w:tcPr>
            <w:tcW w:w="1998" w:type="dxa"/>
          </w:tcPr>
          <w:p w14:paraId="1CB7A11B" w14:textId="46D4735D" w:rsidR="005F01F0" w:rsidRPr="007A7C51" w:rsidRDefault="005F01F0" w:rsidP="00622C6B">
            <w:pPr>
              <w:autoSpaceDE w:val="0"/>
              <w:autoSpaceDN w:val="0"/>
              <w:adjustRightInd w:val="0"/>
              <w:spacing w:after="120" w:line="240" w:lineRule="auto"/>
              <w:jc w:val="both"/>
              <w:rPr>
                <w:rFonts w:cs="Times New Roman"/>
                <w:color w:val="000000"/>
              </w:rPr>
            </w:pPr>
            <w:r w:rsidRPr="007A7C51">
              <w:rPr>
                <w:rFonts w:cs="Times New Roman"/>
                <w:color w:val="000000"/>
              </w:rPr>
              <w:t>Zero positive results from 63007 tonsil specimens from the birth cohort in Britain in which most cases of vCJD have occurred</w:t>
            </w:r>
          </w:p>
        </w:tc>
      </w:tr>
    </w:tbl>
    <w:p w14:paraId="5C443C27" w14:textId="08DC6118" w:rsidR="00142676" w:rsidRPr="009F5584" w:rsidRDefault="00142676" w:rsidP="00622C6B">
      <w:pPr>
        <w:autoSpaceDE w:val="0"/>
        <w:autoSpaceDN w:val="0"/>
        <w:adjustRightInd w:val="0"/>
        <w:jc w:val="both"/>
        <w:rPr>
          <w:rFonts w:cs="Times New Roman"/>
          <w:sz w:val="24"/>
          <w:szCs w:val="24"/>
        </w:rPr>
      </w:pPr>
    </w:p>
    <w:p w14:paraId="0D1744DC" w14:textId="1A1C7DF1" w:rsidR="009A625B" w:rsidRPr="00C472A9" w:rsidRDefault="000E1275" w:rsidP="00292024">
      <w:pPr>
        <w:pStyle w:val="Heading4"/>
        <w:rPr>
          <w:sz w:val="22"/>
        </w:rPr>
      </w:pPr>
      <w:r w:rsidRPr="00C472A9">
        <w:rPr>
          <w:sz w:val="22"/>
        </w:rPr>
        <w:t xml:space="preserve">Obtaining definitive prevalence estimations </w:t>
      </w:r>
    </w:p>
    <w:p w14:paraId="172FE2B8" w14:textId="0D5D70E0" w:rsidR="00D1628B" w:rsidRPr="007A7C51" w:rsidRDefault="005E286B" w:rsidP="00622C6B">
      <w:pPr>
        <w:autoSpaceDE w:val="0"/>
        <w:autoSpaceDN w:val="0"/>
        <w:adjustRightInd w:val="0"/>
        <w:jc w:val="both"/>
        <w:rPr>
          <w:rFonts w:cs="Times New Roman"/>
        </w:rPr>
      </w:pPr>
      <w:r w:rsidRPr="007A7C51">
        <w:rPr>
          <w:rFonts w:cs="Times New Roman"/>
        </w:rPr>
        <w:t>Subclinical vCJD can</w:t>
      </w:r>
      <w:r w:rsidR="000E1275" w:rsidRPr="007A7C51">
        <w:rPr>
          <w:rFonts w:cs="Times New Roman"/>
        </w:rPr>
        <w:t xml:space="preserve"> be </w:t>
      </w:r>
      <w:r w:rsidRPr="007A7C51">
        <w:rPr>
          <w:rFonts w:cs="Times New Roman"/>
        </w:rPr>
        <w:t>detected</w:t>
      </w:r>
      <w:r w:rsidR="000E1275" w:rsidRPr="007A7C51">
        <w:rPr>
          <w:rFonts w:cs="Times New Roman"/>
        </w:rPr>
        <w:t xml:space="preserve"> via t</w:t>
      </w:r>
      <w:r w:rsidR="000E1D31" w:rsidRPr="007A7C51">
        <w:rPr>
          <w:rFonts w:cs="Times New Roman"/>
        </w:rPr>
        <w:t>ypi</w:t>
      </w:r>
      <w:r w:rsidR="000E1275" w:rsidRPr="007A7C51">
        <w:rPr>
          <w:rFonts w:cs="Times New Roman"/>
        </w:rPr>
        <w:t xml:space="preserve">cal PrP staining </w:t>
      </w:r>
      <w:r w:rsidR="000E1D31" w:rsidRPr="007A7C51">
        <w:rPr>
          <w:rFonts w:cs="Times New Roman"/>
        </w:rPr>
        <w:t xml:space="preserve">in lymphoid tissue </w:t>
      </w:r>
      <w:r w:rsidR="000E1275" w:rsidRPr="007A7C51">
        <w:rPr>
          <w:rFonts w:cs="Times New Roman"/>
        </w:rPr>
        <w:t>or observation of the presence of florid plaques in the brain at autopsy</w:t>
      </w:r>
      <w:r w:rsidR="00A01059">
        <w:rPr>
          <w:rFonts w:cs="Times New Roman"/>
        </w:rPr>
        <w:t>;</w:t>
      </w:r>
      <w:r w:rsidR="000E1275" w:rsidRPr="007A7C51">
        <w:rPr>
          <w:rFonts w:cs="Times New Roman"/>
        </w:rPr>
        <w:t xml:space="preserve"> however</w:t>
      </w:r>
      <w:r w:rsidR="002A677D" w:rsidRPr="007A7C51">
        <w:rPr>
          <w:rFonts w:cs="Times New Roman"/>
        </w:rPr>
        <w:t>,</w:t>
      </w:r>
      <w:r w:rsidR="000E1D31" w:rsidRPr="007A7C51">
        <w:rPr>
          <w:rFonts w:cs="Times New Roman"/>
        </w:rPr>
        <w:t xml:space="preserve"> systematic lymphoid</w:t>
      </w:r>
      <w:r w:rsidR="000E1275" w:rsidRPr="007A7C51">
        <w:rPr>
          <w:rFonts w:cs="Times New Roman"/>
        </w:rPr>
        <w:t xml:space="preserve"> or neuropathological examination is not</w:t>
      </w:r>
      <w:r w:rsidR="000E1D31" w:rsidRPr="007A7C51">
        <w:rPr>
          <w:rFonts w:cs="Times New Roman"/>
        </w:rPr>
        <w:t xml:space="preserve"> </w:t>
      </w:r>
      <w:r w:rsidR="000E1275" w:rsidRPr="007A7C51">
        <w:rPr>
          <w:rFonts w:cs="Times New Roman"/>
        </w:rPr>
        <w:t xml:space="preserve">performed </w:t>
      </w:r>
      <w:r w:rsidR="00FF62E2">
        <w:rPr>
          <w:rFonts w:cs="Times New Roman"/>
        </w:rPr>
        <w:t>routinely</w:t>
      </w:r>
      <w:r w:rsidR="000E1D31" w:rsidRPr="007A7C51">
        <w:rPr>
          <w:rFonts w:cs="Times New Roman"/>
        </w:rPr>
        <w:t xml:space="preserve"> </w:t>
      </w:r>
      <w:r w:rsidR="000E1275" w:rsidRPr="007A7C51">
        <w:rPr>
          <w:rFonts w:cs="Times New Roman"/>
        </w:rPr>
        <w:t xml:space="preserve">in post-mortems. </w:t>
      </w:r>
      <w:r w:rsidR="00523C63" w:rsidRPr="007A7C51">
        <w:rPr>
          <w:rFonts w:cs="Times New Roman"/>
        </w:rPr>
        <w:t>In order to co</w:t>
      </w:r>
      <w:r w:rsidR="003B0BCA" w:rsidRPr="007A7C51">
        <w:rPr>
          <w:rFonts w:cs="Times New Roman"/>
        </w:rPr>
        <w:t>llect a truly accurate picture</w:t>
      </w:r>
      <w:r w:rsidR="00523C63" w:rsidRPr="007A7C51">
        <w:rPr>
          <w:rFonts w:cs="Times New Roman"/>
        </w:rPr>
        <w:t xml:space="preserve"> of the prevalence of CJD in abnormal prion protein in humans</w:t>
      </w:r>
      <w:r w:rsidR="003B0BCA" w:rsidRPr="007A7C51">
        <w:rPr>
          <w:rFonts w:cs="Times New Roman"/>
        </w:rPr>
        <w:t>,</w:t>
      </w:r>
      <w:r w:rsidR="00523C63" w:rsidRPr="007A7C51">
        <w:rPr>
          <w:rFonts w:cs="Times New Roman"/>
        </w:rPr>
        <w:t xml:space="preserve"> the UK Health Protection </w:t>
      </w:r>
      <w:r w:rsidR="008C4960" w:rsidRPr="007A7C51">
        <w:rPr>
          <w:rFonts w:cs="Times New Roman"/>
        </w:rPr>
        <w:t>Agency</w:t>
      </w:r>
      <w:r w:rsidR="00523C63" w:rsidRPr="007A7C51">
        <w:rPr>
          <w:rFonts w:cs="Times New Roman"/>
        </w:rPr>
        <w:t xml:space="preserve"> proposed the creation of a post-mortem tissue archive.</w:t>
      </w:r>
      <w:r w:rsidR="00B93CFA" w:rsidRPr="007A7C51">
        <w:rPr>
          <w:rFonts w:cs="Times New Roman"/>
        </w:rPr>
        <w:fldChar w:fldCharType="begin">
          <w:fldData xml:space="preserve">PEVuZE5vdGU+PENpdGU+PEF1dGhvcj5NY0dvd2FuPC9BdXRob3I+PFllYXI+MjAxMTwvWWVhcj48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PEVuZE5vdGU+PENpdGU+PEF1dGhvcj5NY0dvd2FuPC9BdXRob3I+PFllYXI+MjAxMTwvWWVhcj48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B93CFA" w:rsidRPr="007A7C51">
        <w:rPr>
          <w:rFonts w:cs="Times New Roman"/>
        </w:rPr>
      </w:r>
      <w:r w:rsidR="00B93CFA" w:rsidRPr="007A7C51">
        <w:rPr>
          <w:rFonts w:cs="Times New Roman"/>
        </w:rPr>
        <w:fldChar w:fldCharType="separate"/>
      </w:r>
      <w:r w:rsidR="0076576E" w:rsidRPr="0076576E">
        <w:rPr>
          <w:rFonts w:cs="Times New Roman"/>
          <w:noProof/>
          <w:vertAlign w:val="superscript"/>
        </w:rPr>
        <w:t>92</w:t>
      </w:r>
      <w:r w:rsidR="00B93CFA" w:rsidRPr="007A7C51">
        <w:rPr>
          <w:rFonts w:cs="Times New Roman"/>
        </w:rPr>
        <w:fldChar w:fldCharType="end"/>
      </w:r>
      <w:r w:rsidR="00523C63" w:rsidRPr="007A7C51">
        <w:rPr>
          <w:rFonts w:cs="Times New Roman"/>
        </w:rPr>
        <w:t xml:space="preserve"> The study required tissue from a large number of post-mortems, necessitating the participation of coroners in England and Wales. However, the Coroners’ Society of England and Wales (CSEW) declined to participate in the study, citing various issues including its putative legality, cost and feasibility.</w:t>
      </w:r>
      <w:r w:rsidR="00B93CFA" w:rsidRPr="007A7C51">
        <w:rPr>
          <w:rFonts w:cs="Times New Roman"/>
        </w:rPr>
        <w:fldChar w:fldCharType="begin"/>
      </w:r>
      <w:r w:rsidR="0076576E">
        <w:rPr>
          <w:rFonts w:cs="Times New Roman"/>
        </w:rPr>
        <w:instrText xml:space="preserve"> ADDIN EN.CITE &lt;EndNote&gt;&lt;Cite&gt;&lt;Author&gt;McGowan&lt;/Author&gt;&lt;Year&gt;2011&lt;/Year&gt;&lt;RecNum&gt;10255&lt;/RecNum&gt;&lt;DisplayText&gt;&lt;style face="superscript"&gt;93&lt;/style&gt;&lt;/DisplayText&gt;&lt;record&gt;&lt;rec-number&gt;10255&lt;/rec-number&gt;&lt;foreign-keys&gt;&lt;key app="EN" db-id="vrp0pptazv05wtesfz5vrzsj2p0rv09ttsa9" timestamp="1520851586" guid="52a0559d-42bd-4feb-bff2-0f870b132089"&gt;10255&lt;/key&gt;&lt;/foreign-keys&gt;&lt;ref-type name="Journal Article"&gt;17&lt;/ref-type&gt;&lt;contributors&gt;&lt;authors&gt;&lt;author&gt;McGowan, CR&lt;/author&gt;&lt;author&gt;Viens, AM&lt;/author&gt;&lt;/authors&gt;&lt;/contributors&gt;&lt;titles&gt;&lt;title&gt;Death investigation systems and disease surveillance&lt;/title&gt;&lt;secondary-title&gt;Epidemiology &amp;amp; Infection&lt;/secondary-title&gt;&lt;/titles&gt;&lt;periodical&gt;&lt;full-title&gt;Epidemiology &amp;amp; Infection&lt;/full-title&gt;&lt;/periodical&gt;&lt;pages&gt;986-990&lt;/pages&gt;&lt;volume&gt;139&lt;/volume&gt;&lt;number&gt;7&lt;/number&gt;&lt;keywords&gt;&lt;keyword&gt;$$Lesley google&lt;/keyword&gt;&lt;keyword&gt;$$CJD relevant&lt;/keyword&gt;&lt;keyword&gt;$$background&lt;/keyword&gt;&lt;/keywords&gt;&lt;dates&gt;&lt;year&gt;2011&lt;/year&gt;&lt;/dates&gt;&lt;isbn&gt;1469-4409&lt;/isbn&gt;&lt;urls&gt;&lt;/urls&gt;&lt;/record&gt;&lt;/Cite&gt;&lt;/EndNote&gt;</w:instrText>
      </w:r>
      <w:r w:rsidR="00B93CFA" w:rsidRPr="007A7C51">
        <w:rPr>
          <w:rFonts w:cs="Times New Roman"/>
        </w:rPr>
        <w:fldChar w:fldCharType="separate"/>
      </w:r>
      <w:r w:rsidR="0076576E" w:rsidRPr="0076576E">
        <w:rPr>
          <w:rFonts w:cs="Times New Roman"/>
          <w:noProof/>
          <w:vertAlign w:val="superscript"/>
        </w:rPr>
        <w:t>93</w:t>
      </w:r>
      <w:r w:rsidR="00B93CFA" w:rsidRPr="007A7C51">
        <w:rPr>
          <w:rFonts w:cs="Times New Roman"/>
        </w:rPr>
        <w:fldChar w:fldCharType="end"/>
      </w:r>
      <w:r w:rsidR="00523C63" w:rsidRPr="007A7C51">
        <w:rPr>
          <w:rFonts w:cs="Times New Roman"/>
        </w:rPr>
        <w:t xml:space="preserve"> The CSEW concluded that to participate in the study would, </w:t>
      </w:r>
      <w:r w:rsidR="00EF7CCE">
        <w:rPr>
          <w:rFonts w:cs="Times New Roman"/>
        </w:rPr>
        <w:t>“</w:t>
      </w:r>
      <w:r w:rsidR="00523C63" w:rsidRPr="00EF7CCE">
        <w:rPr>
          <w:rFonts w:cs="Times New Roman"/>
          <w:i/>
        </w:rPr>
        <w:t>adversely affect the independence of the coronial service and would further erode public confidence</w:t>
      </w:r>
      <w:r w:rsidR="00EF7CCE">
        <w:rPr>
          <w:rFonts w:cs="Times New Roman"/>
        </w:rPr>
        <w:t>”</w:t>
      </w:r>
      <w:r w:rsidR="00523C63" w:rsidRPr="007A7C51">
        <w:rPr>
          <w:rFonts w:cs="Times New Roman"/>
        </w:rPr>
        <w:t xml:space="preserve">. McGowan </w:t>
      </w:r>
      <w:r w:rsidR="00B301D6" w:rsidRPr="00B301D6">
        <w:rPr>
          <w:rFonts w:cs="Times New Roman"/>
          <w:i/>
        </w:rPr>
        <w:t>et al</w:t>
      </w:r>
      <w:r w:rsidR="00523C63" w:rsidRPr="007A7C51">
        <w:rPr>
          <w:rFonts w:cs="Times New Roman"/>
        </w:rPr>
        <w:t xml:space="preserve"> (2011) </w:t>
      </w:r>
      <w:r w:rsidR="00FA5825" w:rsidRPr="007A7C51">
        <w:rPr>
          <w:rFonts w:cs="Times New Roman"/>
        </w:rPr>
        <w:t>describe</w:t>
      </w:r>
      <w:r w:rsidR="00523C63" w:rsidRPr="007A7C51">
        <w:rPr>
          <w:rFonts w:cs="Times New Roman"/>
        </w:rPr>
        <w:t xml:space="preserve"> that since death investigation systems with substantial independence are not directly answerable to central government, they cannot be instructed to participate in any disease surveillance programme regardless of how crucial it is to the protection of human health and safety.</w:t>
      </w:r>
      <w:r w:rsidR="00D1628B" w:rsidRPr="007A7C51">
        <w:rPr>
          <w:rFonts w:cs="Times New Roman"/>
        </w:rPr>
        <w:t xml:space="preserve"> </w:t>
      </w:r>
    </w:p>
    <w:p w14:paraId="5A556235" w14:textId="77777777" w:rsidR="004E7FFC" w:rsidRPr="009F5584" w:rsidRDefault="004E7FFC" w:rsidP="00622C6B">
      <w:pPr>
        <w:autoSpaceDE w:val="0"/>
        <w:autoSpaceDN w:val="0"/>
        <w:adjustRightInd w:val="0"/>
        <w:jc w:val="both"/>
        <w:rPr>
          <w:rFonts w:cs="Times New Roman"/>
          <w:sz w:val="24"/>
          <w:szCs w:val="24"/>
        </w:rPr>
      </w:pPr>
    </w:p>
    <w:p w14:paraId="175867E5" w14:textId="7D465E84" w:rsidR="00F433E3" w:rsidRPr="00F84738" w:rsidRDefault="00F70CC2" w:rsidP="00622C6B">
      <w:pPr>
        <w:pStyle w:val="Heading3"/>
        <w:rPr>
          <w:b w:val="0"/>
          <w:i/>
        </w:rPr>
      </w:pPr>
      <w:r w:rsidRPr="00F84738">
        <w:rPr>
          <w:b w:val="0"/>
          <w:i/>
        </w:rPr>
        <w:t xml:space="preserve">2.2.3 </w:t>
      </w:r>
      <w:r w:rsidRPr="00F84738">
        <w:rPr>
          <w:b w:val="0"/>
          <w:i/>
        </w:rPr>
        <w:tab/>
      </w:r>
      <w:r w:rsidR="002849E9">
        <w:rPr>
          <w:b w:val="0"/>
          <w:i/>
        </w:rPr>
        <w:t>Discussion/ s</w:t>
      </w:r>
      <w:r w:rsidR="00F433E3" w:rsidRPr="00F84738">
        <w:rPr>
          <w:b w:val="0"/>
          <w:i/>
        </w:rPr>
        <w:t>ummary of incidence and prevalence of CJD</w:t>
      </w:r>
    </w:p>
    <w:p w14:paraId="79015026" w14:textId="0D3B7E38" w:rsidR="0058711C" w:rsidRPr="007A7C51" w:rsidRDefault="00F433E3" w:rsidP="00622C6B">
      <w:pPr>
        <w:jc w:val="both"/>
        <w:rPr>
          <w:rFonts w:cs="Times New Roman"/>
        </w:rPr>
      </w:pPr>
      <w:r w:rsidRPr="007A7C51">
        <w:rPr>
          <w:rFonts w:cs="Times New Roman"/>
        </w:rPr>
        <w:t xml:space="preserve">Incidence of CJD is relatively stable around the world (between 1 and 2 cases per million population) but </w:t>
      </w:r>
      <w:r w:rsidR="00EF7CCE">
        <w:rPr>
          <w:rFonts w:cs="Times New Roman"/>
        </w:rPr>
        <w:t xml:space="preserve">age-adjusted </w:t>
      </w:r>
      <w:r w:rsidRPr="007A7C51">
        <w:rPr>
          <w:rFonts w:cs="Times New Roman"/>
        </w:rPr>
        <w:t xml:space="preserve">detection of sCJD is increasing in the UK </w:t>
      </w:r>
      <w:r w:rsidR="00374CF3" w:rsidRPr="007A7C51">
        <w:rPr>
          <w:rFonts w:cs="Times New Roman"/>
        </w:rPr>
        <w:t>as well as certa</w:t>
      </w:r>
      <w:r w:rsidR="002A677D" w:rsidRPr="007A7C51">
        <w:rPr>
          <w:rFonts w:cs="Times New Roman"/>
        </w:rPr>
        <w:t xml:space="preserve">in </w:t>
      </w:r>
      <w:r w:rsidR="00EF7CCE">
        <w:rPr>
          <w:rFonts w:cs="Times New Roman"/>
        </w:rPr>
        <w:t>other countries. R</w:t>
      </w:r>
      <w:r w:rsidRPr="007A7C51">
        <w:rPr>
          <w:rFonts w:cs="Times New Roman"/>
        </w:rPr>
        <w:t xml:space="preserve">easons posited for this increase </w:t>
      </w:r>
      <w:r w:rsidR="00EF7CCE">
        <w:rPr>
          <w:rFonts w:cs="Times New Roman"/>
        </w:rPr>
        <w:t>include</w:t>
      </w:r>
      <w:r w:rsidR="002A677D" w:rsidRPr="007A7C51">
        <w:rPr>
          <w:rFonts w:cs="Times New Roman"/>
        </w:rPr>
        <w:t xml:space="preserve"> </w:t>
      </w:r>
      <w:r w:rsidRPr="007A7C51">
        <w:rPr>
          <w:rFonts w:cs="Times New Roman"/>
        </w:rPr>
        <w:t xml:space="preserve">improved case ascertainment and an ageing population. </w:t>
      </w:r>
      <w:r w:rsidR="001925B0">
        <w:rPr>
          <w:rFonts w:cs="Times New Roman"/>
        </w:rPr>
        <w:t>The estimated prevalence of subclinical vCJD from lymphoid tissues of people in the UK who were exposed to the BSE epidemic was 1 in 2,000 and t</w:t>
      </w:r>
      <w:r w:rsidR="00B11310" w:rsidRPr="007A7C51">
        <w:rPr>
          <w:rFonts w:cs="Times New Roman"/>
        </w:rPr>
        <w:t>he estimate of prevalence of CJD</w:t>
      </w:r>
      <w:r w:rsidR="001925B0">
        <w:rPr>
          <w:rFonts w:cs="Times New Roman"/>
        </w:rPr>
        <w:t>-related prions in</w:t>
      </w:r>
      <w:r w:rsidR="00A86340">
        <w:rPr>
          <w:rFonts w:cs="Times New Roman"/>
        </w:rPr>
        <w:t xml:space="preserve"> lymphoid </w:t>
      </w:r>
      <w:r w:rsidR="00B11310" w:rsidRPr="007A7C51">
        <w:rPr>
          <w:rFonts w:cs="Times New Roman"/>
        </w:rPr>
        <w:t>tissues in the UK population</w:t>
      </w:r>
      <w:r w:rsidR="001925B0">
        <w:rPr>
          <w:rFonts w:cs="Times New Roman"/>
        </w:rPr>
        <w:t xml:space="preserve"> who are not thought to be exposed to the BSE epidemic</w:t>
      </w:r>
      <w:r w:rsidR="00B11310" w:rsidRPr="007A7C51">
        <w:rPr>
          <w:rFonts w:cs="Times New Roman"/>
        </w:rPr>
        <w:t xml:space="preserve"> </w:t>
      </w:r>
      <w:r w:rsidR="002A677D" w:rsidRPr="007A7C51">
        <w:rPr>
          <w:rFonts w:cs="Times New Roman"/>
        </w:rPr>
        <w:t xml:space="preserve">is </w:t>
      </w:r>
      <w:r w:rsidR="00B11310" w:rsidRPr="007A7C51">
        <w:rPr>
          <w:rFonts w:cs="Times New Roman"/>
        </w:rPr>
        <w:t>1 i</w:t>
      </w:r>
      <w:r w:rsidR="001925B0">
        <w:rPr>
          <w:rFonts w:cs="Times New Roman"/>
        </w:rPr>
        <w:t xml:space="preserve">n 4,200. </w:t>
      </w:r>
      <w:r w:rsidR="00EF7CCE">
        <w:rPr>
          <w:rFonts w:cs="Times New Roman"/>
        </w:rPr>
        <w:t>This</w:t>
      </w:r>
      <w:r w:rsidR="0058711C" w:rsidRPr="007A7C51">
        <w:rPr>
          <w:rFonts w:cs="Times New Roman"/>
        </w:rPr>
        <w:t xml:space="preserve"> </w:t>
      </w:r>
      <w:r w:rsidR="00EF7CCE">
        <w:rPr>
          <w:rFonts w:cs="Times New Roman"/>
        </w:rPr>
        <w:t>suggests</w:t>
      </w:r>
      <w:r w:rsidR="00526B86" w:rsidRPr="007A7C51">
        <w:rPr>
          <w:rFonts w:cs="Times New Roman"/>
        </w:rPr>
        <w:t xml:space="preserve"> a </w:t>
      </w:r>
      <w:r w:rsidR="001236CA">
        <w:rPr>
          <w:rFonts w:cs="Times New Roman"/>
        </w:rPr>
        <w:t xml:space="preserve">potentially </w:t>
      </w:r>
      <w:r w:rsidR="00526B86" w:rsidRPr="007A7C51">
        <w:rPr>
          <w:rFonts w:cs="Times New Roman"/>
        </w:rPr>
        <w:t xml:space="preserve">constant </w:t>
      </w:r>
      <w:r w:rsidR="0058711C" w:rsidRPr="007A7C51">
        <w:rPr>
          <w:rFonts w:cs="Times New Roman"/>
        </w:rPr>
        <w:t xml:space="preserve">underlying rate of abnormal prion accumulation in </w:t>
      </w:r>
      <w:r w:rsidR="00526B86" w:rsidRPr="007A7C51">
        <w:rPr>
          <w:rFonts w:cs="Times New Roman"/>
        </w:rPr>
        <w:t>lymphoreticular tissue</w:t>
      </w:r>
      <w:r w:rsidR="0058711C" w:rsidRPr="007A7C51">
        <w:rPr>
          <w:rFonts w:cs="Times New Roman"/>
        </w:rPr>
        <w:t xml:space="preserve"> </w:t>
      </w:r>
      <w:r w:rsidR="00526B86" w:rsidRPr="007A7C51">
        <w:rPr>
          <w:rFonts w:cs="Times New Roman"/>
        </w:rPr>
        <w:t>in the UK population</w:t>
      </w:r>
      <w:r w:rsidR="002A677D" w:rsidRPr="007A7C51">
        <w:rPr>
          <w:rFonts w:cs="Times New Roman"/>
        </w:rPr>
        <w:t>,</w:t>
      </w:r>
      <w:r w:rsidR="00526B86" w:rsidRPr="007A7C51">
        <w:rPr>
          <w:rFonts w:cs="Times New Roman"/>
        </w:rPr>
        <w:t xml:space="preserve"> which may or may not represent disease that will progress to clinical CJD.</w:t>
      </w:r>
      <w:r w:rsidR="001D110E" w:rsidRPr="007A7C51">
        <w:rPr>
          <w:rFonts w:cs="Times New Roman"/>
        </w:rPr>
        <w:t xml:space="preserve"> Estimations of prevalence are currently limited to retrospective cohort studies of anonymised tonsil or appendix samples.</w:t>
      </w:r>
    </w:p>
    <w:p w14:paraId="6DD05A3B" w14:textId="77777777" w:rsidR="00B11310" w:rsidRPr="00F433E3" w:rsidRDefault="00B11310" w:rsidP="00622C6B">
      <w:pPr>
        <w:rPr>
          <w:rFonts w:cs="Times New Roman"/>
          <w:sz w:val="24"/>
          <w:szCs w:val="24"/>
        </w:rPr>
      </w:pPr>
    </w:p>
    <w:p w14:paraId="6AC374C3" w14:textId="13DE0231" w:rsidR="003F41EF" w:rsidRPr="009F5584" w:rsidRDefault="008023A7" w:rsidP="00622C6B">
      <w:pPr>
        <w:pStyle w:val="Heading2"/>
      </w:pPr>
      <w:bookmarkStart w:id="43" w:name="_Ref507071891"/>
      <w:bookmarkStart w:id="44" w:name="_Toc525106662"/>
      <w:r w:rsidRPr="009F5584">
        <w:t>2</w:t>
      </w:r>
      <w:r w:rsidR="00622C6B">
        <w:t>.3</w:t>
      </w:r>
      <w:r w:rsidR="00622C6B">
        <w:tab/>
      </w:r>
      <w:r w:rsidRPr="009F5584">
        <w:t>T</w:t>
      </w:r>
      <w:r w:rsidR="000B6F62" w:rsidRPr="009F5584">
        <w:t>he r</w:t>
      </w:r>
      <w:r w:rsidR="00864AEF" w:rsidRPr="009F5584">
        <w:t xml:space="preserve">isk of </w:t>
      </w:r>
      <w:r w:rsidR="00B76FA3">
        <w:t xml:space="preserve">CJD </w:t>
      </w:r>
      <w:r w:rsidR="00864AEF" w:rsidRPr="009F5584">
        <w:t>transmission via surgery</w:t>
      </w:r>
      <w:bookmarkEnd w:id="43"/>
      <w:bookmarkEnd w:id="44"/>
    </w:p>
    <w:p w14:paraId="27F7217D" w14:textId="6A6FFC93" w:rsidR="00C328D3" w:rsidRPr="00CE4B5D" w:rsidRDefault="00EF7CCE" w:rsidP="00622C6B">
      <w:pPr>
        <w:jc w:val="both"/>
        <w:rPr>
          <w:rFonts w:cs="Times New Roman"/>
        </w:rPr>
      </w:pPr>
      <w:r>
        <w:rPr>
          <w:rFonts w:cs="Times New Roman"/>
        </w:rPr>
        <w:t>The literature searches retrieved no further published papers from</w:t>
      </w:r>
      <w:r w:rsidR="00C328D3" w:rsidRPr="007A7C51">
        <w:rPr>
          <w:rFonts w:cs="Times New Roman"/>
        </w:rPr>
        <w:t xml:space="preserve"> the period </w:t>
      </w:r>
      <w:r>
        <w:rPr>
          <w:rFonts w:cs="Times New Roman"/>
        </w:rPr>
        <w:t>of 2005 to 2017 of</w:t>
      </w:r>
      <w:r w:rsidR="00C328D3" w:rsidRPr="007A7C51">
        <w:rPr>
          <w:rFonts w:cs="Times New Roman"/>
        </w:rPr>
        <w:t xml:space="preserve"> confirmed cases of surgically tra</w:t>
      </w:r>
      <w:r w:rsidR="003F638D" w:rsidRPr="007A7C51">
        <w:rPr>
          <w:rFonts w:cs="Times New Roman"/>
        </w:rPr>
        <w:t>nsmitted CJD</w:t>
      </w:r>
      <w:r>
        <w:rPr>
          <w:rFonts w:cs="Times New Roman"/>
        </w:rPr>
        <w:t>,</w:t>
      </w:r>
      <w:r w:rsidR="003F638D" w:rsidRPr="007A7C51">
        <w:rPr>
          <w:rFonts w:cs="Times New Roman"/>
        </w:rPr>
        <w:t xml:space="preserve"> further to the four </w:t>
      </w:r>
      <w:r w:rsidR="00DD45EE" w:rsidRPr="007A7C51">
        <w:rPr>
          <w:rFonts w:cs="Times New Roman"/>
        </w:rPr>
        <w:t xml:space="preserve">neurosurgical </w:t>
      </w:r>
      <w:r w:rsidR="003F638D" w:rsidRPr="007A7C51">
        <w:rPr>
          <w:rFonts w:cs="Times New Roman"/>
        </w:rPr>
        <w:t xml:space="preserve">cases </w:t>
      </w:r>
      <w:r w:rsidR="00B41D40">
        <w:rPr>
          <w:rFonts w:cs="Times New Roman"/>
        </w:rPr>
        <w:t xml:space="preserve">which are </w:t>
      </w:r>
      <w:r w:rsidR="003F638D" w:rsidRPr="007A7C51">
        <w:rPr>
          <w:rFonts w:cs="Times New Roman"/>
        </w:rPr>
        <w:t>noted to have occurred between the years 1952 and 1974.</w:t>
      </w:r>
      <w:r w:rsidR="0049614B" w:rsidRPr="007A7C51">
        <w:rPr>
          <w:rFonts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cs="Times New Roman"/>
        </w:rPr>
        <w:instrText xml:space="preserve"> ADDIN EN.CITE </w:instrText>
      </w:r>
      <w:r w:rsidR="00D63CDB">
        <w:rPr>
          <w:rFonts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cs="Times New Roman"/>
        </w:rPr>
        <w:instrText xml:space="preserve"> ADDIN EN.CITE.DATA </w:instrText>
      </w:r>
      <w:r w:rsidR="00D63CDB">
        <w:rPr>
          <w:rFonts w:cs="Times New Roman"/>
        </w:rPr>
      </w:r>
      <w:r w:rsidR="00D63CDB">
        <w:rPr>
          <w:rFonts w:cs="Times New Roman"/>
        </w:rPr>
        <w:fldChar w:fldCharType="end"/>
      </w:r>
      <w:r w:rsidR="0049614B" w:rsidRPr="007A7C51">
        <w:rPr>
          <w:rFonts w:cs="Times New Roman"/>
        </w:rPr>
      </w:r>
      <w:r w:rsidR="0049614B" w:rsidRPr="007A7C51">
        <w:rPr>
          <w:rFonts w:cs="Times New Roman"/>
        </w:rPr>
        <w:fldChar w:fldCharType="separate"/>
      </w:r>
      <w:r w:rsidR="001D65B2" w:rsidRPr="001D65B2">
        <w:rPr>
          <w:rFonts w:cs="Times New Roman"/>
          <w:noProof/>
          <w:vertAlign w:val="superscript"/>
        </w:rPr>
        <w:t>3</w:t>
      </w:r>
      <w:r w:rsidR="0049614B" w:rsidRPr="007A7C51">
        <w:rPr>
          <w:rFonts w:cs="Times New Roman"/>
        </w:rPr>
        <w:fldChar w:fldCharType="end"/>
      </w:r>
      <w:r w:rsidR="00C328D3" w:rsidRPr="007A7C51">
        <w:rPr>
          <w:rFonts w:cs="Times New Roman"/>
        </w:rPr>
        <w:t xml:space="preserve"> </w:t>
      </w:r>
      <w:r w:rsidR="00CE4B5D">
        <w:rPr>
          <w:rFonts w:cs="Times New Roman"/>
        </w:rPr>
        <w:t>T</w:t>
      </w:r>
      <w:r w:rsidR="00CE4B5D" w:rsidRPr="00CE4B5D">
        <w:rPr>
          <w:rFonts w:cs="Times New Roman"/>
        </w:rPr>
        <w:t xml:space="preserve">hese </w:t>
      </w:r>
      <w:r w:rsidR="00CE4B5D">
        <w:rPr>
          <w:rFonts w:cs="Times New Roman"/>
        </w:rPr>
        <w:t>four historic cases</w:t>
      </w:r>
      <w:r w:rsidR="00BF5EAA">
        <w:rPr>
          <w:rFonts w:cs="Times New Roman"/>
        </w:rPr>
        <w:t xml:space="preserve"> </w:t>
      </w:r>
      <w:r w:rsidR="00CE4B5D">
        <w:rPr>
          <w:rFonts w:cs="Times New Roman"/>
        </w:rPr>
        <w:t xml:space="preserve">(three </w:t>
      </w:r>
      <w:r w:rsidR="00BF5EAA">
        <w:rPr>
          <w:rFonts w:cs="Times New Roman"/>
        </w:rPr>
        <w:t>in</w:t>
      </w:r>
      <w:r w:rsidR="00CE4B5D">
        <w:rPr>
          <w:rFonts w:cs="Times New Roman"/>
        </w:rPr>
        <w:t xml:space="preserve"> the UK and one </w:t>
      </w:r>
      <w:r w:rsidR="00BF5EAA">
        <w:rPr>
          <w:rFonts w:cs="Times New Roman"/>
        </w:rPr>
        <w:t>in</w:t>
      </w:r>
      <w:r w:rsidR="00CE4B5D">
        <w:rPr>
          <w:rFonts w:cs="Times New Roman"/>
        </w:rPr>
        <w:t xml:space="preserve"> France) </w:t>
      </w:r>
      <w:r w:rsidR="00CE4B5D" w:rsidRPr="00CE4B5D">
        <w:rPr>
          <w:rFonts w:cs="Times New Roman"/>
        </w:rPr>
        <w:t xml:space="preserve">are distinct from the known </w:t>
      </w:r>
      <w:r w:rsidR="00635170">
        <w:rPr>
          <w:rFonts w:cs="Times New Roman"/>
        </w:rPr>
        <w:t xml:space="preserve">dura </w:t>
      </w:r>
      <w:r w:rsidR="00CE4B5D">
        <w:rPr>
          <w:rFonts w:cs="Times New Roman"/>
        </w:rPr>
        <w:t>mater</w:t>
      </w:r>
      <w:r w:rsidR="00CE4B5D" w:rsidRPr="00CE4B5D">
        <w:rPr>
          <w:rFonts w:cs="Times New Roman"/>
        </w:rPr>
        <w:t xml:space="preserve"> and hGH</w:t>
      </w:r>
      <w:r w:rsidR="00CE4B5D">
        <w:rPr>
          <w:rFonts w:cs="Times New Roman"/>
        </w:rPr>
        <w:t xml:space="preserve"> iCJD</w:t>
      </w:r>
      <w:r w:rsidR="00CE4B5D" w:rsidRPr="00CE4B5D">
        <w:rPr>
          <w:rFonts w:cs="Times New Roman"/>
        </w:rPr>
        <w:t xml:space="preserve"> </w:t>
      </w:r>
      <w:r w:rsidR="00BF5EAA">
        <w:rPr>
          <w:rFonts w:cs="Times New Roman"/>
        </w:rPr>
        <w:t>cohorts</w:t>
      </w:r>
      <w:r w:rsidR="00CE4B5D">
        <w:rPr>
          <w:rFonts w:cs="Times New Roman"/>
        </w:rPr>
        <w:t xml:space="preserve">, </w:t>
      </w:r>
      <w:r w:rsidR="00B41D40">
        <w:rPr>
          <w:rFonts w:cs="Times New Roman"/>
        </w:rPr>
        <w:t>and occurred</w:t>
      </w:r>
      <w:r w:rsidR="00CE4B5D">
        <w:rPr>
          <w:rFonts w:cs="Times New Roman"/>
        </w:rPr>
        <w:t xml:space="preserve"> prior to the vCJD epidemic</w:t>
      </w:r>
      <w:r w:rsidR="00BF5EAA">
        <w:rPr>
          <w:rFonts w:cs="Times New Roman"/>
        </w:rPr>
        <w:t xml:space="preserve"> </w:t>
      </w:r>
      <w:r w:rsidR="00B41D40">
        <w:rPr>
          <w:rFonts w:cs="Times New Roman"/>
        </w:rPr>
        <w:t xml:space="preserve">which began </w:t>
      </w:r>
      <w:r w:rsidR="00BF5EAA">
        <w:rPr>
          <w:rFonts w:cs="Times New Roman"/>
        </w:rPr>
        <w:t>in the late 1980</w:t>
      </w:r>
      <w:r w:rsidR="00B41D40">
        <w:rPr>
          <w:rFonts w:cs="Times New Roman"/>
        </w:rPr>
        <w:t>s</w:t>
      </w:r>
      <w:r>
        <w:rPr>
          <w:rFonts w:cs="Times New Roman"/>
        </w:rPr>
        <w:t>. The four historic s</w:t>
      </w:r>
      <w:r w:rsidR="00CE4B5D">
        <w:rPr>
          <w:rFonts w:cs="Times New Roman"/>
        </w:rPr>
        <w:t xml:space="preserve">urgical cases </w:t>
      </w:r>
      <w:r w:rsidR="00C8379C">
        <w:rPr>
          <w:rFonts w:cs="Times New Roman"/>
        </w:rPr>
        <w:t xml:space="preserve">therefore </w:t>
      </w:r>
      <w:r w:rsidR="00CE4B5D" w:rsidRPr="00CE4B5D">
        <w:rPr>
          <w:rFonts w:cs="Times New Roman"/>
        </w:rPr>
        <w:t>represent</w:t>
      </w:r>
      <w:r w:rsidR="00CE4B5D">
        <w:rPr>
          <w:rFonts w:cs="Times New Roman"/>
        </w:rPr>
        <w:t xml:space="preserve"> a small </w:t>
      </w:r>
      <w:r w:rsidR="00CE4B5D" w:rsidRPr="00CE4B5D">
        <w:rPr>
          <w:rFonts w:cs="Times New Roman"/>
        </w:rPr>
        <w:t>proportion of the known iCJD cases</w:t>
      </w:r>
      <w:r w:rsidR="00161569">
        <w:rPr>
          <w:rFonts w:cs="Times New Roman"/>
        </w:rPr>
        <w:t xml:space="preserve"> </w:t>
      </w:r>
      <w:r>
        <w:rPr>
          <w:rFonts w:cs="Times New Roman"/>
        </w:rPr>
        <w:t xml:space="preserve">(469 iCJD cases according to Brown </w:t>
      </w:r>
      <w:r w:rsidR="00B301D6" w:rsidRPr="00B301D6">
        <w:rPr>
          <w:rFonts w:cs="Times New Roman"/>
          <w:i/>
        </w:rPr>
        <w:t>et al</w:t>
      </w:r>
      <w:r>
        <w:rPr>
          <w:rFonts w:cs="Times New Roman"/>
        </w:rPr>
        <w:t xml:space="preserve"> (2012)</w:t>
      </w:r>
      <w:r w:rsidR="00E86B14">
        <w:rPr>
          <w:rFonts w:cs="Times New Roman"/>
        </w:rPr>
        <w:t>)</w:t>
      </w:r>
      <w:r w:rsidRPr="007A7C51">
        <w:rPr>
          <w:rFonts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cs="Times New Roman"/>
        </w:rPr>
        <w:instrText xml:space="preserve"> ADDIN EN.CITE </w:instrText>
      </w:r>
      <w:r w:rsidR="00D63CDB">
        <w:rPr>
          <w:rFonts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cs="Times New Roman"/>
        </w:rPr>
        <w:instrText xml:space="preserve"> ADDIN EN.CITE.DATA </w:instrText>
      </w:r>
      <w:r w:rsidR="00D63CDB">
        <w:rPr>
          <w:rFonts w:cs="Times New Roman"/>
        </w:rPr>
      </w:r>
      <w:r w:rsidR="00D63CDB">
        <w:rPr>
          <w:rFonts w:cs="Times New Roman"/>
        </w:rPr>
        <w:fldChar w:fldCharType="end"/>
      </w:r>
      <w:r w:rsidRPr="007A7C51">
        <w:rPr>
          <w:rFonts w:cs="Times New Roman"/>
        </w:rPr>
      </w:r>
      <w:r w:rsidRPr="007A7C51">
        <w:rPr>
          <w:rFonts w:cs="Times New Roman"/>
        </w:rPr>
        <w:fldChar w:fldCharType="separate"/>
      </w:r>
      <w:r w:rsidR="001D65B2" w:rsidRPr="001D65B2">
        <w:rPr>
          <w:rFonts w:cs="Times New Roman"/>
          <w:noProof/>
          <w:vertAlign w:val="superscript"/>
        </w:rPr>
        <w:t>3</w:t>
      </w:r>
      <w:r w:rsidRPr="007A7C51">
        <w:rPr>
          <w:rFonts w:cs="Times New Roman"/>
        </w:rPr>
        <w:fldChar w:fldCharType="end"/>
      </w:r>
      <w:r>
        <w:rPr>
          <w:rFonts w:cs="Times New Roman"/>
        </w:rPr>
        <w:t xml:space="preserve"> </w:t>
      </w:r>
      <w:r w:rsidR="00161569">
        <w:rPr>
          <w:rFonts w:cs="Times New Roman"/>
        </w:rPr>
        <w:t xml:space="preserve">and </w:t>
      </w:r>
      <w:r w:rsidR="00B41D40">
        <w:rPr>
          <w:rFonts w:cs="Times New Roman"/>
        </w:rPr>
        <w:t xml:space="preserve">occurred when methods for cleaning surgical instruments were not adequate </w:t>
      </w:r>
      <w:r>
        <w:rPr>
          <w:rFonts w:cs="Times New Roman"/>
        </w:rPr>
        <w:t>assuming</w:t>
      </w:r>
      <w:r w:rsidR="00B41D40">
        <w:rPr>
          <w:rFonts w:cs="Times New Roman"/>
        </w:rPr>
        <w:t xml:space="preserve"> current decontamination standards. </w:t>
      </w:r>
      <w:r w:rsidR="00C8379C">
        <w:rPr>
          <w:rFonts w:cs="Times New Roman"/>
        </w:rPr>
        <w:t>Consequently</w:t>
      </w:r>
      <w:r w:rsidR="00B41D40">
        <w:rPr>
          <w:rFonts w:cs="Times New Roman"/>
        </w:rPr>
        <w:t xml:space="preserve">, </w:t>
      </w:r>
      <w:r w:rsidR="00161569">
        <w:rPr>
          <w:rFonts w:cs="Times New Roman"/>
        </w:rPr>
        <w:t>the risk of CJD transmission via surgery according to recent direct evid</w:t>
      </w:r>
      <w:r>
        <w:rPr>
          <w:rFonts w:cs="Times New Roman"/>
        </w:rPr>
        <w:t>ence appears to be low</w:t>
      </w:r>
      <w:r w:rsidR="00CE4B5D">
        <w:rPr>
          <w:rFonts w:cs="Times New Roman"/>
        </w:rPr>
        <w:t>.</w:t>
      </w:r>
      <w:r w:rsidR="00161569">
        <w:rPr>
          <w:rFonts w:cs="Times New Roman"/>
        </w:rPr>
        <w:t xml:space="preserve"> Ho</w:t>
      </w:r>
      <w:r w:rsidR="002F0E33">
        <w:rPr>
          <w:rFonts w:cs="Times New Roman"/>
        </w:rPr>
        <w:t xml:space="preserve">wever, the long asymptomatic incubation periods noted in some cases of CJD, </w:t>
      </w:r>
      <w:r w:rsidR="00B41D40">
        <w:rPr>
          <w:rFonts w:cs="Times New Roman"/>
        </w:rPr>
        <w:t xml:space="preserve">the difficulties of eradicating prions from </w:t>
      </w:r>
      <w:r w:rsidR="002F0E33">
        <w:rPr>
          <w:rFonts w:cs="Times New Roman"/>
        </w:rPr>
        <w:t>neuro</w:t>
      </w:r>
      <w:r w:rsidR="00B41D40">
        <w:rPr>
          <w:rFonts w:cs="Times New Roman"/>
        </w:rPr>
        <w:t>surgical instruments</w:t>
      </w:r>
      <w:r w:rsidR="00A86340">
        <w:rPr>
          <w:rFonts w:cs="Times New Roman"/>
        </w:rPr>
        <w:t xml:space="preserve"> (especially once fixed to dry instruments)</w:t>
      </w:r>
      <w:r w:rsidR="00B41D40">
        <w:rPr>
          <w:rFonts w:cs="Times New Roman"/>
        </w:rPr>
        <w:t xml:space="preserve">, </w:t>
      </w:r>
      <w:r w:rsidR="002F0E33">
        <w:rPr>
          <w:rFonts w:cs="Times New Roman"/>
        </w:rPr>
        <w:t xml:space="preserve">the high levels of infectivity of CJD in the brain </w:t>
      </w:r>
      <w:r w:rsidR="00161569">
        <w:rPr>
          <w:rFonts w:cs="Times New Roman"/>
        </w:rPr>
        <w:t xml:space="preserve">and </w:t>
      </w:r>
      <w:r w:rsidR="00B41D40">
        <w:rPr>
          <w:rFonts w:cs="Times New Roman"/>
        </w:rPr>
        <w:t xml:space="preserve">a </w:t>
      </w:r>
      <w:r w:rsidR="00161569">
        <w:rPr>
          <w:rFonts w:cs="Times New Roman"/>
        </w:rPr>
        <w:t>presumed subclinical underlying prevalence (albeit low)</w:t>
      </w:r>
      <w:r w:rsidR="00B41D40">
        <w:rPr>
          <w:rFonts w:cs="Times New Roman"/>
        </w:rPr>
        <w:t xml:space="preserve"> in the general population </w:t>
      </w:r>
      <w:r w:rsidR="002F0E33">
        <w:rPr>
          <w:rFonts w:cs="Times New Roman"/>
        </w:rPr>
        <w:t xml:space="preserve">mean that </w:t>
      </w:r>
      <w:r w:rsidR="00B41D40">
        <w:rPr>
          <w:rFonts w:cs="Times New Roman"/>
        </w:rPr>
        <w:t>there is a margin of uncertainty</w:t>
      </w:r>
      <w:r w:rsidR="002F0E33">
        <w:rPr>
          <w:rFonts w:cs="Times New Roman"/>
        </w:rPr>
        <w:t xml:space="preserve"> around </w:t>
      </w:r>
      <w:r w:rsidR="00C8379C">
        <w:rPr>
          <w:rFonts w:cs="Times New Roman"/>
        </w:rPr>
        <w:t xml:space="preserve">detecting and quantifying </w:t>
      </w:r>
      <w:r w:rsidR="002F0E33">
        <w:rPr>
          <w:rFonts w:cs="Times New Roman"/>
        </w:rPr>
        <w:t>the risk of CJD transmission via surgery</w:t>
      </w:r>
      <w:r w:rsidR="00B41D40">
        <w:rPr>
          <w:rFonts w:cs="Times New Roman"/>
        </w:rPr>
        <w:t>.</w:t>
      </w:r>
    </w:p>
    <w:p w14:paraId="11A7598F" w14:textId="77777777" w:rsidR="00072D8B" w:rsidRPr="007A7C51" w:rsidRDefault="00072D8B" w:rsidP="00622C6B">
      <w:pPr>
        <w:jc w:val="both"/>
        <w:rPr>
          <w:rFonts w:cs="Times New Roman"/>
        </w:rPr>
      </w:pPr>
    </w:p>
    <w:p w14:paraId="2F83951E" w14:textId="0A0735A6" w:rsidR="004C1F58" w:rsidRPr="00F84738" w:rsidRDefault="00F70CC2" w:rsidP="00072D8B">
      <w:pPr>
        <w:pStyle w:val="Heading3"/>
        <w:rPr>
          <w:b w:val="0"/>
          <w:i/>
        </w:rPr>
      </w:pPr>
      <w:r w:rsidRPr="00F84738">
        <w:rPr>
          <w:b w:val="0"/>
          <w:i/>
        </w:rPr>
        <w:t xml:space="preserve">2.3.1 </w:t>
      </w:r>
      <w:r w:rsidRPr="00F84738">
        <w:rPr>
          <w:b w:val="0"/>
          <w:i/>
        </w:rPr>
        <w:tab/>
      </w:r>
      <w:r w:rsidR="00072D8B" w:rsidRPr="00F84738">
        <w:rPr>
          <w:b w:val="0"/>
          <w:i/>
        </w:rPr>
        <w:t>Observational studies implicating surgery in CJD</w:t>
      </w:r>
    </w:p>
    <w:p w14:paraId="65DC6BCB" w14:textId="4E3A2411" w:rsidR="00072D8B" w:rsidRPr="007A7C51" w:rsidRDefault="007D3FA6" w:rsidP="00622C6B">
      <w:pPr>
        <w:jc w:val="both"/>
        <w:rPr>
          <w:rFonts w:cs="Times New Roman"/>
        </w:rPr>
      </w:pPr>
      <w:r w:rsidRPr="007A7C51">
        <w:rPr>
          <w:rFonts w:cs="Times New Roman"/>
        </w:rPr>
        <w:t>Despite the absence of studies providing direct evidence of further cases of surgically transmitted CJD, a number of p</w:t>
      </w:r>
      <w:r w:rsidR="00072D8B" w:rsidRPr="007A7C51">
        <w:rPr>
          <w:rFonts w:cs="Times New Roman"/>
        </w:rPr>
        <w:t>apers were identified which allude to a potential relationship between CJD cases and prior surgery</w:t>
      </w:r>
      <w:r w:rsidRPr="007A7C51">
        <w:rPr>
          <w:rFonts w:cs="Times New Roman"/>
        </w:rPr>
        <w:t>. Papers which investigate but</w:t>
      </w:r>
      <w:r w:rsidR="00072D8B" w:rsidRPr="007A7C51">
        <w:rPr>
          <w:rFonts w:cs="Times New Roman"/>
        </w:rPr>
        <w:t xml:space="preserve"> </w:t>
      </w:r>
      <w:r w:rsidR="0082253D" w:rsidRPr="007A7C51">
        <w:rPr>
          <w:rFonts w:cs="Times New Roman"/>
        </w:rPr>
        <w:t>do not</w:t>
      </w:r>
      <w:r w:rsidRPr="007A7C51">
        <w:rPr>
          <w:rFonts w:cs="Times New Roman"/>
        </w:rPr>
        <w:t xml:space="preserve"> </w:t>
      </w:r>
      <w:r w:rsidR="0082253D" w:rsidRPr="007A7C51">
        <w:rPr>
          <w:rFonts w:cs="Times New Roman"/>
        </w:rPr>
        <w:t>provide evidence of</w:t>
      </w:r>
      <w:r w:rsidRPr="007A7C51">
        <w:rPr>
          <w:rFonts w:cs="Times New Roman"/>
        </w:rPr>
        <w:t xml:space="preserve"> a direct link to surgery</w:t>
      </w:r>
      <w:r w:rsidR="00072D8B" w:rsidRPr="007A7C51">
        <w:rPr>
          <w:rFonts w:cs="Times New Roman"/>
        </w:rPr>
        <w:t xml:space="preserve"> are </w:t>
      </w:r>
      <w:r w:rsidR="00EF7CCE">
        <w:rPr>
          <w:rFonts w:cs="Times New Roman"/>
        </w:rPr>
        <w:t>listed</w:t>
      </w:r>
      <w:r w:rsidR="00072D8B" w:rsidRPr="007A7C51">
        <w:rPr>
          <w:rFonts w:cs="Times New Roman"/>
        </w:rPr>
        <w:t xml:space="preserve"> in</w:t>
      </w:r>
      <w:r w:rsidR="002F0E33">
        <w:rPr>
          <w:rFonts w:cs="Times New Roman"/>
        </w:rPr>
        <w:t xml:space="preserve"> </w:t>
      </w:r>
      <w:r w:rsidR="002F0E33">
        <w:rPr>
          <w:rFonts w:cs="Times New Roman"/>
        </w:rPr>
        <w:fldChar w:fldCharType="begin"/>
      </w:r>
      <w:r w:rsidR="002F0E33">
        <w:rPr>
          <w:rFonts w:cs="Times New Roman"/>
        </w:rPr>
        <w:instrText xml:space="preserve"> REF _Ref506208278 \h </w:instrText>
      </w:r>
      <w:r w:rsidR="002F0E33">
        <w:rPr>
          <w:rFonts w:cs="Times New Roman"/>
        </w:rPr>
      </w:r>
      <w:r w:rsidR="002F0E33">
        <w:rPr>
          <w:rFonts w:cs="Times New Roman"/>
        </w:rPr>
        <w:fldChar w:fldCharType="separate"/>
      </w:r>
      <w:r w:rsidR="00690541">
        <w:t xml:space="preserve">Table </w:t>
      </w:r>
      <w:r w:rsidR="00690541">
        <w:rPr>
          <w:noProof/>
        </w:rPr>
        <w:t>5</w:t>
      </w:r>
      <w:r w:rsidR="002F0E33">
        <w:rPr>
          <w:rFonts w:cs="Times New Roman"/>
        </w:rPr>
        <w:fldChar w:fldCharType="end"/>
      </w:r>
      <w:r w:rsidR="00072D8B" w:rsidRPr="007A7C51">
        <w:rPr>
          <w:rFonts w:cs="Times New Roman"/>
        </w:rPr>
        <w:t>.</w:t>
      </w:r>
    </w:p>
    <w:p w14:paraId="6A7A0345" w14:textId="77777777" w:rsidR="00072D8B" w:rsidRPr="009F5584" w:rsidRDefault="00072D8B" w:rsidP="00622C6B">
      <w:pPr>
        <w:jc w:val="both"/>
        <w:rPr>
          <w:rFonts w:cs="Times New Roman"/>
          <w:sz w:val="24"/>
          <w:szCs w:val="24"/>
        </w:rPr>
      </w:pPr>
    </w:p>
    <w:p w14:paraId="5AA6C9BB" w14:textId="7AE14F53" w:rsidR="00875F98" w:rsidRDefault="00875F98" w:rsidP="00875F98">
      <w:pPr>
        <w:pStyle w:val="Caption"/>
        <w:keepNext/>
      </w:pPr>
      <w:bookmarkStart w:id="45" w:name="_Ref506208278"/>
      <w:bookmarkStart w:id="46" w:name="_Toc525106692"/>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5</w:t>
      </w:r>
      <w:r w:rsidR="00F62DB8">
        <w:rPr>
          <w:noProof/>
        </w:rPr>
        <w:fldChar w:fldCharType="end"/>
      </w:r>
      <w:bookmarkEnd w:id="45"/>
      <w:r w:rsidR="00622C6B">
        <w:rPr>
          <w:noProof/>
        </w:rPr>
        <w:t>:</w:t>
      </w:r>
      <w:r w:rsidR="00622C6B">
        <w:rPr>
          <w:noProof/>
        </w:rPr>
        <w:tab/>
      </w:r>
      <w:r>
        <w:t>Studies reporting links between CJD and surgery</w:t>
      </w:r>
      <w:r w:rsidR="003C113D">
        <w:t xml:space="preserve"> published between 2005-2017</w:t>
      </w:r>
      <w:bookmarkEnd w:id="46"/>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719"/>
        <w:gridCol w:w="1652"/>
      </w:tblGrid>
      <w:tr w:rsidR="00811BE9" w:rsidRPr="009F5584" w14:paraId="6354E222" w14:textId="77777777" w:rsidTr="00931EC4">
        <w:trPr>
          <w:trHeight w:val="294"/>
        </w:trPr>
        <w:tc>
          <w:tcPr>
            <w:tcW w:w="1838" w:type="dxa"/>
            <w:noWrap/>
            <w:hideMark/>
          </w:tcPr>
          <w:p w14:paraId="563E0293" w14:textId="77777777" w:rsidR="00811BE9" w:rsidRPr="007A7C51" w:rsidRDefault="00811BE9" w:rsidP="00622C6B">
            <w:pPr>
              <w:spacing w:after="120" w:line="240" w:lineRule="auto"/>
              <w:jc w:val="both"/>
              <w:rPr>
                <w:rFonts w:cs="Times New Roman"/>
                <w:b/>
                <w:bCs/>
              </w:rPr>
            </w:pPr>
            <w:r w:rsidRPr="007A7C51">
              <w:rPr>
                <w:rFonts w:cs="Times New Roman"/>
                <w:b/>
                <w:bCs/>
              </w:rPr>
              <w:t>Study</w:t>
            </w:r>
          </w:p>
        </w:tc>
        <w:tc>
          <w:tcPr>
            <w:tcW w:w="5719" w:type="dxa"/>
            <w:hideMark/>
          </w:tcPr>
          <w:p w14:paraId="22653346" w14:textId="77777777" w:rsidR="00811BE9" w:rsidRPr="007A7C51" w:rsidRDefault="00811BE9" w:rsidP="00622C6B">
            <w:pPr>
              <w:spacing w:after="120" w:line="240" w:lineRule="auto"/>
              <w:jc w:val="both"/>
              <w:rPr>
                <w:rFonts w:cs="Times New Roman"/>
                <w:b/>
                <w:bCs/>
              </w:rPr>
            </w:pPr>
            <w:r w:rsidRPr="007A7C51">
              <w:rPr>
                <w:rFonts w:cs="Times New Roman"/>
                <w:b/>
                <w:bCs/>
              </w:rPr>
              <w:t>Design</w:t>
            </w:r>
          </w:p>
        </w:tc>
        <w:tc>
          <w:tcPr>
            <w:tcW w:w="1652" w:type="dxa"/>
            <w:hideMark/>
          </w:tcPr>
          <w:p w14:paraId="3E266DF3" w14:textId="5E843C24" w:rsidR="00811BE9" w:rsidRPr="007A7C51" w:rsidRDefault="009B605A" w:rsidP="00622C6B">
            <w:pPr>
              <w:spacing w:after="120" w:line="240" w:lineRule="auto"/>
              <w:jc w:val="both"/>
              <w:rPr>
                <w:rFonts w:cs="Times New Roman"/>
                <w:b/>
                <w:bCs/>
              </w:rPr>
            </w:pPr>
            <w:r w:rsidRPr="007A7C51">
              <w:rPr>
                <w:rFonts w:cs="Times New Roman"/>
                <w:b/>
                <w:bCs/>
              </w:rPr>
              <w:t>Source</w:t>
            </w:r>
          </w:p>
        </w:tc>
      </w:tr>
      <w:tr w:rsidR="00811BE9" w:rsidRPr="009F5584" w14:paraId="55A74CE6" w14:textId="77777777" w:rsidTr="00931EC4">
        <w:trPr>
          <w:trHeight w:val="900"/>
        </w:trPr>
        <w:tc>
          <w:tcPr>
            <w:tcW w:w="1838" w:type="dxa"/>
            <w:noWrap/>
          </w:tcPr>
          <w:p w14:paraId="0A200791" w14:textId="106109A1" w:rsidR="00811BE9" w:rsidRPr="007A7C51" w:rsidRDefault="00811BE9" w:rsidP="0076576E">
            <w:pPr>
              <w:spacing w:after="120" w:line="240" w:lineRule="auto"/>
              <w:jc w:val="both"/>
              <w:rPr>
                <w:rFonts w:cs="Times New Roman"/>
                <w:bCs/>
              </w:rPr>
            </w:pPr>
            <w:r w:rsidRPr="007A7C51">
              <w:rPr>
                <w:rFonts w:cs="Times New Roman"/>
                <w:bCs/>
              </w:rPr>
              <w:t xml:space="preserve">Kobayashi </w:t>
            </w:r>
            <w:r w:rsidR="00B301D6" w:rsidRPr="00B301D6">
              <w:rPr>
                <w:rFonts w:cs="Times New Roman"/>
                <w:bCs/>
                <w:i/>
              </w:rPr>
              <w:t>et al</w:t>
            </w:r>
            <w:r w:rsidRPr="007A7C51">
              <w:rPr>
                <w:rFonts w:cs="Times New Roman"/>
                <w:bCs/>
              </w:rPr>
              <w:t xml:space="preserve"> </w:t>
            </w:r>
            <w:r w:rsidR="00140508">
              <w:rPr>
                <w:rFonts w:cs="Times New Roman"/>
                <w:bCs/>
              </w:rPr>
              <w:t>(</w:t>
            </w:r>
            <w:r w:rsidRPr="007A7C51">
              <w:rPr>
                <w:rFonts w:cs="Times New Roman"/>
                <w:bCs/>
              </w:rPr>
              <w:t>2016</w:t>
            </w:r>
            <w:r w:rsidR="00140508">
              <w:rPr>
                <w:rFonts w:cs="Times New Roman"/>
                <w:bCs/>
              </w:rPr>
              <w:t>)</w:t>
            </w:r>
            <w:r w:rsidR="008D353A" w:rsidRPr="007A7C51">
              <w:rPr>
                <w:rFonts w:cs="Times New Roman"/>
                <w:bCs/>
              </w:rPr>
              <w:fldChar w:fldCharType="begin">
                <w:fldData xml:space="preserve">PEVuZE5vdGU+PENpdGU+PEF1dGhvcj5UZXJhc2FrYTwvQXV0aG9yPjxZZWFyPjIwMTY8L1llYXI+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</w:fldData>
              </w:fldChar>
            </w:r>
            <w:r w:rsidR="0076576E">
              <w:rPr>
                <w:rFonts w:cs="Times New Roman"/>
                <w:bCs/>
              </w:rPr>
              <w:instrText xml:space="preserve"> ADDIN EN.CITE </w:instrText>
            </w:r>
            <w:r w:rsidR="0076576E">
              <w:rPr>
                <w:rFonts w:cs="Times New Roman"/>
                <w:bCs/>
              </w:rPr>
              <w:fldChar w:fldCharType="begin">
                <w:fldData xml:space="preserve">PEVuZE5vdGU+PENpdGU+PEF1dGhvcj5UZXJhc2FrYTwvQXV0aG9yPjxZZWFyPjIwMTY8L1llYXI+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sidR="008D353A" w:rsidRPr="007A7C51">
              <w:rPr>
                <w:rFonts w:cs="Times New Roman"/>
                <w:bCs/>
              </w:rPr>
            </w:r>
            <w:r w:rsidR="008D353A" w:rsidRPr="007A7C51">
              <w:rPr>
                <w:rFonts w:cs="Times New Roman"/>
                <w:bCs/>
              </w:rPr>
              <w:fldChar w:fldCharType="separate"/>
            </w:r>
            <w:r w:rsidR="0076576E" w:rsidRPr="0076576E">
              <w:rPr>
                <w:rFonts w:cs="Times New Roman"/>
                <w:bCs/>
                <w:noProof/>
                <w:vertAlign w:val="superscript"/>
              </w:rPr>
              <w:t>94-96</w:t>
            </w:r>
            <w:r w:rsidR="008D353A" w:rsidRPr="007A7C51">
              <w:rPr>
                <w:rFonts w:cs="Times New Roman"/>
                <w:bCs/>
              </w:rPr>
              <w:fldChar w:fldCharType="end"/>
            </w:r>
          </w:p>
        </w:tc>
        <w:tc>
          <w:tcPr>
            <w:tcW w:w="5719" w:type="dxa"/>
          </w:tcPr>
          <w:p w14:paraId="09CEF915" w14:textId="1E9FC9ED" w:rsidR="00811BE9" w:rsidRPr="007A7C51" w:rsidRDefault="0082253D" w:rsidP="00635170">
            <w:pPr>
              <w:spacing w:after="120" w:line="240" w:lineRule="auto"/>
              <w:jc w:val="both"/>
              <w:rPr>
                <w:rFonts w:cs="Times New Roman"/>
                <w:bCs/>
              </w:rPr>
            </w:pPr>
            <w:r w:rsidRPr="007A7C51">
              <w:rPr>
                <w:rFonts w:cs="Times New Roman"/>
                <w:bCs/>
              </w:rPr>
              <w:t>T</w:t>
            </w:r>
            <w:r w:rsidR="005F105A" w:rsidRPr="007A7C51">
              <w:rPr>
                <w:rFonts w:cs="Times New Roman"/>
                <w:bCs/>
              </w:rPr>
              <w:t>wo</w:t>
            </w:r>
            <w:r w:rsidR="008D353A" w:rsidRPr="007A7C51">
              <w:rPr>
                <w:rFonts w:cs="Times New Roman"/>
                <w:bCs/>
              </w:rPr>
              <w:t xml:space="preserve"> historic</w:t>
            </w:r>
            <w:r w:rsidR="005F105A" w:rsidRPr="007A7C51">
              <w:rPr>
                <w:rFonts w:cs="Times New Roman"/>
                <w:bCs/>
              </w:rPr>
              <w:t xml:space="preserve"> </w:t>
            </w:r>
            <w:r w:rsidR="008D353A" w:rsidRPr="007A7C51">
              <w:rPr>
                <w:rFonts w:cs="Times New Roman"/>
                <w:bCs/>
              </w:rPr>
              <w:t>s</w:t>
            </w:r>
            <w:r w:rsidR="00B90552">
              <w:rPr>
                <w:rFonts w:cs="Times New Roman"/>
                <w:bCs/>
              </w:rPr>
              <w:t>CJD cases</w:t>
            </w:r>
            <w:r w:rsidR="00811BE9" w:rsidRPr="007A7C51">
              <w:rPr>
                <w:rFonts w:cs="Times New Roman"/>
                <w:bCs/>
              </w:rPr>
              <w:t xml:space="preserve"> </w:t>
            </w:r>
            <w:r w:rsidR="008D353A" w:rsidRPr="007A7C51">
              <w:rPr>
                <w:rFonts w:cs="Times New Roman"/>
                <w:bCs/>
              </w:rPr>
              <w:t xml:space="preserve">with neuropathological and </w:t>
            </w:r>
            <w:r w:rsidR="006F1A40" w:rsidRPr="007A7C51">
              <w:rPr>
                <w:rFonts w:cs="Times New Roman"/>
                <w:bCs/>
              </w:rPr>
              <w:t xml:space="preserve">biochemical features </w:t>
            </w:r>
            <w:r w:rsidR="008D353A" w:rsidRPr="007A7C51">
              <w:rPr>
                <w:rFonts w:cs="Times New Roman"/>
                <w:bCs/>
              </w:rPr>
              <w:t>of</w:t>
            </w:r>
            <w:r w:rsidR="006F1A40" w:rsidRPr="007A7C51">
              <w:rPr>
                <w:rFonts w:cs="Times New Roman"/>
                <w:bCs/>
              </w:rPr>
              <w:t xml:space="preserve"> plaque-type</w:t>
            </w:r>
            <w:r w:rsidR="004B661A" w:rsidRPr="007A7C51">
              <w:rPr>
                <w:rFonts w:cs="Times New Roman"/>
                <w:bCs/>
              </w:rPr>
              <w:t xml:space="preserve"> dura</w:t>
            </w:r>
            <w:r w:rsidR="00635170">
              <w:rPr>
                <w:rFonts w:cs="Times New Roman"/>
                <w:bCs/>
              </w:rPr>
              <w:t xml:space="preserve"> </w:t>
            </w:r>
            <w:r w:rsidR="004B661A" w:rsidRPr="007A7C51">
              <w:rPr>
                <w:rFonts w:cs="Times New Roman"/>
                <w:bCs/>
              </w:rPr>
              <w:t>mater-acquired-CJD</w:t>
            </w:r>
            <w:r w:rsidR="00675DFF" w:rsidRPr="007A7C51">
              <w:rPr>
                <w:rFonts w:cs="Times New Roman"/>
                <w:bCs/>
              </w:rPr>
              <w:t>. The authors</w:t>
            </w:r>
            <w:r w:rsidR="008D353A" w:rsidRPr="007A7C51">
              <w:rPr>
                <w:rFonts w:cs="Times New Roman"/>
                <w:bCs/>
              </w:rPr>
              <w:t xml:space="preserve"> posit that</w:t>
            </w:r>
            <w:r w:rsidR="00811BE9" w:rsidRPr="007A7C51">
              <w:rPr>
                <w:rFonts w:cs="Times New Roman"/>
                <w:bCs/>
              </w:rPr>
              <w:t xml:space="preserve"> </w:t>
            </w:r>
            <w:r w:rsidR="00675DFF" w:rsidRPr="007A7C51">
              <w:rPr>
                <w:rFonts w:cs="Times New Roman"/>
                <w:bCs/>
              </w:rPr>
              <w:t>these cases (a neurosurgeon and a patient with a medical history of neurosurgery without dura mater</w:t>
            </w:r>
            <w:r w:rsidR="004B661A" w:rsidRPr="007A7C51">
              <w:rPr>
                <w:rFonts w:cs="Times New Roman"/>
                <w:bCs/>
              </w:rPr>
              <w:t xml:space="preserve"> </w:t>
            </w:r>
            <w:r w:rsidR="00675DFF" w:rsidRPr="007A7C51">
              <w:rPr>
                <w:rFonts w:cs="Times New Roman"/>
                <w:bCs/>
              </w:rPr>
              <w:t xml:space="preserve">grafting) represent iCJD </w:t>
            </w:r>
            <w:r w:rsidR="00811BE9" w:rsidRPr="007A7C51">
              <w:rPr>
                <w:rFonts w:cs="Times New Roman"/>
                <w:bCs/>
              </w:rPr>
              <w:t>through cross-contamination from neurosurgical instruments or through occupational exposure as a neurosurgeon.</w:t>
            </w:r>
          </w:p>
        </w:tc>
        <w:tc>
          <w:tcPr>
            <w:tcW w:w="1652" w:type="dxa"/>
          </w:tcPr>
          <w:p w14:paraId="680CFF34" w14:textId="08401127" w:rsidR="00811BE9" w:rsidRPr="007A7C51" w:rsidRDefault="00764214" w:rsidP="00622C6B">
            <w:pPr>
              <w:spacing w:after="120" w:line="240" w:lineRule="auto"/>
              <w:jc w:val="both"/>
              <w:rPr>
                <w:rFonts w:cs="Times New Roman"/>
                <w:bCs/>
              </w:rPr>
            </w:pPr>
            <w:r w:rsidRPr="007A7C51">
              <w:rPr>
                <w:rFonts w:cs="Times New Roman"/>
                <w:bCs/>
              </w:rPr>
              <w:t>Two p</w:t>
            </w:r>
            <w:r w:rsidR="003D1ADF" w:rsidRPr="007A7C51">
              <w:rPr>
                <w:rFonts w:cs="Times New Roman"/>
                <w:bCs/>
              </w:rPr>
              <w:t>ublished paper</w:t>
            </w:r>
            <w:r w:rsidRPr="007A7C51">
              <w:rPr>
                <w:rFonts w:cs="Times New Roman"/>
                <w:bCs/>
              </w:rPr>
              <w:t>s</w:t>
            </w:r>
            <w:r w:rsidR="003D1ADF" w:rsidRPr="007A7C51">
              <w:rPr>
                <w:rFonts w:cs="Times New Roman"/>
                <w:bCs/>
              </w:rPr>
              <w:t xml:space="preserve"> and conference abstract</w:t>
            </w:r>
          </w:p>
        </w:tc>
      </w:tr>
      <w:tr w:rsidR="009B605A" w:rsidRPr="009F5584" w14:paraId="4073DA05" w14:textId="77777777" w:rsidTr="00931EC4">
        <w:trPr>
          <w:trHeight w:val="900"/>
        </w:trPr>
        <w:tc>
          <w:tcPr>
            <w:tcW w:w="1838" w:type="dxa"/>
            <w:noWrap/>
          </w:tcPr>
          <w:p w14:paraId="7FB32492" w14:textId="7F94916B" w:rsidR="009B605A" w:rsidRPr="007A7C51" w:rsidRDefault="00F96744" w:rsidP="0076576E">
            <w:pPr>
              <w:spacing w:after="120" w:line="240" w:lineRule="auto"/>
              <w:jc w:val="both"/>
              <w:rPr>
                <w:rFonts w:cs="Times New Roman"/>
                <w:bCs/>
              </w:rPr>
            </w:pPr>
            <w:r w:rsidRPr="007A7C51">
              <w:rPr>
                <w:rFonts w:cs="Times New Roman"/>
                <w:bCs/>
              </w:rPr>
              <w:t>Gnan</w:t>
            </w:r>
            <w:r w:rsidR="009B605A" w:rsidRPr="007A7C51">
              <w:rPr>
                <w:rFonts w:cs="Times New Roman"/>
                <w:bCs/>
              </w:rPr>
              <w:t xml:space="preserve">ajothy </w:t>
            </w:r>
            <w:r w:rsidR="00B301D6" w:rsidRPr="00B301D6">
              <w:rPr>
                <w:rFonts w:cs="Times New Roman"/>
                <w:bCs/>
                <w:i/>
              </w:rPr>
              <w:t>et al</w:t>
            </w:r>
            <w:r w:rsidR="009B605A" w:rsidRPr="007A7C51">
              <w:rPr>
                <w:rFonts w:cs="Times New Roman"/>
                <w:bCs/>
              </w:rPr>
              <w:t xml:space="preserve"> (2013)</w:t>
            </w:r>
            <w:r w:rsidR="00826471" w:rsidRPr="007A7C51">
              <w:rPr>
                <w:rFonts w:cs="Times New Roman"/>
                <w:bCs/>
              </w:rPr>
              <w:fldChar w:fldCharType="begin">
                <w:fldData xml:space="preserve">PEVuZE5vdGU+PENpdGU+PEF1dGhvcj5HbmFuYWpvdGh5PC9BdXRob3I+PFllYXI+MjAxMzwvWWVh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==
</w:fldData>
              </w:fldChar>
            </w:r>
            <w:r w:rsidR="0076576E">
              <w:rPr>
                <w:rFonts w:cs="Times New Roman"/>
                <w:bCs/>
              </w:rPr>
              <w:instrText xml:space="preserve"> ADDIN EN.CITE </w:instrText>
            </w:r>
            <w:r w:rsidR="0076576E">
              <w:rPr>
                <w:rFonts w:cs="Times New Roman"/>
                <w:bCs/>
              </w:rPr>
              <w:fldChar w:fldCharType="begin">
                <w:fldData xml:space="preserve">PEVuZE5vdGU+PENpdGU+PEF1dGhvcj5HbmFuYWpvdGh5PC9BdXRob3I+PFllYXI+MjAxMzwvWWVh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==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sidR="00826471" w:rsidRPr="007A7C51">
              <w:rPr>
                <w:rFonts w:cs="Times New Roman"/>
                <w:bCs/>
              </w:rPr>
            </w:r>
            <w:r w:rsidR="00826471" w:rsidRPr="007A7C51">
              <w:rPr>
                <w:rFonts w:cs="Times New Roman"/>
                <w:bCs/>
              </w:rPr>
              <w:fldChar w:fldCharType="separate"/>
            </w:r>
            <w:r w:rsidR="0076576E" w:rsidRPr="0076576E">
              <w:rPr>
                <w:rFonts w:cs="Times New Roman"/>
                <w:bCs/>
                <w:noProof/>
                <w:vertAlign w:val="superscript"/>
              </w:rPr>
              <w:t>97</w:t>
            </w:r>
            <w:r w:rsidR="00826471" w:rsidRPr="007A7C51">
              <w:rPr>
                <w:rFonts w:cs="Times New Roman"/>
                <w:bCs/>
              </w:rPr>
              <w:fldChar w:fldCharType="end"/>
            </w:r>
          </w:p>
        </w:tc>
        <w:tc>
          <w:tcPr>
            <w:tcW w:w="5719" w:type="dxa"/>
          </w:tcPr>
          <w:p w14:paraId="168EF6E5" w14:textId="47B607A2" w:rsidR="009B605A" w:rsidRPr="007A7C51" w:rsidRDefault="009B605A" w:rsidP="00622C6B">
            <w:pPr>
              <w:spacing w:after="120" w:line="240" w:lineRule="auto"/>
              <w:jc w:val="both"/>
              <w:rPr>
                <w:rFonts w:cs="Times New Roman"/>
                <w:bCs/>
              </w:rPr>
            </w:pPr>
            <w:r w:rsidRPr="007A7C51">
              <w:rPr>
                <w:rFonts w:cs="Times New Roman"/>
                <w:bCs/>
              </w:rPr>
              <w:t xml:space="preserve">Case report of </w:t>
            </w:r>
            <w:r w:rsidR="000E7C25" w:rsidRPr="007A7C51">
              <w:rPr>
                <w:rFonts w:cs="Times New Roman"/>
                <w:bCs/>
              </w:rPr>
              <w:t>64-year-old</w:t>
            </w:r>
            <w:r w:rsidRPr="007A7C51">
              <w:rPr>
                <w:rFonts w:cs="Times New Roman"/>
                <w:bCs/>
              </w:rPr>
              <w:t xml:space="preserve"> man diagnosed with CJD</w:t>
            </w:r>
            <w:r w:rsidR="00BE4EEE">
              <w:rPr>
                <w:rFonts w:cs="Times New Roman"/>
                <w:bCs/>
              </w:rPr>
              <w:t xml:space="preserve"> (type of CJD not reported)</w:t>
            </w:r>
            <w:r w:rsidRPr="007A7C51">
              <w:rPr>
                <w:rFonts w:cs="Times New Roman"/>
                <w:bCs/>
              </w:rPr>
              <w:t xml:space="preserve"> </w:t>
            </w:r>
            <w:r w:rsidR="00F96744" w:rsidRPr="007A7C51">
              <w:rPr>
                <w:rFonts w:cs="Times New Roman"/>
                <w:bCs/>
              </w:rPr>
              <w:t>three</w:t>
            </w:r>
            <w:r w:rsidRPr="007A7C51">
              <w:rPr>
                <w:rFonts w:cs="Times New Roman"/>
                <w:bCs/>
              </w:rPr>
              <w:t xml:space="preserve"> months after cataract surgery. The authors discuss the possibility that ophthalmologic surgery </w:t>
            </w:r>
            <w:r w:rsidR="00F96744" w:rsidRPr="007A7C51">
              <w:rPr>
                <w:rFonts w:cs="Times New Roman"/>
                <w:bCs/>
              </w:rPr>
              <w:t xml:space="preserve">events </w:t>
            </w:r>
            <w:r w:rsidRPr="007A7C51">
              <w:rPr>
                <w:rFonts w:cs="Times New Roman"/>
                <w:bCs/>
              </w:rPr>
              <w:t xml:space="preserve">might </w:t>
            </w:r>
            <w:r w:rsidR="00F96744" w:rsidRPr="007A7C51">
              <w:rPr>
                <w:rFonts w:cs="Times New Roman"/>
                <w:bCs/>
              </w:rPr>
              <w:t>occur</w:t>
            </w:r>
            <w:r w:rsidRPr="007A7C51">
              <w:rPr>
                <w:rFonts w:cs="Times New Roman"/>
                <w:bCs/>
              </w:rPr>
              <w:t xml:space="preserve"> </w:t>
            </w:r>
            <w:r w:rsidR="00F96744" w:rsidRPr="007A7C51">
              <w:rPr>
                <w:rFonts w:cs="Times New Roman"/>
                <w:bCs/>
              </w:rPr>
              <w:t xml:space="preserve">due to </w:t>
            </w:r>
            <w:r w:rsidRPr="007A7C51">
              <w:rPr>
                <w:rFonts w:cs="Times New Roman"/>
                <w:bCs/>
              </w:rPr>
              <w:t xml:space="preserve">visual symptoms </w:t>
            </w:r>
            <w:r w:rsidR="00F96744" w:rsidRPr="007A7C51">
              <w:rPr>
                <w:rFonts w:cs="Times New Roman"/>
                <w:bCs/>
              </w:rPr>
              <w:t>at the onset of t</w:t>
            </w:r>
            <w:r w:rsidRPr="007A7C51">
              <w:rPr>
                <w:rFonts w:cs="Times New Roman"/>
                <w:bCs/>
              </w:rPr>
              <w:t>he disease rather than the procedure itself transmitting the disease.</w:t>
            </w:r>
          </w:p>
        </w:tc>
        <w:tc>
          <w:tcPr>
            <w:tcW w:w="1652" w:type="dxa"/>
          </w:tcPr>
          <w:p w14:paraId="05A25A6E" w14:textId="69E7580E" w:rsidR="009B605A" w:rsidRPr="007A7C51" w:rsidRDefault="009B605A" w:rsidP="00622C6B">
            <w:pPr>
              <w:spacing w:after="120" w:line="240" w:lineRule="auto"/>
              <w:jc w:val="both"/>
              <w:rPr>
                <w:rFonts w:cs="Times New Roman"/>
                <w:bCs/>
              </w:rPr>
            </w:pPr>
            <w:r w:rsidRPr="007A7C51">
              <w:rPr>
                <w:rFonts w:cs="Times New Roman"/>
                <w:bCs/>
              </w:rPr>
              <w:t>Published paper</w:t>
            </w:r>
          </w:p>
        </w:tc>
      </w:tr>
      <w:tr w:rsidR="00811BE9" w:rsidRPr="009F5584" w14:paraId="09298507" w14:textId="77777777" w:rsidTr="00931EC4">
        <w:trPr>
          <w:trHeight w:val="900"/>
        </w:trPr>
        <w:tc>
          <w:tcPr>
            <w:tcW w:w="1838" w:type="dxa"/>
            <w:noWrap/>
          </w:tcPr>
          <w:p w14:paraId="769A7184" w14:textId="0C4D0223" w:rsidR="00811BE9" w:rsidRPr="007A7C51" w:rsidRDefault="00811BE9" w:rsidP="0076576E">
            <w:pPr>
              <w:spacing w:after="120" w:line="240" w:lineRule="auto"/>
              <w:jc w:val="both"/>
              <w:rPr>
                <w:rFonts w:cs="Times New Roman"/>
                <w:bCs/>
              </w:rPr>
            </w:pPr>
            <w:r w:rsidRPr="007A7C51">
              <w:rPr>
                <w:rFonts w:cs="Times New Roman"/>
                <w:bCs/>
              </w:rPr>
              <w:t xml:space="preserve">Tuck </w:t>
            </w:r>
            <w:r w:rsidR="00B301D6" w:rsidRPr="00B301D6">
              <w:rPr>
                <w:rFonts w:cs="Times New Roman"/>
                <w:bCs/>
                <w:i/>
              </w:rPr>
              <w:t>et al</w:t>
            </w:r>
            <w:r w:rsidRPr="007A7C51">
              <w:rPr>
                <w:rFonts w:cs="Times New Roman"/>
                <w:bCs/>
              </w:rPr>
              <w:t xml:space="preserve"> </w:t>
            </w:r>
            <w:r w:rsidR="00140508">
              <w:rPr>
                <w:rFonts w:cs="Times New Roman"/>
                <w:bCs/>
              </w:rPr>
              <w:t>(</w:t>
            </w:r>
            <w:r w:rsidRPr="007A7C51">
              <w:rPr>
                <w:rFonts w:cs="Times New Roman"/>
                <w:bCs/>
              </w:rPr>
              <w:t>2013</w:t>
            </w:r>
            <w:r w:rsidR="00140508">
              <w:rPr>
                <w:rFonts w:cs="Times New Roman"/>
                <w:bCs/>
              </w:rPr>
              <w:t>)</w:t>
            </w:r>
            <w:r w:rsidR="0049614B" w:rsidRPr="007A7C51">
              <w:rPr>
                <w:rFonts w:cs="Times New Roman"/>
                <w:bCs/>
              </w:rPr>
              <w:fldChar w:fldCharType="begin">
                <w:fldData xml:space="preserve">PEVuZE5vdGU+PENpdGU+PEF1dGhvcj5UdWNrPC9BdXRob3I+PFllYXI+MjAxMzwvWWVhcj48UmVj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</w:fldData>
              </w:fldChar>
            </w:r>
            <w:r w:rsidR="0076576E">
              <w:rPr>
                <w:rFonts w:cs="Times New Roman"/>
                <w:bCs/>
              </w:rPr>
              <w:instrText xml:space="preserve"> ADDIN EN.CITE </w:instrText>
            </w:r>
            <w:r w:rsidR="0076576E">
              <w:rPr>
                <w:rFonts w:cs="Times New Roman"/>
                <w:bCs/>
              </w:rPr>
              <w:fldChar w:fldCharType="begin">
                <w:fldData xml:space="preserve">PEVuZE5vdGU+PENpdGU+PEF1dGhvcj5UdWNrPC9BdXRob3I+PFllYXI+MjAxMzwvWWVhcj48UmVj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sidR="0049614B" w:rsidRPr="007A7C51">
              <w:rPr>
                <w:rFonts w:cs="Times New Roman"/>
                <w:bCs/>
              </w:rPr>
            </w:r>
            <w:r w:rsidR="0049614B" w:rsidRPr="007A7C51">
              <w:rPr>
                <w:rFonts w:cs="Times New Roman"/>
                <w:bCs/>
              </w:rPr>
              <w:fldChar w:fldCharType="separate"/>
            </w:r>
            <w:r w:rsidR="0076576E" w:rsidRPr="0076576E">
              <w:rPr>
                <w:rFonts w:cs="Times New Roman"/>
                <w:bCs/>
                <w:noProof/>
                <w:vertAlign w:val="superscript"/>
              </w:rPr>
              <w:t>98</w:t>
            </w:r>
            <w:r w:rsidR="0049614B" w:rsidRPr="007A7C51">
              <w:rPr>
                <w:rFonts w:cs="Times New Roman"/>
                <w:bCs/>
              </w:rPr>
              <w:fldChar w:fldCharType="end"/>
            </w:r>
          </w:p>
        </w:tc>
        <w:tc>
          <w:tcPr>
            <w:tcW w:w="5719" w:type="dxa"/>
          </w:tcPr>
          <w:p w14:paraId="4F01908E" w14:textId="40FF421B" w:rsidR="00811BE9" w:rsidRPr="007A7C51" w:rsidRDefault="00811BE9" w:rsidP="00622C6B">
            <w:pPr>
              <w:spacing w:after="120" w:line="240" w:lineRule="auto"/>
              <w:jc w:val="both"/>
              <w:rPr>
                <w:rFonts w:cs="Times New Roman"/>
                <w:bCs/>
              </w:rPr>
            </w:pPr>
            <w:r w:rsidRPr="007A7C51">
              <w:rPr>
                <w:rFonts w:cs="Times New Roman"/>
                <w:bCs/>
              </w:rPr>
              <w:t xml:space="preserve">Case report of </w:t>
            </w:r>
            <w:r w:rsidR="00B90552">
              <w:rPr>
                <w:rFonts w:cs="Times New Roman"/>
                <w:bCs/>
              </w:rPr>
              <w:t>sCJD</w:t>
            </w:r>
            <w:r w:rsidR="00646218">
              <w:rPr>
                <w:rFonts w:cs="Times New Roman"/>
                <w:bCs/>
              </w:rPr>
              <w:t xml:space="preserve"> </w:t>
            </w:r>
            <w:r w:rsidR="00B90552">
              <w:rPr>
                <w:rFonts w:cs="Times New Roman"/>
                <w:bCs/>
              </w:rPr>
              <w:t>which was posited to be iCJD via surgery due to the patient’s young age. At 33 years of age, the patient experienced progressive deficits over 3 months.</w:t>
            </w:r>
          </w:p>
          <w:p w14:paraId="1E01D4B5" w14:textId="2D8DFAFB" w:rsidR="00811BE9" w:rsidRPr="007A7C51" w:rsidRDefault="00B90552" w:rsidP="00622C6B">
            <w:pPr>
              <w:spacing w:after="120" w:line="240" w:lineRule="auto"/>
              <w:jc w:val="both"/>
              <w:rPr>
                <w:rFonts w:cs="Times New Roman"/>
                <w:bCs/>
              </w:rPr>
            </w:pPr>
            <w:r>
              <w:rPr>
                <w:rFonts w:cs="Times New Roman"/>
                <w:bCs/>
              </w:rPr>
              <w:t>Review of medical history revealed that a v</w:t>
            </w:r>
            <w:r w:rsidR="00811BE9" w:rsidRPr="007A7C51">
              <w:rPr>
                <w:rFonts w:cs="Times New Roman"/>
                <w:bCs/>
              </w:rPr>
              <w:t xml:space="preserve">entriculo-peritoneal shunt </w:t>
            </w:r>
            <w:r>
              <w:rPr>
                <w:rFonts w:cs="Times New Roman"/>
                <w:bCs/>
              </w:rPr>
              <w:t xml:space="preserve">was </w:t>
            </w:r>
            <w:r w:rsidR="00811BE9" w:rsidRPr="007A7C51">
              <w:rPr>
                <w:rFonts w:cs="Times New Roman"/>
                <w:bCs/>
              </w:rPr>
              <w:t>placed at age 11</w:t>
            </w:r>
            <w:r>
              <w:rPr>
                <w:rFonts w:cs="Times New Roman"/>
                <w:bCs/>
              </w:rPr>
              <w:t xml:space="preserve"> for hydrocephalus</w:t>
            </w:r>
            <w:r w:rsidR="00811BE9" w:rsidRPr="007A7C51">
              <w:rPr>
                <w:rFonts w:cs="Times New Roman"/>
                <w:bCs/>
              </w:rPr>
              <w:t>.</w:t>
            </w:r>
            <w:r>
              <w:rPr>
                <w:rFonts w:cs="Times New Roman"/>
                <w:bCs/>
              </w:rPr>
              <w:t xml:space="preserve"> </w:t>
            </w:r>
            <w:r w:rsidR="00811BE9" w:rsidRPr="007A7C51">
              <w:rPr>
                <w:rFonts w:cs="Times New Roman"/>
                <w:bCs/>
              </w:rPr>
              <w:t>Autopsy</w:t>
            </w:r>
            <w:r>
              <w:rPr>
                <w:rFonts w:cs="Times New Roman"/>
                <w:bCs/>
              </w:rPr>
              <w:t xml:space="preserve"> results were consistent with</w:t>
            </w:r>
            <w:r w:rsidR="00811BE9" w:rsidRPr="007A7C51">
              <w:rPr>
                <w:rFonts w:cs="Times New Roman"/>
                <w:bCs/>
              </w:rPr>
              <w:t xml:space="preserve"> sCJD.</w:t>
            </w:r>
          </w:p>
        </w:tc>
        <w:tc>
          <w:tcPr>
            <w:tcW w:w="1652" w:type="dxa"/>
          </w:tcPr>
          <w:p w14:paraId="5B05D0D6" w14:textId="065E0951" w:rsidR="00811BE9" w:rsidRPr="007A7C51" w:rsidRDefault="00811BE9" w:rsidP="00622C6B">
            <w:pPr>
              <w:spacing w:after="120" w:line="240" w:lineRule="auto"/>
              <w:jc w:val="both"/>
              <w:rPr>
                <w:rFonts w:cs="Times New Roman"/>
                <w:bCs/>
              </w:rPr>
            </w:pPr>
            <w:r w:rsidRPr="007A7C51">
              <w:rPr>
                <w:rFonts w:cs="Times New Roman"/>
                <w:bCs/>
              </w:rPr>
              <w:t>Conference abstract</w:t>
            </w:r>
          </w:p>
        </w:tc>
      </w:tr>
      <w:tr w:rsidR="00DD45EE" w:rsidRPr="009F5584" w14:paraId="63ACAB29" w14:textId="77777777" w:rsidTr="00931EC4">
        <w:trPr>
          <w:trHeight w:val="900"/>
        </w:trPr>
        <w:tc>
          <w:tcPr>
            <w:tcW w:w="1838" w:type="dxa"/>
            <w:noWrap/>
          </w:tcPr>
          <w:p w14:paraId="09B568FA" w14:textId="75D06FA2" w:rsidR="00DD45EE" w:rsidRPr="007A7C51" w:rsidRDefault="00DD45EE" w:rsidP="0076576E">
            <w:pPr>
              <w:spacing w:after="120" w:line="240" w:lineRule="auto"/>
              <w:jc w:val="both"/>
              <w:rPr>
                <w:rFonts w:cs="Times New Roman"/>
                <w:bCs/>
              </w:rPr>
            </w:pPr>
            <w:r w:rsidRPr="007A7C51">
              <w:rPr>
                <w:rFonts w:cs="Times New Roman"/>
                <w:bCs/>
              </w:rPr>
              <w:t xml:space="preserve">Moreno </w:t>
            </w:r>
            <w:r w:rsidR="00B301D6" w:rsidRPr="00B301D6">
              <w:rPr>
                <w:rFonts w:cs="Times New Roman"/>
                <w:bCs/>
                <w:i/>
              </w:rPr>
              <w:t>et al</w:t>
            </w:r>
            <w:r w:rsidRPr="007A7C51">
              <w:rPr>
                <w:rFonts w:cs="Times New Roman"/>
                <w:bCs/>
              </w:rPr>
              <w:t xml:space="preserve"> (2013)</w:t>
            </w:r>
            <w:r w:rsidR="0049614B" w:rsidRPr="007A7C51">
              <w:rPr>
                <w:rFonts w:cs="Times New Roman"/>
                <w:bCs/>
              </w:rPr>
              <w:fldChar w:fldCharType="begin">
                <w:fldData xml:space="preserve">PEVuZE5vdGU+PENpdGU+PEF1dGhvcj5Nb3Jlbm88L0F1dGhvcj48WWVhcj4yMDEzPC9ZZWFyPjxS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=
</w:fldData>
              </w:fldChar>
            </w:r>
            <w:r w:rsidR="0076576E">
              <w:rPr>
                <w:rFonts w:cs="Times New Roman"/>
                <w:bCs/>
              </w:rPr>
              <w:instrText xml:space="preserve"> ADDIN EN.CITE </w:instrText>
            </w:r>
            <w:r w:rsidR="0076576E">
              <w:rPr>
                <w:rFonts w:cs="Times New Roman"/>
                <w:bCs/>
              </w:rPr>
              <w:fldChar w:fldCharType="begin">
                <w:fldData xml:space="preserve">PEVuZE5vdGU+PENpdGU+PEF1dGhvcj5Nb3Jlbm88L0F1dGhvcj48WWVhcj4yMDEzPC9ZZWFyPjxS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=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sidR="0049614B" w:rsidRPr="007A7C51">
              <w:rPr>
                <w:rFonts w:cs="Times New Roman"/>
                <w:bCs/>
              </w:rPr>
            </w:r>
            <w:r w:rsidR="0049614B" w:rsidRPr="007A7C51">
              <w:rPr>
                <w:rFonts w:cs="Times New Roman"/>
                <w:bCs/>
              </w:rPr>
              <w:fldChar w:fldCharType="separate"/>
            </w:r>
            <w:r w:rsidR="0076576E" w:rsidRPr="0076576E">
              <w:rPr>
                <w:rFonts w:cs="Times New Roman"/>
                <w:bCs/>
                <w:noProof/>
                <w:vertAlign w:val="superscript"/>
              </w:rPr>
              <w:t>99</w:t>
            </w:r>
            <w:r w:rsidR="0049614B" w:rsidRPr="007A7C51">
              <w:rPr>
                <w:rFonts w:cs="Times New Roman"/>
                <w:bCs/>
              </w:rPr>
              <w:fldChar w:fldCharType="end"/>
            </w:r>
          </w:p>
        </w:tc>
        <w:tc>
          <w:tcPr>
            <w:tcW w:w="5719" w:type="dxa"/>
          </w:tcPr>
          <w:p w14:paraId="0F88FE37" w14:textId="2B7D04CE" w:rsidR="00DD45EE" w:rsidRPr="007A7C51" w:rsidRDefault="00DD45EE" w:rsidP="00622C6B">
            <w:pPr>
              <w:spacing w:after="120" w:line="240" w:lineRule="auto"/>
              <w:jc w:val="both"/>
              <w:rPr>
                <w:rFonts w:cs="Times New Roman"/>
                <w:bCs/>
              </w:rPr>
            </w:pPr>
            <w:r w:rsidRPr="007A7C51">
              <w:rPr>
                <w:rFonts w:cs="Times New Roman"/>
                <w:bCs/>
              </w:rPr>
              <w:t>Surveillance study in Meixoeiro Hospital (Spain) reported</w:t>
            </w:r>
            <w:r w:rsidR="00646218">
              <w:rPr>
                <w:rFonts w:cs="Times New Roman"/>
                <w:bCs/>
              </w:rPr>
              <w:t xml:space="preserve"> 12 cases of CJD (ten sCJD and two gCJD) over the period 1997-2010, which represented</w:t>
            </w:r>
            <w:r w:rsidRPr="007A7C51">
              <w:rPr>
                <w:rFonts w:cs="Times New Roman"/>
                <w:bCs/>
              </w:rPr>
              <w:t xml:space="preserve"> a high average yearly rate of 4.6 per million (3.8 for sCJD and 0.8 for gCJD). </w:t>
            </w:r>
            <w:r w:rsidR="00646218">
              <w:rPr>
                <w:rFonts w:cs="Times New Roman"/>
                <w:bCs/>
              </w:rPr>
              <w:t>A</w:t>
            </w:r>
            <w:r w:rsidR="00646218" w:rsidRPr="007A7C51">
              <w:rPr>
                <w:rFonts w:cs="Times New Roman"/>
                <w:bCs/>
              </w:rPr>
              <w:t xml:space="preserve">ccording to </w:t>
            </w:r>
            <w:r w:rsidR="00C472A9">
              <w:rPr>
                <w:rFonts w:cs="Times New Roman"/>
                <w:bCs/>
              </w:rPr>
              <w:t xml:space="preserve">the </w:t>
            </w:r>
            <w:r w:rsidR="00646218" w:rsidRPr="007A7C51">
              <w:rPr>
                <w:rFonts w:cs="Times New Roman"/>
                <w:bCs/>
              </w:rPr>
              <w:t>Poisson distribution</w:t>
            </w:r>
            <w:r w:rsidR="00E17991">
              <w:rPr>
                <w:rFonts w:cs="Times New Roman"/>
                <w:bCs/>
              </w:rPr>
              <w:t xml:space="preserve"> for the 12 cases (with an expected annual incidence of 1.5 cases per million)</w:t>
            </w:r>
            <w:r w:rsidR="00646218">
              <w:rPr>
                <w:rFonts w:cs="Times New Roman"/>
                <w:bCs/>
              </w:rPr>
              <w:t xml:space="preserve"> only </w:t>
            </w:r>
            <w:r w:rsidR="00646218" w:rsidRPr="007A7C51">
              <w:rPr>
                <w:rFonts w:cs="Times New Roman"/>
                <w:bCs/>
              </w:rPr>
              <w:t xml:space="preserve">3.9 </w:t>
            </w:r>
            <w:r w:rsidR="00646218">
              <w:rPr>
                <w:rFonts w:cs="Times New Roman"/>
                <w:bCs/>
              </w:rPr>
              <w:t xml:space="preserve">cases would have been </w:t>
            </w:r>
            <w:r w:rsidR="00646218" w:rsidRPr="007A7C51">
              <w:rPr>
                <w:rFonts w:cs="Times New Roman"/>
                <w:bCs/>
              </w:rPr>
              <w:t xml:space="preserve">expected over </w:t>
            </w:r>
            <w:r w:rsidR="00646218">
              <w:rPr>
                <w:rFonts w:cs="Times New Roman"/>
                <w:bCs/>
              </w:rPr>
              <w:t>such a</w:t>
            </w:r>
            <w:r w:rsidR="00646218" w:rsidRPr="007A7C51">
              <w:rPr>
                <w:rFonts w:cs="Times New Roman"/>
                <w:bCs/>
              </w:rPr>
              <w:t xml:space="preserve"> </w:t>
            </w:r>
            <w:r w:rsidR="00260642" w:rsidRPr="007A7C51">
              <w:rPr>
                <w:rFonts w:cs="Times New Roman"/>
                <w:bCs/>
              </w:rPr>
              <w:t>14-year</w:t>
            </w:r>
            <w:r w:rsidR="00646218" w:rsidRPr="007A7C51">
              <w:rPr>
                <w:rFonts w:cs="Times New Roman"/>
                <w:bCs/>
              </w:rPr>
              <w:t xml:space="preserve"> period</w:t>
            </w:r>
            <w:r w:rsidR="00646218">
              <w:rPr>
                <w:rFonts w:cs="Times New Roman"/>
                <w:bCs/>
              </w:rPr>
              <w:t xml:space="preserve">. </w:t>
            </w:r>
            <w:r w:rsidRPr="007A7C51">
              <w:rPr>
                <w:rFonts w:cs="Times New Roman"/>
                <w:bCs/>
              </w:rPr>
              <w:t>Eight out of the 12 CJD cases had undergone at least one surgical or invasive medical procedure.</w:t>
            </w:r>
          </w:p>
        </w:tc>
        <w:tc>
          <w:tcPr>
            <w:tcW w:w="1652" w:type="dxa"/>
          </w:tcPr>
          <w:p w14:paraId="158D2AB9" w14:textId="1176BF86" w:rsidR="00DD45EE" w:rsidRPr="007A7C51" w:rsidRDefault="00DD45EE" w:rsidP="00622C6B">
            <w:pPr>
              <w:spacing w:after="120" w:line="240" w:lineRule="auto"/>
              <w:jc w:val="both"/>
              <w:rPr>
                <w:rFonts w:cs="Times New Roman"/>
                <w:bCs/>
              </w:rPr>
            </w:pPr>
            <w:r w:rsidRPr="007A7C51">
              <w:rPr>
                <w:rFonts w:cs="Times New Roman"/>
                <w:bCs/>
              </w:rPr>
              <w:t>Published paper</w:t>
            </w:r>
          </w:p>
        </w:tc>
      </w:tr>
      <w:tr w:rsidR="00E44F73" w:rsidRPr="009F5584" w14:paraId="382AC41D" w14:textId="77777777" w:rsidTr="00931EC4">
        <w:trPr>
          <w:trHeight w:val="900"/>
        </w:trPr>
        <w:tc>
          <w:tcPr>
            <w:tcW w:w="1838" w:type="dxa"/>
            <w:noWrap/>
          </w:tcPr>
          <w:p w14:paraId="33159356" w14:textId="3EF1D5C0" w:rsidR="00E44F73" w:rsidRPr="007A7C51" w:rsidRDefault="00E44F73" w:rsidP="0076576E">
            <w:pPr>
              <w:spacing w:after="120" w:line="240" w:lineRule="auto"/>
              <w:jc w:val="both"/>
              <w:rPr>
                <w:rFonts w:cs="Times New Roman"/>
                <w:bCs/>
              </w:rPr>
            </w:pPr>
            <w:r w:rsidRPr="007A7C51">
              <w:rPr>
                <w:rFonts w:cs="Times New Roman"/>
                <w:bCs/>
              </w:rPr>
              <w:t xml:space="preserve">Puopolo </w:t>
            </w:r>
            <w:r w:rsidR="00B301D6" w:rsidRPr="00B301D6">
              <w:rPr>
                <w:rFonts w:cs="Times New Roman"/>
                <w:bCs/>
                <w:i/>
              </w:rPr>
              <w:t>et al</w:t>
            </w:r>
            <w:r w:rsidRPr="007A7C51">
              <w:rPr>
                <w:rFonts w:cs="Times New Roman"/>
                <w:bCs/>
              </w:rPr>
              <w:t xml:space="preserve"> (2011)</w:t>
            </w:r>
            <w:r w:rsidR="00826471" w:rsidRPr="007A7C51">
              <w:rPr>
                <w:rFonts w:cs="Times New Roman"/>
                <w:bCs/>
              </w:rPr>
              <w:fldChar w:fldCharType="begin">
                <w:fldData xml:space="preserve">PEVuZE5vdGU+PENpdGU+PEF1dGhvcj5QdW9wb2xvPC9BdXRob3I+PFllYXI+MjAxMTwvWWVhcj48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</w:fldData>
              </w:fldChar>
            </w:r>
            <w:r w:rsidR="0076576E">
              <w:rPr>
                <w:rFonts w:cs="Times New Roman"/>
                <w:bCs/>
              </w:rPr>
              <w:instrText xml:space="preserve"> ADDIN EN.CITE </w:instrText>
            </w:r>
            <w:r w:rsidR="0076576E">
              <w:rPr>
                <w:rFonts w:cs="Times New Roman"/>
                <w:bCs/>
              </w:rPr>
              <w:fldChar w:fldCharType="begin">
                <w:fldData xml:space="preserve">PEVuZE5vdGU+PENpdGU+PEF1dGhvcj5QdW9wb2xvPC9BdXRob3I+PFllYXI+MjAxMTwvWWVhcj48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sidR="00826471" w:rsidRPr="007A7C51">
              <w:rPr>
                <w:rFonts w:cs="Times New Roman"/>
                <w:bCs/>
              </w:rPr>
            </w:r>
            <w:r w:rsidR="00826471" w:rsidRPr="007A7C51">
              <w:rPr>
                <w:rFonts w:cs="Times New Roman"/>
                <w:bCs/>
              </w:rPr>
              <w:fldChar w:fldCharType="separate"/>
            </w:r>
            <w:r w:rsidR="0076576E" w:rsidRPr="0076576E">
              <w:rPr>
                <w:rFonts w:cs="Times New Roman"/>
                <w:bCs/>
                <w:noProof/>
                <w:vertAlign w:val="superscript"/>
              </w:rPr>
              <w:t>100</w:t>
            </w:r>
            <w:r w:rsidR="00826471" w:rsidRPr="007A7C51">
              <w:rPr>
                <w:rFonts w:cs="Times New Roman"/>
                <w:bCs/>
              </w:rPr>
              <w:fldChar w:fldCharType="end"/>
            </w:r>
          </w:p>
        </w:tc>
        <w:tc>
          <w:tcPr>
            <w:tcW w:w="5719" w:type="dxa"/>
          </w:tcPr>
          <w:p w14:paraId="5DC222E2" w14:textId="658F64C3" w:rsidR="00E44F73" w:rsidRPr="007A7C51" w:rsidRDefault="00E17991" w:rsidP="00622C6B">
            <w:pPr>
              <w:spacing w:after="120" w:line="240" w:lineRule="auto"/>
              <w:jc w:val="both"/>
              <w:rPr>
                <w:rFonts w:cs="Times New Roman"/>
                <w:bCs/>
              </w:rPr>
            </w:pPr>
            <w:r>
              <w:rPr>
                <w:rFonts w:cs="Times New Roman"/>
                <w:bCs/>
              </w:rPr>
              <w:t xml:space="preserve"> A c</w:t>
            </w:r>
            <w:r w:rsidR="0049614B" w:rsidRPr="007A7C51">
              <w:rPr>
                <w:rFonts w:cs="Times New Roman"/>
                <w:bCs/>
              </w:rPr>
              <w:t xml:space="preserve">ase-control study found that </w:t>
            </w:r>
            <w:r>
              <w:rPr>
                <w:rFonts w:cs="Times New Roman"/>
                <w:bCs/>
              </w:rPr>
              <w:t>‘</w:t>
            </w:r>
            <w:r w:rsidR="0049614B" w:rsidRPr="007A7C51">
              <w:rPr>
                <w:rFonts w:cs="Times New Roman"/>
                <w:bCs/>
              </w:rPr>
              <w:t>history of surgery</w:t>
            </w:r>
            <w:r>
              <w:rPr>
                <w:rFonts w:cs="Times New Roman"/>
                <w:bCs/>
              </w:rPr>
              <w:t>’</w:t>
            </w:r>
            <w:r w:rsidR="0049614B" w:rsidRPr="007A7C51">
              <w:rPr>
                <w:rFonts w:cs="Times New Roman"/>
                <w:bCs/>
              </w:rPr>
              <w:t xml:space="preserve"> was more </w:t>
            </w:r>
            <w:r>
              <w:rPr>
                <w:rFonts w:cs="Times New Roman"/>
                <w:bCs/>
              </w:rPr>
              <w:t>frequent in s</w:t>
            </w:r>
            <w:r w:rsidR="0049614B" w:rsidRPr="007A7C51">
              <w:rPr>
                <w:rFonts w:cs="Times New Roman"/>
                <w:bCs/>
              </w:rPr>
              <w:t>CJD</w:t>
            </w:r>
            <w:r w:rsidR="00A124B9" w:rsidRPr="007A7C51">
              <w:rPr>
                <w:rFonts w:cs="Times New Roman"/>
                <w:bCs/>
              </w:rPr>
              <w:t xml:space="preserve"> cases</w:t>
            </w:r>
            <w:r w:rsidR="0049614B" w:rsidRPr="007A7C51">
              <w:rPr>
                <w:rFonts w:cs="Times New Roman"/>
                <w:bCs/>
              </w:rPr>
              <w:t xml:space="preserve"> </w:t>
            </w:r>
            <w:r w:rsidR="00A124B9" w:rsidRPr="007A7C51">
              <w:rPr>
                <w:rFonts w:cs="Times New Roman"/>
                <w:bCs/>
              </w:rPr>
              <w:t>(</w:t>
            </w:r>
            <w:r w:rsidR="00646218">
              <w:rPr>
                <w:rFonts w:cs="Times New Roman"/>
                <w:bCs/>
              </w:rPr>
              <w:t>n</w:t>
            </w:r>
            <w:r w:rsidR="00A124B9" w:rsidRPr="007A7C51">
              <w:rPr>
                <w:rFonts w:cs="Times New Roman"/>
                <w:bCs/>
              </w:rPr>
              <w:t>=13 (2%) neurosurgery= 12; cornea transplantation= 1), versus no-CJD cases (</w:t>
            </w:r>
            <w:r w:rsidR="00646218">
              <w:rPr>
                <w:rFonts w:cs="Times New Roman"/>
                <w:bCs/>
              </w:rPr>
              <w:t>n</w:t>
            </w:r>
            <w:r w:rsidR="00A124B9" w:rsidRPr="007A7C51">
              <w:rPr>
                <w:rFonts w:cs="Times New Roman"/>
                <w:bCs/>
              </w:rPr>
              <w:t xml:space="preserve">=5, neurosurgery=5 (1%)) and none in genetic TSE patients. </w:t>
            </w:r>
            <w:r w:rsidR="00D1215A">
              <w:rPr>
                <w:rFonts w:cs="Times New Roman"/>
                <w:bCs/>
              </w:rPr>
              <w:t xml:space="preserve">A crude OR of 1.57 (95% CI 1.14-2.16) was reported. </w:t>
            </w:r>
            <w:r w:rsidR="00A124B9" w:rsidRPr="007A7C51">
              <w:rPr>
                <w:rFonts w:cs="Times New Roman"/>
                <w:bCs/>
              </w:rPr>
              <w:t>Results did not reach statistical</w:t>
            </w:r>
            <w:r w:rsidR="0049614B" w:rsidRPr="007A7C51">
              <w:rPr>
                <w:rFonts w:cs="Times New Roman"/>
                <w:bCs/>
              </w:rPr>
              <w:t xml:space="preserve"> significance</w:t>
            </w:r>
            <w:r w:rsidR="00D1215A">
              <w:rPr>
                <w:rFonts w:cs="Times New Roman"/>
                <w:bCs/>
              </w:rPr>
              <w:t xml:space="preserve"> when adjusted for a 10-year-time lag</w:t>
            </w:r>
            <w:r w:rsidR="0049614B" w:rsidRPr="007A7C51">
              <w:rPr>
                <w:rFonts w:cs="Times New Roman"/>
                <w:bCs/>
              </w:rPr>
              <w:t xml:space="preserve">. </w:t>
            </w:r>
          </w:p>
        </w:tc>
        <w:tc>
          <w:tcPr>
            <w:tcW w:w="1652" w:type="dxa"/>
          </w:tcPr>
          <w:p w14:paraId="7BC10D5E" w14:textId="6D85A7AB" w:rsidR="00E44F73" w:rsidRPr="007A7C51" w:rsidRDefault="00BC716C" w:rsidP="00622C6B">
            <w:pPr>
              <w:spacing w:after="120" w:line="240" w:lineRule="auto"/>
              <w:jc w:val="both"/>
              <w:rPr>
                <w:rFonts w:cs="Times New Roman"/>
                <w:bCs/>
              </w:rPr>
            </w:pPr>
            <w:r w:rsidRPr="007A7C51">
              <w:rPr>
                <w:rFonts w:cs="Times New Roman"/>
                <w:bCs/>
              </w:rPr>
              <w:t xml:space="preserve">Published paper (included in de Pedro </w:t>
            </w:r>
            <w:r w:rsidR="00B301D6" w:rsidRPr="00B301D6">
              <w:rPr>
                <w:rFonts w:cs="Times New Roman"/>
                <w:bCs/>
                <w:i/>
              </w:rPr>
              <w:t>et al</w:t>
            </w:r>
            <w:r w:rsidRPr="007A7C51">
              <w:rPr>
                <w:rFonts w:cs="Times New Roman"/>
                <w:bCs/>
              </w:rPr>
              <w:t xml:space="preserve"> </w:t>
            </w:r>
            <w:r w:rsidR="00140508">
              <w:rPr>
                <w:rFonts w:cs="Times New Roman"/>
                <w:bCs/>
              </w:rPr>
              <w:t>(</w:t>
            </w:r>
            <w:r w:rsidRPr="007A7C51">
              <w:rPr>
                <w:rFonts w:cs="Times New Roman"/>
                <w:bCs/>
              </w:rPr>
              <w:t>2012</w:t>
            </w:r>
            <w:r w:rsidR="00140508">
              <w:rPr>
                <w:rFonts w:cs="Times New Roman"/>
                <w:bCs/>
              </w:rPr>
              <w:t>)</w:t>
            </w:r>
            <w:r w:rsidRPr="007A7C51">
              <w:rPr>
                <w:rFonts w:cs="Times New Roman"/>
                <w:bCs/>
              </w:rPr>
              <w:t>)</w:t>
            </w:r>
          </w:p>
        </w:tc>
      </w:tr>
      <w:tr w:rsidR="00811BE9" w:rsidRPr="009F5584" w14:paraId="0481CA72" w14:textId="77777777" w:rsidTr="00931EC4">
        <w:trPr>
          <w:trHeight w:val="900"/>
        </w:trPr>
        <w:tc>
          <w:tcPr>
            <w:tcW w:w="1838" w:type="dxa"/>
            <w:noWrap/>
          </w:tcPr>
          <w:p w14:paraId="4A3DBA5F" w14:textId="5CA45982" w:rsidR="00D76ADD" w:rsidRPr="001D1C67" w:rsidRDefault="00D76ADD" w:rsidP="00622C6B">
            <w:pPr>
              <w:spacing w:after="120" w:line="240" w:lineRule="auto"/>
              <w:jc w:val="both"/>
              <w:rPr>
                <w:rFonts w:cs="Times New Roman"/>
                <w:bCs/>
                <w:lang w:val="es-ES_tradnl"/>
              </w:rPr>
            </w:pPr>
            <w:r w:rsidRPr="001D1C67">
              <w:rPr>
                <w:rFonts w:cs="Times New Roman"/>
                <w:bCs/>
                <w:lang w:val="es-ES_tradnl"/>
              </w:rPr>
              <w:t xml:space="preserve">De Pedro Cuesta </w:t>
            </w:r>
            <w:r w:rsidR="00B301D6" w:rsidRPr="001D1C67">
              <w:rPr>
                <w:rFonts w:cs="Times New Roman"/>
                <w:bCs/>
                <w:i/>
                <w:lang w:val="es-ES_tradnl"/>
              </w:rPr>
              <w:t>et al</w:t>
            </w:r>
            <w:r w:rsidRPr="001D1C67">
              <w:rPr>
                <w:rFonts w:cs="Times New Roman"/>
                <w:bCs/>
                <w:lang w:val="es-ES_tradnl"/>
              </w:rPr>
              <w:t xml:space="preserve"> (2011)</w:t>
            </w:r>
            <w:r w:rsidRPr="007A7C51">
              <w:rPr>
                <w:rFonts w:cs="Times New Roman"/>
                <w:bCs/>
              </w:rPr>
              <w:fldChar w:fldCharType="begin">
                <w:fldData xml:space="preserve">PEVuZE5vdGU+PENpdGU+PEF1dGhvcj5kZSBQZWRyby1DdWVzdGE8L0F1dGhvcj48WWVhcj4yMDEx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</w:fldData>
              </w:fldChar>
            </w:r>
            <w:r w:rsidR="0076576E" w:rsidRPr="007E31FF">
              <w:rPr>
                <w:rFonts w:cs="Times New Roman"/>
                <w:bCs/>
                <w:lang w:val="es-ES"/>
              </w:rPr>
              <w:instrText xml:space="preserve"> ADDIN EN.CITE </w:instrText>
            </w:r>
            <w:r w:rsidR="0076576E">
              <w:rPr>
                <w:rFonts w:cs="Times New Roman"/>
                <w:bCs/>
              </w:rPr>
              <w:fldChar w:fldCharType="begin">
                <w:fldData xml:space="preserve">PEVuZE5vdGU+PENpdGU+PEF1dGhvcj5kZSBQZWRyby1DdWVzdGE8L0F1dGhvcj48WWVhcj4yMDEx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</w:fldData>
              </w:fldChar>
            </w:r>
            <w:r w:rsidR="0076576E" w:rsidRPr="007E31FF">
              <w:rPr>
                <w:rFonts w:cs="Times New Roman"/>
                <w:bCs/>
                <w:lang w:val="es-ES"/>
              </w:rPr>
              <w:instrText xml:space="preserve"> ADDIN EN.CITE.DATA </w:instrText>
            </w:r>
            <w:r w:rsidR="0076576E">
              <w:rPr>
                <w:rFonts w:cs="Times New Roman"/>
                <w:bCs/>
              </w:rPr>
            </w:r>
            <w:r w:rsidR="0076576E">
              <w:rPr>
                <w:rFonts w:cs="Times New Roman"/>
                <w:bCs/>
              </w:rPr>
              <w:fldChar w:fldCharType="end"/>
            </w:r>
            <w:r w:rsidRPr="007A7C51">
              <w:rPr>
                <w:rFonts w:cs="Times New Roman"/>
                <w:bCs/>
              </w:rPr>
            </w:r>
            <w:r w:rsidRPr="007A7C51">
              <w:rPr>
                <w:rFonts w:cs="Times New Roman"/>
                <w:bCs/>
              </w:rPr>
              <w:fldChar w:fldCharType="separate"/>
            </w:r>
            <w:r w:rsidR="0076576E" w:rsidRPr="007E31FF">
              <w:rPr>
                <w:rFonts w:cs="Times New Roman"/>
                <w:bCs/>
                <w:noProof/>
                <w:vertAlign w:val="superscript"/>
                <w:lang w:val="es-ES"/>
              </w:rPr>
              <w:t>101</w:t>
            </w:r>
            <w:r w:rsidRPr="007A7C51">
              <w:rPr>
                <w:rFonts w:cs="Times New Roman"/>
                <w:bCs/>
              </w:rPr>
              <w:fldChar w:fldCharType="end"/>
            </w:r>
          </w:p>
          <w:p w14:paraId="578D030F" w14:textId="775757EC" w:rsidR="003D1ADF" w:rsidRPr="007A7C51" w:rsidRDefault="003D1ADF" w:rsidP="00622C6B">
            <w:pPr>
              <w:spacing w:after="120" w:line="240" w:lineRule="auto"/>
              <w:jc w:val="both"/>
              <w:rPr>
                <w:rFonts w:cs="Times New Roman"/>
                <w:bCs/>
              </w:rPr>
            </w:pPr>
            <w:r w:rsidRPr="007A7C51">
              <w:rPr>
                <w:rFonts w:cs="Times New Roman"/>
                <w:bCs/>
              </w:rPr>
              <w:t xml:space="preserve">Mahillo-Fernandez </w:t>
            </w:r>
            <w:r w:rsidR="00B301D6" w:rsidRPr="00B301D6">
              <w:rPr>
                <w:rFonts w:cs="Times New Roman"/>
                <w:bCs/>
                <w:i/>
              </w:rPr>
              <w:t>et al</w:t>
            </w:r>
            <w:r w:rsidRPr="007A7C51">
              <w:rPr>
                <w:rFonts w:cs="Times New Roman"/>
                <w:bCs/>
              </w:rPr>
              <w:t xml:space="preserve"> (2008)</w:t>
            </w:r>
            <w:r w:rsidR="0049614B" w:rsidRPr="007A7C51">
              <w:rPr>
                <w:rFonts w:cs="Times New Roman"/>
                <w:bCs/>
              </w:rPr>
              <w:fldChar w:fldCharType="begin">
                <w:fldData xml:space="preserve">PEVuZE5vdGU+PENpdGU+PEF1dGhvcj5NYWhpbGxvLUZlcm5hbmRlejwvQXV0aG9yPjxZZWFyPjIw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</w:fldData>
              </w:fldChar>
            </w:r>
            <w:r w:rsidR="0076576E">
              <w:rPr>
                <w:rFonts w:cs="Times New Roman"/>
                <w:bCs/>
              </w:rPr>
              <w:instrText xml:space="preserve"> ADDIN EN.CITE </w:instrText>
            </w:r>
            <w:r w:rsidR="0076576E">
              <w:rPr>
                <w:rFonts w:cs="Times New Roman"/>
                <w:bCs/>
              </w:rPr>
              <w:fldChar w:fldCharType="begin">
                <w:fldData xml:space="preserve">PEVuZE5vdGU+PENpdGU+PEF1dGhvcj5NYWhpbGxvLUZlcm5hbmRlejwvQXV0aG9yPjxZZWFyPjIw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sidR="0049614B" w:rsidRPr="007A7C51">
              <w:rPr>
                <w:rFonts w:cs="Times New Roman"/>
                <w:bCs/>
              </w:rPr>
            </w:r>
            <w:r w:rsidR="0049614B" w:rsidRPr="007A7C51">
              <w:rPr>
                <w:rFonts w:cs="Times New Roman"/>
                <w:bCs/>
              </w:rPr>
              <w:fldChar w:fldCharType="separate"/>
            </w:r>
            <w:r w:rsidR="0076576E" w:rsidRPr="0076576E">
              <w:rPr>
                <w:rFonts w:cs="Times New Roman"/>
                <w:bCs/>
                <w:noProof/>
                <w:vertAlign w:val="superscript"/>
              </w:rPr>
              <w:t>102</w:t>
            </w:r>
            <w:r w:rsidR="0049614B" w:rsidRPr="007A7C51">
              <w:rPr>
                <w:rFonts w:cs="Times New Roman"/>
                <w:bCs/>
              </w:rPr>
              <w:fldChar w:fldCharType="end"/>
            </w:r>
          </w:p>
          <w:p w14:paraId="25AE9ECA" w14:textId="551E5615" w:rsidR="00FC0B8A" w:rsidRPr="007A7C51" w:rsidRDefault="00FC0B8A" w:rsidP="00622C6B">
            <w:pPr>
              <w:spacing w:after="120" w:line="240" w:lineRule="auto"/>
              <w:jc w:val="both"/>
              <w:rPr>
                <w:rFonts w:cs="Times New Roman"/>
                <w:bCs/>
              </w:rPr>
            </w:pPr>
          </w:p>
        </w:tc>
        <w:tc>
          <w:tcPr>
            <w:tcW w:w="5719" w:type="dxa"/>
          </w:tcPr>
          <w:p w14:paraId="370E7D48" w14:textId="06D5A901" w:rsidR="00811BE9" w:rsidRPr="007A7C51" w:rsidRDefault="0050710E" w:rsidP="00622C6B">
            <w:pPr>
              <w:spacing w:after="120" w:line="240" w:lineRule="auto"/>
              <w:jc w:val="both"/>
              <w:rPr>
                <w:rFonts w:cs="Times New Roman"/>
                <w:bCs/>
              </w:rPr>
            </w:pPr>
            <w:r>
              <w:rPr>
                <w:rFonts w:cs="Times New Roman"/>
                <w:bCs/>
              </w:rPr>
              <w:t>A c</w:t>
            </w:r>
            <w:r w:rsidR="00FC0B8A" w:rsidRPr="007A7C51">
              <w:rPr>
                <w:rFonts w:cs="Times New Roman"/>
                <w:bCs/>
              </w:rPr>
              <w:t xml:space="preserve">ase-control study of sCJD </w:t>
            </w:r>
            <w:r w:rsidR="003D1ADF" w:rsidRPr="007A7C51">
              <w:rPr>
                <w:rFonts w:cs="Times New Roman"/>
                <w:bCs/>
              </w:rPr>
              <w:t xml:space="preserve">to look for risk factors </w:t>
            </w:r>
            <w:r w:rsidR="00B43AB0" w:rsidRPr="007A7C51">
              <w:rPr>
                <w:rFonts w:cs="Times New Roman"/>
                <w:bCs/>
              </w:rPr>
              <w:t>f</w:t>
            </w:r>
            <w:r w:rsidR="003D1ADF" w:rsidRPr="007A7C51">
              <w:rPr>
                <w:rFonts w:cs="Times New Roman"/>
                <w:bCs/>
              </w:rPr>
              <w:t>rom</w:t>
            </w:r>
            <w:r w:rsidR="00B43AB0" w:rsidRPr="007A7C51">
              <w:rPr>
                <w:rFonts w:cs="Times New Roman"/>
                <w:bCs/>
              </w:rPr>
              <w:t xml:space="preserve"> </w:t>
            </w:r>
            <w:r w:rsidR="003D1ADF" w:rsidRPr="007A7C51">
              <w:rPr>
                <w:rFonts w:cs="Times New Roman"/>
                <w:bCs/>
              </w:rPr>
              <w:t xml:space="preserve">167 </w:t>
            </w:r>
            <w:r w:rsidR="00B43AB0" w:rsidRPr="007A7C51">
              <w:rPr>
                <w:rFonts w:cs="Times New Roman"/>
                <w:bCs/>
              </w:rPr>
              <w:t>sCJD</w:t>
            </w:r>
            <w:r w:rsidR="003D1ADF" w:rsidRPr="007A7C51">
              <w:rPr>
                <w:rFonts w:cs="Times New Roman"/>
                <w:bCs/>
              </w:rPr>
              <w:t xml:space="preserve"> cases in Denmark and Sweden</w:t>
            </w:r>
            <w:r w:rsidR="001A288C">
              <w:rPr>
                <w:rFonts w:cs="Times New Roman"/>
                <w:bCs/>
              </w:rPr>
              <w:t>. S</w:t>
            </w:r>
            <w:r w:rsidR="00B43AB0" w:rsidRPr="007A7C51">
              <w:rPr>
                <w:rFonts w:cs="Times New Roman"/>
                <w:bCs/>
              </w:rPr>
              <w:t>urgery</w:t>
            </w:r>
            <w:r w:rsidR="001A288C">
              <w:rPr>
                <w:rFonts w:cs="Times New Roman"/>
                <w:bCs/>
              </w:rPr>
              <w:t xml:space="preserve"> for ‘lower risk procedures’ (i.e. surgery to </w:t>
            </w:r>
            <w:r w:rsidR="001A288C" w:rsidRPr="001A288C">
              <w:rPr>
                <w:rFonts w:cs="Times New Roman"/>
                <w:bCs/>
              </w:rPr>
              <w:t>veins, peritoneal cavity</w:t>
            </w:r>
            <w:r w:rsidR="001A288C">
              <w:rPr>
                <w:rFonts w:cs="Times New Roman"/>
                <w:bCs/>
              </w:rPr>
              <w:t xml:space="preserve"> </w:t>
            </w:r>
            <w:r w:rsidR="001A288C" w:rsidRPr="001A288C">
              <w:rPr>
                <w:rFonts w:cs="Times New Roman"/>
                <w:bCs/>
              </w:rPr>
              <w:t>and lymph nodes</w:t>
            </w:r>
            <w:r w:rsidR="001A288C">
              <w:rPr>
                <w:rFonts w:cs="Times New Roman"/>
                <w:bCs/>
              </w:rPr>
              <w:t>) compared to high risk procedures (i.e.,</w:t>
            </w:r>
            <w:r w:rsidR="00B43AB0" w:rsidRPr="007A7C51">
              <w:rPr>
                <w:rFonts w:cs="Times New Roman"/>
                <w:bCs/>
              </w:rPr>
              <w:t xml:space="preserve"> </w:t>
            </w:r>
            <w:r w:rsidR="001A288C">
              <w:rPr>
                <w:rFonts w:cs="Times New Roman"/>
                <w:bCs/>
              </w:rPr>
              <w:t xml:space="preserve">surgery to brain, spinal cord, retina and optic nerve) </w:t>
            </w:r>
            <w:r w:rsidR="00B43AB0" w:rsidRPr="007A7C51">
              <w:rPr>
                <w:rFonts w:cs="Times New Roman"/>
                <w:bCs/>
              </w:rPr>
              <w:t>carried out more than 20 years before disease onset was associated with an increased risk of sCJD</w:t>
            </w:r>
            <w:r w:rsidR="007C036C">
              <w:rPr>
                <w:rFonts w:cs="Times New Roman"/>
                <w:bCs/>
              </w:rPr>
              <w:t xml:space="preserve"> (</w:t>
            </w:r>
            <w:r w:rsidR="007C036C" w:rsidRPr="007C036C">
              <w:rPr>
                <w:rFonts w:cs="Times New Roman"/>
                <w:bCs/>
              </w:rPr>
              <w:t>OR 2.81 (</w:t>
            </w:r>
            <w:r w:rsidR="007C036C">
              <w:rPr>
                <w:rFonts w:cs="Times New Roman"/>
                <w:bCs/>
              </w:rPr>
              <w:t xml:space="preserve">95% CI </w:t>
            </w:r>
            <w:r w:rsidR="007C036C" w:rsidRPr="007C036C">
              <w:rPr>
                <w:rFonts w:cs="Times New Roman"/>
                <w:bCs/>
              </w:rPr>
              <w:t>1.62 to</w:t>
            </w:r>
            <w:r w:rsidR="007C036C">
              <w:rPr>
                <w:rFonts w:cs="Times New Roman"/>
                <w:bCs/>
              </w:rPr>
              <w:t xml:space="preserve"> </w:t>
            </w:r>
            <w:r w:rsidR="007C036C" w:rsidRPr="007C036C">
              <w:rPr>
                <w:rFonts w:cs="Times New Roman"/>
                <w:bCs/>
              </w:rPr>
              <w:t>4.88)</w:t>
            </w:r>
            <w:r w:rsidR="00B43AB0" w:rsidRPr="007A7C51">
              <w:rPr>
                <w:rFonts w:cs="Times New Roman"/>
                <w:bCs/>
              </w:rPr>
              <w:t xml:space="preserve">. </w:t>
            </w:r>
            <w:r w:rsidR="00E8315C" w:rsidRPr="007A7C51">
              <w:rPr>
                <w:rFonts w:cs="Times New Roman"/>
                <w:bCs/>
              </w:rPr>
              <w:t>When tissues or structures were reclassified</w:t>
            </w:r>
            <w:r w:rsidR="007C036C">
              <w:rPr>
                <w:rFonts w:cs="Times New Roman"/>
                <w:bCs/>
              </w:rPr>
              <w:t xml:space="preserve"> by hypothetical transmission risk at a latency of ≥ one year</w:t>
            </w:r>
            <w:r w:rsidR="00E8315C" w:rsidRPr="007A7C51">
              <w:rPr>
                <w:rFonts w:cs="Times New Roman"/>
                <w:bCs/>
              </w:rPr>
              <w:t>, s</w:t>
            </w:r>
            <w:r w:rsidR="00B43AB0" w:rsidRPr="007A7C51">
              <w:rPr>
                <w:rFonts w:cs="Times New Roman"/>
                <w:bCs/>
              </w:rPr>
              <w:t>urgery to the retina</w:t>
            </w:r>
            <w:r w:rsidR="007C036C">
              <w:rPr>
                <w:rFonts w:cs="Times New Roman"/>
                <w:bCs/>
              </w:rPr>
              <w:t xml:space="preserve"> </w:t>
            </w:r>
            <w:r w:rsidR="00B43AB0" w:rsidRPr="007A7C51">
              <w:rPr>
                <w:rFonts w:cs="Times New Roman"/>
                <w:bCs/>
              </w:rPr>
              <w:t xml:space="preserve">and optic nerve were the </w:t>
            </w:r>
            <w:r w:rsidR="00E8315C" w:rsidRPr="007A7C51">
              <w:rPr>
                <w:rFonts w:cs="Times New Roman"/>
                <w:bCs/>
              </w:rPr>
              <w:t>most strongly</w:t>
            </w:r>
            <w:r w:rsidR="00B43AB0" w:rsidRPr="007A7C51">
              <w:rPr>
                <w:rFonts w:cs="Times New Roman"/>
                <w:bCs/>
              </w:rPr>
              <w:t xml:space="preserve"> associated risk</w:t>
            </w:r>
            <w:r w:rsidR="00E8315C" w:rsidRPr="007A7C51">
              <w:rPr>
                <w:rFonts w:cs="Times New Roman"/>
                <w:bCs/>
              </w:rPr>
              <w:t xml:space="preserve"> factors</w:t>
            </w:r>
            <w:r w:rsidR="007C036C">
              <w:rPr>
                <w:rFonts w:cs="Times New Roman"/>
                <w:bCs/>
              </w:rPr>
              <w:t xml:space="preserve"> (OR </w:t>
            </w:r>
            <w:r w:rsidR="007C036C" w:rsidRPr="007C036C">
              <w:rPr>
                <w:rFonts w:cs="Times New Roman"/>
                <w:bCs/>
              </w:rPr>
              <w:t>5.53 (</w:t>
            </w:r>
            <w:r w:rsidR="007C036C">
              <w:rPr>
                <w:rFonts w:cs="Times New Roman"/>
                <w:bCs/>
              </w:rPr>
              <w:t xml:space="preserve">95% CI </w:t>
            </w:r>
            <w:r w:rsidR="007C036C" w:rsidRPr="007C036C">
              <w:rPr>
                <w:rFonts w:cs="Times New Roman"/>
                <w:bCs/>
              </w:rPr>
              <w:t>1.08 to 28.0)</w:t>
            </w:r>
            <w:r w:rsidR="007C036C">
              <w:rPr>
                <w:rFonts w:cs="Times New Roman"/>
                <w:bCs/>
              </w:rPr>
              <w:t>)</w:t>
            </w:r>
            <w:r w:rsidR="00B43AB0" w:rsidRPr="007A7C51">
              <w:rPr>
                <w:rFonts w:cs="Times New Roman"/>
                <w:bCs/>
              </w:rPr>
              <w:t>.</w:t>
            </w:r>
          </w:p>
        </w:tc>
        <w:tc>
          <w:tcPr>
            <w:tcW w:w="1652" w:type="dxa"/>
          </w:tcPr>
          <w:p w14:paraId="0B0972B2" w14:textId="050E3D75" w:rsidR="00811BE9" w:rsidRPr="007A7C51" w:rsidRDefault="003D1ADF" w:rsidP="00622C6B">
            <w:pPr>
              <w:spacing w:after="120" w:line="240" w:lineRule="auto"/>
              <w:jc w:val="both"/>
              <w:rPr>
                <w:rFonts w:cs="Times New Roman"/>
                <w:bCs/>
              </w:rPr>
            </w:pPr>
            <w:r w:rsidRPr="007A7C51">
              <w:rPr>
                <w:rFonts w:cs="Times New Roman"/>
                <w:bCs/>
              </w:rPr>
              <w:t>Two p</w:t>
            </w:r>
            <w:r w:rsidR="00E8315C" w:rsidRPr="007A7C51">
              <w:rPr>
                <w:rFonts w:cs="Times New Roman"/>
                <w:bCs/>
              </w:rPr>
              <w:t>ublished paper</w:t>
            </w:r>
            <w:r w:rsidRPr="007A7C51">
              <w:rPr>
                <w:rFonts w:cs="Times New Roman"/>
                <w:bCs/>
              </w:rPr>
              <w:t>s</w:t>
            </w:r>
            <w:r w:rsidR="00953BA8" w:rsidRPr="007A7C51">
              <w:rPr>
                <w:rFonts w:cs="Times New Roman"/>
                <w:bCs/>
              </w:rPr>
              <w:t xml:space="preserve"> (included in de Pedro </w:t>
            </w:r>
            <w:r w:rsidR="00B301D6" w:rsidRPr="00B301D6">
              <w:rPr>
                <w:rFonts w:cs="Times New Roman"/>
                <w:bCs/>
                <w:i/>
              </w:rPr>
              <w:t>et al</w:t>
            </w:r>
            <w:r w:rsidR="00953BA8" w:rsidRPr="007A7C51">
              <w:rPr>
                <w:rFonts w:cs="Times New Roman"/>
                <w:bCs/>
              </w:rPr>
              <w:t xml:space="preserve"> </w:t>
            </w:r>
            <w:r w:rsidR="00140508">
              <w:rPr>
                <w:rFonts w:cs="Times New Roman"/>
                <w:bCs/>
              </w:rPr>
              <w:t>(</w:t>
            </w:r>
            <w:r w:rsidR="00953BA8" w:rsidRPr="007A7C51">
              <w:rPr>
                <w:rFonts w:cs="Times New Roman"/>
                <w:bCs/>
              </w:rPr>
              <w:t>2012</w:t>
            </w:r>
            <w:r w:rsidR="00140508">
              <w:rPr>
                <w:rFonts w:cs="Times New Roman"/>
                <w:bCs/>
              </w:rPr>
              <w:t>)</w:t>
            </w:r>
            <w:r w:rsidR="00953BA8" w:rsidRPr="007A7C51">
              <w:rPr>
                <w:rFonts w:cs="Times New Roman"/>
                <w:bCs/>
              </w:rPr>
              <w:t>)</w:t>
            </w:r>
          </w:p>
        </w:tc>
      </w:tr>
      <w:tr w:rsidR="009B605A" w:rsidRPr="009F5584" w14:paraId="641FBD59" w14:textId="77777777" w:rsidTr="00931EC4">
        <w:trPr>
          <w:trHeight w:val="900"/>
        </w:trPr>
        <w:tc>
          <w:tcPr>
            <w:tcW w:w="1838" w:type="dxa"/>
            <w:noWrap/>
          </w:tcPr>
          <w:p w14:paraId="4D68C07C" w14:textId="6D3E6421" w:rsidR="009B605A" w:rsidRPr="007A7C51" w:rsidRDefault="009B605A" w:rsidP="0076576E">
            <w:pPr>
              <w:spacing w:after="120" w:line="240" w:lineRule="auto"/>
              <w:jc w:val="both"/>
              <w:rPr>
                <w:rFonts w:cs="Times New Roman"/>
                <w:bCs/>
              </w:rPr>
            </w:pPr>
            <w:r w:rsidRPr="007A7C51">
              <w:rPr>
                <w:rFonts w:cs="Times New Roman"/>
                <w:bCs/>
              </w:rPr>
              <w:t xml:space="preserve">Hamaguchi </w:t>
            </w:r>
            <w:r w:rsidR="00B301D6" w:rsidRPr="00B301D6">
              <w:rPr>
                <w:rFonts w:cs="Times New Roman"/>
                <w:bCs/>
                <w:i/>
              </w:rPr>
              <w:t>et al</w:t>
            </w:r>
            <w:r w:rsidRPr="007A7C51">
              <w:rPr>
                <w:rFonts w:cs="Times New Roman"/>
                <w:bCs/>
              </w:rPr>
              <w:t xml:space="preserve"> </w:t>
            </w:r>
            <w:r w:rsidR="006F3DF7" w:rsidRPr="007A7C51">
              <w:rPr>
                <w:rFonts w:cs="Times New Roman"/>
                <w:bCs/>
              </w:rPr>
              <w:t>(</w:t>
            </w:r>
            <w:r w:rsidRPr="007A7C51">
              <w:rPr>
                <w:rFonts w:cs="Times New Roman"/>
                <w:bCs/>
              </w:rPr>
              <w:t>2009</w:t>
            </w:r>
            <w:r w:rsidR="006F3DF7" w:rsidRPr="007A7C51">
              <w:rPr>
                <w:rFonts w:cs="Times New Roman"/>
                <w:bCs/>
              </w:rPr>
              <w:t>)</w:t>
            </w:r>
            <w:r w:rsidR="00B93CFA" w:rsidRPr="007A7C51">
              <w:rPr>
                <w:rFonts w:cs="Times New Roman"/>
                <w:bCs/>
              </w:rPr>
              <w:fldChar w:fldCharType="begin">
                <w:fldData xml:space="preserve">PEVuZE5vdGU+PENpdGU+PEF1dGhvcj5IYW1hZ3VjaGk8L0F1dGhvcj48WWVhcj4yMDA5PC9ZZWFy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</w:fldData>
              </w:fldChar>
            </w:r>
            <w:r w:rsidR="0076576E">
              <w:rPr>
                <w:rFonts w:cs="Times New Roman"/>
                <w:bCs/>
              </w:rPr>
              <w:instrText xml:space="preserve"> ADDIN EN.CITE </w:instrText>
            </w:r>
            <w:r w:rsidR="0076576E">
              <w:rPr>
                <w:rFonts w:cs="Times New Roman"/>
                <w:bCs/>
              </w:rPr>
              <w:fldChar w:fldCharType="begin">
                <w:fldData xml:space="preserve">PEVuZE5vdGU+PENpdGU+PEF1dGhvcj5IYW1hZ3VjaGk8L0F1dGhvcj48WWVhcj4yMDA5PC9ZZWFy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sidR="00B93CFA" w:rsidRPr="007A7C51">
              <w:rPr>
                <w:rFonts w:cs="Times New Roman"/>
                <w:bCs/>
              </w:rPr>
            </w:r>
            <w:r w:rsidR="00B93CFA" w:rsidRPr="007A7C51">
              <w:rPr>
                <w:rFonts w:cs="Times New Roman"/>
                <w:bCs/>
              </w:rPr>
              <w:fldChar w:fldCharType="separate"/>
            </w:r>
            <w:r w:rsidR="0076576E" w:rsidRPr="0076576E">
              <w:rPr>
                <w:rFonts w:cs="Times New Roman"/>
                <w:bCs/>
                <w:noProof/>
                <w:vertAlign w:val="superscript"/>
              </w:rPr>
              <w:t>103, 104</w:t>
            </w:r>
            <w:r w:rsidR="00B93CFA" w:rsidRPr="007A7C51">
              <w:rPr>
                <w:rFonts w:cs="Times New Roman"/>
                <w:bCs/>
              </w:rPr>
              <w:fldChar w:fldCharType="end"/>
            </w:r>
          </w:p>
        </w:tc>
        <w:tc>
          <w:tcPr>
            <w:tcW w:w="5719" w:type="dxa"/>
          </w:tcPr>
          <w:p w14:paraId="46AD4298" w14:textId="00E6DD35" w:rsidR="009B605A" w:rsidRPr="007A7C51" w:rsidRDefault="000930F9" w:rsidP="00622C6B">
            <w:pPr>
              <w:spacing w:after="120" w:line="240" w:lineRule="auto"/>
              <w:jc w:val="both"/>
              <w:rPr>
                <w:rFonts w:cs="Times New Roman"/>
                <w:bCs/>
              </w:rPr>
            </w:pPr>
            <w:r>
              <w:rPr>
                <w:rFonts w:cs="Times New Roman"/>
                <w:bCs/>
              </w:rPr>
              <w:t xml:space="preserve"> A c</w:t>
            </w:r>
            <w:r w:rsidR="009B605A" w:rsidRPr="007A7C51">
              <w:rPr>
                <w:rFonts w:cs="Times New Roman"/>
                <w:bCs/>
              </w:rPr>
              <w:t>ase-control</w:t>
            </w:r>
            <w:r w:rsidR="006F3DF7" w:rsidRPr="007A7C51">
              <w:rPr>
                <w:rFonts w:cs="Times New Roman"/>
                <w:bCs/>
              </w:rPr>
              <w:t xml:space="preserve"> stud</w:t>
            </w:r>
            <w:r w:rsidR="00B93CFA" w:rsidRPr="007A7C51">
              <w:rPr>
                <w:rFonts w:cs="Times New Roman"/>
                <w:bCs/>
              </w:rPr>
              <w:t>y with 753 sCJD patients and 210 controls in Japan</w:t>
            </w:r>
            <w:r w:rsidR="006F3DF7" w:rsidRPr="007A7C51">
              <w:rPr>
                <w:rFonts w:cs="Times New Roman"/>
                <w:bCs/>
              </w:rPr>
              <w:t>. Surgery was not a risk factor for sCJD prior to disease onset.</w:t>
            </w:r>
            <w:r w:rsidR="009B605A" w:rsidRPr="007A7C51">
              <w:rPr>
                <w:rFonts w:cs="Times New Roman"/>
                <w:bCs/>
              </w:rPr>
              <w:t xml:space="preserve"> </w:t>
            </w:r>
            <w:r w:rsidR="006F3DF7" w:rsidRPr="007A7C51">
              <w:rPr>
                <w:rFonts w:cs="Times New Roman"/>
                <w:bCs/>
              </w:rPr>
              <w:t xml:space="preserve">However, </w:t>
            </w:r>
            <w:r w:rsidR="009B605A" w:rsidRPr="007A7C51">
              <w:rPr>
                <w:rFonts w:cs="Times New Roman"/>
                <w:bCs/>
              </w:rPr>
              <w:t>4.5% of sCJD patients underwent</w:t>
            </w:r>
            <w:r w:rsidR="006F3DF7" w:rsidRPr="007A7C51">
              <w:rPr>
                <w:rFonts w:cs="Times New Roman"/>
                <w:bCs/>
              </w:rPr>
              <w:t xml:space="preserve"> </w:t>
            </w:r>
            <w:r w:rsidR="009B605A" w:rsidRPr="007A7C51">
              <w:rPr>
                <w:rFonts w:cs="Times New Roman"/>
                <w:bCs/>
              </w:rPr>
              <w:t>surgery after onset of sCJD, including neurosurger</w:t>
            </w:r>
            <w:r>
              <w:rPr>
                <w:rFonts w:cs="Times New Roman"/>
                <w:bCs/>
              </w:rPr>
              <w:t>y</w:t>
            </w:r>
            <w:r w:rsidR="009B605A" w:rsidRPr="007A7C51">
              <w:rPr>
                <w:rFonts w:cs="Times New Roman"/>
                <w:bCs/>
              </w:rPr>
              <w:t xml:space="preserve"> in</w:t>
            </w:r>
            <w:r w:rsidR="006F3DF7" w:rsidRPr="007A7C51">
              <w:rPr>
                <w:rFonts w:cs="Times New Roman"/>
                <w:bCs/>
              </w:rPr>
              <w:t xml:space="preserve"> </w:t>
            </w:r>
            <w:r w:rsidR="009B605A" w:rsidRPr="007A7C51">
              <w:rPr>
                <w:rFonts w:cs="Times New Roman"/>
                <w:bCs/>
              </w:rPr>
              <w:t>0.8% and ophthalmic surger</w:t>
            </w:r>
            <w:r>
              <w:rPr>
                <w:rFonts w:cs="Times New Roman"/>
                <w:bCs/>
              </w:rPr>
              <w:t>y</w:t>
            </w:r>
            <w:r w:rsidR="009B605A" w:rsidRPr="007A7C51">
              <w:rPr>
                <w:rFonts w:cs="Times New Roman"/>
                <w:bCs/>
              </w:rPr>
              <w:t xml:space="preserve"> in 1.9%.</w:t>
            </w:r>
            <w:r w:rsidR="006F3DF7" w:rsidRPr="007A7C51">
              <w:rPr>
                <w:rFonts w:cs="Times New Roman"/>
                <w:bCs/>
              </w:rPr>
              <w:t xml:space="preserve"> Among the neurosurgery cases, the symptoms of sCJD were misdiagnosed as those of other neurological diseases, and the surgeries were performed near disease onset. Authors conclude that despite absence of empirical evidence of transmission via surgery, the risk of contracting CJD via surgery is still present because patients are operated on after disease onset.</w:t>
            </w:r>
          </w:p>
        </w:tc>
        <w:tc>
          <w:tcPr>
            <w:tcW w:w="1652" w:type="dxa"/>
          </w:tcPr>
          <w:p w14:paraId="7FE08A1F" w14:textId="6D83A398" w:rsidR="009B605A" w:rsidRPr="007A7C51" w:rsidRDefault="00534F83" w:rsidP="00622C6B">
            <w:pPr>
              <w:spacing w:after="120" w:line="240" w:lineRule="auto"/>
              <w:jc w:val="both"/>
              <w:rPr>
                <w:rFonts w:cs="Times New Roman"/>
                <w:bCs/>
              </w:rPr>
            </w:pPr>
            <w:r w:rsidRPr="007A7C51">
              <w:rPr>
                <w:rFonts w:cs="Times New Roman"/>
                <w:bCs/>
              </w:rPr>
              <w:t>Two p</w:t>
            </w:r>
            <w:r w:rsidR="00B93CFA" w:rsidRPr="007A7C51">
              <w:rPr>
                <w:rFonts w:cs="Times New Roman"/>
                <w:bCs/>
              </w:rPr>
              <w:t>ublished paper</w:t>
            </w:r>
            <w:r w:rsidRPr="007A7C51">
              <w:rPr>
                <w:rFonts w:cs="Times New Roman"/>
                <w:bCs/>
              </w:rPr>
              <w:t>s</w:t>
            </w:r>
            <w:r w:rsidR="00BC716C" w:rsidRPr="007A7C51">
              <w:rPr>
                <w:rFonts w:cs="Times New Roman"/>
                <w:bCs/>
              </w:rPr>
              <w:t xml:space="preserve"> (included in de Pedro </w:t>
            </w:r>
            <w:r w:rsidR="00B301D6" w:rsidRPr="00B301D6">
              <w:rPr>
                <w:rFonts w:cs="Times New Roman"/>
                <w:bCs/>
                <w:i/>
              </w:rPr>
              <w:t>et al</w:t>
            </w:r>
            <w:r w:rsidR="00BC716C" w:rsidRPr="007A7C51">
              <w:rPr>
                <w:rFonts w:cs="Times New Roman"/>
                <w:bCs/>
              </w:rPr>
              <w:t xml:space="preserve"> </w:t>
            </w:r>
            <w:r w:rsidR="00140508">
              <w:rPr>
                <w:rFonts w:cs="Times New Roman"/>
                <w:bCs/>
              </w:rPr>
              <w:t>(</w:t>
            </w:r>
            <w:r w:rsidR="00BC716C" w:rsidRPr="007A7C51">
              <w:rPr>
                <w:rFonts w:cs="Times New Roman"/>
                <w:bCs/>
              </w:rPr>
              <w:t>2012</w:t>
            </w:r>
            <w:r w:rsidR="00140508">
              <w:rPr>
                <w:rFonts w:cs="Times New Roman"/>
                <w:bCs/>
              </w:rPr>
              <w:t>)</w:t>
            </w:r>
            <w:r w:rsidR="00BC716C" w:rsidRPr="007A7C51">
              <w:rPr>
                <w:rFonts w:cs="Times New Roman"/>
                <w:bCs/>
              </w:rPr>
              <w:t>)</w:t>
            </w:r>
          </w:p>
        </w:tc>
      </w:tr>
      <w:tr w:rsidR="0049614B" w:rsidRPr="009F5584" w14:paraId="21AF0D97" w14:textId="77777777" w:rsidTr="00931EC4">
        <w:trPr>
          <w:trHeight w:val="900"/>
        </w:trPr>
        <w:tc>
          <w:tcPr>
            <w:tcW w:w="1838" w:type="dxa"/>
            <w:noWrap/>
          </w:tcPr>
          <w:p w14:paraId="72173453" w14:textId="23660A6D" w:rsidR="0049614B" w:rsidRPr="007A7C51" w:rsidRDefault="0049614B" w:rsidP="0076576E">
            <w:pPr>
              <w:spacing w:after="120" w:line="240" w:lineRule="auto"/>
              <w:jc w:val="both"/>
              <w:rPr>
                <w:rFonts w:cs="Times New Roman"/>
                <w:bCs/>
              </w:rPr>
            </w:pPr>
            <w:r w:rsidRPr="007A7C51">
              <w:rPr>
                <w:rFonts w:cs="Times New Roman"/>
                <w:bCs/>
              </w:rPr>
              <w:t xml:space="preserve">Ruegger </w:t>
            </w:r>
            <w:r w:rsidR="00B301D6" w:rsidRPr="00B301D6">
              <w:rPr>
                <w:rFonts w:cs="Times New Roman"/>
                <w:bCs/>
                <w:i/>
              </w:rPr>
              <w:t>et al</w:t>
            </w:r>
            <w:r w:rsidRPr="007A7C51">
              <w:rPr>
                <w:rFonts w:cs="Times New Roman"/>
                <w:bCs/>
              </w:rPr>
              <w:t xml:space="preserve"> (2009)</w:t>
            </w:r>
            <w:r w:rsidR="00826471" w:rsidRPr="007A7C51">
              <w:rPr>
                <w:rFonts w:cs="Times New Roman"/>
                <w:bCs/>
              </w:rPr>
              <w:fldChar w:fldCharType="begin">
                <w:fldData xml:space="preserve">PEVuZE5vdGU+PENpdGU+PEF1dGhvcj5SdWVnZ2VyPC9BdXRob3I+PFllYXI+MjAwOTwvWWVhcj48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</w:fldData>
              </w:fldChar>
            </w:r>
            <w:r w:rsidR="0076576E">
              <w:rPr>
                <w:rFonts w:cs="Times New Roman"/>
                <w:bCs/>
              </w:rPr>
              <w:instrText xml:space="preserve"> ADDIN EN.CITE </w:instrText>
            </w:r>
            <w:r w:rsidR="0076576E">
              <w:rPr>
                <w:rFonts w:cs="Times New Roman"/>
                <w:bCs/>
              </w:rPr>
              <w:fldChar w:fldCharType="begin">
                <w:fldData xml:space="preserve">PEVuZE5vdGU+PENpdGU+PEF1dGhvcj5SdWVnZ2VyPC9BdXRob3I+PFllYXI+MjAwOTwvWWVhcj48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sidR="00826471" w:rsidRPr="007A7C51">
              <w:rPr>
                <w:rFonts w:cs="Times New Roman"/>
                <w:bCs/>
              </w:rPr>
            </w:r>
            <w:r w:rsidR="00826471" w:rsidRPr="007A7C51">
              <w:rPr>
                <w:rFonts w:cs="Times New Roman"/>
                <w:bCs/>
              </w:rPr>
              <w:fldChar w:fldCharType="separate"/>
            </w:r>
            <w:r w:rsidR="0076576E" w:rsidRPr="0076576E">
              <w:rPr>
                <w:rFonts w:cs="Times New Roman"/>
                <w:bCs/>
                <w:noProof/>
                <w:vertAlign w:val="superscript"/>
              </w:rPr>
              <w:t>105</w:t>
            </w:r>
            <w:r w:rsidR="00826471" w:rsidRPr="007A7C51">
              <w:rPr>
                <w:rFonts w:cs="Times New Roman"/>
                <w:bCs/>
              </w:rPr>
              <w:fldChar w:fldCharType="end"/>
            </w:r>
          </w:p>
        </w:tc>
        <w:tc>
          <w:tcPr>
            <w:tcW w:w="5719" w:type="dxa"/>
          </w:tcPr>
          <w:p w14:paraId="7F3F3B8D" w14:textId="4A14BE9F" w:rsidR="0049614B" w:rsidRPr="007A7C51" w:rsidRDefault="000930F9" w:rsidP="00622C6B">
            <w:pPr>
              <w:spacing w:after="120" w:line="240" w:lineRule="auto"/>
              <w:jc w:val="both"/>
              <w:rPr>
                <w:rFonts w:cs="Times New Roman"/>
                <w:bCs/>
              </w:rPr>
            </w:pPr>
            <w:r>
              <w:rPr>
                <w:rFonts w:cs="Times New Roman"/>
                <w:bCs/>
              </w:rPr>
              <w:t xml:space="preserve"> A c</w:t>
            </w:r>
            <w:r w:rsidR="0049614B" w:rsidRPr="007A7C51">
              <w:rPr>
                <w:rFonts w:cs="Times New Roman"/>
                <w:bCs/>
              </w:rPr>
              <w:t>ase-control study</w:t>
            </w:r>
            <w:r w:rsidR="00F851E6" w:rsidRPr="007A7C51">
              <w:rPr>
                <w:rFonts w:cs="Times New Roman"/>
                <w:bCs/>
              </w:rPr>
              <w:t xml:space="preserve"> in Switzerland</w:t>
            </w:r>
            <w:r w:rsidR="0049614B" w:rsidRPr="007A7C51">
              <w:rPr>
                <w:rFonts w:cs="Times New Roman"/>
                <w:bCs/>
              </w:rPr>
              <w:t xml:space="preserve"> </w:t>
            </w:r>
            <w:r w:rsidR="00CB7F8E" w:rsidRPr="007A7C51">
              <w:rPr>
                <w:rFonts w:cs="Times New Roman"/>
                <w:bCs/>
              </w:rPr>
              <w:t>found</w:t>
            </w:r>
            <w:r w:rsidR="00646218">
              <w:rPr>
                <w:rFonts w:cs="Times New Roman"/>
                <w:bCs/>
              </w:rPr>
              <w:t xml:space="preserve"> 69</w:t>
            </w:r>
            <w:r w:rsidR="0049614B" w:rsidRPr="007A7C51">
              <w:rPr>
                <w:rFonts w:cs="Times New Roman"/>
                <w:bCs/>
              </w:rPr>
              <w:t xml:space="preserve"> sCJD patients</w:t>
            </w:r>
            <w:r w:rsidR="00646218">
              <w:rPr>
                <w:rFonts w:cs="Times New Roman"/>
                <w:bCs/>
              </w:rPr>
              <w:t>, compared with</w:t>
            </w:r>
            <w:r w:rsidR="0049614B" w:rsidRPr="007A7C51">
              <w:rPr>
                <w:rFonts w:cs="Times New Roman"/>
                <w:bCs/>
              </w:rPr>
              <w:t xml:space="preserve"> </w:t>
            </w:r>
            <w:r w:rsidR="00646218">
              <w:rPr>
                <w:rFonts w:cs="Times New Roman"/>
                <w:bCs/>
              </w:rPr>
              <w:t>224 controls,</w:t>
            </w:r>
            <w:r w:rsidR="00646218" w:rsidRPr="007A7C51">
              <w:rPr>
                <w:rFonts w:cs="Times New Roman"/>
                <w:bCs/>
              </w:rPr>
              <w:t xml:space="preserve"> </w:t>
            </w:r>
            <w:r w:rsidR="0049614B" w:rsidRPr="007A7C51">
              <w:rPr>
                <w:rFonts w:cs="Times New Roman"/>
                <w:bCs/>
              </w:rPr>
              <w:t>were more likely</w:t>
            </w:r>
            <w:r w:rsidR="00810B4C">
              <w:rPr>
                <w:rFonts w:cs="Times New Roman"/>
                <w:bCs/>
              </w:rPr>
              <w:t xml:space="preserve"> (p&lt;0.05)</w:t>
            </w:r>
            <w:r w:rsidR="0049614B" w:rsidRPr="007A7C51">
              <w:rPr>
                <w:rFonts w:cs="Times New Roman"/>
                <w:bCs/>
              </w:rPr>
              <w:t xml:space="preserve"> to have travelled abroad, worked at an animal laboratory, undergone invasive dental treatment, orthopaedic surgery, ophthalmologic surgery after 1980, regular GP visits, taken medication regularly, and consumed kidney. No differences between patients and controls were found for residency, family history, and exposure to environmental and other dietary factors.</w:t>
            </w:r>
            <w:r w:rsidR="00646218">
              <w:rPr>
                <w:rFonts w:cs="Times New Roman"/>
                <w:bCs/>
              </w:rPr>
              <w:t xml:space="preserve"> Other types of surgery were not found to be a possible factor. Previous</w:t>
            </w:r>
            <w:r w:rsidR="00B87CA6">
              <w:rPr>
                <w:rFonts w:cs="Times New Roman"/>
                <w:bCs/>
              </w:rPr>
              <w:t xml:space="preserve"> under-reporting / mis</w:t>
            </w:r>
            <w:r w:rsidR="00646218">
              <w:rPr>
                <w:rFonts w:cs="Times New Roman"/>
                <w:bCs/>
              </w:rPr>
              <w:t>diagnosis was proposed as the most likely explanation for the increased annual mortality.</w:t>
            </w:r>
          </w:p>
        </w:tc>
        <w:tc>
          <w:tcPr>
            <w:tcW w:w="1652" w:type="dxa"/>
          </w:tcPr>
          <w:p w14:paraId="37DC838A" w14:textId="72453BC0" w:rsidR="0049614B" w:rsidRPr="007A7C51" w:rsidRDefault="00CB7F8E" w:rsidP="00622C6B">
            <w:pPr>
              <w:spacing w:after="120" w:line="240" w:lineRule="auto"/>
              <w:jc w:val="both"/>
              <w:rPr>
                <w:rFonts w:cs="Times New Roman"/>
                <w:bCs/>
              </w:rPr>
            </w:pPr>
            <w:r w:rsidRPr="007A7C51">
              <w:rPr>
                <w:rFonts w:cs="Times New Roman"/>
                <w:bCs/>
              </w:rPr>
              <w:t>Published paper</w:t>
            </w:r>
            <w:r w:rsidR="00BC716C" w:rsidRPr="007A7C51">
              <w:rPr>
                <w:rFonts w:cs="Times New Roman"/>
                <w:bCs/>
              </w:rPr>
              <w:t xml:space="preserve"> (included in de Pedro </w:t>
            </w:r>
            <w:r w:rsidR="00B301D6" w:rsidRPr="00B301D6">
              <w:rPr>
                <w:rFonts w:cs="Times New Roman"/>
                <w:bCs/>
                <w:i/>
              </w:rPr>
              <w:t>et al</w:t>
            </w:r>
            <w:r w:rsidR="00BC716C" w:rsidRPr="007A7C51">
              <w:rPr>
                <w:rFonts w:cs="Times New Roman"/>
                <w:bCs/>
              </w:rPr>
              <w:t xml:space="preserve"> </w:t>
            </w:r>
            <w:r w:rsidR="00140508">
              <w:rPr>
                <w:rFonts w:cs="Times New Roman"/>
                <w:bCs/>
              </w:rPr>
              <w:t>(</w:t>
            </w:r>
            <w:r w:rsidR="00BC716C" w:rsidRPr="007A7C51">
              <w:rPr>
                <w:rFonts w:cs="Times New Roman"/>
                <w:bCs/>
              </w:rPr>
              <w:t>2012</w:t>
            </w:r>
            <w:r w:rsidR="00140508">
              <w:rPr>
                <w:rFonts w:cs="Times New Roman"/>
                <w:bCs/>
              </w:rPr>
              <w:t>)</w:t>
            </w:r>
            <w:r w:rsidR="00BC716C" w:rsidRPr="007A7C51">
              <w:rPr>
                <w:rFonts w:cs="Times New Roman"/>
                <w:bCs/>
              </w:rPr>
              <w:t>)</w:t>
            </w:r>
          </w:p>
        </w:tc>
      </w:tr>
      <w:tr w:rsidR="00810B4C" w:rsidRPr="007A7C51" w14:paraId="00A3D5D9" w14:textId="77777777" w:rsidTr="00931EC4">
        <w:trPr>
          <w:trHeight w:val="900"/>
        </w:trPr>
        <w:tc>
          <w:tcPr>
            <w:tcW w:w="1838" w:type="dxa"/>
            <w:noWrap/>
          </w:tcPr>
          <w:p w14:paraId="0B6C03EB" w14:textId="2A3639AA" w:rsidR="00810B4C" w:rsidRPr="007A7C51" w:rsidRDefault="00810B4C" w:rsidP="0076576E">
            <w:pPr>
              <w:spacing w:after="120" w:line="240" w:lineRule="auto"/>
              <w:jc w:val="both"/>
              <w:rPr>
                <w:rFonts w:cs="Times New Roman"/>
                <w:bCs/>
              </w:rPr>
            </w:pPr>
            <w:r w:rsidRPr="007A7C51">
              <w:rPr>
                <w:rFonts w:cs="Times New Roman"/>
                <w:bCs/>
              </w:rPr>
              <w:t xml:space="preserve">Ward </w:t>
            </w:r>
            <w:r w:rsidR="00B301D6" w:rsidRPr="00B301D6">
              <w:rPr>
                <w:rFonts w:cs="Times New Roman"/>
                <w:bCs/>
                <w:i/>
              </w:rPr>
              <w:t>et al</w:t>
            </w:r>
            <w:r w:rsidRPr="007A7C51">
              <w:rPr>
                <w:rFonts w:cs="Times New Roman"/>
                <w:bCs/>
              </w:rPr>
              <w:t xml:space="preserve"> (2006)</w:t>
            </w:r>
            <w:r>
              <w:rPr>
                <w:rFonts w:cs="Times New Roman"/>
                <w:bCs/>
              </w:rPr>
              <w:fldChar w:fldCharType="begin">
                <w:fldData xml:space="preserve">PEVuZE5vdGU+PENpdGU+PEF1dGhvcj5XYXJkPC9BdXRob3I+PFllYXI+MjAwNjwvWWVhcj48UmVj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</w:fldData>
              </w:fldChar>
            </w:r>
            <w:r w:rsidR="0076576E">
              <w:rPr>
                <w:rFonts w:cs="Times New Roman"/>
                <w:bCs/>
              </w:rPr>
              <w:instrText xml:space="preserve"> ADDIN EN.CITE </w:instrText>
            </w:r>
            <w:r w:rsidR="0076576E">
              <w:rPr>
                <w:rFonts w:cs="Times New Roman"/>
                <w:bCs/>
              </w:rPr>
              <w:fldChar w:fldCharType="begin">
                <w:fldData xml:space="preserve">PEVuZE5vdGU+PENpdGU+PEF1dGhvcj5XYXJkPC9BdXRob3I+PFllYXI+MjAwNjwvWWVhcj48UmVj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Pr>
                <w:rFonts w:cs="Times New Roman"/>
                <w:bCs/>
              </w:rPr>
            </w:r>
            <w:r>
              <w:rPr>
                <w:rFonts w:cs="Times New Roman"/>
                <w:bCs/>
              </w:rPr>
              <w:fldChar w:fldCharType="separate"/>
            </w:r>
            <w:r w:rsidR="0076576E" w:rsidRPr="0076576E">
              <w:rPr>
                <w:rFonts w:cs="Times New Roman"/>
                <w:bCs/>
                <w:noProof/>
                <w:vertAlign w:val="superscript"/>
              </w:rPr>
              <w:t>106</w:t>
            </w:r>
            <w:r>
              <w:rPr>
                <w:rFonts w:cs="Times New Roman"/>
                <w:bCs/>
              </w:rPr>
              <w:fldChar w:fldCharType="end"/>
            </w:r>
          </w:p>
        </w:tc>
        <w:tc>
          <w:tcPr>
            <w:tcW w:w="5719" w:type="dxa"/>
          </w:tcPr>
          <w:p w14:paraId="49DEFEB3" w14:textId="77777777" w:rsidR="00810B4C" w:rsidRPr="007A7C51" w:rsidRDefault="00810B4C" w:rsidP="00622C6B">
            <w:pPr>
              <w:spacing w:after="120" w:line="240" w:lineRule="auto"/>
              <w:jc w:val="both"/>
              <w:rPr>
                <w:rFonts w:cs="Times New Roman"/>
                <w:bCs/>
              </w:rPr>
            </w:pPr>
            <w:r w:rsidRPr="007A7C51">
              <w:rPr>
                <w:rFonts w:cs="Times New Roman"/>
                <w:bCs/>
              </w:rPr>
              <w:t xml:space="preserve">Case-control study of </w:t>
            </w:r>
            <w:r>
              <w:rPr>
                <w:rFonts w:cs="Times New Roman"/>
                <w:bCs/>
              </w:rPr>
              <w:t xml:space="preserve">136 </w:t>
            </w:r>
            <w:r w:rsidRPr="007A7C51">
              <w:rPr>
                <w:rFonts w:cs="Times New Roman"/>
                <w:bCs/>
              </w:rPr>
              <w:t>vCJD</w:t>
            </w:r>
            <w:r>
              <w:rPr>
                <w:rFonts w:cs="Times New Roman"/>
                <w:bCs/>
              </w:rPr>
              <w:t xml:space="preserve"> patients and 922 controls.</w:t>
            </w:r>
            <w:r w:rsidRPr="007A7C51">
              <w:rPr>
                <w:rFonts w:cs="Times New Roman"/>
                <w:bCs/>
              </w:rPr>
              <w:t xml:space="preserve"> </w:t>
            </w:r>
            <w:r>
              <w:rPr>
                <w:rFonts w:cs="Times New Roman"/>
                <w:bCs/>
              </w:rPr>
              <w:t xml:space="preserve">Investigation of </w:t>
            </w:r>
            <w:r w:rsidRPr="007A7C51">
              <w:rPr>
                <w:rFonts w:cs="Times New Roman"/>
                <w:bCs/>
              </w:rPr>
              <w:t>risk factors in the UK identifie</w:t>
            </w:r>
            <w:r>
              <w:rPr>
                <w:rFonts w:cs="Times New Roman"/>
                <w:bCs/>
              </w:rPr>
              <w:t>d</w:t>
            </w:r>
            <w:r w:rsidRPr="007A7C51">
              <w:rPr>
                <w:rFonts w:cs="Times New Roman"/>
                <w:bCs/>
              </w:rPr>
              <w:t xml:space="preserve"> dietary exposure to contaminated beef products as the main route of infection of vCJD with no convincing evidence of increased risk through medical, surgical, or occupational exposure or exposure to animals.</w:t>
            </w:r>
          </w:p>
        </w:tc>
        <w:tc>
          <w:tcPr>
            <w:tcW w:w="1652" w:type="dxa"/>
          </w:tcPr>
          <w:p w14:paraId="0ADDF8F0" w14:textId="4059ADCF" w:rsidR="00810B4C" w:rsidRPr="007A7C51" w:rsidRDefault="00810B4C" w:rsidP="00622C6B">
            <w:pPr>
              <w:spacing w:after="120" w:line="240" w:lineRule="auto"/>
              <w:jc w:val="both"/>
              <w:rPr>
                <w:rFonts w:cs="Times New Roman"/>
                <w:bCs/>
              </w:rPr>
            </w:pPr>
            <w:r w:rsidRPr="007A7C51">
              <w:rPr>
                <w:rFonts w:cs="Times New Roman"/>
                <w:bCs/>
              </w:rPr>
              <w:t xml:space="preserve">Published paper (included in de Pedro </w:t>
            </w:r>
            <w:r w:rsidR="00B301D6" w:rsidRPr="00B301D6">
              <w:rPr>
                <w:rFonts w:cs="Times New Roman"/>
                <w:bCs/>
                <w:i/>
              </w:rPr>
              <w:t>et al</w:t>
            </w:r>
            <w:r w:rsidRPr="007A7C51">
              <w:rPr>
                <w:rFonts w:cs="Times New Roman"/>
                <w:bCs/>
              </w:rPr>
              <w:t xml:space="preserve"> </w:t>
            </w:r>
            <w:r w:rsidR="00140508">
              <w:rPr>
                <w:rFonts w:cs="Times New Roman"/>
                <w:bCs/>
              </w:rPr>
              <w:t>(</w:t>
            </w:r>
            <w:r w:rsidRPr="007A7C51">
              <w:rPr>
                <w:rFonts w:cs="Times New Roman"/>
                <w:bCs/>
              </w:rPr>
              <w:t>2012</w:t>
            </w:r>
            <w:r w:rsidR="00140508">
              <w:rPr>
                <w:rFonts w:cs="Times New Roman"/>
                <w:bCs/>
              </w:rPr>
              <w:t>)</w:t>
            </w:r>
            <w:r w:rsidRPr="007A7C51">
              <w:rPr>
                <w:rFonts w:cs="Times New Roman"/>
                <w:bCs/>
              </w:rPr>
              <w:t>)</w:t>
            </w:r>
          </w:p>
        </w:tc>
      </w:tr>
      <w:tr w:rsidR="00F851E6" w:rsidRPr="009F5584" w14:paraId="1FE6F950" w14:textId="77777777" w:rsidTr="00931EC4">
        <w:trPr>
          <w:trHeight w:val="900"/>
        </w:trPr>
        <w:tc>
          <w:tcPr>
            <w:tcW w:w="1838" w:type="dxa"/>
            <w:noWrap/>
          </w:tcPr>
          <w:p w14:paraId="15D7F339" w14:textId="23491516" w:rsidR="00F851E6" w:rsidRPr="007A7C51" w:rsidRDefault="00F851E6" w:rsidP="0076576E">
            <w:pPr>
              <w:spacing w:after="120" w:line="240" w:lineRule="auto"/>
              <w:jc w:val="both"/>
              <w:rPr>
                <w:rFonts w:cs="Times New Roman"/>
                <w:bCs/>
              </w:rPr>
            </w:pPr>
            <w:r w:rsidRPr="007A7C51">
              <w:rPr>
                <w:rFonts w:cs="Times New Roman"/>
                <w:bCs/>
              </w:rPr>
              <w:t xml:space="preserve">Ward </w:t>
            </w:r>
            <w:r w:rsidR="00B301D6" w:rsidRPr="00B301D6">
              <w:rPr>
                <w:rFonts w:cs="Times New Roman"/>
                <w:bCs/>
                <w:i/>
              </w:rPr>
              <w:t>et al</w:t>
            </w:r>
            <w:r w:rsidRPr="007A7C51">
              <w:rPr>
                <w:rFonts w:cs="Times New Roman"/>
                <w:bCs/>
              </w:rPr>
              <w:t xml:space="preserve"> (2008)</w:t>
            </w:r>
            <w:r w:rsidR="00B57FE8">
              <w:rPr>
                <w:rFonts w:cs="Times New Roman"/>
                <w:bCs/>
              </w:rPr>
              <w:fldChar w:fldCharType="begin">
                <w:fldData xml:space="preserve">PEVuZE5vdGU+PENpdGU+PEF1dGhvcj5XYXJkPC9BdXRob3I+PFllYXI+MjAwODwvWWVhcj48UmVj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</w:fldData>
              </w:fldChar>
            </w:r>
            <w:r w:rsidR="0076576E">
              <w:rPr>
                <w:rFonts w:cs="Times New Roman"/>
                <w:bCs/>
              </w:rPr>
              <w:instrText xml:space="preserve"> ADDIN EN.CITE </w:instrText>
            </w:r>
            <w:r w:rsidR="0076576E">
              <w:rPr>
                <w:rFonts w:cs="Times New Roman"/>
                <w:bCs/>
              </w:rPr>
              <w:fldChar w:fldCharType="begin">
                <w:fldData xml:space="preserve">PEVuZE5vdGU+PENpdGU+PEF1dGhvcj5XYXJkPC9BdXRob3I+PFllYXI+MjAwODwvWWVhcj48UmVj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sidR="00B57FE8">
              <w:rPr>
                <w:rFonts w:cs="Times New Roman"/>
                <w:bCs/>
              </w:rPr>
            </w:r>
            <w:r w:rsidR="00B57FE8">
              <w:rPr>
                <w:rFonts w:cs="Times New Roman"/>
                <w:bCs/>
              </w:rPr>
              <w:fldChar w:fldCharType="separate"/>
            </w:r>
            <w:r w:rsidR="0076576E" w:rsidRPr="0076576E">
              <w:rPr>
                <w:rFonts w:cs="Times New Roman"/>
                <w:bCs/>
                <w:noProof/>
                <w:vertAlign w:val="superscript"/>
              </w:rPr>
              <w:t>107</w:t>
            </w:r>
            <w:r w:rsidR="00B57FE8">
              <w:rPr>
                <w:rFonts w:cs="Times New Roman"/>
                <w:bCs/>
              </w:rPr>
              <w:fldChar w:fldCharType="end"/>
            </w:r>
          </w:p>
        </w:tc>
        <w:tc>
          <w:tcPr>
            <w:tcW w:w="5719" w:type="dxa"/>
          </w:tcPr>
          <w:p w14:paraId="189A8DBA" w14:textId="72B46B02" w:rsidR="00F851E6" w:rsidRPr="007A7C51" w:rsidRDefault="00810B4C" w:rsidP="00622C6B">
            <w:pPr>
              <w:spacing w:after="120" w:line="240" w:lineRule="auto"/>
              <w:jc w:val="both"/>
              <w:rPr>
                <w:rFonts w:cs="Times New Roman"/>
                <w:bCs/>
              </w:rPr>
            </w:pPr>
            <w:r>
              <w:rPr>
                <w:rFonts w:cs="Times New Roman"/>
                <w:bCs/>
              </w:rPr>
              <w:t>A c</w:t>
            </w:r>
            <w:r w:rsidR="00F851E6" w:rsidRPr="007A7C51">
              <w:rPr>
                <w:rFonts w:cs="Times New Roman"/>
                <w:bCs/>
              </w:rPr>
              <w:t xml:space="preserve">ase-control study in the UK of </w:t>
            </w:r>
            <w:r w:rsidR="00646218">
              <w:rPr>
                <w:rFonts w:cs="Times New Roman"/>
                <w:bCs/>
              </w:rPr>
              <w:t xml:space="preserve">431 </w:t>
            </w:r>
            <w:r w:rsidR="00F851E6" w:rsidRPr="007A7C51">
              <w:rPr>
                <w:rFonts w:cs="Times New Roman"/>
                <w:bCs/>
              </w:rPr>
              <w:t>sCJD patients</w:t>
            </w:r>
            <w:r w:rsidR="00646218">
              <w:rPr>
                <w:rFonts w:cs="Times New Roman"/>
                <w:bCs/>
              </w:rPr>
              <w:t>, compared with 454 controls,</w:t>
            </w:r>
            <w:r w:rsidR="00F851E6" w:rsidRPr="007A7C51">
              <w:rPr>
                <w:rFonts w:cs="Times New Roman"/>
                <w:bCs/>
              </w:rPr>
              <w:t xml:space="preserve"> found increased risk was not associated with surgical categories chosen </w:t>
            </w:r>
            <w:r w:rsidR="00F851E6" w:rsidRPr="00C472A9">
              <w:rPr>
                <w:rFonts w:cs="Times New Roman"/>
                <w:bCs/>
                <w:i/>
              </w:rPr>
              <w:t>a priori</w:t>
            </w:r>
            <w:r w:rsidR="00F851E6" w:rsidRPr="007A7C51">
              <w:rPr>
                <w:rFonts w:cs="Times New Roman"/>
                <w:bCs/>
              </w:rPr>
              <w:t xml:space="preserve"> but appeared most marked for </w:t>
            </w:r>
            <w:r w:rsidR="00646218">
              <w:rPr>
                <w:rFonts w:cs="Times New Roman"/>
                <w:bCs/>
              </w:rPr>
              <w:t xml:space="preserve">‘other surgery’, especially the </w:t>
            </w:r>
            <w:r w:rsidR="00F851E6" w:rsidRPr="007A7C51">
              <w:rPr>
                <w:rFonts w:cs="Times New Roman"/>
                <w:bCs/>
              </w:rPr>
              <w:t xml:space="preserve">three subcategories: skin stitches, nose/throat operations, and removal of growths/cysts/moles. No convincing evidence was found of links between cases undergoing neurosurgery or </w:t>
            </w:r>
            <w:r w:rsidR="005112F8" w:rsidRPr="007A7C51">
              <w:rPr>
                <w:rFonts w:cs="Times New Roman"/>
                <w:bCs/>
              </w:rPr>
              <w:t>gynaecological</w:t>
            </w:r>
            <w:r w:rsidR="00F851E6" w:rsidRPr="007A7C51">
              <w:rPr>
                <w:rFonts w:cs="Times New Roman"/>
                <w:bCs/>
              </w:rPr>
              <w:t xml:space="preserve"> surgery.</w:t>
            </w:r>
            <w:r w:rsidR="00646218">
              <w:rPr>
                <w:rFonts w:cs="Times New Roman"/>
                <w:bCs/>
              </w:rPr>
              <w:t xml:space="preserve"> </w:t>
            </w:r>
          </w:p>
        </w:tc>
        <w:tc>
          <w:tcPr>
            <w:tcW w:w="1652" w:type="dxa"/>
          </w:tcPr>
          <w:p w14:paraId="7C3BDF00" w14:textId="29D713BB" w:rsidR="00F851E6" w:rsidRPr="007A7C51" w:rsidRDefault="00F851E6" w:rsidP="00622C6B">
            <w:pPr>
              <w:spacing w:after="120" w:line="240" w:lineRule="auto"/>
              <w:jc w:val="both"/>
              <w:rPr>
                <w:rFonts w:cs="Times New Roman"/>
                <w:bCs/>
              </w:rPr>
            </w:pPr>
            <w:r w:rsidRPr="007A7C51">
              <w:rPr>
                <w:rFonts w:cs="Times New Roman"/>
                <w:bCs/>
              </w:rPr>
              <w:t xml:space="preserve">Published paper (included in de Pedro </w:t>
            </w:r>
            <w:r w:rsidR="00B301D6" w:rsidRPr="00B301D6">
              <w:rPr>
                <w:rFonts w:cs="Times New Roman"/>
                <w:bCs/>
                <w:i/>
              </w:rPr>
              <w:t>et al</w:t>
            </w:r>
            <w:r w:rsidRPr="007A7C51">
              <w:rPr>
                <w:rFonts w:cs="Times New Roman"/>
                <w:bCs/>
              </w:rPr>
              <w:t xml:space="preserve"> </w:t>
            </w:r>
            <w:r w:rsidR="00140508">
              <w:rPr>
                <w:rFonts w:cs="Times New Roman"/>
                <w:bCs/>
              </w:rPr>
              <w:t>(</w:t>
            </w:r>
            <w:r w:rsidRPr="007A7C51">
              <w:rPr>
                <w:rFonts w:cs="Times New Roman"/>
                <w:bCs/>
              </w:rPr>
              <w:t>2012</w:t>
            </w:r>
            <w:r w:rsidR="00140508">
              <w:rPr>
                <w:rFonts w:cs="Times New Roman"/>
                <w:bCs/>
              </w:rPr>
              <w:t>)</w:t>
            </w:r>
            <w:r w:rsidRPr="007A7C51">
              <w:rPr>
                <w:rFonts w:cs="Times New Roman"/>
                <w:bCs/>
              </w:rPr>
              <w:t>)</w:t>
            </w:r>
          </w:p>
        </w:tc>
      </w:tr>
    </w:tbl>
    <w:p w14:paraId="30B29584" w14:textId="77777777" w:rsidR="00622C6B" w:rsidRPr="00622C6B" w:rsidRDefault="00622C6B" w:rsidP="00622C6B"/>
    <w:p w14:paraId="6E433D25" w14:textId="004F2219" w:rsidR="00BC716C" w:rsidRPr="00C472A9" w:rsidRDefault="001236CA" w:rsidP="00622C6B">
      <w:pPr>
        <w:pStyle w:val="Heading4"/>
        <w:spacing w:before="0"/>
        <w:rPr>
          <w:sz w:val="22"/>
        </w:rPr>
      </w:pPr>
      <w:r w:rsidRPr="00C472A9">
        <w:rPr>
          <w:sz w:val="22"/>
        </w:rPr>
        <w:t>Issues of r</w:t>
      </w:r>
      <w:r w:rsidR="00CA23DF" w:rsidRPr="00C472A9">
        <w:rPr>
          <w:sz w:val="22"/>
        </w:rPr>
        <w:t>eliability</w:t>
      </w:r>
      <w:r w:rsidR="00BC716C" w:rsidRPr="00C472A9">
        <w:rPr>
          <w:sz w:val="22"/>
        </w:rPr>
        <w:t xml:space="preserve"> </w:t>
      </w:r>
      <w:r w:rsidR="00F41084" w:rsidRPr="00C472A9">
        <w:rPr>
          <w:sz w:val="22"/>
        </w:rPr>
        <w:t xml:space="preserve">and validity </w:t>
      </w:r>
      <w:r w:rsidRPr="00C472A9">
        <w:rPr>
          <w:sz w:val="22"/>
        </w:rPr>
        <w:t>in</w:t>
      </w:r>
      <w:r w:rsidR="00BC716C" w:rsidRPr="00C472A9">
        <w:rPr>
          <w:sz w:val="22"/>
        </w:rPr>
        <w:t xml:space="preserve"> case control studies</w:t>
      </w:r>
    </w:p>
    <w:p w14:paraId="5EAA0EFB" w14:textId="18879AA3" w:rsidR="000F0871" w:rsidRPr="007A7C51" w:rsidRDefault="00475EFA" w:rsidP="00622C6B">
      <w:pPr>
        <w:jc w:val="both"/>
        <w:rPr>
          <w:rFonts w:cs="Times New Roman"/>
        </w:rPr>
      </w:pPr>
      <w:r w:rsidRPr="007A7C51">
        <w:rPr>
          <w:rFonts w:cs="Times New Roman"/>
        </w:rPr>
        <w:t xml:space="preserve">As sCJD is </w:t>
      </w:r>
      <w:r w:rsidR="00007540" w:rsidRPr="007A7C51">
        <w:rPr>
          <w:rFonts w:cs="Times New Roman"/>
        </w:rPr>
        <w:t>idiopathic</w:t>
      </w:r>
      <w:r w:rsidR="00F94A42" w:rsidRPr="007A7C51">
        <w:rPr>
          <w:rFonts w:cs="Times New Roman"/>
        </w:rPr>
        <w:t xml:space="preserve">, its </w:t>
      </w:r>
      <w:r w:rsidR="00186EED" w:rsidRPr="007A7C51">
        <w:rPr>
          <w:rFonts w:cs="Times New Roman"/>
        </w:rPr>
        <w:t>etiological basis</w:t>
      </w:r>
      <w:r w:rsidR="00F94A42" w:rsidRPr="007A7C51">
        <w:rPr>
          <w:rFonts w:cs="Times New Roman"/>
        </w:rPr>
        <w:t xml:space="preserve"> </w:t>
      </w:r>
      <w:r w:rsidR="00810B4C">
        <w:rPr>
          <w:rFonts w:cs="Times New Roman"/>
        </w:rPr>
        <w:t>is</w:t>
      </w:r>
      <w:r w:rsidR="00F94A42" w:rsidRPr="007A7C51">
        <w:rPr>
          <w:rFonts w:cs="Times New Roman"/>
        </w:rPr>
        <w:t xml:space="preserve"> presumed to be spontaneous but this is not known with any certainty.</w:t>
      </w:r>
      <w:r w:rsidR="00F41084">
        <w:rPr>
          <w:rFonts w:cs="Times New Roman"/>
        </w:rPr>
        <w:fldChar w:fldCharType="begin">
          <w:fldData xml:space="preserve">PEVuZE5vdGU+PENpdGU+PEF1dGhvcj5EaWFjazwvQXV0aG9yPjxZZWFyPjIwMTQ8L1llYXI+PFJl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PEVuZE5vdGU+PENpdGU+PEF1dGhvcj5EaWFjazwvQXV0aG9yPjxZZWFyPjIwMTQ8L1llYXI+PFJl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F41084">
        <w:rPr>
          <w:rFonts w:cs="Times New Roman"/>
        </w:rPr>
      </w:r>
      <w:r w:rsidR="00F41084">
        <w:rPr>
          <w:rFonts w:cs="Times New Roman"/>
        </w:rPr>
        <w:fldChar w:fldCharType="separate"/>
      </w:r>
      <w:r w:rsidR="0076576E" w:rsidRPr="0076576E">
        <w:rPr>
          <w:rFonts w:cs="Times New Roman"/>
          <w:noProof/>
          <w:vertAlign w:val="superscript"/>
        </w:rPr>
        <w:t>85</w:t>
      </w:r>
      <w:r w:rsidR="00F41084">
        <w:rPr>
          <w:rFonts w:cs="Times New Roman"/>
        </w:rPr>
        <w:fldChar w:fldCharType="end"/>
      </w:r>
      <w:r w:rsidR="00F94A42" w:rsidRPr="007A7C51">
        <w:rPr>
          <w:rFonts w:cs="Times New Roman"/>
        </w:rPr>
        <w:t xml:space="preserve"> Therefore,</w:t>
      </w:r>
      <w:r w:rsidRPr="007A7C51">
        <w:rPr>
          <w:rFonts w:cs="Times New Roman"/>
        </w:rPr>
        <w:t xml:space="preserve"> c</w:t>
      </w:r>
      <w:r w:rsidR="000F0871" w:rsidRPr="007A7C51">
        <w:rPr>
          <w:rFonts w:cs="Times New Roman"/>
        </w:rPr>
        <w:t xml:space="preserve">ase-control studies are a frequently encountered design in </w:t>
      </w:r>
      <w:r w:rsidRPr="007A7C51">
        <w:rPr>
          <w:rFonts w:cs="Times New Roman"/>
        </w:rPr>
        <w:t>estimating</w:t>
      </w:r>
      <w:r w:rsidR="000F0871" w:rsidRPr="007A7C51">
        <w:rPr>
          <w:rFonts w:cs="Times New Roman"/>
        </w:rPr>
        <w:t xml:space="preserve"> </w:t>
      </w:r>
      <w:r w:rsidR="00F94A42" w:rsidRPr="007A7C51">
        <w:rPr>
          <w:rFonts w:cs="Times New Roman"/>
        </w:rPr>
        <w:t xml:space="preserve">possible and </w:t>
      </w:r>
      <w:r w:rsidR="000F0871" w:rsidRPr="007A7C51">
        <w:rPr>
          <w:rFonts w:cs="Times New Roman"/>
        </w:rPr>
        <w:t xml:space="preserve">plausible risk factors for sCJD. De Pedro Cuesta </w:t>
      </w:r>
      <w:r w:rsidR="00B301D6" w:rsidRPr="00B301D6">
        <w:rPr>
          <w:rFonts w:cs="Times New Roman"/>
          <w:i/>
        </w:rPr>
        <w:t>et al</w:t>
      </w:r>
      <w:r w:rsidR="000F0871" w:rsidRPr="007A7C51">
        <w:rPr>
          <w:rFonts w:cs="Times New Roman"/>
        </w:rPr>
        <w:t xml:space="preserve"> (2012)</w:t>
      </w:r>
      <w:r w:rsidR="00826471" w:rsidRPr="007A7C51">
        <w:rPr>
          <w:rFonts w:cs="Times New Roman"/>
        </w:rPr>
        <w:fldChar w:fldCharType="begin">
          <w:fldData xml:space="preserve">PEVuZE5vdGU+PENpdGU+PEF1dGhvcj5kZSBQZWRybyBDdWVzdGE8L0F1dGhvcj48WWVhcj4yMDEy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</w:fldData>
        </w:fldChar>
      </w:r>
      <w:r w:rsidR="0076576E">
        <w:rPr>
          <w:rFonts w:cs="Times New Roman"/>
        </w:rPr>
        <w:instrText xml:space="preserve"> ADDIN EN.CITE </w:instrText>
      </w:r>
      <w:r w:rsidR="0076576E">
        <w:rPr>
          <w:rFonts w:cs="Times New Roman"/>
        </w:rPr>
        <w:fldChar w:fldCharType="begin">
          <w:fldData xml:space="preserve">PEVuZE5vdGU+PENpdGU+PEF1dGhvcj5kZSBQZWRybyBDdWVzdGE8L0F1dGhvcj48WWVhcj4yMDEy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826471" w:rsidRPr="007A7C51">
        <w:rPr>
          <w:rFonts w:cs="Times New Roman"/>
        </w:rPr>
      </w:r>
      <w:r w:rsidR="00826471" w:rsidRPr="007A7C51">
        <w:rPr>
          <w:rFonts w:cs="Times New Roman"/>
        </w:rPr>
        <w:fldChar w:fldCharType="separate"/>
      </w:r>
      <w:r w:rsidR="0076576E" w:rsidRPr="0076576E">
        <w:rPr>
          <w:rFonts w:cs="Times New Roman"/>
          <w:noProof/>
          <w:vertAlign w:val="superscript"/>
        </w:rPr>
        <w:t>108</w:t>
      </w:r>
      <w:r w:rsidR="00826471" w:rsidRPr="007A7C51">
        <w:rPr>
          <w:rFonts w:cs="Times New Roman"/>
        </w:rPr>
        <w:fldChar w:fldCharType="end"/>
      </w:r>
      <w:r w:rsidR="000F0871" w:rsidRPr="007A7C51">
        <w:rPr>
          <w:rFonts w:cs="Times New Roman"/>
        </w:rPr>
        <w:t xml:space="preserve"> </w:t>
      </w:r>
      <w:r w:rsidR="00465A05" w:rsidRPr="007A7C51">
        <w:rPr>
          <w:rFonts w:cs="Times New Roman"/>
        </w:rPr>
        <w:t xml:space="preserve">caution about the potential biases in these study designs in an </w:t>
      </w:r>
      <w:r w:rsidR="00E8315C" w:rsidRPr="007A7C51">
        <w:rPr>
          <w:rFonts w:cs="Times New Roman"/>
        </w:rPr>
        <w:t>a</w:t>
      </w:r>
      <w:r w:rsidR="00E8315C" w:rsidRPr="007A7C51">
        <w:rPr>
          <w:rFonts w:cs="Times New Roman"/>
          <w:bCs/>
        </w:rPr>
        <w:t>ssess</w:t>
      </w:r>
      <w:r w:rsidR="00465A05" w:rsidRPr="007A7C51">
        <w:rPr>
          <w:rFonts w:cs="Times New Roman"/>
          <w:bCs/>
        </w:rPr>
        <w:t>ment of</w:t>
      </w:r>
      <w:r w:rsidR="00E8315C" w:rsidRPr="007A7C51">
        <w:rPr>
          <w:rFonts w:cs="Times New Roman"/>
          <w:bCs/>
        </w:rPr>
        <w:t xml:space="preserve"> 18</w:t>
      </w:r>
      <w:r w:rsidR="00465A05" w:rsidRPr="007A7C51">
        <w:rPr>
          <w:rFonts w:cs="Times New Roman"/>
          <w:bCs/>
        </w:rPr>
        <w:t xml:space="preserve"> case-control studies in CJD</w:t>
      </w:r>
      <w:r w:rsidR="000F0871" w:rsidRPr="007A7C51">
        <w:rPr>
          <w:rFonts w:cs="Times New Roman"/>
        </w:rPr>
        <w:t xml:space="preserve">. </w:t>
      </w:r>
      <w:r w:rsidR="00465A05" w:rsidRPr="007A7C51">
        <w:rPr>
          <w:rFonts w:cs="Times New Roman"/>
        </w:rPr>
        <w:t xml:space="preserve">From </w:t>
      </w:r>
      <w:r w:rsidR="00B5498F" w:rsidRPr="007A7C51">
        <w:rPr>
          <w:rFonts w:cs="Times New Roman"/>
        </w:rPr>
        <w:t>a</w:t>
      </w:r>
      <w:r w:rsidR="00465A05" w:rsidRPr="007A7C51">
        <w:rPr>
          <w:rFonts w:cs="Times New Roman"/>
        </w:rPr>
        <w:t xml:space="preserve"> combined analysis of </w:t>
      </w:r>
      <w:r w:rsidR="0082253D" w:rsidRPr="007A7C51">
        <w:rPr>
          <w:rFonts w:cs="Times New Roman"/>
        </w:rPr>
        <w:t>studies,</w:t>
      </w:r>
      <w:r w:rsidR="00465A05" w:rsidRPr="007A7C51">
        <w:rPr>
          <w:rFonts w:cs="Times New Roman"/>
        </w:rPr>
        <w:t xml:space="preserve"> the authors found that</w:t>
      </w:r>
      <w:r w:rsidR="00E8315C" w:rsidRPr="007A7C51">
        <w:rPr>
          <w:rFonts w:cs="Times New Roman"/>
          <w:bCs/>
        </w:rPr>
        <w:t xml:space="preserve"> history of surgery or blood transfusion was associated with </w:t>
      </w:r>
      <w:r w:rsidR="00186EED" w:rsidRPr="007A7C51">
        <w:rPr>
          <w:rFonts w:cs="Times New Roman"/>
          <w:bCs/>
        </w:rPr>
        <w:t xml:space="preserve">sCJD </w:t>
      </w:r>
      <w:r w:rsidR="00E8315C" w:rsidRPr="007A7C51">
        <w:rPr>
          <w:rFonts w:cs="Times New Roman"/>
          <w:bCs/>
        </w:rPr>
        <w:t>risk in some</w:t>
      </w:r>
      <w:r w:rsidR="00810B4C">
        <w:rPr>
          <w:rFonts w:cs="Times New Roman"/>
          <w:bCs/>
        </w:rPr>
        <w:t xml:space="preserve">, but not all, recent studies using a </w:t>
      </w:r>
      <w:r w:rsidR="0082253D" w:rsidRPr="007A7C51">
        <w:rPr>
          <w:rFonts w:cs="Times New Roman"/>
          <w:bCs/>
        </w:rPr>
        <w:t>10-year</w:t>
      </w:r>
      <w:r w:rsidR="00810B4C">
        <w:rPr>
          <w:rFonts w:cs="Times New Roman"/>
          <w:bCs/>
        </w:rPr>
        <w:t xml:space="preserve"> or longer</w:t>
      </w:r>
      <w:r w:rsidR="00E8315C" w:rsidRPr="007A7C51">
        <w:rPr>
          <w:rFonts w:cs="Times New Roman"/>
          <w:bCs/>
        </w:rPr>
        <w:t xml:space="preserve"> lag time, when controls were longitudinally sampled</w:t>
      </w:r>
      <w:r w:rsidR="00FA085E" w:rsidRPr="007A7C51">
        <w:rPr>
          <w:rFonts w:cs="Times New Roman"/>
          <w:bCs/>
        </w:rPr>
        <w:t xml:space="preserve">. </w:t>
      </w:r>
      <w:r w:rsidR="008E16A6" w:rsidRPr="007A7C51">
        <w:rPr>
          <w:rFonts w:cs="Times New Roman"/>
        </w:rPr>
        <w:t>Further</w:t>
      </w:r>
      <w:r w:rsidR="00773A5E">
        <w:rPr>
          <w:rFonts w:cs="Times New Roman"/>
        </w:rPr>
        <w:t>,</w:t>
      </w:r>
      <w:r w:rsidR="008E16A6" w:rsidRPr="007A7C51">
        <w:rPr>
          <w:rFonts w:cs="Times New Roman"/>
        </w:rPr>
        <w:t xml:space="preserve"> they found that neither surgical history nor blood transfusion, dental treatments or endoscopic examinations were linked to vCJD. </w:t>
      </w:r>
      <w:r w:rsidR="00F94A42" w:rsidRPr="007A7C51">
        <w:rPr>
          <w:rFonts w:cs="Times New Roman"/>
          <w:bCs/>
        </w:rPr>
        <w:t>However, t</w:t>
      </w:r>
      <w:r w:rsidR="00E8315C" w:rsidRPr="007A7C51">
        <w:rPr>
          <w:rFonts w:cs="Times New Roman"/>
        </w:rPr>
        <w:t>he author</w:t>
      </w:r>
      <w:r w:rsidR="00FA085E" w:rsidRPr="007A7C51">
        <w:rPr>
          <w:rFonts w:cs="Times New Roman"/>
        </w:rPr>
        <w:t>s</w:t>
      </w:r>
      <w:r w:rsidRPr="007A7C51">
        <w:rPr>
          <w:rFonts w:cs="Times New Roman"/>
        </w:rPr>
        <w:t xml:space="preserve"> highlight that </w:t>
      </w:r>
      <w:r w:rsidR="008E16A6" w:rsidRPr="007A7C51">
        <w:rPr>
          <w:rFonts w:cs="Times New Roman"/>
        </w:rPr>
        <w:t xml:space="preserve">the </w:t>
      </w:r>
      <w:r w:rsidRPr="007A7C51">
        <w:rPr>
          <w:rFonts w:cs="Times New Roman"/>
        </w:rPr>
        <w:t xml:space="preserve">validity of the findings in these </w:t>
      </w:r>
      <w:r w:rsidR="008E16A6" w:rsidRPr="007A7C51">
        <w:rPr>
          <w:rFonts w:cs="Times New Roman"/>
        </w:rPr>
        <w:t xml:space="preserve">case-control </w:t>
      </w:r>
      <w:r w:rsidRPr="007A7C51">
        <w:rPr>
          <w:rFonts w:cs="Times New Roman"/>
        </w:rPr>
        <w:t xml:space="preserve">studies may be undermined by: </w:t>
      </w:r>
      <w:r w:rsidR="00CB7F8E" w:rsidRPr="007A7C51">
        <w:rPr>
          <w:rFonts w:cs="Times New Roman"/>
        </w:rPr>
        <w:t xml:space="preserve">selection </w:t>
      </w:r>
      <w:r w:rsidR="00F0769C" w:rsidRPr="007A7C51">
        <w:rPr>
          <w:rFonts w:cs="Times New Roman"/>
        </w:rPr>
        <w:t>of</w:t>
      </w:r>
      <w:r w:rsidR="00CB7F8E" w:rsidRPr="007A7C51">
        <w:rPr>
          <w:rFonts w:cs="Times New Roman"/>
        </w:rPr>
        <w:t xml:space="preserve"> </w:t>
      </w:r>
      <w:r w:rsidRPr="007A7C51">
        <w:rPr>
          <w:rFonts w:cs="Times New Roman"/>
        </w:rPr>
        <w:t xml:space="preserve">control </w:t>
      </w:r>
      <w:r w:rsidR="00CB7F8E" w:rsidRPr="007A7C51">
        <w:rPr>
          <w:rFonts w:cs="Times New Roman"/>
        </w:rPr>
        <w:t>cases</w:t>
      </w:r>
      <w:r w:rsidRPr="007A7C51">
        <w:rPr>
          <w:rFonts w:cs="Times New Roman"/>
        </w:rPr>
        <w:t xml:space="preserve">; exposure assessment in life-time periods of different duration, </w:t>
      </w:r>
      <w:r w:rsidR="00653027">
        <w:rPr>
          <w:rFonts w:cs="Times New Roman"/>
        </w:rPr>
        <w:t>disregarding ‘at- risk’ periods for exposure in the controls</w:t>
      </w:r>
      <w:r w:rsidRPr="007A7C51">
        <w:rPr>
          <w:rFonts w:cs="Times New Roman"/>
        </w:rPr>
        <w:t>, or asymmetry in case/control data</w:t>
      </w:r>
      <w:r w:rsidR="00773A5E">
        <w:rPr>
          <w:rFonts w:cs="Times New Roman"/>
        </w:rPr>
        <w:t>,</w:t>
      </w:r>
      <w:r w:rsidRPr="007A7C51">
        <w:rPr>
          <w:rFonts w:cs="Times New Roman"/>
        </w:rPr>
        <w:t xml:space="preserve"> and confounding by concomitant blood transfusion at the time of surgery. </w:t>
      </w:r>
      <w:r w:rsidR="000F0871" w:rsidRPr="007A7C51">
        <w:rPr>
          <w:rFonts w:cs="Times New Roman"/>
        </w:rPr>
        <w:t>They</w:t>
      </w:r>
      <w:r w:rsidR="008E16A6" w:rsidRPr="007A7C51">
        <w:rPr>
          <w:rFonts w:cs="Times New Roman"/>
        </w:rPr>
        <w:t xml:space="preserve"> also</w:t>
      </w:r>
      <w:r w:rsidR="000F0871" w:rsidRPr="007A7C51">
        <w:rPr>
          <w:rFonts w:cs="Times New Roman"/>
        </w:rPr>
        <w:t xml:space="preserve"> </w:t>
      </w:r>
      <w:r w:rsidR="00465A05" w:rsidRPr="007A7C51">
        <w:rPr>
          <w:rFonts w:cs="Times New Roman"/>
        </w:rPr>
        <w:t>postulate</w:t>
      </w:r>
      <w:r w:rsidRPr="007A7C51">
        <w:rPr>
          <w:rFonts w:cs="Times New Roman"/>
        </w:rPr>
        <w:t xml:space="preserve"> that s</w:t>
      </w:r>
      <w:r w:rsidR="000F0871" w:rsidRPr="007A7C51">
        <w:rPr>
          <w:rFonts w:cs="Times New Roman"/>
        </w:rPr>
        <w:t>urgery at early clinical onset might be overrepresented among cases.</w:t>
      </w:r>
      <w:r w:rsidR="00E44F73" w:rsidRPr="007A7C51">
        <w:rPr>
          <w:rFonts w:cs="Times New Roman"/>
        </w:rPr>
        <w:t xml:space="preserve"> </w:t>
      </w:r>
    </w:p>
    <w:p w14:paraId="025D888E" w14:textId="77777777" w:rsidR="00526B86" w:rsidRDefault="00526B86" w:rsidP="00622C6B">
      <w:pPr>
        <w:jc w:val="both"/>
        <w:rPr>
          <w:rFonts w:cs="Times New Roman"/>
          <w:sz w:val="24"/>
          <w:szCs w:val="24"/>
        </w:rPr>
      </w:pPr>
    </w:p>
    <w:p w14:paraId="560DD3FB" w14:textId="15D4499D" w:rsidR="008E16A6" w:rsidRPr="007A7C51" w:rsidRDefault="008E16A6" w:rsidP="00622C6B">
      <w:pPr>
        <w:jc w:val="both"/>
        <w:rPr>
          <w:rFonts w:cs="Times New Roman"/>
        </w:rPr>
      </w:pPr>
      <w:r w:rsidRPr="007A7C51">
        <w:rPr>
          <w:rFonts w:cs="Times New Roman"/>
        </w:rPr>
        <w:t>As a retrospective study design</w:t>
      </w:r>
      <w:r w:rsidR="00526B86" w:rsidRPr="007A7C51">
        <w:rPr>
          <w:rFonts w:cs="Times New Roman"/>
        </w:rPr>
        <w:t>,</w:t>
      </w:r>
      <w:r w:rsidRPr="007A7C51">
        <w:rPr>
          <w:rFonts w:cs="Times New Roman"/>
        </w:rPr>
        <w:t xml:space="preserve"> case-control studies are inevitably prone to bias. The source of cases and the selection of control (matched or unmatched) cannot be performed blindly or impartially therefore</w:t>
      </w:r>
      <w:r w:rsidR="00F0769C" w:rsidRPr="007A7C51">
        <w:rPr>
          <w:rFonts w:cs="Times New Roman"/>
        </w:rPr>
        <w:t xml:space="preserve"> there is a high risk of</w:t>
      </w:r>
      <w:r w:rsidRPr="007A7C51">
        <w:rPr>
          <w:rFonts w:cs="Times New Roman"/>
        </w:rPr>
        <w:t xml:space="preserve"> </w:t>
      </w:r>
      <w:r w:rsidR="00F0769C" w:rsidRPr="007A7C51">
        <w:rPr>
          <w:rFonts w:cs="Times New Roman"/>
        </w:rPr>
        <w:t>selection bias on the researcher’s part. Due to long incuba</w:t>
      </w:r>
      <w:r w:rsidR="00F41084">
        <w:rPr>
          <w:rFonts w:cs="Times New Roman"/>
        </w:rPr>
        <w:t>tion periods and the reliance on</w:t>
      </w:r>
      <w:r w:rsidR="00F0769C" w:rsidRPr="007A7C51">
        <w:rPr>
          <w:rFonts w:cs="Times New Roman"/>
        </w:rPr>
        <w:t xml:space="preserve"> family </w:t>
      </w:r>
      <w:r w:rsidR="00F41084">
        <w:rPr>
          <w:rFonts w:cs="Times New Roman"/>
        </w:rPr>
        <w:t>members</w:t>
      </w:r>
      <w:r w:rsidR="00773A5E">
        <w:rPr>
          <w:rFonts w:cs="Times New Roman"/>
        </w:rPr>
        <w:t>’</w:t>
      </w:r>
      <w:r w:rsidR="00F41084">
        <w:rPr>
          <w:rFonts w:cs="Times New Roman"/>
        </w:rPr>
        <w:t xml:space="preserve"> </w:t>
      </w:r>
      <w:r w:rsidR="00F0769C" w:rsidRPr="007A7C51">
        <w:rPr>
          <w:rFonts w:cs="Times New Roman"/>
        </w:rPr>
        <w:t>reports of medical histories</w:t>
      </w:r>
      <w:r w:rsidR="00773A5E">
        <w:rPr>
          <w:rFonts w:cs="Times New Roman"/>
        </w:rPr>
        <w:t>,</w:t>
      </w:r>
      <w:r w:rsidR="00F0769C" w:rsidRPr="007A7C51">
        <w:rPr>
          <w:rFonts w:cs="Times New Roman"/>
        </w:rPr>
        <w:t xml:space="preserve"> there is also substantial likelihood of recall bias. Case-control designs are also less useful when the study exposures are rare, as in the case of surgery or blood transfusion. Therefore, </w:t>
      </w:r>
      <w:r w:rsidRPr="007A7C51">
        <w:rPr>
          <w:rFonts w:cs="Times New Roman"/>
        </w:rPr>
        <w:t xml:space="preserve">the utility of these studies in attempting to fairly estimate risk factors is limited. However, as CJD </w:t>
      </w:r>
      <w:r w:rsidR="005C01AE" w:rsidRPr="007A7C51">
        <w:rPr>
          <w:rFonts w:cs="Times New Roman"/>
        </w:rPr>
        <w:t>is rare</w:t>
      </w:r>
      <w:r w:rsidR="00F0769C" w:rsidRPr="007A7C51">
        <w:rPr>
          <w:rFonts w:cs="Times New Roman"/>
        </w:rPr>
        <w:t>,</w:t>
      </w:r>
      <w:r w:rsidR="005C01AE" w:rsidRPr="007A7C51">
        <w:rPr>
          <w:rFonts w:cs="Times New Roman"/>
        </w:rPr>
        <w:t xml:space="preserve"> fatal</w:t>
      </w:r>
      <w:r w:rsidR="00F0769C" w:rsidRPr="007A7C51">
        <w:rPr>
          <w:rFonts w:cs="Times New Roman"/>
        </w:rPr>
        <w:t xml:space="preserve"> and has a potentially long latency period</w:t>
      </w:r>
      <w:r w:rsidR="00BB15D8">
        <w:rPr>
          <w:rFonts w:cs="Times New Roman"/>
        </w:rPr>
        <w:t>,</w:t>
      </w:r>
      <w:r w:rsidR="005C01AE" w:rsidRPr="007A7C51">
        <w:rPr>
          <w:rFonts w:cs="Times New Roman"/>
        </w:rPr>
        <w:t xml:space="preserve"> there are few </w:t>
      </w:r>
      <w:r w:rsidR="007F636B" w:rsidRPr="007A7C51">
        <w:rPr>
          <w:rFonts w:cs="Times New Roman"/>
        </w:rPr>
        <w:t xml:space="preserve">plausible </w:t>
      </w:r>
      <w:r w:rsidR="005C01AE" w:rsidRPr="007A7C51">
        <w:rPr>
          <w:rFonts w:cs="Times New Roman"/>
        </w:rPr>
        <w:t xml:space="preserve">alternative study designs to </w:t>
      </w:r>
      <w:r w:rsidR="00635170">
        <w:rPr>
          <w:rFonts w:cs="Times New Roman"/>
        </w:rPr>
        <w:t>establish</w:t>
      </w:r>
      <w:r w:rsidR="005C01AE" w:rsidRPr="007A7C51">
        <w:rPr>
          <w:rFonts w:cs="Times New Roman"/>
        </w:rPr>
        <w:t xml:space="preserve"> potential lifetime risk factors in humans.</w:t>
      </w:r>
    </w:p>
    <w:p w14:paraId="029B9240" w14:textId="77777777" w:rsidR="00BA7147" w:rsidRPr="007A7C51" w:rsidRDefault="00BA7147" w:rsidP="00622C6B">
      <w:pPr>
        <w:jc w:val="both"/>
        <w:rPr>
          <w:rFonts w:cs="Times New Roman"/>
        </w:rPr>
      </w:pPr>
    </w:p>
    <w:p w14:paraId="616CE464" w14:textId="4CF0731B" w:rsidR="00D81B83" w:rsidRPr="00635170" w:rsidRDefault="00B50E6B" w:rsidP="00622C6B">
      <w:pPr>
        <w:pStyle w:val="Heading4"/>
        <w:spacing w:before="0"/>
        <w:rPr>
          <w:sz w:val="22"/>
        </w:rPr>
      </w:pPr>
      <w:r w:rsidRPr="00635170">
        <w:rPr>
          <w:sz w:val="22"/>
        </w:rPr>
        <w:t>Risk of CJD through occupational exposure</w:t>
      </w:r>
      <w:r w:rsidR="00896ED9" w:rsidRPr="00635170">
        <w:rPr>
          <w:sz w:val="22"/>
        </w:rPr>
        <w:t xml:space="preserve"> for</w:t>
      </w:r>
      <w:r w:rsidRPr="00635170">
        <w:rPr>
          <w:sz w:val="22"/>
        </w:rPr>
        <w:t xml:space="preserve"> health professionals</w:t>
      </w:r>
    </w:p>
    <w:p w14:paraId="6270369F" w14:textId="4FF158FF" w:rsidR="00D81B83" w:rsidRPr="007A7C51" w:rsidRDefault="00D81B83" w:rsidP="00622C6B">
      <w:pPr>
        <w:jc w:val="both"/>
        <w:rPr>
          <w:rFonts w:cs="Times New Roman"/>
          <w:bCs/>
        </w:rPr>
      </w:pPr>
      <w:r w:rsidRPr="007A7C51">
        <w:rPr>
          <w:rFonts w:cs="Times New Roman"/>
          <w:bCs/>
        </w:rPr>
        <w:t>In 2009</w:t>
      </w:r>
      <w:r w:rsidR="00BB15D8">
        <w:rPr>
          <w:rFonts w:cs="Times New Roman"/>
          <w:bCs/>
        </w:rPr>
        <w:t>,</w:t>
      </w:r>
      <w:r w:rsidRPr="007A7C51">
        <w:rPr>
          <w:rFonts w:cs="Times New Roman"/>
          <w:bCs/>
        </w:rPr>
        <w:t xml:space="preserve"> the Spanish CJD registry was notified of a case of sporadic CJD in an expe</w:t>
      </w:r>
      <w:r w:rsidR="00653027">
        <w:rPr>
          <w:rFonts w:cs="Times New Roman"/>
          <w:bCs/>
        </w:rPr>
        <w:t>rienced general pathologist/</w:t>
      </w:r>
      <w:r w:rsidRPr="007A7C51">
        <w:rPr>
          <w:rFonts w:cs="Times New Roman"/>
          <w:bCs/>
        </w:rPr>
        <w:t>neuropathologist which prompted investigation into possible risks to health professionals in contact with CJD patients.</w:t>
      </w:r>
      <w:r w:rsidR="00B93CFA" w:rsidRPr="007A7C51">
        <w:rPr>
          <w:rFonts w:cs="Times New Roman"/>
          <w:bCs/>
        </w:rPr>
        <w:fldChar w:fldCharType="begin"/>
      </w:r>
      <w:r w:rsidR="0076576E">
        <w:rPr>
          <w:rFonts w:cs="Times New Roman"/>
          <w:bCs/>
        </w:rPr>
        <w:instrText xml:space="preserve"> ADDIN EN.CITE &lt;EndNote&gt;&lt;Cite&gt;&lt;Author&gt;Alcalde-Cabero&lt;/Author&gt;&lt;Year&gt;2012&lt;/Year&gt;&lt;RecNum&gt;10254&lt;/RecNum&gt;&lt;DisplayText&gt;&lt;style face="superscript"&gt;109&lt;/style&gt;&lt;/DisplayText&gt;&lt;record&gt;&lt;rec-number&gt;10254&lt;/rec-number&gt;&lt;foreign-keys&gt;&lt;key app="EN" db-id="vrp0pptazv05wtesfz5vrzsj2p0rv09ttsa9" timestamp="1520851586" guid="9a8ef50c-62a3-4056-8892-8d8b323d9970"&gt;10254&lt;/key&gt;&lt;/foreign-keys&gt;&lt;ref-type name="Journal Article"&gt;17&lt;/ref-type&gt;&lt;contributors&gt;&lt;authors&gt;&lt;author&gt;Alcalde-Cabero, E&lt;/author&gt;&lt;author&gt;Almazan-Isla, J&lt;/author&gt;&lt;author&gt;Brandel, Jean-Philippe&lt;/author&gt;&lt;author&gt;Breithaupt, M&lt;/author&gt;&lt;author&gt;Catarino, J&lt;/author&gt;&lt;author&gt;Collins, Steven&lt;/author&gt;&lt;author&gt;Haybäck, J&lt;/author&gt;&lt;author&gt;Höftberger, Romana&lt;/author&gt;&lt;author&gt;Kahana, E&lt;/author&gt;&lt;author&gt;Kovacs, Gabor&lt;/author&gt;&lt;/authors&gt;&lt;/contributors&gt;&lt;titles&gt;&lt;title&gt;Health professions and risk of sporadic Creutzfeldt-Jakob disease, 1965 to 2010&lt;/title&gt;&lt;secondary-title&gt;Eurosurveillance&lt;/secondary-title&gt;&lt;/titles&gt;&lt;periodical&gt;&lt;full-title&gt;Eurosurveillance&lt;/full-title&gt;&lt;/periodical&gt;&lt;volume&gt;17&lt;/volume&gt;&lt;number&gt;15&lt;/number&gt;&lt;keywords&gt;&lt;keyword&gt;$$LU_2_surgery transmission risk&lt;/keyword&gt;&lt;keyword&gt;$$Lesley google&lt;/keyword&gt;&lt;keyword&gt;$$CJD relevant&lt;/keyword&gt;&lt;/keywords&gt;&lt;dates&gt;&lt;year&gt;2012&lt;/year&gt;&lt;/dates&gt;&lt;isbn&gt;1025-496X&lt;/isbn&gt;&lt;urls&gt;&lt;/urls&gt;&lt;/record&gt;&lt;/Cite&gt;&lt;/EndNote&gt;</w:instrText>
      </w:r>
      <w:r w:rsidR="00B93CFA" w:rsidRPr="007A7C51">
        <w:rPr>
          <w:rFonts w:cs="Times New Roman"/>
          <w:bCs/>
        </w:rPr>
        <w:fldChar w:fldCharType="separate"/>
      </w:r>
      <w:r w:rsidR="0076576E" w:rsidRPr="0076576E">
        <w:rPr>
          <w:rFonts w:cs="Times New Roman"/>
          <w:bCs/>
          <w:noProof/>
          <w:vertAlign w:val="superscript"/>
        </w:rPr>
        <w:t>109</w:t>
      </w:r>
      <w:r w:rsidR="00B93CFA" w:rsidRPr="007A7C51">
        <w:rPr>
          <w:rFonts w:cs="Times New Roman"/>
          <w:bCs/>
        </w:rPr>
        <w:fldChar w:fldCharType="end"/>
      </w:r>
      <w:r w:rsidRPr="007A7C51">
        <w:rPr>
          <w:rFonts w:cs="Times New Roman"/>
          <w:bCs/>
        </w:rPr>
        <w:t xml:space="preserve"> </w:t>
      </w:r>
      <w:r w:rsidR="00165EEA" w:rsidRPr="007A7C51">
        <w:rPr>
          <w:rFonts w:cs="Times New Roman"/>
          <w:bCs/>
        </w:rPr>
        <w:t xml:space="preserve">As a result, </w:t>
      </w:r>
      <w:r w:rsidRPr="007A7C51">
        <w:rPr>
          <w:rFonts w:cs="Times New Roman"/>
          <w:bCs/>
        </w:rPr>
        <w:t xml:space="preserve">Alcade-Cabero </w:t>
      </w:r>
      <w:r w:rsidR="00B301D6" w:rsidRPr="00B301D6">
        <w:rPr>
          <w:rFonts w:cs="Times New Roman"/>
          <w:bCs/>
          <w:i/>
        </w:rPr>
        <w:t>et al</w:t>
      </w:r>
      <w:r w:rsidRPr="007A7C51">
        <w:rPr>
          <w:rFonts w:cs="Times New Roman"/>
          <w:bCs/>
        </w:rPr>
        <w:t xml:space="preserve"> </w:t>
      </w:r>
      <w:r w:rsidR="004D293B" w:rsidRPr="007A7C51">
        <w:rPr>
          <w:rFonts w:cs="Times New Roman"/>
          <w:bCs/>
        </w:rPr>
        <w:t>(</w:t>
      </w:r>
      <w:r w:rsidRPr="007A7C51">
        <w:rPr>
          <w:rFonts w:cs="Times New Roman"/>
          <w:bCs/>
        </w:rPr>
        <w:t>2012</w:t>
      </w:r>
      <w:r w:rsidR="004D293B" w:rsidRPr="007A7C51">
        <w:rPr>
          <w:rFonts w:cs="Times New Roman"/>
          <w:bCs/>
        </w:rPr>
        <w:t>)</w:t>
      </w:r>
      <w:r w:rsidRPr="007A7C51">
        <w:rPr>
          <w:rFonts w:cs="Times New Roman"/>
          <w:bCs/>
        </w:rPr>
        <w:fldChar w:fldCharType="begin"/>
      </w:r>
      <w:r w:rsidR="0076576E">
        <w:rPr>
          <w:rFonts w:cs="Times New Roman"/>
          <w:bCs/>
        </w:rPr>
        <w:instrText xml:space="preserve"> ADDIN EN.CITE &lt;EndNote&gt;&lt;Cite&gt;&lt;Author&gt;Alcalde-Cabero&lt;/Author&gt;&lt;Year&gt;2012&lt;/Year&gt;&lt;RecNum&gt;10254&lt;/RecNum&gt;&lt;DisplayText&gt;&lt;style face="superscript"&gt;109&lt;/style&gt;&lt;/DisplayText&gt;&lt;record&gt;&lt;rec-number&gt;10254&lt;/rec-number&gt;&lt;foreign-keys&gt;&lt;key app="EN" db-id="vrp0pptazv05wtesfz5vrzsj2p0rv09ttsa9" timestamp="1520851586" guid="9a8ef50c-62a3-4056-8892-8d8b323d9970"&gt;10254&lt;/key&gt;&lt;/foreign-keys&gt;&lt;ref-type name="Journal Article"&gt;17&lt;/ref-type&gt;&lt;contributors&gt;&lt;authors&gt;&lt;author&gt;Alcalde-Cabero, E&lt;/author&gt;&lt;author&gt;Almazan-Isla, J&lt;/author&gt;&lt;author&gt;Brandel, Jean-Philippe&lt;/author&gt;&lt;author&gt;Breithaupt, M&lt;/author&gt;&lt;author&gt;Catarino, J&lt;/author&gt;&lt;author&gt;Collins, Steven&lt;/author&gt;&lt;author&gt;Haybäck, J&lt;/author&gt;&lt;author&gt;Höftberger, Romana&lt;/author&gt;&lt;author&gt;Kahana, E&lt;/author&gt;&lt;author&gt;Kovacs, Gabor&lt;/author&gt;&lt;/authors&gt;&lt;/contributors&gt;&lt;titles&gt;&lt;title&gt;Health professions and risk of sporadic Creutzfeldt-Jakob disease, 1965 to 2010&lt;/title&gt;&lt;secondary-title&gt;Eurosurveillance&lt;/secondary-title&gt;&lt;/titles&gt;&lt;periodical&gt;&lt;full-title&gt;Eurosurveillance&lt;/full-title&gt;&lt;/periodical&gt;&lt;volume&gt;17&lt;/volume&gt;&lt;number&gt;15&lt;/number&gt;&lt;keywords&gt;&lt;keyword&gt;$$LU_2_surgery transmission risk&lt;/keyword&gt;&lt;keyword&gt;$$Lesley google&lt;/keyword&gt;&lt;keyword&gt;$$CJD relevant&lt;/keyword&gt;&lt;/keywords&gt;&lt;dates&gt;&lt;year&gt;2012&lt;/year&gt;&lt;/dates&gt;&lt;isbn&gt;1025-496X&lt;/isbn&gt;&lt;urls&gt;&lt;/urls&gt;&lt;/record&gt;&lt;/Cite&gt;&lt;/EndNote&gt;</w:instrText>
      </w:r>
      <w:r w:rsidRPr="007A7C51">
        <w:rPr>
          <w:rFonts w:cs="Times New Roman"/>
          <w:bCs/>
        </w:rPr>
        <w:fldChar w:fldCharType="separate"/>
      </w:r>
      <w:r w:rsidR="0076576E" w:rsidRPr="0076576E">
        <w:rPr>
          <w:rFonts w:cs="Times New Roman"/>
          <w:bCs/>
          <w:noProof/>
          <w:vertAlign w:val="superscript"/>
        </w:rPr>
        <w:t>109</w:t>
      </w:r>
      <w:r w:rsidRPr="007A7C51">
        <w:rPr>
          <w:rFonts w:cs="Times New Roman"/>
          <w:bCs/>
        </w:rPr>
        <w:fldChar w:fldCharType="end"/>
      </w:r>
      <w:r w:rsidRPr="007A7C51">
        <w:rPr>
          <w:rFonts w:cs="Times New Roman"/>
          <w:bCs/>
        </w:rPr>
        <w:t xml:space="preserve"> </w:t>
      </w:r>
      <w:r w:rsidR="00165EEA" w:rsidRPr="007A7C51">
        <w:rPr>
          <w:rFonts w:cs="Times New Roman"/>
          <w:bCs/>
        </w:rPr>
        <w:t>reported the data requested from the Euro CJD surveillance network which documented 65 physicians or dentists, (including two pathologists) and 137 healthcare workers from 8,321 registered sCJD cases from 21 countries. Control data using ‘non-cases’ from five countries recorded 15 physicians and 68 other health professionals</w:t>
      </w:r>
      <w:r w:rsidR="00B93CFA" w:rsidRPr="007A7C51">
        <w:rPr>
          <w:rFonts w:cs="Times New Roman"/>
          <w:bCs/>
        </w:rPr>
        <w:t xml:space="preserve"> </w:t>
      </w:r>
      <w:r w:rsidR="00165EEA" w:rsidRPr="007A7C51">
        <w:rPr>
          <w:rFonts w:cs="Times New Roman"/>
          <w:bCs/>
        </w:rPr>
        <w:t xml:space="preserve">among 2,968 controls or non-cases and suggested no relative excess of sCJD among healthcare professionals. The study authors also </w:t>
      </w:r>
      <w:r w:rsidRPr="007A7C51">
        <w:rPr>
          <w:rFonts w:cs="Times New Roman"/>
          <w:bCs/>
        </w:rPr>
        <w:t xml:space="preserve">performed a literature review examining reports (n=12) </w:t>
      </w:r>
      <w:r w:rsidR="00C73976" w:rsidRPr="007A7C51">
        <w:rPr>
          <w:rFonts w:cs="Times New Roman"/>
          <w:bCs/>
        </w:rPr>
        <w:t>pertaining to</w:t>
      </w:r>
      <w:r w:rsidRPr="007A7C51">
        <w:rPr>
          <w:rFonts w:cs="Times New Roman"/>
          <w:bCs/>
        </w:rPr>
        <w:t xml:space="preserve"> 66 health professionals with sCJD, and analytical studies on health-related occupation</w:t>
      </w:r>
      <w:r w:rsidR="00635170">
        <w:rPr>
          <w:rFonts w:cs="Times New Roman"/>
          <w:bCs/>
        </w:rPr>
        <w:t>s</w:t>
      </w:r>
      <w:r w:rsidRPr="007A7C51">
        <w:rPr>
          <w:rFonts w:cs="Times New Roman"/>
          <w:bCs/>
        </w:rPr>
        <w:t xml:space="preserve"> and sCJD (n=5). A statistically significant finding was observed only for persons working at physicians’ offices (odds ratio: 4.6 (95</w:t>
      </w:r>
      <w:r w:rsidR="005B044D">
        <w:rPr>
          <w:rFonts w:cs="Times New Roman"/>
          <w:bCs/>
        </w:rPr>
        <w:t>%</w:t>
      </w:r>
      <w:r w:rsidRPr="007A7C51">
        <w:rPr>
          <w:rFonts w:cs="Times New Roman"/>
          <w:bCs/>
        </w:rPr>
        <w:t xml:space="preserve"> CI: 1.2–17.6)). The authors conclude that a wide spectrum of medical specialities and health professions are represented in sCJD cases and that the data analysed do not support any overall increased occupational risk for health professionals. </w:t>
      </w:r>
      <w:r w:rsidR="00C73976" w:rsidRPr="007A7C51">
        <w:rPr>
          <w:rFonts w:cs="Times New Roman"/>
          <w:bCs/>
        </w:rPr>
        <w:t>The authors do add caution that</w:t>
      </w:r>
      <w:r w:rsidRPr="007A7C51">
        <w:rPr>
          <w:rFonts w:cs="Times New Roman"/>
          <w:bCs/>
        </w:rPr>
        <w:t xml:space="preserve"> there may be a specific risk in some professions associated with direct contact with high human-infectivity tissue.</w:t>
      </w:r>
      <w:r w:rsidR="00896ED9" w:rsidRPr="007A7C51">
        <w:rPr>
          <w:rFonts w:cs="Times New Roman"/>
          <w:bCs/>
        </w:rPr>
        <w:t xml:space="preserve"> The NCJDRSU continue to monitor occupational exposure to CJD in health professionals.</w:t>
      </w:r>
    </w:p>
    <w:p w14:paraId="15473F98" w14:textId="77777777" w:rsidR="00BA7147" w:rsidRDefault="00BA7147" w:rsidP="00622C6B">
      <w:pPr>
        <w:jc w:val="both"/>
        <w:rPr>
          <w:rFonts w:cs="Times New Roman"/>
          <w:bCs/>
          <w:sz w:val="24"/>
          <w:szCs w:val="24"/>
        </w:rPr>
      </w:pPr>
    </w:p>
    <w:p w14:paraId="6242FE71" w14:textId="0C972FFB" w:rsidR="00D92F81" w:rsidRPr="00635170" w:rsidRDefault="00D92F81" w:rsidP="00622C6B">
      <w:pPr>
        <w:pStyle w:val="Heading4"/>
        <w:spacing w:before="0"/>
        <w:rPr>
          <w:sz w:val="22"/>
        </w:rPr>
      </w:pPr>
      <w:r w:rsidRPr="00635170">
        <w:rPr>
          <w:sz w:val="22"/>
        </w:rPr>
        <w:t>Risk of CJD in surgery and age</w:t>
      </w:r>
    </w:p>
    <w:p w14:paraId="6BAD478D" w14:textId="1ACE1970" w:rsidR="00165EEA" w:rsidRPr="007A7C51" w:rsidRDefault="003460AD" w:rsidP="00622C6B">
      <w:pPr>
        <w:jc w:val="both"/>
        <w:rPr>
          <w:rFonts w:cs="Times New Roman"/>
        </w:rPr>
      </w:pPr>
      <w:r w:rsidRPr="007A7C51">
        <w:rPr>
          <w:rFonts w:cs="Times New Roman"/>
        </w:rPr>
        <w:t xml:space="preserve">De Pedro Cuesta </w:t>
      </w:r>
      <w:r w:rsidR="00B301D6" w:rsidRPr="00B301D6">
        <w:rPr>
          <w:rFonts w:cs="Times New Roman"/>
          <w:i/>
        </w:rPr>
        <w:t>et al</w:t>
      </w:r>
      <w:r w:rsidRPr="007A7C51">
        <w:rPr>
          <w:rFonts w:cs="Times New Roman"/>
        </w:rPr>
        <w:t xml:space="preserve"> (2014) performed a retrospective analysis of 167 cases of sCJD between 1987 to 2003.</w:t>
      </w:r>
      <w:r w:rsidR="00277275">
        <w:rPr>
          <w:rFonts w:cs="Times New Roman"/>
        </w:rPr>
        <w:fldChar w:fldCharType="begin">
          <w:fldData xml:space="preserve">PEVuZE5vdGU+PENpdGU+PEF1dGhvcj5kZSBQZWRyby1DdWVzdGE8L0F1dGhvcj48WWVhcj4yMDE0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</w:fldData>
        </w:fldChar>
      </w:r>
      <w:r w:rsidR="0076576E">
        <w:rPr>
          <w:rFonts w:cs="Times New Roman"/>
        </w:rPr>
        <w:instrText xml:space="preserve"> ADDIN EN.CITE </w:instrText>
      </w:r>
      <w:r w:rsidR="0076576E">
        <w:rPr>
          <w:rFonts w:cs="Times New Roman"/>
        </w:rPr>
        <w:fldChar w:fldCharType="begin">
          <w:fldData xml:space="preserve">PEVuZE5vdGU+PENpdGU+PEF1dGhvcj5kZSBQZWRyby1DdWVzdGE8L0F1dGhvcj48WWVhcj4yMDE0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277275">
        <w:rPr>
          <w:rFonts w:cs="Times New Roman"/>
        </w:rPr>
      </w:r>
      <w:r w:rsidR="00277275">
        <w:rPr>
          <w:rFonts w:cs="Times New Roman"/>
        </w:rPr>
        <w:fldChar w:fldCharType="separate"/>
      </w:r>
      <w:r w:rsidR="0076576E" w:rsidRPr="0076576E">
        <w:rPr>
          <w:rFonts w:cs="Times New Roman"/>
          <w:noProof/>
          <w:vertAlign w:val="superscript"/>
        </w:rPr>
        <w:t>110</w:t>
      </w:r>
      <w:r w:rsidR="00277275">
        <w:rPr>
          <w:rFonts w:cs="Times New Roman"/>
        </w:rPr>
        <w:fldChar w:fldCharType="end"/>
      </w:r>
      <w:r w:rsidRPr="007A7C51">
        <w:rPr>
          <w:rFonts w:cs="Times New Roman"/>
        </w:rPr>
        <w:t xml:space="preserve"> They suggest </w:t>
      </w:r>
      <w:r w:rsidR="00653027">
        <w:rPr>
          <w:rFonts w:cs="Times New Roman"/>
        </w:rPr>
        <w:t xml:space="preserve">that </w:t>
      </w:r>
      <w:r w:rsidRPr="007A7C51">
        <w:rPr>
          <w:rFonts w:cs="Times New Roman"/>
        </w:rPr>
        <w:t>a younger age</w:t>
      </w:r>
      <w:r w:rsidR="00653027">
        <w:rPr>
          <w:rFonts w:cs="Times New Roman"/>
        </w:rPr>
        <w:t xml:space="preserve"> </w:t>
      </w:r>
      <w:r w:rsidRPr="007A7C51">
        <w:rPr>
          <w:rFonts w:cs="Times New Roman"/>
        </w:rPr>
        <w:t xml:space="preserve">at first surgery may </w:t>
      </w:r>
      <w:r w:rsidR="00653027">
        <w:rPr>
          <w:rFonts w:cs="Times New Roman"/>
        </w:rPr>
        <w:t>increase the risks of</w:t>
      </w:r>
      <w:r w:rsidRPr="007A7C51">
        <w:rPr>
          <w:rFonts w:cs="Times New Roman"/>
        </w:rPr>
        <w:t xml:space="preserve"> acquir</w:t>
      </w:r>
      <w:r w:rsidR="00653027">
        <w:rPr>
          <w:rFonts w:cs="Times New Roman"/>
        </w:rPr>
        <w:t>ing</w:t>
      </w:r>
      <w:r w:rsidRPr="007A7C51">
        <w:rPr>
          <w:rFonts w:cs="Times New Roman"/>
        </w:rPr>
        <w:t xml:space="preserve"> sCJD with odds ratio</w:t>
      </w:r>
      <w:r w:rsidR="00BB15D8">
        <w:rPr>
          <w:rFonts w:cs="Times New Roman"/>
        </w:rPr>
        <w:t>s</w:t>
      </w:r>
      <w:r w:rsidRPr="007A7C51">
        <w:rPr>
          <w:rFonts w:cs="Times New Roman"/>
        </w:rPr>
        <w:t xml:space="preserve"> of 12.80 (95% CI 2.56-64.0) in patients &lt;30 years, 3.04 (95% 1.26-7.33) in 30-39 years, and 1.75 (95% CI 0.89-3.45) in </w:t>
      </w:r>
      <w:r w:rsidR="00653027">
        <w:rPr>
          <w:rFonts w:cs="Times New Roman"/>
        </w:rPr>
        <w:t>≥</w:t>
      </w:r>
      <w:r w:rsidRPr="007A7C51">
        <w:rPr>
          <w:rFonts w:cs="Times New Roman"/>
        </w:rPr>
        <w:t>40 years, for anatomically classified surgical procedures.</w:t>
      </w:r>
      <w:r w:rsidR="000F0871" w:rsidRPr="007A7C51">
        <w:rPr>
          <w:rFonts w:cs="Times New Roman"/>
        </w:rPr>
        <w:t xml:space="preserve"> As highlighted by the same authors in a different study, c</w:t>
      </w:r>
      <w:r w:rsidRPr="007A7C51">
        <w:rPr>
          <w:rFonts w:cs="Times New Roman"/>
        </w:rPr>
        <w:t>aution should be urged when interpreting conclusi</w:t>
      </w:r>
      <w:r w:rsidR="003B6138" w:rsidRPr="007A7C51">
        <w:rPr>
          <w:rFonts w:cs="Times New Roman"/>
        </w:rPr>
        <w:t>ons from analyses on indirect evidence in retrospective samples.</w:t>
      </w:r>
      <w:r w:rsidR="00B93CFA" w:rsidRPr="007A7C51">
        <w:rPr>
          <w:rFonts w:cs="Times New Roman"/>
        </w:rPr>
        <w:fldChar w:fldCharType="begin">
          <w:fldData xml:space="preserve">PEVuZE5vdGU+PENpdGU+PEF1dGhvcj5kZSBQZWRybyBDdWVzdGE8L0F1dGhvcj48WWVhcj4yMDEy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</w:fldData>
        </w:fldChar>
      </w:r>
      <w:r w:rsidR="0076576E">
        <w:rPr>
          <w:rFonts w:cs="Times New Roman"/>
        </w:rPr>
        <w:instrText xml:space="preserve"> ADDIN EN.CITE </w:instrText>
      </w:r>
      <w:r w:rsidR="0076576E">
        <w:rPr>
          <w:rFonts w:cs="Times New Roman"/>
        </w:rPr>
        <w:fldChar w:fldCharType="begin">
          <w:fldData xml:space="preserve">PEVuZE5vdGU+PENpdGU+PEF1dGhvcj5kZSBQZWRybyBDdWVzdGE8L0F1dGhvcj48WWVhcj4yMDEy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B93CFA" w:rsidRPr="007A7C51">
        <w:rPr>
          <w:rFonts w:cs="Times New Roman"/>
        </w:rPr>
      </w:r>
      <w:r w:rsidR="00B93CFA" w:rsidRPr="007A7C51">
        <w:rPr>
          <w:rFonts w:cs="Times New Roman"/>
        </w:rPr>
        <w:fldChar w:fldCharType="separate"/>
      </w:r>
      <w:r w:rsidR="0076576E" w:rsidRPr="0076576E">
        <w:rPr>
          <w:rFonts w:cs="Times New Roman"/>
          <w:noProof/>
          <w:vertAlign w:val="superscript"/>
        </w:rPr>
        <w:t>108</w:t>
      </w:r>
      <w:r w:rsidR="00B93CFA" w:rsidRPr="007A7C51">
        <w:rPr>
          <w:rFonts w:cs="Times New Roman"/>
        </w:rPr>
        <w:fldChar w:fldCharType="end"/>
      </w:r>
      <w:r w:rsidR="00653027">
        <w:rPr>
          <w:rFonts w:cs="Times New Roman"/>
        </w:rPr>
        <w:t xml:space="preserve"> Also, the ≥</w:t>
      </w:r>
      <w:r w:rsidR="00653027" w:rsidRPr="007A7C51">
        <w:rPr>
          <w:rFonts w:cs="Times New Roman"/>
        </w:rPr>
        <w:t>40</w:t>
      </w:r>
      <w:r w:rsidR="00653027">
        <w:rPr>
          <w:rFonts w:cs="Times New Roman"/>
        </w:rPr>
        <w:t xml:space="preserve"> age</w:t>
      </w:r>
      <w:r w:rsidR="0025467C">
        <w:rPr>
          <w:rFonts w:cs="Times New Roman"/>
        </w:rPr>
        <w:t xml:space="preserve"> </w:t>
      </w:r>
      <w:r w:rsidR="00653027">
        <w:rPr>
          <w:rFonts w:cs="Times New Roman"/>
        </w:rPr>
        <w:t xml:space="preserve">group contains those who are elderly and may die before clinical symptoms </w:t>
      </w:r>
      <w:r w:rsidR="00635170">
        <w:rPr>
          <w:rFonts w:cs="Times New Roman"/>
        </w:rPr>
        <w:t xml:space="preserve">appear </w:t>
      </w:r>
      <w:r w:rsidR="00653027">
        <w:rPr>
          <w:rFonts w:cs="Times New Roman"/>
        </w:rPr>
        <w:t>or may remain undiagnosed.</w:t>
      </w:r>
    </w:p>
    <w:p w14:paraId="2488615F" w14:textId="77777777" w:rsidR="004D293B" w:rsidRPr="007A7C51" w:rsidRDefault="004D293B" w:rsidP="00622C6B">
      <w:pPr>
        <w:jc w:val="both"/>
        <w:rPr>
          <w:rFonts w:cs="Times New Roman"/>
        </w:rPr>
      </w:pPr>
    </w:p>
    <w:p w14:paraId="6699A578" w14:textId="1CF927F1" w:rsidR="006E76FC" w:rsidRPr="007A7C51" w:rsidRDefault="0082253D" w:rsidP="00622C6B">
      <w:pPr>
        <w:jc w:val="both"/>
        <w:rPr>
          <w:rFonts w:cs="Times New Roman"/>
        </w:rPr>
      </w:pPr>
      <w:r w:rsidRPr="007A7C51">
        <w:rPr>
          <w:rFonts w:cs="Times New Roman"/>
        </w:rPr>
        <w:t xml:space="preserve">Risk of iCJD transmission through surgery can potentially </w:t>
      </w:r>
      <w:r w:rsidR="00474627">
        <w:rPr>
          <w:rFonts w:cs="Times New Roman"/>
        </w:rPr>
        <w:t>occur</w:t>
      </w:r>
      <w:r w:rsidRPr="007A7C51">
        <w:rPr>
          <w:rFonts w:cs="Times New Roman"/>
        </w:rPr>
        <w:t xml:space="preserve"> when patients are unwittingly treated in hospital at the time of symptom onset. </w:t>
      </w:r>
      <w:r w:rsidR="006E76FC" w:rsidRPr="007A7C51">
        <w:rPr>
          <w:rFonts w:cs="Times New Roman"/>
        </w:rPr>
        <w:t xml:space="preserve">Cruz </w:t>
      </w:r>
      <w:r w:rsidR="00B301D6" w:rsidRPr="00B301D6">
        <w:rPr>
          <w:rFonts w:cs="Times New Roman"/>
          <w:i/>
        </w:rPr>
        <w:t>et al</w:t>
      </w:r>
      <w:r w:rsidR="006E76FC" w:rsidRPr="007A7C51">
        <w:rPr>
          <w:rFonts w:cs="Times New Roman"/>
        </w:rPr>
        <w:t xml:space="preserve"> (2013) used a cross-sectional design to study surgical procedures in sCJD patients and controls to estimate subclinical and clinical risks to</w:t>
      </w:r>
      <w:r w:rsidR="00474627">
        <w:rPr>
          <w:rFonts w:cs="Times New Roman"/>
        </w:rPr>
        <w:t xml:space="preserve"> future</w:t>
      </w:r>
      <w:r w:rsidR="006E76FC" w:rsidRPr="007A7C51">
        <w:rPr>
          <w:rFonts w:cs="Times New Roman"/>
        </w:rPr>
        <w:t xml:space="preserve"> surgery.</w:t>
      </w:r>
      <w:r w:rsidR="00B93CFA" w:rsidRPr="007A7C51">
        <w:rPr>
          <w:rFonts w:cs="Times New Roman"/>
        </w:rPr>
        <w:fldChar w:fldCharType="begin">
          <w:fldData xml:space="preserve">PEVuZE5vdGU+PENpdGU+PEF1dGhvcj5DcnV6PC9BdXRob3I+PFllYXI+MjAxMzwvWWVhcj48UmVj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PEVuZE5vdGU+PENpdGU+PEF1dGhvcj5DcnV6PC9BdXRob3I+PFllYXI+MjAxMzwvWWVhcj48UmVj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B93CFA" w:rsidRPr="007A7C51">
        <w:rPr>
          <w:rFonts w:cs="Times New Roman"/>
        </w:rPr>
      </w:r>
      <w:r w:rsidR="00B93CFA" w:rsidRPr="007A7C51">
        <w:rPr>
          <w:rFonts w:cs="Times New Roman"/>
        </w:rPr>
        <w:fldChar w:fldCharType="separate"/>
      </w:r>
      <w:r w:rsidR="0076576E" w:rsidRPr="0076576E">
        <w:rPr>
          <w:rFonts w:cs="Times New Roman"/>
          <w:noProof/>
          <w:vertAlign w:val="superscript"/>
        </w:rPr>
        <w:t>111</w:t>
      </w:r>
      <w:r w:rsidR="00B93CFA" w:rsidRPr="007A7C51">
        <w:rPr>
          <w:rFonts w:cs="Times New Roman"/>
        </w:rPr>
        <w:fldChar w:fldCharType="end"/>
      </w:r>
      <w:r w:rsidR="006E76FC" w:rsidRPr="007A7C51">
        <w:rPr>
          <w:rFonts w:cs="Times New Roman"/>
        </w:rPr>
        <w:t xml:space="preserve"> The authors posit that patients with sCJD in the clinical stage undergo a considerably higher frequency of surgical procedures</w:t>
      </w:r>
      <w:r w:rsidR="0050710E">
        <w:rPr>
          <w:rFonts w:cs="Times New Roman"/>
        </w:rPr>
        <w:t xml:space="preserve"> than non-CJD patients</w:t>
      </w:r>
      <w:r w:rsidR="006E76FC" w:rsidRPr="007A7C51">
        <w:rPr>
          <w:rFonts w:cs="Times New Roman"/>
        </w:rPr>
        <w:t xml:space="preserve">, including neurosurgery. </w:t>
      </w:r>
      <w:r w:rsidR="008F6F67" w:rsidRPr="007A7C51">
        <w:rPr>
          <w:rFonts w:cs="Times New Roman"/>
        </w:rPr>
        <w:t>The authors argue that i</w:t>
      </w:r>
      <w:r w:rsidR="006E76FC" w:rsidRPr="007A7C51">
        <w:rPr>
          <w:rFonts w:cs="Times New Roman"/>
        </w:rPr>
        <w:t>dentification of such potentially higher-risk events</w:t>
      </w:r>
      <w:r w:rsidR="0050710E">
        <w:rPr>
          <w:rFonts w:cs="Times New Roman"/>
        </w:rPr>
        <w:t>, where surgery is undertaken in infectious patients around the onset of clinical symptoms</w:t>
      </w:r>
      <w:r w:rsidR="006E76FC" w:rsidRPr="007A7C51">
        <w:rPr>
          <w:rFonts w:cs="Times New Roman"/>
        </w:rPr>
        <w:t xml:space="preserve">, </w:t>
      </w:r>
      <w:r w:rsidR="0050710E">
        <w:rPr>
          <w:rFonts w:cs="Times New Roman"/>
        </w:rPr>
        <w:t>but</w:t>
      </w:r>
      <w:r w:rsidR="006E76FC" w:rsidRPr="007A7C51">
        <w:rPr>
          <w:rFonts w:cs="Times New Roman"/>
        </w:rPr>
        <w:t xml:space="preserve"> prior to CJD diagnosis, might well constitute a</w:t>
      </w:r>
      <w:r w:rsidR="008F6F67" w:rsidRPr="007A7C51">
        <w:rPr>
          <w:rFonts w:cs="Times New Roman"/>
        </w:rPr>
        <w:t xml:space="preserve"> </w:t>
      </w:r>
      <w:r w:rsidR="006E76FC" w:rsidRPr="007A7C51">
        <w:rPr>
          <w:rFonts w:cs="Times New Roman"/>
        </w:rPr>
        <w:t xml:space="preserve">priority in clinical settings. </w:t>
      </w:r>
      <w:r w:rsidR="0050710E">
        <w:rPr>
          <w:rFonts w:cs="Times New Roman"/>
          <w:bCs/>
        </w:rPr>
        <w:t>A</w:t>
      </w:r>
      <w:r w:rsidR="00643500">
        <w:rPr>
          <w:rFonts w:cs="Times New Roman"/>
          <w:bCs/>
        </w:rPr>
        <w:t xml:space="preserve"> conference abstract by Kobayashi (2016) </w:t>
      </w:r>
      <w:r w:rsidR="0050710E">
        <w:rPr>
          <w:rFonts w:cs="Times New Roman"/>
          <w:bCs/>
        </w:rPr>
        <w:t>reinforces this concern by providing</w:t>
      </w:r>
      <w:r w:rsidR="00643500">
        <w:rPr>
          <w:rFonts w:cs="Times New Roman"/>
          <w:bCs/>
        </w:rPr>
        <w:t xml:space="preserve"> data from </w:t>
      </w:r>
      <w:r w:rsidR="00643500" w:rsidRPr="00EE4758">
        <w:rPr>
          <w:rFonts w:cs="Times New Roman"/>
          <w:bCs/>
        </w:rPr>
        <w:t>the Japanese CJD Surveillance registry</w:t>
      </w:r>
      <w:r w:rsidR="0050710E">
        <w:rPr>
          <w:rFonts w:cs="Times New Roman"/>
          <w:bCs/>
        </w:rPr>
        <w:t>. From an analysis of</w:t>
      </w:r>
      <w:r w:rsidR="00643500">
        <w:rPr>
          <w:rFonts w:cs="Times New Roman"/>
          <w:bCs/>
        </w:rPr>
        <w:t xml:space="preserve"> </w:t>
      </w:r>
      <w:r w:rsidR="0050710E" w:rsidRPr="00EE4758">
        <w:rPr>
          <w:rFonts w:cs="Times New Roman"/>
          <w:bCs/>
        </w:rPr>
        <w:t>760 CJD patients</w:t>
      </w:r>
      <w:r w:rsidR="0034217C">
        <w:rPr>
          <w:rFonts w:cs="Times New Roman"/>
          <w:bCs/>
        </w:rPr>
        <w:t>,</w:t>
      </w:r>
      <w:r w:rsidR="0050710E">
        <w:rPr>
          <w:rFonts w:cs="Times New Roman"/>
          <w:bCs/>
        </w:rPr>
        <w:t xml:space="preserve"> Kobayashi </w:t>
      </w:r>
      <w:r w:rsidR="00B301D6" w:rsidRPr="00B301D6">
        <w:rPr>
          <w:rFonts w:cs="Times New Roman"/>
          <w:bCs/>
          <w:i/>
        </w:rPr>
        <w:t>et al</w:t>
      </w:r>
      <w:r w:rsidR="0050710E" w:rsidRPr="00EE4758">
        <w:rPr>
          <w:rFonts w:cs="Times New Roman"/>
          <w:bCs/>
        </w:rPr>
        <w:t xml:space="preserve"> </w:t>
      </w:r>
      <w:r w:rsidR="0050710E">
        <w:rPr>
          <w:rFonts w:cs="Times New Roman"/>
          <w:bCs/>
        </w:rPr>
        <w:t>identify that 6 patients</w:t>
      </w:r>
      <w:r w:rsidR="00643500" w:rsidRPr="00EE4758">
        <w:rPr>
          <w:rFonts w:cs="Times New Roman"/>
          <w:bCs/>
        </w:rPr>
        <w:t xml:space="preserve"> had undergone neurosurgery</w:t>
      </w:r>
      <w:r w:rsidR="0050710E">
        <w:rPr>
          <w:rFonts w:cs="Times New Roman"/>
          <w:bCs/>
        </w:rPr>
        <w:t>,</w:t>
      </w:r>
      <w:r w:rsidR="00643500" w:rsidRPr="00EE4758">
        <w:rPr>
          <w:rFonts w:cs="Times New Roman"/>
          <w:bCs/>
        </w:rPr>
        <w:t xml:space="preserve"> after the onset</w:t>
      </w:r>
      <w:r w:rsidR="0050710E">
        <w:rPr>
          <w:rFonts w:cs="Times New Roman"/>
          <w:bCs/>
        </w:rPr>
        <w:t>,</w:t>
      </w:r>
      <w:r w:rsidR="00643500" w:rsidRPr="00EE4758">
        <w:rPr>
          <w:rFonts w:cs="Times New Roman"/>
          <w:bCs/>
        </w:rPr>
        <w:t xml:space="preserve"> but before the diagnosis of CJD during the period 1999 to 2008</w:t>
      </w:r>
      <w:r w:rsidR="00643500">
        <w:rPr>
          <w:rFonts w:cs="Times New Roman"/>
          <w:bCs/>
        </w:rPr>
        <w:t>.</w:t>
      </w:r>
      <w:r w:rsidR="00643500">
        <w:rPr>
          <w:rFonts w:cs="Times New Roman"/>
          <w:bCs/>
        </w:rPr>
        <w:fldChar w:fldCharType="begin">
          <w:fldData xml:space="preserve">PEVuZE5vdGU+PENpdGU+PEF1dGhvcj5Lb2JheWFzaGk8L0F1dGhvcj48WWVhcj4yMDE2PC9ZZWFy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</w:fldData>
        </w:fldChar>
      </w:r>
      <w:r w:rsidR="0076576E">
        <w:rPr>
          <w:rFonts w:cs="Times New Roman"/>
          <w:bCs/>
        </w:rPr>
        <w:instrText xml:space="preserve"> ADDIN EN.CITE </w:instrText>
      </w:r>
      <w:r w:rsidR="0076576E">
        <w:rPr>
          <w:rFonts w:cs="Times New Roman"/>
          <w:bCs/>
        </w:rPr>
        <w:fldChar w:fldCharType="begin">
          <w:fldData xml:space="preserve">PEVuZE5vdGU+PENpdGU+PEF1dGhvcj5Lb2JheWFzaGk8L0F1dGhvcj48WWVhcj4yMDE2PC9ZZWFy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sidR="00643500">
        <w:rPr>
          <w:rFonts w:cs="Times New Roman"/>
          <w:bCs/>
        </w:rPr>
      </w:r>
      <w:r w:rsidR="00643500">
        <w:rPr>
          <w:rFonts w:cs="Times New Roman"/>
          <w:bCs/>
        </w:rPr>
        <w:fldChar w:fldCharType="separate"/>
      </w:r>
      <w:r w:rsidR="0076576E" w:rsidRPr="0076576E">
        <w:rPr>
          <w:rFonts w:cs="Times New Roman"/>
          <w:bCs/>
          <w:noProof/>
          <w:vertAlign w:val="superscript"/>
        </w:rPr>
        <w:t>112</w:t>
      </w:r>
      <w:r w:rsidR="00643500">
        <w:rPr>
          <w:rFonts w:cs="Times New Roman"/>
          <w:bCs/>
        </w:rPr>
        <w:fldChar w:fldCharType="end"/>
      </w:r>
      <w:r w:rsidR="00643500">
        <w:rPr>
          <w:rFonts w:cs="Times New Roman"/>
          <w:bCs/>
        </w:rPr>
        <w:t xml:space="preserve"> </w:t>
      </w:r>
    </w:p>
    <w:p w14:paraId="69DE814E" w14:textId="77777777" w:rsidR="00526B86" w:rsidRDefault="00526B86" w:rsidP="00622C6B">
      <w:pPr>
        <w:jc w:val="both"/>
        <w:rPr>
          <w:rFonts w:cs="Times New Roman"/>
          <w:sz w:val="24"/>
          <w:szCs w:val="24"/>
        </w:rPr>
      </w:pPr>
    </w:p>
    <w:p w14:paraId="2F6D739E" w14:textId="6FE3E0EA" w:rsidR="003B6138" w:rsidRPr="00635170" w:rsidRDefault="00E00881" w:rsidP="00622C6B">
      <w:pPr>
        <w:pStyle w:val="Heading4"/>
        <w:spacing w:before="0"/>
        <w:rPr>
          <w:sz w:val="22"/>
        </w:rPr>
      </w:pPr>
      <w:r w:rsidRPr="00635170">
        <w:rPr>
          <w:sz w:val="22"/>
        </w:rPr>
        <w:t>Cases of suspected but unconfirmed transmission via neurosurgery</w:t>
      </w:r>
    </w:p>
    <w:p w14:paraId="0A21D80D" w14:textId="1A82741A" w:rsidR="008E74B0" w:rsidRPr="007A7C51" w:rsidRDefault="0027619F" w:rsidP="00622C6B">
      <w:pPr>
        <w:autoSpaceDE w:val="0"/>
        <w:autoSpaceDN w:val="0"/>
        <w:adjustRightInd w:val="0"/>
        <w:jc w:val="both"/>
        <w:rPr>
          <w:rFonts w:cs="Times New Roman"/>
          <w:bCs/>
        </w:rPr>
      </w:pPr>
      <w:r w:rsidRPr="007A7C51">
        <w:rPr>
          <w:rFonts w:cs="Times New Roman"/>
          <w:bCs/>
        </w:rPr>
        <w:t xml:space="preserve">Patients may be identified as </w:t>
      </w:r>
      <w:r w:rsidR="00954538">
        <w:rPr>
          <w:rFonts w:cs="Times New Roman"/>
          <w:bCs/>
        </w:rPr>
        <w:t xml:space="preserve">being </w:t>
      </w:r>
      <w:r w:rsidRPr="007A7C51">
        <w:rPr>
          <w:rFonts w:cs="Times New Roman"/>
          <w:bCs/>
        </w:rPr>
        <w:t>“at increased risk” of CJD if they have had surgery using instruments that had been used on someone who went on to develop CJD, or someone who was “at increased risk” of CJD.</w:t>
      </w:r>
      <w:r w:rsidR="00FC6175" w:rsidRPr="007A7C51">
        <w:rPr>
          <w:rFonts w:cs="Times New Roman"/>
          <w:bCs/>
        </w:rPr>
        <w:fldChar w:fldCharType="begin"/>
      </w:r>
      <w:r w:rsidR="0076576E">
        <w:rPr>
          <w:rFonts w:cs="Times New Roman"/>
          <w:bCs/>
        </w:rPr>
        <w:instrText xml:space="preserve"> ADDIN EN.CITE &lt;EndNote&gt;&lt;Cite&gt;&lt;Author&gt;Bryant&lt;/Author&gt;&lt;Year&gt;2015&lt;/Year&gt;&lt;RecNum&gt;10264&lt;/RecNum&gt;&lt;DisplayText&gt;&lt;style face="superscript"&gt;113&lt;/style&gt;&lt;/DisplayText&gt;&lt;record&gt;&lt;rec-number&gt;10264&lt;/rec-number&gt;&lt;foreign-keys&gt;&lt;key app="EN" db-id="vrp0pptazv05wtesfz5vrzsj2p0rv09ttsa9" timestamp="1520851591" guid="c820f3ae-f31e-467b-b33d-95b1b4cf471c"&gt;10264&lt;/key&gt;&lt;/foreign-keys&gt;&lt;ref-type name="Journal Article"&gt;17&lt;/ref-type&gt;&lt;contributors&gt;&lt;authors&gt;&lt;author&gt;Bryant, G&lt;/author&gt;&lt;author&gt;Hewitt, P&lt;/author&gt;&lt;author&gt;Hope, J&lt;/author&gt;&lt;author&gt;Howard, C&lt;/author&gt;&lt;author&gt;Ironside, J&lt;/author&gt;&lt;author&gt;Knight, R&lt;/author&gt;&lt;author&gt;Manson, J&lt;/author&gt;&lt;author&gt;Mead, S&lt;/author&gt;&lt;author&gt;Medley, G&lt;/author&gt;&lt;author&gt;Minor, P&lt;/author&gt;&lt;/authors&gt;&lt;/contributors&gt;&lt;titles&gt;&lt;title&gt;Minimise transmission risk of CJD and vCJD in healthcare settings. Report on the Prevention of CJD and vCJD by Advisory Committee on Dangerous Pathogens&amp;apos; Transmission Spongiform Encephalopathy (ACDP TSE) Subgroup&lt;/title&gt;&lt;/titles&gt;&lt;keywords&gt;&lt;keyword&gt;$$LU_2_surgery transmission risk&lt;/keyword&gt;&lt;keyword&gt;$$CJD relevant&lt;/keyword&gt;&lt;keyword&gt;$$Background&lt;/keyword&gt;&lt;keyword&gt;$$Lesley google&lt;/keyword&gt;&lt;keyword&gt;Infection control&lt;/keyword&gt;&lt;keyword&gt;$$Committee recommended&lt;/keyword&gt;&lt;keyword&gt;$$6_instrument set keeping&lt;/keyword&gt;&lt;/keywords&gt;&lt;dates&gt;&lt;year&gt;2015&lt;/year&gt;&lt;/dates&gt;&lt;urls&gt;&lt;/urls&gt;&lt;/record&gt;&lt;/Cite&gt;&lt;/EndNote&gt;</w:instrText>
      </w:r>
      <w:r w:rsidR="00FC6175" w:rsidRPr="007A7C51">
        <w:rPr>
          <w:rFonts w:cs="Times New Roman"/>
          <w:bCs/>
        </w:rPr>
        <w:fldChar w:fldCharType="separate"/>
      </w:r>
      <w:r w:rsidR="0076576E" w:rsidRPr="0076576E">
        <w:rPr>
          <w:rFonts w:cs="Times New Roman"/>
          <w:bCs/>
          <w:noProof/>
          <w:vertAlign w:val="superscript"/>
        </w:rPr>
        <w:t>113</w:t>
      </w:r>
      <w:r w:rsidR="00FC6175" w:rsidRPr="007A7C51">
        <w:rPr>
          <w:rFonts w:cs="Times New Roman"/>
          <w:bCs/>
        </w:rPr>
        <w:fldChar w:fldCharType="end"/>
      </w:r>
      <w:r w:rsidRPr="007A7C51">
        <w:rPr>
          <w:rFonts w:cs="Times New Roman"/>
          <w:bCs/>
        </w:rPr>
        <w:t xml:space="preserve"> </w:t>
      </w:r>
      <w:r w:rsidR="008E74B0" w:rsidRPr="007A7C51">
        <w:rPr>
          <w:rFonts w:cs="Times New Roman"/>
          <w:bCs/>
        </w:rPr>
        <w:t xml:space="preserve">A study by Hall </w:t>
      </w:r>
      <w:r w:rsidR="00B301D6" w:rsidRPr="00B301D6">
        <w:rPr>
          <w:rFonts w:cs="Times New Roman"/>
          <w:bCs/>
          <w:i/>
        </w:rPr>
        <w:t>et al</w:t>
      </w:r>
      <w:r w:rsidR="008E74B0" w:rsidRPr="007A7C51">
        <w:rPr>
          <w:rFonts w:cs="Times New Roman"/>
          <w:bCs/>
        </w:rPr>
        <w:t xml:space="preserve"> (2014) reports that 154 pat</w:t>
      </w:r>
      <w:r w:rsidR="009B1F03">
        <w:rPr>
          <w:rFonts w:cs="Times New Roman"/>
          <w:bCs/>
        </w:rPr>
        <w:t>ients in the UK are considered “</w:t>
      </w:r>
      <w:r w:rsidR="008E74B0" w:rsidRPr="007A7C51">
        <w:rPr>
          <w:rFonts w:cs="Times New Roman"/>
          <w:bCs/>
        </w:rPr>
        <w:t>at increased risk</w:t>
      </w:r>
      <w:r w:rsidR="009B1F03">
        <w:rPr>
          <w:rFonts w:cs="Times New Roman"/>
          <w:bCs/>
        </w:rPr>
        <w:t>”</w:t>
      </w:r>
      <w:r w:rsidR="008E74B0" w:rsidRPr="007A7C51">
        <w:rPr>
          <w:rFonts w:cs="Times New Roman"/>
          <w:bCs/>
        </w:rPr>
        <w:t xml:space="preserve"> of various forms of CJD following neurosurgery.</w:t>
      </w:r>
      <w:r w:rsidR="00A6456F" w:rsidRPr="007A7C51">
        <w:rPr>
          <w:rFonts w:cs="Times New Roman"/>
          <w:bCs/>
        </w:rPr>
        <w:fldChar w:fldCharType="begin">
          <w:fldData xml:space="preserve">PEVuZE5vdGU+PENpdGU+PEF1dGhvcj5IYWxsPC9BdXRob3I+PFllYXI+MjAxNDwvWWVhcj48UmVj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</w:fldData>
        </w:fldChar>
      </w:r>
      <w:r w:rsidR="0076576E">
        <w:rPr>
          <w:rFonts w:cs="Times New Roman"/>
          <w:bCs/>
        </w:rPr>
        <w:instrText xml:space="preserve"> ADDIN EN.CITE </w:instrText>
      </w:r>
      <w:r w:rsidR="0076576E">
        <w:rPr>
          <w:rFonts w:cs="Times New Roman"/>
          <w:bCs/>
        </w:rPr>
        <w:fldChar w:fldCharType="begin">
          <w:fldData xml:space="preserve">PEVuZE5vdGU+PENpdGU+PEF1dGhvcj5IYWxsPC9BdXRob3I+PFllYXI+MjAxNDwvWWVhcj48UmVj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sidR="00A6456F" w:rsidRPr="007A7C51">
        <w:rPr>
          <w:rFonts w:cs="Times New Roman"/>
          <w:bCs/>
        </w:rPr>
      </w:r>
      <w:r w:rsidR="00A6456F" w:rsidRPr="007A7C51">
        <w:rPr>
          <w:rFonts w:cs="Times New Roman"/>
          <w:bCs/>
        </w:rPr>
        <w:fldChar w:fldCharType="separate"/>
      </w:r>
      <w:r w:rsidR="0076576E" w:rsidRPr="0076576E">
        <w:rPr>
          <w:rFonts w:cs="Times New Roman"/>
          <w:bCs/>
          <w:noProof/>
          <w:vertAlign w:val="superscript"/>
        </w:rPr>
        <w:t>114</w:t>
      </w:r>
      <w:r w:rsidR="00A6456F" w:rsidRPr="007A7C51">
        <w:rPr>
          <w:rFonts w:cs="Times New Roman"/>
          <w:bCs/>
        </w:rPr>
        <w:fldChar w:fldCharType="end"/>
      </w:r>
      <w:r w:rsidR="0082253D" w:rsidRPr="007A7C51">
        <w:rPr>
          <w:rFonts w:cs="Times New Roman"/>
          <w:bCs/>
        </w:rPr>
        <w:t xml:space="preserve"> </w:t>
      </w:r>
      <w:r w:rsidR="002D132A" w:rsidRPr="007A7C51">
        <w:rPr>
          <w:rFonts w:cs="Times New Roman"/>
          <w:bCs/>
        </w:rPr>
        <w:t xml:space="preserve">This paper reports that of these 154 </w:t>
      </w:r>
      <w:r w:rsidR="009F2001" w:rsidRPr="007A7C51">
        <w:rPr>
          <w:rFonts w:cs="Times New Roman"/>
          <w:bCs/>
        </w:rPr>
        <w:t>patients</w:t>
      </w:r>
      <w:r w:rsidR="002D132A" w:rsidRPr="007A7C51">
        <w:rPr>
          <w:rFonts w:cs="Times New Roman"/>
          <w:bCs/>
        </w:rPr>
        <w:t>,</w:t>
      </w:r>
      <w:r w:rsidR="0082253D" w:rsidRPr="007A7C51">
        <w:rPr>
          <w:rFonts w:cs="Times New Roman"/>
          <w:bCs/>
        </w:rPr>
        <w:t xml:space="preserve"> only</w:t>
      </w:r>
      <w:r w:rsidR="002D132A" w:rsidRPr="007A7C51">
        <w:rPr>
          <w:rFonts w:cs="Times New Roman"/>
          <w:bCs/>
        </w:rPr>
        <w:t xml:space="preserve"> 129 have been informed that they are increased risk</w:t>
      </w:r>
      <w:r w:rsidR="009F2001" w:rsidRPr="007A7C51">
        <w:rPr>
          <w:rFonts w:cs="Times New Roman"/>
          <w:bCs/>
        </w:rPr>
        <w:t xml:space="preserve"> either because of deaths before notification or because a local decision was taken not to inform the individual. </w:t>
      </w:r>
      <w:r w:rsidR="00C762B3">
        <w:rPr>
          <w:rFonts w:cs="Times New Roman"/>
          <w:bCs/>
        </w:rPr>
        <w:t>Whilst no incidence of CJD has been reported within the 154 patients, the auth</w:t>
      </w:r>
      <w:r w:rsidR="009B1F03">
        <w:rPr>
          <w:rFonts w:cs="Times New Roman"/>
          <w:bCs/>
        </w:rPr>
        <w:t>ors highlight that “</w:t>
      </w:r>
      <w:r w:rsidR="00C762B3">
        <w:rPr>
          <w:rFonts w:cs="Times New Roman"/>
          <w:bCs/>
        </w:rPr>
        <w:t>a</w:t>
      </w:r>
      <w:r w:rsidR="00C762B3" w:rsidRPr="00C762B3">
        <w:rPr>
          <w:rFonts w:cs="Times New Roman"/>
          <w:bCs/>
        </w:rPr>
        <w:t>t increased ris</w:t>
      </w:r>
      <w:r w:rsidR="009B1F03">
        <w:rPr>
          <w:rFonts w:cs="Times New Roman"/>
          <w:bCs/>
        </w:rPr>
        <w:t>k”</w:t>
      </w:r>
      <w:r w:rsidR="00C762B3" w:rsidRPr="00C762B3">
        <w:rPr>
          <w:rFonts w:cs="Times New Roman"/>
          <w:bCs/>
        </w:rPr>
        <w:t xml:space="preserve"> patients often have a relatively short</w:t>
      </w:r>
      <w:r w:rsidR="00C762B3">
        <w:rPr>
          <w:rFonts w:cs="Times New Roman"/>
          <w:bCs/>
        </w:rPr>
        <w:t xml:space="preserve"> </w:t>
      </w:r>
      <w:r w:rsidR="00C762B3" w:rsidRPr="00C762B3">
        <w:rPr>
          <w:rFonts w:cs="Times New Roman"/>
          <w:bCs/>
        </w:rPr>
        <w:t>life expectancy given their medical conditions. Diagnosing</w:t>
      </w:r>
      <w:r w:rsidR="00C762B3">
        <w:rPr>
          <w:rFonts w:cs="Times New Roman"/>
          <w:bCs/>
        </w:rPr>
        <w:t xml:space="preserve"> </w:t>
      </w:r>
      <w:r w:rsidR="00C762B3" w:rsidRPr="00C762B3">
        <w:rPr>
          <w:rFonts w:cs="Times New Roman"/>
          <w:bCs/>
        </w:rPr>
        <w:t xml:space="preserve">asymptomatic infection requires </w:t>
      </w:r>
      <w:r w:rsidR="00635170">
        <w:rPr>
          <w:rFonts w:cs="Times New Roman"/>
          <w:bCs/>
        </w:rPr>
        <w:t xml:space="preserve">the </w:t>
      </w:r>
      <w:r w:rsidR="00C762B3" w:rsidRPr="00C762B3">
        <w:rPr>
          <w:rFonts w:cs="Times New Roman"/>
          <w:bCs/>
        </w:rPr>
        <w:t xml:space="preserve">testing </w:t>
      </w:r>
      <w:r w:rsidR="00635170">
        <w:rPr>
          <w:rFonts w:cs="Times New Roman"/>
          <w:bCs/>
        </w:rPr>
        <w:t xml:space="preserve">of </w:t>
      </w:r>
      <w:r w:rsidR="00C762B3" w:rsidRPr="00C762B3">
        <w:rPr>
          <w:rFonts w:cs="Times New Roman"/>
          <w:bCs/>
        </w:rPr>
        <w:t>specific tissues that are</w:t>
      </w:r>
      <w:r w:rsidR="00C762B3">
        <w:rPr>
          <w:rFonts w:cs="Times New Roman"/>
          <w:bCs/>
        </w:rPr>
        <w:t xml:space="preserve"> </w:t>
      </w:r>
      <w:r w:rsidR="00C762B3" w:rsidRPr="00C762B3">
        <w:rPr>
          <w:rFonts w:cs="Times New Roman"/>
          <w:bCs/>
        </w:rPr>
        <w:t>most readily available at post-mortem</w:t>
      </w:r>
      <w:r w:rsidR="00C762B3">
        <w:rPr>
          <w:rFonts w:cs="Times New Roman"/>
          <w:bCs/>
        </w:rPr>
        <w:t xml:space="preserve"> and </w:t>
      </w:r>
      <w:r w:rsidR="00C762B3" w:rsidRPr="00C762B3">
        <w:rPr>
          <w:rFonts w:cs="Times New Roman"/>
          <w:bCs/>
        </w:rPr>
        <w:t>few post-mortems have been</w:t>
      </w:r>
      <w:r w:rsidR="00C762B3">
        <w:rPr>
          <w:rFonts w:cs="Times New Roman"/>
          <w:bCs/>
        </w:rPr>
        <w:t xml:space="preserve"> </w:t>
      </w:r>
      <w:r w:rsidR="009B1F03">
        <w:rPr>
          <w:rFonts w:cs="Times New Roman"/>
          <w:bCs/>
        </w:rPr>
        <w:t>conducted when “</w:t>
      </w:r>
      <w:r w:rsidR="00C762B3" w:rsidRPr="00C762B3">
        <w:rPr>
          <w:rFonts w:cs="Times New Roman"/>
          <w:bCs/>
        </w:rPr>
        <w:t>at increased risk</w:t>
      </w:r>
      <w:r w:rsidR="009B1F03">
        <w:rPr>
          <w:rFonts w:cs="Times New Roman"/>
          <w:bCs/>
        </w:rPr>
        <w:t>”</w:t>
      </w:r>
      <w:r w:rsidR="00C762B3" w:rsidRPr="00C762B3">
        <w:rPr>
          <w:rFonts w:cs="Times New Roman"/>
          <w:bCs/>
        </w:rPr>
        <w:t xml:space="preserve"> individuals die; therefore,</w:t>
      </w:r>
      <w:r w:rsidR="00C762B3">
        <w:rPr>
          <w:rFonts w:cs="Times New Roman"/>
          <w:bCs/>
        </w:rPr>
        <w:t xml:space="preserve"> </w:t>
      </w:r>
      <w:r w:rsidR="00C762B3" w:rsidRPr="00C762B3">
        <w:rPr>
          <w:rFonts w:cs="Times New Roman"/>
          <w:bCs/>
        </w:rPr>
        <w:t>some asymptomatic infections may have been missed.</w:t>
      </w:r>
    </w:p>
    <w:p w14:paraId="33711D33" w14:textId="77777777" w:rsidR="004D293B" w:rsidRPr="007A7C51" w:rsidRDefault="004D293B" w:rsidP="00622C6B">
      <w:pPr>
        <w:autoSpaceDE w:val="0"/>
        <w:autoSpaceDN w:val="0"/>
        <w:adjustRightInd w:val="0"/>
        <w:jc w:val="both"/>
        <w:rPr>
          <w:rFonts w:cs="Times New Roman"/>
        </w:rPr>
      </w:pPr>
    </w:p>
    <w:p w14:paraId="28C817A5" w14:textId="3D621CA9" w:rsidR="00E00881" w:rsidRPr="007A7C51" w:rsidRDefault="00E00881" w:rsidP="00622C6B">
      <w:pPr>
        <w:jc w:val="both"/>
        <w:rPr>
          <w:rFonts w:cs="Times New Roman"/>
        </w:rPr>
      </w:pPr>
      <w:r w:rsidRPr="007A7C51">
        <w:rPr>
          <w:rFonts w:cs="Times New Roman"/>
        </w:rPr>
        <w:t xml:space="preserve">Two published papers </w:t>
      </w:r>
      <w:r w:rsidR="00320A16" w:rsidRPr="007A7C51">
        <w:rPr>
          <w:rFonts w:cs="Times New Roman"/>
        </w:rPr>
        <w:t xml:space="preserve">from the United States </w:t>
      </w:r>
      <w:r w:rsidRPr="007A7C51">
        <w:rPr>
          <w:rFonts w:cs="Times New Roman"/>
        </w:rPr>
        <w:t xml:space="preserve">report instances where potential iCJD </w:t>
      </w:r>
      <w:r w:rsidR="008A3FA2" w:rsidRPr="007A7C51">
        <w:rPr>
          <w:rFonts w:cs="Times New Roman"/>
        </w:rPr>
        <w:t xml:space="preserve">exposure </w:t>
      </w:r>
      <w:r w:rsidRPr="007A7C51">
        <w:rPr>
          <w:rFonts w:cs="Times New Roman"/>
        </w:rPr>
        <w:t>via neurosurgery was investigated in hospitals</w:t>
      </w:r>
      <w:r w:rsidR="00954538">
        <w:rPr>
          <w:rFonts w:cs="Times New Roman"/>
        </w:rPr>
        <w:t>;</w:t>
      </w:r>
      <w:r w:rsidRPr="007A7C51">
        <w:rPr>
          <w:rFonts w:cs="Times New Roman"/>
        </w:rPr>
        <w:t xml:space="preserve"> </w:t>
      </w:r>
      <w:r w:rsidR="0082253D" w:rsidRPr="007A7C51">
        <w:rPr>
          <w:rFonts w:cs="Times New Roman"/>
        </w:rPr>
        <w:t>however,</w:t>
      </w:r>
      <w:r w:rsidRPr="007A7C51">
        <w:rPr>
          <w:rFonts w:cs="Times New Roman"/>
        </w:rPr>
        <w:t xml:space="preserve"> no </w:t>
      </w:r>
      <w:r w:rsidR="008A3FA2" w:rsidRPr="007A7C51">
        <w:rPr>
          <w:rFonts w:cs="Times New Roman"/>
        </w:rPr>
        <w:t>confirmed cases of transmission were</w:t>
      </w:r>
      <w:r w:rsidRPr="007A7C51">
        <w:rPr>
          <w:rFonts w:cs="Times New Roman"/>
        </w:rPr>
        <w:t xml:space="preserve"> </w:t>
      </w:r>
      <w:r w:rsidR="0082253D" w:rsidRPr="007A7C51">
        <w:rPr>
          <w:rFonts w:cs="Times New Roman"/>
        </w:rPr>
        <w:t xml:space="preserve">subsequently </w:t>
      </w:r>
      <w:r w:rsidRPr="007A7C51">
        <w:rPr>
          <w:rFonts w:cs="Times New Roman"/>
        </w:rPr>
        <w:t>identified.</w:t>
      </w:r>
      <w:r w:rsidR="00A6456F" w:rsidRPr="007A7C51">
        <w:rPr>
          <w:rFonts w:cs="Times New Roman"/>
        </w:rPr>
        <w:fldChar w:fldCharType="begin">
          <w:fldData xml:space="preserve">PEVuZE5vdGU+PENpdGU+PEF1dGhvcj5CZWxheTwvQXV0aG9yPjxZZWFyPjIwMTM8L1llYXI+PFJl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==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PEVuZE5vdGU+PENpdGU+PEF1dGhvcj5CZWxheTwvQXV0aG9yPjxZZWFyPjIwMTM8L1llYXI+PFJl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==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A6456F" w:rsidRPr="007A7C51">
        <w:rPr>
          <w:rFonts w:cs="Times New Roman"/>
        </w:rPr>
      </w:r>
      <w:r w:rsidR="00A6456F" w:rsidRPr="007A7C51">
        <w:rPr>
          <w:rFonts w:cs="Times New Roman"/>
        </w:rPr>
        <w:fldChar w:fldCharType="separate"/>
      </w:r>
      <w:r w:rsidR="0076576E" w:rsidRPr="0076576E">
        <w:rPr>
          <w:rFonts w:cs="Times New Roman"/>
          <w:noProof/>
          <w:vertAlign w:val="superscript"/>
        </w:rPr>
        <w:t>115, 116</w:t>
      </w:r>
      <w:r w:rsidR="00A6456F" w:rsidRPr="007A7C51">
        <w:rPr>
          <w:rFonts w:cs="Times New Roman"/>
        </w:rPr>
        <w:fldChar w:fldCharType="end"/>
      </w:r>
    </w:p>
    <w:p w14:paraId="22A8A151" w14:textId="77777777" w:rsidR="00E24D3A" w:rsidRDefault="00E24D3A" w:rsidP="00622C6B">
      <w:pPr>
        <w:jc w:val="both"/>
        <w:rPr>
          <w:rFonts w:cs="Times New Roman"/>
          <w:sz w:val="24"/>
          <w:szCs w:val="24"/>
        </w:rPr>
      </w:pPr>
    </w:p>
    <w:p w14:paraId="762942A3" w14:textId="108752A7" w:rsidR="00165EEA" w:rsidRPr="00635170" w:rsidRDefault="00C73976" w:rsidP="00622C6B">
      <w:pPr>
        <w:pStyle w:val="Heading4"/>
        <w:spacing w:before="0"/>
        <w:rPr>
          <w:sz w:val="22"/>
        </w:rPr>
      </w:pPr>
      <w:r w:rsidRPr="00635170">
        <w:rPr>
          <w:sz w:val="22"/>
        </w:rPr>
        <w:t xml:space="preserve">Risks </w:t>
      </w:r>
      <w:r w:rsidR="007F636B" w:rsidRPr="00635170">
        <w:rPr>
          <w:sz w:val="22"/>
        </w:rPr>
        <w:t>in</w:t>
      </w:r>
      <w:r w:rsidRPr="00635170">
        <w:rPr>
          <w:sz w:val="22"/>
        </w:rPr>
        <w:t xml:space="preserve"> surgery other than neurosurgery</w:t>
      </w:r>
    </w:p>
    <w:p w14:paraId="0CDF1BB7" w14:textId="1DD924F5" w:rsidR="00CC77A0" w:rsidRPr="00635170" w:rsidRDefault="00CC77A0" w:rsidP="00622C6B">
      <w:pPr>
        <w:pStyle w:val="Heading4"/>
        <w:spacing w:before="0"/>
        <w:rPr>
          <w:sz w:val="22"/>
        </w:rPr>
      </w:pPr>
      <w:r w:rsidRPr="00635170">
        <w:rPr>
          <w:sz w:val="22"/>
        </w:rPr>
        <w:t>Prospective risks to surgery</w:t>
      </w:r>
    </w:p>
    <w:p w14:paraId="7BDA3734" w14:textId="3F0CA607" w:rsidR="00D578DB" w:rsidRPr="007A7C51" w:rsidRDefault="00CC77A0" w:rsidP="00622C6B">
      <w:pPr>
        <w:jc w:val="both"/>
        <w:rPr>
          <w:rFonts w:cs="Times New Roman"/>
          <w:bCs/>
        </w:rPr>
      </w:pPr>
      <w:r w:rsidRPr="007A7C51">
        <w:rPr>
          <w:rFonts w:cs="Times New Roman"/>
        </w:rPr>
        <w:t>A</w:t>
      </w:r>
      <w:r w:rsidR="008E5649" w:rsidRPr="007A7C51">
        <w:rPr>
          <w:rFonts w:cs="Times New Roman"/>
        </w:rPr>
        <w:t xml:space="preserve"> study by </w:t>
      </w:r>
      <w:r w:rsidR="008E5649" w:rsidRPr="007A7C51">
        <w:rPr>
          <w:rFonts w:cs="Times New Roman"/>
          <w:bCs/>
        </w:rPr>
        <w:t xml:space="preserve">Baig </w:t>
      </w:r>
      <w:r w:rsidR="00B301D6" w:rsidRPr="00B301D6">
        <w:rPr>
          <w:rFonts w:cs="Times New Roman"/>
          <w:bCs/>
          <w:i/>
        </w:rPr>
        <w:t>et al</w:t>
      </w:r>
      <w:r w:rsidR="008E5649" w:rsidRPr="007A7C51">
        <w:rPr>
          <w:rFonts w:cs="Times New Roman"/>
          <w:bCs/>
        </w:rPr>
        <w:t xml:space="preserve"> (2013)</w:t>
      </w:r>
      <w:r w:rsidR="008D353A" w:rsidRPr="007A7C51">
        <w:rPr>
          <w:rFonts w:cs="Times New Roman"/>
          <w:bCs/>
        </w:rPr>
        <w:fldChar w:fldCharType="begin"/>
      </w:r>
      <w:r w:rsidR="0076576E">
        <w:rPr>
          <w:rFonts w:cs="Times New Roman"/>
          <w:bCs/>
        </w:rPr>
        <w:instrText xml:space="preserve"> ADDIN EN.CITE &lt;EndNote&gt;&lt;Cite&gt;&lt;Author&gt;Baig&lt;/Author&gt;&lt;Year&gt;2013&lt;/Year&gt;&lt;RecNum&gt;8382&lt;/RecNum&gt;&lt;DisplayText&gt;&lt;style face="superscript"&gt;36&lt;/style&gt;&lt;/DisplayText&gt;&lt;record&gt;&lt;rec-number&gt;8382&lt;/rec-number&gt;&lt;foreign-keys&gt;&lt;key app="EN" db-id="vrp0pptazv05wtesfz5vrzsj2p0rv09ttsa9" timestamp="1506588781" guid="a0241d82-55f3-45b8-bd57-4507846e3cf1"&gt;8382&lt;/key&gt;&lt;/foreign-keys&gt;&lt;ref-type name="Journal Article"&gt;17&lt;/ref-type&gt;&lt;contributors&gt;&lt;authors&gt;&lt;author&gt;Baig, M, M.&lt;/author&gt;&lt;author&gt;Phillips, M.&lt;/author&gt;&lt;/authors&gt;&lt;/contributors&gt;&lt;titles&gt;&lt;title&gt;A case of Creutzfeldt-Jakob disease: diagnostic dilemmas of a rapidly fatal disease&lt;/title&gt;&lt;secondary-title&gt;Infectious Disease Reports&lt;/secondary-title&gt;&lt;/titles&gt;&lt;periodical&gt;&lt;full-title&gt;Infectious Disease Reports&lt;/full-title&gt;&lt;/periodical&gt;&lt;pages&gt;e10&lt;/pages&gt;&lt;volume&gt;5&lt;/volume&gt;&lt;number&gt;2&lt;/number&gt;&lt;keywords&gt;&lt;keyword&gt;$$LU_1_prevalence CJD&lt;/keyword&gt;&lt;keyword&gt;$$LU_2_surgery transmission risk&lt;/keyword&gt;&lt;keyword&gt;$$CJD relevant&lt;/keyword&gt;&lt;keyword&gt;$$1_prevalence CJD&lt;/keyword&gt;&lt;keyword&gt;$$2_surgery transmission risk&lt;/keyword&gt;&lt;keyword&gt;$$iatrogenic CJD&lt;/keyword&gt;&lt;/keywords&gt;&lt;dates&gt;&lt;year&gt;2013&lt;/year&gt;&lt;pub-dates&gt;&lt;date&gt;Oct 09&lt;/date&gt;&lt;/pub-dates&gt;&lt;/dates&gt;&lt;isbn&gt;2036-7430&lt;/isbn&gt;&lt;accession-num&gt;24470960&lt;/accession-num&gt;&lt;urls&gt;&lt;related-urls&gt;&lt;url&gt;http://ovidsp.ovid.com/ovidweb.cgi?T=JS&amp;amp;CSC=Y&amp;amp;NEWS=N&amp;amp;PAGE=fulltext&amp;amp;D=prem&amp;amp;AN=24470960http://resolver.shef.ac.uk/?http://find.shef.ac.uk/openurl/44SFD/44SFD_services_page?sid=OVID:medline&amp;amp;id=pmid:24470960&amp;amp;id=doi:10.4081%2Fidr.2013.e10&amp;amp;issn=2036-7430&amp;amp;isbn=&amp;amp;volume=5&amp;amp;issue=2&amp;amp;spage=e10&amp;amp;pages=e10&amp;amp;date=2013&amp;amp;title=Infectious+Disease+Reports&amp;amp;atitle=A+case+of+Creutzfeldt-Jakob+disease%3A+diagnostic+dilemmas+of+a+rapidly+fatal+disease.&amp;amp;aulast=M+Baig&amp;amp;pid=%3Cauthor%3EM+Baig+M%3BPhillips+M%3C%2Fauthor%3E%3CAN%3E24470960%3C%2FAN%3E%3CDT%3EJournal+Article%3C%2FDT%3E&lt;/url&gt;&lt;/related-urls&gt;&lt;/urls&gt;&lt;electronic-resource-num&gt;https://dx.doi.org/10.4081/idr.2013.e10&lt;/electronic-resource-num&gt;&lt;/record&gt;&lt;/Cite&gt;&lt;/EndNote&gt;</w:instrText>
      </w:r>
      <w:r w:rsidR="008D353A" w:rsidRPr="007A7C51">
        <w:rPr>
          <w:rFonts w:cs="Times New Roman"/>
          <w:bCs/>
        </w:rPr>
        <w:fldChar w:fldCharType="separate"/>
      </w:r>
      <w:r w:rsidR="0076576E" w:rsidRPr="0076576E">
        <w:rPr>
          <w:rFonts w:cs="Times New Roman"/>
          <w:bCs/>
          <w:noProof/>
          <w:vertAlign w:val="superscript"/>
        </w:rPr>
        <w:t>36</w:t>
      </w:r>
      <w:r w:rsidR="008D353A" w:rsidRPr="007A7C51">
        <w:rPr>
          <w:rFonts w:cs="Times New Roman"/>
          <w:bCs/>
        </w:rPr>
        <w:fldChar w:fldCharType="end"/>
      </w:r>
      <w:r w:rsidR="008E5649" w:rsidRPr="007A7C51">
        <w:rPr>
          <w:rFonts w:cs="Times New Roman"/>
          <w:bCs/>
        </w:rPr>
        <w:t xml:space="preserve"> described a case report of a male patient (aged 66) who had surgical fixation of hip fracture</w:t>
      </w:r>
      <w:r w:rsidR="00526B86" w:rsidRPr="007A7C51">
        <w:rPr>
          <w:rFonts w:cs="Times New Roman"/>
          <w:bCs/>
        </w:rPr>
        <w:t>,</w:t>
      </w:r>
      <w:r w:rsidR="008E5649" w:rsidRPr="007A7C51">
        <w:rPr>
          <w:rFonts w:cs="Times New Roman"/>
          <w:bCs/>
        </w:rPr>
        <w:t xml:space="preserve"> most probably near the onset of CJD-symptoms and therefore the standard sterili</w:t>
      </w:r>
      <w:r w:rsidR="00954538">
        <w:rPr>
          <w:rFonts w:cs="Times New Roman"/>
          <w:bCs/>
        </w:rPr>
        <w:t>s</w:t>
      </w:r>
      <w:r w:rsidR="008E5649" w:rsidRPr="007A7C51">
        <w:rPr>
          <w:rFonts w:cs="Times New Roman"/>
          <w:bCs/>
        </w:rPr>
        <w:t>ation method</w:t>
      </w:r>
      <w:r w:rsidR="00526B86" w:rsidRPr="007A7C51">
        <w:rPr>
          <w:rFonts w:cs="Times New Roman"/>
          <w:bCs/>
        </w:rPr>
        <w:t xml:space="preserve"> was </w:t>
      </w:r>
      <w:r w:rsidR="00CB22C2">
        <w:rPr>
          <w:rFonts w:cs="Times New Roman"/>
          <w:bCs/>
        </w:rPr>
        <w:t>appropriately</w:t>
      </w:r>
      <w:r w:rsidR="00CB22C2" w:rsidRPr="007A7C51">
        <w:rPr>
          <w:rFonts w:cs="Times New Roman"/>
          <w:bCs/>
        </w:rPr>
        <w:t xml:space="preserve"> </w:t>
      </w:r>
      <w:r w:rsidR="00526B86" w:rsidRPr="007A7C51">
        <w:rPr>
          <w:rFonts w:cs="Times New Roman"/>
          <w:bCs/>
        </w:rPr>
        <w:t>used.</w:t>
      </w:r>
      <w:r w:rsidR="008E5649" w:rsidRPr="007A7C51">
        <w:rPr>
          <w:rFonts w:cs="Times New Roman"/>
          <w:bCs/>
        </w:rPr>
        <w:t xml:space="preserve"> </w:t>
      </w:r>
      <w:r w:rsidR="00526B86" w:rsidRPr="007A7C51">
        <w:rPr>
          <w:rFonts w:cs="Times New Roman"/>
          <w:bCs/>
        </w:rPr>
        <w:t>T</w:t>
      </w:r>
      <w:r w:rsidR="008E5649" w:rsidRPr="007A7C51">
        <w:rPr>
          <w:rFonts w:cs="Times New Roman"/>
          <w:bCs/>
        </w:rPr>
        <w:t xml:space="preserve">he authors </w:t>
      </w:r>
      <w:r w:rsidR="00526B86" w:rsidRPr="007A7C51">
        <w:rPr>
          <w:rFonts w:cs="Times New Roman"/>
          <w:bCs/>
        </w:rPr>
        <w:t>highlight that this decontamination method</w:t>
      </w:r>
      <w:r w:rsidR="008E5649" w:rsidRPr="007A7C51">
        <w:rPr>
          <w:rFonts w:cs="Times New Roman"/>
          <w:bCs/>
        </w:rPr>
        <w:t xml:space="preserve"> is </w:t>
      </w:r>
      <w:r w:rsidR="00526B86" w:rsidRPr="007A7C51">
        <w:rPr>
          <w:rFonts w:cs="Times New Roman"/>
          <w:bCs/>
        </w:rPr>
        <w:t xml:space="preserve">typically </w:t>
      </w:r>
      <w:r w:rsidR="008E5649" w:rsidRPr="007A7C51">
        <w:rPr>
          <w:rFonts w:cs="Times New Roman"/>
          <w:bCs/>
        </w:rPr>
        <w:t>not adequate for eradication o</w:t>
      </w:r>
      <w:r w:rsidR="00C73976" w:rsidRPr="007A7C51">
        <w:rPr>
          <w:rFonts w:cs="Times New Roman"/>
          <w:bCs/>
        </w:rPr>
        <w:t xml:space="preserve">f </w:t>
      </w:r>
      <w:r w:rsidR="003F542D">
        <w:rPr>
          <w:rFonts w:cs="Times New Roman"/>
          <w:bCs/>
        </w:rPr>
        <w:t xml:space="preserve">the </w:t>
      </w:r>
      <w:r w:rsidR="00C73976" w:rsidRPr="007A7C51">
        <w:rPr>
          <w:rFonts w:cs="Times New Roman"/>
          <w:bCs/>
        </w:rPr>
        <w:t>C</w:t>
      </w:r>
      <w:r w:rsidR="008E5649" w:rsidRPr="007A7C51">
        <w:rPr>
          <w:rFonts w:cs="Times New Roman"/>
          <w:bCs/>
        </w:rPr>
        <w:t>J</w:t>
      </w:r>
      <w:r w:rsidR="00C73976" w:rsidRPr="007A7C51">
        <w:rPr>
          <w:rFonts w:cs="Times New Roman"/>
          <w:bCs/>
        </w:rPr>
        <w:t>D</w:t>
      </w:r>
      <w:r w:rsidR="0082253D" w:rsidRPr="007A7C51">
        <w:rPr>
          <w:rFonts w:cs="Times New Roman"/>
          <w:bCs/>
        </w:rPr>
        <w:t xml:space="preserve"> prion protein virus, </w:t>
      </w:r>
      <w:r w:rsidR="008E5649" w:rsidRPr="007A7C51">
        <w:rPr>
          <w:rFonts w:cs="Times New Roman"/>
          <w:bCs/>
        </w:rPr>
        <w:t>present</w:t>
      </w:r>
      <w:r w:rsidR="0082253D" w:rsidRPr="007A7C51">
        <w:rPr>
          <w:rFonts w:cs="Times New Roman"/>
          <w:bCs/>
        </w:rPr>
        <w:t>ing</w:t>
      </w:r>
      <w:r w:rsidR="008E5649" w:rsidRPr="007A7C51">
        <w:rPr>
          <w:rFonts w:cs="Times New Roman"/>
          <w:bCs/>
        </w:rPr>
        <w:t xml:space="preserve"> a theoretical risk of prion protein transmission through surgical equipment. T</w:t>
      </w:r>
      <w:r w:rsidR="00FA085E" w:rsidRPr="007A7C51">
        <w:rPr>
          <w:rFonts w:cs="Times New Roman"/>
          <w:bCs/>
        </w:rPr>
        <w:t xml:space="preserve">he focus of </w:t>
      </w:r>
      <w:r w:rsidR="005F105A" w:rsidRPr="007A7C51">
        <w:rPr>
          <w:rFonts w:cs="Times New Roman"/>
          <w:bCs/>
        </w:rPr>
        <w:t>t</w:t>
      </w:r>
      <w:r w:rsidR="008E5649" w:rsidRPr="007A7C51">
        <w:rPr>
          <w:rFonts w:cs="Times New Roman"/>
          <w:bCs/>
        </w:rPr>
        <w:t>his paper</w:t>
      </w:r>
      <w:r w:rsidR="00FA085E" w:rsidRPr="007A7C51">
        <w:rPr>
          <w:rFonts w:cs="Times New Roman"/>
          <w:bCs/>
        </w:rPr>
        <w:t xml:space="preserve"> is not on the implication that</w:t>
      </w:r>
      <w:r w:rsidR="005F105A" w:rsidRPr="007A7C51">
        <w:rPr>
          <w:rFonts w:cs="Times New Roman"/>
          <w:bCs/>
        </w:rPr>
        <w:t xml:space="preserve"> </w:t>
      </w:r>
      <w:r w:rsidR="00FA085E" w:rsidRPr="007A7C51">
        <w:rPr>
          <w:rFonts w:cs="Times New Roman"/>
          <w:bCs/>
        </w:rPr>
        <w:t xml:space="preserve">the patient contracted </w:t>
      </w:r>
      <w:r w:rsidR="005F105A" w:rsidRPr="007A7C51">
        <w:rPr>
          <w:rFonts w:cs="Times New Roman"/>
          <w:bCs/>
        </w:rPr>
        <w:t>i</w:t>
      </w:r>
      <w:r w:rsidR="00FA085E" w:rsidRPr="007A7C51">
        <w:rPr>
          <w:rFonts w:cs="Times New Roman"/>
          <w:bCs/>
        </w:rPr>
        <w:t>CJD via surgical transmission</w:t>
      </w:r>
      <w:r w:rsidR="005F105A" w:rsidRPr="007A7C51">
        <w:rPr>
          <w:rFonts w:cs="Times New Roman"/>
          <w:bCs/>
        </w:rPr>
        <w:t xml:space="preserve"> but is </w:t>
      </w:r>
      <w:r w:rsidR="00FA085E" w:rsidRPr="007A7C51">
        <w:rPr>
          <w:rFonts w:cs="Times New Roman"/>
          <w:bCs/>
        </w:rPr>
        <w:t>in fact</w:t>
      </w:r>
      <w:r w:rsidR="008E5649" w:rsidRPr="007A7C51">
        <w:rPr>
          <w:rFonts w:cs="Times New Roman"/>
          <w:bCs/>
        </w:rPr>
        <w:t xml:space="preserve"> </w:t>
      </w:r>
      <w:r w:rsidR="00FA085E" w:rsidRPr="007A7C51">
        <w:rPr>
          <w:rFonts w:cs="Times New Roman"/>
          <w:bCs/>
        </w:rPr>
        <w:t>highlighting</w:t>
      </w:r>
      <w:r w:rsidR="005F105A" w:rsidRPr="007A7C51">
        <w:rPr>
          <w:rFonts w:cs="Times New Roman"/>
          <w:bCs/>
        </w:rPr>
        <w:t xml:space="preserve"> </w:t>
      </w:r>
      <w:r w:rsidR="00526B86" w:rsidRPr="007A7C51">
        <w:rPr>
          <w:rFonts w:cs="Times New Roman"/>
          <w:bCs/>
        </w:rPr>
        <w:t xml:space="preserve">a circumstance where </w:t>
      </w:r>
      <w:r w:rsidR="008E5649" w:rsidRPr="007A7C51">
        <w:rPr>
          <w:rFonts w:cs="Times New Roman"/>
          <w:bCs/>
        </w:rPr>
        <w:t>subsequent iatrogenic transmission</w:t>
      </w:r>
      <w:r w:rsidR="005F105A" w:rsidRPr="007A7C51">
        <w:rPr>
          <w:rFonts w:cs="Times New Roman"/>
          <w:bCs/>
        </w:rPr>
        <w:t xml:space="preserve"> </w:t>
      </w:r>
      <w:r w:rsidR="00526B86" w:rsidRPr="007A7C51">
        <w:rPr>
          <w:rFonts w:cs="Times New Roman"/>
          <w:bCs/>
        </w:rPr>
        <w:t xml:space="preserve">could </w:t>
      </w:r>
      <w:r w:rsidR="00CB22C2">
        <w:rPr>
          <w:rFonts w:cs="Times New Roman"/>
          <w:bCs/>
        </w:rPr>
        <w:t xml:space="preserve">may have </w:t>
      </w:r>
      <w:r w:rsidR="00AE6C98">
        <w:rPr>
          <w:rFonts w:cs="Times New Roman"/>
          <w:bCs/>
        </w:rPr>
        <w:t>occurred</w:t>
      </w:r>
      <w:r w:rsidR="00526B86" w:rsidRPr="007A7C51">
        <w:rPr>
          <w:rFonts w:cs="Times New Roman"/>
          <w:bCs/>
        </w:rPr>
        <w:t xml:space="preserve"> due to </w:t>
      </w:r>
      <w:r w:rsidR="00954538">
        <w:rPr>
          <w:rFonts w:cs="Times New Roman"/>
          <w:bCs/>
        </w:rPr>
        <w:t xml:space="preserve">a </w:t>
      </w:r>
      <w:r w:rsidR="00526B86" w:rsidRPr="007A7C51">
        <w:rPr>
          <w:rFonts w:cs="Times New Roman"/>
          <w:bCs/>
        </w:rPr>
        <w:t>lack of</w:t>
      </w:r>
      <w:r w:rsidR="005F105A" w:rsidRPr="007A7C51">
        <w:rPr>
          <w:rFonts w:cs="Times New Roman"/>
          <w:bCs/>
        </w:rPr>
        <w:t xml:space="preserve"> </w:t>
      </w:r>
      <w:r w:rsidR="00526B86" w:rsidRPr="007A7C51">
        <w:rPr>
          <w:rFonts w:cs="Times New Roman"/>
          <w:bCs/>
        </w:rPr>
        <w:t xml:space="preserve">high-risk </w:t>
      </w:r>
      <w:r w:rsidR="005F105A" w:rsidRPr="007A7C51">
        <w:rPr>
          <w:rFonts w:cs="Times New Roman"/>
          <w:bCs/>
        </w:rPr>
        <w:t xml:space="preserve">decontamination </w:t>
      </w:r>
      <w:r w:rsidR="00526B86" w:rsidRPr="007A7C51">
        <w:rPr>
          <w:rFonts w:cs="Times New Roman"/>
          <w:bCs/>
        </w:rPr>
        <w:t>procedures</w:t>
      </w:r>
      <w:r w:rsidR="00CB22C2">
        <w:rPr>
          <w:rFonts w:cs="Times New Roman"/>
          <w:bCs/>
        </w:rPr>
        <w:t>. However, surgery of low infective tissues in individuals diagnosed with CJD is noted to be common,</w:t>
      </w:r>
      <w:r w:rsidR="00E23B71">
        <w:rPr>
          <w:rFonts w:cs="Times New Roman"/>
          <w:bCs/>
        </w:rPr>
        <w:fldChar w:fldCharType="begin">
          <w:fldData xml:space="preserve">PEVuZE5vdGU+PENpdGU+PEF1dGhvcj5XYXJkPC9BdXRob3I+PFllYXI+MjAwNjwvWWVhcj48UmVj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</w:fldData>
        </w:fldChar>
      </w:r>
      <w:r w:rsidR="0076576E">
        <w:rPr>
          <w:rFonts w:cs="Times New Roman"/>
          <w:bCs/>
        </w:rPr>
        <w:instrText xml:space="preserve"> ADDIN EN.CITE </w:instrText>
      </w:r>
      <w:r w:rsidR="0076576E">
        <w:rPr>
          <w:rFonts w:cs="Times New Roman"/>
          <w:bCs/>
        </w:rPr>
        <w:fldChar w:fldCharType="begin">
          <w:fldData xml:space="preserve">PEVuZE5vdGU+PENpdGU+PEF1dGhvcj5XYXJkPC9BdXRob3I+PFllYXI+MjAwNjwvWWVhcj48UmVj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sidR="00E23B71">
        <w:rPr>
          <w:rFonts w:cs="Times New Roman"/>
          <w:bCs/>
        </w:rPr>
      </w:r>
      <w:r w:rsidR="00E23B71">
        <w:rPr>
          <w:rFonts w:cs="Times New Roman"/>
          <w:bCs/>
        </w:rPr>
        <w:fldChar w:fldCharType="separate"/>
      </w:r>
      <w:r w:rsidR="0076576E" w:rsidRPr="0076576E">
        <w:rPr>
          <w:rFonts w:cs="Times New Roman"/>
          <w:bCs/>
          <w:noProof/>
          <w:vertAlign w:val="superscript"/>
        </w:rPr>
        <w:t>106</w:t>
      </w:r>
      <w:r w:rsidR="00E23B71">
        <w:rPr>
          <w:rFonts w:cs="Times New Roman"/>
          <w:bCs/>
        </w:rPr>
        <w:fldChar w:fldCharType="end"/>
      </w:r>
      <w:r w:rsidR="00E23B71" w:rsidRPr="00A20906">
        <w:rPr>
          <w:rFonts w:cs="Times New Roman"/>
          <w:bCs/>
          <w:vertAlign w:val="superscript"/>
        </w:rPr>
        <w:t>,</w:t>
      </w:r>
      <w:r w:rsidR="00E23B71">
        <w:rPr>
          <w:rFonts w:cs="Times New Roman"/>
          <w:bCs/>
        </w:rPr>
        <w:fldChar w:fldCharType="begin">
          <w:fldData xml:space="preserve">PEVuZE5vdGU+PENpdGU+PEF1dGhvcj5XYXJkPC9BdXRob3I+PFllYXI+MjAwODwvWWVhcj48UmVj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</w:fldData>
        </w:fldChar>
      </w:r>
      <w:r w:rsidR="0076576E">
        <w:rPr>
          <w:rFonts w:cs="Times New Roman"/>
          <w:bCs/>
        </w:rPr>
        <w:instrText xml:space="preserve"> ADDIN EN.CITE </w:instrText>
      </w:r>
      <w:r w:rsidR="0076576E">
        <w:rPr>
          <w:rFonts w:cs="Times New Roman"/>
          <w:bCs/>
        </w:rPr>
        <w:fldChar w:fldCharType="begin">
          <w:fldData xml:space="preserve">PEVuZE5vdGU+PENpdGU+PEF1dGhvcj5XYXJkPC9BdXRob3I+PFllYXI+MjAwODwvWWVhcj48UmVj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</w:fldData>
        </w:fldChar>
      </w:r>
      <w:r w:rsidR="0076576E">
        <w:rPr>
          <w:rFonts w:cs="Times New Roman"/>
          <w:bCs/>
        </w:rPr>
        <w:instrText xml:space="preserve"> ADDIN EN.CITE.DATA </w:instrText>
      </w:r>
      <w:r w:rsidR="0076576E">
        <w:rPr>
          <w:rFonts w:cs="Times New Roman"/>
          <w:bCs/>
        </w:rPr>
      </w:r>
      <w:r w:rsidR="0076576E">
        <w:rPr>
          <w:rFonts w:cs="Times New Roman"/>
          <w:bCs/>
        </w:rPr>
        <w:fldChar w:fldCharType="end"/>
      </w:r>
      <w:r w:rsidR="00E23B71">
        <w:rPr>
          <w:rFonts w:cs="Times New Roman"/>
          <w:bCs/>
        </w:rPr>
      </w:r>
      <w:r w:rsidR="00E23B71">
        <w:rPr>
          <w:rFonts w:cs="Times New Roman"/>
          <w:bCs/>
        </w:rPr>
        <w:fldChar w:fldCharType="separate"/>
      </w:r>
      <w:r w:rsidR="0076576E" w:rsidRPr="0076576E">
        <w:rPr>
          <w:rFonts w:cs="Times New Roman"/>
          <w:bCs/>
          <w:noProof/>
          <w:vertAlign w:val="superscript"/>
        </w:rPr>
        <w:t>107</w:t>
      </w:r>
      <w:r w:rsidR="00E23B71">
        <w:rPr>
          <w:rFonts w:cs="Times New Roman"/>
          <w:bCs/>
        </w:rPr>
        <w:fldChar w:fldCharType="end"/>
      </w:r>
      <w:r w:rsidR="00E23B71">
        <w:rPr>
          <w:rFonts w:cs="Times New Roman"/>
          <w:bCs/>
        </w:rPr>
        <w:t xml:space="preserve"> and therefore</w:t>
      </w:r>
      <w:r w:rsidR="00CB22C2">
        <w:rPr>
          <w:rFonts w:cs="Times New Roman"/>
          <w:bCs/>
        </w:rPr>
        <w:t xml:space="preserve"> this </w:t>
      </w:r>
      <w:r w:rsidR="00E23B71">
        <w:rPr>
          <w:rFonts w:cs="Times New Roman"/>
          <w:bCs/>
        </w:rPr>
        <w:t>surgery which did not involve high (or medium) infectivity tissues would not be regarded as a risk of iatrogenic transmission</w:t>
      </w:r>
      <w:r w:rsidR="005F105A" w:rsidRPr="007A7C51">
        <w:rPr>
          <w:rFonts w:cs="Times New Roman"/>
          <w:bCs/>
        </w:rPr>
        <w:t>.</w:t>
      </w:r>
      <w:r w:rsidR="00EE4758">
        <w:rPr>
          <w:rFonts w:cs="Times New Roman"/>
          <w:bCs/>
        </w:rPr>
        <w:t xml:space="preserve"> </w:t>
      </w:r>
    </w:p>
    <w:p w14:paraId="55821602" w14:textId="0F64A8CE" w:rsidR="008E5649" w:rsidRPr="007A7C51" w:rsidRDefault="008E5649" w:rsidP="00622C6B">
      <w:pPr>
        <w:jc w:val="both"/>
        <w:rPr>
          <w:rFonts w:cs="Times New Roman"/>
        </w:rPr>
      </w:pPr>
    </w:p>
    <w:p w14:paraId="23ACA40E" w14:textId="3857CFD8" w:rsidR="00EF7C64" w:rsidRPr="007A7C51" w:rsidRDefault="00EF7C64" w:rsidP="00622C6B">
      <w:pPr>
        <w:jc w:val="both"/>
        <w:rPr>
          <w:rFonts w:cs="Times New Roman"/>
        </w:rPr>
      </w:pPr>
      <w:r w:rsidRPr="007A7C51">
        <w:rPr>
          <w:rFonts w:cs="Times New Roman"/>
        </w:rPr>
        <w:t xml:space="preserve">A recent study </w:t>
      </w:r>
      <w:r w:rsidR="008D353A" w:rsidRPr="007A7C51">
        <w:rPr>
          <w:rFonts w:cs="Times New Roman"/>
        </w:rPr>
        <w:t>by Orr</w:t>
      </w:r>
      <m:oMath>
        <m:acc>
          <m:accPr>
            <m:chr m:val="́"/>
            <m:ctrlPr>
              <w:rPr>
                <w:rFonts w:ascii="Cambria Math" w:hAnsi="Cambria Math" w:cs="Times New Roman"/>
              </w:rPr>
            </m:ctrlPr>
          </m:accPr>
          <m:e>
            <m:r>
              <m:rPr>
                <m:sty m:val="p"/>
              </m:rPr>
              <w:rPr>
                <w:rFonts w:ascii="Cambria Math" w:hAnsi="Cambria Math" w:cs="Times New Roman"/>
              </w:rPr>
              <m:t>u</m:t>
            </m:r>
          </m:e>
        </m:acc>
      </m:oMath>
      <w:r w:rsidR="008D353A" w:rsidRPr="007A7C51">
        <w:rPr>
          <w:rFonts w:cs="Times New Roman"/>
        </w:rPr>
        <w:t xml:space="preserve"> </w:t>
      </w:r>
      <w:r w:rsidR="00B301D6" w:rsidRPr="00B301D6">
        <w:rPr>
          <w:rFonts w:cs="Times New Roman"/>
          <w:i/>
        </w:rPr>
        <w:t>et al</w:t>
      </w:r>
      <w:r w:rsidR="008D353A" w:rsidRPr="007A7C51">
        <w:rPr>
          <w:rFonts w:cs="Times New Roman"/>
        </w:rPr>
        <w:t xml:space="preserve"> (2016) </w:t>
      </w:r>
      <w:r w:rsidRPr="007A7C51">
        <w:rPr>
          <w:rFonts w:cs="Times New Roman"/>
        </w:rPr>
        <w:t>found infectivity in the skin o</w:t>
      </w:r>
      <w:r w:rsidR="008D353A" w:rsidRPr="007A7C51">
        <w:rPr>
          <w:rFonts w:cs="Times New Roman"/>
        </w:rPr>
        <w:t>f s</w:t>
      </w:r>
      <w:r w:rsidR="00FA085E" w:rsidRPr="007A7C51">
        <w:rPr>
          <w:rFonts w:cs="Times New Roman"/>
        </w:rPr>
        <w:t>C</w:t>
      </w:r>
      <w:r w:rsidR="008D353A" w:rsidRPr="007A7C51">
        <w:rPr>
          <w:rFonts w:cs="Times New Roman"/>
        </w:rPr>
        <w:t>JD patients</w:t>
      </w:r>
      <w:r w:rsidR="00526B86" w:rsidRPr="007A7C51">
        <w:rPr>
          <w:rFonts w:cs="Times New Roman"/>
        </w:rPr>
        <w:t>,</w:t>
      </w:r>
      <w:r w:rsidR="008D353A" w:rsidRPr="007A7C51">
        <w:rPr>
          <w:rFonts w:cs="Times New Roman"/>
        </w:rPr>
        <w:t xml:space="preserve"> albeit at prion levels 1,000-100,000 times lower than in the brain and only detectable by an extremely sensitive assay.</w:t>
      </w:r>
      <w:r w:rsidR="008D353A" w:rsidRPr="007A7C51">
        <w:rPr>
          <w:rFonts w:cs="Times New Roman"/>
        </w:rPr>
        <w:fldChar w:fldCharType="begin">
          <w:fldData xml:space="preserve">PEVuZE5vdGU+PENpdGU+PEF1dGhvcj5PcnLDujwvQXV0aG9yPjxZZWFyPjIwMTc8L1llYXI+PFJl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PEVuZE5vdGU+PENpdGU+PEF1dGhvcj5PcnLDujwvQXV0aG9yPjxZZWFyPjIwMTc8L1llYXI+PFJl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8D353A" w:rsidRPr="007A7C51">
        <w:rPr>
          <w:rFonts w:cs="Times New Roman"/>
        </w:rPr>
      </w:r>
      <w:r w:rsidR="008D353A" w:rsidRPr="007A7C51">
        <w:rPr>
          <w:rFonts w:cs="Times New Roman"/>
        </w:rPr>
        <w:fldChar w:fldCharType="separate"/>
      </w:r>
      <w:r w:rsidR="0076576E" w:rsidRPr="0076576E">
        <w:rPr>
          <w:rFonts w:cs="Times New Roman"/>
          <w:noProof/>
          <w:vertAlign w:val="superscript"/>
        </w:rPr>
        <w:t>117, 118</w:t>
      </w:r>
      <w:r w:rsidR="008D353A" w:rsidRPr="007A7C51">
        <w:rPr>
          <w:rFonts w:cs="Times New Roman"/>
        </w:rPr>
        <w:fldChar w:fldCharType="end"/>
      </w:r>
      <w:r w:rsidR="008D353A" w:rsidRPr="007A7C51">
        <w:rPr>
          <w:rFonts w:cs="Times New Roman"/>
        </w:rPr>
        <w:t xml:space="preserve"> However, </w:t>
      </w:r>
      <w:r w:rsidR="009F2DFA" w:rsidRPr="007A7C51">
        <w:rPr>
          <w:rFonts w:cs="Times New Roman"/>
        </w:rPr>
        <w:t xml:space="preserve">a </w:t>
      </w:r>
      <w:r w:rsidR="008D353A" w:rsidRPr="007A7C51">
        <w:rPr>
          <w:rFonts w:cs="Times New Roman"/>
        </w:rPr>
        <w:t>study</w:t>
      </w:r>
      <w:r w:rsidR="009F2DFA" w:rsidRPr="007A7C51">
        <w:rPr>
          <w:rFonts w:cs="Times New Roman"/>
        </w:rPr>
        <w:t xml:space="preserve"> using</w:t>
      </w:r>
      <w:r w:rsidR="008D353A" w:rsidRPr="007A7C51">
        <w:rPr>
          <w:rFonts w:cs="Times New Roman"/>
        </w:rPr>
        <w:t xml:space="preserve"> </w:t>
      </w:r>
      <w:r w:rsidR="009F2DFA" w:rsidRPr="007A7C51">
        <w:rPr>
          <w:rFonts w:cs="Times New Roman"/>
        </w:rPr>
        <w:t xml:space="preserve">humanized transgenic mouse models </w:t>
      </w:r>
      <w:r w:rsidR="008D353A" w:rsidRPr="007A7C51">
        <w:rPr>
          <w:rFonts w:cs="Times New Roman"/>
        </w:rPr>
        <w:t>demonstrated that the skin pri</w:t>
      </w:r>
      <w:r w:rsidR="00DD3BC0" w:rsidRPr="007A7C51">
        <w:rPr>
          <w:rFonts w:cs="Times New Roman"/>
        </w:rPr>
        <w:t>ons we</w:t>
      </w:r>
      <w:r w:rsidR="008D353A" w:rsidRPr="007A7C51">
        <w:rPr>
          <w:rFonts w:cs="Times New Roman"/>
        </w:rPr>
        <w:t xml:space="preserve">re infectious. The study authors argue that extra precautions should be taken during non-neurosurgeries of sCJD patients particularly when instruments will be re-used, as previously infectivity </w:t>
      </w:r>
      <w:r w:rsidR="00934C8F" w:rsidRPr="007A7C51">
        <w:rPr>
          <w:rFonts w:cs="Times New Roman"/>
        </w:rPr>
        <w:t xml:space="preserve">through skin </w:t>
      </w:r>
      <w:r w:rsidR="008D353A" w:rsidRPr="007A7C51">
        <w:rPr>
          <w:rFonts w:cs="Times New Roman"/>
        </w:rPr>
        <w:t>was unknown.</w:t>
      </w:r>
    </w:p>
    <w:p w14:paraId="18109CB0" w14:textId="554C6792" w:rsidR="00FA085E" w:rsidRPr="007A7C51" w:rsidRDefault="00FA085E" w:rsidP="00622C6B">
      <w:pPr>
        <w:jc w:val="both"/>
        <w:rPr>
          <w:rFonts w:cs="Times New Roman"/>
        </w:rPr>
      </w:pPr>
    </w:p>
    <w:p w14:paraId="6F2E237A" w14:textId="11FEE3A6" w:rsidR="00C830AF" w:rsidRPr="007A7C51" w:rsidRDefault="00C830AF" w:rsidP="00622C6B">
      <w:pPr>
        <w:jc w:val="both"/>
        <w:rPr>
          <w:rFonts w:cs="Times New Roman"/>
        </w:rPr>
      </w:pPr>
      <w:r w:rsidRPr="007A7C51">
        <w:rPr>
          <w:rFonts w:cs="Times New Roman"/>
        </w:rPr>
        <w:t xml:space="preserve">A study by Notari </w:t>
      </w:r>
      <w:r w:rsidR="00B301D6" w:rsidRPr="00B301D6">
        <w:rPr>
          <w:rFonts w:cs="Times New Roman"/>
          <w:i/>
        </w:rPr>
        <w:t>et al</w:t>
      </w:r>
      <w:r w:rsidRPr="007A7C51">
        <w:rPr>
          <w:rFonts w:cs="Times New Roman"/>
        </w:rPr>
        <w:t xml:space="preserve"> (2010) found from a neuropathological examination of a vCJD case in the US that as well as detection of PrP</w:t>
      </w:r>
      <w:r w:rsidRPr="007A7C51">
        <w:rPr>
          <w:rFonts w:cs="Times New Roman"/>
          <w:vertAlign w:val="superscript"/>
        </w:rPr>
        <w:t>res</w:t>
      </w:r>
      <w:r w:rsidRPr="007A7C51">
        <w:rPr>
          <w:rFonts w:cs="Times New Roman"/>
        </w:rPr>
        <w:t xml:space="preserve"> in the brain, lymphoreticular system, pituitary and adrenal glands, and gastrointestinal tract, PrP</w:t>
      </w:r>
      <w:r w:rsidRPr="007A7C51">
        <w:rPr>
          <w:rFonts w:cs="Times New Roman"/>
          <w:vertAlign w:val="superscript"/>
        </w:rPr>
        <w:t>res</w:t>
      </w:r>
      <w:r w:rsidRPr="007A7C51">
        <w:rPr>
          <w:rFonts w:cs="Times New Roman"/>
        </w:rPr>
        <w:t xml:space="preserve"> was also detected in the dura mater, liver, pancreas, kidney, ovary, uterus, and skin.</w:t>
      </w:r>
      <w:r w:rsidR="002F2DE1" w:rsidRPr="007A7C51">
        <w:rPr>
          <w:rFonts w:cs="Times New Roman"/>
        </w:rPr>
        <w:fldChar w:fldCharType="begin">
          <w:fldData xml:space="preserve">PEVuZE5vdGU+PENpdGU+PEF1dGhvcj5Ob3Rhcmk8L0F1dGhvcj48WWVhcj4yMDEwPC9ZZWFyPjxS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</w:fldData>
        </w:fldChar>
      </w:r>
      <w:r w:rsidR="0076576E">
        <w:rPr>
          <w:rFonts w:cs="Times New Roman"/>
        </w:rPr>
        <w:instrText xml:space="preserve"> ADDIN EN.CITE </w:instrText>
      </w:r>
      <w:r w:rsidR="0076576E">
        <w:rPr>
          <w:rFonts w:cs="Times New Roman"/>
        </w:rPr>
        <w:fldChar w:fldCharType="begin">
          <w:fldData xml:space="preserve">PEVuZE5vdGU+PENpdGU+PEF1dGhvcj5Ob3Rhcmk8L0F1dGhvcj48WWVhcj4yMDEwPC9ZZWFyPjxS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2F2DE1" w:rsidRPr="007A7C51">
        <w:rPr>
          <w:rFonts w:cs="Times New Roman"/>
        </w:rPr>
      </w:r>
      <w:r w:rsidR="002F2DE1" w:rsidRPr="007A7C51">
        <w:rPr>
          <w:rFonts w:cs="Times New Roman"/>
        </w:rPr>
        <w:fldChar w:fldCharType="separate"/>
      </w:r>
      <w:r w:rsidR="0076576E" w:rsidRPr="0076576E">
        <w:rPr>
          <w:rFonts w:cs="Times New Roman"/>
          <w:noProof/>
          <w:vertAlign w:val="superscript"/>
        </w:rPr>
        <w:t>119</w:t>
      </w:r>
      <w:r w:rsidR="002F2DE1" w:rsidRPr="007A7C51">
        <w:rPr>
          <w:rFonts w:cs="Times New Roman"/>
        </w:rPr>
        <w:fldChar w:fldCharType="end"/>
      </w:r>
      <w:r w:rsidRPr="007A7C51">
        <w:rPr>
          <w:rFonts w:cs="Times New Roman"/>
        </w:rPr>
        <w:t xml:space="preserve"> The authors conclude that the number of organs affected in vCJD is greater than previously reali</w:t>
      </w:r>
      <w:r w:rsidR="004A33C4">
        <w:rPr>
          <w:rFonts w:cs="Times New Roman"/>
        </w:rPr>
        <w:t>s</w:t>
      </w:r>
      <w:r w:rsidRPr="007A7C51">
        <w:rPr>
          <w:rFonts w:cs="Times New Roman"/>
        </w:rPr>
        <w:t xml:space="preserve">ed and </w:t>
      </w:r>
      <w:r w:rsidR="00635170">
        <w:rPr>
          <w:rFonts w:cs="Times New Roman"/>
        </w:rPr>
        <w:t xml:space="preserve">this </w:t>
      </w:r>
      <w:r w:rsidRPr="007A7C51">
        <w:rPr>
          <w:rFonts w:cs="Times New Roman"/>
        </w:rPr>
        <w:t>further underscore</w:t>
      </w:r>
      <w:r w:rsidR="00635170">
        <w:rPr>
          <w:rFonts w:cs="Times New Roman"/>
        </w:rPr>
        <w:t>s</w:t>
      </w:r>
      <w:r w:rsidRPr="007A7C51">
        <w:rPr>
          <w:rFonts w:cs="Times New Roman"/>
        </w:rPr>
        <w:t xml:space="preserve"> the risk of iatrogenic transmission in vCJD.</w:t>
      </w:r>
    </w:p>
    <w:p w14:paraId="320A7D61" w14:textId="77777777" w:rsidR="00C830AF" w:rsidRDefault="00C830AF" w:rsidP="00622C6B">
      <w:pPr>
        <w:jc w:val="both"/>
        <w:rPr>
          <w:rFonts w:cs="Times New Roman"/>
          <w:sz w:val="24"/>
          <w:szCs w:val="24"/>
        </w:rPr>
      </w:pPr>
    </w:p>
    <w:p w14:paraId="13DC8E85" w14:textId="78AF2B4C" w:rsidR="00CC77A0" w:rsidRPr="00635170" w:rsidRDefault="00CC77A0" w:rsidP="00622C6B">
      <w:pPr>
        <w:pStyle w:val="Heading4"/>
        <w:spacing w:before="0"/>
        <w:rPr>
          <w:sz w:val="22"/>
        </w:rPr>
      </w:pPr>
      <w:r w:rsidRPr="00635170">
        <w:rPr>
          <w:sz w:val="22"/>
        </w:rPr>
        <w:t>Risks in eye surgery</w:t>
      </w:r>
    </w:p>
    <w:p w14:paraId="5BA8EFF6" w14:textId="7923AF89" w:rsidR="00376F4B" w:rsidRDefault="00376F4B" w:rsidP="00622C6B">
      <w:pPr>
        <w:jc w:val="both"/>
        <w:rPr>
          <w:rFonts w:cs="Times New Roman"/>
        </w:rPr>
      </w:pPr>
      <w:r w:rsidRPr="007A7C51">
        <w:rPr>
          <w:rFonts w:cs="Times New Roman"/>
        </w:rPr>
        <w:t xml:space="preserve">Davanipour </w:t>
      </w:r>
      <w:r w:rsidR="00B301D6" w:rsidRPr="00B301D6">
        <w:rPr>
          <w:rFonts w:cs="Times New Roman"/>
          <w:i/>
        </w:rPr>
        <w:t>et al</w:t>
      </w:r>
      <w:r w:rsidRPr="007A7C51">
        <w:rPr>
          <w:rFonts w:cs="Times New Roman"/>
        </w:rPr>
        <w:t xml:space="preserve"> (2014) </w:t>
      </w:r>
      <w:r w:rsidR="00376E26" w:rsidRPr="007A7C51">
        <w:rPr>
          <w:rFonts w:cs="Times New Roman"/>
        </w:rPr>
        <w:t>postulate</w:t>
      </w:r>
      <w:r w:rsidRPr="007A7C51">
        <w:rPr>
          <w:rFonts w:cs="Times New Roman"/>
        </w:rPr>
        <w:t xml:space="preserve"> that ocular tonometry is a risk factor for contracting sCJD</w:t>
      </w:r>
      <w:r w:rsidR="007A26B6" w:rsidRPr="007A7C51">
        <w:rPr>
          <w:rFonts w:cs="Times New Roman"/>
        </w:rPr>
        <w:t xml:space="preserve"> from a case-</w:t>
      </w:r>
      <w:r w:rsidR="006B540D" w:rsidRPr="007A7C51">
        <w:rPr>
          <w:rFonts w:cs="Times New Roman"/>
        </w:rPr>
        <w:t>control study conducted across 11 states in the US. Contact tonometry is used by ophthalmologists to di</w:t>
      </w:r>
      <w:r w:rsidR="00DD3BC0" w:rsidRPr="007A7C51">
        <w:rPr>
          <w:rFonts w:cs="Times New Roman"/>
        </w:rPr>
        <w:t>agnose glaucoma. Th</w:t>
      </w:r>
      <w:r w:rsidR="006B540D" w:rsidRPr="007A7C51">
        <w:rPr>
          <w:rFonts w:cs="Times New Roman"/>
        </w:rPr>
        <w:t>e authors conclude that disposable covers or non-contact tonometry should be used in the absence of adequate decontamination processes.</w:t>
      </w:r>
      <w:r w:rsidR="00B93CFA" w:rsidRPr="007A7C51">
        <w:rPr>
          <w:rFonts w:cs="Times New Roman"/>
        </w:rPr>
        <w:fldChar w:fldCharType="begin">
          <w:fldData xml:space="preserve">PEVuZE5vdGU+PENpdGU+PEF1dGhvcj5EYXZhbmlwb3VyPC9BdXRob3I+PFllYXI+MjAxNDwvWWVh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</w:fldData>
        </w:fldChar>
      </w:r>
      <w:r w:rsidR="0076576E">
        <w:rPr>
          <w:rFonts w:cs="Times New Roman"/>
        </w:rPr>
        <w:instrText xml:space="preserve"> ADDIN EN.CITE </w:instrText>
      </w:r>
      <w:r w:rsidR="0076576E">
        <w:rPr>
          <w:rFonts w:cs="Times New Roman"/>
        </w:rPr>
        <w:fldChar w:fldCharType="begin">
          <w:fldData xml:space="preserve">PEVuZE5vdGU+PENpdGU+PEF1dGhvcj5EYXZhbmlwb3VyPC9BdXRob3I+PFllYXI+MjAxNDwvWWVh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B93CFA" w:rsidRPr="007A7C51">
        <w:rPr>
          <w:rFonts w:cs="Times New Roman"/>
        </w:rPr>
      </w:r>
      <w:r w:rsidR="00B93CFA" w:rsidRPr="007A7C51">
        <w:rPr>
          <w:rFonts w:cs="Times New Roman"/>
        </w:rPr>
        <w:fldChar w:fldCharType="separate"/>
      </w:r>
      <w:r w:rsidR="0076576E" w:rsidRPr="0076576E">
        <w:rPr>
          <w:rFonts w:cs="Times New Roman"/>
          <w:noProof/>
          <w:vertAlign w:val="superscript"/>
        </w:rPr>
        <w:t>120</w:t>
      </w:r>
      <w:r w:rsidR="00B93CFA" w:rsidRPr="007A7C51">
        <w:rPr>
          <w:rFonts w:cs="Times New Roman"/>
        </w:rPr>
        <w:fldChar w:fldCharType="end"/>
      </w:r>
      <w:r w:rsidR="007502FF">
        <w:rPr>
          <w:rFonts w:cs="Times New Roman"/>
        </w:rPr>
        <w:t xml:space="preserve"> </w:t>
      </w:r>
    </w:p>
    <w:p w14:paraId="2A20EEFC" w14:textId="77777777" w:rsidR="00716CC9" w:rsidRPr="007A7C51" w:rsidRDefault="00716CC9" w:rsidP="00622C6B">
      <w:pPr>
        <w:jc w:val="both"/>
        <w:rPr>
          <w:rFonts w:cs="Times New Roman"/>
        </w:rPr>
      </w:pPr>
    </w:p>
    <w:p w14:paraId="39A519DC" w14:textId="206245DD" w:rsidR="00BF7295" w:rsidRDefault="00FA085E" w:rsidP="00622C6B">
      <w:pPr>
        <w:jc w:val="both"/>
        <w:rPr>
          <w:rFonts w:cs="Times New Roman"/>
        </w:rPr>
      </w:pPr>
      <w:r w:rsidRPr="007A7C51">
        <w:rPr>
          <w:rFonts w:cs="Times New Roman"/>
        </w:rPr>
        <w:t xml:space="preserve">Tullo </w:t>
      </w:r>
      <w:r w:rsidR="00B301D6" w:rsidRPr="00B301D6">
        <w:rPr>
          <w:rFonts w:cs="Times New Roman"/>
          <w:i/>
        </w:rPr>
        <w:t>et al</w:t>
      </w:r>
      <w:r w:rsidRPr="007A7C51">
        <w:rPr>
          <w:rFonts w:cs="Times New Roman"/>
        </w:rPr>
        <w:t xml:space="preserve"> (2006) document </w:t>
      </w:r>
      <w:r w:rsidR="00DD3BC0" w:rsidRPr="007A7C51">
        <w:rPr>
          <w:rFonts w:cs="Times New Roman"/>
        </w:rPr>
        <w:t xml:space="preserve">three recipients of either cornea or sclera </w:t>
      </w:r>
      <w:r w:rsidR="008A76EA" w:rsidRPr="007A7C51">
        <w:rPr>
          <w:rFonts w:cs="Times New Roman"/>
        </w:rPr>
        <w:t xml:space="preserve">from </w:t>
      </w:r>
      <w:r w:rsidR="00DD3BC0" w:rsidRPr="007A7C51">
        <w:rPr>
          <w:rFonts w:cs="Times New Roman"/>
        </w:rPr>
        <w:t xml:space="preserve">a woman who died of biopsy-proven carcinoma of the bronchus in 1997 but was later </w:t>
      </w:r>
      <w:r w:rsidR="008A76EA" w:rsidRPr="007A7C51">
        <w:rPr>
          <w:rFonts w:cs="Times New Roman"/>
        </w:rPr>
        <w:t xml:space="preserve">neuropathologically </w:t>
      </w:r>
      <w:r w:rsidR="00DD3BC0" w:rsidRPr="007A7C51">
        <w:rPr>
          <w:rFonts w:cs="Times New Roman"/>
        </w:rPr>
        <w:t>identified as having sCJD.</w:t>
      </w:r>
      <w:r w:rsidR="0049614B" w:rsidRPr="007A7C51">
        <w:rPr>
          <w:rFonts w:cs="Times New Roman"/>
        </w:rPr>
        <w:fldChar w:fldCharType="begin">
          <w:fldData xml:space="preserve">PEVuZE5vdGU+PENpdGU+PEF1dGhvcj5UdWxsbzwvQXV0aG9yPjxZZWFyPjIwMDY8L1llYXI+PFJl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PEVuZE5vdGU+PENpdGU+PEF1dGhvcj5UdWxsbzwvQXV0aG9yPjxZZWFyPjIwMDY8L1llYXI+PFJl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49614B" w:rsidRPr="007A7C51">
        <w:rPr>
          <w:rFonts w:cs="Times New Roman"/>
        </w:rPr>
      </w:r>
      <w:r w:rsidR="0049614B" w:rsidRPr="007A7C51">
        <w:rPr>
          <w:rFonts w:cs="Times New Roman"/>
        </w:rPr>
        <w:fldChar w:fldCharType="separate"/>
      </w:r>
      <w:r w:rsidR="0076576E" w:rsidRPr="0076576E">
        <w:rPr>
          <w:rFonts w:cs="Times New Roman"/>
          <w:noProof/>
          <w:vertAlign w:val="superscript"/>
        </w:rPr>
        <w:t>121</w:t>
      </w:r>
      <w:r w:rsidR="0049614B" w:rsidRPr="007A7C51">
        <w:rPr>
          <w:rFonts w:cs="Times New Roman"/>
        </w:rPr>
        <w:fldChar w:fldCharType="end"/>
      </w:r>
      <w:r w:rsidR="00DD3BC0" w:rsidRPr="007A7C51">
        <w:rPr>
          <w:rFonts w:cs="Times New Roman"/>
        </w:rPr>
        <w:t xml:space="preserve"> At the time of publication</w:t>
      </w:r>
      <w:r w:rsidR="00927592">
        <w:rPr>
          <w:rFonts w:cs="Times New Roman"/>
        </w:rPr>
        <w:t>,</w:t>
      </w:r>
      <w:r w:rsidR="00DD3BC0" w:rsidRPr="007A7C51">
        <w:rPr>
          <w:rFonts w:cs="Times New Roman"/>
        </w:rPr>
        <w:t xml:space="preserve"> t</w:t>
      </w:r>
      <w:r w:rsidRPr="007A7C51">
        <w:rPr>
          <w:rFonts w:cs="Times New Roman"/>
        </w:rPr>
        <w:t>wo</w:t>
      </w:r>
      <w:r w:rsidR="00DD3BC0" w:rsidRPr="007A7C51">
        <w:rPr>
          <w:rFonts w:cs="Times New Roman"/>
        </w:rPr>
        <w:t xml:space="preserve"> recipients remained symptom</w:t>
      </w:r>
      <w:r w:rsidR="00927592">
        <w:rPr>
          <w:rFonts w:cs="Times New Roman"/>
        </w:rPr>
        <w:t>-</w:t>
      </w:r>
      <w:r w:rsidR="00DD3BC0" w:rsidRPr="007A7C51">
        <w:rPr>
          <w:rFonts w:cs="Times New Roman"/>
        </w:rPr>
        <w:t xml:space="preserve">free of CJD whilst one patient had died, aged 92 (seven years after surgery), showing some signs of dementia that were not considered indicative of iCJD. </w:t>
      </w:r>
    </w:p>
    <w:p w14:paraId="4C7D035A" w14:textId="77777777" w:rsidR="00716CC9" w:rsidRPr="007A7C51" w:rsidRDefault="00716CC9" w:rsidP="00622C6B">
      <w:pPr>
        <w:jc w:val="both"/>
        <w:rPr>
          <w:rFonts w:cs="Times New Roman"/>
        </w:rPr>
      </w:pPr>
    </w:p>
    <w:p w14:paraId="5F5C5659" w14:textId="7E412878" w:rsidR="008D353A" w:rsidRPr="007A7C51" w:rsidRDefault="005F6EE4" w:rsidP="00622C6B">
      <w:pPr>
        <w:jc w:val="both"/>
        <w:rPr>
          <w:rFonts w:cs="Times New Roman"/>
        </w:rPr>
      </w:pPr>
      <w:r w:rsidRPr="007A7C51">
        <w:rPr>
          <w:rFonts w:cs="Times New Roman"/>
        </w:rPr>
        <w:t xml:space="preserve">Jirsova </w:t>
      </w:r>
      <w:r w:rsidR="00B301D6" w:rsidRPr="00B301D6">
        <w:rPr>
          <w:rFonts w:cs="Times New Roman"/>
          <w:i/>
        </w:rPr>
        <w:t>et al</w:t>
      </w:r>
      <w:r w:rsidRPr="007A7C51">
        <w:rPr>
          <w:rFonts w:cs="Times New Roman"/>
        </w:rPr>
        <w:t xml:space="preserve"> (2010)</w:t>
      </w:r>
      <w:r w:rsidR="0049614B" w:rsidRPr="007A7C51">
        <w:rPr>
          <w:rFonts w:cs="Times New Roman"/>
        </w:rPr>
        <w:fldChar w:fldCharType="begin">
          <w:fldData xml:space="preserve">PEVuZE5vdGU+PENpdGU+PEF1dGhvcj5KaXJzb3ZhPC9BdXRob3I+PFllYXI+MjAxMDwvWWVhcj48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</w:fldData>
        </w:fldChar>
      </w:r>
      <w:r w:rsidR="0076576E">
        <w:rPr>
          <w:rFonts w:cs="Times New Roman"/>
        </w:rPr>
        <w:instrText xml:space="preserve"> ADDIN EN.CITE </w:instrText>
      </w:r>
      <w:r w:rsidR="0076576E">
        <w:rPr>
          <w:rFonts w:cs="Times New Roman"/>
        </w:rPr>
        <w:fldChar w:fldCharType="begin">
          <w:fldData xml:space="preserve">PEVuZE5vdGU+PENpdGU+PEF1dGhvcj5KaXJzb3ZhPC9BdXRob3I+PFllYXI+MjAxMDwvWWVhcj48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49614B" w:rsidRPr="007A7C51">
        <w:rPr>
          <w:rFonts w:cs="Times New Roman"/>
        </w:rPr>
      </w:r>
      <w:r w:rsidR="0049614B" w:rsidRPr="007A7C51">
        <w:rPr>
          <w:rFonts w:cs="Times New Roman"/>
        </w:rPr>
        <w:fldChar w:fldCharType="separate"/>
      </w:r>
      <w:r w:rsidR="0076576E" w:rsidRPr="0076576E">
        <w:rPr>
          <w:rFonts w:cs="Times New Roman"/>
          <w:noProof/>
          <w:vertAlign w:val="superscript"/>
        </w:rPr>
        <w:t>122</w:t>
      </w:r>
      <w:r w:rsidR="0049614B" w:rsidRPr="007A7C51">
        <w:rPr>
          <w:rFonts w:cs="Times New Roman"/>
        </w:rPr>
        <w:fldChar w:fldCharType="end"/>
      </w:r>
      <w:r w:rsidRPr="007A7C51">
        <w:rPr>
          <w:rFonts w:cs="Times New Roman"/>
        </w:rPr>
        <w:t xml:space="preserve"> conducted an analysis of brain tissue samples from </w:t>
      </w:r>
      <w:r w:rsidR="00B06D46" w:rsidRPr="007A7C51">
        <w:rPr>
          <w:rFonts w:cs="Times New Roman"/>
        </w:rPr>
        <w:t xml:space="preserve">the frontal lobe of </w:t>
      </w:r>
      <w:r w:rsidRPr="007A7C51">
        <w:rPr>
          <w:rFonts w:cs="Times New Roman"/>
        </w:rPr>
        <w:t>1142 eye donors obtained from 3 tissue banks in the Czech Republic. As no pathogenic prions were found</w:t>
      </w:r>
      <w:r w:rsidR="00927592">
        <w:rPr>
          <w:rFonts w:cs="Times New Roman"/>
        </w:rPr>
        <w:t>,</w:t>
      </w:r>
      <w:r w:rsidRPr="007A7C51">
        <w:rPr>
          <w:rFonts w:cs="Times New Roman"/>
        </w:rPr>
        <w:t xml:space="preserve"> the authors presume a very low risk of transmission of CJD through corneal graft transplantation. However, the authors’ conclusion can be regarded as </w:t>
      </w:r>
      <w:r w:rsidR="00B06D46" w:rsidRPr="007A7C51">
        <w:rPr>
          <w:rFonts w:cs="Times New Roman"/>
        </w:rPr>
        <w:t>a logical fallacy, denying the antecedent, because</w:t>
      </w:r>
      <w:r w:rsidRPr="007A7C51">
        <w:rPr>
          <w:rFonts w:cs="Times New Roman"/>
        </w:rPr>
        <w:t xml:space="preserve"> in the absence of sCJD cases in the analysis</w:t>
      </w:r>
      <w:r w:rsidR="00B06D46" w:rsidRPr="007A7C51">
        <w:rPr>
          <w:rFonts w:cs="Times New Roman"/>
        </w:rPr>
        <w:t xml:space="preserve">, it is not possible to </w:t>
      </w:r>
      <w:r w:rsidR="004260BE" w:rsidRPr="007A7C51">
        <w:rPr>
          <w:rFonts w:cs="Times New Roman"/>
        </w:rPr>
        <w:t>conclude on</w:t>
      </w:r>
      <w:r w:rsidR="00B06D46" w:rsidRPr="007A7C51">
        <w:rPr>
          <w:rFonts w:cs="Times New Roman"/>
        </w:rPr>
        <w:t xml:space="preserve"> the risk of CJD transmission via surgery in corneal graft transplantation</w:t>
      </w:r>
      <w:r w:rsidRPr="007A7C51">
        <w:rPr>
          <w:rFonts w:cs="Times New Roman"/>
        </w:rPr>
        <w:t>.</w:t>
      </w:r>
      <w:r w:rsidR="004260BE" w:rsidRPr="007A7C51">
        <w:rPr>
          <w:rFonts w:cs="Times New Roman"/>
        </w:rPr>
        <w:t xml:space="preserve"> </w:t>
      </w:r>
      <w:r w:rsidR="001236CA">
        <w:rPr>
          <w:rFonts w:cs="Times New Roman"/>
        </w:rPr>
        <w:t xml:space="preserve">Additionally, </w:t>
      </w:r>
      <w:r w:rsidR="004260BE" w:rsidRPr="007A7C51">
        <w:rPr>
          <w:rFonts w:cs="Times New Roman"/>
        </w:rPr>
        <w:t xml:space="preserve">Maddox </w:t>
      </w:r>
      <w:r w:rsidR="00B301D6" w:rsidRPr="00B301D6">
        <w:rPr>
          <w:rFonts w:cs="Times New Roman"/>
          <w:i/>
        </w:rPr>
        <w:t>et al</w:t>
      </w:r>
      <w:r w:rsidR="004260BE" w:rsidRPr="007A7C51">
        <w:rPr>
          <w:rFonts w:cs="Times New Roman"/>
        </w:rPr>
        <w:t xml:space="preserve"> (2008) used data from corneal transplantation and CJD deaths from 1990 to 2006 in a statistical analysis to suggest that a case of coincidental sporadic CJD will occur among the population of corneal transplant recipients approximately every 1.5 years.</w:t>
      </w:r>
      <w:r w:rsidR="001C1038" w:rsidRPr="007A7C51">
        <w:rPr>
          <w:rFonts w:cs="Times New Roman"/>
        </w:rPr>
        <w:fldChar w:fldCharType="begin">
          <w:fldData xml:space="preserve">PEVuZE5vdGU+PENpdGU+PEF1dGhvcj5NYWRkb3g8L0F1dGhvcj48WWVhcj4yMDA4PC9ZZWFyPjxS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PEVuZE5vdGU+PENpdGU+PEF1dGhvcj5NYWRkb3g8L0F1dGhvcj48WWVhcj4yMDA4PC9ZZWFyPjxS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7A7C51">
        <w:rPr>
          <w:rFonts w:cs="Times New Roman"/>
        </w:rPr>
      </w:r>
      <w:r w:rsidR="001C1038" w:rsidRPr="007A7C51">
        <w:rPr>
          <w:rFonts w:cs="Times New Roman"/>
        </w:rPr>
        <w:fldChar w:fldCharType="separate"/>
      </w:r>
      <w:r w:rsidR="0076576E" w:rsidRPr="0076576E">
        <w:rPr>
          <w:rFonts w:cs="Times New Roman"/>
          <w:noProof/>
          <w:vertAlign w:val="superscript"/>
        </w:rPr>
        <w:t>123</w:t>
      </w:r>
      <w:r w:rsidR="001C1038" w:rsidRPr="007A7C51">
        <w:rPr>
          <w:rFonts w:cs="Times New Roman"/>
        </w:rPr>
        <w:fldChar w:fldCharType="end"/>
      </w:r>
    </w:p>
    <w:p w14:paraId="550F4081" w14:textId="452A6842" w:rsidR="00CC77A0" w:rsidRPr="007A7C51" w:rsidRDefault="00CC77A0" w:rsidP="00622C6B">
      <w:pPr>
        <w:jc w:val="both"/>
        <w:rPr>
          <w:rFonts w:cs="Times New Roman"/>
        </w:rPr>
      </w:pPr>
    </w:p>
    <w:p w14:paraId="06EE8C30" w14:textId="753BB50A" w:rsidR="00CC77A0" w:rsidRPr="00635170" w:rsidRDefault="00CC77A0" w:rsidP="00622C6B">
      <w:pPr>
        <w:pStyle w:val="Heading4"/>
        <w:spacing w:before="0"/>
        <w:rPr>
          <w:sz w:val="22"/>
        </w:rPr>
      </w:pPr>
      <w:r w:rsidRPr="00635170">
        <w:rPr>
          <w:sz w:val="22"/>
        </w:rPr>
        <w:t>Risks in dentistry</w:t>
      </w:r>
    </w:p>
    <w:p w14:paraId="5C698FA5" w14:textId="05AA11DF" w:rsidR="00340743" w:rsidRPr="007A7C51" w:rsidRDefault="008A76EA" w:rsidP="00622C6B">
      <w:pPr>
        <w:jc w:val="both"/>
        <w:rPr>
          <w:rFonts w:cs="Times New Roman"/>
        </w:rPr>
      </w:pPr>
      <w:r w:rsidRPr="007A7C51">
        <w:rPr>
          <w:rFonts w:cs="Times New Roman"/>
        </w:rPr>
        <w:t xml:space="preserve">Bourvis </w:t>
      </w:r>
      <w:r w:rsidR="00B301D6" w:rsidRPr="00B301D6">
        <w:rPr>
          <w:rFonts w:cs="Times New Roman"/>
          <w:i/>
        </w:rPr>
        <w:t>et al</w:t>
      </w:r>
      <w:r w:rsidRPr="007A7C51">
        <w:rPr>
          <w:rFonts w:cs="Times New Roman"/>
        </w:rPr>
        <w:t xml:space="preserve"> (2007) conducted a risk assessment of the transmission of sCJD in endodontic treatment in the absence of adequate prion inactivation.</w:t>
      </w:r>
      <w:r w:rsidR="0049614B" w:rsidRPr="007A7C51">
        <w:rPr>
          <w:rFonts w:cs="Times New Roman"/>
        </w:rPr>
        <w:fldChar w:fldCharType="begin">
          <w:fldData xml:space="preserve">PEVuZE5vdGU+PENpdGU+PEF1dGhvcj5Cb3VydmlzPC9BdXRob3I+PFllYXI+MjAwNzwvWWVhcj48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PEVuZE5vdGU+PENpdGU+PEF1dGhvcj5Cb3VydmlzPC9BdXRob3I+PFllYXI+MjAwNzwvWWVhcj48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49614B" w:rsidRPr="007A7C51">
        <w:rPr>
          <w:rFonts w:cs="Times New Roman"/>
        </w:rPr>
      </w:r>
      <w:r w:rsidR="0049614B" w:rsidRPr="007A7C51">
        <w:rPr>
          <w:rFonts w:cs="Times New Roman"/>
        </w:rPr>
        <w:fldChar w:fldCharType="separate"/>
      </w:r>
      <w:r w:rsidR="0076576E" w:rsidRPr="0076576E">
        <w:rPr>
          <w:rFonts w:cs="Times New Roman"/>
          <w:noProof/>
          <w:vertAlign w:val="superscript"/>
        </w:rPr>
        <w:t>124</w:t>
      </w:r>
      <w:r w:rsidR="0049614B" w:rsidRPr="007A7C51">
        <w:rPr>
          <w:rFonts w:cs="Times New Roman"/>
        </w:rPr>
        <w:fldChar w:fldCharType="end"/>
      </w:r>
      <w:r w:rsidRPr="007A7C51">
        <w:rPr>
          <w:rFonts w:cs="Times New Roman"/>
        </w:rPr>
        <w:t xml:space="preserve"> The authors developed a mathematical model incorporating experimental and observational data and expert consultation </w:t>
      </w:r>
      <w:r w:rsidR="00E012B5" w:rsidRPr="007A7C51">
        <w:rPr>
          <w:rFonts w:cs="Times New Roman"/>
        </w:rPr>
        <w:t>and</w:t>
      </w:r>
      <w:r w:rsidRPr="007A7C51">
        <w:rPr>
          <w:rFonts w:cs="Times New Roman"/>
        </w:rPr>
        <w:t xml:space="preserve"> estimate</w:t>
      </w:r>
      <w:r w:rsidR="00E012B5" w:rsidRPr="007A7C51">
        <w:rPr>
          <w:rFonts w:cs="Times New Roman"/>
        </w:rPr>
        <w:t>d</w:t>
      </w:r>
      <w:r w:rsidRPr="007A7C51">
        <w:rPr>
          <w:rFonts w:cs="Times New Roman"/>
        </w:rPr>
        <w:t xml:space="preserve"> that without effective prion-deactivation procedures, the risk of being infected during endodontic treatment ranged between 3.4 and 13 per million procedures.</w:t>
      </w:r>
      <w:r w:rsidR="00E012B5" w:rsidRPr="007A7C51">
        <w:rPr>
          <w:rFonts w:cs="Times New Roman"/>
        </w:rPr>
        <w:t xml:space="preserve"> The authors consider that strict respect of the official recommendations on decontamination procedures </w:t>
      </w:r>
      <w:r w:rsidR="00E16633" w:rsidRPr="007A7C51">
        <w:rPr>
          <w:rFonts w:cs="Times New Roman"/>
        </w:rPr>
        <w:t xml:space="preserve">are essential in </w:t>
      </w:r>
      <w:r w:rsidR="00E012B5" w:rsidRPr="007A7C51">
        <w:rPr>
          <w:rFonts w:cs="Times New Roman"/>
        </w:rPr>
        <w:t>dentistry, and even suggest that the cost-benefit of single-use endodontic instruments should be re-evaluated.</w:t>
      </w:r>
      <w:r w:rsidR="00953BA8" w:rsidRPr="007A7C51">
        <w:rPr>
          <w:rFonts w:cs="Times New Roman"/>
        </w:rPr>
        <w:t xml:space="preserve"> Everington </w:t>
      </w:r>
      <w:r w:rsidR="00B301D6" w:rsidRPr="00B301D6">
        <w:rPr>
          <w:rFonts w:cs="Times New Roman"/>
          <w:i/>
        </w:rPr>
        <w:t>et al</w:t>
      </w:r>
      <w:r w:rsidR="00953BA8" w:rsidRPr="007A7C51">
        <w:rPr>
          <w:rFonts w:cs="Times New Roman"/>
        </w:rPr>
        <w:t xml:space="preserve"> (2007) found no evidence of increased risk </w:t>
      </w:r>
      <w:r w:rsidR="00D76D2F" w:rsidRPr="007A7C51">
        <w:rPr>
          <w:rFonts w:cs="Times New Roman"/>
        </w:rPr>
        <w:t xml:space="preserve">of vCJD </w:t>
      </w:r>
      <w:r w:rsidR="00953BA8" w:rsidRPr="007A7C51">
        <w:rPr>
          <w:rFonts w:cs="Times New Roman"/>
        </w:rPr>
        <w:t>associated with reported dental treatments using a case-control study of UK vCJD patients.</w:t>
      </w:r>
      <w:r w:rsidR="00826471" w:rsidRPr="007A7C51">
        <w:rPr>
          <w:rFonts w:cs="Times New Roman"/>
        </w:rPr>
        <w:fldChar w:fldCharType="begin">
          <w:fldData xml:space="preserve">PEVuZE5vdGU+PENpdGU+PEF1dGhvcj5FdmVyaW5ndG9uPC9BdXRob3I+PFllYXI+MjAwNzwvWWVh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PEVuZE5vdGU+PENpdGU+PEF1dGhvcj5FdmVyaW5ndG9uPC9BdXRob3I+PFllYXI+MjAwNzwvWWVh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826471" w:rsidRPr="007A7C51">
        <w:rPr>
          <w:rFonts w:cs="Times New Roman"/>
        </w:rPr>
      </w:r>
      <w:r w:rsidR="00826471" w:rsidRPr="007A7C51">
        <w:rPr>
          <w:rFonts w:cs="Times New Roman"/>
        </w:rPr>
        <w:fldChar w:fldCharType="separate"/>
      </w:r>
      <w:r w:rsidR="0076576E" w:rsidRPr="0076576E">
        <w:rPr>
          <w:rFonts w:cs="Times New Roman"/>
          <w:noProof/>
          <w:vertAlign w:val="superscript"/>
        </w:rPr>
        <w:t>125</w:t>
      </w:r>
      <w:r w:rsidR="00826471" w:rsidRPr="007A7C51">
        <w:rPr>
          <w:rFonts w:cs="Times New Roman"/>
        </w:rPr>
        <w:fldChar w:fldCharType="end"/>
      </w:r>
      <w:r w:rsidR="00D76D2F" w:rsidRPr="007A7C51">
        <w:rPr>
          <w:rFonts w:cs="Times New Roman"/>
        </w:rPr>
        <w:t xml:space="preserve"> However, the authors do not rule out the possibility that some cases may have resulted from secondary transmission via dental procedures.</w:t>
      </w:r>
      <w:r w:rsidR="00793482">
        <w:rPr>
          <w:rFonts w:cs="Times New Roman"/>
        </w:rPr>
        <w:t xml:space="preserve"> Azarpazhooh </w:t>
      </w:r>
      <w:r w:rsidR="00B301D6" w:rsidRPr="00B301D6">
        <w:rPr>
          <w:rFonts w:cs="Times New Roman"/>
          <w:i/>
        </w:rPr>
        <w:t>et al</w:t>
      </w:r>
      <w:r w:rsidR="00793482">
        <w:rPr>
          <w:rFonts w:cs="Times New Roman"/>
        </w:rPr>
        <w:t xml:space="preserve"> (2008) highlight that whilst no definite cases</w:t>
      </w:r>
      <w:r w:rsidR="00D10CDB">
        <w:rPr>
          <w:rFonts w:cs="Times New Roman"/>
        </w:rPr>
        <w:t xml:space="preserve"> of prion disease transmission have been reported</w:t>
      </w:r>
      <w:r w:rsidR="00927592">
        <w:rPr>
          <w:rFonts w:cs="Times New Roman"/>
        </w:rPr>
        <w:t>,</w:t>
      </w:r>
      <w:r w:rsidR="00D10CDB">
        <w:rPr>
          <w:rFonts w:cs="Times New Roman"/>
        </w:rPr>
        <w:t xml:space="preserve"> the </w:t>
      </w:r>
      <w:r w:rsidR="00D10CDB" w:rsidRPr="00793482">
        <w:rPr>
          <w:rFonts w:cs="Times New Roman"/>
        </w:rPr>
        <w:t xml:space="preserve">theoretical </w:t>
      </w:r>
      <w:r w:rsidR="00D10CDB">
        <w:rPr>
          <w:rFonts w:cs="Times New Roman"/>
        </w:rPr>
        <w:t xml:space="preserve">risk </w:t>
      </w:r>
      <w:r w:rsidR="00D10CDB" w:rsidRPr="00793482">
        <w:rPr>
          <w:rFonts w:cs="Times New Roman"/>
        </w:rPr>
        <w:t xml:space="preserve">from dental instruments </w:t>
      </w:r>
      <w:r w:rsidR="00D10CDB">
        <w:rPr>
          <w:rFonts w:cs="Times New Roman"/>
        </w:rPr>
        <w:t>is</w:t>
      </w:r>
      <w:r w:rsidR="00793482" w:rsidRPr="00793482">
        <w:rPr>
          <w:rFonts w:cs="Times New Roman"/>
        </w:rPr>
        <w:t xml:space="preserve"> </w:t>
      </w:r>
      <w:r w:rsidR="00D10CDB">
        <w:rPr>
          <w:rFonts w:cs="Times New Roman"/>
        </w:rPr>
        <w:t>low but real and</w:t>
      </w:r>
      <w:r w:rsidR="00793482" w:rsidRPr="00793482">
        <w:rPr>
          <w:rFonts w:cs="Times New Roman"/>
        </w:rPr>
        <w:t>, as a general rule, appropriate family and medical history (including the risk for prion diseases) should be obtained from all patients before all dental procedures.</w:t>
      </w:r>
      <w:r w:rsidR="007B4434">
        <w:rPr>
          <w:rFonts w:cs="Times New Roman"/>
        </w:rPr>
        <w:fldChar w:fldCharType="begin">
          <w:fldData xml:space="preserve">PEVuZE5vdGU+PENpdGU+PEF1dGhvcj5BemFycGF6aG9vaDwvQXV0aG9yPjxZZWFyPjIwMDg8L1ll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PEVuZE5vdGU+PENpdGU+PEF1dGhvcj5BemFycGF6aG9vaDwvQXV0aG9yPjxZZWFyPjIwMDg8L1ll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7B4434">
        <w:rPr>
          <w:rFonts w:cs="Times New Roman"/>
        </w:rPr>
      </w:r>
      <w:r w:rsidR="007B4434">
        <w:rPr>
          <w:rFonts w:cs="Times New Roman"/>
        </w:rPr>
        <w:fldChar w:fldCharType="separate"/>
      </w:r>
      <w:r w:rsidR="0076576E" w:rsidRPr="0076576E">
        <w:rPr>
          <w:rFonts w:cs="Times New Roman"/>
          <w:noProof/>
          <w:vertAlign w:val="superscript"/>
        </w:rPr>
        <w:t>126</w:t>
      </w:r>
      <w:r w:rsidR="007B4434">
        <w:rPr>
          <w:rFonts w:cs="Times New Roman"/>
        </w:rPr>
        <w:fldChar w:fldCharType="end"/>
      </w:r>
    </w:p>
    <w:p w14:paraId="3C509EB9" w14:textId="77777777" w:rsidR="00340743" w:rsidRDefault="00340743" w:rsidP="00622C6B">
      <w:pPr>
        <w:jc w:val="both"/>
        <w:rPr>
          <w:rFonts w:cs="Times New Roman"/>
          <w:sz w:val="24"/>
          <w:szCs w:val="24"/>
        </w:rPr>
      </w:pPr>
    </w:p>
    <w:p w14:paraId="3413A84E" w14:textId="69FB5D0B" w:rsidR="00340743" w:rsidRPr="00F84738" w:rsidRDefault="00F70CC2" w:rsidP="00716CC9">
      <w:pPr>
        <w:pStyle w:val="Heading3"/>
        <w:rPr>
          <w:b w:val="0"/>
          <w:i/>
        </w:rPr>
      </w:pPr>
      <w:r w:rsidRPr="00F84738">
        <w:rPr>
          <w:b w:val="0"/>
          <w:i/>
        </w:rPr>
        <w:t>2.3.2</w:t>
      </w:r>
      <w:r w:rsidRPr="00F84738">
        <w:rPr>
          <w:b w:val="0"/>
          <w:i/>
        </w:rPr>
        <w:tab/>
      </w:r>
      <w:r w:rsidR="002849E9">
        <w:rPr>
          <w:b w:val="0"/>
          <w:i/>
        </w:rPr>
        <w:t>Discussion/ s</w:t>
      </w:r>
      <w:r w:rsidR="002849E9" w:rsidRPr="00F84738">
        <w:rPr>
          <w:b w:val="0"/>
          <w:i/>
        </w:rPr>
        <w:t>ummary</w:t>
      </w:r>
      <w:r w:rsidR="00340743" w:rsidRPr="00F84738">
        <w:rPr>
          <w:b w:val="0"/>
          <w:i/>
        </w:rPr>
        <w:t xml:space="preserve"> of risk of CJD transmission via surgery</w:t>
      </w:r>
    </w:p>
    <w:p w14:paraId="5B1C6601" w14:textId="31A24CCE" w:rsidR="00ED4836" w:rsidRDefault="00340743" w:rsidP="00622C6B">
      <w:pPr>
        <w:jc w:val="both"/>
        <w:rPr>
          <w:rFonts w:cs="Times New Roman"/>
        </w:rPr>
      </w:pPr>
      <w:r w:rsidRPr="007A7C51">
        <w:rPr>
          <w:rFonts w:cs="Times New Roman"/>
        </w:rPr>
        <w:t xml:space="preserve">Whilst no studies have identified a </w:t>
      </w:r>
      <w:r w:rsidR="00305D00" w:rsidRPr="007A7C51">
        <w:rPr>
          <w:rFonts w:cs="Times New Roman"/>
        </w:rPr>
        <w:t xml:space="preserve">new case of </w:t>
      </w:r>
      <w:r w:rsidRPr="007A7C51">
        <w:rPr>
          <w:rFonts w:cs="Times New Roman"/>
        </w:rPr>
        <w:t xml:space="preserve">surgically-transmitted case of CJD in the search period covered, many speculative case-control </w:t>
      </w:r>
      <w:r w:rsidR="00212255" w:rsidRPr="007A7C51">
        <w:rPr>
          <w:rFonts w:cs="Times New Roman"/>
        </w:rPr>
        <w:t>reports</w:t>
      </w:r>
      <w:r w:rsidRPr="007A7C51">
        <w:rPr>
          <w:rFonts w:cs="Times New Roman"/>
        </w:rPr>
        <w:t xml:space="preserve"> of the relationship have been conducted. </w:t>
      </w:r>
      <w:r w:rsidR="00576792" w:rsidRPr="007A7C51">
        <w:rPr>
          <w:rFonts w:cs="Times New Roman"/>
        </w:rPr>
        <w:t>T</w:t>
      </w:r>
      <w:r w:rsidRPr="007A7C51">
        <w:rPr>
          <w:rFonts w:cs="Times New Roman"/>
        </w:rPr>
        <w:t>h</w:t>
      </w:r>
      <w:r w:rsidR="00212255" w:rsidRPr="007A7C51">
        <w:rPr>
          <w:rFonts w:cs="Times New Roman"/>
        </w:rPr>
        <w:t>ese</w:t>
      </w:r>
      <w:r w:rsidRPr="007A7C51">
        <w:rPr>
          <w:rFonts w:cs="Times New Roman"/>
        </w:rPr>
        <w:t xml:space="preserve"> </w:t>
      </w:r>
      <w:r w:rsidR="00212255" w:rsidRPr="007A7C51">
        <w:rPr>
          <w:rFonts w:cs="Times New Roman"/>
        </w:rPr>
        <w:t xml:space="preserve">analyses </w:t>
      </w:r>
      <w:r w:rsidRPr="007A7C51">
        <w:rPr>
          <w:rFonts w:cs="Times New Roman"/>
        </w:rPr>
        <w:t xml:space="preserve">provide indirect retrospective </w:t>
      </w:r>
      <w:r w:rsidR="00212255" w:rsidRPr="007A7C51">
        <w:rPr>
          <w:rFonts w:cs="Times New Roman"/>
        </w:rPr>
        <w:t>evidence</w:t>
      </w:r>
      <w:r w:rsidRPr="007A7C51">
        <w:rPr>
          <w:rFonts w:cs="Times New Roman"/>
        </w:rPr>
        <w:t xml:space="preserve"> implicat</w:t>
      </w:r>
      <w:r w:rsidR="00212255" w:rsidRPr="007A7C51">
        <w:rPr>
          <w:rFonts w:cs="Times New Roman"/>
        </w:rPr>
        <w:t>ing</w:t>
      </w:r>
      <w:r w:rsidRPr="007A7C51">
        <w:rPr>
          <w:rFonts w:cs="Times New Roman"/>
        </w:rPr>
        <w:t xml:space="preserve"> </w:t>
      </w:r>
      <w:r w:rsidR="00212255" w:rsidRPr="007A7C51">
        <w:rPr>
          <w:rFonts w:cs="Times New Roman"/>
        </w:rPr>
        <w:t xml:space="preserve">neurosurgery or </w:t>
      </w:r>
      <w:r w:rsidRPr="007A7C51">
        <w:rPr>
          <w:rFonts w:cs="Times New Roman"/>
        </w:rPr>
        <w:t xml:space="preserve">surgery as a risk factor for CJD, </w:t>
      </w:r>
      <w:r w:rsidR="00576792" w:rsidRPr="007A7C51">
        <w:rPr>
          <w:rFonts w:cs="Times New Roman"/>
        </w:rPr>
        <w:t xml:space="preserve">but </w:t>
      </w:r>
      <w:r w:rsidRPr="007A7C51">
        <w:rPr>
          <w:rFonts w:cs="Times New Roman"/>
        </w:rPr>
        <w:t>the</w:t>
      </w:r>
      <w:r w:rsidR="00212255" w:rsidRPr="007A7C51">
        <w:rPr>
          <w:rFonts w:cs="Times New Roman"/>
        </w:rPr>
        <w:t>ir design is</w:t>
      </w:r>
      <w:r w:rsidRPr="007A7C51">
        <w:rPr>
          <w:rFonts w:cs="Times New Roman"/>
        </w:rPr>
        <w:t xml:space="preserve"> known to be at risk of bias and confounding</w:t>
      </w:r>
      <w:r w:rsidR="001F4E8F" w:rsidRPr="007A7C51">
        <w:rPr>
          <w:rFonts w:cs="Times New Roman"/>
        </w:rPr>
        <w:t>.</w:t>
      </w:r>
      <w:r w:rsidR="00212255" w:rsidRPr="007A7C51">
        <w:rPr>
          <w:rFonts w:cs="Times New Roman"/>
        </w:rPr>
        <w:t xml:space="preserve"> However, as CJD is rare, fatal and has a potentially extended incubation period</w:t>
      </w:r>
      <w:r w:rsidR="00927592">
        <w:rPr>
          <w:rFonts w:cs="Times New Roman"/>
        </w:rPr>
        <w:t>,</w:t>
      </w:r>
      <w:r w:rsidR="00212255" w:rsidRPr="007A7C51">
        <w:rPr>
          <w:rFonts w:cs="Times New Roman"/>
        </w:rPr>
        <w:t xml:space="preserve"> there are few plausible alternative study designs to </w:t>
      </w:r>
      <w:r w:rsidR="00635170">
        <w:rPr>
          <w:rFonts w:cs="Times New Roman"/>
        </w:rPr>
        <w:t>establish</w:t>
      </w:r>
      <w:r w:rsidR="00212255" w:rsidRPr="007A7C51">
        <w:rPr>
          <w:rFonts w:cs="Times New Roman"/>
        </w:rPr>
        <w:t xml:space="preserve"> potential lifetime risk factors</w:t>
      </w:r>
      <w:r w:rsidR="00AB32AD" w:rsidRPr="007A7C51">
        <w:rPr>
          <w:rFonts w:cs="Times New Roman"/>
        </w:rPr>
        <w:t xml:space="preserve"> for CJD</w:t>
      </w:r>
      <w:r w:rsidR="00212255" w:rsidRPr="007A7C51">
        <w:rPr>
          <w:rFonts w:cs="Times New Roman"/>
        </w:rPr>
        <w:t xml:space="preserve"> in humans.</w:t>
      </w:r>
    </w:p>
    <w:p w14:paraId="427EEB41" w14:textId="77777777" w:rsidR="006E1D8B" w:rsidRPr="007A7C51" w:rsidRDefault="006E1D8B" w:rsidP="00622C6B">
      <w:pPr>
        <w:jc w:val="both"/>
        <w:rPr>
          <w:rFonts w:cs="Times New Roman"/>
        </w:rPr>
      </w:pPr>
    </w:p>
    <w:p w14:paraId="307CF6A0" w14:textId="77777777" w:rsidR="00BC0130" w:rsidRDefault="00ED4836" w:rsidP="00622C6B">
      <w:pPr>
        <w:jc w:val="both"/>
        <w:rPr>
          <w:rFonts w:cs="Times New Roman"/>
        </w:rPr>
      </w:pPr>
      <w:r w:rsidRPr="007A7C51">
        <w:rPr>
          <w:rFonts w:cs="Times New Roman"/>
        </w:rPr>
        <w:t xml:space="preserve">Indirect evidence points to other </w:t>
      </w:r>
      <w:r w:rsidR="00AB32AD" w:rsidRPr="007A7C51">
        <w:rPr>
          <w:rFonts w:cs="Times New Roman"/>
        </w:rPr>
        <w:t xml:space="preserve">factors as relevant to CJD </w:t>
      </w:r>
      <w:r w:rsidRPr="007A7C51">
        <w:rPr>
          <w:rFonts w:cs="Times New Roman"/>
        </w:rPr>
        <w:t xml:space="preserve">and surgery including </w:t>
      </w:r>
      <w:r w:rsidR="00B6370D" w:rsidRPr="007A7C51">
        <w:rPr>
          <w:rFonts w:cs="Times New Roman"/>
        </w:rPr>
        <w:t>younger age</w:t>
      </w:r>
      <w:r w:rsidRPr="007A7C51">
        <w:rPr>
          <w:rFonts w:cs="Times New Roman"/>
        </w:rPr>
        <w:t xml:space="preserve"> at first exposure, increased risk of surgery around the time of symptom onset, risk to health professionals, </w:t>
      </w:r>
      <w:r w:rsidR="00AB32AD" w:rsidRPr="007A7C51">
        <w:rPr>
          <w:rFonts w:cs="Times New Roman"/>
        </w:rPr>
        <w:t xml:space="preserve">and </w:t>
      </w:r>
      <w:r w:rsidRPr="007A7C51">
        <w:rPr>
          <w:rFonts w:cs="Times New Roman"/>
        </w:rPr>
        <w:t>risk from procedures where “</w:t>
      </w:r>
      <w:r w:rsidR="00AB32AD" w:rsidRPr="007A7C51">
        <w:rPr>
          <w:rFonts w:cs="Times New Roman"/>
        </w:rPr>
        <w:t>high-r</w:t>
      </w:r>
      <w:r w:rsidRPr="007A7C51">
        <w:rPr>
          <w:rFonts w:cs="Times New Roman"/>
        </w:rPr>
        <w:t>isk” decontamina</w:t>
      </w:r>
      <w:r w:rsidR="00AB32AD" w:rsidRPr="007A7C51">
        <w:rPr>
          <w:rFonts w:cs="Times New Roman"/>
        </w:rPr>
        <w:t xml:space="preserve">tion measures are not in place. Although less relevant to the decision problem, clinical studies have </w:t>
      </w:r>
      <w:r w:rsidR="00976812" w:rsidRPr="007A7C51">
        <w:rPr>
          <w:rFonts w:cs="Times New Roman"/>
        </w:rPr>
        <w:t xml:space="preserve">recently </w:t>
      </w:r>
      <w:r w:rsidR="00AB32AD" w:rsidRPr="007A7C51">
        <w:rPr>
          <w:rFonts w:cs="Times New Roman"/>
        </w:rPr>
        <w:t>demonstrated low levels of CJD infectivity in skin.</w:t>
      </w:r>
      <w:r w:rsidR="007502FF">
        <w:rPr>
          <w:rFonts w:cs="Times New Roman"/>
        </w:rPr>
        <w:t xml:space="preserve"> Considering vCJD, surgical procedures (other than high-risk procedures) that could potentially be regarded as posing a risk of iatrogenic transmission include appendectomy or tonsillectomy. However, no direct evidence exits to highlight a serious risk from surgical procedures involving tissues that are not high-risk. </w:t>
      </w:r>
    </w:p>
    <w:p w14:paraId="4C0FE8DE" w14:textId="77777777" w:rsidR="00BC0130" w:rsidRDefault="00BC0130" w:rsidP="00622C6B">
      <w:pPr>
        <w:jc w:val="both"/>
        <w:rPr>
          <w:rFonts w:cs="Times New Roman"/>
        </w:rPr>
      </w:pPr>
    </w:p>
    <w:p w14:paraId="7495CB01" w14:textId="303124FC" w:rsidR="00767562" w:rsidRPr="009F5584" w:rsidRDefault="00F13E56" w:rsidP="00AF1409">
      <w:pPr>
        <w:pStyle w:val="Heading2"/>
      </w:pPr>
      <w:bookmarkStart w:id="47" w:name="_Toc525106663"/>
      <w:r>
        <w:t>2.4</w:t>
      </w:r>
      <w:r w:rsidR="00767562" w:rsidRPr="009F5584">
        <w:tab/>
        <w:t>Incubation periods of acquired TSEs</w:t>
      </w:r>
      <w:bookmarkEnd w:id="47"/>
    </w:p>
    <w:p w14:paraId="743FB0FD" w14:textId="53BA5EFA" w:rsidR="00B12E32" w:rsidRPr="00B77DB4" w:rsidRDefault="00303D5A" w:rsidP="00AF1409">
      <w:pPr>
        <w:jc w:val="both"/>
      </w:pPr>
      <w:r w:rsidRPr="007A7C51">
        <w:rPr>
          <w:rFonts w:cs="Times New Roman"/>
        </w:rPr>
        <w:t>The purpose of this review was to identify published and unpublished evidence for the incubation periods of acquired TSEs, especially CJD, in human populations. Evidence on incubation periods has implications for determining the risk of transmission from surgical procedures.</w:t>
      </w:r>
      <w:r w:rsidR="00B12E32" w:rsidRPr="007A7C51">
        <w:rPr>
          <w:rFonts w:eastAsia="Calibri" w:cs="Times New Roman"/>
        </w:rPr>
        <w:t xml:space="preserve"> Eighteen full text papers were identified as relevant to incubation periods of acquired TSEs</w:t>
      </w:r>
      <w:r w:rsidR="008E3211">
        <w:rPr>
          <w:rFonts w:eastAsia="Calibri" w:cs="Times New Roman"/>
        </w:rPr>
        <w:t>,</w:t>
      </w:r>
      <w:r w:rsidR="00B12E32" w:rsidRPr="007A7C51">
        <w:rPr>
          <w:rFonts w:eastAsia="Calibri" w:cs="Times New Roman"/>
        </w:rPr>
        <w:t xml:space="preserve"> which are described in </w:t>
      </w:r>
      <w:r w:rsidR="00B12E32" w:rsidRPr="007A7C51">
        <w:rPr>
          <w:rFonts w:eastAsia="Calibri" w:cs="Times New Roman"/>
        </w:rPr>
        <w:fldChar w:fldCharType="begin"/>
      </w:r>
      <w:r w:rsidR="00B12E32" w:rsidRPr="007A7C51">
        <w:rPr>
          <w:rFonts w:eastAsia="Calibri" w:cs="Times New Roman"/>
        </w:rPr>
        <w:instrText xml:space="preserve"> REF _Ref506967297 \h </w:instrText>
      </w:r>
      <w:r w:rsidR="007A7C51">
        <w:rPr>
          <w:rFonts w:eastAsia="Calibri" w:cs="Times New Roman"/>
        </w:rPr>
        <w:instrText xml:space="preserve"> \* MERGEFORMAT </w:instrText>
      </w:r>
      <w:r w:rsidR="00B12E32" w:rsidRPr="007A7C51">
        <w:rPr>
          <w:rFonts w:eastAsia="Calibri" w:cs="Times New Roman"/>
        </w:rPr>
      </w:r>
      <w:r w:rsidR="00B12E32" w:rsidRPr="007A7C51">
        <w:rPr>
          <w:rFonts w:eastAsia="Calibri" w:cs="Times New Roman"/>
        </w:rPr>
        <w:fldChar w:fldCharType="separate"/>
      </w:r>
      <w:r w:rsidR="00690541" w:rsidRPr="007A7C51">
        <w:rPr>
          <w:noProof/>
        </w:rPr>
        <w:t>Table</w:t>
      </w:r>
      <w:r w:rsidR="00690541" w:rsidRPr="007A7C51">
        <w:t xml:space="preserve"> </w:t>
      </w:r>
      <w:r w:rsidR="00690541">
        <w:rPr>
          <w:noProof/>
        </w:rPr>
        <w:t>6</w:t>
      </w:r>
      <w:r w:rsidR="00B12E32" w:rsidRPr="007A7C51">
        <w:rPr>
          <w:rFonts w:eastAsia="Calibri" w:cs="Times New Roman"/>
        </w:rPr>
        <w:fldChar w:fldCharType="end"/>
      </w:r>
      <w:r w:rsidR="00B12E32" w:rsidRPr="007A7C51">
        <w:rPr>
          <w:rFonts w:eastAsia="Calibri" w:cs="Times New Roman"/>
        </w:rPr>
        <w:t>.</w:t>
      </w:r>
    </w:p>
    <w:p w14:paraId="6FFA6BE8" w14:textId="7BAE8940" w:rsidR="00292024" w:rsidRDefault="00292024" w:rsidP="00AF1409">
      <w:pPr>
        <w:jc w:val="both"/>
        <w:rPr>
          <w:rFonts w:eastAsia="Calibri" w:cs="Times New Roman"/>
        </w:rPr>
      </w:pPr>
    </w:p>
    <w:p w14:paraId="71D446DF" w14:textId="29033979" w:rsidR="00292024" w:rsidRPr="00F84738" w:rsidRDefault="00F70CC2" w:rsidP="00292024">
      <w:pPr>
        <w:pStyle w:val="Heading3"/>
        <w:rPr>
          <w:rFonts w:eastAsia="Calibri"/>
          <w:b w:val="0"/>
          <w:i/>
        </w:rPr>
      </w:pPr>
      <w:r w:rsidRPr="00F84738">
        <w:rPr>
          <w:rFonts w:eastAsia="Calibri"/>
          <w:b w:val="0"/>
          <w:i/>
        </w:rPr>
        <w:t xml:space="preserve">2.4.1 </w:t>
      </w:r>
      <w:r w:rsidRPr="00F84738">
        <w:rPr>
          <w:rFonts w:eastAsia="Calibri"/>
          <w:b w:val="0"/>
          <w:i/>
        </w:rPr>
        <w:tab/>
      </w:r>
      <w:r w:rsidR="00292024" w:rsidRPr="00F84738">
        <w:rPr>
          <w:rFonts w:eastAsia="Calibri"/>
          <w:b w:val="0"/>
          <w:i/>
        </w:rPr>
        <w:t>Studies of incubation periods</w:t>
      </w:r>
    </w:p>
    <w:p w14:paraId="29F30E2C" w14:textId="6F0934E5" w:rsidR="00AF1409" w:rsidRPr="00B77DB4" w:rsidRDefault="00126DFB" w:rsidP="00B77DB4">
      <w:pPr>
        <w:spacing w:after="160" w:line="259" w:lineRule="auto"/>
        <w:rPr>
          <w:b/>
          <w:iCs/>
        </w:rPr>
      </w:pPr>
      <w:r w:rsidRPr="00126DFB">
        <w:rPr>
          <w:rFonts w:eastAsia="Calibri" w:cs="Times New Roman"/>
        </w:rPr>
        <w:t>Studies relating to incubation periods of acquired TSEs are described in</w:t>
      </w:r>
      <w:r>
        <w:rPr>
          <w:rFonts w:eastAsia="Calibri" w:cs="Times New Roman"/>
        </w:rPr>
        <w:t xml:space="preserve"> </w:t>
      </w:r>
      <w:r>
        <w:rPr>
          <w:rFonts w:eastAsia="Calibri" w:cs="Times New Roman"/>
        </w:rPr>
        <w:fldChar w:fldCharType="begin"/>
      </w:r>
      <w:r>
        <w:rPr>
          <w:rFonts w:eastAsia="Calibri" w:cs="Times New Roman"/>
        </w:rPr>
        <w:instrText xml:space="preserve"> REF _Ref506967297 \h </w:instrText>
      </w:r>
      <w:r>
        <w:rPr>
          <w:rFonts w:eastAsia="Calibri" w:cs="Times New Roman"/>
        </w:rPr>
      </w:r>
      <w:r>
        <w:rPr>
          <w:rFonts w:eastAsia="Calibri" w:cs="Times New Roman"/>
        </w:rPr>
        <w:fldChar w:fldCharType="separate"/>
      </w:r>
      <w:r w:rsidR="00690541" w:rsidRPr="007A7C51">
        <w:t xml:space="preserve">Table </w:t>
      </w:r>
      <w:r w:rsidR="00690541">
        <w:rPr>
          <w:noProof/>
        </w:rPr>
        <w:t>6</w:t>
      </w:r>
      <w:r>
        <w:rPr>
          <w:rFonts w:eastAsia="Calibri" w:cs="Times New Roman"/>
        </w:rPr>
        <w:fldChar w:fldCharType="end"/>
      </w:r>
      <w:r>
        <w:rPr>
          <w:rFonts w:eastAsia="Calibri" w:cs="Times New Roman"/>
        </w:rPr>
        <w:t>.</w:t>
      </w:r>
    </w:p>
    <w:p w14:paraId="40DD3C09" w14:textId="77777777" w:rsidR="00126DFB" w:rsidRPr="00126DFB" w:rsidRDefault="00126DFB" w:rsidP="00126DFB">
      <w:pPr>
        <w:jc w:val="both"/>
        <w:rPr>
          <w:rFonts w:eastAsia="Calibri" w:cs="Times New Roman"/>
        </w:rPr>
      </w:pPr>
    </w:p>
    <w:p w14:paraId="4DFB69E6" w14:textId="77777777" w:rsidR="00BC0130" w:rsidRDefault="00BC0130">
      <w:pPr>
        <w:spacing w:after="160" w:line="259" w:lineRule="auto"/>
        <w:rPr>
          <w:b/>
          <w:iCs/>
        </w:rPr>
      </w:pPr>
      <w:bookmarkStart w:id="48" w:name="_Ref506967297"/>
      <w:r>
        <w:br w:type="page"/>
      </w:r>
    </w:p>
    <w:p w14:paraId="1F75AB8E" w14:textId="24C38A78" w:rsidR="00B12E32" w:rsidRPr="007A7C51" w:rsidRDefault="00B12E32" w:rsidP="00BC0130">
      <w:pPr>
        <w:pStyle w:val="Caption"/>
        <w:keepNext/>
        <w:spacing w:line="360" w:lineRule="auto"/>
        <w:ind w:left="1440" w:hanging="1440"/>
        <w:rPr>
          <w:szCs w:val="22"/>
        </w:rPr>
      </w:pPr>
      <w:bookmarkStart w:id="49" w:name="_Toc525106693"/>
      <w:r w:rsidRPr="007A7C51">
        <w:rPr>
          <w:szCs w:val="22"/>
        </w:rPr>
        <w:t xml:space="preserve">Table </w:t>
      </w:r>
      <w:r w:rsidR="00292107" w:rsidRPr="007A7C51">
        <w:rPr>
          <w:szCs w:val="22"/>
        </w:rPr>
        <w:fldChar w:fldCharType="begin"/>
      </w:r>
      <w:r w:rsidR="00292107" w:rsidRPr="007A7C51">
        <w:rPr>
          <w:szCs w:val="22"/>
        </w:rPr>
        <w:instrText xml:space="preserve"> SEQ Table \* ARABIC </w:instrText>
      </w:r>
      <w:r w:rsidR="00292107" w:rsidRPr="007A7C51">
        <w:rPr>
          <w:szCs w:val="22"/>
        </w:rPr>
        <w:fldChar w:fldCharType="separate"/>
      </w:r>
      <w:r w:rsidR="00690541">
        <w:rPr>
          <w:noProof/>
          <w:szCs w:val="22"/>
        </w:rPr>
        <w:t>6</w:t>
      </w:r>
      <w:r w:rsidR="00292107" w:rsidRPr="007A7C51">
        <w:rPr>
          <w:noProof/>
          <w:szCs w:val="22"/>
        </w:rPr>
        <w:fldChar w:fldCharType="end"/>
      </w:r>
      <w:bookmarkEnd w:id="48"/>
      <w:r w:rsidR="00AF1409">
        <w:rPr>
          <w:szCs w:val="22"/>
        </w:rPr>
        <w:t>:</w:t>
      </w:r>
      <w:r w:rsidR="00AF1409">
        <w:rPr>
          <w:szCs w:val="22"/>
        </w:rPr>
        <w:tab/>
      </w:r>
      <w:r w:rsidRPr="007A7C51">
        <w:rPr>
          <w:szCs w:val="22"/>
        </w:rPr>
        <w:t>Characteristics of included studies</w:t>
      </w:r>
      <w:r w:rsidR="00126DFB">
        <w:rPr>
          <w:szCs w:val="22"/>
        </w:rPr>
        <w:t xml:space="preserve"> for incubation periods</w:t>
      </w:r>
      <w:r w:rsidR="0054027F">
        <w:rPr>
          <w:szCs w:val="22"/>
        </w:rPr>
        <w:t>, ordered alphabetically</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2209"/>
        <w:gridCol w:w="1301"/>
        <w:gridCol w:w="1904"/>
        <w:gridCol w:w="1474"/>
        <w:gridCol w:w="925"/>
      </w:tblGrid>
      <w:tr w:rsidR="0037182C" w:rsidRPr="007A7C51" w14:paraId="75A01113" w14:textId="77777777" w:rsidTr="00931EC4">
        <w:tc>
          <w:tcPr>
            <w:tcW w:w="1555" w:type="dxa"/>
          </w:tcPr>
          <w:p w14:paraId="32292A10" w14:textId="77777777" w:rsidR="00303D5A" w:rsidRPr="007A7C51" w:rsidRDefault="00303D5A" w:rsidP="00AF1409">
            <w:pPr>
              <w:spacing w:line="240" w:lineRule="auto"/>
              <w:rPr>
                <w:rFonts w:eastAsia="Calibri" w:cs="Times New Roman"/>
                <w:b/>
              </w:rPr>
            </w:pPr>
            <w:r w:rsidRPr="007A7C51">
              <w:rPr>
                <w:rFonts w:eastAsia="Calibri" w:cs="Times New Roman"/>
                <w:b/>
              </w:rPr>
              <w:t>Study</w:t>
            </w:r>
          </w:p>
        </w:tc>
        <w:tc>
          <w:tcPr>
            <w:tcW w:w="2551" w:type="dxa"/>
          </w:tcPr>
          <w:p w14:paraId="703F7A3B" w14:textId="77777777" w:rsidR="00303D5A" w:rsidRPr="007A7C51" w:rsidRDefault="00303D5A" w:rsidP="00AF1409">
            <w:pPr>
              <w:spacing w:line="240" w:lineRule="auto"/>
              <w:rPr>
                <w:rFonts w:eastAsia="Calibri" w:cs="Times New Roman"/>
                <w:b/>
              </w:rPr>
            </w:pPr>
            <w:r w:rsidRPr="007A7C51">
              <w:rPr>
                <w:rFonts w:eastAsia="Calibri" w:cs="Times New Roman"/>
                <w:b/>
              </w:rPr>
              <w:t>Design</w:t>
            </w:r>
          </w:p>
        </w:tc>
        <w:tc>
          <w:tcPr>
            <w:tcW w:w="1337" w:type="dxa"/>
          </w:tcPr>
          <w:p w14:paraId="4E412224" w14:textId="77777777" w:rsidR="00303D5A" w:rsidRPr="007A7C51" w:rsidRDefault="00303D5A" w:rsidP="00AF1409">
            <w:pPr>
              <w:spacing w:line="240" w:lineRule="auto"/>
              <w:rPr>
                <w:rFonts w:eastAsia="Calibri" w:cs="Times New Roman"/>
                <w:b/>
              </w:rPr>
            </w:pPr>
            <w:r w:rsidRPr="007A7C51">
              <w:rPr>
                <w:rFonts w:eastAsia="Calibri" w:cs="Times New Roman"/>
                <w:b/>
              </w:rPr>
              <w:t>Population</w:t>
            </w:r>
          </w:p>
        </w:tc>
        <w:tc>
          <w:tcPr>
            <w:tcW w:w="2207" w:type="dxa"/>
          </w:tcPr>
          <w:p w14:paraId="33C7B0E5" w14:textId="77777777" w:rsidR="00303D5A" w:rsidRPr="007A7C51" w:rsidRDefault="00303D5A" w:rsidP="00AF1409">
            <w:pPr>
              <w:spacing w:line="240" w:lineRule="auto"/>
              <w:rPr>
                <w:rFonts w:eastAsia="Calibri" w:cs="Times New Roman"/>
                <w:b/>
              </w:rPr>
            </w:pPr>
            <w:r w:rsidRPr="007A7C51">
              <w:rPr>
                <w:rFonts w:eastAsia="Calibri" w:cs="Times New Roman"/>
                <w:b/>
              </w:rPr>
              <w:t>Source of infection</w:t>
            </w:r>
          </w:p>
        </w:tc>
        <w:tc>
          <w:tcPr>
            <w:tcW w:w="1559" w:type="dxa"/>
          </w:tcPr>
          <w:p w14:paraId="0EDA17A9" w14:textId="77777777" w:rsidR="00303D5A" w:rsidRPr="007A7C51" w:rsidRDefault="00303D5A" w:rsidP="00AF1409">
            <w:pPr>
              <w:spacing w:line="240" w:lineRule="auto"/>
              <w:rPr>
                <w:rFonts w:eastAsia="Calibri" w:cs="Times New Roman"/>
                <w:b/>
              </w:rPr>
            </w:pPr>
            <w:r w:rsidRPr="007A7C51">
              <w:rPr>
                <w:rFonts w:eastAsia="Calibri" w:cs="Times New Roman"/>
                <w:b/>
              </w:rPr>
              <w:t>Location</w:t>
            </w:r>
          </w:p>
        </w:tc>
        <w:tc>
          <w:tcPr>
            <w:tcW w:w="1134" w:type="dxa"/>
          </w:tcPr>
          <w:p w14:paraId="5FCA7965" w14:textId="77777777" w:rsidR="00303D5A" w:rsidRPr="007A7C51" w:rsidRDefault="00303D5A" w:rsidP="00AF1409">
            <w:pPr>
              <w:spacing w:line="240" w:lineRule="auto"/>
              <w:rPr>
                <w:rFonts w:eastAsia="Calibri" w:cs="Times New Roman"/>
                <w:b/>
              </w:rPr>
            </w:pPr>
            <w:r w:rsidRPr="007A7C51">
              <w:rPr>
                <w:rFonts w:eastAsia="Calibri" w:cs="Times New Roman"/>
                <w:b/>
              </w:rPr>
              <w:t>n=</w:t>
            </w:r>
          </w:p>
        </w:tc>
      </w:tr>
      <w:tr w:rsidR="0037182C" w:rsidRPr="007A7C51" w14:paraId="15A4A38B" w14:textId="77777777" w:rsidTr="00931EC4">
        <w:tc>
          <w:tcPr>
            <w:tcW w:w="1555" w:type="dxa"/>
          </w:tcPr>
          <w:p w14:paraId="18BBE9A2" w14:textId="5E8FEAA9" w:rsidR="00303D5A" w:rsidRPr="007A7C51" w:rsidRDefault="00303D5A" w:rsidP="0076576E">
            <w:pPr>
              <w:spacing w:line="240" w:lineRule="auto"/>
              <w:rPr>
                <w:rFonts w:eastAsia="Calibri" w:cs="Times New Roman"/>
              </w:rPr>
            </w:pPr>
            <w:r w:rsidRPr="007A7C51">
              <w:rPr>
                <w:rFonts w:eastAsia="Calibri" w:cs="Times New Roman"/>
              </w:rPr>
              <w:t xml:space="preserve">Ae at al </w:t>
            </w:r>
            <w:r w:rsidR="00140508">
              <w:rPr>
                <w:rFonts w:eastAsia="Calibri" w:cs="Times New Roman"/>
              </w:rPr>
              <w:t>(</w:t>
            </w:r>
            <w:r w:rsidRPr="007A7C51">
              <w:rPr>
                <w:rFonts w:eastAsia="Calibri" w:cs="Times New Roman"/>
              </w:rPr>
              <w:t>2016</w:t>
            </w:r>
            <w:r w:rsidR="00140508">
              <w:rPr>
                <w:rFonts w:eastAsia="Calibri" w:cs="Times New Roman"/>
              </w:rPr>
              <w:t>)</w:t>
            </w:r>
            <w:r w:rsidR="0037182C" w:rsidRPr="007A7C51">
              <w:rPr>
                <w:rFonts w:eastAsia="Calibri" w:cs="Times New Roman"/>
              </w:rPr>
              <w:fldChar w:fldCharType="begin">
                <w:fldData xml:space="preserve">PEVuZE5vdGU+PENpdGU+PEF1dGhvcj5BZTwvQXV0aG9yPjxZZWFyPjIwMTY8L1llYXI+PFJlY051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PEVuZE5vdGU+PENpdGU+PEF1dGhvcj5BZTwvQXV0aG9yPjxZZWFyPjIwMTY8L1llYXI+PFJlY051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76576E" w:rsidRPr="0076576E">
              <w:rPr>
                <w:rFonts w:eastAsia="Calibri" w:cs="Times New Roman"/>
                <w:noProof/>
                <w:vertAlign w:val="superscript"/>
              </w:rPr>
              <w:t>31</w:t>
            </w:r>
            <w:r w:rsidR="0037182C" w:rsidRPr="007A7C51">
              <w:rPr>
                <w:rFonts w:eastAsia="Calibri" w:cs="Times New Roman"/>
              </w:rPr>
              <w:fldChar w:fldCharType="end"/>
            </w:r>
          </w:p>
        </w:tc>
        <w:tc>
          <w:tcPr>
            <w:tcW w:w="2551" w:type="dxa"/>
          </w:tcPr>
          <w:p w14:paraId="7BFEBCB2" w14:textId="77777777" w:rsidR="00303D5A" w:rsidRPr="007A7C51" w:rsidRDefault="00303D5A" w:rsidP="00AF1409">
            <w:pPr>
              <w:spacing w:line="240" w:lineRule="auto"/>
              <w:rPr>
                <w:rFonts w:eastAsia="Calibri" w:cs="Times New Roman"/>
              </w:rPr>
            </w:pPr>
            <w:r w:rsidRPr="007A7C51">
              <w:rPr>
                <w:rFonts w:eastAsia="Calibri" w:cs="Times New Roman"/>
              </w:rPr>
              <w:t>Epidemiological surveillance</w:t>
            </w:r>
          </w:p>
        </w:tc>
        <w:tc>
          <w:tcPr>
            <w:tcW w:w="1337" w:type="dxa"/>
          </w:tcPr>
          <w:p w14:paraId="7699F87D" w14:textId="77777777" w:rsidR="00303D5A" w:rsidRPr="007A7C51" w:rsidRDefault="00303D5A" w:rsidP="00AF1409">
            <w:pPr>
              <w:spacing w:line="240" w:lineRule="auto"/>
              <w:rPr>
                <w:rFonts w:eastAsia="Calibri" w:cs="Times New Roman"/>
              </w:rPr>
            </w:pPr>
            <w:r w:rsidRPr="007A7C51">
              <w:rPr>
                <w:rFonts w:eastAsia="Calibri" w:cs="Times New Roman"/>
              </w:rPr>
              <w:t>iCJD</w:t>
            </w:r>
          </w:p>
        </w:tc>
        <w:tc>
          <w:tcPr>
            <w:tcW w:w="2207" w:type="dxa"/>
          </w:tcPr>
          <w:p w14:paraId="0BDECF1F" w14:textId="77777777" w:rsidR="00303D5A" w:rsidRPr="007A7C51" w:rsidRDefault="00303D5A" w:rsidP="00AF1409">
            <w:pPr>
              <w:spacing w:line="240" w:lineRule="auto"/>
              <w:rPr>
                <w:rFonts w:eastAsia="Calibri" w:cs="Times New Roman"/>
              </w:rPr>
            </w:pPr>
            <w:r w:rsidRPr="007A7C51">
              <w:rPr>
                <w:rFonts w:eastAsia="Calibri" w:cs="Times New Roman"/>
              </w:rPr>
              <w:t>Dura mater graft</w:t>
            </w:r>
          </w:p>
        </w:tc>
        <w:tc>
          <w:tcPr>
            <w:tcW w:w="1559" w:type="dxa"/>
          </w:tcPr>
          <w:p w14:paraId="7DBC878A" w14:textId="77777777" w:rsidR="00303D5A" w:rsidRPr="007A7C51" w:rsidRDefault="00303D5A" w:rsidP="00AF1409">
            <w:pPr>
              <w:spacing w:line="240" w:lineRule="auto"/>
              <w:rPr>
                <w:rFonts w:eastAsia="Calibri" w:cs="Times New Roman"/>
              </w:rPr>
            </w:pPr>
            <w:r w:rsidRPr="007A7C51">
              <w:rPr>
                <w:rFonts w:eastAsia="Calibri" w:cs="Times New Roman"/>
              </w:rPr>
              <w:t>Japan</w:t>
            </w:r>
          </w:p>
        </w:tc>
        <w:tc>
          <w:tcPr>
            <w:tcW w:w="1134" w:type="dxa"/>
          </w:tcPr>
          <w:p w14:paraId="44A8AA93" w14:textId="77777777" w:rsidR="00303D5A" w:rsidRPr="007A7C51" w:rsidRDefault="00303D5A" w:rsidP="00AF1409">
            <w:pPr>
              <w:spacing w:line="240" w:lineRule="auto"/>
              <w:rPr>
                <w:rFonts w:eastAsia="Calibri" w:cs="Times New Roman"/>
              </w:rPr>
            </w:pPr>
            <w:r w:rsidRPr="007A7C51">
              <w:rPr>
                <w:rFonts w:eastAsia="Calibri" w:cs="Times New Roman"/>
              </w:rPr>
              <w:t>149</w:t>
            </w:r>
          </w:p>
        </w:tc>
      </w:tr>
      <w:tr w:rsidR="0037182C" w:rsidRPr="007A7C51" w14:paraId="281626ED" w14:textId="77777777" w:rsidTr="00931EC4">
        <w:tc>
          <w:tcPr>
            <w:tcW w:w="1555" w:type="dxa"/>
          </w:tcPr>
          <w:p w14:paraId="6822D2AD" w14:textId="4CA403C7" w:rsidR="00303D5A" w:rsidRPr="007A7C51" w:rsidRDefault="00303D5A" w:rsidP="00D63CDB">
            <w:pPr>
              <w:spacing w:line="240" w:lineRule="auto"/>
              <w:rPr>
                <w:rFonts w:eastAsia="Calibri" w:cs="Times New Roman"/>
              </w:rPr>
            </w:pPr>
            <w:r w:rsidRPr="007A7C51">
              <w:rPr>
                <w:rFonts w:eastAsia="Calibri" w:cs="Times New Roman"/>
              </w:rPr>
              <w:t xml:space="preserve">Brown </w:t>
            </w:r>
            <w:r w:rsidR="00140508">
              <w:rPr>
                <w:rFonts w:eastAsia="Calibri" w:cs="Times New Roman"/>
              </w:rPr>
              <w:t>(</w:t>
            </w:r>
            <w:r w:rsidRPr="007A7C51">
              <w:rPr>
                <w:rFonts w:eastAsia="Calibri" w:cs="Times New Roman"/>
              </w:rPr>
              <w:t>2012</w:t>
            </w:r>
            <w:r w:rsidR="00140508">
              <w:rPr>
                <w:rFonts w:eastAsia="Calibri" w:cs="Times New Roman"/>
              </w:rPr>
              <w:t>)</w:t>
            </w:r>
            <w:r w:rsidR="0037182C" w:rsidRPr="007A7C5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1D65B2" w:rsidRPr="001D65B2">
              <w:rPr>
                <w:rFonts w:eastAsia="Calibri" w:cs="Times New Roman"/>
                <w:noProof/>
                <w:vertAlign w:val="superscript"/>
              </w:rPr>
              <w:t>3</w:t>
            </w:r>
            <w:r w:rsidR="0037182C" w:rsidRPr="007A7C51">
              <w:rPr>
                <w:rFonts w:eastAsia="Calibri" w:cs="Times New Roman"/>
              </w:rPr>
              <w:fldChar w:fldCharType="end"/>
            </w:r>
          </w:p>
        </w:tc>
        <w:tc>
          <w:tcPr>
            <w:tcW w:w="2551" w:type="dxa"/>
          </w:tcPr>
          <w:p w14:paraId="1AF9261E" w14:textId="77777777" w:rsidR="00303D5A" w:rsidRPr="007A7C51" w:rsidRDefault="00303D5A" w:rsidP="00AF1409">
            <w:pPr>
              <w:spacing w:line="240" w:lineRule="auto"/>
              <w:rPr>
                <w:rFonts w:eastAsia="Calibri" w:cs="Times New Roman"/>
              </w:rPr>
            </w:pPr>
            <w:r w:rsidRPr="007A7C51">
              <w:rPr>
                <w:rFonts w:eastAsia="Calibri" w:cs="Times New Roman"/>
              </w:rPr>
              <w:t>Epidemiological surveillance</w:t>
            </w:r>
          </w:p>
        </w:tc>
        <w:tc>
          <w:tcPr>
            <w:tcW w:w="1337" w:type="dxa"/>
          </w:tcPr>
          <w:p w14:paraId="63381C9F" w14:textId="77777777" w:rsidR="00303D5A" w:rsidRPr="007A7C51" w:rsidRDefault="00303D5A" w:rsidP="00AF1409">
            <w:pPr>
              <w:spacing w:line="240" w:lineRule="auto"/>
              <w:rPr>
                <w:rFonts w:eastAsia="Calibri" w:cs="Times New Roman"/>
              </w:rPr>
            </w:pPr>
            <w:r w:rsidRPr="007A7C51">
              <w:rPr>
                <w:rFonts w:eastAsia="Calibri" w:cs="Times New Roman"/>
              </w:rPr>
              <w:t>iCJD</w:t>
            </w:r>
          </w:p>
        </w:tc>
        <w:tc>
          <w:tcPr>
            <w:tcW w:w="2207" w:type="dxa"/>
          </w:tcPr>
          <w:p w14:paraId="7AAEE3CA" w14:textId="77777777" w:rsidR="00303D5A" w:rsidRPr="007A7C51" w:rsidRDefault="00303D5A" w:rsidP="00AF1409">
            <w:pPr>
              <w:spacing w:line="240" w:lineRule="auto"/>
              <w:rPr>
                <w:rFonts w:eastAsia="Calibri" w:cs="Times New Roman"/>
              </w:rPr>
            </w:pPr>
            <w:r w:rsidRPr="007A7C51">
              <w:rPr>
                <w:rFonts w:eastAsia="Calibri" w:cs="Times New Roman"/>
              </w:rPr>
              <w:t>All</w:t>
            </w:r>
          </w:p>
        </w:tc>
        <w:tc>
          <w:tcPr>
            <w:tcW w:w="1559" w:type="dxa"/>
          </w:tcPr>
          <w:p w14:paraId="2265A908" w14:textId="77777777" w:rsidR="00303D5A" w:rsidRPr="007A7C51" w:rsidRDefault="00303D5A" w:rsidP="00AF1409">
            <w:pPr>
              <w:spacing w:line="240" w:lineRule="auto"/>
              <w:rPr>
                <w:rFonts w:eastAsia="Calibri" w:cs="Times New Roman"/>
              </w:rPr>
            </w:pPr>
            <w:r w:rsidRPr="007A7C51">
              <w:rPr>
                <w:rFonts w:eastAsia="Calibri" w:cs="Times New Roman"/>
              </w:rPr>
              <w:t>International</w:t>
            </w:r>
          </w:p>
        </w:tc>
        <w:tc>
          <w:tcPr>
            <w:tcW w:w="1134" w:type="dxa"/>
          </w:tcPr>
          <w:p w14:paraId="31125A12" w14:textId="77777777" w:rsidR="00303D5A" w:rsidRPr="007A7C51" w:rsidRDefault="00303D5A" w:rsidP="00AF1409">
            <w:pPr>
              <w:spacing w:line="240" w:lineRule="auto"/>
              <w:rPr>
                <w:rFonts w:eastAsia="Calibri" w:cs="Times New Roman"/>
              </w:rPr>
            </w:pPr>
            <w:r w:rsidRPr="007A7C51">
              <w:rPr>
                <w:rFonts w:eastAsia="Calibri" w:cs="Times New Roman"/>
              </w:rPr>
              <w:t>469</w:t>
            </w:r>
          </w:p>
        </w:tc>
      </w:tr>
      <w:tr w:rsidR="0037182C" w:rsidRPr="007A7C51" w14:paraId="50E5A136" w14:textId="77777777" w:rsidTr="00931EC4">
        <w:tc>
          <w:tcPr>
            <w:tcW w:w="1555" w:type="dxa"/>
          </w:tcPr>
          <w:p w14:paraId="74E02963" w14:textId="606BAC89" w:rsidR="00303D5A" w:rsidRPr="007A7C51" w:rsidRDefault="00303D5A" w:rsidP="00D63CDB">
            <w:pPr>
              <w:spacing w:line="240" w:lineRule="auto"/>
              <w:rPr>
                <w:rFonts w:eastAsia="Calibri" w:cs="Times New Roman"/>
              </w:rPr>
            </w:pPr>
            <w:r w:rsidRPr="007A7C51">
              <w:rPr>
                <w:rFonts w:eastAsia="Calibri" w:cs="Times New Roman"/>
              </w:rPr>
              <w:t xml:space="preserve">Brown </w:t>
            </w:r>
            <w:r w:rsidR="00140508">
              <w:rPr>
                <w:rFonts w:eastAsia="Calibri" w:cs="Times New Roman"/>
              </w:rPr>
              <w:t>(</w:t>
            </w:r>
            <w:r w:rsidRPr="007A7C51">
              <w:rPr>
                <w:rFonts w:eastAsia="Calibri" w:cs="Times New Roman"/>
              </w:rPr>
              <w:t>2015</w:t>
            </w:r>
            <w:r w:rsidR="00140508">
              <w:rPr>
                <w:rFonts w:eastAsia="Calibri" w:cs="Times New Roman"/>
              </w:rPr>
              <w:t>)</w:t>
            </w:r>
            <w:r w:rsidR="0037182C" w:rsidRPr="007A7C51">
              <w:rPr>
                <w:rFonts w:eastAsia="Calibri" w:cs="Times New Roman"/>
              </w:rPr>
              <w:fldChar w:fldCharType="begin">
                <w:fldData xml:space="preserve">PEVuZE5vdGU+PENpdGU+PEF1dGhvcj5Ccm93bjwvQXV0aG9yPjxZZWFyPjIwMTU8L1llYXI+PFJl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PEVuZE5vdGU+PENpdGU+PEF1dGhvcj5Ccm93bjwvQXV0aG9yPjxZZWFyPjIwMTU8L1llYXI+PFJl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1D65B2" w:rsidRPr="001D65B2">
              <w:rPr>
                <w:rFonts w:eastAsia="Calibri" w:cs="Times New Roman"/>
                <w:noProof/>
                <w:vertAlign w:val="superscript"/>
              </w:rPr>
              <w:t>6</w:t>
            </w:r>
            <w:r w:rsidR="0037182C" w:rsidRPr="007A7C51">
              <w:rPr>
                <w:rFonts w:eastAsia="Calibri" w:cs="Times New Roman"/>
              </w:rPr>
              <w:fldChar w:fldCharType="end"/>
            </w:r>
          </w:p>
        </w:tc>
        <w:tc>
          <w:tcPr>
            <w:tcW w:w="2551" w:type="dxa"/>
          </w:tcPr>
          <w:p w14:paraId="56A0AC41" w14:textId="77777777" w:rsidR="00303D5A" w:rsidRPr="007A7C51" w:rsidRDefault="00303D5A" w:rsidP="00AF1409">
            <w:pPr>
              <w:spacing w:line="240" w:lineRule="auto"/>
              <w:rPr>
                <w:rFonts w:eastAsia="Calibri" w:cs="Times New Roman"/>
              </w:rPr>
            </w:pPr>
            <w:r w:rsidRPr="007A7C51">
              <w:rPr>
                <w:rFonts w:eastAsia="Calibri" w:cs="Times New Roman"/>
              </w:rPr>
              <w:t>Review</w:t>
            </w:r>
          </w:p>
        </w:tc>
        <w:tc>
          <w:tcPr>
            <w:tcW w:w="1337" w:type="dxa"/>
          </w:tcPr>
          <w:p w14:paraId="6CFD2C07" w14:textId="77777777" w:rsidR="00303D5A" w:rsidRPr="007A7C51" w:rsidRDefault="00303D5A" w:rsidP="00AF1409">
            <w:pPr>
              <w:spacing w:line="240" w:lineRule="auto"/>
              <w:rPr>
                <w:rFonts w:eastAsia="Calibri" w:cs="Times New Roman"/>
              </w:rPr>
            </w:pPr>
            <w:r w:rsidRPr="007A7C51">
              <w:rPr>
                <w:rFonts w:eastAsia="Calibri" w:cs="Times New Roman"/>
              </w:rPr>
              <w:t>iCJD</w:t>
            </w:r>
          </w:p>
        </w:tc>
        <w:tc>
          <w:tcPr>
            <w:tcW w:w="2207" w:type="dxa"/>
          </w:tcPr>
          <w:p w14:paraId="478EF065" w14:textId="77777777" w:rsidR="00303D5A" w:rsidRPr="007A7C51" w:rsidRDefault="00303D5A" w:rsidP="00AF1409">
            <w:pPr>
              <w:spacing w:line="240" w:lineRule="auto"/>
              <w:rPr>
                <w:rFonts w:eastAsia="Calibri" w:cs="Times New Roman"/>
              </w:rPr>
            </w:pPr>
            <w:r w:rsidRPr="007A7C51">
              <w:rPr>
                <w:rFonts w:eastAsia="Calibri" w:cs="Times New Roman"/>
              </w:rPr>
              <w:t>Neurosurgery</w:t>
            </w:r>
          </w:p>
        </w:tc>
        <w:tc>
          <w:tcPr>
            <w:tcW w:w="1559" w:type="dxa"/>
          </w:tcPr>
          <w:p w14:paraId="51A9233D" w14:textId="77777777" w:rsidR="00303D5A" w:rsidRPr="007A7C51" w:rsidRDefault="00303D5A" w:rsidP="00AF1409">
            <w:pPr>
              <w:spacing w:line="240" w:lineRule="auto"/>
              <w:rPr>
                <w:rFonts w:eastAsia="Calibri" w:cs="Times New Roman"/>
              </w:rPr>
            </w:pPr>
            <w:r w:rsidRPr="007A7C51">
              <w:rPr>
                <w:rFonts w:eastAsia="Calibri" w:cs="Times New Roman"/>
              </w:rPr>
              <w:t>International</w:t>
            </w:r>
          </w:p>
        </w:tc>
        <w:tc>
          <w:tcPr>
            <w:tcW w:w="1134" w:type="dxa"/>
          </w:tcPr>
          <w:p w14:paraId="60B9BF1D" w14:textId="77777777" w:rsidR="00303D5A" w:rsidRPr="007A7C51" w:rsidRDefault="00303D5A" w:rsidP="00AF1409">
            <w:pPr>
              <w:spacing w:line="240" w:lineRule="auto"/>
              <w:rPr>
                <w:rFonts w:eastAsia="Calibri" w:cs="Times New Roman"/>
              </w:rPr>
            </w:pPr>
            <w:r w:rsidRPr="007A7C51">
              <w:rPr>
                <w:rFonts w:eastAsia="Calibri" w:cs="Times New Roman"/>
              </w:rPr>
              <w:t>6</w:t>
            </w:r>
          </w:p>
        </w:tc>
      </w:tr>
      <w:tr w:rsidR="0037182C" w:rsidRPr="007A7C51" w14:paraId="27D411F8" w14:textId="77777777" w:rsidTr="00931EC4">
        <w:tc>
          <w:tcPr>
            <w:tcW w:w="1555" w:type="dxa"/>
          </w:tcPr>
          <w:p w14:paraId="1466811E" w14:textId="6F4103EC" w:rsidR="00303D5A" w:rsidRPr="007A7C51" w:rsidRDefault="00303D5A" w:rsidP="0076576E">
            <w:pPr>
              <w:spacing w:line="240" w:lineRule="auto"/>
              <w:rPr>
                <w:rFonts w:eastAsia="Calibri" w:cs="Times New Roman"/>
              </w:rPr>
            </w:pPr>
            <w:r w:rsidRPr="007A7C51">
              <w:rPr>
                <w:rFonts w:eastAsia="Calibri" w:cs="Times New Roman"/>
              </w:rPr>
              <w:t xml:space="preserve">Chohan </w:t>
            </w:r>
            <w:r w:rsidR="00B301D6" w:rsidRPr="00B301D6">
              <w:rPr>
                <w:rFonts w:eastAsia="Calibri" w:cs="Times New Roman"/>
                <w:i/>
              </w:rPr>
              <w:t>et al</w:t>
            </w:r>
            <w:r w:rsidRPr="007A7C51">
              <w:rPr>
                <w:rFonts w:eastAsia="Calibri" w:cs="Times New Roman"/>
              </w:rPr>
              <w:t xml:space="preserve"> </w:t>
            </w:r>
            <w:r w:rsidR="00140508">
              <w:rPr>
                <w:rFonts w:eastAsia="Calibri" w:cs="Times New Roman"/>
              </w:rPr>
              <w:t>(</w:t>
            </w:r>
            <w:r w:rsidRPr="007A7C51">
              <w:rPr>
                <w:rFonts w:eastAsia="Calibri" w:cs="Times New Roman"/>
              </w:rPr>
              <w:t>2010</w:t>
            </w:r>
            <w:r w:rsidR="00140508">
              <w:rPr>
                <w:rFonts w:eastAsia="Calibri" w:cs="Times New Roman"/>
              </w:rPr>
              <w:t>)</w:t>
            </w:r>
            <w:r w:rsidR="0037182C" w:rsidRPr="007A7C51">
              <w:rPr>
                <w:rFonts w:eastAsia="Calibri" w:cs="Times New Roman"/>
              </w:rPr>
              <w:fldChar w:fldCharType="begin">
                <w:fldData xml:space="preserve">PEVuZE5vdGU+PENpdGU+PEF1dGhvcj5DaG9oYW48L0F1dGhvcj48WWVhcj4yMDEwPC9ZZWFyPjxS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PEVuZE5vdGU+PENpdGU+PEF1dGhvcj5DaG9oYW48L0F1dGhvcj48WWVhcj4yMDEwPC9ZZWFyPjxS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76576E" w:rsidRPr="0076576E">
              <w:rPr>
                <w:rFonts w:eastAsia="Calibri" w:cs="Times New Roman"/>
                <w:noProof/>
                <w:vertAlign w:val="superscript"/>
              </w:rPr>
              <w:t>78</w:t>
            </w:r>
            <w:r w:rsidR="0037182C" w:rsidRPr="007A7C51">
              <w:rPr>
                <w:rFonts w:eastAsia="Calibri" w:cs="Times New Roman"/>
              </w:rPr>
              <w:fldChar w:fldCharType="end"/>
            </w:r>
          </w:p>
        </w:tc>
        <w:tc>
          <w:tcPr>
            <w:tcW w:w="2551" w:type="dxa"/>
          </w:tcPr>
          <w:p w14:paraId="3B740FF9" w14:textId="77777777" w:rsidR="00303D5A" w:rsidRPr="007A7C51" w:rsidRDefault="00303D5A" w:rsidP="00AF1409">
            <w:pPr>
              <w:spacing w:line="240" w:lineRule="auto"/>
              <w:rPr>
                <w:rFonts w:eastAsia="Calibri" w:cs="Times New Roman"/>
              </w:rPr>
            </w:pPr>
            <w:r w:rsidRPr="007A7C51">
              <w:rPr>
                <w:rFonts w:eastAsia="Calibri" w:cs="Times New Roman"/>
              </w:rPr>
              <w:t>Case study</w:t>
            </w:r>
          </w:p>
        </w:tc>
        <w:tc>
          <w:tcPr>
            <w:tcW w:w="1337" w:type="dxa"/>
          </w:tcPr>
          <w:p w14:paraId="6E95A682" w14:textId="77777777" w:rsidR="00303D5A" w:rsidRPr="007A7C51" w:rsidRDefault="00303D5A" w:rsidP="00AF1409">
            <w:pPr>
              <w:spacing w:line="240" w:lineRule="auto"/>
              <w:rPr>
                <w:rFonts w:eastAsia="Calibri" w:cs="Times New Roman"/>
              </w:rPr>
            </w:pPr>
            <w:r w:rsidRPr="007A7C51">
              <w:rPr>
                <w:rFonts w:eastAsia="Calibri" w:cs="Times New Roman"/>
              </w:rPr>
              <w:t>iCJD</w:t>
            </w:r>
          </w:p>
        </w:tc>
        <w:tc>
          <w:tcPr>
            <w:tcW w:w="2207" w:type="dxa"/>
          </w:tcPr>
          <w:p w14:paraId="7E21CE5F" w14:textId="77777777" w:rsidR="00303D5A" w:rsidRPr="007A7C51" w:rsidRDefault="00303D5A" w:rsidP="00AF1409">
            <w:pPr>
              <w:spacing w:line="240" w:lineRule="auto"/>
              <w:rPr>
                <w:rFonts w:eastAsia="Calibri" w:cs="Times New Roman"/>
              </w:rPr>
            </w:pPr>
            <w:r w:rsidRPr="007A7C51">
              <w:rPr>
                <w:rFonts w:eastAsia="Calibri" w:cs="Times New Roman"/>
              </w:rPr>
              <w:t>Blood products</w:t>
            </w:r>
          </w:p>
        </w:tc>
        <w:tc>
          <w:tcPr>
            <w:tcW w:w="1559" w:type="dxa"/>
          </w:tcPr>
          <w:p w14:paraId="71F70A2B" w14:textId="77777777" w:rsidR="00303D5A" w:rsidRPr="007A7C51" w:rsidRDefault="00303D5A" w:rsidP="00AF1409">
            <w:pPr>
              <w:spacing w:line="240" w:lineRule="auto"/>
              <w:rPr>
                <w:rFonts w:eastAsia="Calibri" w:cs="Times New Roman"/>
              </w:rPr>
            </w:pPr>
            <w:r w:rsidRPr="007A7C51">
              <w:rPr>
                <w:rFonts w:eastAsia="Calibri" w:cs="Times New Roman"/>
              </w:rPr>
              <w:t>UK</w:t>
            </w:r>
          </w:p>
        </w:tc>
        <w:tc>
          <w:tcPr>
            <w:tcW w:w="1134" w:type="dxa"/>
          </w:tcPr>
          <w:p w14:paraId="2D4E16F9" w14:textId="77777777" w:rsidR="00303D5A" w:rsidRPr="007A7C51" w:rsidRDefault="00303D5A" w:rsidP="00AF1409">
            <w:pPr>
              <w:spacing w:line="240" w:lineRule="auto"/>
              <w:rPr>
                <w:rFonts w:eastAsia="Calibri" w:cs="Times New Roman"/>
              </w:rPr>
            </w:pPr>
            <w:r w:rsidRPr="007A7C51">
              <w:rPr>
                <w:rFonts w:eastAsia="Calibri" w:cs="Times New Roman"/>
              </w:rPr>
              <w:t>1</w:t>
            </w:r>
          </w:p>
        </w:tc>
      </w:tr>
      <w:tr w:rsidR="0037182C" w:rsidRPr="007A7C51" w14:paraId="0F20450A" w14:textId="77777777" w:rsidTr="00931EC4">
        <w:tc>
          <w:tcPr>
            <w:tcW w:w="1555" w:type="dxa"/>
          </w:tcPr>
          <w:p w14:paraId="0DC223D3" w14:textId="52C8117D" w:rsidR="00303D5A" w:rsidRPr="007A7C51" w:rsidRDefault="00303D5A" w:rsidP="0076576E">
            <w:pPr>
              <w:spacing w:line="240" w:lineRule="auto"/>
              <w:rPr>
                <w:rFonts w:eastAsia="Calibri" w:cs="Times New Roman"/>
              </w:rPr>
            </w:pPr>
            <w:r w:rsidRPr="007A7C51">
              <w:rPr>
                <w:rFonts w:eastAsia="Calibri" w:cs="Times New Roman"/>
              </w:rPr>
              <w:t xml:space="preserve">Collinge </w:t>
            </w:r>
            <w:r w:rsidR="00B301D6" w:rsidRPr="00B301D6">
              <w:rPr>
                <w:rFonts w:eastAsia="Calibri" w:cs="Times New Roman"/>
                <w:i/>
              </w:rPr>
              <w:t>et al</w:t>
            </w:r>
            <w:r w:rsidRPr="007A7C51">
              <w:rPr>
                <w:rFonts w:eastAsia="Calibri" w:cs="Times New Roman"/>
              </w:rPr>
              <w:t xml:space="preserve"> </w:t>
            </w:r>
            <w:r w:rsidR="00140508">
              <w:rPr>
                <w:rFonts w:eastAsia="Calibri" w:cs="Times New Roman"/>
              </w:rPr>
              <w:t>(</w:t>
            </w:r>
            <w:r w:rsidRPr="007A7C51">
              <w:rPr>
                <w:rFonts w:eastAsia="Calibri" w:cs="Times New Roman"/>
              </w:rPr>
              <w:t>2008a</w:t>
            </w:r>
            <w:r w:rsidR="00140508">
              <w:rPr>
                <w:rFonts w:eastAsia="Calibri" w:cs="Times New Roman"/>
              </w:rPr>
              <w:t>)</w:t>
            </w:r>
            <w:r w:rsidR="0037182C" w:rsidRPr="007A7C51">
              <w:rPr>
                <w:rFonts w:eastAsia="Calibri" w:cs="Times New Roman"/>
              </w:rPr>
              <w:fldChar w:fldCharType="begin">
                <w:fldData xml:space="preserve">PEVuZE5vdGU+PENpdGU+PEF1dGhvcj5Db2xsaW5nZTwvQXV0aG9yPjxZZWFyPjIwMDg8L1llYXI+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PEVuZE5vdGU+PENpdGU+PEF1dGhvcj5Db2xsaW5nZTwvQXV0aG9yPjxZZWFyPjIwMDg8L1llYXI+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76576E" w:rsidRPr="0076576E">
              <w:rPr>
                <w:rFonts w:eastAsia="Calibri" w:cs="Times New Roman"/>
                <w:noProof/>
                <w:vertAlign w:val="superscript"/>
              </w:rPr>
              <w:t>127</w:t>
            </w:r>
            <w:r w:rsidR="0037182C" w:rsidRPr="007A7C51">
              <w:rPr>
                <w:rFonts w:eastAsia="Calibri" w:cs="Times New Roman"/>
              </w:rPr>
              <w:fldChar w:fldCharType="end"/>
            </w:r>
          </w:p>
        </w:tc>
        <w:tc>
          <w:tcPr>
            <w:tcW w:w="2551" w:type="dxa"/>
          </w:tcPr>
          <w:p w14:paraId="6BE50920" w14:textId="77777777" w:rsidR="00303D5A" w:rsidRPr="007A7C51" w:rsidRDefault="00303D5A" w:rsidP="00AF1409">
            <w:pPr>
              <w:spacing w:line="240" w:lineRule="auto"/>
              <w:rPr>
                <w:rFonts w:eastAsia="Calibri" w:cs="Times New Roman"/>
              </w:rPr>
            </w:pPr>
            <w:r w:rsidRPr="007A7C51">
              <w:rPr>
                <w:rFonts w:eastAsia="Calibri" w:cs="Times New Roman"/>
              </w:rPr>
              <w:t xml:space="preserve">Epidemiological surveillance, cohort </w:t>
            </w:r>
          </w:p>
        </w:tc>
        <w:tc>
          <w:tcPr>
            <w:tcW w:w="1337" w:type="dxa"/>
          </w:tcPr>
          <w:p w14:paraId="4C9C08A9" w14:textId="77777777" w:rsidR="00303D5A" w:rsidRPr="007A7C51" w:rsidRDefault="00303D5A" w:rsidP="00AF1409">
            <w:pPr>
              <w:spacing w:line="240" w:lineRule="auto"/>
              <w:rPr>
                <w:rFonts w:eastAsia="Calibri" w:cs="Times New Roman"/>
              </w:rPr>
            </w:pPr>
            <w:r w:rsidRPr="007A7C51">
              <w:rPr>
                <w:rFonts w:eastAsia="Calibri" w:cs="Times New Roman"/>
              </w:rPr>
              <w:t>Kuru</w:t>
            </w:r>
          </w:p>
        </w:tc>
        <w:tc>
          <w:tcPr>
            <w:tcW w:w="2207" w:type="dxa"/>
          </w:tcPr>
          <w:p w14:paraId="190514F0" w14:textId="77777777" w:rsidR="00303D5A" w:rsidRPr="007A7C51" w:rsidRDefault="00303D5A" w:rsidP="00AF1409">
            <w:pPr>
              <w:spacing w:line="240" w:lineRule="auto"/>
              <w:rPr>
                <w:rFonts w:eastAsia="Calibri" w:cs="Times New Roman"/>
              </w:rPr>
            </w:pPr>
            <w:r w:rsidRPr="007A7C51">
              <w:rPr>
                <w:rFonts w:eastAsia="Calibri" w:cs="Times New Roman"/>
              </w:rPr>
              <w:t>Ingestion</w:t>
            </w:r>
          </w:p>
        </w:tc>
        <w:tc>
          <w:tcPr>
            <w:tcW w:w="1559" w:type="dxa"/>
          </w:tcPr>
          <w:p w14:paraId="7300F0FC" w14:textId="77777777" w:rsidR="00303D5A" w:rsidRPr="007A7C51" w:rsidRDefault="00303D5A" w:rsidP="00AF1409">
            <w:pPr>
              <w:spacing w:line="240" w:lineRule="auto"/>
              <w:rPr>
                <w:rFonts w:eastAsia="Calibri" w:cs="Times New Roman"/>
              </w:rPr>
            </w:pPr>
            <w:r w:rsidRPr="007A7C51">
              <w:rPr>
                <w:rFonts w:eastAsia="Calibri" w:cs="Times New Roman"/>
              </w:rPr>
              <w:t>Papua New Guinea</w:t>
            </w:r>
          </w:p>
        </w:tc>
        <w:tc>
          <w:tcPr>
            <w:tcW w:w="1134" w:type="dxa"/>
          </w:tcPr>
          <w:p w14:paraId="0629DD6D" w14:textId="77777777" w:rsidR="00303D5A" w:rsidRPr="007A7C51" w:rsidRDefault="00303D5A" w:rsidP="00AF1409">
            <w:pPr>
              <w:spacing w:line="240" w:lineRule="auto"/>
              <w:rPr>
                <w:rFonts w:eastAsia="Calibri" w:cs="Times New Roman"/>
              </w:rPr>
            </w:pPr>
            <w:r w:rsidRPr="007A7C51">
              <w:rPr>
                <w:rFonts w:eastAsia="Calibri" w:cs="Times New Roman"/>
              </w:rPr>
              <w:t>11</w:t>
            </w:r>
          </w:p>
        </w:tc>
      </w:tr>
      <w:tr w:rsidR="0037182C" w:rsidRPr="007A7C51" w14:paraId="20C33D59" w14:textId="77777777" w:rsidTr="00931EC4">
        <w:tc>
          <w:tcPr>
            <w:tcW w:w="1555" w:type="dxa"/>
          </w:tcPr>
          <w:p w14:paraId="64054B13" w14:textId="4CC70277" w:rsidR="00303D5A" w:rsidRPr="007A7C51" w:rsidRDefault="00303D5A" w:rsidP="0076576E">
            <w:pPr>
              <w:spacing w:line="240" w:lineRule="auto"/>
              <w:rPr>
                <w:rFonts w:eastAsia="Calibri" w:cs="Times New Roman"/>
              </w:rPr>
            </w:pPr>
            <w:r w:rsidRPr="007A7C51">
              <w:rPr>
                <w:rFonts w:eastAsia="Calibri" w:cs="Times New Roman"/>
              </w:rPr>
              <w:t xml:space="preserve">Collinge </w:t>
            </w:r>
            <w:r w:rsidR="00B301D6" w:rsidRPr="00B301D6">
              <w:rPr>
                <w:rFonts w:eastAsia="Calibri" w:cs="Times New Roman"/>
                <w:i/>
              </w:rPr>
              <w:t>et al</w:t>
            </w:r>
            <w:r w:rsidRPr="007A7C51">
              <w:rPr>
                <w:rFonts w:eastAsia="Calibri" w:cs="Times New Roman"/>
              </w:rPr>
              <w:t xml:space="preserve"> </w:t>
            </w:r>
            <w:r w:rsidR="00140508">
              <w:rPr>
                <w:rFonts w:eastAsia="Calibri" w:cs="Times New Roman"/>
              </w:rPr>
              <w:t>(</w:t>
            </w:r>
            <w:r w:rsidRPr="007A7C51">
              <w:rPr>
                <w:rFonts w:eastAsia="Calibri" w:cs="Times New Roman"/>
              </w:rPr>
              <w:t>2008b</w:t>
            </w:r>
            <w:r w:rsidR="00140508">
              <w:rPr>
                <w:rFonts w:eastAsia="Calibri" w:cs="Times New Roman"/>
              </w:rPr>
              <w:t>)</w:t>
            </w:r>
            <w:r w:rsidR="0037182C" w:rsidRPr="007A7C51">
              <w:rPr>
                <w:rFonts w:eastAsia="Calibri" w:cs="Times New Roman"/>
              </w:rPr>
              <w:fldChar w:fldCharType="begin">
                <w:fldData xml:space="preserve">PEVuZE5vdGU+PENpdGU+PEF1dGhvcj5Db2xsaW5nZTwvQXV0aG9yPjxZZWFyPjIwMDg8L1llYXI+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PEVuZE5vdGU+PENpdGU+PEF1dGhvcj5Db2xsaW5nZTwvQXV0aG9yPjxZZWFyPjIwMDg8L1llYXI+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76576E" w:rsidRPr="0076576E">
              <w:rPr>
                <w:rFonts w:eastAsia="Calibri" w:cs="Times New Roman"/>
                <w:noProof/>
                <w:vertAlign w:val="superscript"/>
              </w:rPr>
              <w:t>128</w:t>
            </w:r>
            <w:r w:rsidR="0037182C" w:rsidRPr="007A7C51">
              <w:rPr>
                <w:rFonts w:eastAsia="Calibri" w:cs="Times New Roman"/>
              </w:rPr>
              <w:fldChar w:fldCharType="end"/>
            </w:r>
          </w:p>
        </w:tc>
        <w:tc>
          <w:tcPr>
            <w:tcW w:w="2551" w:type="dxa"/>
          </w:tcPr>
          <w:p w14:paraId="3A1E0BD1" w14:textId="77777777" w:rsidR="00303D5A" w:rsidRPr="007A7C51" w:rsidRDefault="00303D5A" w:rsidP="00AF1409">
            <w:pPr>
              <w:spacing w:line="240" w:lineRule="auto"/>
              <w:rPr>
                <w:rFonts w:eastAsia="Calibri" w:cs="Times New Roman"/>
              </w:rPr>
            </w:pPr>
            <w:r w:rsidRPr="007A7C51">
              <w:rPr>
                <w:rFonts w:eastAsia="Calibri" w:cs="Times New Roman"/>
              </w:rPr>
              <w:t>Review</w:t>
            </w:r>
          </w:p>
        </w:tc>
        <w:tc>
          <w:tcPr>
            <w:tcW w:w="1337" w:type="dxa"/>
          </w:tcPr>
          <w:p w14:paraId="2DB82AB1" w14:textId="77777777" w:rsidR="00303D5A" w:rsidRPr="007A7C51" w:rsidRDefault="00303D5A" w:rsidP="00AF1409">
            <w:pPr>
              <w:spacing w:line="240" w:lineRule="auto"/>
              <w:rPr>
                <w:rFonts w:eastAsia="Calibri" w:cs="Times New Roman"/>
              </w:rPr>
            </w:pPr>
            <w:r w:rsidRPr="007A7C51">
              <w:rPr>
                <w:rFonts w:eastAsia="Calibri" w:cs="Times New Roman"/>
              </w:rPr>
              <w:t>Kuru</w:t>
            </w:r>
          </w:p>
        </w:tc>
        <w:tc>
          <w:tcPr>
            <w:tcW w:w="2207" w:type="dxa"/>
          </w:tcPr>
          <w:p w14:paraId="0D4A9302" w14:textId="77777777" w:rsidR="00303D5A" w:rsidRPr="007A7C51" w:rsidRDefault="00303D5A" w:rsidP="00AF1409">
            <w:pPr>
              <w:spacing w:line="240" w:lineRule="auto"/>
              <w:rPr>
                <w:rFonts w:eastAsia="Calibri" w:cs="Times New Roman"/>
              </w:rPr>
            </w:pPr>
            <w:r w:rsidRPr="007A7C51">
              <w:rPr>
                <w:rFonts w:eastAsia="Calibri" w:cs="Times New Roman"/>
              </w:rPr>
              <w:t>Ingestion</w:t>
            </w:r>
          </w:p>
        </w:tc>
        <w:tc>
          <w:tcPr>
            <w:tcW w:w="1559" w:type="dxa"/>
          </w:tcPr>
          <w:p w14:paraId="00F66AE1" w14:textId="77777777" w:rsidR="00303D5A" w:rsidRPr="007A7C51" w:rsidRDefault="00303D5A" w:rsidP="00AF1409">
            <w:pPr>
              <w:spacing w:line="240" w:lineRule="auto"/>
              <w:rPr>
                <w:rFonts w:eastAsia="Calibri" w:cs="Times New Roman"/>
              </w:rPr>
            </w:pPr>
            <w:r w:rsidRPr="007A7C51">
              <w:rPr>
                <w:rFonts w:eastAsia="Calibri" w:cs="Times New Roman"/>
              </w:rPr>
              <w:t>Papua New Guinea</w:t>
            </w:r>
          </w:p>
        </w:tc>
        <w:tc>
          <w:tcPr>
            <w:tcW w:w="1134" w:type="dxa"/>
          </w:tcPr>
          <w:p w14:paraId="086EE13B" w14:textId="77777777" w:rsidR="00303D5A" w:rsidRPr="007A7C51" w:rsidRDefault="00303D5A" w:rsidP="00AF1409">
            <w:pPr>
              <w:spacing w:line="240" w:lineRule="auto"/>
              <w:rPr>
                <w:rFonts w:eastAsia="Calibri" w:cs="Times New Roman"/>
              </w:rPr>
            </w:pPr>
            <w:r w:rsidRPr="007A7C51">
              <w:rPr>
                <w:rFonts w:eastAsia="Calibri" w:cs="Times New Roman"/>
              </w:rPr>
              <w:t>NA</w:t>
            </w:r>
          </w:p>
        </w:tc>
      </w:tr>
      <w:tr w:rsidR="0037182C" w:rsidRPr="007A7C51" w14:paraId="0B455FE9" w14:textId="77777777" w:rsidTr="00931EC4">
        <w:tc>
          <w:tcPr>
            <w:tcW w:w="1555" w:type="dxa"/>
          </w:tcPr>
          <w:p w14:paraId="7D15450D" w14:textId="54215123" w:rsidR="00303D5A" w:rsidRPr="007A7C51" w:rsidRDefault="00303D5A" w:rsidP="0076576E">
            <w:pPr>
              <w:spacing w:line="240" w:lineRule="auto"/>
              <w:rPr>
                <w:rFonts w:eastAsia="Calibri" w:cs="Times New Roman"/>
              </w:rPr>
            </w:pPr>
            <w:r w:rsidRPr="007A7C51">
              <w:rPr>
                <w:rFonts w:eastAsia="Calibri" w:cs="Times New Roman"/>
              </w:rPr>
              <w:t xml:space="preserve">Collinge </w:t>
            </w:r>
            <w:r w:rsidR="00B301D6" w:rsidRPr="00B301D6">
              <w:rPr>
                <w:rFonts w:eastAsia="Calibri" w:cs="Times New Roman"/>
                <w:i/>
              </w:rPr>
              <w:t>et al</w:t>
            </w:r>
            <w:r w:rsidRPr="007A7C51">
              <w:rPr>
                <w:rFonts w:eastAsia="Calibri" w:cs="Times New Roman"/>
              </w:rPr>
              <w:t xml:space="preserve"> </w:t>
            </w:r>
            <w:r w:rsidR="00140508">
              <w:rPr>
                <w:rFonts w:eastAsia="Calibri" w:cs="Times New Roman"/>
              </w:rPr>
              <w:t>(</w:t>
            </w:r>
            <w:r w:rsidRPr="007A7C51">
              <w:rPr>
                <w:rFonts w:eastAsia="Calibri" w:cs="Times New Roman"/>
              </w:rPr>
              <w:t>2006a</w:t>
            </w:r>
            <w:r w:rsidR="00140508">
              <w:rPr>
                <w:rFonts w:eastAsia="Calibri" w:cs="Times New Roman"/>
              </w:rPr>
              <w:t>)</w:t>
            </w:r>
            <w:r w:rsidR="0037182C" w:rsidRPr="007A7C51">
              <w:rPr>
                <w:rFonts w:eastAsia="Calibri" w:cs="Times New Roman"/>
              </w:rPr>
              <w:fldChar w:fldCharType="begin">
                <w:fldData xml:space="preserve">PEVuZE5vdGU+PENpdGU+PEF1dGhvcj5Db2xsaW5nZTwvQXV0aG9yPjxZZWFyPjIwMDY8L1llYXI+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PEVuZE5vdGU+PENpdGU+PEF1dGhvcj5Db2xsaW5nZTwvQXV0aG9yPjxZZWFyPjIwMDY8L1llYXI+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76576E" w:rsidRPr="0076576E">
              <w:rPr>
                <w:rFonts w:eastAsia="Calibri" w:cs="Times New Roman"/>
                <w:noProof/>
                <w:vertAlign w:val="superscript"/>
              </w:rPr>
              <w:t>129</w:t>
            </w:r>
            <w:r w:rsidR="0037182C" w:rsidRPr="007A7C51">
              <w:rPr>
                <w:rFonts w:eastAsia="Calibri" w:cs="Times New Roman"/>
              </w:rPr>
              <w:fldChar w:fldCharType="end"/>
            </w:r>
          </w:p>
        </w:tc>
        <w:tc>
          <w:tcPr>
            <w:tcW w:w="2551" w:type="dxa"/>
          </w:tcPr>
          <w:p w14:paraId="3406F162" w14:textId="77777777" w:rsidR="00303D5A" w:rsidRPr="007A7C51" w:rsidRDefault="00303D5A" w:rsidP="00AF1409">
            <w:pPr>
              <w:spacing w:line="240" w:lineRule="auto"/>
              <w:rPr>
                <w:rFonts w:eastAsia="Calibri" w:cs="Times New Roman"/>
              </w:rPr>
            </w:pPr>
            <w:r w:rsidRPr="007A7C51">
              <w:rPr>
                <w:rFonts w:eastAsia="Calibri" w:cs="Times New Roman"/>
              </w:rPr>
              <w:t>Epidemiological surveillance, cohort</w:t>
            </w:r>
          </w:p>
        </w:tc>
        <w:tc>
          <w:tcPr>
            <w:tcW w:w="1337" w:type="dxa"/>
          </w:tcPr>
          <w:p w14:paraId="0966FCD2" w14:textId="77777777" w:rsidR="00303D5A" w:rsidRPr="007A7C51" w:rsidRDefault="00303D5A" w:rsidP="00AF1409">
            <w:pPr>
              <w:spacing w:line="240" w:lineRule="auto"/>
              <w:rPr>
                <w:rFonts w:eastAsia="Calibri" w:cs="Times New Roman"/>
              </w:rPr>
            </w:pPr>
            <w:r w:rsidRPr="007A7C51">
              <w:rPr>
                <w:rFonts w:eastAsia="Calibri" w:cs="Times New Roman"/>
              </w:rPr>
              <w:t>Kuru</w:t>
            </w:r>
          </w:p>
        </w:tc>
        <w:tc>
          <w:tcPr>
            <w:tcW w:w="2207" w:type="dxa"/>
          </w:tcPr>
          <w:p w14:paraId="4EFDAAF4" w14:textId="77777777" w:rsidR="00303D5A" w:rsidRPr="007A7C51" w:rsidRDefault="00303D5A" w:rsidP="00AF1409">
            <w:pPr>
              <w:spacing w:line="240" w:lineRule="auto"/>
              <w:rPr>
                <w:rFonts w:eastAsia="Calibri" w:cs="Times New Roman"/>
              </w:rPr>
            </w:pPr>
            <w:r w:rsidRPr="007A7C51">
              <w:rPr>
                <w:rFonts w:eastAsia="Calibri" w:cs="Times New Roman"/>
              </w:rPr>
              <w:t>Ingestion</w:t>
            </w:r>
          </w:p>
        </w:tc>
        <w:tc>
          <w:tcPr>
            <w:tcW w:w="1559" w:type="dxa"/>
          </w:tcPr>
          <w:p w14:paraId="749421FD" w14:textId="77777777" w:rsidR="00303D5A" w:rsidRPr="007A7C51" w:rsidRDefault="00303D5A" w:rsidP="00AF1409">
            <w:pPr>
              <w:spacing w:line="240" w:lineRule="auto"/>
              <w:rPr>
                <w:rFonts w:eastAsia="Calibri" w:cs="Times New Roman"/>
              </w:rPr>
            </w:pPr>
            <w:r w:rsidRPr="007A7C51">
              <w:rPr>
                <w:rFonts w:eastAsia="Calibri" w:cs="Times New Roman"/>
              </w:rPr>
              <w:t>Papua New Guinea</w:t>
            </w:r>
          </w:p>
        </w:tc>
        <w:tc>
          <w:tcPr>
            <w:tcW w:w="1134" w:type="dxa"/>
          </w:tcPr>
          <w:p w14:paraId="71E8CE75" w14:textId="77777777" w:rsidR="00303D5A" w:rsidRPr="007A7C51" w:rsidRDefault="00303D5A" w:rsidP="00AF1409">
            <w:pPr>
              <w:spacing w:line="240" w:lineRule="auto"/>
              <w:rPr>
                <w:rFonts w:eastAsia="Calibri" w:cs="Times New Roman"/>
              </w:rPr>
            </w:pPr>
            <w:r w:rsidRPr="007A7C51">
              <w:rPr>
                <w:rFonts w:eastAsia="Calibri" w:cs="Times New Roman"/>
              </w:rPr>
              <w:t>11</w:t>
            </w:r>
          </w:p>
        </w:tc>
      </w:tr>
      <w:tr w:rsidR="0037182C" w:rsidRPr="007A7C51" w14:paraId="313EC529" w14:textId="77777777" w:rsidTr="00931EC4">
        <w:tc>
          <w:tcPr>
            <w:tcW w:w="1555" w:type="dxa"/>
          </w:tcPr>
          <w:p w14:paraId="7F7D156E" w14:textId="4A32279B" w:rsidR="00303D5A" w:rsidRPr="007A7C51" w:rsidRDefault="00303D5A" w:rsidP="0076576E">
            <w:pPr>
              <w:spacing w:line="240" w:lineRule="auto"/>
              <w:rPr>
                <w:rFonts w:eastAsia="Calibri" w:cs="Times New Roman"/>
              </w:rPr>
            </w:pPr>
            <w:r w:rsidRPr="007A7C51">
              <w:rPr>
                <w:rFonts w:eastAsia="Calibri" w:cs="Times New Roman"/>
              </w:rPr>
              <w:t xml:space="preserve">Collinge </w:t>
            </w:r>
            <w:r w:rsidR="00B301D6" w:rsidRPr="00B301D6">
              <w:rPr>
                <w:rFonts w:eastAsia="Calibri" w:cs="Times New Roman"/>
                <w:i/>
              </w:rPr>
              <w:t>et al</w:t>
            </w:r>
            <w:r w:rsidRPr="007A7C51">
              <w:rPr>
                <w:rFonts w:eastAsia="Calibri" w:cs="Times New Roman"/>
              </w:rPr>
              <w:t xml:space="preserve"> </w:t>
            </w:r>
            <w:r w:rsidR="00140508">
              <w:rPr>
                <w:rFonts w:eastAsia="Calibri" w:cs="Times New Roman"/>
              </w:rPr>
              <w:t>(</w:t>
            </w:r>
            <w:r w:rsidRPr="007A7C51">
              <w:rPr>
                <w:rFonts w:eastAsia="Calibri" w:cs="Times New Roman"/>
              </w:rPr>
              <w:t>2006b</w:t>
            </w:r>
            <w:r w:rsidR="00140508">
              <w:rPr>
                <w:rFonts w:eastAsia="Calibri" w:cs="Times New Roman"/>
              </w:rPr>
              <w:t>)</w:t>
            </w:r>
            <w:r w:rsidR="0037182C" w:rsidRPr="007A7C51">
              <w:rPr>
                <w:rFonts w:eastAsia="Calibri" w:cs="Times New Roman"/>
              </w:rPr>
              <w:fldChar w:fldCharType="begin">
                <w:fldData xml:space="preserve">PEVuZE5vdGU+PENpdGU+PEF1dGhvcj5Db2xsaW5nZTwvQXV0aG9yPjxZZWFyPjIwMDY8L1llYXI+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PEVuZE5vdGU+PENpdGU+PEF1dGhvcj5Db2xsaW5nZTwvQXV0aG9yPjxZZWFyPjIwMDY8L1llYXI+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76576E" w:rsidRPr="0076576E">
              <w:rPr>
                <w:rFonts w:eastAsia="Calibri" w:cs="Times New Roman"/>
                <w:noProof/>
                <w:vertAlign w:val="superscript"/>
              </w:rPr>
              <w:t>130</w:t>
            </w:r>
            <w:r w:rsidR="0037182C" w:rsidRPr="007A7C51">
              <w:rPr>
                <w:rFonts w:eastAsia="Calibri" w:cs="Times New Roman"/>
              </w:rPr>
              <w:fldChar w:fldCharType="end"/>
            </w:r>
          </w:p>
        </w:tc>
        <w:tc>
          <w:tcPr>
            <w:tcW w:w="2551" w:type="dxa"/>
          </w:tcPr>
          <w:p w14:paraId="7CAC081B" w14:textId="77777777" w:rsidR="00303D5A" w:rsidRPr="007A7C51" w:rsidRDefault="00303D5A" w:rsidP="00AF1409">
            <w:pPr>
              <w:spacing w:line="240" w:lineRule="auto"/>
              <w:rPr>
                <w:rFonts w:eastAsia="Calibri" w:cs="Times New Roman"/>
              </w:rPr>
            </w:pPr>
            <w:r w:rsidRPr="007A7C51">
              <w:rPr>
                <w:rFonts w:eastAsia="Calibri" w:cs="Times New Roman"/>
              </w:rPr>
              <w:t>Letter: reply re: 2006b</w:t>
            </w:r>
          </w:p>
        </w:tc>
        <w:tc>
          <w:tcPr>
            <w:tcW w:w="1337" w:type="dxa"/>
          </w:tcPr>
          <w:p w14:paraId="6EBFEA6B" w14:textId="77777777" w:rsidR="00303D5A" w:rsidRPr="007A7C51" w:rsidRDefault="00303D5A" w:rsidP="00AF1409">
            <w:pPr>
              <w:spacing w:line="240" w:lineRule="auto"/>
              <w:rPr>
                <w:rFonts w:eastAsia="Calibri" w:cs="Times New Roman"/>
              </w:rPr>
            </w:pPr>
            <w:r w:rsidRPr="007A7C51">
              <w:rPr>
                <w:rFonts w:eastAsia="Calibri" w:cs="Times New Roman"/>
              </w:rPr>
              <w:t>Kuru</w:t>
            </w:r>
          </w:p>
        </w:tc>
        <w:tc>
          <w:tcPr>
            <w:tcW w:w="2207" w:type="dxa"/>
          </w:tcPr>
          <w:p w14:paraId="5390F964" w14:textId="77777777" w:rsidR="00303D5A" w:rsidRPr="007A7C51" w:rsidRDefault="00303D5A" w:rsidP="00AF1409">
            <w:pPr>
              <w:spacing w:line="240" w:lineRule="auto"/>
              <w:rPr>
                <w:rFonts w:eastAsia="Calibri" w:cs="Times New Roman"/>
              </w:rPr>
            </w:pPr>
            <w:r w:rsidRPr="007A7C51">
              <w:rPr>
                <w:rFonts w:eastAsia="Calibri" w:cs="Times New Roman"/>
              </w:rPr>
              <w:t>Ingestion</w:t>
            </w:r>
          </w:p>
        </w:tc>
        <w:tc>
          <w:tcPr>
            <w:tcW w:w="1559" w:type="dxa"/>
          </w:tcPr>
          <w:p w14:paraId="7BBC482B" w14:textId="77777777" w:rsidR="00303D5A" w:rsidRPr="007A7C51" w:rsidRDefault="00303D5A" w:rsidP="00AF1409">
            <w:pPr>
              <w:spacing w:line="240" w:lineRule="auto"/>
              <w:rPr>
                <w:rFonts w:eastAsia="Calibri" w:cs="Times New Roman"/>
              </w:rPr>
            </w:pPr>
            <w:r w:rsidRPr="007A7C51">
              <w:rPr>
                <w:rFonts w:eastAsia="Calibri" w:cs="Times New Roman"/>
              </w:rPr>
              <w:t>Papua New Guinea</w:t>
            </w:r>
          </w:p>
        </w:tc>
        <w:tc>
          <w:tcPr>
            <w:tcW w:w="1134" w:type="dxa"/>
          </w:tcPr>
          <w:p w14:paraId="01298778" w14:textId="77777777" w:rsidR="00303D5A" w:rsidRPr="007A7C51" w:rsidRDefault="00303D5A" w:rsidP="00AF1409">
            <w:pPr>
              <w:spacing w:line="240" w:lineRule="auto"/>
              <w:rPr>
                <w:rFonts w:eastAsia="Calibri" w:cs="Times New Roman"/>
              </w:rPr>
            </w:pPr>
            <w:r w:rsidRPr="007A7C51">
              <w:rPr>
                <w:rFonts w:eastAsia="Calibri" w:cs="Times New Roman"/>
              </w:rPr>
              <w:t>NA</w:t>
            </w:r>
          </w:p>
        </w:tc>
      </w:tr>
      <w:tr w:rsidR="0037182C" w:rsidRPr="007A7C51" w14:paraId="6A78F6AD" w14:textId="77777777" w:rsidTr="00931EC4">
        <w:tc>
          <w:tcPr>
            <w:tcW w:w="1555" w:type="dxa"/>
          </w:tcPr>
          <w:p w14:paraId="501E8312" w14:textId="52596211" w:rsidR="00303D5A" w:rsidRPr="007A7C51" w:rsidRDefault="00303D5A" w:rsidP="0076576E">
            <w:pPr>
              <w:spacing w:line="240" w:lineRule="auto"/>
              <w:rPr>
                <w:rFonts w:eastAsia="Calibri" w:cs="Times New Roman"/>
              </w:rPr>
            </w:pPr>
            <w:r w:rsidRPr="007A7C51">
              <w:rPr>
                <w:rFonts w:eastAsia="Calibri" w:cs="Times New Roman"/>
              </w:rPr>
              <w:t xml:space="preserve">Davidson </w:t>
            </w:r>
            <w:r w:rsidR="00B301D6" w:rsidRPr="00B301D6">
              <w:rPr>
                <w:rFonts w:eastAsia="Calibri" w:cs="Times New Roman"/>
                <w:i/>
              </w:rPr>
              <w:t>et al</w:t>
            </w:r>
            <w:r w:rsidR="00CC3D67" w:rsidRPr="007A7C51">
              <w:rPr>
                <w:rFonts w:eastAsia="Calibri" w:cs="Times New Roman"/>
              </w:rPr>
              <w:t xml:space="preserve"> </w:t>
            </w:r>
            <w:r w:rsidR="00140508">
              <w:rPr>
                <w:rFonts w:eastAsia="Calibri" w:cs="Times New Roman"/>
              </w:rPr>
              <w:t>(</w:t>
            </w:r>
            <w:r w:rsidRPr="007A7C51">
              <w:rPr>
                <w:rFonts w:eastAsia="Calibri" w:cs="Times New Roman"/>
              </w:rPr>
              <w:t>2014</w:t>
            </w:r>
            <w:r w:rsidR="00140508">
              <w:rPr>
                <w:rFonts w:eastAsia="Calibri" w:cs="Times New Roman"/>
              </w:rPr>
              <w:t>)</w:t>
            </w:r>
            <w:r w:rsidR="0037182C" w:rsidRPr="007A7C51">
              <w:rPr>
                <w:rFonts w:eastAsia="Calibri" w:cs="Times New Roman"/>
              </w:rPr>
              <w:fldChar w:fldCharType="begin">
                <w:fldData xml:space="preserve">PEVuZE5vdGU+PENpdGU+PEF1dGhvcj5EYXZpZHNvbjwvQXV0aG9yPjxZZWFyPjIwMTQ8L1llYXI+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PEVuZE5vdGU+PENpdGU+PEF1dGhvcj5EYXZpZHNvbjwvQXV0aG9yPjxZZWFyPjIwMTQ8L1llYXI+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76576E" w:rsidRPr="0076576E">
              <w:rPr>
                <w:rFonts w:eastAsia="Calibri" w:cs="Times New Roman"/>
                <w:noProof/>
                <w:vertAlign w:val="superscript"/>
              </w:rPr>
              <w:t>79</w:t>
            </w:r>
            <w:r w:rsidR="0037182C" w:rsidRPr="007A7C51">
              <w:rPr>
                <w:rFonts w:eastAsia="Calibri" w:cs="Times New Roman"/>
              </w:rPr>
              <w:fldChar w:fldCharType="end"/>
            </w:r>
          </w:p>
        </w:tc>
        <w:tc>
          <w:tcPr>
            <w:tcW w:w="2551" w:type="dxa"/>
          </w:tcPr>
          <w:p w14:paraId="3D973254" w14:textId="77777777" w:rsidR="00303D5A" w:rsidRPr="007A7C51" w:rsidRDefault="00303D5A" w:rsidP="00AF1409">
            <w:pPr>
              <w:spacing w:line="240" w:lineRule="auto"/>
              <w:rPr>
                <w:rFonts w:eastAsia="Calibri" w:cs="Times New Roman"/>
              </w:rPr>
            </w:pPr>
            <w:r w:rsidRPr="007A7C51">
              <w:rPr>
                <w:rFonts w:eastAsia="Calibri" w:cs="Times New Roman"/>
              </w:rPr>
              <w:t>Retrospective cohort</w:t>
            </w:r>
          </w:p>
        </w:tc>
        <w:tc>
          <w:tcPr>
            <w:tcW w:w="1337" w:type="dxa"/>
          </w:tcPr>
          <w:p w14:paraId="6C728825" w14:textId="77777777" w:rsidR="00303D5A" w:rsidRPr="007A7C51" w:rsidRDefault="00303D5A" w:rsidP="00AF1409">
            <w:pPr>
              <w:spacing w:line="240" w:lineRule="auto"/>
              <w:rPr>
                <w:rFonts w:eastAsia="Calibri" w:cs="Times New Roman"/>
              </w:rPr>
            </w:pPr>
            <w:r w:rsidRPr="007A7C51">
              <w:rPr>
                <w:rFonts w:eastAsia="Calibri" w:cs="Times New Roman"/>
              </w:rPr>
              <w:t>iCJD</w:t>
            </w:r>
          </w:p>
        </w:tc>
        <w:tc>
          <w:tcPr>
            <w:tcW w:w="2207" w:type="dxa"/>
          </w:tcPr>
          <w:p w14:paraId="00DDE629" w14:textId="77777777" w:rsidR="00303D5A" w:rsidRPr="007A7C51" w:rsidRDefault="00303D5A" w:rsidP="00AF1409">
            <w:pPr>
              <w:spacing w:line="240" w:lineRule="auto"/>
              <w:rPr>
                <w:rFonts w:eastAsia="Calibri" w:cs="Times New Roman"/>
              </w:rPr>
            </w:pPr>
            <w:r w:rsidRPr="007A7C51">
              <w:rPr>
                <w:rFonts w:eastAsia="Calibri" w:cs="Times New Roman"/>
              </w:rPr>
              <w:t>Blood products</w:t>
            </w:r>
          </w:p>
        </w:tc>
        <w:tc>
          <w:tcPr>
            <w:tcW w:w="1559" w:type="dxa"/>
          </w:tcPr>
          <w:p w14:paraId="5BD369F7" w14:textId="77777777" w:rsidR="00303D5A" w:rsidRPr="007A7C51" w:rsidRDefault="00303D5A" w:rsidP="00AF1409">
            <w:pPr>
              <w:spacing w:line="240" w:lineRule="auto"/>
              <w:rPr>
                <w:rFonts w:eastAsia="Calibri" w:cs="Times New Roman"/>
              </w:rPr>
            </w:pPr>
            <w:r w:rsidRPr="007A7C51">
              <w:rPr>
                <w:rFonts w:eastAsia="Calibri" w:cs="Times New Roman"/>
              </w:rPr>
              <w:t>UK</w:t>
            </w:r>
          </w:p>
        </w:tc>
        <w:tc>
          <w:tcPr>
            <w:tcW w:w="1134" w:type="dxa"/>
          </w:tcPr>
          <w:p w14:paraId="589515FA" w14:textId="77777777" w:rsidR="00303D5A" w:rsidRPr="007A7C51" w:rsidRDefault="00303D5A" w:rsidP="00AF1409">
            <w:pPr>
              <w:spacing w:line="240" w:lineRule="auto"/>
              <w:rPr>
                <w:rFonts w:eastAsia="Calibri" w:cs="Times New Roman"/>
              </w:rPr>
            </w:pPr>
            <w:r w:rsidRPr="007A7C51">
              <w:rPr>
                <w:rFonts w:eastAsia="Calibri" w:cs="Times New Roman"/>
              </w:rPr>
              <w:t>9</w:t>
            </w:r>
          </w:p>
        </w:tc>
      </w:tr>
      <w:tr w:rsidR="0037182C" w:rsidRPr="007A7C51" w14:paraId="7309691D" w14:textId="77777777" w:rsidTr="00931EC4">
        <w:tc>
          <w:tcPr>
            <w:tcW w:w="1555" w:type="dxa"/>
          </w:tcPr>
          <w:p w14:paraId="3D9C4967" w14:textId="288D96CD" w:rsidR="00303D5A" w:rsidRPr="007A7C51" w:rsidRDefault="00303D5A" w:rsidP="0076576E">
            <w:pPr>
              <w:spacing w:line="240" w:lineRule="auto"/>
              <w:rPr>
                <w:rFonts w:eastAsia="Calibri" w:cs="Times New Roman"/>
              </w:rPr>
            </w:pPr>
            <w:r w:rsidRPr="007A7C51">
              <w:rPr>
                <w:rFonts w:eastAsia="Calibri" w:cs="Times New Roman"/>
              </w:rPr>
              <w:t xml:space="preserve">Haïk </w:t>
            </w:r>
            <w:r w:rsidR="00B301D6" w:rsidRPr="00B301D6">
              <w:rPr>
                <w:rFonts w:eastAsia="Calibri" w:cs="Times New Roman"/>
                <w:i/>
              </w:rPr>
              <w:t>et al</w:t>
            </w:r>
            <w:r w:rsidRPr="007A7C51">
              <w:rPr>
                <w:rFonts w:eastAsia="Calibri" w:cs="Times New Roman"/>
              </w:rPr>
              <w:t xml:space="preserve"> </w:t>
            </w:r>
            <w:r w:rsidR="00140508">
              <w:rPr>
                <w:rFonts w:eastAsia="Calibri" w:cs="Times New Roman"/>
              </w:rPr>
              <w:t>(</w:t>
            </w:r>
            <w:r w:rsidRPr="007A7C51">
              <w:rPr>
                <w:rFonts w:eastAsia="Calibri" w:cs="Times New Roman"/>
              </w:rPr>
              <w:t>2014</w:t>
            </w:r>
            <w:r w:rsidR="00140508">
              <w:rPr>
                <w:rFonts w:eastAsia="Calibri" w:cs="Times New Roman"/>
              </w:rPr>
              <w:t>)</w:t>
            </w:r>
            <w:r w:rsidR="0037182C" w:rsidRPr="007A7C51">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76576E" w:rsidRPr="0076576E">
              <w:rPr>
                <w:rFonts w:eastAsia="Calibri" w:cs="Times New Roman"/>
                <w:noProof/>
                <w:vertAlign w:val="superscript"/>
              </w:rPr>
              <w:t>131</w:t>
            </w:r>
            <w:r w:rsidR="0037182C" w:rsidRPr="007A7C51">
              <w:rPr>
                <w:rFonts w:eastAsia="Calibri" w:cs="Times New Roman"/>
              </w:rPr>
              <w:fldChar w:fldCharType="end"/>
            </w:r>
          </w:p>
        </w:tc>
        <w:tc>
          <w:tcPr>
            <w:tcW w:w="2551" w:type="dxa"/>
          </w:tcPr>
          <w:p w14:paraId="2FB8C63E" w14:textId="77777777" w:rsidR="00303D5A" w:rsidRPr="007A7C51" w:rsidRDefault="00303D5A" w:rsidP="00AF1409">
            <w:pPr>
              <w:spacing w:line="240" w:lineRule="auto"/>
              <w:rPr>
                <w:rFonts w:eastAsia="Calibri" w:cs="Times New Roman"/>
              </w:rPr>
            </w:pPr>
            <w:r w:rsidRPr="007A7C51">
              <w:rPr>
                <w:rFonts w:eastAsia="Calibri" w:cs="Times New Roman"/>
              </w:rPr>
              <w:t>Review</w:t>
            </w:r>
          </w:p>
        </w:tc>
        <w:tc>
          <w:tcPr>
            <w:tcW w:w="1337" w:type="dxa"/>
          </w:tcPr>
          <w:p w14:paraId="5E99F97C" w14:textId="77777777" w:rsidR="00303D5A" w:rsidRPr="007A7C51" w:rsidRDefault="00303D5A" w:rsidP="00AF1409">
            <w:pPr>
              <w:spacing w:line="240" w:lineRule="auto"/>
              <w:rPr>
                <w:rFonts w:eastAsia="Calibri" w:cs="Times New Roman"/>
              </w:rPr>
            </w:pPr>
            <w:r w:rsidRPr="007A7C51">
              <w:rPr>
                <w:rFonts w:eastAsia="Calibri" w:cs="Times New Roman"/>
              </w:rPr>
              <w:t>CJD</w:t>
            </w:r>
          </w:p>
        </w:tc>
        <w:tc>
          <w:tcPr>
            <w:tcW w:w="2207" w:type="dxa"/>
          </w:tcPr>
          <w:p w14:paraId="5404F664" w14:textId="77777777" w:rsidR="00303D5A" w:rsidRPr="007A7C51" w:rsidRDefault="00303D5A" w:rsidP="00AF1409">
            <w:pPr>
              <w:spacing w:line="240" w:lineRule="auto"/>
              <w:rPr>
                <w:rFonts w:eastAsia="Calibri" w:cs="Times New Roman"/>
              </w:rPr>
            </w:pPr>
            <w:r w:rsidRPr="007A7C51">
              <w:rPr>
                <w:rFonts w:eastAsia="Calibri" w:cs="Times New Roman"/>
              </w:rPr>
              <w:t>All</w:t>
            </w:r>
          </w:p>
        </w:tc>
        <w:tc>
          <w:tcPr>
            <w:tcW w:w="1559" w:type="dxa"/>
          </w:tcPr>
          <w:p w14:paraId="5D6D4D31" w14:textId="77777777" w:rsidR="00303D5A" w:rsidRPr="007A7C51" w:rsidRDefault="00303D5A" w:rsidP="00AF1409">
            <w:pPr>
              <w:spacing w:line="240" w:lineRule="auto"/>
              <w:rPr>
                <w:rFonts w:eastAsia="Calibri" w:cs="Times New Roman"/>
              </w:rPr>
            </w:pPr>
            <w:r w:rsidRPr="007A7C51">
              <w:rPr>
                <w:rFonts w:eastAsia="Calibri" w:cs="Times New Roman"/>
              </w:rPr>
              <w:t>International</w:t>
            </w:r>
          </w:p>
        </w:tc>
        <w:tc>
          <w:tcPr>
            <w:tcW w:w="1134" w:type="dxa"/>
          </w:tcPr>
          <w:p w14:paraId="45373C19" w14:textId="77777777" w:rsidR="00303D5A" w:rsidRPr="007A7C51" w:rsidRDefault="00303D5A" w:rsidP="00AF1409">
            <w:pPr>
              <w:spacing w:line="240" w:lineRule="auto"/>
              <w:rPr>
                <w:rFonts w:eastAsia="Calibri" w:cs="Times New Roman"/>
              </w:rPr>
            </w:pPr>
            <w:r w:rsidRPr="007A7C51">
              <w:rPr>
                <w:rFonts w:eastAsia="Calibri" w:cs="Times New Roman"/>
              </w:rPr>
              <w:t>N/A</w:t>
            </w:r>
          </w:p>
        </w:tc>
      </w:tr>
      <w:tr w:rsidR="0037182C" w:rsidRPr="007A7C51" w14:paraId="6E14A245" w14:textId="77777777" w:rsidTr="00931EC4">
        <w:tc>
          <w:tcPr>
            <w:tcW w:w="1555" w:type="dxa"/>
          </w:tcPr>
          <w:p w14:paraId="4B127C2A" w14:textId="5C657F6B" w:rsidR="00303D5A" w:rsidRPr="007A7C51" w:rsidRDefault="00303D5A" w:rsidP="0076576E">
            <w:pPr>
              <w:spacing w:line="240" w:lineRule="auto"/>
              <w:rPr>
                <w:rFonts w:eastAsia="Calibri" w:cs="Times New Roman"/>
              </w:rPr>
            </w:pPr>
            <w:r w:rsidRPr="007A7C51">
              <w:rPr>
                <w:rFonts w:eastAsia="Calibri" w:cs="Times New Roman"/>
              </w:rPr>
              <w:t xml:space="preserve">Hamaguchi </w:t>
            </w:r>
            <w:r w:rsidR="00B301D6" w:rsidRPr="00B301D6">
              <w:rPr>
                <w:rFonts w:eastAsia="Calibri" w:cs="Times New Roman"/>
                <w:i/>
              </w:rPr>
              <w:t>et al</w:t>
            </w:r>
            <w:r w:rsidR="00CC3D67" w:rsidRPr="007A7C51">
              <w:rPr>
                <w:rFonts w:eastAsia="Calibri" w:cs="Times New Roman"/>
              </w:rPr>
              <w:t xml:space="preserve"> </w:t>
            </w:r>
            <w:r w:rsidR="00140508">
              <w:rPr>
                <w:rFonts w:eastAsia="Calibri" w:cs="Times New Roman"/>
              </w:rPr>
              <w:t>(</w:t>
            </w:r>
            <w:r w:rsidRPr="007A7C51">
              <w:rPr>
                <w:rFonts w:eastAsia="Calibri" w:cs="Times New Roman"/>
              </w:rPr>
              <w:t>2013</w:t>
            </w:r>
            <w:r w:rsidR="00140508">
              <w:rPr>
                <w:rFonts w:eastAsia="Calibri" w:cs="Times New Roman"/>
              </w:rPr>
              <w:t>)</w:t>
            </w:r>
            <w:r w:rsidR="0037182C" w:rsidRPr="007A7C51">
              <w:rPr>
                <w:rFonts w:eastAsia="Calibri" w:cs="Times New Roman"/>
              </w:rPr>
              <w:fldChar w:fldCharType="begin"/>
            </w:r>
            <w:r w:rsidR="0076576E">
              <w:rPr>
                <w:rFonts w:eastAsia="Calibri" w:cs="Times New Roman"/>
              </w:rPr>
              <w:instrText xml:space="preserve"> ADDIN EN.CITE &lt;EndNote&gt;&lt;Cite&gt;&lt;Author&gt;Hamaguchi&lt;/Author&gt;&lt;Year&gt;2013&lt;/Year&gt;&lt;RecNum&gt;8833&lt;/RecNum&gt;&lt;DisplayText&gt;&lt;style face="superscript"&gt;132&lt;/style&gt;&lt;/DisplayText&gt;&lt;record&gt;&lt;rec-number&gt;8833&lt;/rec-number&gt;&lt;foreign-keys&gt;&lt;key app="EN" db-id="vrp0pptazv05wtesfz5vrzsj2p0rv09ttsa9" timestamp="1506588923" guid="acad4f54-e0cc-4097-8044-8d3b9f58dbdd"&gt;8833&lt;/key&gt;&lt;/foreign-keys&gt;&lt;ref-type name="Journal Article"&gt;17&lt;/ref-type&gt;&lt;contributors&gt;&lt;authors&gt;&lt;author&gt;Hamaguchi, T.&lt;/author&gt;&lt;/authors&gt;&lt;/contributors&gt;&lt;titles&gt;&lt;title&gt;Clinical manifestations and epidemiology of prion diseases in Japan&lt;/title&gt;&lt;secondary-title&gt;Rinsho Shinkeigaku - Clinical Neurology&lt;/secondary-title&gt;&lt;/titles&gt;&lt;periodical&gt;&lt;full-title&gt;Rinsho Shinkeigaku - Clinical Neurology&lt;/full-title&gt;&lt;/periodical&gt;&lt;pages&gt;1246-1248&lt;/pages&gt;&lt;volume&gt;23&lt;/volume&gt;&lt;number&gt;11&lt;/number&gt;&lt;keywords&gt;&lt;keyword&gt;$$full text $$LU_exclude post abstract sift&lt;/keyword&gt;&lt;keyword&gt;$$superseded&lt;/keyword&gt;&lt;keyword&gt;$$CJD relevant&lt;/keyword&gt;&lt;keyword&gt;$$1_prevalence CJD&lt;/keyword&gt;&lt;keyword&gt;Creutzfeldt-Jakob Syndrome/ep [Epidemiology]&lt;/keyword&gt;&lt;keyword&gt;Humans&lt;/keyword&gt;&lt;keyword&gt;Japan/ep [Epidemiology]&lt;/keyword&gt;&lt;keyword&gt;*Prion Diseases/ep [Epidemiology]&lt;/keyword&gt;&lt;/keywords&gt;&lt;dates&gt;&lt;year&gt;2013&lt;/year&gt;&lt;/dates&gt;&lt;isbn&gt;1882-0654&lt;/isbn&gt;&lt;accession-num&gt;24291945&lt;/accession-num&gt;&lt;urls&gt;&lt;related-urls&gt;&lt;url&gt;http://ovidsp.ovid.com/ovidweb.cgi?T=JS&amp;amp;CSC=Y&amp;amp;NEWS=N&amp;amp;PAGE=fulltext&amp;amp;D=medl&amp;amp;AN=24291945http://resolver.shef.ac.uk/?http://find.shef.ac.uk/openurl/44SFD/44SFD_services_page?sid=OVID:medline&amp;amp;id=pmid:24291945&amp;amp;id=doi:&amp;amp;issn=0009-918X&amp;amp;isbn=&amp;amp;volume=23&amp;amp;issue=11&amp;amp;spage=1246&amp;amp;pages=1246-8&amp;amp;date=2013&amp;amp;title=Rinsho+Shinkeigaku+-+Clinical+Neurology&amp;amp;atitle=%5BClinical+manifestations+and+epidemiology+of+prion+diseases+in+Japan%5D.&amp;amp;aulast=Hamaguchi&amp;amp;pid=%3Cauthor%3EHamaguchi+T%3C%2Fauthor%3E%3CAN%3E24291945%3C%2FAN%3E%3CDT%3EEnglish+Abstract%3C%2FDT%3E&lt;/url&gt;&lt;/related-urls&gt;&lt;/urls&gt;&lt;/record&gt;&lt;/Cite&gt;&lt;/EndNote&gt;</w:instrText>
            </w:r>
            <w:r w:rsidR="0037182C" w:rsidRPr="007A7C51">
              <w:rPr>
                <w:rFonts w:eastAsia="Calibri" w:cs="Times New Roman"/>
              </w:rPr>
              <w:fldChar w:fldCharType="separate"/>
            </w:r>
            <w:r w:rsidR="0076576E" w:rsidRPr="0076576E">
              <w:rPr>
                <w:rFonts w:eastAsia="Calibri" w:cs="Times New Roman"/>
                <w:noProof/>
                <w:vertAlign w:val="superscript"/>
              </w:rPr>
              <w:t>132</w:t>
            </w:r>
            <w:r w:rsidR="0037182C" w:rsidRPr="007A7C51">
              <w:rPr>
                <w:rFonts w:eastAsia="Calibri" w:cs="Times New Roman"/>
              </w:rPr>
              <w:fldChar w:fldCharType="end"/>
            </w:r>
          </w:p>
        </w:tc>
        <w:tc>
          <w:tcPr>
            <w:tcW w:w="2551" w:type="dxa"/>
          </w:tcPr>
          <w:p w14:paraId="1F323033" w14:textId="77777777" w:rsidR="00303D5A" w:rsidRPr="007A7C51" w:rsidRDefault="00303D5A" w:rsidP="00AF1409">
            <w:pPr>
              <w:spacing w:line="240" w:lineRule="auto"/>
              <w:rPr>
                <w:rFonts w:eastAsia="Calibri" w:cs="Times New Roman"/>
              </w:rPr>
            </w:pPr>
            <w:r w:rsidRPr="007A7C51">
              <w:rPr>
                <w:rFonts w:eastAsia="Calibri" w:cs="Times New Roman"/>
              </w:rPr>
              <w:t>Epidemiological surveillance</w:t>
            </w:r>
          </w:p>
        </w:tc>
        <w:tc>
          <w:tcPr>
            <w:tcW w:w="1337" w:type="dxa"/>
          </w:tcPr>
          <w:p w14:paraId="636FDF4E" w14:textId="77777777" w:rsidR="00303D5A" w:rsidRPr="007A7C51" w:rsidRDefault="00303D5A" w:rsidP="00AF1409">
            <w:pPr>
              <w:spacing w:line="240" w:lineRule="auto"/>
              <w:rPr>
                <w:rFonts w:eastAsia="Calibri" w:cs="Times New Roman"/>
              </w:rPr>
            </w:pPr>
            <w:r w:rsidRPr="007A7C51">
              <w:rPr>
                <w:rFonts w:eastAsia="Calibri" w:cs="Times New Roman"/>
              </w:rPr>
              <w:t>iCJD</w:t>
            </w:r>
          </w:p>
        </w:tc>
        <w:tc>
          <w:tcPr>
            <w:tcW w:w="2207" w:type="dxa"/>
          </w:tcPr>
          <w:p w14:paraId="55D697D0" w14:textId="77777777" w:rsidR="00303D5A" w:rsidRPr="007A7C51" w:rsidRDefault="00303D5A" w:rsidP="00AF1409">
            <w:pPr>
              <w:spacing w:line="240" w:lineRule="auto"/>
              <w:rPr>
                <w:rFonts w:eastAsia="Calibri" w:cs="Times New Roman"/>
              </w:rPr>
            </w:pPr>
            <w:r w:rsidRPr="007A7C51">
              <w:rPr>
                <w:rFonts w:eastAsia="Calibri" w:cs="Times New Roman"/>
              </w:rPr>
              <w:t>Dura mater graft</w:t>
            </w:r>
          </w:p>
        </w:tc>
        <w:tc>
          <w:tcPr>
            <w:tcW w:w="1559" w:type="dxa"/>
          </w:tcPr>
          <w:p w14:paraId="248AF6A8" w14:textId="77777777" w:rsidR="00303D5A" w:rsidRPr="007A7C51" w:rsidRDefault="00303D5A" w:rsidP="00AF1409">
            <w:pPr>
              <w:spacing w:line="240" w:lineRule="auto"/>
              <w:rPr>
                <w:rFonts w:eastAsia="Calibri" w:cs="Times New Roman"/>
              </w:rPr>
            </w:pPr>
            <w:r w:rsidRPr="007A7C51">
              <w:rPr>
                <w:rFonts w:eastAsia="Calibri" w:cs="Times New Roman"/>
              </w:rPr>
              <w:t>Japan and international</w:t>
            </w:r>
          </w:p>
        </w:tc>
        <w:tc>
          <w:tcPr>
            <w:tcW w:w="1134" w:type="dxa"/>
          </w:tcPr>
          <w:p w14:paraId="02255AAF" w14:textId="77777777" w:rsidR="00303D5A" w:rsidRPr="007A7C51" w:rsidRDefault="00303D5A" w:rsidP="00AF1409">
            <w:pPr>
              <w:spacing w:line="240" w:lineRule="auto"/>
              <w:rPr>
                <w:rFonts w:eastAsia="Calibri" w:cs="Times New Roman"/>
              </w:rPr>
            </w:pPr>
            <w:r w:rsidRPr="007A7C51">
              <w:rPr>
                <w:rFonts w:eastAsia="Calibri" w:cs="Times New Roman"/>
              </w:rPr>
              <w:t>195</w:t>
            </w:r>
          </w:p>
        </w:tc>
      </w:tr>
      <w:tr w:rsidR="0037182C" w:rsidRPr="007A7C51" w14:paraId="4F1324EC" w14:textId="77777777" w:rsidTr="00931EC4">
        <w:tc>
          <w:tcPr>
            <w:tcW w:w="1555" w:type="dxa"/>
          </w:tcPr>
          <w:p w14:paraId="28A221D6" w14:textId="44258655" w:rsidR="00303D5A" w:rsidRPr="007A7C51" w:rsidRDefault="00303D5A" w:rsidP="0076576E">
            <w:pPr>
              <w:spacing w:line="240" w:lineRule="auto"/>
              <w:rPr>
                <w:rFonts w:eastAsia="Calibri" w:cs="Times New Roman"/>
              </w:rPr>
            </w:pPr>
            <w:r w:rsidRPr="007A7C51">
              <w:rPr>
                <w:rFonts w:eastAsia="Calibri" w:cs="Times New Roman"/>
              </w:rPr>
              <w:t xml:space="preserve">Heath </w:t>
            </w:r>
            <w:r w:rsidR="00B301D6" w:rsidRPr="00B301D6">
              <w:rPr>
                <w:rFonts w:eastAsia="Calibri" w:cs="Times New Roman"/>
                <w:i/>
              </w:rPr>
              <w:t>et al</w:t>
            </w:r>
            <w:r w:rsidRPr="007A7C51">
              <w:rPr>
                <w:rFonts w:eastAsia="Calibri" w:cs="Times New Roman"/>
              </w:rPr>
              <w:t xml:space="preserve"> </w:t>
            </w:r>
            <w:r w:rsidR="00140508">
              <w:rPr>
                <w:rFonts w:eastAsia="Calibri" w:cs="Times New Roman"/>
              </w:rPr>
              <w:t>(</w:t>
            </w:r>
            <w:r w:rsidRPr="007A7C51">
              <w:rPr>
                <w:rFonts w:eastAsia="Calibri" w:cs="Times New Roman"/>
              </w:rPr>
              <w:t>2006</w:t>
            </w:r>
            <w:r w:rsidR="00140508">
              <w:rPr>
                <w:rFonts w:eastAsia="Calibri" w:cs="Times New Roman"/>
              </w:rPr>
              <w:t>)</w:t>
            </w:r>
            <w:r w:rsidR="0037182C" w:rsidRPr="007A7C51">
              <w:rPr>
                <w:rFonts w:eastAsia="Calibri" w:cs="Times New Roman"/>
              </w:rPr>
              <w:fldChar w:fldCharType="begin">
                <w:fldData xml:space="preserve">PEVuZE5vdGU+PENpdGU+PEF1dGhvcj5IZWF0aDwvQXV0aG9yPjxZZWFyPjIwMDY8L1llYXI+PFJl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=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PEVuZE5vdGU+PENpdGU+PEF1dGhvcj5IZWF0aDwvQXV0aG9yPjxZZWFyPjIwMDY8L1llYXI+PFJl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=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76576E" w:rsidRPr="0076576E">
              <w:rPr>
                <w:rFonts w:eastAsia="Calibri" w:cs="Times New Roman"/>
                <w:noProof/>
                <w:vertAlign w:val="superscript"/>
              </w:rPr>
              <w:t>133</w:t>
            </w:r>
            <w:r w:rsidR="0037182C" w:rsidRPr="007A7C51">
              <w:rPr>
                <w:rFonts w:eastAsia="Calibri" w:cs="Times New Roman"/>
              </w:rPr>
              <w:fldChar w:fldCharType="end"/>
            </w:r>
          </w:p>
        </w:tc>
        <w:tc>
          <w:tcPr>
            <w:tcW w:w="2551" w:type="dxa"/>
          </w:tcPr>
          <w:p w14:paraId="6EF8E761" w14:textId="77777777" w:rsidR="00303D5A" w:rsidRPr="007A7C51" w:rsidRDefault="00303D5A" w:rsidP="00AF1409">
            <w:pPr>
              <w:spacing w:line="240" w:lineRule="auto"/>
              <w:rPr>
                <w:rFonts w:eastAsia="Calibri" w:cs="Times New Roman"/>
              </w:rPr>
            </w:pPr>
            <w:r w:rsidRPr="007A7C51">
              <w:rPr>
                <w:rFonts w:eastAsia="Calibri" w:cs="Times New Roman"/>
              </w:rPr>
              <w:t>Epidemiological surveillance</w:t>
            </w:r>
          </w:p>
        </w:tc>
        <w:tc>
          <w:tcPr>
            <w:tcW w:w="1337" w:type="dxa"/>
          </w:tcPr>
          <w:p w14:paraId="5DD16FDE" w14:textId="77777777" w:rsidR="00303D5A" w:rsidRPr="007A7C51" w:rsidRDefault="00303D5A" w:rsidP="00AF1409">
            <w:pPr>
              <w:spacing w:line="240" w:lineRule="auto"/>
              <w:rPr>
                <w:rFonts w:eastAsia="Calibri" w:cs="Times New Roman"/>
              </w:rPr>
            </w:pPr>
            <w:r w:rsidRPr="007A7C51">
              <w:rPr>
                <w:rFonts w:eastAsia="Calibri" w:cs="Times New Roman"/>
              </w:rPr>
              <w:t>iCJD</w:t>
            </w:r>
          </w:p>
        </w:tc>
        <w:tc>
          <w:tcPr>
            <w:tcW w:w="2207" w:type="dxa"/>
          </w:tcPr>
          <w:p w14:paraId="46BD8CC3" w14:textId="77777777" w:rsidR="00303D5A" w:rsidRPr="007A7C51" w:rsidRDefault="00303D5A" w:rsidP="00AF1409">
            <w:pPr>
              <w:spacing w:line="240" w:lineRule="auto"/>
              <w:rPr>
                <w:rFonts w:eastAsia="Calibri" w:cs="Times New Roman"/>
              </w:rPr>
            </w:pPr>
            <w:r w:rsidRPr="007A7C51">
              <w:rPr>
                <w:rFonts w:eastAsia="Calibri" w:cs="Times New Roman"/>
              </w:rPr>
              <w:t>Dura mater graft</w:t>
            </w:r>
          </w:p>
        </w:tc>
        <w:tc>
          <w:tcPr>
            <w:tcW w:w="1559" w:type="dxa"/>
          </w:tcPr>
          <w:p w14:paraId="70CDEB01" w14:textId="77777777" w:rsidR="00303D5A" w:rsidRPr="007A7C51" w:rsidRDefault="00303D5A" w:rsidP="00AF1409">
            <w:pPr>
              <w:spacing w:line="240" w:lineRule="auto"/>
              <w:rPr>
                <w:rFonts w:eastAsia="Calibri" w:cs="Times New Roman"/>
              </w:rPr>
            </w:pPr>
            <w:r w:rsidRPr="007A7C51">
              <w:rPr>
                <w:rFonts w:eastAsia="Calibri" w:cs="Times New Roman"/>
              </w:rPr>
              <w:t>UK</w:t>
            </w:r>
          </w:p>
        </w:tc>
        <w:tc>
          <w:tcPr>
            <w:tcW w:w="1134" w:type="dxa"/>
          </w:tcPr>
          <w:p w14:paraId="26BD8139" w14:textId="77777777" w:rsidR="00303D5A" w:rsidRPr="007A7C51" w:rsidRDefault="00303D5A" w:rsidP="00AF1409">
            <w:pPr>
              <w:spacing w:line="240" w:lineRule="auto"/>
              <w:rPr>
                <w:rFonts w:eastAsia="Calibri" w:cs="Times New Roman"/>
              </w:rPr>
            </w:pPr>
            <w:r w:rsidRPr="007A7C51">
              <w:rPr>
                <w:rFonts w:eastAsia="Calibri" w:cs="Times New Roman"/>
              </w:rPr>
              <w:t>8</w:t>
            </w:r>
          </w:p>
        </w:tc>
      </w:tr>
      <w:tr w:rsidR="0037182C" w:rsidRPr="007A7C51" w14:paraId="785AB943" w14:textId="77777777" w:rsidTr="00931EC4">
        <w:tc>
          <w:tcPr>
            <w:tcW w:w="1555" w:type="dxa"/>
          </w:tcPr>
          <w:p w14:paraId="2C7C5AEF" w14:textId="1EA4D0AA" w:rsidR="00303D5A" w:rsidRPr="007A7C51" w:rsidRDefault="00303D5A" w:rsidP="0076576E">
            <w:pPr>
              <w:spacing w:line="240" w:lineRule="auto"/>
              <w:rPr>
                <w:rFonts w:eastAsia="Calibri" w:cs="Times New Roman"/>
              </w:rPr>
            </w:pPr>
            <w:r w:rsidRPr="007A7C51">
              <w:rPr>
                <w:rFonts w:eastAsia="Calibri" w:cs="Times New Roman"/>
              </w:rPr>
              <w:t xml:space="preserve">Hirst </w:t>
            </w:r>
            <w:r w:rsidR="00B301D6" w:rsidRPr="00B301D6">
              <w:rPr>
                <w:rFonts w:eastAsia="Calibri" w:cs="Times New Roman"/>
                <w:i/>
              </w:rPr>
              <w:t>et al</w:t>
            </w:r>
            <w:r w:rsidRPr="007A7C51">
              <w:rPr>
                <w:rFonts w:eastAsia="Calibri" w:cs="Times New Roman"/>
              </w:rPr>
              <w:t xml:space="preserve"> </w:t>
            </w:r>
            <w:r w:rsidR="00140508">
              <w:rPr>
                <w:rFonts w:eastAsia="Calibri" w:cs="Times New Roman"/>
              </w:rPr>
              <w:t>(</w:t>
            </w:r>
            <w:r w:rsidRPr="007A7C51">
              <w:rPr>
                <w:rFonts w:eastAsia="Calibri" w:cs="Times New Roman"/>
              </w:rPr>
              <w:t>2005</w:t>
            </w:r>
            <w:r w:rsidR="00140508">
              <w:rPr>
                <w:rFonts w:eastAsia="Calibri" w:cs="Times New Roman"/>
              </w:rPr>
              <w:t>)</w:t>
            </w:r>
            <w:r w:rsidR="0037182C" w:rsidRPr="007A7C51">
              <w:rPr>
                <w:rFonts w:eastAsia="Calibri" w:cs="Times New Roman"/>
              </w:rPr>
              <w:fldChar w:fldCharType="begin">
                <w:fldData xml:space="preserve">PEVuZE5vdGU+PENpdGU+PEF1dGhvcj5IaXJzdDwvQXV0aG9yPjxZZWFyPjIwMDU8L1llYXI+PFJl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PEVuZE5vdGU+PENpdGU+PEF1dGhvcj5IaXJzdDwvQXV0aG9yPjxZZWFyPjIwMDU8L1llYXI+PFJl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76576E" w:rsidRPr="0076576E">
              <w:rPr>
                <w:rFonts w:eastAsia="Calibri" w:cs="Times New Roman"/>
                <w:noProof/>
                <w:vertAlign w:val="superscript"/>
              </w:rPr>
              <w:t>134</w:t>
            </w:r>
            <w:r w:rsidR="0037182C" w:rsidRPr="007A7C51">
              <w:rPr>
                <w:rFonts w:eastAsia="Calibri" w:cs="Times New Roman"/>
              </w:rPr>
              <w:fldChar w:fldCharType="end"/>
            </w:r>
          </w:p>
        </w:tc>
        <w:tc>
          <w:tcPr>
            <w:tcW w:w="2551" w:type="dxa"/>
          </w:tcPr>
          <w:p w14:paraId="39B95D90" w14:textId="77777777" w:rsidR="00303D5A" w:rsidRPr="007A7C51" w:rsidRDefault="00303D5A" w:rsidP="00AF1409">
            <w:pPr>
              <w:spacing w:line="240" w:lineRule="auto"/>
              <w:rPr>
                <w:rFonts w:eastAsia="Calibri" w:cs="Times New Roman"/>
              </w:rPr>
            </w:pPr>
            <w:r w:rsidRPr="007A7C51">
              <w:rPr>
                <w:rFonts w:eastAsia="Calibri" w:cs="Times New Roman"/>
              </w:rPr>
              <w:t>Epidemiological surveillance</w:t>
            </w:r>
          </w:p>
        </w:tc>
        <w:tc>
          <w:tcPr>
            <w:tcW w:w="1337" w:type="dxa"/>
          </w:tcPr>
          <w:p w14:paraId="174735E1" w14:textId="77777777" w:rsidR="00303D5A" w:rsidRPr="007A7C51" w:rsidRDefault="00303D5A" w:rsidP="00AF1409">
            <w:pPr>
              <w:spacing w:line="240" w:lineRule="auto"/>
              <w:rPr>
                <w:rFonts w:eastAsia="Calibri" w:cs="Times New Roman"/>
              </w:rPr>
            </w:pPr>
            <w:r w:rsidRPr="007A7C51">
              <w:rPr>
                <w:rFonts w:eastAsia="Calibri" w:cs="Times New Roman"/>
              </w:rPr>
              <w:t>iCJD</w:t>
            </w:r>
          </w:p>
        </w:tc>
        <w:tc>
          <w:tcPr>
            <w:tcW w:w="2207" w:type="dxa"/>
          </w:tcPr>
          <w:p w14:paraId="21EAC70A" w14:textId="77777777" w:rsidR="00303D5A" w:rsidRPr="007A7C51" w:rsidRDefault="00303D5A" w:rsidP="00AF1409">
            <w:pPr>
              <w:spacing w:line="240" w:lineRule="auto"/>
              <w:rPr>
                <w:rFonts w:eastAsia="Calibri" w:cs="Times New Roman"/>
              </w:rPr>
            </w:pPr>
            <w:r w:rsidRPr="007A7C51">
              <w:rPr>
                <w:rFonts w:eastAsia="Calibri" w:cs="Times New Roman"/>
              </w:rPr>
              <w:t>Human Growth Hormone</w:t>
            </w:r>
          </w:p>
        </w:tc>
        <w:tc>
          <w:tcPr>
            <w:tcW w:w="1559" w:type="dxa"/>
          </w:tcPr>
          <w:p w14:paraId="46E29D5B" w14:textId="77777777" w:rsidR="00303D5A" w:rsidRPr="007A7C51" w:rsidRDefault="00303D5A" w:rsidP="00AF1409">
            <w:pPr>
              <w:spacing w:line="240" w:lineRule="auto"/>
              <w:rPr>
                <w:rFonts w:eastAsia="Calibri" w:cs="Times New Roman"/>
              </w:rPr>
            </w:pPr>
            <w:r w:rsidRPr="007A7C51">
              <w:rPr>
                <w:rFonts w:eastAsia="Calibri" w:cs="Times New Roman"/>
              </w:rPr>
              <w:t xml:space="preserve">UK </w:t>
            </w:r>
          </w:p>
        </w:tc>
        <w:tc>
          <w:tcPr>
            <w:tcW w:w="1134" w:type="dxa"/>
          </w:tcPr>
          <w:p w14:paraId="7EBB73E9" w14:textId="77777777" w:rsidR="00303D5A" w:rsidRPr="007A7C51" w:rsidRDefault="00303D5A" w:rsidP="00AF1409">
            <w:pPr>
              <w:spacing w:line="240" w:lineRule="auto"/>
              <w:rPr>
                <w:rFonts w:eastAsia="Calibri" w:cs="Times New Roman"/>
              </w:rPr>
            </w:pPr>
            <w:r w:rsidRPr="007A7C51">
              <w:rPr>
                <w:rFonts w:eastAsia="Calibri" w:cs="Times New Roman"/>
              </w:rPr>
              <w:t>1</w:t>
            </w:r>
          </w:p>
        </w:tc>
      </w:tr>
      <w:tr w:rsidR="0037182C" w:rsidRPr="007A7C51" w14:paraId="17A8C7B4" w14:textId="77777777" w:rsidTr="00931EC4">
        <w:tc>
          <w:tcPr>
            <w:tcW w:w="1555" w:type="dxa"/>
          </w:tcPr>
          <w:p w14:paraId="4B8236DA" w14:textId="1F20C7B8" w:rsidR="00303D5A" w:rsidRPr="007A7C51" w:rsidRDefault="00D97303" w:rsidP="0076576E">
            <w:pPr>
              <w:spacing w:line="240" w:lineRule="auto"/>
              <w:rPr>
                <w:rFonts w:eastAsia="Calibri" w:cs="Times New Roman"/>
              </w:rPr>
            </w:pPr>
            <w:r>
              <w:rPr>
                <w:rFonts w:eastAsia="Calibri" w:cs="Times New Roman"/>
              </w:rPr>
              <w:t>Peden</w:t>
            </w:r>
            <w:r w:rsidR="00303D5A" w:rsidRPr="007A7C51">
              <w:rPr>
                <w:rFonts w:eastAsia="Calibri" w:cs="Times New Roman"/>
              </w:rPr>
              <w:t xml:space="preserve"> </w:t>
            </w:r>
            <w:r w:rsidR="00B301D6" w:rsidRPr="00B301D6">
              <w:rPr>
                <w:rFonts w:eastAsia="Calibri" w:cs="Times New Roman"/>
                <w:i/>
              </w:rPr>
              <w:t>et al</w:t>
            </w:r>
            <w:r w:rsidR="00303D5A" w:rsidRPr="007A7C51">
              <w:rPr>
                <w:rFonts w:eastAsia="Calibri" w:cs="Times New Roman"/>
              </w:rPr>
              <w:t xml:space="preserve"> </w:t>
            </w:r>
            <w:r w:rsidR="00140508">
              <w:rPr>
                <w:rFonts w:eastAsia="Calibri" w:cs="Times New Roman"/>
              </w:rPr>
              <w:t>(</w:t>
            </w:r>
            <w:r w:rsidR="00303D5A" w:rsidRPr="007A7C51">
              <w:rPr>
                <w:rFonts w:eastAsia="Calibri" w:cs="Times New Roman"/>
              </w:rPr>
              <w:t>2010</w:t>
            </w:r>
            <w:r w:rsidR="00140508">
              <w:rPr>
                <w:rFonts w:eastAsia="Calibri" w:cs="Times New Roman"/>
              </w:rPr>
              <w:t>)</w:t>
            </w:r>
            <w:r w:rsidR="00966B61">
              <w:rPr>
                <w:rFonts w:eastAsia="Calibri" w:cs="Times New Roman"/>
              </w:rPr>
              <w:fldChar w:fldCharType="begin"/>
            </w:r>
            <w:r w:rsidR="0076576E">
              <w:rPr>
                <w:rFonts w:eastAsia="Calibri" w:cs="Times New Roman"/>
              </w:rPr>
              <w:instrText xml:space="preserve"> ADDIN EN.CITE &lt;EndNote&gt;&lt;Cite&gt;&lt;Author&gt;Peden&lt;/Author&gt;&lt;Year&gt;2010&lt;/Year&gt;&lt;RecNum&gt;8422&lt;/RecNum&gt;&lt;DisplayText&gt;&lt;style face="superscript"&gt;72&lt;/style&gt;&lt;/DisplayText&gt;&lt;record&gt;&lt;rec-number&gt;8422&lt;/rec-number&gt;&lt;foreign-keys&gt;&lt;key app="EN" db-id="vrp0pptazv05wtesfz5vrzsj2p0rv09ttsa9" timestamp="1506588787" guid="11126cc0-1d45-480d-96d0-63bbe60445ca"&gt;8422&lt;/key&gt;&lt;/foreign-keys&gt;&lt;ref-type name="Journal Article"&gt;17&lt;/ref-type&gt;&lt;contributors&gt;&lt;authors&gt;&lt;author&gt;Peden, A.&lt;/author&gt;&lt;author&gt;McCardle, L.&lt;/author&gt;&lt;author&gt;Head, M. W.&lt;/author&gt;&lt;author&gt;Love, S.&lt;/author&gt;&lt;author&gt;Ward, H. J. T.&lt;/author&gt;&lt;author&gt;Cousens, S. N.&lt;/author&gt;&lt;author&gt;Keeling, D. M.&lt;/author&gt;&lt;author&gt;Millar, C. M.&lt;/author&gt;&lt;author&gt;Hill, F. G. H.&lt;/author&gt;&lt;author&gt;Ironside, J. W.&lt;/author&gt;&lt;/authors&gt;&lt;/contributors&gt;&lt;titles&gt;&lt;title&gt;Variant CJD infection in the spleen of a neurologically asymptomatic UK adult patient with haemophilia&lt;/title&gt;&lt;secondary-title&gt;Haemophilia&lt;/secondary-title&gt;&lt;/titles&gt;&lt;periodical&gt;&lt;full-title&gt;Haemophilia&lt;/full-title&gt;&lt;/periodical&gt;&lt;pages&gt;296-304&lt;/pages&gt;&lt;volume&gt;16&lt;/volume&gt;&lt;number&gt;2&lt;/number&gt;&lt;keywords&gt;&lt;keyword&gt;$$LU_1_prevalence CJD&lt;/keyword&gt;&lt;keyword&gt;$$CC_3_TSE incubation&lt;/keyword&gt;&lt;keyword&gt;$$CJD relevant&lt;/keyword&gt;&lt;keyword&gt;$$1_prevalence CJD&lt;/keyword&gt;&lt;/keywords&gt;&lt;dates&gt;&lt;year&gt;2010&lt;/year&gt;&lt;pub-dates&gt;&lt;date&gt;Mar&lt;/date&gt;&lt;/pub-dates&gt;&lt;/dates&gt;&lt;isbn&gt;1351-8216&lt;/isbn&gt;&lt;accession-num&gt;WOS:000274941200012&lt;/accession-num&gt;&lt;urls&gt;&lt;related-urls&gt;&lt;url&gt;&amp;lt;Go to ISI&amp;gt;://WOS:000274941200012&lt;/url&gt;&lt;/related-urls&gt;&lt;/urls&gt;&lt;electronic-resource-num&gt;10.1111/j.1365-2516.2009.02181.x&lt;/electronic-resource-num&gt;&lt;/record&gt;&lt;/Cite&gt;&lt;/EndNote&gt;</w:instrText>
            </w:r>
            <w:r w:rsidR="00966B61">
              <w:rPr>
                <w:rFonts w:eastAsia="Calibri" w:cs="Times New Roman"/>
              </w:rPr>
              <w:fldChar w:fldCharType="separate"/>
            </w:r>
            <w:r w:rsidR="0076576E" w:rsidRPr="0076576E">
              <w:rPr>
                <w:rFonts w:eastAsia="Calibri" w:cs="Times New Roman"/>
                <w:noProof/>
                <w:vertAlign w:val="superscript"/>
              </w:rPr>
              <w:t>72</w:t>
            </w:r>
            <w:r w:rsidR="00966B61">
              <w:rPr>
                <w:rFonts w:eastAsia="Calibri" w:cs="Times New Roman"/>
              </w:rPr>
              <w:fldChar w:fldCharType="end"/>
            </w:r>
          </w:p>
        </w:tc>
        <w:tc>
          <w:tcPr>
            <w:tcW w:w="2551" w:type="dxa"/>
          </w:tcPr>
          <w:p w14:paraId="5D7F183E" w14:textId="77777777" w:rsidR="00303D5A" w:rsidRPr="007A7C51" w:rsidRDefault="00303D5A" w:rsidP="00AF1409">
            <w:pPr>
              <w:spacing w:line="240" w:lineRule="auto"/>
              <w:rPr>
                <w:rFonts w:eastAsia="Calibri" w:cs="Times New Roman"/>
              </w:rPr>
            </w:pPr>
            <w:r w:rsidRPr="007A7C51">
              <w:rPr>
                <w:rFonts w:eastAsia="Calibri" w:cs="Times New Roman"/>
              </w:rPr>
              <w:t>Case study</w:t>
            </w:r>
          </w:p>
        </w:tc>
        <w:tc>
          <w:tcPr>
            <w:tcW w:w="1337" w:type="dxa"/>
          </w:tcPr>
          <w:p w14:paraId="6FD1F490" w14:textId="77777777" w:rsidR="00303D5A" w:rsidRPr="007A7C51" w:rsidRDefault="00303D5A" w:rsidP="00AF1409">
            <w:pPr>
              <w:spacing w:line="240" w:lineRule="auto"/>
              <w:rPr>
                <w:rFonts w:eastAsia="Calibri" w:cs="Times New Roman"/>
              </w:rPr>
            </w:pPr>
            <w:r w:rsidRPr="007A7C51">
              <w:rPr>
                <w:rFonts w:eastAsia="Calibri" w:cs="Times New Roman"/>
              </w:rPr>
              <w:t>iCJD</w:t>
            </w:r>
          </w:p>
        </w:tc>
        <w:tc>
          <w:tcPr>
            <w:tcW w:w="2207" w:type="dxa"/>
          </w:tcPr>
          <w:p w14:paraId="64A023AF" w14:textId="77777777" w:rsidR="00303D5A" w:rsidRPr="007A7C51" w:rsidRDefault="00303D5A" w:rsidP="00AF1409">
            <w:pPr>
              <w:spacing w:line="240" w:lineRule="auto"/>
              <w:rPr>
                <w:rFonts w:eastAsia="Calibri" w:cs="Times New Roman"/>
              </w:rPr>
            </w:pPr>
            <w:r w:rsidRPr="007A7C51">
              <w:rPr>
                <w:rFonts w:eastAsia="Calibri" w:cs="Times New Roman"/>
              </w:rPr>
              <w:t>Blood products</w:t>
            </w:r>
          </w:p>
        </w:tc>
        <w:tc>
          <w:tcPr>
            <w:tcW w:w="1559" w:type="dxa"/>
          </w:tcPr>
          <w:p w14:paraId="6E85D5A6" w14:textId="77777777" w:rsidR="00303D5A" w:rsidRPr="007A7C51" w:rsidRDefault="00303D5A" w:rsidP="00AF1409">
            <w:pPr>
              <w:spacing w:line="240" w:lineRule="auto"/>
              <w:rPr>
                <w:rFonts w:eastAsia="Calibri" w:cs="Times New Roman"/>
              </w:rPr>
            </w:pPr>
            <w:r w:rsidRPr="007A7C51">
              <w:rPr>
                <w:rFonts w:eastAsia="Calibri" w:cs="Times New Roman"/>
              </w:rPr>
              <w:t xml:space="preserve">UK </w:t>
            </w:r>
          </w:p>
        </w:tc>
        <w:tc>
          <w:tcPr>
            <w:tcW w:w="1134" w:type="dxa"/>
          </w:tcPr>
          <w:p w14:paraId="1F6242C8" w14:textId="77777777" w:rsidR="00303D5A" w:rsidRPr="007A7C51" w:rsidRDefault="00303D5A" w:rsidP="00AF1409">
            <w:pPr>
              <w:spacing w:line="240" w:lineRule="auto"/>
              <w:rPr>
                <w:rFonts w:eastAsia="Calibri" w:cs="Times New Roman"/>
              </w:rPr>
            </w:pPr>
            <w:r w:rsidRPr="007A7C51">
              <w:rPr>
                <w:rFonts w:eastAsia="Calibri" w:cs="Times New Roman"/>
              </w:rPr>
              <w:t>3</w:t>
            </w:r>
          </w:p>
        </w:tc>
      </w:tr>
      <w:tr w:rsidR="0037182C" w:rsidRPr="007A7C51" w14:paraId="3478E9BF" w14:textId="77777777" w:rsidTr="00931EC4">
        <w:tc>
          <w:tcPr>
            <w:tcW w:w="1555" w:type="dxa"/>
          </w:tcPr>
          <w:p w14:paraId="4101FE16" w14:textId="1D35825B" w:rsidR="00303D5A" w:rsidRPr="007A7C51" w:rsidRDefault="00303D5A" w:rsidP="0076576E">
            <w:pPr>
              <w:spacing w:line="240" w:lineRule="auto"/>
              <w:rPr>
                <w:rFonts w:eastAsia="Calibri" w:cs="Times New Roman"/>
              </w:rPr>
            </w:pPr>
            <w:r w:rsidRPr="007A7C51">
              <w:rPr>
                <w:rFonts w:eastAsia="Calibri" w:cs="Times New Roman"/>
              </w:rPr>
              <w:t xml:space="preserve">Meissner </w:t>
            </w:r>
            <w:r w:rsidR="00B301D6" w:rsidRPr="00B301D6">
              <w:rPr>
                <w:rFonts w:eastAsia="Calibri" w:cs="Times New Roman"/>
                <w:i/>
              </w:rPr>
              <w:t>et al</w:t>
            </w:r>
            <w:r w:rsidRPr="007A7C51">
              <w:rPr>
                <w:rFonts w:eastAsia="Calibri" w:cs="Times New Roman"/>
              </w:rPr>
              <w:t xml:space="preserve"> </w:t>
            </w:r>
            <w:r w:rsidR="00140508">
              <w:rPr>
                <w:rFonts w:eastAsia="Calibri" w:cs="Times New Roman"/>
              </w:rPr>
              <w:t>(</w:t>
            </w:r>
            <w:r w:rsidRPr="007A7C51">
              <w:rPr>
                <w:rFonts w:eastAsia="Calibri" w:cs="Times New Roman"/>
              </w:rPr>
              <w:t>2009</w:t>
            </w:r>
            <w:r w:rsidR="00140508">
              <w:rPr>
                <w:rFonts w:eastAsia="Calibri" w:cs="Times New Roman"/>
              </w:rPr>
              <w:t>)</w:t>
            </w:r>
            <w:r w:rsidR="0037182C" w:rsidRPr="007A7C51">
              <w:rPr>
                <w:rFonts w:eastAsia="Calibri" w:cs="Times New Roman"/>
              </w:rPr>
              <w:fldChar w:fldCharType="begin">
                <w:fldData xml:space="preserve">PEVuZE5vdGU+PENpdGU+PEF1dGhvcj5NZWlzc25lcjwvQXV0aG9yPjxZZWFyPjIwMDk8L1llYXI+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PEVuZE5vdGU+PENpdGU+PEF1dGhvcj5NZWlzc25lcjwvQXV0aG9yPjxZZWFyPjIwMDk8L1llYXI+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76576E" w:rsidRPr="0076576E">
              <w:rPr>
                <w:rFonts w:eastAsia="Calibri" w:cs="Times New Roman"/>
                <w:noProof/>
                <w:vertAlign w:val="superscript"/>
              </w:rPr>
              <w:t>135</w:t>
            </w:r>
            <w:r w:rsidR="0037182C" w:rsidRPr="007A7C51">
              <w:rPr>
                <w:rFonts w:eastAsia="Calibri" w:cs="Times New Roman"/>
              </w:rPr>
              <w:fldChar w:fldCharType="end"/>
            </w:r>
          </w:p>
        </w:tc>
        <w:tc>
          <w:tcPr>
            <w:tcW w:w="2551" w:type="dxa"/>
          </w:tcPr>
          <w:p w14:paraId="047D6697" w14:textId="77777777" w:rsidR="00303D5A" w:rsidRPr="007A7C51" w:rsidRDefault="00303D5A" w:rsidP="00AF1409">
            <w:pPr>
              <w:spacing w:line="240" w:lineRule="auto"/>
              <w:rPr>
                <w:rFonts w:eastAsia="Calibri" w:cs="Times New Roman"/>
              </w:rPr>
            </w:pPr>
            <w:r w:rsidRPr="007A7C51">
              <w:rPr>
                <w:rFonts w:eastAsia="Calibri" w:cs="Times New Roman"/>
              </w:rPr>
              <w:t>Retrospective cohort</w:t>
            </w:r>
          </w:p>
        </w:tc>
        <w:tc>
          <w:tcPr>
            <w:tcW w:w="1337" w:type="dxa"/>
          </w:tcPr>
          <w:p w14:paraId="59D5651A" w14:textId="77777777" w:rsidR="00303D5A" w:rsidRPr="007A7C51" w:rsidRDefault="00303D5A" w:rsidP="00AF1409">
            <w:pPr>
              <w:spacing w:line="240" w:lineRule="auto"/>
              <w:rPr>
                <w:rFonts w:eastAsia="Calibri" w:cs="Times New Roman"/>
              </w:rPr>
            </w:pPr>
            <w:r w:rsidRPr="007A7C51">
              <w:rPr>
                <w:rFonts w:eastAsia="Calibri" w:cs="Times New Roman"/>
              </w:rPr>
              <w:t>iCJD</w:t>
            </w:r>
          </w:p>
        </w:tc>
        <w:tc>
          <w:tcPr>
            <w:tcW w:w="2207" w:type="dxa"/>
          </w:tcPr>
          <w:p w14:paraId="6A9483C3" w14:textId="77777777" w:rsidR="00303D5A" w:rsidRPr="007A7C51" w:rsidRDefault="00303D5A" w:rsidP="00AF1409">
            <w:pPr>
              <w:spacing w:line="240" w:lineRule="auto"/>
              <w:rPr>
                <w:rFonts w:eastAsia="Calibri" w:cs="Times New Roman"/>
              </w:rPr>
            </w:pPr>
            <w:r w:rsidRPr="007A7C51">
              <w:rPr>
                <w:rFonts w:eastAsia="Calibri" w:cs="Times New Roman"/>
              </w:rPr>
              <w:t>Dura mater graft</w:t>
            </w:r>
          </w:p>
        </w:tc>
        <w:tc>
          <w:tcPr>
            <w:tcW w:w="1559" w:type="dxa"/>
          </w:tcPr>
          <w:p w14:paraId="5E8FD091" w14:textId="77777777" w:rsidR="00303D5A" w:rsidRPr="007A7C51" w:rsidRDefault="00303D5A" w:rsidP="00AF1409">
            <w:pPr>
              <w:spacing w:line="240" w:lineRule="auto"/>
              <w:rPr>
                <w:rFonts w:eastAsia="Calibri" w:cs="Times New Roman"/>
              </w:rPr>
            </w:pPr>
            <w:r w:rsidRPr="007A7C51">
              <w:rPr>
                <w:rFonts w:eastAsia="Calibri" w:cs="Times New Roman"/>
              </w:rPr>
              <w:t>Germany</w:t>
            </w:r>
          </w:p>
        </w:tc>
        <w:tc>
          <w:tcPr>
            <w:tcW w:w="1134" w:type="dxa"/>
          </w:tcPr>
          <w:p w14:paraId="4E4126C3" w14:textId="77777777" w:rsidR="00303D5A" w:rsidRPr="007A7C51" w:rsidRDefault="00303D5A" w:rsidP="00AF1409">
            <w:pPr>
              <w:spacing w:line="240" w:lineRule="auto"/>
              <w:rPr>
                <w:rFonts w:eastAsia="Calibri" w:cs="Times New Roman"/>
              </w:rPr>
            </w:pPr>
            <w:r w:rsidRPr="007A7C51">
              <w:rPr>
                <w:rFonts w:eastAsia="Calibri" w:cs="Times New Roman"/>
              </w:rPr>
              <w:t>10</w:t>
            </w:r>
          </w:p>
        </w:tc>
      </w:tr>
      <w:tr w:rsidR="0037182C" w:rsidRPr="007A7C51" w14:paraId="27E55994" w14:textId="77777777" w:rsidTr="00931EC4">
        <w:tc>
          <w:tcPr>
            <w:tcW w:w="1555" w:type="dxa"/>
          </w:tcPr>
          <w:p w14:paraId="1DAC153D" w14:textId="1ED91F3C" w:rsidR="00303D5A" w:rsidRPr="007A7C51" w:rsidRDefault="00303D5A" w:rsidP="0076576E">
            <w:pPr>
              <w:spacing w:line="240" w:lineRule="auto"/>
              <w:rPr>
                <w:rFonts w:eastAsia="Calibri" w:cs="Times New Roman"/>
              </w:rPr>
            </w:pPr>
            <w:r w:rsidRPr="007A7C51">
              <w:rPr>
                <w:rFonts w:eastAsia="Calibri" w:cs="Times New Roman"/>
              </w:rPr>
              <w:t xml:space="preserve">Ritchie </w:t>
            </w:r>
            <w:r w:rsidR="00B301D6" w:rsidRPr="00B301D6">
              <w:rPr>
                <w:rFonts w:eastAsia="Calibri" w:cs="Times New Roman"/>
                <w:i/>
              </w:rPr>
              <w:t>et al</w:t>
            </w:r>
            <w:r w:rsidR="00CC3D67" w:rsidRPr="007A7C51">
              <w:rPr>
                <w:rFonts w:eastAsia="Calibri" w:cs="Times New Roman"/>
              </w:rPr>
              <w:t xml:space="preserve"> </w:t>
            </w:r>
            <w:r w:rsidR="00140508">
              <w:rPr>
                <w:rFonts w:eastAsia="Calibri" w:cs="Times New Roman"/>
              </w:rPr>
              <w:t>(</w:t>
            </w:r>
            <w:r w:rsidRPr="007A7C51">
              <w:rPr>
                <w:rFonts w:eastAsia="Calibri" w:cs="Times New Roman"/>
              </w:rPr>
              <w:t>2017</w:t>
            </w:r>
            <w:r w:rsidR="00140508">
              <w:rPr>
                <w:rFonts w:eastAsia="Calibri" w:cs="Times New Roman"/>
              </w:rPr>
              <w:t>)</w:t>
            </w:r>
            <w:r w:rsidR="0037182C" w:rsidRPr="007A7C51">
              <w:rPr>
                <w:rFonts w:eastAsia="Calibri" w:cs="Times New Roman"/>
              </w:rPr>
              <w:fldChar w:fldCharType="begin"/>
            </w:r>
            <w:r w:rsidR="0076576E">
              <w:rPr>
                <w:rFonts w:eastAsia="Calibri" w:cs="Times New Roman"/>
              </w:rPr>
              <w:instrText xml:space="preserve"> ADDIN EN.CITE &lt;EndNote&gt;&lt;Cite&gt;&lt;Author&gt;Ritchie&lt;/Author&gt;&lt;Year&gt;2017&lt;/Year&gt;&lt;RecNum&gt;10258&lt;/RecNum&gt;&lt;DisplayText&gt;&lt;style face="superscript"&gt;136&lt;/style&gt;&lt;/DisplayText&gt;&lt;record&gt;&lt;rec-number&gt;10258&lt;/rec-number&gt;&lt;foreign-keys&gt;&lt;key app="EN" db-id="vrp0pptazv05wtesfz5vrzsj2p0rv09ttsa9" timestamp="1520851588" guid="f7449048-5417-4c42-b564-70ee88fa921e"&gt;10258&lt;/key&gt;&lt;/foreign-keys&gt;&lt;ref-type name="Journal Article"&gt;17&lt;/ref-type&gt;&lt;contributors&gt;&lt;authors&gt;&lt;author&gt;Ritchie, Diane L&lt;/author&gt;&lt;author&gt;Barria, Marcelo A&lt;/author&gt;&lt;author&gt;Peden, Alexander H&lt;/author&gt;&lt;author&gt;Yull, Helen M&lt;/author&gt;&lt;author&gt;Kirkpatrick, James&lt;/author&gt;&lt;author&gt;Adlard, Peter&lt;/author&gt;&lt;author&gt;Ironside, James W&lt;/author&gt;&lt;author&gt;Head, Mark W&lt;/author&gt;&lt;/authors&gt;&lt;/contributors&gt;&lt;titles&gt;&lt;title&gt;UK Iatrogenic Creutzfeldt–Jakob disease: investigating human prion transmission across genotypic barriers using human tissue-based and molecular approaches&lt;/title&gt;&lt;secondary-title&gt;Acta neuropathologica&lt;/secondary-title&gt;&lt;/titles&gt;&lt;periodical&gt;&lt;full-title&gt;Acta Neuropathologica&lt;/full-title&gt;&lt;/periodical&gt;&lt;pages&gt;579-595&lt;/pages&gt;&lt;volume&gt;133&lt;/volume&gt;&lt;number&gt;4&lt;/number&gt;&lt;keywords&gt;&lt;keyword&gt;$$CC_3_TSE incubation&lt;/keyword&gt;&lt;keyword&gt;$$Lesley google&lt;/keyword&gt;&lt;keyword&gt;$$CJD relevant&lt;/keyword&gt;&lt;keyword&gt;$$1_prevalence CJD&lt;/keyword&gt;&lt;/keywords&gt;&lt;dates&gt;&lt;year&gt;2017&lt;/year&gt;&lt;/dates&gt;&lt;isbn&gt;0001-6322&lt;/isbn&gt;&lt;urls&gt;&lt;/urls&gt;&lt;/record&gt;&lt;/Cite&gt;&lt;/EndNote&gt;</w:instrText>
            </w:r>
            <w:r w:rsidR="0037182C" w:rsidRPr="007A7C51">
              <w:rPr>
                <w:rFonts w:eastAsia="Calibri" w:cs="Times New Roman"/>
              </w:rPr>
              <w:fldChar w:fldCharType="separate"/>
            </w:r>
            <w:r w:rsidR="0076576E" w:rsidRPr="0076576E">
              <w:rPr>
                <w:rFonts w:eastAsia="Calibri" w:cs="Times New Roman"/>
                <w:noProof/>
                <w:vertAlign w:val="superscript"/>
              </w:rPr>
              <w:t>136</w:t>
            </w:r>
            <w:r w:rsidR="0037182C" w:rsidRPr="007A7C51">
              <w:rPr>
                <w:rFonts w:eastAsia="Calibri" w:cs="Times New Roman"/>
              </w:rPr>
              <w:fldChar w:fldCharType="end"/>
            </w:r>
          </w:p>
        </w:tc>
        <w:tc>
          <w:tcPr>
            <w:tcW w:w="2551" w:type="dxa"/>
          </w:tcPr>
          <w:p w14:paraId="6DB77842" w14:textId="77777777" w:rsidR="00303D5A" w:rsidRPr="007A7C51" w:rsidRDefault="00303D5A" w:rsidP="00AF1409">
            <w:pPr>
              <w:spacing w:line="240" w:lineRule="auto"/>
              <w:rPr>
                <w:rFonts w:eastAsia="Calibri" w:cs="Times New Roman"/>
              </w:rPr>
            </w:pPr>
            <w:r w:rsidRPr="007A7C51">
              <w:rPr>
                <w:rFonts w:eastAsia="Calibri" w:cs="Times New Roman"/>
              </w:rPr>
              <w:t>Epidemiological surveillance, retrospective cohort</w:t>
            </w:r>
          </w:p>
        </w:tc>
        <w:tc>
          <w:tcPr>
            <w:tcW w:w="1337" w:type="dxa"/>
          </w:tcPr>
          <w:p w14:paraId="328D7789" w14:textId="77777777" w:rsidR="00303D5A" w:rsidRPr="007A7C51" w:rsidRDefault="00303D5A" w:rsidP="00AF1409">
            <w:pPr>
              <w:spacing w:line="240" w:lineRule="auto"/>
              <w:rPr>
                <w:rFonts w:eastAsia="Calibri" w:cs="Times New Roman"/>
              </w:rPr>
            </w:pPr>
            <w:r w:rsidRPr="007A7C51">
              <w:rPr>
                <w:rFonts w:eastAsia="Calibri" w:cs="Times New Roman"/>
              </w:rPr>
              <w:t>iCJD</w:t>
            </w:r>
          </w:p>
        </w:tc>
        <w:tc>
          <w:tcPr>
            <w:tcW w:w="2207" w:type="dxa"/>
          </w:tcPr>
          <w:p w14:paraId="782F8A79" w14:textId="77777777" w:rsidR="00303D5A" w:rsidRPr="007A7C51" w:rsidRDefault="00303D5A" w:rsidP="00AF1409">
            <w:pPr>
              <w:spacing w:line="240" w:lineRule="auto"/>
              <w:rPr>
                <w:rFonts w:eastAsia="Calibri" w:cs="Times New Roman"/>
              </w:rPr>
            </w:pPr>
            <w:r w:rsidRPr="007A7C51">
              <w:rPr>
                <w:rFonts w:eastAsia="Calibri" w:cs="Times New Roman"/>
              </w:rPr>
              <w:t>Human Growth Hormone, Dura mater graft</w:t>
            </w:r>
          </w:p>
        </w:tc>
        <w:tc>
          <w:tcPr>
            <w:tcW w:w="1559" w:type="dxa"/>
          </w:tcPr>
          <w:p w14:paraId="52E03DA4" w14:textId="77777777" w:rsidR="00303D5A" w:rsidRPr="007A7C51" w:rsidRDefault="00303D5A" w:rsidP="00AF1409">
            <w:pPr>
              <w:spacing w:line="240" w:lineRule="auto"/>
              <w:rPr>
                <w:rFonts w:eastAsia="Calibri" w:cs="Times New Roman"/>
              </w:rPr>
            </w:pPr>
            <w:r w:rsidRPr="007A7C51">
              <w:rPr>
                <w:rFonts w:eastAsia="Calibri" w:cs="Times New Roman"/>
              </w:rPr>
              <w:t>UK</w:t>
            </w:r>
          </w:p>
        </w:tc>
        <w:tc>
          <w:tcPr>
            <w:tcW w:w="1134" w:type="dxa"/>
          </w:tcPr>
          <w:p w14:paraId="7FA995D0" w14:textId="77777777" w:rsidR="00303D5A" w:rsidRPr="007A7C51" w:rsidRDefault="00303D5A" w:rsidP="00AF1409">
            <w:pPr>
              <w:spacing w:line="240" w:lineRule="auto"/>
              <w:rPr>
                <w:rFonts w:eastAsia="Calibri" w:cs="Times New Roman"/>
              </w:rPr>
            </w:pPr>
            <w:r w:rsidRPr="007A7C51">
              <w:rPr>
                <w:rFonts w:eastAsia="Calibri" w:cs="Times New Roman"/>
              </w:rPr>
              <w:t>37</w:t>
            </w:r>
          </w:p>
        </w:tc>
      </w:tr>
      <w:tr w:rsidR="0037182C" w:rsidRPr="007A7C51" w14:paraId="4211F7A5" w14:textId="77777777" w:rsidTr="00931EC4">
        <w:tc>
          <w:tcPr>
            <w:tcW w:w="1555" w:type="dxa"/>
          </w:tcPr>
          <w:p w14:paraId="24AA56E9" w14:textId="12D5D606" w:rsidR="00303D5A" w:rsidRPr="007A7C51" w:rsidRDefault="00303D5A" w:rsidP="0076576E">
            <w:pPr>
              <w:spacing w:line="240" w:lineRule="auto"/>
              <w:rPr>
                <w:rFonts w:eastAsia="Calibri" w:cs="Times New Roman"/>
              </w:rPr>
            </w:pPr>
            <w:r w:rsidRPr="007A7C51">
              <w:rPr>
                <w:rFonts w:eastAsia="Calibri" w:cs="Times New Roman"/>
              </w:rPr>
              <w:t xml:space="preserve">Rudge </w:t>
            </w:r>
            <w:r w:rsidR="00B301D6" w:rsidRPr="00B301D6">
              <w:rPr>
                <w:rFonts w:eastAsia="Calibri" w:cs="Times New Roman"/>
                <w:i/>
              </w:rPr>
              <w:t>et al</w:t>
            </w:r>
            <w:r w:rsidRPr="007A7C51">
              <w:rPr>
                <w:rFonts w:eastAsia="Calibri" w:cs="Times New Roman"/>
              </w:rPr>
              <w:t xml:space="preserve"> </w:t>
            </w:r>
            <w:r w:rsidR="00140508">
              <w:rPr>
                <w:rFonts w:eastAsia="Calibri" w:cs="Times New Roman"/>
              </w:rPr>
              <w:t>(</w:t>
            </w:r>
            <w:r w:rsidRPr="007A7C51">
              <w:rPr>
                <w:rFonts w:eastAsia="Calibri" w:cs="Times New Roman"/>
              </w:rPr>
              <w:t>2015</w:t>
            </w:r>
            <w:r w:rsidR="00140508">
              <w:rPr>
                <w:rFonts w:eastAsia="Calibri" w:cs="Times New Roman"/>
              </w:rPr>
              <w:t>)</w:t>
            </w:r>
            <w:r w:rsidR="0037182C" w:rsidRPr="007A7C51">
              <w:rPr>
                <w:rFonts w:eastAsia="Calibri" w:cs="Times New Roma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7A7C51">
              <w:rPr>
                <w:rFonts w:eastAsia="Calibri" w:cs="Times New Roman"/>
              </w:rPr>
            </w:r>
            <w:r w:rsidR="0037182C" w:rsidRPr="007A7C51">
              <w:rPr>
                <w:rFonts w:eastAsia="Calibri" w:cs="Times New Roman"/>
              </w:rPr>
              <w:fldChar w:fldCharType="separate"/>
            </w:r>
            <w:r w:rsidR="0076576E" w:rsidRPr="0076576E">
              <w:rPr>
                <w:rFonts w:eastAsia="Calibri" w:cs="Times New Roman"/>
                <w:noProof/>
                <w:vertAlign w:val="superscript"/>
              </w:rPr>
              <w:t>64</w:t>
            </w:r>
            <w:r w:rsidR="0037182C" w:rsidRPr="007A7C51">
              <w:rPr>
                <w:rFonts w:eastAsia="Calibri" w:cs="Times New Roman"/>
              </w:rPr>
              <w:fldChar w:fldCharType="end"/>
            </w:r>
          </w:p>
        </w:tc>
        <w:tc>
          <w:tcPr>
            <w:tcW w:w="2551" w:type="dxa"/>
          </w:tcPr>
          <w:p w14:paraId="35D501CF" w14:textId="77777777" w:rsidR="00303D5A" w:rsidRPr="007A7C51" w:rsidRDefault="00303D5A" w:rsidP="00AF1409">
            <w:pPr>
              <w:spacing w:line="240" w:lineRule="auto"/>
              <w:rPr>
                <w:rFonts w:eastAsia="Calibri" w:cs="Times New Roman"/>
              </w:rPr>
            </w:pPr>
            <w:r w:rsidRPr="007A7C51">
              <w:rPr>
                <w:rFonts w:eastAsia="Calibri" w:cs="Times New Roman"/>
              </w:rPr>
              <w:t>Epidemiological surveillance, cohort</w:t>
            </w:r>
          </w:p>
        </w:tc>
        <w:tc>
          <w:tcPr>
            <w:tcW w:w="1337" w:type="dxa"/>
          </w:tcPr>
          <w:p w14:paraId="47B341E2" w14:textId="77777777" w:rsidR="00303D5A" w:rsidRPr="007A7C51" w:rsidRDefault="00303D5A" w:rsidP="00AF1409">
            <w:pPr>
              <w:spacing w:line="240" w:lineRule="auto"/>
              <w:rPr>
                <w:rFonts w:eastAsia="Calibri" w:cs="Times New Roman"/>
              </w:rPr>
            </w:pPr>
            <w:r w:rsidRPr="007A7C51">
              <w:rPr>
                <w:rFonts w:eastAsia="Calibri" w:cs="Times New Roman"/>
              </w:rPr>
              <w:t>iCJD</w:t>
            </w:r>
          </w:p>
        </w:tc>
        <w:tc>
          <w:tcPr>
            <w:tcW w:w="2207" w:type="dxa"/>
          </w:tcPr>
          <w:p w14:paraId="42F35338" w14:textId="77777777" w:rsidR="00303D5A" w:rsidRPr="007A7C51" w:rsidRDefault="00303D5A" w:rsidP="00AF1409">
            <w:pPr>
              <w:spacing w:line="240" w:lineRule="auto"/>
              <w:rPr>
                <w:rFonts w:eastAsia="Calibri" w:cs="Times New Roman"/>
              </w:rPr>
            </w:pPr>
            <w:r w:rsidRPr="007A7C51">
              <w:rPr>
                <w:rFonts w:eastAsia="Calibri" w:cs="Times New Roman"/>
              </w:rPr>
              <w:t>Human Growth Hormone</w:t>
            </w:r>
          </w:p>
        </w:tc>
        <w:tc>
          <w:tcPr>
            <w:tcW w:w="1559" w:type="dxa"/>
          </w:tcPr>
          <w:p w14:paraId="0BCC5633" w14:textId="77777777" w:rsidR="00303D5A" w:rsidRPr="007A7C51" w:rsidRDefault="00303D5A" w:rsidP="00AF1409">
            <w:pPr>
              <w:spacing w:line="240" w:lineRule="auto"/>
              <w:rPr>
                <w:rFonts w:eastAsia="Calibri" w:cs="Times New Roman"/>
              </w:rPr>
            </w:pPr>
            <w:r w:rsidRPr="007A7C51">
              <w:rPr>
                <w:rFonts w:eastAsia="Calibri" w:cs="Times New Roman"/>
              </w:rPr>
              <w:t xml:space="preserve">UK </w:t>
            </w:r>
          </w:p>
        </w:tc>
        <w:tc>
          <w:tcPr>
            <w:tcW w:w="1134" w:type="dxa"/>
          </w:tcPr>
          <w:p w14:paraId="3913A79D" w14:textId="77777777" w:rsidR="00303D5A" w:rsidRPr="007A7C51" w:rsidRDefault="00303D5A" w:rsidP="00AF1409">
            <w:pPr>
              <w:spacing w:line="240" w:lineRule="auto"/>
              <w:rPr>
                <w:rFonts w:eastAsia="Calibri" w:cs="Times New Roman"/>
              </w:rPr>
            </w:pPr>
            <w:r w:rsidRPr="007A7C51">
              <w:rPr>
                <w:rFonts w:eastAsia="Calibri" w:cs="Times New Roman"/>
              </w:rPr>
              <w:t>22</w:t>
            </w:r>
          </w:p>
        </w:tc>
      </w:tr>
      <w:tr w:rsidR="0037182C" w:rsidRPr="007A7C51" w14:paraId="032585F4" w14:textId="77777777" w:rsidTr="00931EC4">
        <w:tc>
          <w:tcPr>
            <w:tcW w:w="1555" w:type="dxa"/>
          </w:tcPr>
          <w:p w14:paraId="465644F7" w14:textId="2F9F4207" w:rsidR="00303D5A" w:rsidRPr="007A7C51" w:rsidRDefault="00303D5A" w:rsidP="0076576E">
            <w:pPr>
              <w:spacing w:line="240" w:lineRule="auto"/>
              <w:rPr>
                <w:rFonts w:eastAsia="Calibri" w:cs="Times New Roman"/>
              </w:rPr>
            </w:pPr>
            <w:r w:rsidRPr="007A7C51">
              <w:rPr>
                <w:rFonts w:eastAsia="Calibri" w:cs="Times New Roman"/>
              </w:rPr>
              <w:t xml:space="preserve">Wroe </w:t>
            </w:r>
            <w:r w:rsidR="00B301D6" w:rsidRPr="00B301D6">
              <w:rPr>
                <w:rFonts w:eastAsia="Calibri" w:cs="Times New Roman"/>
                <w:i/>
              </w:rPr>
              <w:t>et al</w:t>
            </w:r>
            <w:r w:rsidR="00CC3D67" w:rsidRPr="007A7C51">
              <w:rPr>
                <w:rFonts w:eastAsia="Calibri" w:cs="Times New Roman"/>
              </w:rPr>
              <w:t xml:space="preserve"> </w:t>
            </w:r>
            <w:r w:rsidR="00140508">
              <w:rPr>
                <w:rFonts w:eastAsia="Calibri" w:cs="Times New Roman"/>
              </w:rPr>
              <w:t>(</w:t>
            </w:r>
            <w:r w:rsidRPr="007A7C51">
              <w:rPr>
                <w:rFonts w:eastAsia="Calibri" w:cs="Times New Roman"/>
              </w:rPr>
              <w:t>2006</w:t>
            </w:r>
            <w:r w:rsidR="00140508">
              <w:rPr>
                <w:rFonts w:eastAsia="Calibri" w:cs="Times New Roman"/>
              </w:rPr>
              <w:t>)</w:t>
            </w:r>
            <w:r w:rsidR="0037182C" w:rsidRPr="007A7C51">
              <w:rPr>
                <w:rFonts w:eastAsia="Calibri" w:cs="Times New Roman"/>
              </w:rPr>
              <w:fldChar w:fldCharType="begin"/>
            </w:r>
            <w:r w:rsidR="0076576E">
              <w:rPr>
                <w:rFonts w:eastAsia="Calibri" w:cs="Times New Roman"/>
              </w:rPr>
              <w:instrText xml:space="preserve"> ADDIN EN.CITE &lt;EndNote&gt;&lt;Cite&gt;&lt;Author&gt;Wroe&lt;/Author&gt;&lt;Year&gt;2006&lt;/Year&gt;&lt;RecNum&gt;9732&lt;/RecNum&gt;&lt;DisplayText&gt;&lt;style face="superscript"&gt;137&lt;/style&gt;&lt;/DisplayText&gt;&lt;record&gt;&lt;rec-number&gt;9732&lt;/rec-number&gt;&lt;foreign-keys&gt;&lt;key app="EN" db-id="vrp0pptazv05wtesfz5vrzsj2p0rv09ttsa9" timestamp="1511786612" guid="852093f9-9783-495d-83ca-a316b40a4c02"&gt;9732&lt;/key&gt;&lt;/foreign-keys&gt;&lt;ref-type name="Journal Article"&gt;17&lt;/ref-type&gt;&lt;contributors&gt;&lt;authors&gt;&lt;author&gt;Wroe, S.J.&lt;/author&gt;&lt;/authors&gt;&lt;/contributors&gt;&lt;titles&gt;&lt;title&gt;Clinical presentation and pre-mortem diagnosis of variant Creutzfeldt–Jakob disease associated with blood transfusion: a case report&lt;/title&gt;&lt;secondary-title&gt;Lancet&lt;/secondary-title&gt;&lt;/titles&gt;&lt;periodical&gt;&lt;full-title&gt;Lancet&lt;/full-title&gt;&lt;/periodical&gt;&lt;pages&gt;2061-2067&lt;/pages&gt;&lt;volume&gt;368&lt;/volume&gt;&lt;keywords&gt;&lt;keyword&gt;$$CC_3_TSE incubation&lt;/keyword&gt;&lt;keyword&gt;$$references&lt;/keyword&gt;&lt;keyword&gt;$$Lesley google&lt;/keyword&gt;&lt;keyword&gt;$$CJD relevant&lt;/keyword&gt;&lt;/keywords&gt;&lt;dates&gt;&lt;year&gt;2006&lt;/year&gt;&lt;/dates&gt;&lt;urls&gt;&lt;/urls&gt;&lt;electronic-resource-num&gt;10.1016/S0140-6736(06)69835-8&lt;/electronic-resource-num&gt;&lt;/record&gt;&lt;/Cite&gt;&lt;/EndNote&gt;</w:instrText>
            </w:r>
            <w:r w:rsidR="0037182C" w:rsidRPr="007A7C51">
              <w:rPr>
                <w:rFonts w:eastAsia="Calibri" w:cs="Times New Roman"/>
              </w:rPr>
              <w:fldChar w:fldCharType="separate"/>
            </w:r>
            <w:r w:rsidR="0076576E" w:rsidRPr="0076576E">
              <w:rPr>
                <w:rFonts w:eastAsia="Calibri" w:cs="Times New Roman"/>
                <w:noProof/>
                <w:vertAlign w:val="superscript"/>
              </w:rPr>
              <w:t>137</w:t>
            </w:r>
            <w:r w:rsidR="0037182C" w:rsidRPr="007A7C51">
              <w:rPr>
                <w:rFonts w:eastAsia="Calibri" w:cs="Times New Roman"/>
              </w:rPr>
              <w:fldChar w:fldCharType="end"/>
            </w:r>
          </w:p>
        </w:tc>
        <w:tc>
          <w:tcPr>
            <w:tcW w:w="2551" w:type="dxa"/>
          </w:tcPr>
          <w:p w14:paraId="76A09144" w14:textId="77777777" w:rsidR="00303D5A" w:rsidRPr="007A7C51" w:rsidRDefault="00303D5A" w:rsidP="00AF1409">
            <w:pPr>
              <w:spacing w:line="240" w:lineRule="auto"/>
              <w:rPr>
                <w:rFonts w:eastAsia="Calibri" w:cs="Times New Roman"/>
              </w:rPr>
            </w:pPr>
            <w:r w:rsidRPr="007A7C51">
              <w:rPr>
                <w:rFonts w:eastAsia="Calibri" w:cs="Times New Roman"/>
              </w:rPr>
              <w:t>Case study</w:t>
            </w:r>
          </w:p>
        </w:tc>
        <w:tc>
          <w:tcPr>
            <w:tcW w:w="1337" w:type="dxa"/>
          </w:tcPr>
          <w:p w14:paraId="08F1E03B" w14:textId="77777777" w:rsidR="00303D5A" w:rsidRPr="007A7C51" w:rsidRDefault="00303D5A" w:rsidP="00AF1409">
            <w:pPr>
              <w:spacing w:line="240" w:lineRule="auto"/>
              <w:rPr>
                <w:rFonts w:eastAsia="Calibri" w:cs="Times New Roman"/>
              </w:rPr>
            </w:pPr>
            <w:r w:rsidRPr="007A7C51">
              <w:rPr>
                <w:rFonts w:eastAsia="Calibri" w:cs="Times New Roman"/>
              </w:rPr>
              <w:t>iCJD</w:t>
            </w:r>
          </w:p>
        </w:tc>
        <w:tc>
          <w:tcPr>
            <w:tcW w:w="2207" w:type="dxa"/>
          </w:tcPr>
          <w:p w14:paraId="4233FB18" w14:textId="77777777" w:rsidR="00303D5A" w:rsidRPr="007A7C51" w:rsidRDefault="00303D5A" w:rsidP="00AF1409">
            <w:pPr>
              <w:spacing w:line="240" w:lineRule="auto"/>
              <w:rPr>
                <w:rFonts w:eastAsia="Calibri" w:cs="Times New Roman"/>
              </w:rPr>
            </w:pPr>
            <w:r w:rsidRPr="007A7C51">
              <w:rPr>
                <w:rFonts w:eastAsia="Calibri" w:cs="Times New Roman"/>
              </w:rPr>
              <w:t>Blood products</w:t>
            </w:r>
          </w:p>
        </w:tc>
        <w:tc>
          <w:tcPr>
            <w:tcW w:w="1559" w:type="dxa"/>
          </w:tcPr>
          <w:p w14:paraId="5F34A261" w14:textId="77777777" w:rsidR="00303D5A" w:rsidRPr="007A7C51" w:rsidRDefault="00303D5A" w:rsidP="00AF1409">
            <w:pPr>
              <w:spacing w:line="240" w:lineRule="auto"/>
              <w:rPr>
                <w:rFonts w:eastAsia="Calibri" w:cs="Times New Roman"/>
              </w:rPr>
            </w:pPr>
            <w:r w:rsidRPr="007A7C51">
              <w:rPr>
                <w:rFonts w:eastAsia="Calibri" w:cs="Times New Roman"/>
              </w:rPr>
              <w:t>UK</w:t>
            </w:r>
          </w:p>
        </w:tc>
        <w:tc>
          <w:tcPr>
            <w:tcW w:w="1134" w:type="dxa"/>
          </w:tcPr>
          <w:p w14:paraId="01465B34" w14:textId="77777777" w:rsidR="00303D5A" w:rsidRPr="007A7C51" w:rsidRDefault="00303D5A" w:rsidP="00AF1409">
            <w:pPr>
              <w:spacing w:line="240" w:lineRule="auto"/>
              <w:rPr>
                <w:rFonts w:eastAsia="Calibri" w:cs="Times New Roman"/>
              </w:rPr>
            </w:pPr>
            <w:r w:rsidRPr="007A7C51">
              <w:rPr>
                <w:rFonts w:eastAsia="Calibri" w:cs="Times New Roman"/>
              </w:rPr>
              <w:t>1</w:t>
            </w:r>
          </w:p>
        </w:tc>
      </w:tr>
    </w:tbl>
    <w:p w14:paraId="7417D40E" w14:textId="77777777" w:rsidR="005B044D" w:rsidRDefault="005B044D" w:rsidP="001558F7">
      <w:pPr>
        <w:jc w:val="both"/>
        <w:rPr>
          <w:rFonts w:eastAsia="Calibri" w:cs="Times New Roman"/>
          <w:lang w:val="en"/>
        </w:rPr>
      </w:pPr>
    </w:p>
    <w:p w14:paraId="640A8F8B" w14:textId="355E0CA5" w:rsidR="00303D5A" w:rsidRPr="007A7C51" w:rsidRDefault="00303D5A" w:rsidP="001558F7">
      <w:pPr>
        <w:jc w:val="both"/>
        <w:rPr>
          <w:rFonts w:eastAsia="Calibri" w:cs="Times New Roman"/>
          <w:lang w:val="en"/>
        </w:rPr>
      </w:pPr>
      <w:r w:rsidRPr="007A7C51">
        <w:rPr>
          <w:rFonts w:eastAsia="Calibri" w:cs="Times New Roman"/>
          <w:lang w:val="en"/>
        </w:rPr>
        <w:t>The diagnosis of definite or probable iCJD depends on identification of the probable source of contamination to which patients have been exposed, as well as fulfilling the basic requirements for the definite or probable diagnosis of CJD. Wherever possible, only the most recent and/or up-to-date data are presented, unless there is potential value in comparisons with data from earlier samples or earlier publications</w:t>
      </w:r>
      <w:r w:rsidR="00635170">
        <w:rPr>
          <w:rFonts w:eastAsia="Calibri" w:cs="Times New Roman"/>
          <w:lang w:val="en"/>
        </w:rPr>
        <w:t xml:space="preserve"> which</w:t>
      </w:r>
      <w:r w:rsidRPr="007A7C51">
        <w:rPr>
          <w:rFonts w:eastAsia="Calibri" w:cs="Times New Roman"/>
          <w:lang w:val="en"/>
        </w:rPr>
        <w:t xml:space="preserve"> provide relevant details</w:t>
      </w:r>
      <w:r w:rsidR="00635170">
        <w:rPr>
          <w:rFonts w:eastAsia="Calibri" w:cs="Times New Roman"/>
          <w:lang w:val="en"/>
        </w:rPr>
        <w:t xml:space="preserve"> that are</w:t>
      </w:r>
      <w:r w:rsidRPr="007A7C51">
        <w:rPr>
          <w:rFonts w:eastAsia="Calibri" w:cs="Times New Roman"/>
          <w:lang w:val="en"/>
        </w:rPr>
        <w:t xml:space="preserve"> not reproduced in the more recent papers.</w:t>
      </w:r>
    </w:p>
    <w:p w14:paraId="11B0742D" w14:textId="77777777" w:rsidR="00851AC2" w:rsidRDefault="00851AC2">
      <w:pPr>
        <w:spacing w:after="160" w:line="259" w:lineRule="auto"/>
        <w:rPr>
          <w:b/>
          <w:iCs/>
          <w:szCs w:val="18"/>
        </w:rPr>
      </w:pPr>
      <w:bookmarkStart w:id="50" w:name="_Ref506969365"/>
      <w:r>
        <w:br w:type="page"/>
      </w:r>
    </w:p>
    <w:p w14:paraId="529ACCAE" w14:textId="1F4DF3B3" w:rsidR="000A18AA" w:rsidRDefault="000A18AA" w:rsidP="001558F7">
      <w:pPr>
        <w:pStyle w:val="Caption"/>
        <w:keepNext/>
        <w:spacing w:line="360" w:lineRule="auto"/>
        <w:ind w:left="1440" w:hanging="1440"/>
      </w:pPr>
      <w:bookmarkStart w:id="51" w:name="_Toc525106694"/>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7</w:t>
      </w:r>
      <w:r w:rsidR="00F62DB8">
        <w:rPr>
          <w:noProof/>
        </w:rPr>
        <w:fldChar w:fldCharType="end"/>
      </w:r>
      <w:bookmarkEnd w:id="50"/>
      <w:r w:rsidRPr="004117C1">
        <w:t>:</w:t>
      </w:r>
      <w:r w:rsidR="001558F7">
        <w:tab/>
      </w:r>
      <w:r w:rsidRPr="004117C1">
        <w:t>Reported number of cases of iCJD (worldwide and UK) and incubation periods (mean and range)</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936"/>
        <w:gridCol w:w="716"/>
        <w:gridCol w:w="1363"/>
        <w:gridCol w:w="1457"/>
        <w:gridCol w:w="2678"/>
      </w:tblGrid>
      <w:tr w:rsidR="00303D5A" w:rsidRPr="007A7C51" w14:paraId="15EE5527" w14:textId="77777777" w:rsidTr="00D25530">
        <w:tc>
          <w:tcPr>
            <w:tcW w:w="1866" w:type="dxa"/>
          </w:tcPr>
          <w:p w14:paraId="023D4CEE" w14:textId="77777777" w:rsidR="00303D5A" w:rsidRPr="007A7C51" w:rsidRDefault="00303D5A" w:rsidP="001558F7">
            <w:pPr>
              <w:spacing w:line="240" w:lineRule="auto"/>
              <w:rPr>
                <w:rFonts w:eastAsia="Calibri" w:cs="Times New Roman"/>
              </w:rPr>
            </w:pPr>
            <w:r w:rsidRPr="007A7C51">
              <w:rPr>
                <w:rFonts w:eastAsia="Calibri" w:cs="Times New Roman"/>
              </w:rPr>
              <w:t>Source of infection</w:t>
            </w:r>
          </w:p>
        </w:tc>
        <w:tc>
          <w:tcPr>
            <w:tcW w:w="1652" w:type="dxa"/>
            <w:gridSpan w:val="2"/>
          </w:tcPr>
          <w:p w14:paraId="04BD0422" w14:textId="77777777" w:rsidR="00303D5A" w:rsidRPr="007A7C51" w:rsidRDefault="00303D5A" w:rsidP="001558F7">
            <w:pPr>
              <w:spacing w:line="240" w:lineRule="auto"/>
              <w:rPr>
                <w:rFonts w:eastAsia="Calibri" w:cs="Times New Roman"/>
              </w:rPr>
            </w:pPr>
            <w:r w:rsidRPr="007A7C51">
              <w:rPr>
                <w:rFonts w:eastAsia="Calibri" w:cs="Times New Roman"/>
              </w:rPr>
              <w:t>No. cases</w:t>
            </w:r>
          </w:p>
        </w:tc>
        <w:tc>
          <w:tcPr>
            <w:tcW w:w="2820" w:type="dxa"/>
            <w:gridSpan w:val="2"/>
          </w:tcPr>
          <w:p w14:paraId="62542C46" w14:textId="77777777" w:rsidR="00303D5A" w:rsidRPr="007A7C51" w:rsidRDefault="00303D5A" w:rsidP="001558F7">
            <w:pPr>
              <w:spacing w:line="240" w:lineRule="auto"/>
              <w:rPr>
                <w:rFonts w:eastAsia="Calibri" w:cs="Times New Roman"/>
              </w:rPr>
            </w:pPr>
            <w:r w:rsidRPr="007A7C51">
              <w:rPr>
                <w:rFonts w:eastAsia="Calibri" w:cs="Times New Roman"/>
              </w:rPr>
              <w:t>Incubation periods for overall data</w:t>
            </w:r>
          </w:p>
        </w:tc>
        <w:tc>
          <w:tcPr>
            <w:tcW w:w="2678" w:type="dxa"/>
          </w:tcPr>
          <w:p w14:paraId="5233526F" w14:textId="77777777" w:rsidR="00303D5A" w:rsidRPr="007A7C51" w:rsidRDefault="00303D5A" w:rsidP="001558F7">
            <w:pPr>
              <w:spacing w:line="240" w:lineRule="auto"/>
              <w:rPr>
                <w:rFonts w:eastAsia="Calibri" w:cs="Times New Roman"/>
              </w:rPr>
            </w:pPr>
            <w:r w:rsidRPr="007A7C51">
              <w:rPr>
                <w:rFonts w:eastAsia="Calibri" w:cs="Times New Roman"/>
              </w:rPr>
              <w:t>Studies / reports</w:t>
            </w:r>
          </w:p>
        </w:tc>
      </w:tr>
      <w:tr w:rsidR="00303D5A" w:rsidRPr="007A7C51" w14:paraId="2802D4FE" w14:textId="77777777" w:rsidTr="00D25530">
        <w:tc>
          <w:tcPr>
            <w:tcW w:w="1866" w:type="dxa"/>
          </w:tcPr>
          <w:p w14:paraId="73457110" w14:textId="77777777" w:rsidR="00303D5A" w:rsidRPr="007A7C51" w:rsidRDefault="00303D5A" w:rsidP="001558F7">
            <w:pPr>
              <w:spacing w:line="240" w:lineRule="auto"/>
              <w:rPr>
                <w:rFonts w:eastAsia="Calibri" w:cs="Times New Roman"/>
              </w:rPr>
            </w:pPr>
          </w:p>
        </w:tc>
        <w:tc>
          <w:tcPr>
            <w:tcW w:w="936" w:type="dxa"/>
          </w:tcPr>
          <w:p w14:paraId="4A0F5FFC" w14:textId="77777777" w:rsidR="00303D5A" w:rsidRPr="007A7C51" w:rsidRDefault="00303D5A" w:rsidP="001558F7">
            <w:pPr>
              <w:spacing w:line="240" w:lineRule="auto"/>
              <w:rPr>
                <w:rFonts w:eastAsia="Calibri" w:cs="Times New Roman"/>
              </w:rPr>
            </w:pPr>
            <w:r w:rsidRPr="007A7C51">
              <w:rPr>
                <w:rFonts w:eastAsia="Calibri" w:cs="Times New Roman"/>
              </w:rPr>
              <w:t>Overall</w:t>
            </w:r>
          </w:p>
        </w:tc>
        <w:tc>
          <w:tcPr>
            <w:tcW w:w="716" w:type="dxa"/>
          </w:tcPr>
          <w:p w14:paraId="4AE2130C" w14:textId="77777777" w:rsidR="00303D5A" w:rsidRPr="007A7C51" w:rsidRDefault="00303D5A" w:rsidP="001558F7">
            <w:pPr>
              <w:spacing w:line="240" w:lineRule="auto"/>
              <w:rPr>
                <w:rFonts w:eastAsia="Calibri" w:cs="Times New Roman"/>
              </w:rPr>
            </w:pPr>
            <w:r w:rsidRPr="007A7C51">
              <w:rPr>
                <w:rFonts w:eastAsia="Calibri" w:cs="Times New Roman"/>
              </w:rPr>
              <w:t>UK only</w:t>
            </w:r>
          </w:p>
        </w:tc>
        <w:tc>
          <w:tcPr>
            <w:tcW w:w="1363" w:type="dxa"/>
          </w:tcPr>
          <w:p w14:paraId="5E019EA8" w14:textId="77777777" w:rsidR="00303D5A" w:rsidRPr="007A7C51" w:rsidRDefault="00303D5A" w:rsidP="001558F7">
            <w:pPr>
              <w:spacing w:line="240" w:lineRule="auto"/>
              <w:rPr>
                <w:rFonts w:eastAsia="Calibri" w:cs="Times New Roman"/>
              </w:rPr>
            </w:pPr>
            <w:r w:rsidRPr="007A7C51">
              <w:rPr>
                <w:rFonts w:eastAsia="Calibri" w:cs="Times New Roman"/>
              </w:rPr>
              <w:t xml:space="preserve">mean, years </w:t>
            </w:r>
          </w:p>
        </w:tc>
        <w:tc>
          <w:tcPr>
            <w:tcW w:w="1457" w:type="dxa"/>
          </w:tcPr>
          <w:p w14:paraId="7F307110" w14:textId="77777777" w:rsidR="00303D5A" w:rsidRPr="007A7C51" w:rsidRDefault="00303D5A" w:rsidP="001558F7">
            <w:pPr>
              <w:spacing w:line="240" w:lineRule="auto"/>
              <w:rPr>
                <w:rFonts w:eastAsia="Calibri" w:cs="Times New Roman"/>
              </w:rPr>
            </w:pPr>
            <w:r w:rsidRPr="007A7C51">
              <w:rPr>
                <w:rFonts w:eastAsia="Calibri" w:cs="Times New Roman"/>
              </w:rPr>
              <w:t>(range, years)</w:t>
            </w:r>
          </w:p>
        </w:tc>
        <w:tc>
          <w:tcPr>
            <w:tcW w:w="2678" w:type="dxa"/>
          </w:tcPr>
          <w:p w14:paraId="006E7172" w14:textId="77777777" w:rsidR="00303D5A" w:rsidRPr="007A7C51" w:rsidRDefault="00303D5A" w:rsidP="001558F7">
            <w:pPr>
              <w:spacing w:line="240" w:lineRule="auto"/>
              <w:rPr>
                <w:rFonts w:eastAsia="Calibri" w:cs="Times New Roman"/>
              </w:rPr>
            </w:pPr>
          </w:p>
        </w:tc>
      </w:tr>
      <w:tr w:rsidR="00303D5A" w:rsidRPr="007A7C51" w14:paraId="2A6702C5" w14:textId="77777777" w:rsidTr="00D25530">
        <w:tc>
          <w:tcPr>
            <w:tcW w:w="1866" w:type="dxa"/>
          </w:tcPr>
          <w:p w14:paraId="0FB1DF0E" w14:textId="77777777" w:rsidR="00303D5A" w:rsidRPr="007A7C51" w:rsidRDefault="00303D5A" w:rsidP="001558F7">
            <w:pPr>
              <w:spacing w:line="240" w:lineRule="auto"/>
              <w:rPr>
                <w:rFonts w:eastAsia="Calibri" w:cs="Times New Roman"/>
              </w:rPr>
            </w:pPr>
            <w:r w:rsidRPr="007A7C51">
              <w:rPr>
                <w:rFonts w:eastAsia="Calibri" w:cs="Times New Roman"/>
              </w:rPr>
              <w:t>Primary transmission</w:t>
            </w:r>
          </w:p>
        </w:tc>
        <w:tc>
          <w:tcPr>
            <w:tcW w:w="7150" w:type="dxa"/>
            <w:gridSpan w:val="5"/>
          </w:tcPr>
          <w:p w14:paraId="35C6E5B4" w14:textId="77777777" w:rsidR="00303D5A" w:rsidRPr="007A7C51" w:rsidRDefault="00303D5A" w:rsidP="001558F7">
            <w:pPr>
              <w:spacing w:line="240" w:lineRule="auto"/>
              <w:rPr>
                <w:rFonts w:eastAsia="Calibri" w:cs="Times New Roman"/>
              </w:rPr>
            </w:pPr>
          </w:p>
        </w:tc>
      </w:tr>
      <w:tr w:rsidR="00303D5A" w:rsidRPr="007A7C51" w14:paraId="614DDE02" w14:textId="77777777" w:rsidTr="00D25530">
        <w:tc>
          <w:tcPr>
            <w:tcW w:w="1866" w:type="dxa"/>
          </w:tcPr>
          <w:p w14:paraId="4CE20F97" w14:textId="77777777" w:rsidR="00303D5A" w:rsidRPr="007A7C51" w:rsidRDefault="00303D5A" w:rsidP="001558F7">
            <w:pPr>
              <w:spacing w:line="240" w:lineRule="auto"/>
              <w:rPr>
                <w:rFonts w:eastAsia="Calibri" w:cs="Times New Roman"/>
              </w:rPr>
            </w:pPr>
            <w:r w:rsidRPr="007A7C51">
              <w:rPr>
                <w:rFonts w:eastAsia="Calibri" w:cs="Times New Roman"/>
              </w:rPr>
              <w:t>vCJD from ingestion / BSE</w:t>
            </w:r>
          </w:p>
        </w:tc>
        <w:tc>
          <w:tcPr>
            <w:tcW w:w="936" w:type="dxa"/>
          </w:tcPr>
          <w:p w14:paraId="177CED66" w14:textId="77777777" w:rsidR="00303D5A" w:rsidRPr="007A7C51" w:rsidRDefault="00303D5A" w:rsidP="001558F7">
            <w:pPr>
              <w:spacing w:line="240" w:lineRule="auto"/>
              <w:rPr>
                <w:rFonts w:eastAsia="Calibri" w:cs="Times New Roman"/>
              </w:rPr>
            </w:pPr>
            <w:r w:rsidRPr="007A7C51">
              <w:rPr>
                <w:rFonts w:eastAsia="Calibri" w:cs="Times New Roman"/>
              </w:rPr>
              <w:t>229</w:t>
            </w:r>
          </w:p>
          <w:p w14:paraId="2EAC17DB" w14:textId="77777777" w:rsidR="00303D5A" w:rsidRPr="007A7C51" w:rsidRDefault="00303D5A" w:rsidP="001558F7">
            <w:pPr>
              <w:spacing w:line="240" w:lineRule="auto"/>
              <w:rPr>
                <w:rFonts w:eastAsia="Calibri" w:cs="Times New Roman"/>
              </w:rPr>
            </w:pPr>
          </w:p>
        </w:tc>
        <w:tc>
          <w:tcPr>
            <w:tcW w:w="716" w:type="dxa"/>
          </w:tcPr>
          <w:p w14:paraId="1B1BF012" w14:textId="64680D22" w:rsidR="00303D5A" w:rsidRPr="007A7C51" w:rsidRDefault="00303D5A" w:rsidP="001558F7">
            <w:pPr>
              <w:spacing w:line="240" w:lineRule="auto"/>
              <w:rPr>
                <w:rFonts w:eastAsia="Calibri" w:cs="Times New Roman"/>
              </w:rPr>
            </w:pPr>
            <w:r w:rsidRPr="007A7C51">
              <w:rPr>
                <w:rFonts w:eastAsia="Calibri" w:cs="Times New Roman"/>
              </w:rPr>
              <w:t>175</w:t>
            </w:r>
            <w:r w:rsidR="001558F7" w:rsidRPr="001558F7">
              <w:rPr>
                <w:rFonts w:eastAsia="Calibri" w:cs="Times New Roman"/>
                <w:vertAlign w:val="superscript"/>
              </w:rPr>
              <w:t>a</w:t>
            </w:r>
          </w:p>
        </w:tc>
        <w:tc>
          <w:tcPr>
            <w:tcW w:w="1363" w:type="dxa"/>
          </w:tcPr>
          <w:p w14:paraId="19D5AF45" w14:textId="77777777" w:rsidR="00303D5A" w:rsidRPr="007A7C51" w:rsidRDefault="00303D5A" w:rsidP="001558F7">
            <w:pPr>
              <w:spacing w:line="240" w:lineRule="auto"/>
              <w:rPr>
                <w:rFonts w:eastAsia="Calibri" w:cs="Times New Roman"/>
              </w:rPr>
            </w:pPr>
            <w:r w:rsidRPr="007A7C51">
              <w:rPr>
                <w:rFonts w:eastAsia="Calibri" w:cs="Times New Roman"/>
              </w:rPr>
              <w:t>12</w:t>
            </w:r>
            <w:r w:rsidRPr="007A7C51">
              <w:rPr>
                <w:rFonts w:eastAsia="Calibri" w:cs="Times New Roman"/>
                <w:vertAlign w:val="superscript"/>
              </w:rPr>
              <w:t xml:space="preserve"> </w:t>
            </w:r>
          </w:p>
        </w:tc>
        <w:tc>
          <w:tcPr>
            <w:tcW w:w="1457" w:type="dxa"/>
          </w:tcPr>
          <w:p w14:paraId="35B19D8B" w14:textId="77777777" w:rsidR="00303D5A" w:rsidRPr="007A7C51" w:rsidRDefault="00303D5A" w:rsidP="001558F7">
            <w:pPr>
              <w:spacing w:line="240" w:lineRule="auto"/>
              <w:rPr>
                <w:rFonts w:eastAsia="Calibri" w:cs="Times New Roman"/>
              </w:rPr>
            </w:pPr>
            <w:r w:rsidRPr="007A7C51">
              <w:rPr>
                <w:rFonts w:eastAsia="Calibri" w:cs="Times New Roman"/>
              </w:rPr>
              <w:t>(-)</w:t>
            </w:r>
          </w:p>
        </w:tc>
        <w:tc>
          <w:tcPr>
            <w:tcW w:w="2678" w:type="dxa"/>
          </w:tcPr>
          <w:p w14:paraId="79F5AF2A" w14:textId="2B8A427D" w:rsidR="00303D5A" w:rsidRPr="007A7C51" w:rsidRDefault="00303D5A" w:rsidP="0076576E">
            <w:pPr>
              <w:spacing w:line="240" w:lineRule="auto"/>
              <w:rPr>
                <w:rFonts w:eastAsia="Calibri" w:cs="Times New Roman"/>
              </w:rPr>
            </w:pPr>
            <w:r w:rsidRPr="007A7C51">
              <w:rPr>
                <w:rFonts w:eastAsia="Calibri" w:cs="Times New Roman"/>
              </w:rPr>
              <w:t xml:space="preserve">Haik </w:t>
            </w:r>
            <w:r w:rsidR="00E17006" w:rsidRPr="007A7C51">
              <w:rPr>
                <w:rFonts w:eastAsia="Calibri" w:cs="Times New Roman"/>
              </w:rPr>
              <w:t>(</w:t>
            </w:r>
            <w:r w:rsidRPr="007A7C51">
              <w:rPr>
                <w:rFonts w:eastAsia="Calibri" w:cs="Times New Roman"/>
              </w:rPr>
              <w:t>2014</w:t>
            </w:r>
            <w:r w:rsidR="00E17006" w:rsidRPr="007A7C51">
              <w:rPr>
                <w:rFonts w:eastAsia="Calibri" w:cs="Times New Roman"/>
              </w:rPr>
              <w:t>)</w:t>
            </w:r>
            <w:r w:rsidR="00FC6175" w:rsidRPr="007A7C51">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76576E" w:rsidRPr="0076576E">
              <w:rPr>
                <w:rFonts w:eastAsia="Calibri" w:cs="Times New Roman"/>
                <w:noProof/>
                <w:vertAlign w:val="superscript"/>
              </w:rPr>
              <w:t>131</w:t>
            </w:r>
            <w:r w:rsidR="00FC6175" w:rsidRPr="007A7C51">
              <w:rPr>
                <w:rFonts w:eastAsia="Calibri" w:cs="Times New Roman"/>
              </w:rPr>
              <w:fldChar w:fldCharType="end"/>
            </w:r>
            <w:r w:rsidRPr="007A7C51">
              <w:rPr>
                <w:rFonts w:eastAsia="Calibri" w:cs="Times New Roman"/>
              </w:rPr>
              <w:t>, N</w:t>
            </w:r>
            <w:r w:rsidR="003E16C9" w:rsidRPr="007A7C51">
              <w:rPr>
                <w:rFonts w:eastAsia="Calibri" w:cs="Times New Roman"/>
              </w:rPr>
              <w:t>CJDRSU (</w:t>
            </w:r>
            <w:r w:rsidRPr="007A7C51">
              <w:rPr>
                <w:rFonts w:eastAsia="Calibri" w:cs="Times New Roman"/>
              </w:rPr>
              <w:t>2017</w:t>
            </w:r>
            <w:r w:rsidR="003E16C9" w:rsidRPr="007A7C51">
              <w:rPr>
                <w:rFonts w:eastAsia="Calibri" w:cs="Times New Roman"/>
              </w:rPr>
              <w:t>)</w:t>
            </w:r>
            <w:r w:rsidR="00966B61">
              <w:rPr>
                <w:rFonts w:eastAsia="Calibri" w:cs="Times New Roman"/>
              </w:rPr>
              <w:fldChar w:fldCharType="begin"/>
            </w:r>
            <w:r w:rsidR="0076576E">
              <w:rPr>
                <w:rFonts w:eastAsia="Calibri" w:cs="Times New Roman"/>
              </w:rPr>
              <w:instrText xml:space="preserve"> ADDIN EN.CITE &lt;EndNote&gt;&lt;Cite&gt;&lt;Author&gt;Bryant&lt;/Author&gt;&lt;Year&gt;2015&lt;/Year&gt;&lt;RecNum&gt;10264&lt;/RecNum&gt;&lt;DisplayText&gt;&lt;style face="superscript"&gt;113&lt;/style&gt;&lt;/DisplayText&gt;&lt;record&gt;&lt;rec-number&gt;10264&lt;/rec-number&gt;&lt;foreign-keys&gt;&lt;key app="EN" db-id="vrp0pptazv05wtesfz5vrzsj2p0rv09ttsa9" timestamp="1520851591" guid="c820f3ae-f31e-467b-b33d-95b1b4cf471c"&gt;10264&lt;/key&gt;&lt;/foreign-keys&gt;&lt;ref-type name="Journal Article"&gt;17&lt;/ref-type&gt;&lt;contributors&gt;&lt;authors&gt;&lt;author&gt;Bryant, G&lt;/author&gt;&lt;author&gt;Hewitt, P&lt;/author&gt;&lt;author&gt;Hope, J&lt;/author&gt;&lt;author&gt;Howard, C&lt;/author&gt;&lt;author&gt;Ironside, J&lt;/author&gt;&lt;author&gt;Knight, R&lt;/author&gt;&lt;author&gt;Manson, J&lt;/author&gt;&lt;author&gt;Mead, S&lt;/author&gt;&lt;author&gt;Medley, G&lt;/author&gt;&lt;author&gt;Minor, P&lt;/author&gt;&lt;/authors&gt;&lt;/contributors&gt;&lt;titles&gt;&lt;title&gt;Minimise transmission risk of CJD and vCJD in healthcare settings. Report on the Prevention of CJD and vCJD by Advisory Committee on Dangerous Pathogens&amp;apos; Transmission Spongiform Encephalopathy (ACDP TSE) Subgroup&lt;/title&gt;&lt;/titles&gt;&lt;keywords&gt;&lt;keyword&gt;$$LU_2_surgery transmission risk&lt;/keyword&gt;&lt;keyword&gt;$$CJD relevant&lt;/keyword&gt;&lt;keyword&gt;$$Background&lt;/keyword&gt;&lt;keyword&gt;$$Lesley google&lt;/keyword&gt;&lt;keyword&gt;Infection control&lt;/keyword&gt;&lt;keyword&gt;$$Committee recommended&lt;/keyword&gt;&lt;keyword&gt;$$6_instrument set keeping&lt;/keyword&gt;&lt;/keywords&gt;&lt;dates&gt;&lt;year&gt;2015&lt;/year&gt;&lt;/dates&gt;&lt;urls&gt;&lt;/urls&gt;&lt;/record&gt;&lt;/Cite&gt;&lt;/EndNote&gt;</w:instrText>
            </w:r>
            <w:r w:rsidR="00966B61">
              <w:rPr>
                <w:rFonts w:eastAsia="Calibri" w:cs="Times New Roman"/>
              </w:rPr>
              <w:fldChar w:fldCharType="separate"/>
            </w:r>
            <w:r w:rsidR="0076576E" w:rsidRPr="0076576E">
              <w:rPr>
                <w:rFonts w:eastAsia="Calibri" w:cs="Times New Roman"/>
                <w:noProof/>
                <w:vertAlign w:val="superscript"/>
              </w:rPr>
              <w:t>113</w:t>
            </w:r>
            <w:r w:rsidR="00966B61">
              <w:rPr>
                <w:rFonts w:eastAsia="Calibri" w:cs="Times New Roman"/>
              </w:rPr>
              <w:fldChar w:fldCharType="end"/>
            </w:r>
          </w:p>
        </w:tc>
      </w:tr>
      <w:tr w:rsidR="00303D5A" w:rsidRPr="007A7C51" w14:paraId="2081CD0E" w14:textId="77777777" w:rsidTr="00D25530">
        <w:tc>
          <w:tcPr>
            <w:tcW w:w="1866" w:type="dxa"/>
          </w:tcPr>
          <w:p w14:paraId="034AE765" w14:textId="77777777" w:rsidR="00303D5A" w:rsidRPr="007A7C51" w:rsidRDefault="00303D5A" w:rsidP="001558F7">
            <w:pPr>
              <w:spacing w:line="240" w:lineRule="auto"/>
              <w:rPr>
                <w:rFonts w:eastAsia="Calibri" w:cs="Times New Roman"/>
              </w:rPr>
            </w:pPr>
            <w:r w:rsidRPr="007A7C51">
              <w:rPr>
                <w:rFonts w:eastAsia="Calibri" w:cs="Times New Roman"/>
              </w:rPr>
              <w:t>Kuru</w:t>
            </w:r>
          </w:p>
        </w:tc>
        <w:tc>
          <w:tcPr>
            <w:tcW w:w="936" w:type="dxa"/>
          </w:tcPr>
          <w:p w14:paraId="6B9BBA0C" w14:textId="77777777" w:rsidR="00303D5A" w:rsidRPr="007A7C51" w:rsidRDefault="00303D5A" w:rsidP="001558F7">
            <w:pPr>
              <w:spacing w:line="240" w:lineRule="auto"/>
              <w:rPr>
                <w:rFonts w:eastAsia="Calibri" w:cs="Times New Roman"/>
              </w:rPr>
            </w:pPr>
            <w:r w:rsidRPr="007A7C51">
              <w:rPr>
                <w:rFonts w:eastAsia="Calibri" w:cs="Times New Roman"/>
              </w:rPr>
              <w:t>-</w:t>
            </w:r>
          </w:p>
          <w:p w14:paraId="503D4C95" w14:textId="77777777" w:rsidR="00303D5A" w:rsidRPr="007A7C51" w:rsidRDefault="00303D5A" w:rsidP="001558F7">
            <w:pPr>
              <w:spacing w:line="240" w:lineRule="auto"/>
              <w:rPr>
                <w:rFonts w:eastAsia="Calibri" w:cs="Times New Roman"/>
              </w:rPr>
            </w:pPr>
          </w:p>
        </w:tc>
        <w:tc>
          <w:tcPr>
            <w:tcW w:w="716" w:type="dxa"/>
          </w:tcPr>
          <w:p w14:paraId="5AAFC206" w14:textId="77777777" w:rsidR="00303D5A" w:rsidRPr="007A7C51" w:rsidRDefault="00303D5A" w:rsidP="001558F7">
            <w:pPr>
              <w:spacing w:line="240" w:lineRule="auto"/>
              <w:rPr>
                <w:rFonts w:eastAsia="Calibri" w:cs="Times New Roman"/>
              </w:rPr>
            </w:pPr>
            <w:r w:rsidRPr="007A7C51">
              <w:rPr>
                <w:rFonts w:eastAsia="Calibri" w:cs="Times New Roman"/>
              </w:rPr>
              <w:t>0</w:t>
            </w:r>
          </w:p>
        </w:tc>
        <w:tc>
          <w:tcPr>
            <w:tcW w:w="1363" w:type="dxa"/>
          </w:tcPr>
          <w:p w14:paraId="23B34E7A" w14:textId="77777777" w:rsidR="00303D5A" w:rsidRPr="007A7C51" w:rsidRDefault="00303D5A" w:rsidP="001558F7">
            <w:pPr>
              <w:spacing w:line="240" w:lineRule="auto"/>
              <w:rPr>
                <w:rFonts w:eastAsia="Calibri" w:cs="Times New Roman"/>
              </w:rPr>
            </w:pPr>
            <w:r w:rsidRPr="007A7C51">
              <w:rPr>
                <w:rFonts w:eastAsia="Calibri" w:cs="Times New Roman"/>
              </w:rPr>
              <w:t>12*</w:t>
            </w:r>
          </w:p>
        </w:tc>
        <w:tc>
          <w:tcPr>
            <w:tcW w:w="1457" w:type="dxa"/>
          </w:tcPr>
          <w:p w14:paraId="30D6602F" w14:textId="77777777" w:rsidR="00303D5A" w:rsidRPr="007A7C51" w:rsidRDefault="00303D5A" w:rsidP="001558F7">
            <w:pPr>
              <w:spacing w:line="240" w:lineRule="auto"/>
              <w:rPr>
                <w:rFonts w:eastAsia="Calibri" w:cs="Times New Roman"/>
              </w:rPr>
            </w:pPr>
            <w:r w:rsidRPr="007A7C51">
              <w:rPr>
                <w:rFonts w:eastAsia="Calibri" w:cs="Times New Roman"/>
              </w:rPr>
              <w:t>(4 to &gt;40)</w:t>
            </w:r>
          </w:p>
        </w:tc>
        <w:tc>
          <w:tcPr>
            <w:tcW w:w="2678" w:type="dxa"/>
          </w:tcPr>
          <w:p w14:paraId="2B34B7F4" w14:textId="63979C33" w:rsidR="00303D5A" w:rsidRPr="007A7C51" w:rsidRDefault="00303D5A" w:rsidP="0076576E">
            <w:pPr>
              <w:spacing w:line="240" w:lineRule="auto"/>
              <w:rPr>
                <w:rFonts w:eastAsia="Calibri" w:cs="Times New Roman"/>
              </w:rPr>
            </w:pPr>
            <w:r w:rsidRPr="007A7C51">
              <w:rPr>
                <w:rFonts w:eastAsia="Calibri" w:cs="Times New Roman"/>
              </w:rPr>
              <w:t>Haik 2014</w:t>
            </w:r>
            <w:r w:rsidR="00FC6175" w:rsidRPr="007A7C51">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76576E" w:rsidRPr="0076576E">
              <w:rPr>
                <w:rFonts w:eastAsia="Calibri" w:cs="Times New Roman"/>
                <w:noProof/>
                <w:vertAlign w:val="superscript"/>
              </w:rPr>
              <w:t>131</w:t>
            </w:r>
            <w:r w:rsidR="00FC6175" w:rsidRPr="007A7C51">
              <w:rPr>
                <w:rFonts w:eastAsia="Calibri" w:cs="Times New Roman"/>
              </w:rPr>
              <w:fldChar w:fldCharType="end"/>
            </w:r>
            <w:r w:rsidRPr="007A7C51">
              <w:rPr>
                <w:rFonts w:eastAsia="Calibri" w:cs="Times New Roman"/>
              </w:rPr>
              <w:t xml:space="preserve">, Collinge </w:t>
            </w:r>
            <w:r w:rsidR="003E16C9" w:rsidRPr="007A7C51">
              <w:rPr>
                <w:rFonts w:eastAsia="Calibri" w:cs="Times New Roman"/>
              </w:rPr>
              <w:t>(</w:t>
            </w:r>
            <w:r w:rsidRPr="007A7C51">
              <w:rPr>
                <w:rFonts w:eastAsia="Calibri" w:cs="Times New Roman"/>
              </w:rPr>
              <w:t>2006</w:t>
            </w:r>
            <w:r w:rsidR="003E16C9" w:rsidRPr="007A7C51">
              <w:rPr>
                <w:rFonts w:eastAsia="Calibri" w:cs="Times New Roman"/>
              </w:rPr>
              <w:t>)</w:t>
            </w:r>
            <w:r w:rsidR="00FC6175" w:rsidRPr="007A7C51">
              <w:rPr>
                <w:rFonts w:eastAsia="Calibri" w:cs="Times New Roman"/>
              </w:rPr>
              <w:fldChar w:fldCharType="begin">
                <w:fldData xml:space="preserve">PEVuZE5vdGU+PENpdGU+PEF1dGhvcj5Db2xsaW5nZTwvQXV0aG9yPjxZZWFyPjIwMDY8L1llYXI+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PEVuZE5vdGU+PENpdGU+PEF1dGhvcj5Db2xsaW5nZTwvQXV0aG9yPjxZZWFyPjIwMDY8L1llYXI+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76576E" w:rsidRPr="0076576E">
              <w:rPr>
                <w:rFonts w:eastAsia="Calibri" w:cs="Times New Roman"/>
                <w:noProof/>
                <w:vertAlign w:val="superscript"/>
              </w:rPr>
              <w:t>129</w:t>
            </w:r>
            <w:r w:rsidR="00FC6175" w:rsidRPr="007A7C51">
              <w:rPr>
                <w:rFonts w:eastAsia="Calibri" w:cs="Times New Roman"/>
              </w:rPr>
              <w:fldChar w:fldCharType="end"/>
            </w:r>
            <w:r w:rsidRPr="007A7C51">
              <w:rPr>
                <w:rFonts w:eastAsia="Calibri" w:cs="Times New Roman"/>
              </w:rPr>
              <w:t xml:space="preserve">, Ritchie </w:t>
            </w:r>
            <w:r w:rsidR="003E16C9" w:rsidRPr="007A7C51">
              <w:rPr>
                <w:rFonts w:eastAsia="Calibri" w:cs="Times New Roman"/>
              </w:rPr>
              <w:t>(</w:t>
            </w:r>
            <w:r w:rsidRPr="007A7C51">
              <w:rPr>
                <w:rFonts w:eastAsia="Calibri" w:cs="Times New Roman"/>
              </w:rPr>
              <w:t>2017</w:t>
            </w:r>
            <w:r w:rsidR="003E16C9" w:rsidRPr="007A7C51">
              <w:rPr>
                <w:rFonts w:eastAsia="Calibri" w:cs="Times New Roman"/>
              </w:rPr>
              <w:t>)</w:t>
            </w:r>
            <w:r w:rsidR="00FC6175" w:rsidRPr="007A7C51">
              <w:rPr>
                <w:rFonts w:eastAsia="Calibri" w:cs="Times New Roman"/>
              </w:rPr>
              <w:fldChar w:fldCharType="begin"/>
            </w:r>
            <w:r w:rsidR="0076576E">
              <w:rPr>
                <w:rFonts w:eastAsia="Calibri" w:cs="Times New Roman"/>
              </w:rPr>
              <w:instrText xml:space="preserve"> ADDIN EN.CITE &lt;EndNote&gt;&lt;Cite&gt;&lt;Author&gt;Ritchie&lt;/Author&gt;&lt;Year&gt;2017&lt;/Year&gt;&lt;RecNum&gt;10258&lt;/RecNum&gt;&lt;DisplayText&gt;&lt;style face="superscript"&gt;136&lt;/style&gt;&lt;/DisplayText&gt;&lt;record&gt;&lt;rec-number&gt;10258&lt;/rec-number&gt;&lt;foreign-keys&gt;&lt;key app="EN" db-id="vrp0pptazv05wtesfz5vrzsj2p0rv09ttsa9" timestamp="1520851588" guid="f7449048-5417-4c42-b564-70ee88fa921e"&gt;10258&lt;/key&gt;&lt;/foreign-keys&gt;&lt;ref-type name="Journal Article"&gt;17&lt;/ref-type&gt;&lt;contributors&gt;&lt;authors&gt;&lt;author&gt;Ritchie, Diane L&lt;/author&gt;&lt;author&gt;Barria, Marcelo A&lt;/author&gt;&lt;author&gt;Peden, Alexander H&lt;/author&gt;&lt;author&gt;Yull, Helen M&lt;/author&gt;&lt;author&gt;Kirkpatrick, James&lt;/author&gt;&lt;author&gt;Adlard, Peter&lt;/author&gt;&lt;author&gt;Ironside, James W&lt;/author&gt;&lt;author&gt;Head, Mark W&lt;/author&gt;&lt;/authors&gt;&lt;/contributors&gt;&lt;titles&gt;&lt;title&gt;UK Iatrogenic Creutzfeldt–Jakob disease: investigating human prion transmission across genotypic barriers using human tissue-based and molecular approaches&lt;/title&gt;&lt;secondary-title&gt;Acta neuropathologica&lt;/secondary-title&gt;&lt;/titles&gt;&lt;periodical&gt;&lt;full-title&gt;Acta Neuropathologica&lt;/full-title&gt;&lt;/periodical&gt;&lt;pages&gt;579-595&lt;/pages&gt;&lt;volume&gt;133&lt;/volume&gt;&lt;number&gt;4&lt;/number&gt;&lt;keywords&gt;&lt;keyword&gt;$$CC_3_TSE incubation&lt;/keyword&gt;&lt;keyword&gt;$$Lesley google&lt;/keyword&gt;&lt;keyword&gt;$$CJD relevant&lt;/keyword&gt;&lt;keyword&gt;$$1_prevalence CJD&lt;/keyword&gt;&lt;/keywords&gt;&lt;dates&gt;&lt;year&gt;2017&lt;/year&gt;&lt;/dates&gt;&lt;isbn&gt;0001-6322&lt;/isbn&gt;&lt;urls&gt;&lt;/urls&gt;&lt;/record&gt;&lt;/Cite&gt;&lt;/EndNote&gt;</w:instrText>
            </w:r>
            <w:r w:rsidR="00FC6175" w:rsidRPr="007A7C51">
              <w:rPr>
                <w:rFonts w:eastAsia="Calibri" w:cs="Times New Roman"/>
              </w:rPr>
              <w:fldChar w:fldCharType="separate"/>
            </w:r>
            <w:r w:rsidR="0076576E" w:rsidRPr="0076576E">
              <w:rPr>
                <w:rFonts w:eastAsia="Calibri" w:cs="Times New Roman"/>
                <w:noProof/>
                <w:vertAlign w:val="superscript"/>
              </w:rPr>
              <w:t>136</w:t>
            </w:r>
            <w:r w:rsidR="00FC6175" w:rsidRPr="007A7C51">
              <w:rPr>
                <w:rFonts w:eastAsia="Calibri" w:cs="Times New Roman"/>
              </w:rPr>
              <w:fldChar w:fldCharType="end"/>
            </w:r>
          </w:p>
        </w:tc>
      </w:tr>
      <w:tr w:rsidR="00303D5A" w:rsidRPr="007A7C51" w14:paraId="2931ACE7" w14:textId="77777777" w:rsidTr="00D25530">
        <w:tc>
          <w:tcPr>
            <w:tcW w:w="1866" w:type="dxa"/>
          </w:tcPr>
          <w:p w14:paraId="2EA45B84" w14:textId="77777777" w:rsidR="00303D5A" w:rsidRPr="007A7C51" w:rsidRDefault="00303D5A" w:rsidP="001558F7">
            <w:pPr>
              <w:spacing w:line="240" w:lineRule="auto"/>
              <w:rPr>
                <w:rFonts w:eastAsia="Calibri" w:cs="Times New Roman"/>
              </w:rPr>
            </w:pPr>
            <w:r w:rsidRPr="007A7C51">
              <w:rPr>
                <w:rFonts w:eastAsia="Calibri" w:cs="Times New Roman"/>
              </w:rPr>
              <w:t>Secondary transmission</w:t>
            </w:r>
          </w:p>
        </w:tc>
        <w:tc>
          <w:tcPr>
            <w:tcW w:w="7150" w:type="dxa"/>
            <w:gridSpan w:val="5"/>
          </w:tcPr>
          <w:p w14:paraId="7257B117" w14:textId="77777777" w:rsidR="00303D5A" w:rsidRPr="007A7C51" w:rsidRDefault="00303D5A" w:rsidP="001558F7">
            <w:pPr>
              <w:spacing w:line="240" w:lineRule="auto"/>
              <w:rPr>
                <w:rFonts w:eastAsia="Calibri" w:cs="Times New Roman"/>
              </w:rPr>
            </w:pPr>
          </w:p>
        </w:tc>
      </w:tr>
      <w:tr w:rsidR="00303D5A" w:rsidRPr="007A7C51" w14:paraId="1C82AB40" w14:textId="77777777" w:rsidTr="00D25530">
        <w:tc>
          <w:tcPr>
            <w:tcW w:w="1866" w:type="dxa"/>
          </w:tcPr>
          <w:p w14:paraId="71C2E2F8" w14:textId="77777777" w:rsidR="00303D5A" w:rsidRPr="007A7C51" w:rsidRDefault="00303D5A" w:rsidP="001558F7">
            <w:pPr>
              <w:spacing w:line="240" w:lineRule="auto"/>
              <w:rPr>
                <w:rFonts w:eastAsia="Calibri" w:cs="Times New Roman"/>
              </w:rPr>
            </w:pPr>
            <w:r w:rsidRPr="007A7C51">
              <w:rPr>
                <w:rFonts w:eastAsia="Calibri" w:cs="Times New Roman"/>
              </w:rPr>
              <w:t>Dura mater graft</w:t>
            </w:r>
          </w:p>
        </w:tc>
        <w:tc>
          <w:tcPr>
            <w:tcW w:w="936" w:type="dxa"/>
          </w:tcPr>
          <w:p w14:paraId="5C8A481E" w14:textId="77777777" w:rsidR="00303D5A" w:rsidRPr="007A7C51" w:rsidRDefault="00303D5A" w:rsidP="001558F7">
            <w:pPr>
              <w:spacing w:line="240" w:lineRule="auto"/>
              <w:rPr>
                <w:rFonts w:eastAsia="Calibri" w:cs="Times New Roman"/>
              </w:rPr>
            </w:pPr>
            <w:r w:rsidRPr="007A7C51">
              <w:rPr>
                <w:rFonts w:eastAsia="Calibri" w:cs="Times New Roman"/>
              </w:rPr>
              <w:t>228</w:t>
            </w:r>
          </w:p>
          <w:p w14:paraId="3FFD82D6" w14:textId="77777777" w:rsidR="00303D5A" w:rsidRPr="007A7C51" w:rsidRDefault="00303D5A" w:rsidP="001558F7">
            <w:pPr>
              <w:spacing w:line="240" w:lineRule="auto"/>
              <w:rPr>
                <w:rFonts w:eastAsia="Calibri" w:cs="Times New Roman"/>
              </w:rPr>
            </w:pPr>
          </w:p>
        </w:tc>
        <w:tc>
          <w:tcPr>
            <w:tcW w:w="716" w:type="dxa"/>
          </w:tcPr>
          <w:p w14:paraId="7B9120B5" w14:textId="77777777" w:rsidR="00303D5A" w:rsidRPr="007A7C51" w:rsidRDefault="00303D5A" w:rsidP="001558F7">
            <w:pPr>
              <w:spacing w:line="240" w:lineRule="auto"/>
              <w:rPr>
                <w:rFonts w:eastAsia="Calibri" w:cs="Times New Roman"/>
              </w:rPr>
            </w:pPr>
            <w:r w:rsidRPr="007A7C51">
              <w:rPr>
                <w:rFonts w:eastAsia="Calibri" w:cs="Times New Roman"/>
              </w:rPr>
              <w:t>8</w:t>
            </w:r>
          </w:p>
        </w:tc>
        <w:tc>
          <w:tcPr>
            <w:tcW w:w="1363" w:type="dxa"/>
          </w:tcPr>
          <w:p w14:paraId="09A0BF36" w14:textId="77777777" w:rsidR="00303D5A" w:rsidRPr="007A7C51" w:rsidRDefault="00303D5A" w:rsidP="001558F7">
            <w:pPr>
              <w:spacing w:line="240" w:lineRule="auto"/>
              <w:rPr>
                <w:rFonts w:eastAsia="Calibri" w:cs="Times New Roman"/>
              </w:rPr>
            </w:pPr>
            <w:r w:rsidRPr="007A7C51">
              <w:rPr>
                <w:rFonts w:eastAsia="Calibri" w:cs="Times New Roman"/>
              </w:rPr>
              <w:t xml:space="preserve">12 </w:t>
            </w:r>
          </w:p>
        </w:tc>
        <w:tc>
          <w:tcPr>
            <w:tcW w:w="1457" w:type="dxa"/>
          </w:tcPr>
          <w:p w14:paraId="76D42D0A" w14:textId="77777777" w:rsidR="00303D5A" w:rsidRPr="007A7C51" w:rsidRDefault="00303D5A" w:rsidP="001558F7">
            <w:pPr>
              <w:spacing w:line="240" w:lineRule="auto"/>
              <w:rPr>
                <w:rFonts w:eastAsia="Calibri" w:cs="Times New Roman"/>
              </w:rPr>
            </w:pPr>
            <w:r w:rsidRPr="007A7C51">
              <w:rPr>
                <w:rFonts w:eastAsia="Calibri" w:cs="Times New Roman"/>
              </w:rPr>
              <w:t>(1.3 to 30)</w:t>
            </w:r>
          </w:p>
        </w:tc>
        <w:tc>
          <w:tcPr>
            <w:tcW w:w="2678" w:type="dxa"/>
          </w:tcPr>
          <w:p w14:paraId="44D0E234" w14:textId="0076A10C" w:rsidR="00303D5A" w:rsidRPr="007A7C51" w:rsidRDefault="00303D5A" w:rsidP="0076576E">
            <w:pPr>
              <w:spacing w:line="240" w:lineRule="auto"/>
              <w:rPr>
                <w:rFonts w:eastAsia="Calibri" w:cs="Times New Roman"/>
              </w:rPr>
            </w:pPr>
            <w:r w:rsidRPr="007A7C51">
              <w:rPr>
                <w:rFonts w:eastAsia="Calibri" w:cs="Times New Roman"/>
              </w:rPr>
              <w:t xml:space="preserve">Brown </w:t>
            </w:r>
            <w:r w:rsidR="003E16C9" w:rsidRPr="007A7C51">
              <w:rPr>
                <w:rFonts w:eastAsia="Calibri" w:cs="Times New Roman"/>
              </w:rPr>
              <w:t>(</w:t>
            </w:r>
            <w:r w:rsidRPr="007A7C51">
              <w:rPr>
                <w:rFonts w:eastAsia="Calibri" w:cs="Times New Roman"/>
              </w:rPr>
              <w:t>2012</w:t>
            </w:r>
            <w:r w:rsidR="003E16C9" w:rsidRPr="007A7C51">
              <w:rPr>
                <w:rFonts w:eastAsia="Calibri" w:cs="Times New Roman"/>
              </w:rPr>
              <w:t>)</w:t>
            </w:r>
            <w:r w:rsidR="00FC6175" w:rsidRPr="007A7C5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1D65B2" w:rsidRPr="001D65B2">
              <w:rPr>
                <w:rFonts w:eastAsia="Calibri" w:cs="Times New Roman"/>
                <w:noProof/>
                <w:vertAlign w:val="superscript"/>
              </w:rPr>
              <w:t>3</w:t>
            </w:r>
            <w:r w:rsidR="00FC6175" w:rsidRPr="007A7C51">
              <w:rPr>
                <w:rFonts w:eastAsia="Calibri" w:cs="Times New Roman"/>
              </w:rPr>
              <w:fldChar w:fldCharType="end"/>
            </w:r>
            <w:r w:rsidRPr="007A7C51">
              <w:rPr>
                <w:rFonts w:eastAsia="Calibri" w:cs="Times New Roman"/>
              </w:rPr>
              <w:t xml:space="preserve">, </w:t>
            </w:r>
            <w:r w:rsidR="00E17006" w:rsidRPr="007A7C51">
              <w:rPr>
                <w:rFonts w:eastAsia="Calibri" w:cs="Times New Roman"/>
              </w:rPr>
              <w:t>Haik (2014)</w:t>
            </w:r>
            <w:r w:rsidR="00FC6175" w:rsidRPr="007A7C51">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76576E" w:rsidRPr="0076576E">
              <w:rPr>
                <w:rFonts w:eastAsia="Calibri" w:cs="Times New Roman"/>
                <w:noProof/>
                <w:vertAlign w:val="superscript"/>
              </w:rPr>
              <w:t>131</w:t>
            </w:r>
            <w:r w:rsidR="00FC6175" w:rsidRPr="007A7C51">
              <w:rPr>
                <w:rFonts w:eastAsia="Calibri" w:cs="Times New Roman"/>
              </w:rPr>
              <w:fldChar w:fldCharType="end"/>
            </w:r>
          </w:p>
        </w:tc>
      </w:tr>
      <w:tr w:rsidR="00303D5A" w:rsidRPr="007A7C51" w14:paraId="664E94E4" w14:textId="77777777" w:rsidTr="00D25530">
        <w:tc>
          <w:tcPr>
            <w:tcW w:w="1866" w:type="dxa"/>
          </w:tcPr>
          <w:p w14:paraId="5BF07F3B" w14:textId="77777777" w:rsidR="00303D5A" w:rsidRPr="007A7C51" w:rsidRDefault="00303D5A" w:rsidP="001558F7">
            <w:pPr>
              <w:spacing w:line="240" w:lineRule="auto"/>
              <w:rPr>
                <w:rFonts w:eastAsia="Calibri" w:cs="Times New Roman"/>
              </w:rPr>
            </w:pPr>
            <w:r w:rsidRPr="007A7C51">
              <w:rPr>
                <w:rFonts w:eastAsia="Calibri" w:cs="Times New Roman"/>
              </w:rPr>
              <w:t>Neurosurgical instruments</w:t>
            </w:r>
          </w:p>
        </w:tc>
        <w:tc>
          <w:tcPr>
            <w:tcW w:w="936" w:type="dxa"/>
          </w:tcPr>
          <w:p w14:paraId="344DD120" w14:textId="77777777" w:rsidR="00303D5A" w:rsidRPr="007A7C51" w:rsidRDefault="00303D5A" w:rsidP="001558F7">
            <w:pPr>
              <w:spacing w:line="240" w:lineRule="auto"/>
              <w:rPr>
                <w:rFonts w:eastAsia="Calibri" w:cs="Times New Roman"/>
              </w:rPr>
            </w:pPr>
            <w:r w:rsidRPr="007A7C51">
              <w:rPr>
                <w:rFonts w:eastAsia="Calibri" w:cs="Times New Roman"/>
              </w:rPr>
              <w:t>4†</w:t>
            </w:r>
          </w:p>
        </w:tc>
        <w:tc>
          <w:tcPr>
            <w:tcW w:w="716" w:type="dxa"/>
          </w:tcPr>
          <w:p w14:paraId="285C9889" w14:textId="77777777" w:rsidR="00303D5A" w:rsidRPr="007A7C51" w:rsidRDefault="00303D5A" w:rsidP="001558F7">
            <w:pPr>
              <w:spacing w:line="240" w:lineRule="auto"/>
              <w:rPr>
                <w:rFonts w:eastAsia="Calibri" w:cs="Times New Roman"/>
              </w:rPr>
            </w:pPr>
            <w:r w:rsidRPr="007A7C51">
              <w:rPr>
                <w:rFonts w:eastAsia="Calibri" w:cs="Times New Roman"/>
              </w:rPr>
              <w:t>3</w:t>
            </w:r>
          </w:p>
        </w:tc>
        <w:tc>
          <w:tcPr>
            <w:tcW w:w="1363" w:type="dxa"/>
          </w:tcPr>
          <w:p w14:paraId="0354866E" w14:textId="623C56CA" w:rsidR="00303D5A" w:rsidRPr="007A7C51" w:rsidRDefault="00303D5A" w:rsidP="001558F7">
            <w:pPr>
              <w:spacing w:line="240" w:lineRule="auto"/>
              <w:rPr>
                <w:rFonts w:eastAsia="Calibri" w:cs="Times New Roman"/>
              </w:rPr>
            </w:pPr>
            <w:r w:rsidRPr="007A7C51">
              <w:rPr>
                <w:rFonts w:eastAsia="Calibri" w:cs="Times New Roman"/>
              </w:rPr>
              <w:t>1.</w:t>
            </w:r>
            <w:r w:rsidR="00F9799F">
              <w:rPr>
                <w:rFonts w:eastAsia="Calibri" w:cs="Times New Roman"/>
              </w:rPr>
              <w:t>4</w:t>
            </w:r>
            <w:r w:rsidRPr="007A7C51">
              <w:rPr>
                <w:rFonts w:eastAsia="Calibri" w:cs="Times New Roman"/>
              </w:rPr>
              <w:t xml:space="preserve"> </w:t>
            </w:r>
          </w:p>
        </w:tc>
        <w:tc>
          <w:tcPr>
            <w:tcW w:w="1457" w:type="dxa"/>
          </w:tcPr>
          <w:p w14:paraId="5CB5E873" w14:textId="77777777" w:rsidR="00303D5A" w:rsidRPr="007A7C51" w:rsidRDefault="00303D5A" w:rsidP="001558F7">
            <w:pPr>
              <w:spacing w:line="240" w:lineRule="auto"/>
              <w:rPr>
                <w:rFonts w:eastAsia="Calibri" w:cs="Times New Roman"/>
              </w:rPr>
            </w:pPr>
            <w:r w:rsidRPr="007A7C51">
              <w:rPr>
                <w:rFonts w:eastAsia="Calibri" w:cs="Times New Roman"/>
              </w:rPr>
              <w:t>(1 to 2.3)</w:t>
            </w:r>
          </w:p>
        </w:tc>
        <w:tc>
          <w:tcPr>
            <w:tcW w:w="2678" w:type="dxa"/>
          </w:tcPr>
          <w:p w14:paraId="1E19FEBF" w14:textId="29ADAC56" w:rsidR="00303D5A" w:rsidRPr="007A7C51" w:rsidRDefault="00303D5A" w:rsidP="0076576E">
            <w:pPr>
              <w:spacing w:line="240" w:lineRule="auto"/>
              <w:rPr>
                <w:rFonts w:eastAsia="Calibri" w:cs="Times New Roman"/>
              </w:rPr>
            </w:pPr>
            <w:r w:rsidRPr="007A7C51">
              <w:rPr>
                <w:rFonts w:eastAsia="Calibri" w:cs="Times New Roman"/>
              </w:rPr>
              <w:t xml:space="preserve">Brown </w:t>
            </w:r>
            <w:r w:rsidR="003E16C9" w:rsidRPr="007A7C51">
              <w:rPr>
                <w:rFonts w:eastAsia="Calibri" w:cs="Times New Roman"/>
              </w:rPr>
              <w:t>(</w:t>
            </w:r>
            <w:r w:rsidRPr="007A7C51">
              <w:rPr>
                <w:rFonts w:eastAsia="Calibri" w:cs="Times New Roman"/>
              </w:rPr>
              <w:t>2015</w:t>
            </w:r>
            <w:r w:rsidR="003E16C9" w:rsidRPr="007A7C51">
              <w:rPr>
                <w:rFonts w:eastAsia="Calibri" w:cs="Times New Roman"/>
              </w:rPr>
              <w:t>)</w:t>
            </w:r>
            <w:r w:rsidR="00FC6175" w:rsidRPr="007A7C51">
              <w:rPr>
                <w:rFonts w:eastAsia="Calibri" w:cs="Times New Roman"/>
              </w:rPr>
              <w:fldChar w:fldCharType="begin">
                <w:fldData xml:space="preserve">PEVuZE5vdGU+PENpdGU+PEF1dGhvcj5Ccm93bjwvQXV0aG9yPjxZZWFyPjIwMTU8L1llYXI+PFJl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PEVuZE5vdGU+PENpdGU+PEF1dGhvcj5Ccm93bjwvQXV0aG9yPjxZZWFyPjIwMTU8L1llYXI+PFJl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1D65B2" w:rsidRPr="001D65B2">
              <w:rPr>
                <w:rFonts w:eastAsia="Calibri" w:cs="Times New Roman"/>
                <w:noProof/>
                <w:vertAlign w:val="superscript"/>
              </w:rPr>
              <w:t>6</w:t>
            </w:r>
            <w:r w:rsidR="00FC6175" w:rsidRPr="007A7C51">
              <w:rPr>
                <w:rFonts w:eastAsia="Calibri" w:cs="Times New Roman"/>
              </w:rPr>
              <w:fldChar w:fldCharType="end"/>
            </w:r>
            <w:r w:rsidRPr="007A7C51">
              <w:rPr>
                <w:rFonts w:eastAsia="Calibri" w:cs="Times New Roman"/>
              </w:rPr>
              <w:t xml:space="preserve">, </w:t>
            </w:r>
            <w:r w:rsidR="003E16C9" w:rsidRPr="007A7C51">
              <w:rPr>
                <w:rFonts w:eastAsia="Calibri" w:cs="Times New Roman"/>
              </w:rPr>
              <w:t>Brown (2012)</w:t>
            </w:r>
            <w:r w:rsidR="00FC6175" w:rsidRPr="007A7C5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1D65B2" w:rsidRPr="001D65B2">
              <w:rPr>
                <w:rFonts w:eastAsia="Calibri" w:cs="Times New Roman"/>
                <w:noProof/>
                <w:vertAlign w:val="superscript"/>
              </w:rPr>
              <w:t>3</w:t>
            </w:r>
            <w:r w:rsidR="00FC6175" w:rsidRPr="007A7C51">
              <w:rPr>
                <w:rFonts w:eastAsia="Calibri" w:cs="Times New Roman"/>
              </w:rPr>
              <w:fldChar w:fldCharType="end"/>
            </w:r>
            <w:r w:rsidRPr="007A7C51">
              <w:rPr>
                <w:rFonts w:eastAsia="Calibri" w:cs="Times New Roman"/>
              </w:rPr>
              <w:t xml:space="preserve">, </w:t>
            </w:r>
            <w:r w:rsidR="00E17006" w:rsidRPr="007A7C51">
              <w:rPr>
                <w:rFonts w:eastAsia="Calibri" w:cs="Times New Roman"/>
              </w:rPr>
              <w:t>Haik (2014)</w:t>
            </w:r>
            <w:r w:rsidR="00FC6175" w:rsidRPr="007A7C51">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76576E" w:rsidRPr="0076576E">
              <w:rPr>
                <w:rFonts w:eastAsia="Calibri" w:cs="Times New Roman"/>
                <w:noProof/>
                <w:vertAlign w:val="superscript"/>
              </w:rPr>
              <w:t>131</w:t>
            </w:r>
            <w:r w:rsidR="00FC6175" w:rsidRPr="007A7C51">
              <w:rPr>
                <w:rFonts w:eastAsia="Calibri" w:cs="Times New Roman"/>
              </w:rPr>
              <w:fldChar w:fldCharType="end"/>
            </w:r>
          </w:p>
        </w:tc>
      </w:tr>
      <w:tr w:rsidR="00E32D8E" w:rsidRPr="007A7C51" w14:paraId="730CCC20" w14:textId="77777777" w:rsidTr="00D25530">
        <w:tc>
          <w:tcPr>
            <w:tcW w:w="1866" w:type="dxa"/>
          </w:tcPr>
          <w:p w14:paraId="6FB2CECF" w14:textId="77777777" w:rsidR="00E32D8E" w:rsidRPr="007A7C51" w:rsidRDefault="00E32D8E" w:rsidP="001558F7">
            <w:pPr>
              <w:spacing w:line="240" w:lineRule="auto"/>
              <w:rPr>
                <w:rFonts w:eastAsia="Calibri" w:cs="Times New Roman"/>
              </w:rPr>
            </w:pPr>
            <w:r w:rsidRPr="007A7C51">
              <w:rPr>
                <w:rFonts w:eastAsia="Calibri" w:cs="Times New Roman"/>
              </w:rPr>
              <w:t>EEG needles</w:t>
            </w:r>
          </w:p>
        </w:tc>
        <w:tc>
          <w:tcPr>
            <w:tcW w:w="936" w:type="dxa"/>
          </w:tcPr>
          <w:p w14:paraId="39B4CF30" w14:textId="77777777" w:rsidR="00E32D8E" w:rsidRPr="007A7C51" w:rsidRDefault="00E32D8E" w:rsidP="001558F7">
            <w:pPr>
              <w:spacing w:line="240" w:lineRule="auto"/>
              <w:rPr>
                <w:rFonts w:eastAsia="Calibri" w:cs="Times New Roman"/>
              </w:rPr>
            </w:pPr>
            <w:r w:rsidRPr="007A7C51">
              <w:rPr>
                <w:rFonts w:eastAsia="Calibri" w:cs="Times New Roman"/>
              </w:rPr>
              <w:t>2</w:t>
            </w:r>
          </w:p>
        </w:tc>
        <w:tc>
          <w:tcPr>
            <w:tcW w:w="716" w:type="dxa"/>
          </w:tcPr>
          <w:p w14:paraId="687D452B" w14:textId="77777777" w:rsidR="00E32D8E" w:rsidRPr="007A7C51" w:rsidRDefault="00E32D8E" w:rsidP="001558F7">
            <w:pPr>
              <w:spacing w:line="240" w:lineRule="auto"/>
              <w:rPr>
                <w:rFonts w:eastAsia="Calibri" w:cs="Times New Roman"/>
              </w:rPr>
            </w:pPr>
            <w:r w:rsidRPr="007A7C51">
              <w:rPr>
                <w:rFonts w:eastAsia="Calibri" w:cs="Times New Roman"/>
              </w:rPr>
              <w:t>0</w:t>
            </w:r>
          </w:p>
        </w:tc>
        <w:tc>
          <w:tcPr>
            <w:tcW w:w="1363" w:type="dxa"/>
          </w:tcPr>
          <w:p w14:paraId="28D36F92" w14:textId="79472419" w:rsidR="00E32D8E" w:rsidRPr="007A7C51" w:rsidRDefault="00E32D8E" w:rsidP="001558F7">
            <w:pPr>
              <w:spacing w:line="240" w:lineRule="auto"/>
              <w:rPr>
                <w:rFonts w:eastAsia="Calibri" w:cs="Times New Roman"/>
              </w:rPr>
            </w:pPr>
            <w:r w:rsidRPr="007A7C51">
              <w:rPr>
                <w:rFonts w:eastAsia="Calibri" w:cs="Times New Roman"/>
              </w:rPr>
              <w:t>-</w:t>
            </w:r>
          </w:p>
        </w:tc>
        <w:tc>
          <w:tcPr>
            <w:tcW w:w="1457" w:type="dxa"/>
          </w:tcPr>
          <w:p w14:paraId="526BEB8F" w14:textId="77777777" w:rsidR="00E32D8E" w:rsidRPr="007A7C51" w:rsidRDefault="00E32D8E" w:rsidP="001558F7">
            <w:pPr>
              <w:spacing w:line="240" w:lineRule="auto"/>
              <w:rPr>
                <w:rFonts w:eastAsia="Calibri" w:cs="Times New Roman"/>
              </w:rPr>
            </w:pPr>
            <w:r w:rsidRPr="007A7C51">
              <w:rPr>
                <w:rFonts w:eastAsia="Calibri" w:cs="Times New Roman"/>
              </w:rPr>
              <w:t>(1.3, 1.7)</w:t>
            </w:r>
          </w:p>
        </w:tc>
        <w:tc>
          <w:tcPr>
            <w:tcW w:w="2678" w:type="dxa"/>
          </w:tcPr>
          <w:p w14:paraId="1138BDA5" w14:textId="3BE94D8F" w:rsidR="00E32D8E" w:rsidRPr="007A7C51" w:rsidRDefault="00E32D8E" w:rsidP="001558F7">
            <w:pPr>
              <w:spacing w:line="240" w:lineRule="auto"/>
              <w:rPr>
                <w:rFonts w:eastAsia="Calibri" w:cs="Times New Roman"/>
              </w:rPr>
            </w:pPr>
            <w:r w:rsidRPr="007A7C51">
              <w:rPr>
                <w:rFonts w:eastAsia="Calibri" w:cs="Times New Roman"/>
              </w:rPr>
              <w:t>Brown (2015)</w:t>
            </w:r>
            <w:r w:rsidRPr="007A7C51">
              <w:rPr>
                <w:rFonts w:eastAsia="Calibri" w:cs="Times New Roman"/>
              </w:rPr>
              <w:fldChar w:fldCharType="begin">
                <w:fldData xml:space="preserve">PEVuZE5vdGU+PENpdGU+PEF1dGhvcj5Ccm93bjwvQXV0aG9yPjxZZWFyPjIwMTU8L1llYXI+PFJl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PEVuZE5vdGU+PENpdGU+PEF1dGhvcj5Ccm93bjwvQXV0aG9yPjxZZWFyPjIwMTU8L1llYXI+PFJl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Pr="007A7C51">
              <w:rPr>
                <w:rFonts w:eastAsia="Calibri" w:cs="Times New Roman"/>
              </w:rPr>
            </w:r>
            <w:r w:rsidRPr="007A7C51">
              <w:rPr>
                <w:rFonts w:eastAsia="Calibri" w:cs="Times New Roman"/>
              </w:rPr>
              <w:fldChar w:fldCharType="separate"/>
            </w:r>
            <w:r w:rsidR="001D65B2" w:rsidRPr="001D65B2">
              <w:rPr>
                <w:rFonts w:eastAsia="Calibri" w:cs="Times New Roman"/>
                <w:noProof/>
                <w:vertAlign w:val="superscript"/>
              </w:rPr>
              <w:t>6</w:t>
            </w:r>
            <w:r w:rsidRPr="007A7C51">
              <w:rPr>
                <w:rFonts w:eastAsia="Calibri" w:cs="Times New Roman"/>
              </w:rPr>
              <w:fldChar w:fldCharType="end"/>
            </w:r>
            <w:r w:rsidRPr="007A7C51">
              <w:rPr>
                <w:rFonts w:eastAsia="Calibri" w:cs="Times New Roman"/>
              </w:rPr>
              <w:t>, Brown (2012)</w:t>
            </w:r>
            <w:r w:rsidRPr="007A7C5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Pr="007A7C51">
              <w:rPr>
                <w:rFonts w:eastAsia="Calibri" w:cs="Times New Roman"/>
              </w:rPr>
            </w:r>
            <w:r w:rsidRPr="007A7C51">
              <w:rPr>
                <w:rFonts w:eastAsia="Calibri" w:cs="Times New Roman"/>
              </w:rPr>
              <w:fldChar w:fldCharType="separate"/>
            </w:r>
            <w:r w:rsidR="001D65B2" w:rsidRPr="001D65B2">
              <w:rPr>
                <w:rFonts w:eastAsia="Calibri" w:cs="Times New Roman"/>
                <w:noProof/>
                <w:vertAlign w:val="superscript"/>
              </w:rPr>
              <w:t>3</w:t>
            </w:r>
            <w:r w:rsidRPr="007A7C51">
              <w:rPr>
                <w:rFonts w:eastAsia="Calibri" w:cs="Times New Roman"/>
              </w:rPr>
              <w:fldChar w:fldCharType="end"/>
            </w:r>
            <w:r w:rsidRPr="007A7C51">
              <w:rPr>
                <w:rFonts w:eastAsia="Calibri" w:cs="Times New Roman"/>
              </w:rPr>
              <w:t>, Haik (2014)</w:t>
            </w:r>
            <w:r w:rsidRPr="007A7C51">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Pr="007A7C51">
              <w:rPr>
                <w:rFonts w:eastAsia="Calibri" w:cs="Times New Roman"/>
              </w:rPr>
            </w:r>
            <w:r w:rsidRPr="007A7C51">
              <w:rPr>
                <w:rFonts w:eastAsia="Calibri" w:cs="Times New Roman"/>
              </w:rPr>
              <w:fldChar w:fldCharType="separate"/>
            </w:r>
            <w:r w:rsidR="0076576E" w:rsidRPr="0076576E">
              <w:rPr>
                <w:rFonts w:eastAsia="Calibri" w:cs="Times New Roman"/>
                <w:noProof/>
                <w:vertAlign w:val="superscript"/>
              </w:rPr>
              <w:t>131</w:t>
            </w:r>
            <w:r w:rsidRPr="007A7C51">
              <w:rPr>
                <w:rFonts w:eastAsia="Calibri" w:cs="Times New Roman"/>
              </w:rPr>
              <w:fldChar w:fldCharType="end"/>
            </w:r>
          </w:p>
          <w:p w14:paraId="48D01D9C" w14:textId="77777777" w:rsidR="00E32D8E" w:rsidRPr="007A7C51" w:rsidRDefault="00E32D8E" w:rsidP="001558F7">
            <w:pPr>
              <w:spacing w:line="240" w:lineRule="auto"/>
              <w:rPr>
                <w:rFonts w:eastAsia="Calibri" w:cs="Times New Roman"/>
              </w:rPr>
            </w:pPr>
          </w:p>
        </w:tc>
      </w:tr>
      <w:tr w:rsidR="00E32D8E" w:rsidRPr="007A7C51" w14:paraId="50661C96" w14:textId="77777777" w:rsidTr="00D25530">
        <w:tc>
          <w:tcPr>
            <w:tcW w:w="1866" w:type="dxa"/>
          </w:tcPr>
          <w:p w14:paraId="4CFFDB64" w14:textId="77777777" w:rsidR="00E32D8E" w:rsidRPr="007A7C51" w:rsidRDefault="00E32D8E" w:rsidP="001558F7">
            <w:pPr>
              <w:spacing w:line="240" w:lineRule="auto"/>
              <w:rPr>
                <w:rFonts w:eastAsia="Calibri" w:cs="Times New Roman"/>
              </w:rPr>
            </w:pPr>
            <w:r w:rsidRPr="007A7C51">
              <w:rPr>
                <w:rFonts w:eastAsia="Calibri" w:cs="Times New Roman"/>
              </w:rPr>
              <w:t>Corneal transplant</w:t>
            </w:r>
          </w:p>
        </w:tc>
        <w:tc>
          <w:tcPr>
            <w:tcW w:w="936" w:type="dxa"/>
          </w:tcPr>
          <w:p w14:paraId="0E90573C" w14:textId="77777777" w:rsidR="00E32D8E" w:rsidRPr="007A7C51" w:rsidRDefault="00E32D8E" w:rsidP="001558F7">
            <w:pPr>
              <w:spacing w:line="240" w:lineRule="auto"/>
              <w:rPr>
                <w:rFonts w:eastAsia="Calibri" w:cs="Times New Roman"/>
              </w:rPr>
            </w:pPr>
            <w:r w:rsidRPr="007A7C51">
              <w:rPr>
                <w:rFonts w:eastAsia="Calibri" w:cs="Times New Roman"/>
              </w:rPr>
              <w:t>2</w:t>
            </w:r>
          </w:p>
        </w:tc>
        <w:tc>
          <w:tcPr>
            <w:tcW w:w="716" w:type="dxa"/>
          </w:tcPr>
          <w:p w14:paraId="526F4C59" w14:textId="77777777" w:rsidR="00E32D8E" w:rsidRPr="007A7C51" w:rsidRDefault="00E32D8E" w:rsidP="001558F7">
            <w:pPr>
              <w:spacing w:line="240" w:lineRule="auto"/>
              <w:rPr>
                <w:rFonts w:eastAsia="Calibri" w:cs="Times New Roman"/>
              </w:rPr>
            </w:pPr>
            <w:r w:rsidRPr="007A7C51">
              <w:rPr>
                <w:rFonts w:eastAsia="Calibri" w:cs="Times New Roman"/>
              </w:rPr>
              <w:t>0</w:t>
            </w:r>
          </w:p>
        </w:tc>
        <w:tc>
          <w:tcPr>
            <w:tcW w:w="1363" w:type="dxa"/>
          </w:tcPr>
          <w:p w14:paraId="12D0CAFA" w14:textId="3C7223CB" w:rsidR="00E32D8E" w:rsidRPr="007A7C51" w:rsidRDefault="00E32D8E" w:rsidP="001558F7">
            <w:pPr>
              <w:spacing w:line="240" w:lineRule="auto"/>
              <w:contextualSpacing/>
              <w:jc w:val="both"/>
              <w:rPr>
                <w:rFonts w:eastAsia="Calibri" w:cs="Times New Roman"/>
              </w:rPr>
            </w:pPr>
            <w:r w:rsidRPr="007A7C51">
              <w:rPr>
                <w:rFonts w:eastAsia="Calibri" w:cs="Times New Roman"/>
              </w:rPr>
              <w:t>-</w:t>
            </w:r>
          </w:p>
        </w:tc>
        <w:tc>
          <w:tcPr>
            <w:tcW w:w="1457" w:type="dxa"/>
          </w:tcPr>
          <w:p w14:paraId="6F0787B9" w14:textId="77777777" w:rsidR="00E32D8E" w:rsidRPr="007A7C51" w:rsidRDefault="00E32D8E" w:rsidP="001558F7">
            <w:pPr>
              <w:spacing w:line="240" w:lineRule="auto"/>
              <w:rPr>
                <w:rFonts w:eastAsia="Calibri" w:cs="Times New Roman"/>
              </w:rPr>
            </w:pPr>
            <w:r w:rsidRPr="007A7C51">
              <w:rPr>
                <w:rFonts w:eastAsia="Calibri" w:cs="Times New Roman"/>
              </w:rPr>
              <w:t>(1.5, 27)</w:t>
            </w:r>
          </w:p>
        </w:tc>
        <w:tc>
          <w:tcPr>
            <w:tcW w:w="2678" w:type="dxa"/>
          </w:tcPr>
          <w:p w14:paraId="0EEEB92C" w14:textId="29C61AF0" w:rsidR="00E32D8E" w:rsidRPr="007A7C51" w:rsidRDefault="00E32D8E" w:rsidP="001558F7">
            <w:pPr>
              <w:spacing w:line="240" w:lineRule="auto"/>
              <w:rPr>
                <w:rFonts w:eastAsia="Calibri" w:cs="Times New Roman"/>
              </w:rPr>
            </w:pPr>
            <w:r w:rsidRPr="007A7C51">
              <w:rPr>
                <w:rFonts w:eastAsia="Calibri" w:cs="Times New Roman"/>
              </w:rPr>
              <w:t>Brown (2012)</w:t>
            </w:r>
            <w:r w:rsidRPr="007A7C5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Pr="007A7C51">
              <w:rPr>
                <w:rFonts w:eastAsia="Calibri" w:cs="Times New Roman"/>
              </w:rPr>
            </w:r>
            <w:r w:rsidRPr="007A7C51">
              <w:rPr>
                <w:rFonts w:eastAsia="Calibri" w:cs="Times New Roman"/>
              </w:rPr>
              <w:fldChar w:fldCharType="separate"/>
            </w:r>
            <w:r w:rsidR="001D65B2" w:rsidRPr="001D65B2">
              <w:rPr>
                <w:rFonts w:eastAsia="Calibri" w:cs="Times New Roman"/>
                <w:noProof/>
                <w:vertAlign w:val="superscript"/>
              </w:rPr>
              <w:t>3</w:t>
            </w:r>
            <w:r w:rsidRPr="007A7C51">
              <w:rPr>
                <w:rFonts w:eastAsia="Calibri" w:cs="Times New Roman"/>
              </w:rPr>
              <w:fldChar w:fldCharType="end"/>
            </w:r>
            <w:r w:rsidRPr="007A7C51">
              <w:rPr>
                <w:rFonts w:eastAsia="Calibri" w:cs="Times New Roman"/>
              </w:rPr>
              <w:t>, Haik (2014)</w:t>
            </w:r>
            <w:r w:rsidRPr="007A7C51">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Pr="007A7C51">
              <w:rPr>
                <w:rFonts w:eastAsia="Calibri" w:cs="Times New Roman"/>
              </w:rPr>
            </w:r>
            <w:r w:rsidRPr="007A7C51">
              <w:rPr>
                <w:rFonts w:eastAsia="Calibri" w:cs="Times New Roman"/>
              </w:rPr>
              <w:fldChar w:fldCharType="separate"/>
            </w:r>
            <w:r w:rsidR="0076576E" w:rsidRPr="0076576E">
              <w:rPr>
                <w:rFonts w:eastAsia="Calibri" w:cs="Times New Roman"/>
                <w:noProof/>
                <w:vertAlign w:val="superscript"/>
              </w:rPr>
              <w:t>131</w:t>
            </w:r>
            <w:r w:rsidRPr="007A7C51">
              <w:rPr>
                <w:rFonts w:eastAsia="Calibri" w:cs="Times New Roman"/>
              </w:rPr>
              <w:fldChar w:fldCharType="end"/>
            </w:r>
          </w:p>
          <w:p w14:paraId="7742954A" w14:textId="77777777" w:rsidR="00E32D8E" w:rsidRPr="007A7C51" w:rsidRDefault="00E32D8E" w:rsidP="001558F7">
            <w:pPr>
              <w:spacing w:line="240" w:lineRule="auto"/>
              <w:rPr>
                <w:rFonts w:eastAsia="Calibri" w:cs="Times New Roman"/>
              </w:rPr>
            </w:pPr>
          </w:p>
        </w:tc>
      </w:tr>
      <w:tr w:rsidR="00E32D8E" w:rsidRPr="007A7C51" w14:paraId="20E72E88" w14:textId="77777777" w:rsidTr="00D25530">
        <w:tc>
          <w:tcPr>
            <w:tcW w:w="1866" w:type="dxa"/>
          </w:tcPr>
          <w:p w14:paraId="78638520" w14:textId="77777777" w:rsidR="00E32D8E" w:rsidRPr="007A7C51" w:rsidRDefault="00E32D8E" w:rsidP="001558F7">
            <w:pPr>
              <w:spacing w:line="240" w:lineRule="auto"/>
              <w:rPr>
                <w:rFonts w:eastAsia="Calibri" w:cs="Times New Roman"/>
              </w:rPr>
            </w:pPr>
            <w:r w:rsidRPr="007A7C51">
              <w:rPr>
                <w:rFonts w:eastAsia="Calibri" w:cs="Times New Roman"/>
              </w:rPr>
              <w:t>Growth hormone</w:t>
            </w:r>
          </w:p>
          <w:p w14:paraId="1CF70647" w14:textId="77777777" w:rsidR="00E32D8E" w:rsidRPr="007A7C51" w:rsidRDefault="00E32D8E" w:rsidP="001558F7">
            <w:pPr>
              <w:spacing w:line="240" w:lineRule="auto"/>
              <w:rPr>
                <w:rFonts w:eastAsia="Calibri" w:cs="Times New Roman"/>
              </w:rPr>
            </w:pPr>
          </w:p>
        </w:tc>
        <w:tc>
          <w:tcPr>
            <w:tcW w:w="936" w:type="dxa"/>
          </w:tcPr>
          <w:p w14:paraId="4BB889C4" w14:textId="77777777" w:rsidR="00E32D8E" w:rsidRPr="007A7C51" w:rsidRDefault="00E32D8E" w:rsidP="001558F7">
            <w:pPr>
              <w:spacing w:line="240" w:lineRule="auto"/>
              <w:rPr>
                <w:rFonts w:eastAsia="Calibri" w:cs="Times New Roman"/>
              </w:rPr>
            </w:pPr>
            <w:r w:rsidRPr="007A7C51">
              <w:rPr>
                <w:rFonts w:eastAsia="Calibri" w:cs="Times New Roman"/>
              </w:rPr>
              <w:t>226</w:t>
            </w:r>
          </w:p>
        </w:tc>
        <w:tc>
          <w:tcPr>
            <w:tcW w:w="716" w:type="dxa"/>
          </w:tcPr>
          <w:p w14:paraId="0189F1FC" w14:textId="77777777" w:rsidR="00E32D8E" w:rsidRPr="007A7C51" w:rsidRDefault="00E32D8E" w:rsidP="001558F7">
            <w:pPr>
              <w:spacing w:line="240" w:lineRule="auto"/>
              <w:rPr>
                <w:rFonts w:eastAsia="Calibri" w:cs="Times New Roman"/>
              </w:rPr>
            </w:pPr>
            <w:r w:rsidRPr="007A7C51">
              <w:rPr>
                <w:rFonts w:eastAsia="Calibri" w:cs="Times New Roman"/>
              </w:rPr>
              <w:t>78</w:t>
            </w:r>
          </w:p>
          <w:p w14:paraId="2414F27E" w14:textId="77777777" w:rsidR="00E32D8E" w:rsidRPr="007A7C51" w:rsidRDefault="00E32D8E" w:rsidP="001558F7">
            <w:pPr>
              <w:spacing w:line="240" w:lineRule="auto"/>
              <w:rPr>
                <w:rFonts w:eastAsia="Calibri" w:cs="Times New Roman"/>
              </w:rPr>
            </w:pPr>
          </w:p>
          <w:p w14:paraId="52A78A1D" w14:textId="77777777" w:rsidR="00E32D8E" w:rsidRPr="007A7C51" w:rsidRDefault="00E32D8E" w:rsidP="001558F7">
            <w:pPr>
              <w:spacing w:line="240" w:lineRule="auto"/>
              <w:rPr>
                <w:rFonts w:eastAsia="Calibri" w:cs="Times New Roman"/>
              </w:rPr>
            </w:pPr>
            <w:r w:rsidRPr="007A7C51">
              <w:rPr>
                <w:rFonts w:eastAsia="Calibri" w:cs="Times New Roman"/>
              </w:rPr>
              <w:t>21</w:t>
            </w:r>
          </w:p>
        </w:tc>
        <w:tc>
          <w:tcPr>
            <w:tcW w:w="1363" w:type="dxa"/>
          </w:tcPr>
          <w:p w14:paraId="006A64AD" w14:textId="77777777" w:rsidR="00E32D8E" w:rsidRPr="007A7C51" w:rsidRDefault="00E32D8E" w:rsidP="001558F7">
            <w:pPr>
              <w:spacing w:line="240" w:lineRule="auto"/>
              <w:rPr>
                <w:rFonts w:eastAsia="Calibri" w:cs="Times New Roman"/>
              </w:rPr>
            </w:pPr>
            <w:r w:rsidRPr="007A7C51">
              <w:rPr>
                <w:rFonts w:eastAsia="Calibri" w:cs="Times New Roman"/>
              </w:rPr>
              <w:t xml:space="preserve">17 </w:t>
            </w:r>
          </w:p>
          <w:p w14:paraId="0CA4EC76" w14:textId="77777777" w:rsidR="00E32D8E" w:rsidRPr="007A7C51" w:rsidRDefault="00E32D8E" w:rsidP="001558F7">
            <w:pPr>
              <w:spacing w:line="240" w:lineRule="auto"/>
              <w:rPr>
                <w:rFonts w:eastAsia="Calibri" w:cs="Times New Roman"/>
              </w:rPr>
            </w:pPr>
          </w:p>
          <w:p w14:paraId="2E101368" w14:textId="77777777" w:rsidR="00E32D8E" w:rsidRPr="007A7C51" w:rsidRDefault="00E32D8E" w:rsidP="001558F7">
            <w:pPr>
              <w:spacing w:line="240" w:lineRule="auto"/>
              <w:rPr>
                <w:rFonts w:eastAsia="Calibri" w:cs="Times New Roman"/>
              </w:rPr>
            </w:pPr>
            <w:r w:rsidRPr="007A7C51">
              <w:rPr>
                <w:rFonts w:eastAsia="Calibri" w:cs="Times New Roman"/>
              </w:rPr>
              <w:t>20</w:t>
            </w:r>
          </w:p>
        </w:tc>
        <w:tc>
          <w:tcPr>
            <w:tcW w:w="1457" w:type="dxa"/>
          </w:tcPr>
          <w:p w14:paraId="39C54606" w14:textId="77777777" w:rsidR="00E32D8E" w:rsidRPr="007A7C51" w:rsidRDefault="00E32D8E" w:rsidP="001558F7">
            <w:pPr>
              <w:spacing w:line="240" w:lineRule="auto"/>
              <w:rPr>
                <w:rFonts w:eastAsia="Calibri" w:cs="Times New Roman"/>
              </w:rPr>
            </w:pPr>
            <w:r w:rsidRPr="007A7C51">
              <w:rPr>
                <w:rFonts w:eastAsia="Calibri" w:cs="Times New Roman"/>
              </w:rPr>
              <w:t>(5 to 42)§</w:t>
            </w:r>
          </w:p>
          <w:p w14:paraId="601C3014" w14:textId="77777777" w:rsidR="00E32D8E" w:rsidRPr="007A7C51" w:rsidRDefault="00E32D8E" w:rsidP="001558F7">
            <w:pPr>
              <w:spacing w:line="240" w:lineRule="auto"/>
              <w:rPr>
                <w:rFonts w:eastAsia="Calibri" w:cs="Times New Roman"/>
              </w:rPr>
            </w:pPr>
          </w:p>
          <w:p w14:paraId="346D53F8" w14:textId="77777777" w:rsidR="00E32D8E" w:rsidRPr="007A7C51" w:rsidRDefault="00E32D8E" w:rsidP="001558F7">
            <w:pPr>
              <w:spacing w:line="240" w:lineRule="auto"/>
              <w:rPr>
                <w:rFonts w:eastAsia="Calibri" w:cs="Times New Roman"/>
              </w:rPr>
            </w:pPr>
            <w:r w:rsidRPr="007A7C51">
              <w:rPr>
                <w:rFonts w:eastAsia="Calibri" w:cs="Times New Roman"/>
              </w:rPr>
              <w:t>(8-31)</w:t>
            </w:r>
          </w:p>
        </w:tc>
        <w:tc>
          <w:tcPr>
            <w:tcW w:w="2678" w:type="dxa"/>
          </w:tcPr>
          <w:p w14:paraId="743ED9E3" w14:textId="2F6DB97C" w:rsidR="00E32D8E" w:rsidRPr="007A7C51" w:rsidRDefault="00E32D8E" w:rsidP="001558F7">
            <w:pPr>
              <w:spacing w:line="240" w:lineRule="auto"/>
              <w:rPr>
                <w:rFonts w:eastAsia="Calibri" w:cs="Times New Roman"/>
              </w:rPr>
            </w:pPr>
            <w:r w:rsidRPr="007A7C51">
              <w:rPr>
                <w:rFonts w:eastAsia="Calibri" w:cs="Times New Roman"/>
              </w:rPr>
              <w:t>Ritchie (2017)</w:t>
            </w:r>
            <w:r w:rsidRPr="007A7C51">
              <w:rPr>
                <w:rFonts w:eastAsia="Calibri" w:cs="Times New Roman"/>
              </w:rPr>
              <w:fldChar w:fldCharType="begin"/>
            </w:r>
            <w:r w:rsidR="0076576E">
              <w:rPr>
                <w:rFonts w:eastAsia="Calibri" w:cs="Times New Roman"/>
              </w:rPr>
              <w:instrText xml:space="preserve"> ADDIN EN.CITE &lt;EndNote&gt;&lt;Cite&gt;&lt;Author&gt;Ritchie&lt;/Author&gt;&lt;Year&gt;2017&lt;/Year&gt;&lt;RecNum&gt;10258&lt;/RecNum&gt;&lt;DisplayText&gt;&lt;style face="superscript"&gt;136&lt;/style&gt;&lt;/DisplayText&gt;&lt;record&gt;&lt;rec-number&gt;10258&lt;/rec-number&gt;&lt;foreign-keys&gt;&lt;key app="EN" db-id="vrp0pptazv05wtesfz5vrzsj2p0rv09ttsa9" timestamp="1520851588" guid="f7449048-5417-4c42-b564-70ee88fa921e"&gt;10258&lt;/key&gt;&lt;/foreign-keys&gt;&lt;ref-type name="Journal Article"&gt;17&lt;/ref-type&gt;&lt;contributors&gt;&lt;authors&gt;&lt;author&gt;Ritchie, Diane L&lt;/author&gt;&lt;author&gt;Barria, Marcelo A&lt;/author&gt;&lt;author&gt;Peden, Alexander H&lt;/author&gt;&lt;author&gt;Yull, Helen M&lt;/author&gt;&lt;author&gt;Kirkpatrick, James&lt;/author&gt;&lt;author&gt;Adlard, Peter&lt;/author&gt;&lt;author&gt;Ironside, James W&lt;/author&gt;&lt;author&gt;Head, Mark W&lt;/author&gt;&lt;/authors&gt;&lt;/contributors&gt;&lt;titles&gt;&lt;title&gt;UK Iatrogenic Creutzfeldt–Jakob disease: investigating human prion transmission across genotypic barriers using human tissue-based and molecular approaches&lt;/title&gt;&lt;secondary-title&gt;Acta neuropathologica&lt;/secondary-title&gt;&lt;/titles&gt;&lt;periodical&gt;&lt;full-title&gt;Acta Neuropathologica&lt;/full-title&gt;&lt;/periodical&gt;&lt;pages&gt;579-595&lt;/pages&gt;&lt;volume&gt;133&lt;/volume&gt;&lt;number&gt;4&lt;/number&gt;&lt;keywords&gt;&lt;keyword&gt;$$CC_3_TSE incubation&lt;/keyword&gt;&lt;keyword&gt;$$Lesley google&lt;/keyword&gt;&lt;keyword&gt;$$CJD relevant&lt;/keyword&gt;&lt;keyword&gt;$$1_prevalence CJD&lt;/keyword&gt;&lt;/keywords&gt;&lt;dates&gt;&lt;year&gt;2017&lt;/year&gt;&lt;/dates&gt;&lt;isbn&gt;0001-6322&lt;/isbn&gt;&lt;urls&gt;&lt;/urls&gt;&lt;/record&gt;&lt;/Cite&gt;&lt;/EndNote&gt;</w:instrText>
            </w:r>
            <w:r w:rsidRPr="007A7C51">
              <w:rPr>
                <w:rFonts w:eastAsia="Calibri" w:cs="Times New Roman"/>
              </w:rPr>
              <w:fldChar w:fldCharType="separate"/>
            </w:r>
            <w:r w:rsidR="0076576E" w:rsidRPr="0076576E">
              <w:rPr>
                <w:rFonts w:eastAsia="Calibri" w:cs="Times New Roman"/>
                <w:noProof/>
                <w:vertAlign w:val="superscript"/>
              </w:rPr>
              <w:t>136</w:t>
            </w:r>
            <w:r w:rsidRPr="007A7C51">
              <w:rPr>
                <w:rFonts w:eastAsia="Calibri" w:cs="Times New Roman"/>
              </w:rPr>
              <w:fldChar w:fldCharType="end"/>
            </w:r>
          </w:p>
          <w:p w14:paraId="36A2DC38" w14:textId="7391564C" w:rsidR="00E32D8E" w:rsidRPr="007A7C51" w:rsidRDefault="00E32D8E" w:rsidP="001558F7">
            <w:pPr>
              <w:spacing w:line="240" w:lineRule="auto"/>
              <w:rPr>
                <w:rFonts w:eastAsia="Calibri" w:cs="Times New Roman"/>
              </w:rPr>
            </w:pPr>
            <w:r w:rsidRPr="007A7C51">
              <w:rPr>
                <w:rFonts w:eastAsia="Calibri" w:cs="Times New Roman"/>
              </w:rPr>
              <w:t xml:space="preserve">Ritchie </w:t>
            </w:r>
            <w:r>
              <w:rPr>
                <w:rFonts w:eastAsia="Calibri" w:cs="Times New Roman"/>
              </w:rPr>
              <w:t>(</w:t>
            </w:r>
            <w:r w:rsidRPr="007A7C51">
              <w:rPr>
                <w:rFonts w:eastAsia="Calibri" w:cs="Times New Roman"/>
              </w:rPr>
              <w:t>2017</w:t>
            </w:r>
            <w:r>
              <w:rPr>
                <w:rFonts w:eastAsia="Calibri" w:cs="Times New Roman"/>
              </w:rPr>
              <w:t>)</w:t>
            </w:r>
            <w:r w:rsidRPr="007A7C51">
              <w:rPr>
                <w:rFonts w:eastAsia="Calibri" w:cs="Times New Roman"/>
              </w:rPr>
              <w:t xml:space="preserve"> Online Table 1</w:t>
            </w:r>
          </w:p>
        </w:tc>
      </w:tr>
      <w:tr w:rsidR="00E32D8E" w:rsidRPr="007A7C51" w14:paraId="0B670469" w14:textId="77777777" w:rsidTr="00D25530">
        <w:tc>
          <w:tcPr>
            <w:tcW w:w="1866" w:type="dxa"/>
          </w:tcPr>
          <w:p w14:paraId="5FF0D73E" w14:textId="77777777" w:rsidR="00E32D8E" w:rsidRPr="007A7C51" w:rsidRDefault="00E32D8E" w:rsidP="001558F7">
            <w:pPr>
              <w:spacing w:line="240" w:lineRule="auto"/>
              <w:rPr>
                <w:rFonts w:eastAsia="Calibri" w:cs="Times New Roman"/>
              </w:rPr>
            </w:pPr>
            <w:r w:rsidRPr="007A7C51">
              <w:rPr>
                <w:rFonts w:eastAsia="Calibri" w:cs="Times New Roman"/>
              </w:rPr>
              <w:t>Gonadotropin</w:t>
            </w:r>
          </w:p>
          <w:p w14:paraId="357E5C70" w14:textId="77777777" w:rsidR="00E32D8E" w:rsidRPr="007A7C51" w:rsidRDefault="00E32D8E" w:rsidP="001558F7">
            <w:pPr>
              <w:spacing w:line="240" w:lineRule="auto"/>
              <w:rPr>
                <w:rFonts w:eastAsia="Calibri" w:cs="Times New Roman"/>
              </w:rPr>
            </w:pPr>
          </w:p>
        </w:tc>
        <w:tc>
          <w:tcPr>
            <w:tcW w:w="936" w:type="dxa"/>
          </w:tcPr>
          <w:p w14:paraId="4BACF247" w14:textId="77777777" w:rsidR="00E32D8E" w:rsidRPr="007A7C51" w:rsidRDefault="00E32D8E" w:rsidP="001558F7">
            <w:pPr>
              <w:spacing w:line="240" w:lineRule="auto"/>
              <w:rPr>
                <w:rFonts w:eastAsia="Calibri" w:cs="Times New Roman"/>
              </w:rPr>
            </w:pPr>
            <w:r w:rsidRPr="007A7C51">
              <w:rPr>
                <w:rFonts w:eastAsia="Calibri" w:cs="Times New Roman"/>
              </w:rPr>
              <w:t>4</w:t>
            </w:r>
          </w:p>
        </w:tc>
        <w:tc>
          <w:tcPr>
            <w:tcW w:w="716" w:type="dxa"/>
          </w:tcPr>
          <w:p w14:paraId="44D77378" w14:textId="77777777" w:rsidR="00E32D8E" w:rsidRPr="007A7C51" w:rsidRDefault="00E32D8E" w:rsidP="001558F7">
            <w:pPr>
              <w:spacing w:line="240" w:lineRule="auto"/>
              <w:rPr>
                <w:rFonts w:eastAsia="Calibri" w:cs="Times New Roman"/>
              </w:rPr>
            </w:pPr>
            <w:r w:rsidRPr="007A7C51">
              <w:rPr>
                <w:rFonts w:eastAsia="Calibri" w:cs="Times New Roman"/>
              </w:rPr>
              <w:t>0</w:t>
            </w:r>
          </w:p>
        </w:tc>
        <w:tc>
          <w:tcPr>
            <w:tcW w:w="1363" w:type="dxa"/>
          </w:tcPr>
          <w:p w14:paraId="1875AF18" w14:textId="77777777" w:rsidR="00E32D8E" w:rsidRPr="007A7C51" w:rsidRDefault="00E32D8E" w:rsidP="001558F7">
            <w:pPr>
              <w:spacing w:line="240" w:lineRule="auto"/>
              <w:rPr>
                <w:rFonts w:eastAsia="Calibri" w:cs="Times New Roman"/>
              </w:rPr>
            </w:pPr>
            <w:r w:rsidRPr="007A7C51">
              <w:rPr>
                <w:rFonts w:eastAsia="Calibri" w:cs="Times New Roman"/>
              </w:rPr>
              <w:t xml:space="preserve">13.5 </w:t>
            </w:r>
          </w:p>
        </w:tc>
        <w:tc>
          <w:tcPr>
            <w:tcW w:w="1457" w:type="dxa"/>
          </w:tcPr>
          <w:p w14:paraId="75CADFCA" w14:textId="77777777" w:rsidR="00E32D8E" w:rsidRPr="007A7C51" w:rsidRDefault="00E32D8E" w:rsidP="001558F7">
            <w:pPr>
              <w:spacing w:line="240" w:lineRule="auto"/>
              <w:rPr>
                <w:rFonts w:eastAsia="Calibri" w:cs="Times New Roman"/>
              </w:rPr>
            </w:pPr>
            <w:r w:rsidRPr="007A7C51">
              <w:rPr>
                <w:rFonts w:eastAsia="Calibri" w:cs="Times New Roman"/>
              </w:rPr>
              <w:t>(12 to 16)</w:t>
            </w:r>
          </w:p>
        </w:tc>
        <w:tc>
          <w:tcPr>
            <w:tcW w:w="2678" w:type="dxa"/>
          </w:tcPr>
          <w:p w14:paraId="02F851CE" w14:textId="66E7439D" w:rsidR="00E32D8E" w:rsidRPr="007A7C51" w:rsidRDefault="00E32D8E" w:rsidP="00D63CDB">
            <w:pPr>
              <w:spacing w:line="240" w:lineRule="auto"/>
              <w:rPr>
                <w:rFonts w:eastAsia="Calibri" w:cs="Times New Roman"/>
              </w:rPr>
            </w:pPr>
            <w:r w:rsidRPr="007A7C51">
              <w:rPr>
                <w:rFonts w:eastAsia="Calibri" w:cs="Times New Roman"/>
              </w:rPr>
              <w:t>Brown (2012)</w:t>
            </w:r>
            <w:r w:rsidRPr="007A7C5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Pr="007A7C51">
              <w:rPr>
                <w:rFonts w:eastAsia="Calibri" w:cs="Times New Roman"/>
              </w:rPr>
            </w:r>
            <w:r w:rsidRPr="007A7C51">
              <w:rPr>
                <w:rFonts w:eastAsia="Calibri" w:cs="Times New Roman"/>
              </w:rPr>
              <w:fldChar w:fldCharType="separate"/>
            </w:r>
            <w:r w:rsidR="001D65B2" w:rsidRPr="001D65B2">
              <w:rPr>
                <w:rFonts w:eastAsia="Calibri" w:cs="Times New Roman"/>
                <w:noProof/>
                <w:vertAlign w:val="superscript"/>
              </w:rPr>
              <w:t>3</w:t>
            </w:r>
            <w:r w:rsidRPr="007A7C51">
              <w:rPr>
                <w:rFonts w:eastAsia="Calibri" w:cs="Times New Roman"/>
              </w:rPr>
              <w:fldChar w:fldCharType="end"/>
            </w:r>
          </w:p>
        </w:tc>
      </w:tr>
      <w:tr w:rsidR="00E32D8E" w:rsidRPr="007A7C51" w14:paraId="129A2DA0" w14:textId="77777777" w:rsidTr="00D25530">
        <w:tc>
          <w:tcPr>
            <w:tcW w:w="1866" w:type="dxa"/>
          </w:tcPr>
          <w:p w14:paraId="0A20E8F2" w14:textId="77777777" w:rsidR="00E32D8E" w:rsidRPr="007A7C51" w:rsidRDefault="00E32D8E" w:rsidP="001558F7">
            <w:pPr>
              <w:spacing w:line="240" w:lineRule="auto"/>
              <w:rPr>
                <w:rFonts w:eastAsia="Calibri" w:cs="Times New Roman"/>
              </w:rPr>
            </w:pPr>
            <w:r w:rsidRPr="007A7C51">
              <w:rPr>
                <w:rFonts w:eastAsia="Calibri" w:cs="Times New Roman"/>
              </w:rPr>
              <w:t>Packed red blood cells</w:t>
            </w:r>
          </w:p>
          <w:p w14:paraId="2B954A3F" w14:textId="77777777" w:rsidR="00E32D8E" w:rsidRPr="007A7C51" w:rsidRDefault="00E32D8E" w:rsidP="001558F7">
            <w:pPr>
              <w:spacing w:line="240" w:lineRule="auto"/>
              <w:rPr>
                <w:rFonts w:eastAsia="Calibri" w:cs="Times New Roman"/>
              </w:rPr>
            </w:pPr>
          </w:p>
        </w:tc>
        <w:tc>
          <w:tcPr>
            <w:tcW w:w="936" w:type="dxa"/>
          </w:tcPr>
          <w:p w14:paraId="194E2244" w14:textId="77777777" w:rsidR="00E32D8E" w:rsidRPr="007A7C51" w:rsidRDefault="00E32D8E" w:rsidP="001558F7">
            <w:pPr>
              <w:spacing w:line="240" w:lineRule="auto"/>
              <w:rPr>
                <w:rFonts w:eastAsia="Calibri" w:cs="Times New Roman"/>
              </w:rPr>
            </w:pPr>
            <w:r w:rsidRPr="007A7C51">
              <w:rPr>
                <w:rFonts w:eastAsia="Calibri" w:cs="Times New Roman"/>
              </w:rPr>
              <w:t>3</w:t>
            </w:r>
          </w:p>
          <w:p w14:paraId="6585534F" w14:textId="77777777" w:rsidR="00E32D8E" w:rsidRPr="007A7C51" w:rsidRDefault="00E32D8E" w:rsidP="001558F7">
            <w:pPr>
              <w:spacing w:line="240" w:lineRule="auto"/>
              <w:rPr>
                <w:rFonts w:eastAsia="Calibri" w:cs="Times New Roman"/>
              </w:rPr>
            </w:pPr>
          </w:p>
          <w:p w14:paraId="46D9D7EA" w14:textId="77777777" w:rsidR="00E32D8E" w:rsidRPr="007A7C51" w:rsidRDefault="00E32D8E" w:rsidP="001558F7">
            <w:pPr>
              <w:spacing w:line="240" w:lineRule="auto"/>
              <w:rPr>
                <w:rFonts w:eastAsia="Calibri" w:cs="Times New Roman"/>
              </w:rPr>
            </w:pPr>
            <w:r w:rsidRPr="007A7C51">
              <w:rPr>
                <w:rFonts w:eastAsia="Calibri" w:cs="Times New Roman"/>
              </w:rPr>
              <w:t>2</w:t>
            </w:r>
          </w:p>
        </w:tc>
        <w:tc>
          <w:tcPr>
            <w:tcW w:w="716" w:type="dxa"/>
          </w:tcPr>
          <w:p w14:paraId="2E3CFA29" w14:textId="77777777" w:rsidR="00E32D8E" w:rsidRPr="007A7C51" w:rsidRDefault="00E32D8E" w:rsidP="001558F7">
            <w:pPr>
              <w:spacing w:line="240" w:lineRule="auto"/>
              <w:rPr>
                <w:rFonts w:eastAsia="Calibri" w:cs="Times New Roman"/>
              </w:rPr>
            </w:pPr>
            <w:r w:rsidRPr="007A7C51">
              <w:rPr>
                <w:rFonts w:eastAsia="Calibri" w:cs="Times New Roman"/>
              </w:rPr>
              <w:t>3</w:t>
            </w:r>
          </w:p>
          <w:p w14:paraId="7455BBAD" w14:textId="77777777" w:rsidR="00E32D8E" w:rsidRPr="007A7C51" w:rsidRDefault="00E32D8E" w:rsidP="001558F7">
            <w:pPr>
              <w:spacing w:line="240" w:lineRule="auto"/>
              <w:rPr>
                <w:rFonts w:eastAsia="Calibri" w:cs="Times New Roman"/>
              </w:rPr>
            </w:pPr>
          </w:p>
          <w:p w14:paraId="180DD250" w14:textId="77777777" w:rsidR="00E32D8E" w:rsidRPr="007A7C51" w:rsidRDefault="00E32D8E" w:rsidP="001558F7">
            <w:pPr>
              <w:spacing w:line="240" w:lineRule="auto"/>
              <w:rPr>
                <w:rFonts w:eastAsia="Calibri" w:cs="Times New Roman"/>
              </w:rPr>
            </w:pPr>
            <w:r w:rsidRPr="007A7C51">
              <w:rPr>
                <w:rFonts w:eastAsia="Calibri" w:cs="Times New Roman"/>
              </w:rPr>
              <w:t>2</w:t>
            </w:r>
          </w:p>
        </w:tc>
        <w:tc>
          <w:tcPr>
            <w:tcW w:w="1363" w:type="dxa"/>
          </w:tcPr>
          <w:p w14:paraId="654A0148" w14:textId="77777777" w:rsidR="00E32D8E" w:rsidRPr="007A7C51" w:rsidRDefault="00E32D8E" w:rsidP="001558F7">
            <w:pPr>
              <w:spacing w:line="240" w:lineRule="auto"/>
              <w:rPr>
                <w:rFonts w:eastAsia="Calibri" w:cs="Times New Roman"/>
              </w:rPr>
            </w:pPr>
            <w:r w:rsidRPr="007A7C51">
              <w:rPr>
                <w:rFonts w:eastAsia="Calibri" w:cs="Times New Roman"/>
              </w:rPr>
              <w:t>-</w:t>
            </w:r>
          </w:p>
        </w:tc>
        <w:tc>
          <w:tcPr>
            <w:tcW w:w="1457" w:type="dxa"/>
          </w:tcPr>
          <w:p w14:paraId="6320062A" w14:textId="77777777" w:rsidR="00E32D8E" w:rsidRPr="007A7C51" w:rsidRDefault="00E32D8E" w:rsidP="001558F7">
            <w:pPr>
              <w:spacing w:line="240" w:lineRule="auto"/>
              <w:rPr>
                <w:rFonts w:eastAsia="Calibri" w:cs="Times New Roman"/>
              </w:rPr>
            </w:pPr>
            <w:r w:rsidRPr="007A7C51">
              <w:rPr>
                <w:rFonts w:eastAsia="Calibri" w:cs="Times New Roman"/>
              </w:rPr>
              <w:t>(6.5 to 8.3) ‡</w:t>
            </w:r>
          </w:p>
          <w:p w14:paraId="5E995F62" w14:textId="77777777" w:rsidR="00E32D8E" w:rsidRPr="007A7C51" w:rsidRDefault="00E32D8E" w:rsidP="001558F7">
            <w:pPr>
              <w:spacing w:line="240" w:lineRule="auto"/>
              <w:rPr>
                <w:rFonts w:eastAsia="Calibri" w:cs="Times New Roman"/>
              </w:rPr>
            </w:pPr>
          </w:p>
        </w:tc>
        <w:tc>
          <w:tcPr>
            <w:tcW w:w="2678" w:type="dxa"/>
          </w:tcPr>
          <w:p w14:paraId="3CED228C" w14:textId="4F076BD4" w:rsidR="00E32D8E" w:rsidRPr="007A7C51" w:rsidRDefault="00E32D8E" w:rsidP="001558F7">
            <w:pPr>
              <w:spacing w:line="240" w:lineRule="auto"/>
              <w:rPr>
                <w:rFonts w:eastAsia="Calibri" w:cs="Times New Roman"/>
              </w:rPr>
            </w:pPr>
            <w:r w:rsidRPr="007A7C51">
              <w:rPr>
                <w:rFonts w:eastAsia="Calibri" w:cs="Times New Roman"/>
              </w:rPr>
              <w:t>Brown (2012)</w:t>
            </w:r>
            <w:r w:rsidRPr="007A7C5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Pr="007A7C51">
              <w:rPr>
                <w:rFonts w:eastAsia="Calibri" w:cs="Times New Roman"/>
              </w:rPr>
            </w:r>
            <w:r w:rsidRPr="007A7C51">
              <w:rPr>
                <w:rFonts w:eastAsia="Calibri" w:cs="Times New Roman"/>
              </w:rPr>
              <w:fldChar w:fldCharType="separate"/>
            </w:r>
            <w:r w:rsidR="001D65B2" w:rsidRPr="001D65B2">
              <w:rPr>
                <w:rFonts w:eastAsia="Calibri" w:cs="Times New Roman"/>
                <w:noProof/>
                <w:vertAlign w:val="superscript"/>
              </w:rPr>
              <w:t>3</w:t>
            </w:r>
            <w:r w:rsidRPr="007A7C51">
              <w:rPr>
                <w:rFonts w:eastAsia="Calibri" w:cs="Times New Roman"/>
              </w:rPr>
              <w:fldChar w:fldCharType="end"/>
            </w:r>
            <w:r w:rsidRPr="007A7C51">
              <w:rPr>
                <w:rFonts w:eastAsia="Calibri" w:cs="Times New Roman"/>
              </w:rPr>
              <w:t>, Haik (2014)</w:t>
            </w:r>
            <w:r w:rsidRPr="007A7C51">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Pr="007A7C51">
              <w:rPr>
                <w:rFonts w:eastAsia="Calibri" w:cs="Times New Roman"/>
              </w:rPr>
            </w:r>
            <w:r w:rsidRPr="007A7C51">
              <w:rPr>
                <w:rFonts w:eastAsia="Calibri" w:cs="Times New Roman"/>
              </w:rPr>
              <w:fldChar w:fldCharType="separate"/>
            </w:r>
            <w:r w:rsidR="0076576E" w:rsidRPr="0076576E">
              <w:rPr>
                <w:rFonts w:eastAsia="Calibri" w:cs="Times New Roman"/>
                <w:noProof/>
                <w:vertAlign w:val="superscript"/>
              </w:rPr>
              <w:t>131</w:t>
            </w:r>
            <w:r w:rsidRPr="007A7C51">
              <w:rPr>
                <w:rFonts w:eastAsia="Calibri" w:cs="Times New Roman"/>
              </w:rPr>
              <w:fldChar w:fldCharType="end"/>
            </w:r>
          </w:p>
          <w:p w14:paraId="70531692" w14:textId="77777777" w:rsidR="00E32D8E" w:rsidRPr="007A7C51" w:rsidRDefault="00E32D8E" w:rsidP="001558F7">
            <w:pPr>
              <w:spacing w:line="240" w:lineRule="auto"/>
              <w:rPr>
                <w:rFonts w:eastAsia="Calibri" w:cs="Times New Roman"/>
              </w:rPr>
            </w:pPr>
          </w:p>
          <w:p w14:paraId="3E95C458" w14:textId="458FFA70" w:rsidR="00E32D8E" w:rsidRPr="007A7C51" w:rsidRDefault="00E32D8E" w:rsidP="0076576E">
            <w:pPr>
              <w:spacing w:line="240" w:lineRule="auto"/>
              <w:rPr>
                <w:rFonts w:eastAsia="Calibri" w:cs="Times New Roman"/>
              </w:rPr>
            </w:pPr>
            <w:r w:rsidRPr="007A7C51">
              <w:rPr>
                <w:rFonts w:eastAsia="Calibri" w:cs="Times New Roman"/>
              </w:rPr>
              <w:t>Wroe (2006)</w:t>
            </w:r>
            <w:r w:rsidRPr="007A7C51">
              <w:rPr>
                <w:rFonts w:eastAsia="Calibri" w:cs="Times New Roman"/>
              </w:rPr>
              <w:fldChar w:fldCharType="begin"/>
            </w:r>
            <w:r w:rsidR="0076576E">
              <w:rPr>
                <w:rFonts w:eastAsia="Calibri" w:cs="Times New Roman"/>
              </w:rPr>
              <w:instrText xml:space="preserve"> ADDIN EN.CITE &lt;EndNote&gt;&lt;Cite&gt;&lt;Author&gt;Wroe&lt;/Author&gt;&lt;Year&gt;2006&lt;/Year&gt;&lt;RecNum&gt;9732&lt;/RecNum&gt;&lt;DisplayText&gt;&lt;style face="superscript"&gt;137&lt;/style&gt;&lt;/DisplayText&gt;&lt;record&gt;&lt;rec-number&gt;9732&lt;/rec-number&gt;&lt;foreign-keys&gt;&lt;key app="EN" db-id="vrp0pptazv05wtesfz5vrzsj2p0rv09ttsa9" timestamp="1511786612" guid="852093f9-9783-495d-83ca-a316b40a4c02"&gt;9732&lt;/key&gt;&lt;/foreign-keys&gt;&lt;ref-type name="Journal Article"&gt;17&lt;/ref-type&gt;&lt;contributors&gt;&lt;authors&gt;&lt;author&gt;Wroe, S.J.&lt;/author&gt;&lt;/authors&gt;&lt;/contributors&gt;&lt;titles&gt;&lt;title&gt;Clinical presentation and pre-mortem diagnosis of variant Creutzfeldt–Jakob disease associated with blood transfusion: a case report&lt;/title&gt;&lt;secondary-title&gt;Lancet&lt;/secondary-title&gt;&lt;/titles&gt;&lt;periodical&gt;&lt;full-title&gt;Lancet&lt;/full-title&gt;&lt;/periodical&gt;&lt;pages&gt;2061-2067&lt;/pages&gt;&lt;volume&gt;368&lt;/volume&gt;&lt;keywords&gt;&lt;keyword&gt;$$CC_3_TSE incubation&lt;/keyword&gt;&lt;keyword&gt;$$references&lt;/keyword&gt;&lt;keyword&gt;$$Lesley google&lt;/keyword&gt;&lt;keyword&gt;$$CJD relevant&lt;/keyword&gt;&lt;/keywords&gt;&lt;dates&gt;&lt;year&gt;2006&lt;/year&gt;&lt;/dates&gt;&lt;urls&gt;&lt;/urls&gt;&lt;electronic-resource-num&gt;10.1016/S0140-6736(06)69835-8&lt;/electronic-resource-num&gt;&lt;/record&gt;&lt;/Cite&gt;&lt;/EndNote&gt;</w:instrText>
            </w:r>
            <w:r w:rsidRPr="007A7C51">
              <w:rPr>
                <w:rFonts w:eastAsia="Calibri" w:cs="Times New Roman"/>
              </w:rPr>
              <w:fldChar w:fldCharType="separate"/>
            </w:r>
            <w:r w:rsidR="0076576E" w:rsidRPr="0076576E">
              <w:rPr>
                <w:rFonts w:eastAsia="Calibri" w:cs="Times New Roman"/>
                <w:noProof/>
                <w:vertAlign w:val="superscript"/>
              </w:rPr>
              <w:t>137</w:t>
            </w:r>
            <w:r w:rsidRPr="007A7C51">
              <w:rPr>
                <w:rFonts w:eastAsia="Calibri" w:cs="Times New Roman"/>
              </w:rPr>
              <w:fldChar w:fldCharType="end"/>
            </w:r>
            <w:r w:rsidRPr="007A7C51">
              <w:rPr>
                <w:rFonts w:eastAsia="Calibri" w:cs="Times New Roman"/>
              </w:rPr>
              <w:t>, Peden (2004)</w:t>
            </w:r>
            <w:r w:rsidRPr="007A7C51">
              <w:rPr>
                <w:rFonts w:eastAsia="Calibri" w:cs="Times New Roman"/>
              </w:rPr>
              <w:fldChar w:fldCharType="begin"/>
            </w:r>
            <w:r w:rsidR="0076576E">
              <w:rPr>
                <w:rFonts w:eastAsia="Calibri" w:cs="Times New Roman"/>
              </w:rPr>
              <w:instrText xml:space="preserve"> ADDIN EN.CITE &lt;EndNote&gt;&lt;Cite&gt;&lt;Author&gt;Peden&lt;/Author&gt;&lt;Year&gt;2004&lt;/Year&gt;&lt;RecNum&gt;10256&lt;/RecNum&gt;&lt;DisplayText&gt;&lt;style face="superscript"&gt;73&lt;/style&gt;&lt;/DisplayText&gt;&lt;record&gt;&lt;rec-number&gt;10256&lt;/rec-number&gt;&lt;foreign-keys&gt;&lt;key app="EN" db-id="vrp0pptazv05wtesfz5vrzsj2p0rv09ttsa9" timestamp="1520851587" guid="5ecc7404-379c-4936-9b28-431cb34bfd08"&gt;10256&lt;/key&gt;&lt;/foreign-keys&gt;&lt;ref-type name="Journal Article"&gt;17&lt;/ref-type&gt;&lt;contributors&gt;&lt;authors&gt;&lt;author&gt;Peden, Alexander H&lt;/author&gt;&lt;author&gt;Head, Mark W&lt;/author&gt;&lt;author&gt;Diane, L Ritchie&lt;/author&gt;&lt;author&gt;Jeanne, E Bell&lt;/author&gt;&lt;author&gt;James, W Ironside&lt;/author&gt;&lt;/authors&gt;&lt;/contributors&gt;&lt;titles&gt;&lt;title&gt;Preclinical vCJD after blood transfusion in a PRNP codon 129 heterozygous patient&lt;/title&gt;&lt;secondary-title&gt;The Lancet&lt;/secondary-title&gt;&lt;/titles&gt;&lt;periodical&gt;&lt;full-title&gt;The Lancet&lt;/full-title&gt;&lt;/periodical&gt;&lt;pages&gt;527-529&lt;/pages&gt;&lt;volume&gt;364&lt;/volume&gt;&lt;number&gt;9433&lt;/number&gt;&lt;keywords&gt;&lt;keyword&gt;$$Committee recommended&lt;/keyword&gt;&lt;keyword&gt;$$CJD relevant&lt;/keyword&gt;&lt;keyword&gt;$$transfusion&lt;/keyword&gt;&lt;/keywords&gt;&lt;dates&gt;&lt;year&gt;2004&lt;/year&gt;&lt;/dates&gt;&lt;isbn&gt;0140-6736&lt;/isbn&gt;&lt;urls&gt;&lt;/urls&gt;&lt;/record&gt;&lt;/Cite&gt;&lt;/EndNote&gt;</w:instrText>
            </w:r>
            <w:r w:rsidRPr="007A7C51">
              <w:rPr>
                <w:rFonts w:eastAsia="Calibri" w:cs="Times New Roman"/>
              </w:rPr>
              <w:fldChar w:fldCharType="separate"/>
            </w:r>
            <w:r w:rsidR="0076576E" w:rsidRPr="0076576E">
              <w:rPr>
                <w:rFonts w:eastAsia="Calibri" w:cs="Times New Roman"/>
                <w:noProof/>
                <w:vertAlign w:val="superscript"/>
              </w:rPr>
              <w:t>73</w:t>
            </w:r>
            <w:r w:rsidRPr="007A7C51">
              <w:rPr>
                <w:rFonts w:eastAsia="Calibri" w:cs="Times New Roman"/>
              </w:rPr>
              <w:fldChar w:fldCharType="end"/>
            </w:r>
            <w:r w:rsidRPr="007A7C51">
              <w:rPr>
                <w:rFonts w:eastAsia="Calibri" w:cs="Times New Roman"/>
              </w:rPr>
              <w:t>,  Ironside (2010)</w:t>
            </w:r>
            <w:r w:rsidRPr="007A7C51">
              <w:rPr>
                <w:rFonts w:eastAsia="Calibri" w:cs="Times New Roman"/>
              </w:rPr>
              <w:fldChar w:fldCharType="begin">
                <w:fldData xml:space="preserve">PEVuZE5vdGU+PENpdGU+PEF1dGhvcj5Jcm9uc2lkZTwvQXV0aG9yPjxZZWFyPjIwMTA8L1llYXI+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PEVuZE5vdGU+PENpdGU+PEF1dGhvcj5Jcm9uc2lkZTwvQXV0aG9yPjxZZWFyPjIwMTA8L1llYXI+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Pr="007A7C51">
              <w:rPr>
                <w:rFonts w:eastAsia="Calibri" w:cs="Times New Roman"/>
              </w:rPr>
            </w:r>
            <w:r w:rsidRPr="007A7C51">
              <w:rPr>
                <w:rFonts w:eastAsia="Calibri" w:cs="Times New Roman"/>
              </w:rPr>
              <w:fldChar w:fldCharType="separate"/>
            </w:r>
            <w:r w:rsidR="0076576E" w:rsidRPr="0076576E">
              <w:rPr>
                <w:rFonts w:eastAsia="Calibri" w:cs="Times New Roman"/>
                <w:noProof/>
                <w:vertAlign w:val="superscript"/>
              </w:rPr>
              <w:t>138</w:t>
            </w:r>
            <w:r w:rsidRPr="007A7C51">
              <w:rPr>
                <w:rFonts w:eastAsia="Calibri" w:cs="Times New Roman"/>
              </w:rPr>
              <w:fldChar w:fldCharType="end"/>
            </w:r>
            <w:r w:rsidRPr="007A7C51">
              <w:rPr>
                <w:rFonts w:eastAsia="Calibri" w:cs="Times New Roman"/>
              </w:rPr>
              <w:t>; Chohan (2010)</w:t>
            </w:r>
            <w:r w:rsidRPr="007A7C51">
              <w:rPr>
                <w:rFonts w:eastAsia="Calibri" w:cs="Times New Roman"/>
              </w:rPr>
              <w:fldChar w:fldCharType="begin">
                <w:fldData xml:space="preserve">PEVuZE5vdGU+PENpdGU+PEF1dGhvcj5DaG9oYW48L0F1dGhvcj48WWVhcj4yMDEwPC9ZZWFyPjxS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PEVuZE5vdGU+PENpdGU+PEF1dGhvcj5DaG9oYW48L0F1dGhvcj48WWVhcj4yMDEwPC9ZZWFyPjxS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Pr="007A7C51">
              <w:rPr>
                <w:rFonts w:eastAsia="Calibri" w:cs="Times New Roman"/>
              </w:rPr>
            </w:r>
            <w:r w:rsidRPr="007A7C51">
              <w:rPr>
                <w:rFonts w:eastAsia="Calibri" w:cs="Times New Roman"/>
              </w:rPr>
              <w:fldChar w:fldCharType="separate"/>
            </w:r>
            <w:r w:rsidR="0076576E" w:rsidRPr="0076576E">
              <w:rPr>
                <w:rFonts w:eastAsia="Calibri" w:cs="Times New Roman"/>
                <w:noProof/>
                <w:vertAlign w:val="superscript"/>
              </w:rPr>
              <w:t>78</w:t>
            </w:r>
            <w:r w:rsidRPr="007A7C51">
              <w:rPr>
                <w:rFonts w:eastAsia="Calibri" w:cs="Times New Roman"/>
              </w:rPr>
              <w:fldChar w:fldCharType="end"/>
            </w:r>
          </w:p>
        </w:tc>
      </w:tr>
      <w:tr w:rsidR="00E32D8E" w:rsidRPr="007A7C51" w14:paraId="32F038FF" w14:textId="77777777" w:rsidTr="00D25530">
        <w:tc>
          <w:tcPr>
            <w:tcW w:w="1866" w:type="dxa"/>
          </w:tcPr>
          <w:p w14:paraId="3FD51BCE" w14:textId="77777777" w:rsidR="00E32D8E" w:rsidRPr="007A7C51" w:rsidRDefault="00E32D8E" w:rsidP="001558F7">
            <w:pPr>
              <w:spacing w:line="240" w:lineRule="auto"/>
              <w:rPr>
                <w:rFonts w:eastAsia="Calibri" w:cs="Times New Roman"/>
              </w:rPr>
            </w:pPr>
            <w:r w:rsidRPr="007A7C51">
              <w:rPr>
                <w:rFonts w:eastAsia="Calibri" w:cs="Times New Roman"/>
              </w:rPr>
              <w:t>Total (secondary)</w:t>
            </w:r>
          </w:p>
        </w:tc>
        <w:tc>
          <w:tcPr>
            <w:tcW w:w="936" w:type="dxa"/>
          </w:tcPr>
          <w:p w14:paraId="6D988F04" w14:textId="77777777" w:rsidR="00E32D8E" w:rsidRPr="007A7C51" w:rsidRDefault="00E32D8E" w:rsidP="001558F7">
            <w:pPr>
              <w:spacing w:line="240" w:lineRule="auto"/>
              <w:rPr>
                <w:rFonts w:eastAsia="Calibri" w:cs="Times New Roman"/>
              </w:rPr>
            </w:pPr>
            <w:r w:rsidRPr="007A7C51">
              <w:rPr>
                <w:rFonts w:eastAsia="Calibri" w:cs="Times New Roman"/>
              </w:rPr>
              <w:t>471</w:t>
            </w:r>
          </w:p>
        </w:tc>
        <w:tc>
          <w:tcPr>
            <w:tcW w:w="716" w:type="dxa"/>
          </w:tcPr>
          <w:p w14:paraId="10B37CD9" w14:textId="77777777" w:rsidR="00E32D8E" w:rsidRPr="007A7C51" w:rsidRDefault="00E32D8E" w:rsidP="001558F7">
            <w:pPr>
              <w:spacing w:line="240" w:lineRule="auto"/>
              <w:rPr>
                <w:rFonts w:eastAsia="Calibri" w:cs="Times New Roman"/>
              </w:rPr>
            </w:pPr>
            <w:r w:rsidRPr="007A7C51">
              <w:rPr>
                <w:rFonts w:eastAsia="Calibri" w:cs="Times New Roman"/>
              </w:rPr>
              <w:t>81</w:t>
            </w:r>
          </w:p>
        </w:tc>
        <w:tc>
          <w:tcPr>
            <w:tcW w:w="1363" w:type="dxa"/>
          </w:tcPr>
          <w:p w14:paraId="50C955FD" w14:textId="77777777" w:rsidR="00E32D8E" w:rsidRPr="007A7C51" w:rsidRDefault="00E32D8E" w:rsidP="001558F7">
            <w:pPr>
              <w:spacing w:line="240" w:lineRule="auto"/>
              <w:rPr>
                <w:rFonts w:eastAsia="Calibri" w:cs="Times New Roman"/>
              </w:rPr>
            </w:pPr>
          </w:p>
        </w:tc>
        <w:tc>
          <w:tcPr>
            <w:tcW w:w="1457" w:type="dxa"/>
          </w:tcPr>
          <w:p w14:paraId="56F4BDD9" w14:textId="77777777" w:rsidR="00E32D8E" w:rsidRPr="007A7C51" w:rsidRDefault="00E32D8E" w:rsidP="001558F7">
            <w:pPr>
              <w:spacing w:line="240" w:lineRule="auto"/>
              <w:rPr>
                <w:rFonts w:eastAsia="Calibri" w:cs="Times New Roman"/>
              </w:rPr>
            </w:pPr>
          </w:p>
        </w:tc>
        <w:tc>
          <w:tcPr>
            <w:tcW w:w="2678" w:type="dxa"/>
          </w:tcPr>
          <w:p w14:paraId="0624201A" w14:textId="77777777" w:rsidR="00E32D8E" w:rsidRPr="007A7C51" w:rsidRDefault="00E32D8E" w:rsidP="001558F7">
            <w:pPr>
              <w:spacing w:line="240" w:lineRule="auto"/>
              <w:rPr>
                <w:rFonts w:eastAsia="Calibri" w:cs="Times New Roman"/>
              </w:rPr>
            </w:pPr>
          </w:p>
        </w:tc>
      </w:tr>
    </w:tbl>
    <w:p w14:paraId="44C76747" w14:textId="7898DF94" w:rsidR="00303D5A" w:rsidRPr="008F4587" w:rsidRDefault="001558F7" w:rsidP="00303D5A">
      <w:pPr>
        <w:autoSpaceDE w:val="0"/>
        <w:autoSpaceDN w:val="0"/>
        <w:adjustRightInd w:val="0"/>
        <w:spacing w:line="240" w:lineRule="auto"/>
        <w:jc w:val="both"/>
        <w:rPr>
          <w:rFonts w:eastAsia="Calibri" w:cs="Times New Roman"/>
          <w:sz w:val="16"/>
          <w:szCs w:val="16"/>
        </w:rPr>
      </w:pPr>
      <w:r w:rsidRPr="008F4587">
        <w:rPr>
          <w:rFonts w:eastAsia="Calibri" w:cs="Times New Roman"/>
          <w:sz w:val="16"/>
          <w:szCs w:val="16"/>
          <w:vertAlign w:val="superscript"/>
        </w:rPr>
        <w:t>a</w:t>
      </w:r>
      <w:r w:rsidR="00303D5A" w:rsidRPr="008F4587">
        <w:rPr>
          <w:rFonts w:eastAsia="Calibri" w:cs="Times New Roman"/>
          <w:sz w:val="16"/>
          <w:szCs w:val="16"/>
          <w:vertAlign w:val="superscript"/>
        </w:rPr>
        <w:t xml:space="preserve"> </w:t>
      </w:r>
      <w:r w:rsidR="00303D5A" w:rsidRPr="008F4587">
        <w:rPr>
          <w:rFonts w:eastAsia="Calibri" w:cs="Times New Roman"/>
          <w:sz w:val="16"/>
          <w:szCs w:val="16"/>
        </w:rPr>
        <w:t>UK only:  Advisory Committee on Dangerous Pathogens 2016; National CJD Research and Surveillance Unit (</w:t>
      </w:r>
      <w:hyperlink r:id="rId11" w:history="1">
        <w:r w:rsidR="00303D5A" w:rsidRPr="008F4587">
          <w:rPr>
            <w:rFonts w:eastAsia="Calibri" w:cs="Times New Roman"/>
            <w:color w:val="0000FF"/>
            <w:sz w:val="16"/>
            <w:szCs w:val="16"/>
            <w:u w:val="single"/>
          </w:rPr>
          <w:t>https://www.cjd.ed.ac.uk/</w:t>
        </w:r>
      </w:hyperlink>
      <w:r w:rsidR="00303D5A" w:rsidRPr="008F4587">
        <w:rPr>
          <w:rFonts w:eastAsia="Calibri" w:cs="Times New Roman"/>
          <w:sz w:val="16"/>
          <w:szCs w:val="16"/>
        </w:rPr>
        <w:t xml:space="preserve"> ) n= 178 (but this includes the three cases of blood transfusion). However, no incubation data were provided.</w:t>
      </w:r>
    </w:p>
    <w:p w14:paraId="30D1E410" w14:textId="4F56B86B" w:rsidR="00303D5A" w:rsidRPr="008F4587" w:rsidRDefault="00303D5A" w:rsidP="00303D5A">
      <w:pPr>
        <w:autoSpaceDE w:val="0"/>
        <w:autoSpaceDN w:val="0"/>
        <w:adjustRightInd w:val="0"/>
        <w:spacing w:line="240" w:lineRule="auto"/>
        <w:jc w:val="both"/>
        <w:rPr>
          <w:rFonts w:eastAsia="Calibri" w:cs="Times New Roman"/>
          <w:sz w:val="16"/>
          <w:szCs w:val="16"/>
        </w:rPr>
      </w:pPr>
      <w:r w:rsidRPr="008F4587">
        <w:rPr>
          <w:rFonts w:eastAsia="Calibri" w:cs="Times New Roman"/>
          <w:sz w:val="16"/>
          <w:szCs w:val="16"/>
        </w:rPr>
        <w:t xml:space="preserve">*Collinge </w:t>
      </w:r>
      <w:r w:rsidR="00B301D6" w:rsidRPr="008F4587">
        <w:rPr>
          <w:rFonts w:eastAsia="Calibri" w:cs="Times New Roman"/>
          <w:i/>
          <w:sz w:val="16"/>
          <w:szCs w:val="16"/>
        </w:rPr>
        <w:t>et al</w:t>
      </w:r>
      <w:r w:rsidRPr="008F4587">
        <w:rPr>
          <w:rFonts w:eastAsia="Calibri" w:cs="Times New Roman"/>
          <w:sz w:val="16"/>
          <w:szCs w:val="16"/>
        </w:rPr>
        <w:t xml:space="preserve"> (2008a) reported 11 new cases from 1996-2004 with a much longer mean incubation period of 48.7 years (range 39 to 56 years) and with a much higher proportion of heterozygotes: 80% compared with &lt;50% in earlier samples (Cervenova </w:t>
      </w:r>
      <w:r w:rsidR="00B301D6" w:rsidRPr="008F4587">
        <w:rPr>
          <w:rFonts w:eastAsia="Calibri" w:cs="Times New Roman"/>
          <w:i/>
          <w:sz w:val="16"/>
          <w:szCs w:val="16"/>
        </w:rPr>
        <w:t>et al</w:t>
      </w:r>
      <w:r w:rsidRPr="008F4587">
        <w:rPr>
          <w:rFonts w:eastAsia="Calibri" w:cs="Times New Roman"/>
          <w:sz w:val="16"/>
          <w:szCs w:val="16"/>
        </w:rPr>
        <w:t xml:space="preserve"> 1998, Klitzman </w:t>
      </w:r>
      <w:r w:rsidR="00B301D6" w:rsidRPr="008F4587">
        <w:rPr>
          <w:rFonts w:eastAsia="Calibri" w:cs="Times New Roman"/>
          <w:i/>
          <w:sz w:val="16"/>
          <w:szCs w:val="16"/>
        </w:rPr>
        <w:t>et al</w:t>
      </w:r>
      <w:r w:rsidRPr="008F4587">
        <w:rPr>
          <w:rFonts w:eastAsia="Calibri" w:cs="Times New Roman"/>
          <w:sz w:val="16"/>
          <w:szCs w:val="16"/>
        </w:rPr>
        <w:t xml:space="preserve"> 1984).</w:t>
      </w:r>
    </w:p>
    <w:p w14:paraId="7F270869" w14:textId="77777777" w:rsidR="00303D5A" w:rsidRPr="008F4587" w:rsidRDefault="00303D5A" w:rsidP="00303D5A">
      <w:pPr>
        <w:autoSpaceDE w:val="0"/>
        <w:autoSpaceDN w:val="0"/>
        <w:adjustRightInd w:val="0"/>
        <w:spacing w:line="240" w:lineRule="auto"/>
        <w:jc w:val="both"/>
        <w:rPr>
          <w:rFonts w:eastAsia="Calibri" w:cs="Times New Roman"/>
          <w:sz w:val="16"/>
          <w:szCs w:val="16"/>
        </w:rPr>
      </w:pPr>
      <w:r w:rsidRPr="008F4587">
        <w:rPr>
          <w:rFonts w:eastAsia="Calibri" w:cs="Times New Roman"/>
          <w:sz w:val="16"/>
          <w:szCs w:val="16"/>
        </w:rPr>
        <w:t xml:space="preserve">†Possible additional probable cases of iCJD as a result of neurosurgery have also recently been identified (Brown 2015; Kobayashi 2015, Xiao 2014), but no incubation data are available. </w:t>
      </w:r>
    </w:p>
    <w:p w14:paraId="177A92BE" w14:textId="51AB7368" w:rsidR="00303D5A" w:rsidRPr="008F4587" w:rsidRDefault="00303D5A" w:rsidP="00303D5A">
      <w:pPr>
        <w:autoSpaceDE w:val="0"/>
        <w:autoSpaceDN w:val="0"/>
        <w:adjustRightInd w:val="0"/>
        <w:spacing w:line="240" w:lineRule="auto"/>
        <w:jc w:val="both"/>
        <w:rPr>
          <w:rFonts w:eastAsia="Calibri" w:cs="Times New Roman"/>
          <w:sz w:val="16"/>
          <w:szCs w:val="16"/>
        </w:rPr>
      </w:pPr>
      <w:r w:rsidRPr="008F4587">
        <w:rPr>
          <w:rFonts w:eastAsia="Calibri" w:cs="Times New Roman"/>
          <w:sz w:val="16"/>
          <w:szCs w:val="16"/>
        </w:rPr>
        <w:t>‡Incubation data are only available for the three clinical cases; two cases were non-clinical, i.e. there was transmission by transfusion but</w:t>
      </w:r>
      <w:r w:rsidR="00100BB2" w:rsidRPr="008F4587">
        <w:rPr>
          <w:rFonts w:eastAsia="Calibri" w:cs="Times New Roman"/>
          <w:sz w:val="16"/>
          <w:szCs w:val="16"/>
        </w:rPr>
        <w:t xml:space="preserve"> the patients died asymptomatic.</w:t>
      </w:r>
      <w:r w:rsidRPr="008F4587">
        <w:rPr>
          <w:rFonts w:eastAsia="Calibri" w:cs="Times New Roman"/>
          <w:sz w:val="16"/>
          <w:szCs w:val="16"/>
        </w:rPr>
        <w:t xml:space="preserve"> </w:t>
      </w:r>
    </w:p>
    <w:p w14:paraId="545C3A65" w14:textId="77777777" w:rsidR="00303D5A" w:rsidRPr="008F4587" w:rsidRDefault="00303D5A" w:rsidP="00303D5A">
      <w:pPr>
        <w:autoSpaceDE w:val="0"/>
        <w:autoSpaceDN w:val="0"/>
        <w:adjustRightInd w:val="0"/>
        <w:spacing w:line="240" w:lineRule="auto"/>
        <w:jc w:val="both"/>
        <w:rPr>
          <w:rFonts w:eastAsia="Calibri" w:cs="Times New Roman"/>
          <w:sz w:val="16"/>
          <w:szCs w:val="16"/>
        </w:rPr>
      </w:pPr>
      <w:r w:rsidRPr="008F4587">
        <w:rPr>
          <w:rFonts w:eastAsia="Calibri" w:cs="Times New Roman"/>
          <w:sz w:val="16"/>
          <w:szCs w:val="16"/>
        </w:rPr>
        <w:t>§Based on assumed midpoint date of multiyear periods of treatment, and the onset of symptoms (Brown 2012)</w:t>
      </w:r>
    </w:p>
    <w:p w14:paraId="0A70A2F9" w14:textId="77777777" w:rsidR="00851AC2" w:rsidRPr="00851AC2" w:rsidRDefault="00851AC2" w:rsidP="00635170">
      <w:pPr>
        <w:autoSpaceDE w:val="0"/>
        <w:autoSpaceDN w:val="0"/>
        <w:adjustRightInd w:val="0"/>
        <w:jc w:val="both"/>
        <w:rPr>
          <w:rFonts w:eastAsia="Calibri" w:cs="Times New Roman"/>
        </w:rPr>
      </w:pPr>
    </w:p>
    <w:p w14:paraId="364559B0" w14:textId="181BC340" w:rsidR="00303D5A" w:rsidRPr="00635170" w:rsidRDefault="00303D5A" w:rsidP="00D25530">
      <w:pPr>
        <w:pStyle w:val="Heading4"/>
        <w:spacing w:before="0"/>
        <w:rPr>
          <w:rFonts w:eastAsia="Calibri"/>
          <w:sz w:val="22"/>
          <w:lang w:val="en"/>
        </w:rPr>
      </w:pPr>
      <w:r w:rsidRPr="00635170">
        <w:rPr>
          <w:rFonts w:eastAsia="Calibri"/>
          <w:sz w:val="22"/>
          <w:lang w:val="en"/>
        </w:rPr>
        <w:t>UK data</w:t>
      </w:r>
      <w:r w:rsidR="000A18AA" w:rsidRPr="00635170">
        <w:rPr>
          <w:rFonts w:eastAsia="Calibri"/>
          <w:sz w:val="22"/>
          <w:lang w:val="en"/>
        </w:rPr>
        <w:t xml:space="preserve"> on incubation</w:t>
      </w:r>
    </w:p>
    <w:p w14:paraId="2D28956A" w14:textId="4E4EE5E4" w:rsidR="000A18AA" w:rsidRPr="00690541" w:rsidRDefault="000A18AA">
      <w:r w:rsidRPr="007A7C51">
        <w:rPr>
          <w:rFonts w:eastAsia="Calibri" w:cs="Times New Roman"/>
          <w:lang w:val="en"/>
        </w:rPr>
        <w:t xml:space="preserve">A summary of data on incubation from iatrogenic CJD in the UK is presented in </w:t>
      </w:r>
      <w:r w:rsidRPr="007A7C51">
        <w:rPr>
          <w:rFonts w:eastAsia="Calibri" w:cs="Times New Roman"/>
          <w:lang w:val="en"/>
        </w:rPr>
        <w:fldChar w:fldCharType="begin"/>
      </w:r>
      <w:r w:rsidRPr="007A7C51">
        <w:rPr>
          <w:rFonts w:eastAsia="Calibri" w:cs="Times New Roman"/>
          <w:lang w:val="en"/>
        </w:rPr>
        <w:instrText xml:space="preserve"> REF _Ref506967752 \h </w:instrText>
      </w:r>
      <w:r w:rsidR="007A7C51">
        <w:rPr>
          <w:rFonts w:eastAsia="Calibri" w:cs="Times New Roman"/>
          <w:lang w:val="en"/>
        </w:rPr>
        <w:instrText xml:space="preserve"> \* MERGEFORMAT </w:instrText>
      </w:r>
      <w:r w:rsidRPr="007A7C51">
        <w:rPr>
          <w:rFonts w:eastAsia="Calibri" w:cs="Times New Roman"/>
          <w:lang w:val="en"/>
        </w:rPr>
      </w:r>
      <w:r w:rsidRPr="007A7C51">
        <w:rPr>
          <w:rFonts w:eastAsia="Calibri" w:cs="Times New Roman"/>
          <w:lang w:val="en"/>
        </w:rPr>
        <w:fldChar w:fldCharType="separate"/>
      </w:r>
      <w:r w:rsidR="00690541">
        <w:rPr>
          <w:noProof/>
        </w:rPr>
        <w:t>Table</w:t>
      </w:r>
      <w:r w:rsidR="00690541">
        <w:t xml:space="preserve"> </w:t>
      </w:r>
      <w:r w:rsidR="00690541">
        <w:rPr>
          <w:noProof/>
        </w:rPr>
        <w:t>8</w:t>
      </w:r>
      <w:r w:rsidRPr="007A7C51">
        <w:rPr>
          <w:rFonts w:eastAsia="Calibri" w:cs="Times New Roman"/>
          <w:lang w:val="en"/>
        </w:rPr>
        <w:fldChar w:fldCharType="end"/>
      </w:r>
      <w:r w:rsidRPr="007A7C51">
        <w:rPr>
          <w:rFonts w:eastAsia="Calibri" w:cs="Times New Roman"/>
          <w:lang w:val="en"/>
        </w:rPr>
        <w:t>.</w:t>
      </w:r>
    </w:p>
    <w:p w14:paraId="0238EC43" w14:textId="6E6A903F" w:rsidR="00303D5A" w:rsidRPr="00B12E32" w:rsidRDefault="00303D5A" w:rsidP="001558F7">
      <w:pPr>
        <w:rPr>
          <w:rFonts w:eastAsia="Calibri" w:cs="Times New Roman"/>
          <w:b/>
          <w:sz w:val="24"/>
          <w:szCs w:val="24"/>
        </w:rPr>
      </w:pPr>
    </w:p>
    <w:p w14:paraId="4EAAE722" w14:textId="77777777" w:rsidR="008F4587" w:rsidRDefault="008F4587">
      <w:pPr>
        <w:spacing w:after="160" w:line="259" w:lineRule="auto"/>
        <w:rPr>
          <w:b/>
          <w:iCs/>
          <w:szCs w:val="18"/>
        </w:rPr>
      </w:pPr>
      <w:bookmarkStart w:id="52" w:name="_Ref506967752"/>
      <w:r>
        <w:br w:type="page"/>
      </w:r>
    </w:p>
    <w:p w14:paraId="3CABC370" w14:textId="7FD6C598" w:rsidR="000A18AA" w:rsidRDefault="000A18AA" w:rsidP="001558F7">
      <w:pPr>
        <w:pStyle w:val="Caption"/>
        <w:keepNext/>
        <w:spacing w:line="360" w:lineRule="auto"/>
        <w:ind w:left="1440" w:hanging="1440"/>
      </w:pPr>
      <w:bookmarkStart w:id="53" w:name="_Toc525106695"/>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8</w:t>
      </w:r>
      <w:r w:rsidR="00F62DB8">
        <w:rPr>
          <w:noProof/>
        </w:rPr>
        <w:fldChar w:fldCharType="end"/>
      </w:r>
      <w:bookmarkEnd w:id="52"/>
      <w:r>
        <w:t>:</w:t>
      </w:r>
      <w:r w:rsidR="001558F7">
        <w:tab/>
      </w:r>
      <w:r w:rsidRPr="002C13F5">
        <w:t>UK only data for iCJD</w:t>
      </w:r>
      <w:r w:rsidR="007960DD">
        <w:t xml:space="preserve"> incubation periods (reported or calculated by the reviewer in years)</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968"/>
        <w:gridCol w:w="1536"/>
        <w:gridCol w:w="1705"/>
        <w:gridCol w:w="2299"/>
      </w:tblGrid>
      <w:tr w:rsidR="00303D5A" w:rsidRPr="007A7C51" w14:paraId="103314FB" w14:textId="77777777" w:rsidTr="00931EC4">
        <w:tc>
          <w:tcPr>
            <w:tcW w:w="2508" w:type="dxa"/>
          </w:tcPr>
          <w:p w14:paraId="5CCC6A87" w14:textId="77777777" w:rsidR="00303D5A" w:rsidRPr="007A7C51" w:rsidRDefault="00303D5A" w:rsidP="001558F7">
            <w:pPr>
              <w:spacing w:line="240" w:lineRule="auto"/>
              <w:rPr>
                <w:rFonts w:eastAsia="Calibri" w:cs="Times New Roman"/>
              </w:rPr>
            </w:pPr>
            <w:r w:rsidRPr="007A7C51">
              <w:rPr>
                <w:rFonts w:eastAsia="Calibri" w:cs="Times New Roman"/>
              </w:rPr>
              <w:t>Source of infection</w:t>
            </w:r>
          </w:p>
        </w:tc>
        <w:tc>
          <w:tcPr>
            <w:tcW w:w="968" w:type="dxa"/>
          </w:tcPr>
          <w:p w14:paraId="291FB2FC" w14:textId="77777777" w:rsidR="00303D5A" w:rsidRPr="007A7C51" w:rsidRDefault="00303D5A" w:rsidP="001558F7">
            <w:pPr>
              <w:spacing w:line="240" w:lineRule="auto"/>
              <w:rPr>
                <w:rFonts w:eastAsia="Calibri" w:cs="Times New Roman"/>
              </w:rPr>
            </w:pPr>
            <w:r w:rsidRPr="007A7C51">
              <w:rPr>
                <w:rFonts w:eastAsia="Calibri" w:cs="Times New Roman"/>
              </w:rPr>
              <w:t>No. cases</w:t>
            </w:r>
          </w:p>
        </w:tc>
        <w:tc>
          <w:tcPr>
            <w:tcW w:w="1536" w:type="dxa"/>
          </w:tcPr>
          <w:p w14:paraId="40223448" w14:textId="77777777" w:rsidR="00303D5A" w:rsidRPr="007A7C51" w:rsidRDefault="00303D5A" w:rsidP="001558F7">
            <w:pPr>
              <w:spacing w:line="240" w:lineRule="auto"/>
              <w:rPr>
                <w:rFonts w:eastAsia="Calibri" w:cs="Times New Roman"/>
              </w:rPr>
            </w:pPr>
            <w:r w:rsidRPr="007A7C51">
              <w:rPr>
                <w:rFonts w:eastAsia="Calibri" w:cs="Times New Roman"/>
              </w:rPr>
              <w:t xml:space="preserve">Mean incubation period, years </w:t>
            </w:r>
          </w:p>
        </w:tc>
        <w:tc>
          <w:tcPr>
            <w:tcW w:w="1705" w:type="dxa"/>
          </w:tcPr>
          <w:p w14:paraId="7B3C739D" w14:textId="77777777" w:rsidR="00303D5A" w:rsidRPr="007A7C51" w:rsidRDefault="00303D5A" w:rsidP="001558F7">
            <w:pPr>
              <w:spacing w:line="240" w:lineRule="auto"/>
              <w:rPr>
                <w:rFonts w:eastAsia="Calibri" w:cs="Times New Roman"/>
              </w:rPr>
            </w:pPr>
            <w:r w:rsidRPr="007A7C51">
              <w:rPr>
                <w:rFonts w:eastAsia="Calibri" w:cs="Times New Roman"/>
              </w:rPr>
              <w:t>(range, years)</w:t>
            </w:r>
          </w:p>
        </w:tc>
        <w:tc>
          <w:tcPr>
            <w:tcW w:w="2299" w:type="dxa"/>
          </w:tcPr>
          <w:p w14:paraId="592C367C" w14:textId="77777777" w:rsidR="00303D5A" w:rsidRPr="007A7C51" w:rsidRDefault="00303D5A" w:rsidP="001558F7">
            <w:pPr>
              <w:spacing w:line="240" w:lineRule="auto"/>
              <w:rPr>
                <w:rFonts w:eastAsia="Calibri" w:cs="Times New Roman"/>
              </w:rPr>
            </w:pPr>
            <w:r w:rsidRPr="007A7C51">
              <w:rPr>
                <w:rFonts w:eastAsia="Calibri" w:cs="Times New Roman"/>
              </w:rPr>
              <w:t>Studies / reports</w:t>
            </w:r>
          </w:p>
        </w:tc>
      </w:tr>
      <w:tr w:rsidR="00303D5A" w:rsidRPr="007A7C51" w14:paraId="19BF7D75" w14:textId="77777777" w:rsidTr="00931EC4">
        <w:tc>
          <w:tcPr>
            <w:tcW w:w="2508" w:type="dxa"/>
          </w:tcPr>
          <w:p w14:paraId="12B8A42C" w14:textId="77777777" w:rsidR="00303D5A" w:rsidRPr="007A7C51" w:rsidRDefault="00303D5A" w:rsidP="001558F7">
            <w:pPr>
              <w:spacing w:line="240" w:lineRule="auto"/>
              <w:rPr>
                <w:rFonts w:eastAsia="Calibri" w:cs="Times New Roman"/>
              </w:rPr>
            </w:pPr>
            <w:r w:rsidRPr="007A7C51">
              <w:rPr>
                <w:rFonts w:eastAsia="Calibri" w:cs="Times New Roman"/>
              </w:rPr>
              <w:t>Dura mater graft</w:t>
            </w:r>
          </w:p>
          <w:p w14:paraId="507EEE4C" w14:textId="77777777" w:rsidR="00303D5A" w:rsidRPr="007A7C51" w:rsidRDefault="00303D5A" w:rsidP="001558F7">
            <w:pPr>
              <w:spacing w:line="240" w:lineRule="auto"/>
              <w:rPr>
                <w:rFonts w:eastAsia="Calibri" w:cs="Times New Roman"/>
              </w:rPr>
            </w:pPr>
          </w:p>
          <w:p w14:paraId="3088A9EF" w14:textId="77777777" w:rsidR="00303D5A" w:rsidRPr="007A7C51" w:rsidRDefault="00303D5A" w:rsidP="001558F7">
            <w:pPr>
              <w:spacing w:line="240" w:lineRule="auto"/>
              <w:rPr>
                <w:rFonts w:eastAsia="Calibri" w:cs="Times New Roman"/>
              </w:rPr>
            </w:pPr>
            <w:r w:rsidRPr="007A7C51">
              <w:rPr>
                <w:rFonts w:eastAsia="Calibri" w:cs="Times New Roman"/>
              </w:rPr>
              <w:t>1990-2012§</w:t>
            </w:r>
          </w:p>
        </w:tc>
        <w:tc>
          <w:tcPr>
            <w:tcW w:w="968" w:type="dxa"/>
          </w:tcPr>
          <w:p w14:paraId="05EC04E1" w14:textId="77777777" w:rsidR="00303D5A" w:rsidRPr="007A7C51" w:rsidRDefault="00303D5A" w:rsidP="001558F7">
            <w:pPr>
              <w:spacing w:line="240" w:lineRule="auto"/>
              <w:rPr>
                <w:rFonts w:eastAsia="Calibri" w:cs="Times New Roman"/>
              </w:rPr>
            </w:pPr>
            <w:r w:rsidRPr="007A7C51">
              <w:rPr>
                <w:rFonts w:eastAsia="Calibri" w:cs="Times New Roman"/>
              </w:rPr>
              <w:t>8*</w:t>
            </w:r>
          </w:p>
          <w:p w14:paraId="4A83D10D" w14:textId="77777777" w:rsidR="00303D5A" w:rsidRPr="007A7C51" w:rsidRDefault="00303D5A" w:rsidP="001558F7">
            <w:pPr>
              <w:spacing w:line="240" w:lineRule="auto"/>
              <w:rPr>
                <w:rFonts w:eastAsia="Calibri" w:cs="Times New Roman"/>
              </w:rPr>
            </w:pPr>
          </w:p>
          <w:p w14:paraId="3DF7CB18" w14:textId="77777777" w:rsidR="00303D5A" w:rsidRPr="007A7C51" w:rsidRDefault="00303D5A" w:rsidP="001558F7">
            <w:pPr>
              <w:spacing w:line="240" w:lineRule="auto"/>
              <w:rPr>
                <w:rFonts w:eastAsia="Calibri" w:cs="Times New Roman"/>
              </w:rPr>
            </w:pPr>
            <w:r w:rsidRPr="007A7C51">
              <w:rPr>
                <w:rFonts w:eastAsia="Calibri" w:cs="Times New Roman"/>
              </w:rPr>
              <w:t>3</w:t>
            </w:r>
          </w:p>
        </w:tc>
        <w:tc>
          <w:tcPr>
            <w:tcW w:w="1536" w:type="dxa"/>
          </w:tcPr>
          <w:p w14:paraId="66373CB8" w14:textId="77777777" w:rsidR="00303D5A" w:rsidRPr="007A7C51" w:rsidRDefault="00303D5A" w:rsidP="001558F7">
            <w:pPr>
              <w:spacing w:line="240" w:lineRule="auto"/>
              <w:rPr>
                <w:rFonts w:eastAsia="Calibri" w:cs="Times New Roman"/>
              </w:rPr>
            </w:pPr>
            <w:r w:rsidRPr="007A7C51">
              <w:rPr>
                <w:rFonts w:eastAsia="Calibri" w:cs="Times New Roman"/>
              </w:rPr>
              <w:t xml:space="preserve">7.8† </w:t>
            </w:r>
          </w:p>
          <w:p w14:paraId="70215959" w14:textId="77777777" w:rsidR="00303D5A" w:rsidRPr="007A7C51" w:rsidRDefault="00303D5A" w:rsidP="001558F7">
            <w:pPr>
              <w:spacing w:line="240" w:lineRule="auto"/>
              <w:rPr>
                <w:rFonts w:eastAsia="Calibri" w:cs="Times New Roman"/>
              </w:rPr>
            </w:pPr>
          </w:p>
          <w:p w14:paraId="4A6DAADC" w14:textId="77777777" w:rsidR="00303D5A" w:rsidRPr="007A7C51" w:rsidRDefault="00303D5A" w:rsidP="001558F7">
            <w:pPr>
              <w:spacing w:line="240" w:lineRule="auto"/>
              <w:rPr>
                <w:rFonts w:eastAsia="Calibri" w:cs="Times New Roman"/>
              </w:rPr>
            </w:pPr>
            <w:r w:rsidRPr="007A7C51">
              <w:rPr>
                <w:rFonts w:eastAsia="Calibri" w:cs="Times New Roman"/>
              </w:rPr>
              <w:t>11**</w:t>
            </w:r>
          </w:p>
        </w:tc>
        <w:tc>
          <w:tcPr>
            <w:tcW w:w="1705" w:type="dxa"/>
          </w:tcPr>
          <w:p w14:paraId="6C4099C1" w14:textId="77777777" w:rsidR="00303D5A" w:rsidRPr="007A7C51" w:rsidRDefault="00303D5A" w:rsidP="001558F7">
            <w:pPr>
              <w:spacing w:line="240" w:lineRule="auto"/>
              <w:rPr>
                <w:rFonts w:eastAsia="Calibri" w:cs="Times New Roman"/>
              </w:rPr>
            </w:pPr>
            <w:r w:rsidRPr="007A7C51">
              <w:rPr>
                <w:rFonts w:eastAsia="Calibri" w:cs="Times New Roman"/>
              </w:rPr>
              <w:t>(3.8–14.8) †</w:t>
            </w:r>
          </w:p>
          <w:p w14:paraId="0557672B" w14:textId="77777777" w:rsidR="00303D5A" w:rsidRPr="007A7C51" w:rsidRDefault="00303D5A" w:rsidP="001558F7">
            <w:pPr>
              <w:spacing w:line="240" w:lineRule="auto"/>
              <w:rPr>
                <w:rFonts w:eastAsia="Calibri" w:cs="Times New Roman"/>
              </w:rPr>
            </w:pPr>
          </w:p>
          <w:p w14:paraId="051D9F63" w14:textId="77777777" w:rsidR="00303D5A" w:rsidRPr="007A7C51" w:rsidRDefault="00303D5A" w:rsidP="001558F7">
            <w:pPr>
              <w:spacing w:line="240" w:lineRule="auto"/>
              <w:rPr>
                <w:rFonts w:eastAsia="Calibri" w:cs="Times New Roman"/>
              </w:rPr>
            </w:pPr>
            <w:r w:rsidRPr="007A7C51">
              <w:rPr>
                <w:rFonts w:eastAsia="Calibri" w:cs="Times New Roman"/>
              </w:rPr>
              <w:t>(8-15)</w:t>
            </w:r>
          </w:p>
        </w:tc>
        <w:tc>
          <w:tcPr>
            <w:tcW w:w="2299" w:type="dxa"/>
          </w:tcPr>
          <w:p w14:paraId="0D308734" w14:textId="3227E98B" w:rsidR="00303D5A" w:rsidRPr="007A7C51" w:rsidRDefault="00303D5A" w:rsidP="0076576E">
            <w:pPr>
              <w:spacing w:line="240" w:lineRule="auto"/>
              <w:rPr>
                <w:rFonts w:eastAsia="Calibri" w:cs="Times New Roman"/>
              </w:rPr>
            </w:pPr>
            <w:r w:rsidRPr="007A7C51">
              <w:rPr>
                <w:rFonts w:eastAsia="Calibri" w:cs="Times New Roman"/>
              </w:rPr>
              <w:t xml:space="preserve">Heath </w:t>
            </w:r>
            <w:r w:rsidR="00910682" w:rsidRPr="007A7C51">
              <w:rPr>
                <w:rFonts w:eastAsia="Calibri" w:cs="Times New Roman"/>
              </w:rPr>
              <w:t>(</w:t>
            </w:r>
            <w:r w:rsidRPr="007A7C51">
              <w:rPr>
                <w:rFonts w:eastAsia="Calibri" w:cs="Times New Roman"/>
              </w:rPr>
              <w:t>2006</w:t>
            </w:r>
            <w:r w:rsidR="00910682" w:rsidRPr="007A7C51">
              <w:rPr>
                <w:rFonts w:eastAsia="Calibri" w:cs="Times New Roman"/>
              </w:rPr>
              <w:t>)</w:t>
            </w:r>
            <w:r w:rsidR="00FC6175" w:rsidRPr="007A7C51">
              <w:rPr>
                <w:rFonts w:eastAsia="Calibri" w:cs="Times New Roman"/>
              </w:rPr>
              <w:fldChar w:fldCharType="begin">
                <w:fldData xml:space="preserve">PEVuZE5vdGU+PENpdGU+PEF1dGhvcj5IZWF0aDwvQXV0aG9yPjxZZWFyPjIwMDY8L1llYXI+PFJl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=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PEVuZE5vdGU+PENpdGU+PEF1dGhvcj5IZWF0aDwvQXV0aG9yPjxZZWFyPjIwMDY8L1llYXI+PFJl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=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76576E" w:rsidRPr="0076576E">
              <w:rPr>
                <w:rFonts w:eastAsia="Calibri" w:cs="Times New Roman"/>
                <w:noProof/>
                <w:vertAlign w:val="superscript"/>
              </w:rPr>
              <w:t>133</w:t>
            </w:r>
            <w:r w:rsidR="00FC6175" w:rsidRPr="007A7C51">
              <w:rPr>
                <w:rFonts w:eastAsia="Calibri" w:cs="Times New Roman"/>
              </w:rPr>
              <w:fldChar w:fldCharType="end"/>
            </w:r>
            <w:r w:rsidRPr="007A7C51">
              <w:rPr>
                <w:rFonts w:eastAsia="Calibri" w:cs="Times New Roman"/>
              </w:rPr>
              <w:t xml:space="preserve">, </w:t>
            </w:r>
            <w:r w:rsidR="000859CB" w:rsidRPr="007A7C51">
              <w:rPr>
                <w:rFonts w:eastAsia="Calibri" w:cs="Times New Roman"/>
              </w:rPr>
              <w:t>Ritchie (2017)</w:t>
            </w:r>
            <w:r w:rsidR="00FC6175" w:rsidRPr="007A7C51">
              <w:rPr>
                <w:rFonts w:eastAsia="Calibri" w:cs="Times New Roman"/>
              </w:rPr>
              <w:fldChar w:fldCharType="begin"/>
            </w:r>
            <w:r w:rsidR="0076576E">
              <w:rPr>
                <w:rFonts w:eastAsia="Calibri" w:cs="Times New Roman"/>
              </w:rPr>
              <w:instrText xml:space="preserve"> ADDIN EN.CITE &lt;EndNote&gt;&lt;Cite&gt;&lt;Author&gt;Ritchie&lt;/Author&gt;&lt;Year&gt;2017&lt;/Year&gt;&lt;RecNum&gt;10258&lt;/RecNum&gt;&lt;DisplayText&gt;&lt;style face="superscript"&gt;136&lt;/style&gt;&lt;/DisplayText&gt;&lt;record&gt;&lt;rec-number&gt;10258&lt;/rec-number&gt;&lt;foreign-keys&gt;&lt;key app="EN" db-id="vrp0pptazv05wtesfz5vrzsj2p0rv09ttsa9" timestamp="1520851588" guid="f7449048-5417-4c42-b564-70ee88fa921e"&gt;10258&lt;/key&gt;&lt;/foreign-keys&gt;&lt;ref-type name="Journal Article"&gt;17&lt;/ref-type&gt;&lt;contributors&gt;&lt;authors&gt;&lt;author&gt;Ritchie, Diane L&lt;/author&gt;&lt;author&gt;Barria, Marcelo A&lt;/author&gt;&lt;author&gt;Peden, Alexander H&lt;/author&gt;&lt;author&gt;Yull, Helen M&lt;/author&gt;&lt;author&gt;Kirkpatrick, James&lt;/author&gt;&lt;author&gt;Adlard, Peter&lt;/author&gt;&lt;author&gt;Ironside, James W&lt;/author&gt;&lt;author&gt;Head, Mark W&lt;/author&gt;&lt;/authors&gt;&lt;/contributors&gt;&lt;titles&gt;&lt;title&gt;UK Iatrogenic Creutzfeldt–Jakob disease: investigating human prion transmission across genotypic barriers using human tissue-based and molecular approaches&lt;/title&gt;&lt;secondary-title&gt;Acta neuropathologica&lt;/secondary-title&gt;&lt;/titles&gt;&lt;periodical&gt;&lt;full-title&gt;Acta Neuropathologica&lt;/full-title&gt;&lt;/periodical&gt;&lt;pages&gt;579-595&lt;/pages&gt;&lt;volume&gt;133&lt;/volume&gt;&lt;number&gt;4&lt;/number&gt;&lt;keywords&gt;&lt;keyword&gt;$$CC_3_TSE incubation&lt;/keyword&gt;&lt;keyword&gt;$$Lesley google&lt;/keyword&gt;&lt;keyword&gt;$$CJD relevant&lt;/keyword&gt;&lt;keyword&gt;$$1_prevalence CJD&lt;/keyword&gt;&lt;/keywords&gt;&lt;dates&gt;&lt;year&gt;2017&lt;/year&gt;&lt;/dates&gt;&lt;isbn&gt;0001-6322&lt;/isbn&gt;&lt;urls&gt;&lt;/urls&gt;&lt;/record&gt;&lt;/Cite&gt;&lt;/EndNote&gt;</w:instrText>
            </w:r>
            <w:r w:rsidR="00FC6175" w:rsidRPr="007A7C51">
              <w:rPr>
                <w:rFonts w:eastAsia="Calibri" w:cs="Times New Roman"/>
              </w:rPr>
              <w:fldChar w:fldCharType="separate"/>
            </w:r>
            <w:r w:rsidR="0076576E" w:rsidRPr="0076576E">
              <w:rPr>
                <w:rFonts w:eastAsia="Calibri" w:cs="Times New Roman"/>
                <w:noProof/>
                <w:vertAlign w:val="superscript"/>
              </w:rPr>
              <w:t>136</w:t>
            </w:r>
            <w:r w:rsidR="00FC6175" w:rsidRPr="007A7C51">
              <w:rPr>
                <w:rFonts w:eastAsia="Calibri" w:cs="Times New Roman"/>
              </w:rPr>
              <w:fldChar w:fldCharType="end"/>
            </w:r>
            <w:r w:rsidRPr="007A7C51">
              <w:rPr>
                <w:rFonts w:eastAsia="Calibri" w:cs="Times New Roman"/>
              </w:rPr>
              <w:t>**</w:t>
            </w:r>
          </w:p>
        </w:tc>
      </w:tr>
      <w:tr w:rsidR="00303D5A" w:rsidRPr="007A7C51" w14:paraId="231679DE" w14:textId="77777777" w:rsidTr="00931EC4">
        <w:tc>
          <w:tcPr>
            <w:tcW w:w="2508" w:type="dxa"/>
          </w:tcPr>
          <w:p w14:paraId="623CA162" w14:textId="77777777" w:rsidR="00303D5A" w:rsidRPr="007A7C51" w:rsidRDefault="00303D5A" w:rsidP="001558F7">
            <w:pPr>
              <w:spacing w:line="240" w:lineRule="auto"/>
              <w:rPr>
                <w:rFonts w:eastAsia="Calibri" w:cs="Times New Roman"/>
              </w:rPr>
            </w:pPr>
            <w:r w:rsidRPr="007A7C51">
              <w:rPr>
                <w:rFonts w:eastAsia="Calibri" w:cs="Times New Roman"/>
              </w:rPr>
              <w:t>Neurosurgical instruments</w:t>
            </w:r>
          </w:p>
        </w:tc>
        <w:tc>
          <w:tcPr>
            <w:tcW w:w="968" w:type="dxa"/>
          </w:tcPr>
          <w:p w14:paraId="4B080910" w14:textId="77777777" w:rsidR="00303D5A" w:rsidRPr="007A7C51" w:rsidRDefault="00303D5A" w:rsidP="001558F7">
            <w:pPr>
              <w:spacing w:line="240" w:lineRule="auto"/>
              <w:rPr>
                <w:rFonts w:eastAsia="Calibri" w:cs="Times New Roman"/>
              </w:rPr>
            </w:pPr>
            <w:r w:rsidRPr="007A7C51">
              <w:rPr>
                <w:rFonts w:eastAsia="Calibri" w:cs="Times New Roman"/>
              </w:rPr>
              <w:t>3</w:t>
            </w:r>
          </w:p>
        </w:tc>
        <w:tc>
          <w:tcPr>
            <w:tcW w:w="1536" w:type="dxa"/>
          </w:tcPr>
          <w:p w14:paraId="0E508A33" w14:textId="31CE5DE0" w:rsidR="00303D5A" w:rsidRPr="007A7C51" w:rsidRDefault="00E32D8E" w:rsidP="001558F7">
            <w:pPr>
              <w:spacing w:line="240" w:lineRule="auto"/>
              <w:rPr>
                <w:rFonts w:eastAsia="Calibri" w:cs="Times New Roman"/>
              </w:rPr>
            </w:pPr>
            <w:r>
              <w:rPr>
                <w:rFonts w:eastAsia="Calibri" w:cs="Times New Roman"/>
              </w:rPr>
              <w:t>1.4</w:t>
            </w:r>
          </w:p>
        </w:tc>
        <w:tc>
          <w:tcPr>
            <w:tcW w:w="1705" w:type="dxa"/>
          </w:tcPr>
          <w:p w14:paraId="42D282C5" w14:textId="77777777" w:rsidR="00303D5A" w:rsidRPr="007A7C51" w:rsidRDefault="00303D5A" w:rsidP="001558F7">
            <w:pPr>
              <w:spacing w:line="240" w:lineRule="auto"/>
              <w:rPr>
                <w:rFonts w:eastAsia="Calibri" w:cs="Times New Roman"/>
              </w:rPr>
            </w:pPr>
            <w:r w:rsidRPr="007A7C51">
              <w:rPr>
                <w:rFonts w:eastAsia="Calibri" w:cs="Times New Roman"/>
              </w:rPr>
              <w:t>(1.3, 1.5, 1.6)</w:t>
            </w:r>
          </w:p>
        </w:tc>
        <w:tc>
          <w:tcPr>
            <w:tcW w:w="2299" w:type="dxa"/>
          </w:tcPr>
          <w:p w14:paraId="20EF9AE8" w14:textId="44358682" w:rsidR="00303D5A" w:rsidRPr="007A7C51" w:rsidRDefault="00334D92" w:rsidP="00D63CDB">
            <w:pPr>
              <w:spacing w:line="240" w:lineRule="auto"/>
              <w:rPr>
                <w:rFonts w:eastAsia="Calibri" w:cs="Times New Roman"/>
              </w:rPr>
            </w:pPr>
            <w:r w:rsidRPr="007A7C51">
              <w:rPr>
                <w:rFonts w:eastAsia="Calibri" w:cs="Times New Roman"/>
              </w:rPr>
              <w:t>Brown (2015)</w:t>
            </w:r>
            <w:r w:rsidR="00FC6175" w:rsidRPr="007A7C51">
              <w:rPr>
                <w:rFonts w:eastAsia="Calibri" w:cs="Times New Roman"/>
              </w:rPr>
              <w:fldChar w:fldCharType="begin">
                <w:fldData xml:space="preserve">PEVuZE5vdGU+PENpdGU+PEF1dGhvcj5Ccm93bjwvQXV0aG9yPjxZZWFyPjIwMTU8L1llYXI+PFJl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PEVuZE5vdGU+PENpdGU+PEF1dGhvcj5Ccm93bjwvQXV0aG9yPjxZZWFyPjIwMTU8L1llYXI+PFJl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1D65B2" w:rsidRPr="001D65B2">
              <w:rPr>
                <w:rFonts w:eastAsia="Calibri" w:cs="Times New Roman"/>
                <w:noProof/>
                <w:vertAlign w:val="superscript"/>
              </w:rPr>
              <w:t>6</w:t>
            </w:r>
            <w:r w:rsidR="00FC6175" w:rsidRPr="007A7C51">
              <w:rPr>
                <w:rFonts w:eastAsia="Calibri" w:cs="Times New Roman"/>
              </w:rPr>
              <w:fldChar w:fldCharType="end"/>
            </w:r>
          </w:p>
        </w:tc>
      </w:tr>
      <w:tr w:rsidR="00303D5A" w:rsidRPr="007A7C51" w14:paraId="37285D66" w14:textId="77777777" w:rsidTr="00931EC4">
        <w:tc>
          <w:tcPr>
            <w:tcW w:w="2508" w:type="dxa"/>
          </w:tcPr>
          <w:p w14:paraId="304E0D58" w14:textId="77777777" w:rsidR="00303D5A" w:rsidRPr="007A7C51" w:rsidRDefault="00303D5A" w:rsidP="001558F7">
            <w:pPr>
              <w:spacing w:line="240" w:lineRule="auto"/>
              <w:rPr>
                <w:rFonts w:eastAsia="Calibri" w:cs="Times New Roman"/>
              </w:rPr>
            </w:pPr>
            <w:r w:rsidRPr="007A7C51">
              <w:rPr>
                <w:rFonts w:eastAsia="Calibri" w:cs="Times New Roman"/>
              </w:rPr>
              <w:t>EEG needles</w:t>
            </w:r>
          </w:p>
        </w:tc>
        <w:tc>
          <w:tcPr>
            <w:tcW w:w="968" w:type="dxa"/>
          </w:tcPr>
          <w:p w14:paraId="3D62BEB0" w14:textId="77777777" w:rsidR="00303D5A" w:rsidRPr="007A7C51" w:rsidRDefault="00303D5A" w:rsidP="001558F7">
            <w:pPr>
              <w:spacing w:line="240" w:lineRule="auto"/>
              <w:rPr>
                <w:rFonts w:eastAsia="Calibri" w:cs="Times New Roman"/>
              </w:rPr>
            </w:pPr>
            <w:r w:rsidRPr="007A7C51">
              <w:rPr>
                <w:rFonts w:eastAsia="Calibri" w:cs="Times New Roman"/>
              </w:rPr>
              <w:t>0</w:t>
            </w:r>
          </w:p>
        </w:tc>
        <w:tc>
          <w:tcPr>
            <w:tcW w:w="1536" w:type="dxa"/>
          </w:tcPr>
          <w:p w14:paraId="103A37FD" w14:textId="77777777" w:rsidR="00303D5A" w:rsidRPr="007A7C51" w:rsidRDefault="00303D5A" w:rsidP="001558F7">
            <w:pPr>
              <w:spacing w:line="240" w:lineRule="auto"/>
              <w:rPr>
                <w:rFonts w:eastAsia="Calibri" w:cs="Times New Roman"/>
              </w:rPr>
            </w:pPr>
            <w:r w:rsidRPr="007A7C51">
              <w:rPr>
                <w:rFonts w:eastAsia="Calibri" w:cs="Times New Roman"/>
              </w:rPr>
              <w:t>NA</w:t>
            </w:r>
          </w:p>
        </w:tc>
        <w:tc>
          <w:tcPr>
            <w:tcW w:w="1705" w:type="dxa"/>
          </w:tcPr>
          <w:p w14:paraId="2482946B" w14:textId="77777777" w:rsidR="00303D5A" w:rsidRPr="007A7C51" w:rsidRDefault="00303D5A" w:rsidP="001558F7">
            <w:pPr>
              <w:spacing w:line="240" w:lineRule="auto"/>
              <w:rPr>
                <w:rFonts w:eastAsia="Calibri" w:cs="Times New Roman"/>
              </w:rPr>
            </w:pPr>
            <w:r w:rsidRPr="007A7C51">
              <w:rPr>
                <w:rFonts w:eastAsia="Calibri" w:cs="Times New Roman"/>
              </w:rPr>
              <w:t>NA</w:t>
            </w:r>
          </w:p>
        </w:tc>
        <w:tc>
          <w:tcPr>
            <w:tcW w:w="2299" w:type="dxa"/>
          </w:tcPr>
          <w:p w14:paraId="4084867E" w14:textId="77777777" w:rsidR="00303D5A" w:rsidRPr="007A7C51" w:rsidRDefault="00303D5A" w:rsidP="001558F7">
            <w:pPr>
              <w:spacing w:line="240" w:lineRule="auto"/>
              <w:rPr>
                <w:rFonts w:eastAsia="Calibri" w:cs="Times New Roman"/>
              </w:rPr>
            </w:pPr>
            <w:r w:rsidRPr="007A7C51">
              <w:rPr>
                <w:rFonts w:eastAsia="Calibri" w:cs="Times New Roman"/>
              </w:rPr>
              <w:t>-</w:t>
            </w:r>
          </w:p>
        </w:tc>
      </w:tr>
      <w:tr w:rsidR="00303D5A" w:rsidRPr="007A7C51" w14:paraId="00EF8F7B" w14:textId="77777777" w:rsidTr="00931EC4">
        <w:tc>
          <w:tcPr>
            <w:tcW w:w="2508" w:type="dxa"/>
          </w:tcPr>
          <w:p w14:paraId="2293F2CA" w14:textId="77777777" w:rsidR="00303D5A" w:rsidRPr="007A7C51" w:rsidRDefault="00303D5A" w:rsidP="001558F7">
            <w:pPr>
              <w:spacing w:line="240" w:lineRule="auto"/>
              <w:rPr>
                <w:rFonts w:eastAsia="Calibri" w:cs="Times New Roman"/>
              </w:rPr>
            </w:pPr>
            <w:r w:rsidRPr="007A7C51">
              <w:rPr>
                <w:rFonts w:eastAsia="Calibri" w:cs="Times New Roman"/>
              </w:rPr>
              <w:t>Corneal transplant</w:t>
            </w:r>
          </w:p>
        </w:tc>
        <w:tc>
          <w:tcPr>
            <w:tcW w:w="968" w:type="dxa"/>
          </w:tcPr>
          <w:p w14:paraId="20D5F5F8" w14:textId="77777777" w:rsidR="00303D5A" w:rsidRPr="007A7C51" w:rsidRDefault="00303D5A" w:rsidP="001558F7">
            <w:pPr>
              <w:spacing w:line="240" w:lineRule="auto"/>
              <w:rPr>
                <w:rFonts w:eastAsia="Calibri" w:cs="Times New Roman"/>
              </w:rPr>
            </w:pPr>
            <w:r w:rsidRPr="007A7C51">
              <w:rPr>
                <w:rFonts w:eastAsia="Calibri" w:cs="Times New Roman"/>
              </w:rPr>
              <w:t>0</w:t>
            </w:r>
          </w:p>
        </w:tc>
        <w:tc>
          <w:tcPr>
            <w:tcW w:w="1536" w:type="dxa"/>
          </w:tcPr>
          <w:p w14:paraId="4B49E29E" w14:textId="77777777" w:rsidR="00303D5A" w:rsidRPr="007A7C51" w:rsidRDefault="00303D5A" w:rsidP="001558F7">
            <w:pPr>
              <w:spacing w:line="240" w:lineRule="auto"/>
              <w:rPr>
                <w:rFonts w:eastAsia="Calibri" w:cs="Times New Roman"/>
              </w:rPr>
            </w:pPr>
            <w:r w:rsidRPr="007A7C51">
              <w:rPr>
                <w:rFonts w:eastAsia="Calibri" w:cs="Times New Roman"/>
              </w:rPr>
              <w:t>NA</w:t>
            </w:r>
          </w:p>
        </w:tc>
        <w:tc>
          <w:tcPr>
            <w:tcW w:w="1705" w:type="dxa"/>
          </w:tcPr>
          <w:p w14:paraId="6C8791BA" w14:textId="77777777" w:rsidR="00303D5A" w:rsidRPr="007A7C51" w:rsidRDefault="00303D5A" w:rsidP="001558F7">
            <w:pPr>
              <w:spacing w:line="240" w:lineRule="auto"/>
              <w:rPr>
                <w:rFonts w:eastAsia="Calibri" w:cs="Times New Roman"/>
              </w:rPr>
            </w:pPr>
            <w:r w:rsidRPr="007A7C51">
              <w:rPr>
                <w:rFonts w:eastAsia="Calibri" w:cs="Times New Roman"/>
              </w:rPr>
              <w:t>NA</w:t>
            </w:r>
          </w:p>
        </w:tc>
        <w:tc>
          <w:tcPr>
            <w:tcW w:w="2299" w:type="dxa"/>
          </w:tcPr>
          <w:p w14:paraId="27EE6D9B" w14:textId="77777777" w:rsidR="00303D5A" w:rsidRPr="007A7C51" w:rsidRDefault="00303D5A" w:rsidP="001558F7">
            <w:pPr>
              <w:spacing w:line="240" w:lineRule="auto"/>
              <w:rPr>
                <w:rFonts w:eastAsia="Calibri" w:cs="Times New Roman"/>
              </w:rPr>
            </w:pPr>
            <w:r w:rsidRPr="007A7C51">
              <w:rPr>
                <w:rFonts w:eastAsia="Calibri" w:cs="Times New Roman"/>
              </w:rPr>
              <w:t>-</w:t>
            </w:r>
          </w:p>
        </w:tc>
      </w:tr>
      <w:tr w:rsidR="00303D5A" w:rsidRPr="007A7C51" w14:paraId="7365AADD" w14:textId="77777777" w:rsidTr="00931EC4">
        <w:tc>
          <w:tcPr>
            <w:tcW w:w="2508" w:type="dxa"/>
          </w:tcPr>
          <w:p w14:paraId="01600FB2" w14:textId="77777777" w:rsidR="00303D5A" w:rsidRPr="007A7C51" w:rsidRDefault="00303D5A" w:rsidP="001558F7">
            <w:pPr>
              <w:spacing w:line="240" w:lineRule="auto"/>
              <w:rPr>
                <w:rFonts w:eastAsia="Calibri" w:cs="Times New Roman"/>
              </w:rPr>
            </w:pPr>
            <w:r w:rsidRPr="007A7C51">
              <w:rPr>
                <w:rFonts w:eastAsia="Calibri" w:cs="Times New Roman"/>
              </w:rPr>
              <w:t>Growth hormone</w:t>
            </w:r>
          </w:p>
          <w:p w14:paraId="5D46C102" w14:textId="77777777" w:rsidR="00303D5A" w:rsidRPr="007A7C51" w:rsidRDefault="00303D5A" w:rsidP="001558F7">
            <w:pPr>
              <w:spacing w:line="240" w:lineRule="auto"/>
              <w:rPr>
                <w:rFonts w:eastAsia="Calibri" w:cs="Times New Roman"/>
              </w:rPr>
            </w:pPr>
          </w:p>
          <w:p w14:paraId="7E67488B" w14:textId="77777777" w:rsidR="00303D5A" w:rsidRPr="007A7C51" w:rsidRDefault="00303D5A" w:rsidP="001558F7">
            <w:pPr>
              <w:spacing w:line="240" w:lineRule="auto"/>
              <w:rPr>
                <w:rFonts w:eastAsia="Calibri" w:cs="Times New Roman"/>
              </w:rPr>
            </w:pPr>
            <w:r w:rsidRPr="007A7C51">
              <w:rPr>
                <w:rFonts w:eastAsia="Calibri" w:cs="Times New Roman"/>
              </w:rPr>
              <w:t>1990-2012§</w:t>
            </w:r>
          </w:p>
        </w:tc>
        <w:tc>
          <w:tcPr>
            <w:tcW w:w="968" w:type="dxa"/>
          </w:tcPr>
          <w:p w14:paraId="5B56F3C8" w14:textId="77777777" w:rsidR="00303D5A" w:rsidRPr="007A7C51" w:rsidRDefault="00303D5A" w:rsidP="001558F7">
            <w:pPr>
              <w:spacing w:line="240" w:lineRule="auto"/>
              <w:rPr>
                <w:rFonts w:eastAsia="Calibri" w:cs="Times New Roman"/>
              </w:rPr>
            </w:pPr>
            <w:r w:rsidRPr="007A7C51">
              <w:rPr>
                <w:rFonts w:eastAsia="Calibri" w:cs="Times New Roman"/>
              </w:rPr>
              <w:t>78</w:t>
            </w:r>
          </w:p>
          <w:p w14:paraId="31D32017" w14:textId="77777777" w:rsidR="00303D5A" w:rsidRPr="007A7C51" w:rsidRDefault="00303D5A" w:rsidP="001558F7">
            <w:pPr>
              <w:spacing w:line="240" w:lineRule="auto"/>
              <w:rPr>
                <w:rFonts w:eastAsia="Calibri" w:cs="Times New Roman"/>
              </w:rPr>
            </w:pPr>
            <w:r w:rsidRPr="007A7C51">
              <w:rPr>
                <w:rFonts w:eastAsia="Calibri" w:cs="Times New Roman"/>
              </w:rPr>
              <w:t>65</w:t>
            </w:r>
          </w:p>
          <w:p w14:paraId="0B82E36E" w14:textId="77777777" w:rsidR="00303D5A" w:rsidRPr="007A7C51" w:rsidRDefault="00303D5A" w:rsidP="001558F7">
            <w:pPr>
              <w:spacing w:line="240" w:lineRule="auto"/>
              <w:rPr>
                <w:rFonts w:eastAsia="Calibri" w:cs="Times New Roman"/>
              </w:rPr>
            </w:pPr>
            <w:r w:rsidRPr="007A7C51">
              <w:rPr>
                <w:rFonts w:eastAsia="Calibri" w:cs="Times New Roman"/>
              </w:rPr>
              <w:t>21</w:t>
            </w:r>
          </w:p>
        </w:tc>
        <w:tc>
          <w:tcPr>
            <w:tcW w:w="1536" w:type="dxa"/>
          </w:tcPr>
          <w:p w14:paraId="375BBAF8" w14:textId="77777777" w:rsidR="00303D5A" w:rsidRPr="007A7C51" w:rsidRDefault="00303D5A" w:rsidP="001558F7">
            <w:pPr>
              <w:spacing w:line="240" w:lineRule="auto"/>
              <w:rPr>
                <w:rFonts w:eastAsia="Calibri" w:cs="Times New Roman"/>
              </w:rPr>
            </w:pPr>
            <w:r w:rsidRPr="007A7C51">
              <w:rPr>
                <w:rFonts w:eastAsia="Calibri" w:cs="Times New Roman"/>
              </w:rPr>
              <w:t>NR</w:t>
            </w:r>
          </w:p>
          <w:p w14:paraId="552084EC" w14:textId="77777777" w:rsidR="00303D5A" w:rsidRPr="007A7C51" w:rsidRDefault="00303D5A" w:rsidP="001558F7">
            <w:pPr>
              <w:spacing w:line="240" w:lineRule="auto"/>
              <w:rPr>
                <w:rFonts w:eastAsia="Calibri" w:cs="Times New Roman"/>
              </w:rPr>
            </w:pPr>
            <w:r w:rsidRPr="007A7C51">
              <w:rPr>
                <w:rFonts w:eastAsia="Calibri" w:cs="Times New Roman"/>
              </w:rPr>
              <w:t>20</w:t>
            </w:r>
          </w:p>
          <w:p w14:paraId="5B9840DA" w14:textId="77777777" w:rsidR="00303D5A" w:rsidRPr="007A7C51" w:rsidRDefault="00303D5A" w:rsidP="001558F7">
            <w:pPr>
              <w:spacing w:line="240" w:lineRule="auto"/>
              <w:rPr>
                <w:rFonts w:eastAsia="Calibri" w:cs="Times New Roman"/>
              </w:rPr>
            </w:pPr>
            <w:r w:rsidRPr="007A7C51">
              <w:rPr>
                <w:rFonts w:eastAsia="Calibri" w:cs="Times New Roman"/>
              </w:rPr>
              <w:t xml:space="preserve">19 </w:t>
            </w:r>
          </w:p>
        </w:tc>
        <w:tc>
          <w:tcPr>
            <w:tcW w:w="1705" w:type="dxa"/>
          </w:tcPr>
          <w:p w14:paraId="7AFCD358" w14:textId="77777777" w:rsidR="00303D5A" w:rsidRPr="007A7C51" w:rsidRDefault="00303D5A" w:rsidP="001558F7">
            <w:pPr>
              <w:spacing w:line="240" w:lineRule="auto"/>
              <w:rPr>
                <w:rFonts w:eastAsia="Calibri" w:cs="Times New Roman"/>
              </w:rPr>
            </w:pPr>
            <w:r w:rsidRPr="007A7C51">
              <w:rPr>
                <w:rFonts w:eastAsia="Calibri" w:cs="Times New Roman"/>
              </w:rPr>
              <w:t>NR</w:t>
            </w:r>
          </w:p>
          <w:p w14:paraId="5044C33D" w14:textId="77777777" w:rsidR="00303D5A" w:rsidRPr="007A7C51" w:rsidRDefault="00303D5A" w:rsidP="001558F7">
            <w:pPr>
              <w:spacing w:line="240" w:lineRule="auto"/>
              <w:rPr>
                <w:rFonts w:eastAsia="Calibri" w:cs="Times New Roman"/>
              </w:rPr>
            </w:pPr>
            <w:r w:rsidRPr="007A7C51">
              <w:rPr>
                <w:rFonts w:eastAsia="Calibri" w:cs="Times New Roman"/>
              </w:rPr>
              <w:t>(7-39)</w:t>
            </w:r>
          </w:p>
          <w:p w14:paraId="7902E721" w14:textId="77777777" w:rsidR="00303D5A" w:rsidRPr="007A7C51" w:rsidRDefault="00303D5A" w:rsidP="001558F7">
            <w:pPr>
              <w:spacing w:line="240" w:lineRule="auto"/>
              <w:rPr>
                <w:rFonts w:eastAsia="Calibri" w:cs="Times New Roman"/>
              </w:rPr>
            </w:pPr>
            <w:r w:rsidRPr="007A7C51">
              <w:rPr>
                <w:rFonts w:eastAsia="Calibri" w:cs="Times New Roman"/>
              </w:rPr>
              <w:t>(11-31)</w:t>
            </w:r>
          </w:p>
        </w:tc>
        <w:tc>
          <w:tcPr>
            <w:tcW w:w="2299" w:type="dxa"/>
          </w:tcPr>
          <w:p w14:paraId="44464009" w14:textId="6C570003" w:rsidR="000859CB" w:rsidRPr="007A7C51" w:rsidRDefault="000859CB" w:rsidP="001558F7">
            <w:pPr>
              <w:spacing w:line="240" w:lineRule="auto"/>
              <w:rPr>
                <w:rFonts w:eastAsia="Calibri" w:cs="Times New Roman"/>
              </w:rPr>
            </w:pPr>
            <w:r w:rsidRPr="007A7C51">
              <w:rPr>
                <w:rFonts w:eastAsia="Calibri" w:cs="Times New Roman"/>
              </w:rPr>
              <w:t>Ritchie (2017)</w:t>
            </w:r>
            <w:r w:rsidR="00FC6175" w:rsidRPr="007A7C51">
              <w:rPr>
                <w:rFonts w:eastAsia="Calibri" w:cs="Times New Roman"/>
              </w:rPr>
              <w:fldChar w:fldCharType="begin"/>
            </w:r>
            <w:r w:rsidR="0076576E">
              <w:rPr>
                <w:rFonts w:eastAsia="Calibri" w:cs="Times New Roman"/>
              </w:rPr>
              <w:instrText xml:space="preserve"> ADDIN EN.CITE &lt;EndNote&gt;&lt;Cite&gt;&lt;Author&gt;Ritchie&lt;/Author&gt;&lt;Year&gt;2017&lt;/Year&gt;&lt;RecNum&gt;10258&lt;/RecNum&gt;&lt;DisplayText&gt;&lt;style face="superscript"&gt;136&lt;/style&gt;&lt;/DisplayText&gt;&lt;record&gt;&lt;rec-number&gt;10258&lt;/rec-number&gt;&lt;foreign-keys&gt;&lt;key app="EN" db-id="vrp0pptazv05wtesfz5vrzsj2p0rv09ttsa9" timestamp="1520851588" guid="f7449048-5417-4c42-b564-70ee88fa921e"&gt;10258&lt;/key&gt;&lt;/foreign-keys&gt;&lt;ref-type name="Journal Article"&gt;17&lt;/ref-type&gt;&lt;contributors&gt;&lt;authors&gt;&lt;author&gt;Ritchie, Diane L&lt;/author&gt;&lt;author&gt;Barria, Marcelo A&lt;/author&gt;&lt;author&gt;Peden, Alexander H&lt;/author&gt;&lt;author&gt;Yull, Helen M&lt;/author&gt;&lt;author&gt;Kirkpatrick, James&lt;/author&gt;&lt;author&gt;Adlard, Peter&lt;/author&gt;&lt;author&gt;Ironside, James W&lt;/author&gt;&lt;author&gt;Head, Mark W&lt;/author&gt;&lt;/authors&gt;&lt;/contributors&gt;&lt;titles&gt;&lt;title&gt;UK Iatrogenic Creutzfeldt–Jakob disease: investigating human prion transmission across genotypic barriers using human tissue-based and molecular approaches&lt;/title&gt;&lt;secondary-title&gt;Acta neuropathologica&lt;/secondary-title&gt;&lt;/titles&gt;&lt;periodical&gt;&lt;full-title&gt;Acta Neuropathologica&lt;/full-title&gt;&lt;/periodical&gt;&lt;pages&gt;579-595&lt;/pages&gt;&lt;volume&gt;133&lt;/volume&gt;&lt;number&gt;4&lt;/number&gt;&lt;keywords&gt;&lt;keyword&gt;$$CC_3_TSE incubation&lt;/keyword&gt;&lt;keyword&gt;$$Lesley google&lt;/keyword&gt;&lt;keyword&gt;$$CJD relevant&lt;/keyword&gt;&lt;keyword&gt;$$1_prevalence CJD&lt;/keyword&gt;&lt;/keywords&gt;&lt;dates&gt;&lt;year&gt;2017&lt;/year&gt;&lt;/dates&gt;&lt;isbn&gt;0001-6322&lt;/isbn&gt;&lt;urls&gt;&lt;/urls&gt;&lt;/record&gt;&lt;/Cite&gt;&lt;/EndNote&gt;</w:instrText>
            </w:r>
            <w:r w:rsidR="00FC6175" w:rsidRPr="007A7C51">
              <w:rPr>
                <w:rFonts w:eastAsia="Calibri" w:cs="Times New Roman"/>
              </w:rPr>
              <w:fldChar w:fldCharType="separate"/>
            </w:r>
            <w:r w:rsidR="0076576E" w:rsidRPr="0076576E">
              <w:rPr>
                <w:rFonts w:eastAsia="Calibri" w:cs="Times New Roman"/>
                <w:noProof/>
                <w:vertAlign w:val="superscript"/>
              </w:rPr>
              <w:t>136</w:t>
            </w:r>
            <w:r w:rsidR="00FC6175" w:rsidRPr="007A7C51">
              <w:rPr>
                <w:rFonts w:eastAsia="Calibri" w:cs="Times New Roman"/>
              </w:rPr>
              <w:fldChar w:fldCharType="end"/>
            </w:r>
          </w:p>
          <w:p w14:paraId="5CE537E0" w14:textId="3AED264B" w:rsidR="00100BB2" w:rsidRDefault="00334D92" w:rsidP="001558F7">
            <w:pPr>
              <w:spacing w:line="240" w:lineRule="auto"/>
              <w:rPr>
                <w:rFonts w:eastAsia="Calibri" w:cs="Times New Roman"/>
              </w:rPr>
            </w:pPr>
            <w:r w:rsidRPr="007A7C51">
              <w:rPr>
                <w:rFonts w:eastAsia="Calibri" w:cs="Times New Roman"/>
              </w:rPr>
              <w:t>Brown (2012)</w:t>
            </w:r>
            <w:r w:rsidR="00FC6175" w:rsidRPr="007A7C5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1D65B2" w:rsidRPr="001D65B2">
              <w:rPr>
                <w:rFonts w:eastAsia="Calibri" w:cs="Times New Roman"/>
                <w:noProof/>
                <w:vertAlign w:val="superscript"/>
              </w:rPr>
              <w:t>3</w:t>
            </w:r>
            <w:r w:rsidR="00FC6175" w:rsidRPr="007A7C51">
              <w:rPr>
                <w:rFonts w:eastAsia="Calibri" w:cs="Times New Roman"/>
              </w:rPr>
              <w:fldChar w:fldCharType="end"/>
            </w:r>
          </w:p>
          <w:p w14:paraId="16C735BF" w14:textId="4E8CADC9" w:rsidR="00303D5A" w:rsidRPr="007A7C51" w:rsidRDefault="00303D5A" w:rsidP="0076576E">
            <w:pPr>
              <w:spacing w:line="240" w:lineRule="auto"/>
              <w:rPr>
                <w:rFonts w:eastAsia="Calibri" w:cs="Times New Roman"/>
              </w:rPr>
            </w:pPr>
            <w:r w:rsidRPr="007A7C51">
              <w:rPr>
                <w:rFonts w:eastAsia="Calibri" w:cs="Times New Roman"/>
              </w:rPr>
              <w:t>Ritchie</w:t>
            </w:r>
            <w:r w:rsidR="00100BB2">
              <w:rPr>
                <w:rFonts w:eastAsia="Calibri" w:cs="Times New Roman"/>
              </w:rPr>
              <w:t xml:space="preserve"> </w:t>
            </w:r>
            <w:r w:rsidR="00100BB2" w:rsidRPr="007A7C51">
              <w:rPr>
                <w:rFonts w:eastAsia="Calibri" w:cs="Times New Roman"/>
              </w:rPr>
              <w:fldChar w:fldCharType="begin"/>
            </w:r>
            <w:r w:rsidR="0076576E">
              <w:rPr>
                <w:rFonts w:eastAsia="Calibri" w:cs="Times New Roman"/>
              </w:rPr>
              <w:instrText xml:space="preserve"> ADDIN EN.CITE &lt;EndNote&gt;&lt;Cite&gt;&lt;Author&gt;Ritchie&lt;/Author&gt;&lt;Year&gt;2017&lt;/Year&gt;&lt;RecNum&gt;10258&lt;/RecNum&gt;&lt;DisplayText&gt;&lt;style face="superscript"&gt;136&lt;/style&gt;&lt;/DisplayText&gt;&lt;record&gt;&lt;rec-number&gt;10258&lt;/rec-number&gt;&lt;foreign-keys&gt;&lt;key app="EN" db-id="vrp0pptazv05wtesfz5vrzsj2p0rv09ttsa9" timestamp="1520851588" guid="f7449048-5417-4c42-b564-70ee88fa921e"&gt;10258&lt;/key&gt;&lt;/foreign-keys&gt;&lt;ref-type name="Journal Article"&gt;17&lt;/ref-type&gt;&lt;contributors&gt;&lt;authors&gt;&lt;author&gt;Ritchie, Diane L&lt;/author&gt;&lt;author&gt;Barria, Marcelo A&lt;/author&gt;&lt;author&gt;Peden, Alexander H&lt;/author&gt;&lt;author&gt;Yull, Helen M&lt;/author&gt;&lt;author&gt;Kirkpatrick, James&lt;/author&gt;&lt;author&gt;Adlard, Peter&lt;/author&gt;&lt;author&gt;Ironside, James W&lt;/author&gt;&lt;author&gt;Head, Mark W&lt;/author&gt;&lt;/authors&gt;&lt;/contributors&gt;&lt;titles&gt;&lt;title&gt;UK Iatrogenic Creutzfeldt–Jakob disease: investigating human prion transmission across genotypic barriers using human tissue-based and molecular approaches&lt;/title&gt;&lt;secondary-title&gt;Acta neuropathologica&lt;/secondary-title&gt;&lt;/titles&gt;&lt;periodical&gt;&lt;full-title&gt;Acta Neuropathologica&lt;/full-title&gt;&lt;/periodical&gt;&lt;pages&gt;579-595&lt;/pages&gt;&lt;volume&gt;133&lt;/volume&gt;&lt;number&gt;4&lt;/number&gt;&lt;keywords&gt;&lt;keyword&gt;$$CC_3_TSE incubation&lt;/keyword&gt;&lt;keyword&gt;$$Lesley google&lt;/keyword&gt;&lt;keyword&gt;$$CJD relevant&lt;/keyword&gt;&lt;keyword&gt;$$1_prevalence CJD&lt;/keyword&gt;&lt;/keywords&gt;&lt;dates&gt;&lt;year&gt;2017&lt;/year&gt;&lt;/dates&gt;&lt;isbn&gt;0001-6322&lt;/isbn&gt;&lt;urls&gt;&lt;/urls&gt;&lt;/record&gt;&lt;/Cite&gt;&lt;/EndNote&gt;</w:instrText>
            </w:r>
            <w:r w:rsidR="00100BB2" w:rsidRPr="007A7C51">
              <w:rPr>
                <w:rFonts w:eastAsia="Calibri" w:cs="Times New Roman"/>
              </w:rPr>
              <w:fldChar w:fldCharType="separate"/>
            </w:r>
            <w:r w:rsidR="0076576E" w:rsidRPr="0076576E">
              <w:rPr>
                <w:rFonts w:eastAsia="Calibri" w:cs="Times New Roman"/>
                <w:noProof/>
                <w:vertAlign w:val="superscript"/>
              </w:rPr>
              <w:t>136</w:t>
            </w:r>
            <w:r w:rsidR="00100BB2" w:rsidRPr="007A7C51">
              <w:rPr>
                <w:rFonts w:eastAsia="Calibri" w:cs="Times New Roman"/>
              </w:rPr>
              <w:fldChar w:fldCharType="end"/>
            </w:r>
            <w:r w:rsidRPr="007A7C51">
              <w:rPr>
                <w:rFonts w:eastAsia="Calibri" w:cs="Times New Roman"/>
              </w:rPr>
              <w:t xml:space="preserve"> 2017**</w:t>
            </w:r>
          </w:p>
        </w:tc>
      </w:tr>
      <w:tr w:rsidR="00303D5A" w:rsidRPr="007A7C51" w14:paraId="07364F9E" w14:textId="77777777" w:rsidTr="00931EC4">
        <w:tc>
          <w:tcPr>
            <w:tcW w:w="2508" w:type="dxa"/>
          </w:tcPr>
          <w:p w14:paraId="1E58CF42" w14:textId="77777777" w:rsidR="00303D5A" w:rsidRPr="007A7C51" w:rsidRDefault="00303D5A" w:rsidP="001558F7">
            <w:pPr>
              <w:spacing w:line="240" w:lineRule="auto"/>
              <w:rPr>
                <w:rFonts w:eastAsia="Calibri" w:cs="Times New Roman"/>
              </w:rPr>
            </w:pPr>
            <w:r w:rsidRPr="007A7C51">
              <w:rPr>
                <w:rFonts w:eastAsia="Calibri" w:cs="Times New Roman"/>
              </w:rPr>
              <w:t>Gonadotropin</w:t>
            </w:r>
          </w:p>
        </w:tc>
        <w:tc>
          <w:tcPr>
            <w:tcW w:w="968" w:type="dxa"/>
          </w:tcPr>
          <w:p w14:paraId="5013CAE7" w14:textId="77777777" w:rsidR="00303D5A" w:rsidRPr="007A7C51" w:rsidRDefault="00303D5A" w:rsidP="001558F7">
            <w:pPr>
              <w:spacing w:line="240" w:lineRule="auto"/>
              <w:rPr>
                <w:rFonts w:eastAsia="Calibri" w:cs="Times New Roman"/>
              </w:rPr>
            </w:pPr>
            <w:r w:rsidRPr="007A7C51">
              <w:rPr>
                <w:rFonts w:eastAsia="Calibri" w:cs="Times New Roman"/>
              </w:rPr>
              <w:t>0</w:t>
            </w:r>
          </w:p>
        </w:tc>
        <w:tc>
          <w:tcPr>
            <w:tcW w:w="1536" w:type="dxa"/>
          </w:tcPr>
          <w:p w14:paraId="225BD50A" w14:textId="77777777" w:rsidR="00303D5A" w:rsidRPr="007A7C51" w:rsidRDefault="00303D5A" w:rsidP="001558F7">
            <w:pPr>
              <w:spacing w:line="240" w:lineRule="auto"/>
              <w:rPr>
                <w:rFonts w:eastAsia="Calibri" w:cs="Times New Roman"/>
              </w:rPr>
            </w:pPr>
            <w:r w:rsidRPr="007A7C51">
              <w:rPr>
                <w:rFonts w:eastAsia="Calibri" w:cs="Times New Roman"/>
              </w:rPr>
              <w:t>NA</w:t>
            </w:r>
          </w:p>
        </w:tc>
        <w:tc>
          <w:tcPr>
            <w:tcW w:w="1705" w:type="dxa"/>
          </w:tcPr>
          <w:p w14:paraId="3808A14C" w14:textId="77777777" w:rsidR="00303D5A" w:rsidRPr="007A7C51" w:rsidRDefault="00303D5A" w:rsidP="001558F7">
            <w:pPr>
              <w:spacing w:line="240" w:lineRule="auto"/>
              <w:rPr>
                <w:rFonts w:eastAsia="Calibri" w:cs="Times New Roman"/>
              </w:rPr>
            </w:pPr>
            <w:r w:rsidRPr="007A7C51">
              <w:rPr>
                <w:rFonts w:eastAsia="Calibri" w:cs="Times New Roman"/>
              </w:rPr>
              <w:t>NA</w:t>
            </w:r>
          </w:p>
        </w:tc>
        <w:tc>
          <w:tcPr>
            <w:tcW w:w="2299" w:type="dxa"/>
          </w:tcPr>
          <w:p w14:paraId="3E20B115" w14:textId="77777777" w:rsidR="00303D5A" w:rsidRPr="007A7C51" w:rsidRDefault="00303D5A" w:rsidP="001558F7">
            <w:pPr>
              <w:spacing w:line="240" w:lineRule="auto"/>
              <w:rPr>
                <w:rFonts w:eastAsia="Calibri" w:cs="Times New Roman"/>
              </w:rPr>
            </w:pPr>
            <w:r w:rsidRPr="007A7C51">
              <w:rPr>
                <w:rFonts w:eastAsia="Calibri" w:cs="Times New Roman"/>
              </w:rPr>
              <w:t>-</w:t>
            </w:r>
          </w:p>
        </w:tc>
      </w:tr>
      <w:tr w:rsidR="00303D5A" w:rsidRPr="007A7C51" w14:paraId="0A018675" w14:textId="77777777" w:rsidTr="00931EC4">
        <w:tc>
          <w:tcPr>
            <w:tcW w:w="2508" w:type="dxa"/>
          </w:tcPr>
          <w:p w14:paraId="499923D5" w14:textId="77777777" w:rsidR="00303D5A" w:rsidRPr="007A7C51" w:rsidRDefault="00303D5A" w:rsidP="001558F7">
            <w:pPr>
              <w:spacing w:line="240" w:lineRule="auto"/>
              <w:rPr>
                <w:rFonts w:eastAsia="Calibri" w:cs="Times New Roman"/>
              </w:rPr>
            </w:pPr>
            <w:r w:rsidRPr="007A7C51">
              <w:rPr>
                <w:rFonts w:eastAsia="Calibri" w:cs="Times New Roman"/>
              </w:rPr>
              <w:t>Packed red blood cells</w:t>
            </w:r>
          </w:p>
        </w:tc>
        <w:tc>
          <w:tcPr>
            <w:tcW w:w="968" w:type="dxa"/>
          </w:tcPr>
          <w:p w14:paraId="13008E81" w14:textId="77777777" w:rsidR="00303D5A" w:rsidRPr="007A7C51" w:rsidRDefault="00303D5A" w:rsidP="001558F7">
            <w:pPr>
              <w:spacing w:line="240" w:lineRule="auto"/>
              <w:rPr>
                <w:rFonts w:eastAsia="Calibri" w:cs="Times New Roman"/>
              </w:rPr>
            </w:pPr>
            <w:r w:rsidRPr="007A7C51">
              <w:rPr>
                <w:rFonts w:eastAsia="Calibri" w:cs="Times New Roman"/>
              </w:rPr>
              <w:t>3</w:t>
            </w:r>
          </w:p>
        </w:tc>
        <w:tc>
          <w:tcPr>
            <w:tcW w:w="1536" w:type="dxa"/>
          </w:tcPr>
          <w:p w14:paraId="1767A276" w14:textId="77777777" w:rsidR="00303D5A" w:rsidRPr="007A7C51" w:rsidRDefault="00303D5A" w:rsidP="001558F7">
            <w:pPr>
              <w:spacing w:line="240" w:lineRule="auto"/>
              <w:rPr>
                <w:rFonts w:eastAsia="Calibri" w:cs="Times New Roman"/>
              </w:rPr>
            </w:pPr>
            <w:r w:rsidRPr="007A7C51">
              <w:rPr>
                <w:rFonts w:eastAsia="Calibri" w:cs="Times New Roman"/>
              </w:rPr>
              <w:t>-</w:t>
            </w:r>
          </w:p>
        </w:tc>
        <w:tc>
          <w:tcPr>
            <w:tcW w:w="1705" w:type="dxa"/>
          </w:tcPr>
          <w:p w14:paraId="7DD05A29" w14:textId="77777777" w:rsidR="00303D5A" w:rsidRPr="007A7C51" w:rsidRDefault="00303D5A" w:rsidP="001558F7">
            <w:pPr>
              <w:spacing w:line="240" w:lineRule="auto"/>
              <w:rPr>
                <w:rFonts w:eastAsia="Calibri" w:cs="Times New Roman"/>
              </w:rPr>
            </w:pPr>
            <w:r w:rsidRPr="007A7C51">
              <w:rPr>
                <w:rFonts w:eastAsia="Calibri" w:cs="Times New Roman"/>
              </w:rPr>
              <w:t>(6.5-8.3)</w:t>
            </w:r>
          </w:p>
        </w:tc>
        <w:tc>
          <w:tcPr>
            <w:tcW w:w="2299" w:type="dxa"/>
          </w:tcPr>
          <w:p w14:paraId="6C7BF147" w14:textId="294A263F" w:rsidR="00100BB2" w:rsidRDefault="00334D92" w:rsidP="001558F7">
            <w:pPr>
              <w:spacing w:line="240" w:lineRule="auto"/>
              <w:rPr>
                <w:rFonts w:eastAsia="Calibri" w:cs="Times New Roman"/>
              </w:rPr>
            </w:pPr>
            <w:r w:rsidRPr="007A7C51">
              <w:rPr>
                <w:rFonts w:eastAsia="Calibri" w:cs="Times New Roman"/>
              </w:rPr>
              <w:t>Brown (2012)</w:t>
            </w:r>
            <w:r w:rsidR="00FC6175" w:rsidRPr="007A7C5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1D65B2" w:rsidRPr="001D65B2">
              <w:rPr>
                <w:rFonts w:eastAsia="Calibri" w:cs="Times New Roman"/>
                <w:noProof/>
                <w:vertAlign w:val="superscript"/>
              </w:rPr>
              <w:t>3</w:t>
            </w:r>
            <w:r w:rsidR="00FC6175" w:rsidRPr="007A7C51">
              <w:rPr>
                <w:rFonts w:eastAsia="Calibri" w:cs="Times New Roman"/>
              </w:rPr>
              <w:fldChar w:fldCharType="end"/>
            </w:r>
            <w:r w:rsidR="00303D5A" w:rsidRPr="007A7C51">
              <w:rPr>
                <w:rFonts w:eastAsia="Calibri" w:cs="Times New Roman"/>
              </w:rPr>
              <w:t xml:space="preserve">, </w:t>
            </w:r>
          </w:p>
          <w:p w14:paraId="3D1FDA2B" w14:textId="589C8F26" w:rsidR="00303D5A" w:rsidRPr="007A7C51" w:rsidRDefault="00E17006" w:rsidP="0076576E">
            <w:pPr>
              <w:spacing w:line="240" w:lineRule="auto"/>
              <w:rPr>
                <w:rFonts w:eastAsia="Calibri" w:cs="Times New Roman"/>
              </w:rPr>
            </w:pPr>
            <w:r w:rsidRPr="007A7C51">
              <w:rPr>
                <w:rFonts w:eastAsia="Calibri" w:cs="Times New Roman"/>
              </w:rPr>
              <w:t>Haik (2014)</w:t>
            </w:r>
            <w:r w:rsidR="00FC6175" w:rsidRPr="007A7C51">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76576E" w:rsidRPr="0076576E">
              <w:rPr>
                <w:rFonts w:eastAsia="Calibri" w:cs="Times New Roman"/>
                <w:noProof/>
                <w:vertAlign w:val="superscript"/>
              </w:rPr>
              <w:t>131</w:t>
            </w:r>
            <w:r w:rsidR="00FC6175" w:rsidRPr="007A7C51">
              <w:rPr>
                <w:rFonts w:eastAsia="Calibri" w:cs="Times New Roman"/>
              </w:rPr>
              <w:fldChar w:fldCharType="end"/>
            </w:r>
          </w:p>
        </w:tc>
      </w:tr>
    </w:tbl>
    <w:p w14:paraId="778FDA04" w14:textId="258194FA" w:rsidR="00303D5A" w:rsidRPr="001558F7" w:rsidRDefault="00100BB2" w:rsidP="001558F7">
      <w:pPr>
        <w:spacing w:line="240" w:lineRule="auto"/>
        <w:rPr>
          <w:rFonts w:eastAsia="Calibri" w:cs="Times New Roman"/>
          <w:sz w:val="16"/>
          <w:szCs w:val="16"/>
        </w:rPr>
      </w:pPr>
      <w:r w:rsidRPr="001558F7">
        <w:rPr>
          <w:rFonts w:eastAsia="Calibri" w:cs="Times New Roman"/>
          <w:sz w:val="16"/>
          <w:szCs w:val="16"/>
        </w:rPr>
        <w:t>*1, of which was a</w:t>
      </w:r>
      <w:r w:rsidR="00303D5A" w:rsidRPr="001558F7">
        <w:rPr>
          <w:rFonts w:eastAsia="Calibri" w:cs="Times New Roman"/>
          <w:sz w:val="16"/>
          <w:szCs w:val="16"/>
        </w:rPr>
        <w:t xml:space="preserve"> porcine not human source of graft, †Data reported as months, calculated by the reviewer as years **</w:t>
      </w:r>
      <w:r w:rsidR="00292107" w:rsidRPr="001558F7">
        <w:rPr>
          <w:rFonts w:eastAsia="Calibri" w:cs="Times New Roman"/>
          <w:sz w:val="16"/>
          <w:szCs w:val="16"/>
        </w:rPr>
        <w:t>Supplementary o</w:t>
      </w:r>
      <w:r w:rsidR="00303D5A" w:rsidRPr="001558F7">
        <w:rPr>
          <w:rFonts w:eastAsia="Calibri" w:cs="Times New Roman"/>
          <w:sz w:val="16"/>
          <w:szCs w:val="16"/>
        </w:rPr>
        <w:t>nline Table 1 §Sample with frozen tissues from patients who died 1990-2012</w:t>
      </w:r>
    </w:p>
    <w:p w14:paraId="64ABCF66" w14:textId="77777777" w:rsidR="00303D5A" w:rsidRPr="00B12E32" w:rsidRDefault="00303D5A" w:rsidP="001558F7">
      <w:pPr>
        <w:rPr>
          <w:rFonts w:eastAsia="Calibri" w:cs="Times New Roman"/>
          <w:sz w:val="24"/>
          <w:szCs w:val="24"/>
        </w:rPr>
      </w:pPr>
    </w:p>
    <w:p w14:paraId="7A2E0A2E" w14:textId="2F5553F0" w:rsidR="00303D5A" w:rsidRPr="00635170" w:rsidRDefault="00303D5A" w:rsidP="00292024">
      <w:pPr>
        <w:pStyle w:val="Heading4"/>
        <w:rPr>
          <w:rFonts w:eastAsia="Calibri"/>
          <w:sz w:val="22"/>
          <w:lang w:val="en"/>
        </w:rPr>
      </w:pPr>
      <w:r w:rsidRPr="00635170">
        <w:rPr>
          <w:rFonts w:eastAsia="Calibri"/>
          <w:sz w:val="22"/>
          <w:lang w:val="en"/>
        </w:rPr>
        <w:t>Dura mater grafts and genotypes</w:t>
      </w:r>
    </w:p>
    <w:p w14:paraId="534989E9" w14:textId="069FE047" w:rsidR="00303D5A" w:rsidRPr="006E1D8B" w:rsidRDefault="00303D5A" w:rsidP="001558F7">
      <w:pPr>
        <w:jc w:val="both"/>
      </w:pPr>
      <w:r w:rsidRPr="007A7C51">
        <w:rPr>
          <w:rFonts w:eastAsia="Calibri" w:cs="Times New Roman"/>
          <w:lang w:val="en"/>
        </w:rPr>
        <w:t xml:space="preserve">Frequency data and mean incubation periods by genotype are presented in </w:t>
      </w:r>
      <w:r w:rsidR="00584638" w:rsidRPr="007A7C51">
        <w:rPr>
          <w:rFonts w:eastAsia="Calibri" w:cs="Times New Roman"/>
          <w:lang w:val="en"/>
        </w:rPr>
        <w:fldChar w:fldCharType="begin"/>
      </w:r>
      <w:r w:rsidR="00584638" w:rsidRPr="007A7C51">
        <w:rPr>
          <w:rFonts w:eastAsia="Calibri" w:cs="Times New Roman"/>
          <w:lang w:val="en"/>
        </w:rPr>
        <w:instrText xml:space="preserve"> REF _Ref506969260 \h </w:instrText>
      </w:r>
      <w:r w:rsidR="007A7C51">
        <w:rPr>
          <w:rFonts w:eastAsia="Calibri" w:cs="Times New Roman"/>
          <w:lang w:val="en"/>
        </w:rPr>
        <w:instrText xml:space="preserve"> \* MERGEFORMAT </w:instrText>
      </w:r>
      <w:r w:rsidR="00584638" w:rsidRPr="007A7C51">
        <w:rPr>
          <w:rFonts w:eastAsia="Calibri" w:cs="Times New Roman"/>
          <w:lang w:val="en"/>
        </w:rPr>
      </w:r>
      <w:r w:rsidR="00584638" w:rsidRPr="007A7C51">
        <w:rPr>
          <w:rFonts w:eastAsia="Calibri" w:cs="Times New Roman"/>
          <w:lang w:val="en"/>
        </w:rPr>
        <w:fldChar w:fldCharType="separate"/>
      </w:r>
      <w:r w:rsidR="00690541">
        <w:rPr>
          <w:noProof/>
        </w:rPr>
        <w:t>Table</w:t>
      </w:r>
      <w:r w:rsidR="00690541">
        <w:t xml:space="preserve"> </w:t>
      </w:r>
      <w:r w:rsidR="00690541">
        <w:rPr>
          <w:noProof/>
        </w:rPr>
        <w:t>9</w:t>
      </w:r>
      <w:r w:rsidR="00584638" w:rsidRPr="007A7C51">
        <w:rPr>
          <w:rFonts w:eastAsia="Calibri" w:cs="Times New Roman"/>
          <w:lang w:val="en"/>
        </w:rPr>
        <w:fldChar w:fldCharType="end"/>
      </w:r>
      <w:r w:rsidR="00584638" w:rsidRPr="007A7C51">
        <w:rPr>
          <w:rFonts w:eastAsia="Calibri" w:cs="Times New Roman"/>
          <w:lang w:val="en"/>
        </w:rPr>
        <w:t xml:space="preserve"> </w:t>
      </w:r>
      <w:r w:rsidRPr="007A7C51">
        <w:rPr>
          <w:rFonts w:eastAsia="Calibri" w:cs="Times New Roman"/>
          <w:lang w:val="en"/>
        </w:rPr>
        <w:t xml:space="preserve">for </w:t>
      </w:r>
      <w:r w:rsidR="00F62DB8">
        <w:rPr>
          <w:rFonts w:eastAsia="Calibri" w:cs="Times New Roman"/>
          <w:lang w:val="en"/>
        </w:rPr>
        <w:t>the UK</w:t>
      </w:r>
      <w:r w:rsidRPr="007A7C51">
        <w:rPr>
          <w:rFonts w:eastAsia="Calibri" w:cs="Times New Roman"/>
          <w:lang w:val="en"/>
        </w:rPr>
        <w:t xml:space="preserve"> subset of the known cases only. As reported in</w:t>
      </w:r>
      <w:r w:rsidR="00625642">
        <w:rPr>
          <w:rFonts w:eastAsia="Calibri" w:cs="Times New Roman"/>
          <w:lang w:val="en"/>
        </w:rPr>
        <w:t xml:space="preserve"> </w:t>
      </w:r>
      <w:r w:rsidR="00625642">
        <w:rPr>
          <w:rFonts w:eastAsia="Calibri" w:cs="Times New Roman"/>
          <w:lang w:val="en"/>
        </w:rPr>
        <w:fldChar w:fldCharType="begin"/>
      </w:r>
      <w:r w:rsidR="00625642">
        <w:rPr>
          <w:rFonts w:eastAsia="Calibri" w:cs="Times New Roman"/>
          <w:lang w:val="en"/>
        </w:rPr>
        <w:instrText xml:space="preserve"> REF _Ref506969260 \h </w:instrText>
      </w:r>
      <w:r w:rsidR="00625642">
        <w:rPr>
          <w:rFonts w:eastAsia="Calibri" w:cs="Times New Roman"/>
          <w:lang w:val="en"/>
        </w:rPr>
      </w:r>
      <w:r w:rsidR="00625642">
        <w:rPr>
          <w:rFonts w:eastAsia="Calibri" w:cs="Times New Roman"/>
          <w:lang w:val="en"/>
        </w:rPr>
        <w:fldChar w:fldCharType="separate"/>
      </w:r>
      <w:r w:rsidR="00690541">
        <w:t xml:space="preserve">Table </w:t>
      </w:r>
      <w:r w:rsidR="00690541">
        <w:rPr>
          <w:noProof/>
        </w:rPr>
        <w:t>9</w:t>
      </w:r>
      <w:r w:rsidR="00625642">
        <w:rPr>
          <w:rFonts w:eastAsia="Calibri" w:cs="Times New Roman"/>
          <w:lang w:val="en"/>
        </w:rPr>
        <w:fldChar w:fldCharType="end"/>
      </w:r>
      <w:r w:rsidRPr="007A7C51">
        <w:rPr>
          <w:rFonts w:eastAsia="Calibri" w:cs="Times New Roman"/>
          <w:lang w:val="en"/>
        </w:rPr>
        <w:t xml:space="preserve">, the worldwide number of iCJD cases due to </w:t>
      </w:r>
      <w:r w:rsidR="00F62DB8">
        <w:rPr>
          <w:rFonts w:eastAsia="Calibri" w:cs="Times New Roman"/>
          <w:lang w:val="en"/>
        </w:rPr>
        <w:t>dura mater</w:t>
      </w:r>
      <w:r w:rsidR="00635170">
        <w:rPr>
          <w:rFonts w:eastAsia="Calibri" w:cs="Times New Roman"/>
          <w:lang w:val="en"/>
        </w:rPr>
        <w:t xml:space="preserve"> surgery</w:t>
      </w:r>
      <w:r w:rsidRPr="007A7C51">
        <w:rPr>
          <w:rFonts w:eastAsia="Calibri" w:cs="Times New Roman"/>
          <w:lang w:val="en"/>
        </w:rPr>
        <w:t xml:space="preserve"> worldwide exceeds 200, and it is known that the majority have occurred in Japan (n=149, Ae 2016</w:t>
      </w:r>
      <w:r w:rsidR="00317DA6">
        <w:rPr>
          <w:rFonts w:eastAsia="Calibri" w:cs="Times New Roman"/>
          <w:lang w:val="en"/>
        </w:rPr>
        <w:fldChar w:fldCharType="begin">
          <w:fldData xml:space="preserve">PEVuZE5vdGU+PENpdGU+PEF1dGhvcj5BZTwvQXV0aG9yPjxZZWFyPjIwMTY8L1llYXI+PFJlY051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PEVuZE5vdGU+PENpdGU+PEF1dGhvcj5BZTwvQXV0aG9yPjxZZWFyPjIwMTY8L1llYXI+PFJlY051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317DA6">
        <w:rPr>
          <w:rFonts w:eastAsia="Calibri" w:cs="Times New Roman"/>
          <w:lang w:val="en"/>
        </w:rPr>
      </w:r>
      <w:r w:rsidR="00317DA6">
        <w:rPr>
          <w:rFonts w:eastAsia="Calibri" w:cs="Times New Roman"/>
          <w:lang w:val="en"/>
        </w:rPr>
        <w:fldChar w:fldCharType="separate"/>
      </w:r>
      <w:r w:rsidR="0076576E" w:rsidRPr="0076576E">
        <w:rPr>
          <w:rFonts w:eastAsia="Calibri" w:cs="Times New Roman"/>
          <w:noProof/>
          <w:vertAlign w:val="superscript"/>
          <w:lang w:val="en"/>
        </w:rPr>
        <w:t>31</w:t>
      </w:r>
      <w:r w:rsidR="00317DA6">
        <w:rPr>
          <w:rFonts w:eastAsia="Calibri" w:cs="Times New Roman"/>
          <w:lang w:val="en"/>
        </w:rPr>
        <w:fldChar w:fldCharType="end"/>
      </w:r>
      <w:r w:rsidRPr="007A7C51">
        <w:rPr>
          <w:rFonts w:eastAsia="Calibri" w:cs="Times New Roman"/>
          <w:lang w:val="en"/>
        </w:rPr>
        <w:t xml:space="preserve">). Frequency data and mean incubation periods by genotype, extracted from </w:t>
      </w:r>
      <w:r w:rsidR="00910682" w:rsidRPr="007A7C51">
        <w:rPr>
          <w:rFonts w:eastAsia="Calibri" w:cs="Times New Roman"/>
        </w:rPr>
        <w:t>Brown (2012)</w:t>
      </w:r>
      <w:r w:rsidR="00FC6175" w:rsidRPr="007A7C5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FC6175" w:rsidRPr="007A7C51">
        <w:rPr>
          <w:rFonts w:eastAsia="Calibri" w:cs="Times New Roman"/>
        </w:rPr>
      </w:r>
      <w:r w:rsidR="00FC6175" w:rsidRPr="007A7C51">
        <w:rPr>
          <w:rFonts w:eastAsia="Calibri" w:cs="Times New Roman"/>
        </w:rPr>
        <w:fldChar w:fldCharType="separate"/>
      </w:r>
      <w:r w:rsidR="001D65B2" w:rsidRPr="001D65B2">
        <w:rPr>
          <w:rFonts w:eastAsia="Calibri" w:cs="Times New Roman"/>
          <w:noProof/>
          <w:vertAlign w:val="superscript"/>
        </w:rPr>
        <w:t>3</w:t>
      </w:r>
      <w:r w:rsidR="00FC6175" w:rsidRPr="007A7C51">
        <w:rPr>
          <w:rFonts w:eastAsia="Calibri" w:cs="Times New Roman"/>
        </w:rPr>
        <w:fldChar w:fldCharType="end"/>
      </w:r>
      <w:r w:rsidRPr="007A7C51">
        <w:rPr>
          <w:rFonts w:eastAsia="Calibri" w:cs="Times New Roman"/>
          <w:lang w:val="en"/>
        </w:rPr>
        <w:t xml:space="preserve">, are presented in </w:t>
      </w:r>
      <w:r w:rsidR="00995D40">
        <w:rPr>
          <w:rFonts w:eastAsia="Calibri" w:cs="Times New Roman"/>
          <w:lang w:val="en"/>
        </w:rPr>
        <w:fldChar w:fldCharType="begin"/>
      </w:r>
      <w:r w:rsidR="00995D40">
        <w:rPr>
          <w:rFonts w:eastAsia="Calibri" w:cs="Times New Roman"/>
          <w:lang w:val="en"/>
        </w:rPr>
        <w:instrText xml:space="preserve"> REF _Ref506969260 \h </w:instrText>
      </w:r>
      <w:r w:rsidR="00995D40">
        <w:rPr>
          <w:rFonts w:eastAsia="Calibri" w:cs="Times New Roman"/>
          <w:lang w:val="en"/>
        </w:rPr>
      </w:r>
      <w:r w:rsidR="00995D40">
        <w:rPr>
          <w:rFonts w:eastAsia="Calibri" w:cs="Times New Roman"/>
          <w:lang w:val="en"/>
        </w:rPr>
        <w:fldChar w:fldCharType="separate"/>
      </w:r>
      <w:r w:rsidR="00690541">
        <w:t xml:space="preserve">Table </w:t>
      </w:r>
      <w:r w:rsidR="00690541">
        <w:rPr>
          <w:noProof/>
        </w:rPr>
        <w:t>9</w:t>
      </w:r>
      <w:r w:rsidR="00995D40">
        <w:rPr>
          <w:rFonts w:eastAsia="Calibri" w:cs="Times New Roman"/>
          <w:lang w:val="en"/>
        </w:rPr>
        <w:fldChar w:fldCharType="end"/>
      </w:r>
      <w:r w:rsidR="00995D40">
        <w:rPr>
          <w:rFonts w:eastAsia="Calibri" w:cs="Times New Roman"/>
          <w:lang w:val="en"/>
        </w:rPr>
        <w:t xml:space="preserve"> </w:t>
      </w:r>
      <w:r w:rsidRPr="007A7C51">
        <w:rPr>
          <w:rFonts w:eastAsia="Calibri" w:cs="Times New Roman"/>
          <w:lang w:val="en"/>
        </w:rPr>
        <w:t xml:space="preserve">for a subset of the worldwide affected population. Hamaguchi </w:t>
      </w:r>
      <w:r w:rsidR="00B301D6" w:rsidRPr="00B301D6">
        <w:rPr>
          <w:rFonts w:eastAsia="Calibri" w:cs="Times New Roman"/>
          <w:i/>
          <w:lang w:val="en"/>
        </w:rPr>
        <w:t>et al</w:t>
      </w:r>
      <w:r w:rsidR="00DD66C5" w:rsidRPr="007A7C51">
        <w:rPr>
          <w:rFonts w:eastAsia="Calibri" w:cs="Times New Roman"/>
          <w:lang w:val="en"/>
        </w:rPr>
        <w:t xml:space="preserve"> </w:t>
      </w:r>
      <w:r w:rsidRPr="007A7C51">
        <w:rPr>
          <w:rFonts w:eastAsia="Calibri" w:cs="Times New Roman"/>
          <w:lang w:val="en"/>
        </w:rPr>
        <w:t>(2013)</w:t>
      </w:r>
      <w:r w:rsidR="00FC6175" w:rsidRPr="007A7C51">
        <w:rPr>
          <w:rFonts w:eastAsia="Calibri" w:cs="Times New Roman"/>
          <w:lang w:val="en"/>
        </w:rPr>
        <w:fldChar w:fldCharType="begin">
          <w:fldData xml:space="preserve">PEVuZE5vdGU+PENpdGU+PEF1dGhvcj5IYW1hZ3VjaGk8L0F1dGhvcj48WWVhcj4yMDEzPC9ZZWFy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PEVuZE5vdGU+PENpdGU+PEF1dGhvcj5IYW1hZ3VjaGk8L0F1dGhvcj48WWVhcj4yMDEzPC9ZZWFy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FC6175" w:rsidRPr="007A7C51">
        <w:rPr>
          <w:rFonts w:eastAsia="Calibri" w:cs="Times New Roman"/>
          <w:lang w:val="en"/>
        </w:rPr>
      </w:r>
      <w:r w:rsidR="00FC6175" w:rsidRPr="007A7C51">
        <w:rPr>
          <w:rFonts w:eastAsia="Calibri" w:cs="Times New Roman"/>
          <w:lang w:val="en"/>
        </w:rPr>
        <w:fldChar w:fldCharType="separate"/>
      </w:r>
      <w:r w:rsidR="0076576E" w:rsidRPr="0076576E">
        <w:rPr>
          <w:rFonts w:eastAsia="Calibri" w:cs="Times New Roman"/>
          <w:noProof/>
          <w:vertAlign w:val="superscript"/>
          <w:lang w:val="en"/>
        </w:rPr>
        <w:t>139</w:t>
      </w:r>
      <w:r w:rsidR="00FC6175" w:rsidRPr="007A7C51">
        <w:rPr>
          <w:rFonts w:eastAsia="Calibri" w:cs="Times New Roman"/>
          <w:lang w:val="en"/>
        </w:rPr>
        <w:fldChar w:fldCharType="end"/>
      </w:r>
      <w:r w:rsidRPr="007A7C51">
        <w:rPr>
          <w:rFonts w:eastAsia="Calibri" w:cs="Times New Roman"/>
          <w:lang w:val="en"/>
        </w:rPr>
        <w:t xml:space="preserve"> reported a mean incubation period of 12.1 years (range 1-30) for 142 patients in Japan and 11.3 years (range 1-23) for a subset of 53 patients with publishe</w:t>
      </w:r>
      <w:r w:rsidR="00625642">
        <w:rPr>
          <w:rFonts w:eastAsia="Calibri" w:cs="Times New Roman"/>
          <w:lang w:val="en"/>
        </w:rPr>
        <w:t>d data from the other countries,</w:t>
      </w:r>
      <w:r w:rsidR="00625642" w:rsidRPr="00625642">
        <w:rPr>
          <w:rFonts w:eastAsia="Calibri" w:cs="Times New Roman"/>
          <w:lang w:val="en"/>
        </w:rPr>
        <w:t xml:space="preserve"> although this sub-set did not include a Dutch case of DM-related iCJD that had an incubation period of 28 years, which is the longest reported incubation period outside of Japan</w:t>
      </w:r>
      <w:r w:rsidR="00625642">
        <w:rPr>
          <w:rFonts w:eastAsia="Calibri" w:cs="Times New Roman"/>
          <w:lang w:val="en"/>
        </w:rPr>
        <w:t>.</w:t>
      </w:r>
      <w:r w:rsidR="00625642">
        <w:rPr>
          <w:rFonts w:eastAsia="Calibri" w:cs="Times New Roman"/>
          <w:lang w:val="en"/>
        </w:rPr>
        <w:fldChar w:fldCharType="begin">
          <w:fldData xml:space="preserve">PEVuZE5vdGU+PENpdGU+PEF1dGhvcj5JYnJhaGltLVZlcmJhYXM8L0F1dGhvcj48WWVhcj4yMDEy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PEVuZE5vdGU+PENpdGU+PEF1dGhvcj5JYnJhaGltLVZlcmJhYXM8L0F1dGhvcj48WWVhcj4yMDEy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625642">
        <w:rPr>
          <w:rFonts w:eastAsia="Calibri" w:cs="Times New Roman"/>
          <w:lang w:val="en"/>
        </w:rPr>
      </w:r>
      <w:r w:rsidR="00625642">
        <w:rPr>
          <w:rFonts w:eastAsia="Calibri" w:cs="Times New Roman"/>
          <w:lang w:val="en"/>
        </w:rPr>
        <w:fldChar w:fldCharType="separate"/>
      </w:r>
      <w:r w:rsidR="0076576E" w:rsidRPr="0076576E">
        <w:rPr>
          <w:rFonts w:eastAsia="Calibri" w:cs="Times New Roman"/>
          <w:noProof/>
          <w:vertAlign w:val="superscript"/>
          <w:lang w:val="en"/>
        </w:rPr>
        <w:t>140</w:t>
      </w:r>
      <w:r w:rsidR="00625642">
        <w:rPr>
          <w:rFonts w:eastAsia="Calibri" w:cs="Times New Roman"/>
          <w:lang w:val="en"/>
        </w:rPr>
        <w:fldChar w:fldCharType="end"/>
      </w:r>
    </w:p>
    <w:p w14:paraId="473C8B95" w14:textId="77777777" w:rsidR="00303D5A" w:rsidRPr="007A7C51" w:rsidRDefault="00303D5A" w:rsidP="001558F7">
      <w:pPr>
        <w:jc w:val="both"/>
        <w:rPr>
          <w:rFonts w:eastAsia="Calibri" w:cs="Times New Roman"/>
          <w:lang w:val="en"/>
        </w:rPr>
      </w:pPr>
    </w:p>
    <w:p w14:paraId="78C3A818" w14:textId="2B146AF6" w:rsidR="00303D5A" w:rsidRPr="007A7C51" w:rsidRDefault="00303D5A" w:rsidP="001558F7">
      <w:pPr>
        <w:jc w:val="both"/>
        <w:rPr>
          <w:rFonts w:eastAsia="Calibri" w:cs="Times New Roman"/>
          <w:lang w:val="en"/>
        </w:rPr>
      </w:pPr>
      <w:r w:rsidRPr="007A7C51">
        <w:rPr>
          <w:rFonts w:eastAsia="Calibri" w:cs="Times New Roman"/>
          <w:lang w:val="en"/>
        </w:rPr>
        <w:t xml:space="preserve">Meissner </w:t>
      </w:r>
      <w:r w:rsidR="00910682" w:rsidRPr="007A7C51">
        <w:rPr>
          <w:rFonts w:eastAsia="Calibri" w:cs="Times New Roman"/>
          <w:lang w:val="en"/>
        </w:rPr>
        <w:t>(</w:t>
      </w:r>
      <w:r w:rsidRPr="007A7C51">
        <w:rPr>
          <w:rFonts w:eastAsia="Calibri" w:cs="Times New Roman"/>
          <w:lang w:val="en"/>
        </w:rPr>
        <w:t>2009</w:t>
      </w:r>
      <w:r w:rsidR="00910682" w:rsidRPr="007A7C51">
        <w:rPr>
          <w:rFonts w:eastAsia="Calibri" w:cs="Times New Roman"/>
          <w:lang w:val="en"/>
        </w:rPr>
        <w:t>)</w:t>
      </w:r>
      <w:r w:rsidR="00FC6175" w:rsidRPr="007A7C51">
        <w:rPr>
          <w:rFonts w:eastAsia="Calibri" w:cs="Times New Roman"/>
          <w:lang w:val="en"/>
        </w:rPr>
        <w:fldChar w:fldCharType="begin">
          <w:fldData xml:space="preserve">PEVuZE5vdGU+PENpdGU+PEF1dGhvcj5NZWlzc25lcjwvQXV0aG9yPjxZZWFyPjIwMDk8L1llYXI+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PEVuZE5vdGU+PENpdGU+PEF1dGhvcj5NZWlzc25lcjwvQXV0aG9yPjxZZWFyPjIwMDk8L1llYXI+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FC6175" w:rsidRPr="007A7C51">
        <w:rPr>
          <w:rFonts w:eastAsia="Calibri" w:cs="Times New Roman"/>
          <w:lang w:val="en"/>
        </w:rPr>
      </w:r>
      <w:r w:rsidR="00FC6175" w:rsidRPr="007A7C51">
        <w:rPr>
          <w:rFonts w:eastAsia="Calibri" w:cs="Times New Roman"/>
          <w:lang w:val="en"/>
        </w:rPr>
        <w:fldChar w:fldCharType="separate"/>
      </w:r>
      <w:r w:rsidR="0076576E" w:rsidRPr="0076576E">
        <w:rPr>
          <w:rFonts w:eastAsia="Calibri" w:cs="Times New Roman"/>
          <w:noProof/>
          <w:vertAlign w:val="superscript"/>
          <w:lang w:val="en"/>
        </w:rPr>
        <w:t>135</w:t>
      </w:r>
      <w:r w:rsidR="00FC6175" w:rsidRPr="007A7C51">
        <w:rPr>
          <w:rFonts w:eastAsia="Calibri" w:cs="Times New Roman"/>
          <w:lang w:val="en"/>
        </w:rPr>
        <w:fldChar w:fldCharType="end"/>
      </w:r>
      <w:r w:rsidRPr="007A7C51">
        <w:rPr>
          <w:rFonts w:eastAsia="Calibri" w:cs="Times New Roman"/>
          <w:lang w:val="en"/>
        </w:rPr>
        <w:t xml:space="preserve"> reported on a sample of 10 cases (9 from Germany, 1 from Croatia) </w:t>
      </w:r>
      <w:r w:rsidR="00F62DB8">
        <w:rPr>
          <w:rFonts w:eastAsia="Calibri" w:cs="Times New Roman"/>
          <w:lang w:val="en"/>
        </w:rPr>
        <w:t xml:space="preserve">of iCJD related to dura mater </w:t>
      </w:r>
      <w:r w:rsidRPr="007A7C51">
        <w:rPr>
          <w:rFonts w:eastAsia="Calibri" w:cs="Times New Roman"/>
          <w:lang w:val="en"/>
        </w:rPr>
        <w:t>iden</w:t>
      </w:r>
      <w:r w:rsidR="00F62DB8">
        <w:rPr>
          <w:rFonts w:eastAsia="Calibri" w:cs="Times New Roman"/>
          <w:lang w:val="en"/>
        </w:rPr>
        <w:t>tified in the years 1993-2006. T</w:t>
      </w:r>
      <w:r w:rsidRPr="007A7C51">
        <w:rPr>
          <w:rFonts w:eastAsia="Calibri" w:cs="Times New Roman"/>
          <w:lang w:val="en"/>
        </w:rPr>
        <w:t>he median incubation was 18 years (range, 9-23 years), with 90% being homozygotes, principally of the MM genotype (80%). This study also reviewed published evidence from the literature on 27 international patients with iCJD due to dura mater grafts and having MRI data. Data on incubation periods were available for 22 of these patients: the mean incubation period was 11.5 years (range 1.6 – 23 years), with 95% being homozygotes, principally of the MM genotype (81%).</w:t>
      </w:r>
    </w:p>
    <w:p w14:paraId="0514A02D" w14:textId="77777777" w:rsidR="00303D5A" w:rsidRPr="00F05B7F" w:rsidRDefault="00303D5A" w:rsidP="001558F7">
      <w:pPr>
        <w:jc w:val="both"/>
        <w:rPr>
          <w:rFonts w:eastAsia="Calibri" w:cs="Times New Roman"/>
          <w:szCs w:val="24"/>
          <w:lang w:val="en"/>
        </w:rPr>
      </w:pPr>
    </w:p>
    <w:p w14:paraId="035190C7" w14:textId="77777777" w:rsidR="00303D5A" w:rsidRPr="00F05B7F" w:rsidRDefault="00303D5A" w:rsidP="00292024">
      <w:pPr>
        <w:pStyle w:val="Heading4"/>
        <w:rPr>
          <w:rFonts w:eastAsia="Calibri"/>
          <w:sz w:val="22"/>
          <w:lang w:val="en"/>
        </w:rPr>
      </w:pPr>
      <w:r w:rsidRPr="00F05B7F">
        <w:rPr>
          <w:rFonts w:eastAsia="Calibri"/>
          <w:sz w:val="22"/>
          <w:lang w:val="en"/>
        </w:rPr>
        <w:t>Human growth hormone and genotypes</w:t>
      </w:r>
    </w:p>
    <w:p w14:paraId="6B2BDF22" w14:textId="43013F28" w:rsidR="00303D5A" w:rsidRPr="00A20906" w:rsidRDefault="00D030C4" w:rsidP="00E0363A">
      <w:pPr>
        <w:jc w:val="both"/>
      </w:pPr>
      <w:r w:rsidRPr="000B5A91">
        <w:rPr>
          <w:lang w:val="en"/>
        </w:rPr>
        <w:fldChar w:fldCharType="begin"/>
      </w:r>
      <w:r w:rsidRPr="000B5A91">
        <w:rPr>
          <w:lang w:val="en"/>
        </w:rPr>
        <w:instrText xml:space="preserve"> REF _Ref514062287 \h </w:instrText>
      </w:r>
      <w:r w:rsidR="000B5A91" w:rsidRPr="000B5A91">
        <w:rPr>
          <w:lang w:val="en"/>
        </w:rPr>
        <w:instrText xml:space="preserve"> \* MERGEFORMAT </w:instrText>
      </w:r>
      <w:r w:rsidRPr="000B5A91">
        <w:rPr>
          <w:lang w:val="en"/>
        </w:rPr>
      </w:r>
      <w:r w:rsidRPr="000B5A91">
        <w:rPr>
          <w:lang w:val="en"/>
        </w:rPr>
        <w:fldChar w:fldCharType="separate"/>
      </w:r>
      <w:r w:rsidR="00690541">
        <w:t xml:space="preserve">Table </w:t>
      </w:r>
      <w:r w:rsidR="00690541">
        <w:rPr>
          <w:noProof/>
        </w:rPr>
        <w:t>10</w:t>
      </w:r>
      <w:r w:rsidRPr="000B5A91">
        <w:rPr>
          <w:lang w:val="en"/>
        </w:rPr>
        <w:fldChar w:fldCharType="end"/>
      </w:r>
      <w:r w:rsidRPr="000B5A91">
        <w:rPr>
          <w:lang w:val="en"/>
        </w:rPr>
        <w:t xml:space="preserve"> </w:t>
      </w:r>
      <w:r w:rsidR="00303D5A" w:rsidRPr="000B5A91">
        <w:rPr>
          <w:lang w:val="en"/>
        </w:rPr>
        <w:t xml:space="preserve">presents frequency data and mean incubation periods by genotype for a subset of the known cases due to </w:t>
      </w:r>
      <w:r w:rsidR="008016ED">
        <w:rPr>
          <w:lang w:val="en"/>
        </w:rPr>
        <w:t>hGH</w:t>
      </w:r>
      <w:r w:rsidR="00303D5A" w:rsidRPr="000B5A91">
        <w:rPr>
          <w:lang w:val="en"/>
        </w:rPr>
        <w:t xml:space="preserve">. It is reported that one particular preparation of </w:t>
      </w:r>
      <w:r w:rsidR="008016ED">
        <w:rPr>
          <w:lang w:val="en"/>
        </w:rPr>
        <w:t>hGH</w:t>
      </w:r>
      <w:r w:rsidR="00303D5A" w:rsidRPr="000B5A91">
        <w:rPr>
          <w:lang w:val="en"/>
        </w:rPr>
        <w:t xml:space="preserve"> was most probably responsible for cases of iCJD due to hGH in the UK to date (Rudge </w:t>
      </w:r>
      <w:r w:rsidR="00910682" w:rsidRPr="000B5A91">
        <w:rPr>
          <w:lang w:val="en"/>
        </w:rPr>
        <w:t>(</w:t>
      </w:r>
      <w:r w:rsidR="00303D5A" w:rsidRPr="000B5A91">
        <w:rPr>
          <w:lang w:val="en"/>
        </w:rPr>
        <w:t>2015</w:t>
      </w:r>
      <w:r w:rsidR="00910682" w:rsidRPr="000B5A91">
        <w:rPr>
          <w:lang w:val="en"/>
        </w:rPr>
        <w:t>)</w:t>
      </w:r>
      <w:r w:rsidR="00FC6175" w:rsidRPr="000B5A91">
        <w:rPr>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lang w:val="en"/>
        </w:rPr>
        <w:instrText xml:space="preserve"> ADDIN EN.CITE </w:instrText>
      </w:r>
      <w:r w:rsidR="0076576E">
        <w:rPr>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lang w:val="en"/>
        </w:rPr>
        <w:instrText xml:space="preserve"> ADDIN EN.CITE.DATA </w:instrText>
      </w:r>
      <w:r w:rsidR="0076576E">
        <w:rPr>
          <w:lang w:val="en"/>
        </w:rPr>
      </w:r>
      <w:r w:rsidR="0076576E">
        <w:rPr>
          <w:lang w:val="en"/>
        </w:rPr>
        <w:fldChar w:fldCharType="end"/>
      </w:r>
      <w:r w:rsidR="00FC6175" w:rsidRPr="000B5A91">
        <w:rPr>
          <w:lang w:val="en"/>
        </w:rPr>
      </w:r>
      <w:r w:rsidR="00FC6175" w:rsidRPr="000B5A91">
        <w:rPr>
          <w:lang w:val="en"/>
        </w:rPr>
        <w:fldChar w:fldCharType="separate"/>
      </w:r>
      <w:r w:rsidR="0076576E" w:rsidRPr="0076576E">
        <w:rPr>
          <w:noProof/>
          <w:vertAlign w:val="superscript"/>
          <w:lang w:val="en"/>
        </w:rPr>
        <w:t>64</w:t>
      </w:r>
      <w:r w:rsidR="00FC6175" w:rsidRPr="000B5A91">
        <w:rPr>
          <w:lang w:val="en"/>
        </w:rPr>
        <w:fldChar w:fldCharType="end"/>
      </w:r>
      <w:r w:rsidR="00303D5A" w:rsidRPr="000B5A91">
        <w:rPr>
          <w:lang w:val="en"/>
        </w:rPr>
        <w:t xml:space="preserve">, </w:t>
      </w:r>
      <w:r w:rsidR="00334D92" w:rsidRPr="000B5A91">
        <w:rPr>
          <w:lang w:val="en"/>
        </w:rPr>
        <w:t>Brown (2012)</w:t>
      </w:r>
      <w:r w:rsidR="00FC6175" w:rsidRPr="000B5A91">
        <w:rPr>
          <w:lang w:val="e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lang w:val="en"/>
        </w:rPr>
        <w:instrText xml:space="preserve"> ADDIN EN.CITE </w:instrText>
      </w:r>
      <w:r w:rsidR="00D63CDB">
        <w:rPr>
          <w:lang w:val="e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lang w:val="en"/>
        </w:rPr>
        <w:instrText xml:space="preserve"> ADDIN EN.CITE.DATA </w:instrText>
      </w:r>
      <w:r w:rsidR="00D63CDB">
        <w:rPr>
          <w:lang w:val="en"/>
        </w:rPr>
      </w:r>
      <w:r w:rsidR="00D63CDB">
        <w:rPr>
          <w:lang w:val="en"/>
        </w:rPr>
        <w:fldChar w:fldCharType="end"/>
      </w:r>
      <w:r w:rsidR="00FC6175" w:rsidRPr="000B5A91">
        <w:rPr>
          <w:lang w:val="en"/>
        </w:rPr>
      </w:r>
      <w:r w:rsidR="00FC6175" w:rsidRPr="000B5A91">
        <w:rPr>
          <w:lang w:val="en"/>
        </w:rPr>
        <w:fldChar w:fldCharType="separate"/>
      </w:r>
      <w:r w:rsidR="001D65B2" w:rsidRPr="001D65B2">
        <w:rPr>
          <w:noProof/>
          <w:vertAlign w:val="superscript"/>
          <w:lang w:val="en"/>
        </w:rPr>
        <w:t>3</w:t>
      </w:r>
      <w:r w:rsidR="00FC6175" w:rsidRPr="000B5A91">
        <w:rPr>
          <w:lang w:val="en"/>
        </w:rPr>
        <w:fldChar w:fldCharType="end"/>
      </w:r>
      <w:r w:rsidR="00303D5A" w:rsidRPr="000B5A91">
        <w:rPr>
          <w:lang w:val="en"/>
        </w:rPr>
        <w:t>). As reported in</w:t>
      </w:r>
      <w:r w:rsidR="00584638" w:rsidRPr="000B5A91">
        <w:rPr>
          <w:lang w:val="en"/>
        </w:rPr>
        <w:t xml:space="preserve"> </w:t>
      </w:r>
      <w:r w:rsidR="00584638" w:rsidRPr="000B5A91">
        <w:rPr>
          <w:lang w:val="en"/>
        </w:rPr>
        <w:fldChar w:fldCharType="begin"/>
      </w:r>
      <w:r w:rsidR="00584638" w:rsidRPr="000B5A91">
        <w:rPr>
          <w:lang w:val="en"/>
        </w:rPr>
        <w:instrText xml:space="preserve"> REF _Ref506969365 \h </w:instrText>
      </w:r>
      <w:r w:rsidRPr="000B5A91">
        <w:rPr>
          <w:lang w:val="en"/>
        </w:rPr>
        <w:instrText xml:space="preserve"> \* MERGEFORMAT </w:instrText>
      </w:r>
      <w:r w:rsidR="00584638" w:rsidRPr="000B5A91">
        <w:rPr>
          <w:lang w:val="en"/>
        </w:rPr>
      </w:r>
      <w:r w:rsidR="00584638" w:rsidRPr="000B5A91">
        <w:rPr>
          <w:lang w:val="en"/>
        </w:rPr>
        <w:fldChar w:fldCharType="separate"/>
      </w:r>
      <w:r w:rsidR="00690541">
        <w:rPr>
          <w:noProof/>
        </w:rPr>
        <w:t>Table</w:t>
      </w:r>
      <w:r w:rsidR="00690541">
        <w:t xml:space="preserve"> </w:t>
      </w:r>
      <w:r w:rsidR="00690541">
        <w:rPr>
          <w:noProof/>
        </w:rPr>
        <w:t>7</w:t>
      </w:r>
      <w:r w:rsidR="00584638" w:rsidRPr="000B5A91">
        <w:rPr>
          <w:lang w:val="en"/>
        </w:rPr>
        <w:fldChar w:fldCharType="end"/>
      </w:r>
      <w:r w:rsidR="008016ED">
        <w:rPr>
          <w:lang w:val="en"/>
        </w:rPr>
        <w:t>, 78 cases had</w:t>
      </w:r>
      <w:r w:rsidR="00303D5A" w:rsidRPr="000B5A91">
        <w:rPr>
          <w:lang w:val="en"/>
        </w:rPr>
        <w:t xml:space="preserve"> been reported in the literature for the UK a</w:t>
      </w:r>
      <w:r w:rsidR="008016ED">
        <w:rPr>
          <w:lang w:val="en"/>
        </w:rPr>
        <w:t xml:space="preserve">s of 2017 </w:t>
      </w:r>
      <w:r w:rsidR="00303D5A" w:rsidRPr="000B5A91">
        <w:rPr>
          <w:lang w:val="en"/>
        </w:rPr>
        <w:t xml:space="preserve">(Ritchie 2017), an increase from the 65 cases reported by Rudge </w:t>
      </w:r>
      <w:r w:rsidR="00B301D6" w:rsidRPr="00B301D6">
        <w:rPr>
          <w:i/>
          <w:lang w:val="en"/>
        </w:rPr>
        <w:t>et al</w:t>
      </w:r>
      <w:r w:rsidR="00303D5A" w:rsidRPr="000B5A91">
        <w:rPr>
          <w:lang w:val="en"/>
        </w:rPr>
        <w:t xml:space="preserve"> (2015)</w:t>
      </w:r>
      <w:r w:rsidR="00FC6175" w:rsidRPr="000B5A91">
        <w:rPr>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lang w:val="en"/>
        </w:rPr>
        <w:instrText xml:space="preserve"> ADDIN EN.CITE </w:instrText>
      </w:r>
      <w:r w:rsidR="0076576E">
        <w:rPr>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lang w:val="en"/>
        </w:rPr>
        <w:instrText xml:space="preserve"> ADDIN EN.CITE.DATA </w:instrText>
      </w:r>
      <w:r w:rsidR="0076576E">
        <w:rPr>
          <w:lang w:val="en"/>
        </w:rPr>
      </w:r>
      <w:r w:rsidR="0076576E">
        <w:rPr>
          <w:lang w:val="en"/>
        </w:rPr>
        <w:fldChar w:fldCharType="end"/>
      </w:r>
      <w:r w:rsidR="00FC6175" w:rsidRPr="000B5A91">
        <w:rPr>
          <w:lang w:val="en"/>
        </w:rPr>
      </w:r>
      <w:r w:rsidR="00FC6175" w:rsidRPr="000B5A91">
        <w:rPr>
          <w:lang w:val="en"/>
        </w:rPr>
        <w:fldChar w:fldCharType="separate"/>
      </w:r>
      <w:r w:rsidR="0076576E" w:rsidRPr="0076576E">
        <w:rPr>
          <w:noProof/>
          <w:vertAlign w:val="superscript"/>
          <w:lang w:val="en"/>
        </w:rPr>
        <w:t>64</w:t>
      </w:r>
      <w:r w:rsidR="00FC6175" w:rsidRPr="000B5A91">
        <w:rPr>
          <w:lang w:val="en"/>
        </w:rPr>
        <w:fldChar w:fldCharType="end"/>
      </w:r>
      <w:r w:rsidR="00303D5A" w:rsidRPr="000B5A91">
        <w:rPr>
          <w:lang w:val="en"/>
        </w:rPr>
        <w:t xml:space="preserve"> previously. Ritchie </w:t>
      </w:r>
      <w:r w:rsidR="00B301D6" w:rsidRPr="00B301D6">
        <w:rPr>
          <w:i/>
          <w:lang w:val="en"/>
        </w:rPr>
        <w:t>et al</w:t>
      </w:r>
      <w:r w:rsidR="00303D5A" w:rsidRPr="000B5A91">
        <w:rPr>
          <w:lang w:val="en"/>
        </w:rPr>
        <w:t xml:space="preserve"> (2017)</w:t>
      </w:r>
      <w:r w:rsidR="00FC6175" w:rsidRPr="000B5A91">
        <w:rPr>
          <w:lang w:val="en"/>
        </w:rPr>
        <w:fldChar w:fldCharType="begin"/>
      </w:r>
      <w:r w:rsidR="0076576E">
        <w:rPr>
          <w:lang w:val="en"/>
        </w:rPr>
        <w:instrText xml:space="preserve"> ADDIN EN.CITE &lt;EndNote&gt;&lt;Cite&gt;&lt;Author&gt;Ritchie&lt;/Author&gt;&lt;Year&gt;2017&lt;/Year&gt;&lt;RecNum&gt;10258&lt;/RecNum&gt;&lt;DisplayText&gt;&lt;style face="superscript"&gt;136&lt;/style&gt;&lt;/DisplayText&gt;&lt;record&gt;&lt;rec-number&gt;10258&lt;/rec-number&gt;&lt;foreign-keys&gt;&lt;key app="EN" db-id="vrp0pptazv05wtesfz5vrzsj2p0rv09ttsa9" timestamp="1520851588" guid="f7449048-5417-4c42-b564-70ee88fa921e"&gt;10258&lt;/key&gt;&lt;/foreign-keys&gt;&lt;ref-type name="Journal Article"&gt;17&lt;/ref-type&gt;&lt;contributors&gt;&lt;authors&gt;&lt;author&gt;Ritchie, Diane L&lt;/author&gt;&lt;author&gt;Barria, Marcelo A&lt;/author&gt;&lt;author&gt;Peden, Alexander H&lt;/author&gt;&lt;author&gt;Yull, Helen M&lt;/author&gt;&lt;author&gt;Kirkpatrick, James&lt;/author&gt;&lt;author&gt;Adlard, Peter&lt;/author&gt;&lt;author&gt;Ironside, James W&lt;/author&gt;&lt;author&gt;Head, Mark W&lt;/author&gt;&lt;/authors&gt;&lt;/contributors&gt;&lt;titles&gt;&lt;title&gt;UK Iatrogenic Creutzfeldt–Jakob disease: investigating human prion transmission across genotypic barriers using human tissue-based and molecular approaches&lt;/title&gt;&lt;secondary-title&gt;Acta neuropathologica&lt;/secondary-title&gt;&lt;/titles&gt;&lt;periodical&gt;&lt;full-title&gt;Acta Neuropathologica&lt;/full-title&gt;&lt;/periodical&gt;&lt;pages&gt;579-595&lt;/pages&gt;&lt;volume&gt;133&lt;/volume&gt;&lt;number&gt;4&lt;/number&gt;&lt;keywords&gt;&lt;keyword&gt;$$CC_3_TSE incubation&lt;/keyword&gt;&lt;keyword&gt;$$Lesley google&lt;/keyword&gt;&lt;keyword&gt;$$CJD relevant&lt;/keyword&gt;&lt;keyword&gt;$$1_prevalence CJD&lt;/keyword&gt;&lt;/keywords&gt;&lt;dates&gt;&lt;year&gt;2017&lt;/year&gt;&lt;/dates&gt;&lt;isbn&gt;0001-6322&lt;/isbn&gt;&lt;urls&gt;&lt;/urls&gt;&lt;/record&gt;&lt;/Cite&gt;&lt;/EndNote&gt;</w:instrText>
      </w:r>
      <w:r w:rsidR="00FC6175" w:rsidRPr="000B5A91">
        <w:rPr>
          <w:lang w:val="en"/>
        </w:rPr>
        <w:fldChar w:fldCharType="separate"/>
      </w:r>
      <w:r w:rsidR="0076576E" w:rsidRPr="0076576E">
        <w:rPr>
          <w:noProof/>
          <w:vertAlign w:val="superscript"/>
          <w:lang w:val="en"/>
        </w:rPr>
        <w:t>136</w:t>
      </w:r>
      <w:r w:rsidR="00FC6175" w:rsidRPr="000B5A91">
        <w:rPr>
          <w:lang w:val="en"/>
        </w:rPr>
        <w:fldChar w:fldCharType="end"/>
      </w:r>
      <w:r w:rsidR="00303D5A" w:rsidRPr="000B5A91">
        <w:rPr>
          <w:lang w:val="en"/>
        </w:rPr>
        <w:t xml:space="preserve"> present data on subsets of 21 and 37 patients</w:t>
      </w:r>
      <w:r w:rsidR="00D71D57">
        <w:rPr>
          <w:lang w:val="en"/>
        </w:rPr>
        <w:t xml:space="preserve"> with available tissue samples</w:t>
      </w:r>
      <w:r w:rsidR="00303D5A" w:rsidRPr="000B5A91">
        <w:rPr>
          <w:lang w:val="en"/>
        </w:rPr>
        <w:t xml:space="preserve">; analysis was conducted on frozen tissue samples for the former group. Both samples demonstrated the same pattern: patients with the MM genotype were fewer and had consistently longer incubation periods; the VV genotype had the shortest mean incubation period. The heterozygous genotype MV was the most frequently identified in both subsets. </w:t>
      </w:r>
      <w:r w:rsidR="00D80A38">
        <w:rPr>
          <w:lang w:val="en"/>
        </w:rPr>
        <w:t>There is potential for some crossover of data, and therefore inconsistency, between included studies which cannot be accounted for in this review.</w:t>
      </w:r>
    </w:p>
    <w:p w14:paraId="0D1C0814" w14:textId="77777777" w:rsidR="00303D5A" w:rsidRPr="000B5A91" w:rsidRDefault="00303D5A" w:rsidP="00E0363A">
      <w:pPr>
        <w:jc w:val="both"/>
        <w:rPr>
          <w:lang w:val="en"/>
        </w:rPr>
      </w:pPr>
    </w:p>
    <w:p w14:paraId="076EA0E4" w14:textId="44224CF6" w:rsidR="00303D5A" w:rsidRPr="00851AC2" w:rsidRDefault="00303D5A" w:rsidP="007D1B6D">
      <w:pPr>
        <w:jc w:val="both"/>
      </w:pPr>
      <w:r w:rsidRPr="000B5A91">
        <w:rPr>
          <w:rFonts w:eastAsia="Calibri" w:cs="Times New Roman"/>
          <w:lang w:val="en"/>
        </w:rPr>
        <w:t xml:space="preserve">These findings were broadly similar to </w:t>
      </w:r>
      <w:r w:rsidR="00D71D57">
        <w:rPr>
          <w:rFonts w:eastAsia="Calibri" w:cs="Times New Roman"/>
          <w:lang w:val="en"/>
        </w:rPr>
        <w:t xml:space="preserve">those reported for </w:t>
      </w:r>
      <w:r w:rsidR="00892DF9">
        <w:rPr>
          <w:rFonts w:eastAsia="Calibri" w:cs="Times New Roman"/>
          <w:lang w:val="en"/>
        </w:rPr>
        <w:t>an</w:t>
      </w:r>
      <w:r w:rsidR="00F05B7F">
        <w:rPr>
          <w:rFonts w:eastAsia="Calibri" w:cs="Times New Roman"/>
          <w:lang w:val="en"/>
        </w:rPr>
        <w:t>other subset analysi</w:t>
      </w:r>
      <w:r w:rsidR="00D71D57">
        <w:rPr>
          <w:rFonts w:eastAsia="Calibri" w:cs="Times New Roman"/>
          <w:lang w:val="en"/>
        </w:rPr>
        <w:t xml:space="preserve">s </w:t>
      </w:r>
      <w:r w:rsidR="00892DF9">
        <w:rPr>
          <w:rFonts w:eastAsia="Calibri" w:cs="Times New Roman"/>
          <w:lang w:val="en"/>
        </w:rPr>
        <w:t xml:space="preserve">of iCJD patients using </w:t>
      </w:r>
      <w:r w:rsidR="00892DF9" w:rsidRPr="007D1B6D">
        <w:rPr>
          <w:rFonts w:eastAsia="Calibri" w:cs="Times New Roman"/>
          <w:lang w:val="en"/>
        </w:rPr>
        <w:t>imaging, molecular and autopsy</w:t>
      </w:r>
      <w:r w:rsidR="00892DF9">
        <w:rPr>
          <w:rFonts w:eastAsia="Calibri" w:cs="Times New Roman"/>
          <w:lang w:val="en"/>
        </w:rPr>
        <w:t xml:space="preserve"> data </w:t>
      </w:r>
      <w:r w:rsidRPr="000B5A91">
        <w:rPr>
          <w:rFonts w:eastAsia="Calibri" w:cs="Times New Roman"/>
          <w:lang w:val="en"/>
        </w:rPr>
        <w:t xml:space="preserve">by </w:t>
      </w:r>
      <w:r w:rsidR="00910682" w:rsidRPr="000B5A91">
        <w:rPr>
          <w:rFonts w:eastAsia="Calibri" w:cs="Times New Roman"/>
          <w:lang w:val="en"/>
        </w:rPr>
        <w:t>Rudge (2015)</w:t>
      </w:r>
      <w:r w:rsidR="00F25602">
        <w:rPr>
          <w:rFonts w:eastAsia="Calibri" w:cs="Times New Roman"/>
          <w:lang w:val="en"/>
        </w:rPr>
        <w:t>.</w:t>
      </w:r>
      <w:r w:rsidR="00FC6175" w:rsidRPr="000B5A91">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FC6175" w:rsidRPr="000B5A91">
        <w:rPr>
          <w:rFonts w:eastAsia="Calibri" w:cs="Times New Roman"/>
          <w:lang w:val="en"/>
        </w:rPr>
      </w:r>
      <w:r w:rsidR="00FC6175" w:rsidRPr="000B5A91">
        <w:rPr>
          <w:rFonts w:eastAsia="Calibri" w:cs="Times New Roman"/>
          <w:lang w:val="en"/>
        </w:rPr>
        <w:fldChar w:fldCharType="separate"/>
      </w:r>
      <w:r w:rsidR="0076576E" w:rsidRPr="0076576E">
        <w:rPr>
          <w:rFonts w:eastAsia="Calibri" w:cs="Times New Roman"/>
          <w:noProof/>
          <w:vertAlign w:val="superscript"/>
          <w:lang w:val="en"/>
        </w:rPr>
        <w:t>64</w:t>
      </w:r>
      <w:r w:rsidR="00FC6175" w:rsidRPr="000B5A91">
        <w:rPr>
          <w:rFonts w:eastAsia="Calibri" w:cs="Times New Roman"/>
          <w:lang w:val="en"/>
        </w:rPr>
        <w:fldChar w:fldCharType="end"/>
      </w:r>
      <w:r w:rsidRPr="000B5A91">
        <w:rPr>
          <w:rFonts w:eastAsia="Calibri" w:cs="Times New Roman"/>
          <w:lang w:val="en"/>
        </w:rPr>
        <w:t xml:space="preserve"> </w:t>
      </w:r>
      <w:r w:rsidR="00910682" w:rsidRPr="000B5A91">
        <w:rPr>
          <w:rFonts w:eastAsia="Calibri" w:cs="Times New Roman"/>
          <w:lang w:val="en"/>
        </w:rPr>
        <w:t>Rudge (2015)</w:t>
      </w:r>
      <w:r w:rsidR="00FC6175" w:rsidRPr="000B5A91">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FC6175" w:rsidRPr="000B5A91">
        <w:rPr>
          <w:rFonts w:eastAsia="Calibri" w:cs="Times New Roman"/>
          <w:lang w:val="en"/>
        </w:rPr>
      </w:r>
      <w:r w:rsidR="00FC6175" w:rsidRPr="000B5A91">
        <w:rPr>
          <w:rFonts w:eastAsia="Calibri" w:cs="Times New Roman"/>
          <w:lang w:val="en"/>
        </w:rPr>
        <w:fldChar w:fldCharType="separate"/>
      </w:r>
      <w:r w:rsidR="0076576E" w:rsidRPr="0076576E">
        <w:rPr>
          <w:rFonts w:eastAsia="Calibri" w:cs="Times New Roman"/>
          <w:noProof/>
          <w:vertAlign w:val="superscript"/>
          <w:lang w:val="en"/>
        </w:rPr>
        <w:t>64</w:t>
      </w:r>
      <w:r w:rsidR="00FC6175" w:rsidRPr="000B5A91">
        <w:rPr>
          <w:rFonts w:eastAsia="Calibri" w:cs="Times New Roman"/>
          <w:lang w:val="en"/>
        </w:rPr>
        <w:fldChar w:fldCharType="end"/>
      </w:r>
      <w:r w:rsidR="00910682" w:rsidRPr="000B5A91">
        <w:rPr>
          <w:rFonts w:eastAsia="Calibri" w:cs="Times New Roman"/>
          <w:lang w:val="en"/>
        </w:rPr>
        <w:t xml:space="preserve"> </w:t>
      </w:r>
      <w:r w:rsidR="007D1B6D">
        <w:rPr>
          <w:rFonts w:eastAsia="Calibri" w:cs="Times New Roman"/>
          <w:lang w:val="en"/>
        </w:rPr>
        <w:t xml:space="preserve">present data on </w:t>
      </w:r>
      <w:r w:rsidR="001F5EF1">
        <w:rPr>
          <w:rFonts w:eastAsia="Calibri" w:cs="Times New Roman"/>
          <w:lang w:val="en"/>
        </w:rPr>
        <w:t xml:space="preserve">a </w:t>
      </w:r>
      <w:r w:rsidR="007D1B6D">
        <w:rPr>
          <w:rFonts w:eastAsia="Calibri" w:cs="Times New Roman"/>
          <w:lang w:val="en"/>
        </w:rPr>
        <w:t>subset</w:t>
      </w:r>
      <w:r w:rsidRPr="000B5A91">
        <w:rPr>
          <w:rFonts w:eastAsia="Calibri" w:cs="Times New Roman"/>
          <w:lang w:val="en"/>
        </w:rPr>
        <w:t xml:space="preserve"> of 22 </w:t>
      </w:r>
      <w:r w:rsidR="007D1B6D">
        <w:rPr>
          <w:rFonts w:eastAsia="Calibri" w:cs="Times New Roman"/>
          <w:lang w:val="en"/>
        </w:rPr>
        <w:t>patients from</w:t>
      </w:r>
      <w:r w:rsidRPr="000B5A91">
        <w:rPr>
          <w:rFonts w:eastAsia="Calibri" w:cs="Times New Roman"/>
          <w:lang w:val="en"/>
        </w:rPr>
        <w:t xml:space="preserve"> 56 </w:t>
      </w:r>
      <w:r w:rsidR="007D1B6D">
        <w:rPr>
          <w:rFonts w:eastAsia="Calibri" w:cs="Times New Roman"/>
          <w:lang w:val="en"/>
        </w:rPr>
        <w:t>patients with genotypic data available</w:t>
      </w:r>
      <w:r w:rsidRPr="000B5A91">
        <w:rPr>
          <w:rFonts w:eastAsia="Calibri" w:cs="Times New Roman"/>
          <w:lang w:val="en"/>
        </w:rPr>
        <w:t xml:space="preserve">. They studied a cohort of 22 patients diagnosed from 2000 to 2014 and combined relevant data from these patients with data for 34 published cases up to 2000. In the cohort of 22 patients, </w:t>
      </w:r>
      <w:r w:rsidR="00910682" w:rsidRPr="000B5A91">
        <w:rPr>
          <w:rFonts w:eastAsia="Calibri" w:cs="Times New Roman"/>
          <w:lang w:val="en"/>
        </w:rPr>
        <w:t>Rudge (2015)</w:t>
      </w:r>
      <w:r w:rsidR="00FC6175" w:rsidRPr="000B5A91">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FC6175" w:rsidRPr="000B5A91">
        <w:rPr>
          <w:rFonts w:eastAsia="Calibri" w:cs="Times New Roman"/>
          <w:lang w:val="en"/>
        </w:rPr>
      </w:r>
      <w:r w:rsidR="00FC6175" w:rsidRPr="000B5A91">
        <w:rPr>
          <w:rFonts w:eastAsia="Calibri" w:cs="Times New Roman"/>
          <w:lang w:val="en"/>
        </w:rPr>
        <w:fldChar w:fldCharType="separate"/>
      </w:r>
      <w:r w:rsidR="0076576E" w:rsidRPr="0076576E">
        <w:rPr>
          <w:rFonts w:eastAsia="Calibri" w:cs="Times New Roman"/>
          <w:noProof/>
          <w:vertAlign w:val="superscript"/>
          <w:lang w:val="en"/>
        </w:rPr>
        <w:t>64</w:t>
      </w:r>
      <w:r w:rsidR="00FC6175" w:rsidRPr="000B5A91">
        <w:rPr>
          <w:rFonts w:eastAsia="Calibri" w:cs="Times New Roman"/>
          <w:lang w:val="en"/>
        </w:rPr>
        <w:fldChar w:fldCharType="end"/>
      </w:r>
      <w:r w:rsidR="00910682" w:rsidRPr="000B5A91">
        <w:rPr>
          <w:rFonts w:eastAsia="Calibri" w:cs="Times New Roman"/>
          <w:lang w:val="en"/>
        </w:rPr>
        <w:t xml:space="preserve"> </w:t>
      </w:r>
      <w:r w:rsidR="00892DF9">
        <w:rPr>
          <w:rFonts w:eastAsia="Calibri" w:cs="Times New Roman"/>
          <w:lang w:val="en"/>
        </w:rPr>
        <w:t xml:space="preserve">presented a range of </w:t>
      </w:r>
      <w:r w:rsidRPr="000B5A91">
        <w:rPr>
          <w:rFonts w:eastAsia="Calibri" w:cs="Times New Roman"/>
          <w:lang w:val="en"/>
        </w:rPr>
        <w:t>possible incubation times calculated from: 1) the last injection of any type of growth hormone to onset of symptoms; 2) the midpoint of that series of injections to onset of symptoms; and 3) the first injection to onset of symptoms. The mean and ranges were as follows: 1) mean 25.9 years (range 18.3–33.6); 2) mean 29.3 years (range 20.6–37.6); 3) mean 32.8 years (range 23.2–43.3) (Rudge 2015).</w:t>
      </w:r>
      <w:r w:rsidR="00892DF9" w:rsidRPr="000B5A91">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892DF9" w:rsidRPr="000B5A91">
        <w:rPr>
          <w:rFonts w:eastAsia="Calibri" w:cs="Times New Roman"/>
          <w:lang w:val="en"/>
        </w:rPr>
      </w:r>
      <w:r w:rsidR="00892DF9" w:rsidRPr="000B5A91">
        <w:rPr>
          <w:rFonts w:eastAsia="Calibri" w:cs="Times New Roman"/>
          <w:lang w:val="en"/>
        </w:rPr>
        <w:fldChar w:fldCharType="separate"/>
      </w:r>
      <w:r w:rsidR="0076576E" w:rsidRPr="0076576E">
        <w:rPr>
          <w:rFonts w:eastAsia="Calibri" w:cs="Times New Roman"/>
          <w:noProof/>
          <w:vertAlign w:val="superscript"/>
          <w:lang w:val="en"/>
        </w:rPr>
        <w:t>64</w:t>
      </w:r>
      <w:r w:rsidR="00892DF9" w:rsidRPr="000B5A91">
        <w:rPr>
          <w:rFonts w:eastAsia="Calibri" w:cs="Times New Roman"/>
          <w:lang w:val="en"/>
        </w:rPr>
        <w:fldChar w:fldCharType="end"/>
      </w:r>
      <w:r w:rsidRPr="000B5A91">
        <w:rPr>
          <w:rFonts w:eastAsia="Calibri" w:cs="Times New Roman"/>
          <w:lang w:val="en"/>
        </w:rPr>
        <w:t xml:space="preserve"> </w:t>
      </w:r>
      <w:r w:rsidR="00910682" w:rsidRPr="000B5A91">
        <w:rPr>
          <w:rFonts w:eastAsia="Calibri" w:cs="Times New Roman"/>
          <w:lang w:val="en"/>
        </w:rPr>
        <w:t>Rudge (2015)</w:t>
      </w:r>
      <w:r w:rsidR="00FC6175" w:rsidRPr="000B5A91">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FC6175" w:rsidRPr="000B5A91">
        <w:rPr>
          <w:rFonts w:eastAsia="Calibri" w:cs="Times New Roman"/>
          <w:lang w:val="en"/>
        </w:rPr>
      </w:r>
      <w:r w:rsidR="00FC6175" w:rsidRPr="000B5A91">
        <w:rPr>
          <w:rFonts w:eastAsia="Calibri" w:cs="Times New Roman"/>
          <w:lang w:val="en"/>
        </w:rPr>
        <w:fldChar w:fldCharType="separate"/>
      </w:r>
      <w:r w:rsidR="0076576E" w:rsidRPr="0076576E">
        <w:rPr>
          <w:rFonts w:eastAsia="Calibri" w:cs="Times New Roman"/>
          <w:noProof/>
          <w:vertAlign w:val="superscript"/>
          <w:lang w:val="en"/>
        </w:rPr>
        <w:t>64</w:t>
      </w:r>
      <w:r w:rsidR="00FC6175" w:rsidRPr="000B5A91">
        <w:rPr>
          <w:rFonts w:eastAsia="Calibri" w:cs="Times New Roman"/>
          <w:lang w:val="en"/>
        </w:rPr>
        <w:fldChar w:fldCharType="end"/>
      </w:r>
      <w:r w:rsidR="00910682" w:rsidRPr="000B5A91">
        <w:rPr>
          <w:rFonts w:eastAsia="Calibri" w:cs="Times New Roman"/>
          <w:lang w:val="en"/>
        </w:rPr>
        <w:t xml:space="preserve"> </w:t>
      </w:r>
      <w:r w:rsidRPr="000B5A91">
        <w:rPr>
          <w:rFonts w:eastAsia="Calibri" w:cs="Times New Roman"/>
          <w:lang w:val="en"/>
        </w:rPr>
        <w:t xml:space="preserve">also compared incubation times between the cohort of 22 patients and a large subset of the </w:t>
      </w:r>
      <w:r w:rsidR="00892DF9">
        <w:rPr>
          <w:rFonts w:eastAsia="Calibri" w:cs="Times New Roman"/>
          <w:lang w:val="en"/>
        </w:rPr>
        <w:t>UK group as whole. T</w:t>
      </w:r>
      <w:r w:rsidRPr="000B5A91">
        <w:rPr>
          <w:rFonts w:eastAsia="Calibri" w:cs="Times New Roman"/>
          <w:lang w:val="en"/>
        </w:rPr>
        <w:t xml:space="preserve">he mean incubation times were longer in the later cohort, but there was a noteworthy change in the proportion of MM and VV homozygote genotypes between the two periods: there was only a single case of the VV genotype in the period 2000-2014, with 14 occurring before 1998 </w:t>
      </w:r>
      <w:r w:rsidR="00910682" w:rsidRPr="000B5A91">
        <w:rPr>
          <w:rFonts w:eastAsia="Calibri" w:cs="Times New Roman"/>
          <w:lang w:val="en"/>
        </w:rPr>
        <w:t>Rudge (2015)</w:t>
      </w:r>
      <w:r w:rsidR="001F5EF1">
        <w:rPr>
          <w:rFonts w:eastAsia="Calibri" w:cs="Times New Roman"/>
          <w:lang w:val="en"/>
        </w:rPr>
        <w:t>,</w:t>
      </w:r>
      <w:r w:rsidR="00FC6175" w:rsidRPr="000B5A91">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FC6175" w:rsidRPr="000B5A91">
        <w:rPr>
          <w:rFonts w:eastAsia="Calibri" w:cs="Times New Roman"/>
          <w:lang w:val="en"/>
        </w:rPr>
      </w:r>
      <w:r w:rsidR="00FC6175" w:rsidRPr="000B5A91">
        <w:rPr>
          <w:rFonts w:eastAsia="Calibri" w:cs="Times New Roman"/>
          <w:lang w:val="en"/>
        </w:rPr>
        <w:fldChar w:fldCharType="separate"/>
      </w:r>
      <w:r w:rsidR="0076576E" w:rsidRPr="0076576E">
        <w:rPr>
          <w:rFonts w:eastAsia="Calibri" w:cs="Times New Roman"/>
          <w:noProof/>
          <w:vertAlign w:val="superscript"/>
          <w:lang w:val="en"/>
        </w:rPr>
        <w:t>64</w:t>
      </w:r>
      <w:r w:rsidR="00FC6175" w:rsidRPr="000B5A91">
        <w:rPr>
          <w:rFonts w:eastAsia="Calibri" w:cs="Times New Roman"/>
          <w:lang w:val="en"/>
        </w:rPr>
        <w:fldChar w:fldCharType="end"/>
      </w:r>
      <w:r w:rsidRPr="000B5A91">
        <w:rPr>
          <w:rFonts w:eastAsia="Calibri" w:cs="Times New Roman"/>
          <w:lang w:val="en"/>
        </w:rPr>
        <w:t xml:space="preserve"> while seven of the eight MM homozygotes occurred after 2004 </w:t>
      </w:r>
      <w:r w:rsidR="00910682" w:rsidRPr="000B5A91">
        <w:rPr>
          <w:rFonts w:eastAsia="Calibri" w:cs="Times New Roman"/>
          <w:lang w:val="en"/>
        </w:rPr>
        <w:t>Rudge (2015)</w:t>
      </w:r>
      <w:r w:rsidR="001F5EF1">
        <w:rPr>
          <w:rFonts w:eastAsia="Calibri" w:cs="Times New Roman"/>
          <w:lang w:val="en"/>
        </w:rPr>
        <w:t>.</w:t>
      </w:r>
      <w:r w:rsidR="00FC6175" w:rsidRPr="000B5A91">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FC6175" w:rsidRPr="000B5A91">
        <w:rPr>
          <w:rFonts w:eastAsia="Calibri" w:cs="Times New Roman"/>
          <w:lang w:val="en"/>
        </w:rPr>
      </w:r>
      <w:r w:rsidR="00FC6175" w:rsidRPr="000B5A91">
        <w:rPr>
          <w:rFonts w:eastAsia="Calibri" w:cs="Times New Roman"/>
          <w:lang w:val="en"/>
        </w:rPr>
        <w:fldChar w:fldCharType="separate"/>
      </w:r>
      <w:r w:rsidR="0076576E" w:rsidRPr="0076576E">
        <w:rPr>
          <w:rFonts w:eastAsia="Calibri" w:cs="Times New Roman"/>
          <w:noProof/>
          <w:vertAlign w:val="superscript"/>
          <w:lang w:val="en"/>
        </w:rPr>
        <w:t>64</w:t>
      </w:r>
      <w:r w:rsidR="00FC6175" w:rsidRPr="000B5A91">
        <w:rPr>
          <w:rFonts w:eastAsia="Calibri" w:cs="Times New Roman"/>
          <w:lang w:val="en"/>
        </w:rPr>
        <w:fldChar w:fldCharType="end"/>
      </w:r>
      <w:r w:rsidRPr="000B5A91">
        <w:rPr>
          <w:rFonts w:eastAsia="Calibri" w:cs="Times New Roman"/>
          <w:lang w:val="en"/>
        </w:rPr>
        <w:t xml:space="preserve"> These findings are quite distinct from those for dura mater grafts in terms of the distribution of genotypes and their incubation periods: incubation periods for i</w:t>
      </w:r>
      <w:r w:rsidR="00892DF9">
        <w:rPr>
          <w:rFonts w:eastAsia="Calibri" w:cs="Times New Roman"/>
          <w:lang w:val="en"/>
        </w:rPr>
        <w:t>CJD due to dura mater grafts appear</w:t>
      </w:r>
      <w:r w:rsidRPr="000B5A91">
        <w:rPr>
          <w:rFonts w:eastAsia="Calibri" w:cs="Times New Roman"/>
          <w:lang w:val="en"/>
        </w:rPr>
        <w:t xml:space="preserve"> shorter and are dominated by the MM genotype (</w:t>
      </w:r>
      <w:r w:rsidR="00584638" w:rsidRPr="000B5A91">
        <w:rPr>
          <w:rFonts w:eastAsia="Calibri" w:cs="Times New Roman"/>
          <w:lang w:val="en"/>
        </w:rPr>
        <w:fldChar w:fldCharType="begin"/>
      </w:r>
      <w:r w:rsidR="00584638" w:rsidRPr="000B5A91">
        <w:rPr>
          <w:rFonts w:eastAsia="Calibri" w:cs="Times New Roman"/>
          <w:lang w:val="en"/>
        </w:rPr>
        <w:instrText xml:space="preserve"> REF _Ref506969260 \h </w:instrText>
      </w:r>
      <w:r w:rsidR="000B5A91" w:rsidRPr="000B5A91">
        <w:rPr>
          <w:rFonts w:eastAsia="Calibri" w:cs="Times New Roman"/>
          <w:lang w:val="en"/>
        </w:rPr>
        <w:instrText xml:space="preserve"> \* MERGEFORMAT </w:instrText>
      </w:r>
      <w:r w:rsidR="00584638" w:rsidRPr="000B5A91">
        <w:rPr>
          <w:rFonts w:eastAsia="Calibri" w:cs="Times New Roman"/>
          <w:lang w:val="en"/>
        </w:rPr>
      </w:r>
      <w:r w:rsidR="00584638" w:rsidRPr="000B5A91">
        <w:rPr>
          <w:rFonts w:eastAsia="Calibri" w:cs="Times New Roman"/>
          <w:lang w:val="en"/>
        </w:rPr>
        <w:fldChar w:fldCharType="separate"/>
      </w:r>
      <w:r w:rsidR="00690541">
        <w:rPr>
          <w:noProof/>
        </w:rPr>
        <w:t>Table</w:t>
      </w:r>
      <w:r w:rsidR="00690541">
        <w:t xml:space="preserve"> </w:t>
      </w:r>
      <w:r w:rsidR="00690541">
        <w:rPr>
          <w:noProof/>
        </w:rPr>
        <w:t>9</w:t>
      </w:r>
      <w:r w:rsidR="00584638" w:rsidRPr="000B5A91">
        <w:rPr>
          <w:rFonts w:eastAsia="Calibri" w:cs="Times New Roman"/>
          <w:lang w:val="en"/>
        </w:rPr>
        <w:fldChar w:fldCharType="end"/>
      </w:r>
      <w:r w:rsidRPr="000B5A91">
        <w:rPr>
          <w:rFonts w:eastAsia="Calibri" w:cs="Times New Roman"/>
          <w:lang w:val="en"/>
        </w:rPr>
        <w:t xml:space="preserve">). The group with iCJD affected by </w:t>
      </w:r>
      <w:r w:rsidR="00892DF9">
        <w:rPr>
          <w:rFonts w:eastAsia="Calibri" w:cs="Times New Roman"/>
          <w:lang w:val="en"/>
        </w:rPr>
        <w:t>hGH</w:t>
      </w:r>
      <w:r w:rsidRPr="000B5A91">
        <w:rPr>
          <w:rFonts w:eastAsia="Calibri" w:cs="Times New Roman"/>
          <w:lang w:val="en"/>
        </w:rPr>
        <w:t xml:space="preserve"> are also equally distinct, in terms of genotype,</w:t>
      </w:r>
      <w:r w:rsidR="00892DF9">
        <w:rPr>
          <w:rFonts w:eastAsia="Calibri" w:cs="Times New Roman"/>
          <w:lang w:val="en"/>
        </w:rPr>
        <w:t xml:space="preserve"> from individuals with s</w:t>
      </w:r>
      <w:r w:rsidRPr="000B5A91">
        <w:rPr>
          <w:rFonts w:eastAsia="Calibri" w:cs="Times New Roman"/>
          <w:lang w:val="en"/>
        </w:rPr>
        <w:t xml:space="preserve">CJD (Ritchie </w:t>
      </w:r>
      <w:r w:rsidR="00910682" w:rsidRPr="000B5A91">
        <w:rPr>
          <w:rFonts w:eastAsia="Calibri" w:cs="Times New Roman"/>
          <w:lang w:val="en"/>
        </w:rPr>
        <w:t>(</w:t>
      </w:r>
      <w:r w:rsidRPr="000B5A91">
        <w:rPr>
          <w:rFonts w:eastAsia="Calibri" w:cs="Times New Roman"/>
          <w:lang w:val="en"/>
        </w:rPr>
        <w:t>2017</w:t>
      </w:r>
      <w:r w:rsidR="00910682" w:rsidRPr="000B5A91">
        <w:rPr>
          <w:rFonts w:eastAsia="Calibri" w:cs="Times New Roman"/>
          <w:lang w:val="en"/>
        </w:rPr>
        <w:t>)</w:t>
      </w:r>
      <w:r w:rsidR="00FC6175" w:rsidRPr="000B5A91">
        <w:rPr>
          <w:rFonts w:eastAsia="Calibri" w:cs="Times New Roman"/>
        </w:rPr>
        <w:fldChar w:fldCharType="begin"/>
      </w:r>
      <w:r w:rsidR="0076576E">
        <w:rPr>
          <w:rFonts w:eastAsia="Calibri" w:cs="Times New Roman"/>
        </w:rPr>
        <w:instrText xml:space="preserve"> ADDIN EN.CITE &lt;EndNote&gt;&lt;Cite&gt;&lt;Author&gt;Ritchie&lt;/Author&gt;&lt;Year&gt;2017&lt;/Year&gt;&lt;RecNum&gt;10258&lt;/RecNum&gt;&lt;DisplayText&gt;&lt;style face="superscript"&gt;136&lt;/style&gt;&lt;/DisplayText&gt;&lt;record&gt;&lt;rec-number&gt;10258&lt;/rec-number&gt;&lt;foreign-keys&gt;&lt;key app="EN" db-id="vrp0pptazv05wtesfz5vrzsj2p0rv09ttsa9" timestamp="1520851588" guid="f7449048-5417-4c42-b564-70ee88fa921e"&gt;10258&lt;/key&gt;&lt;/foreign-keys&gt;&lt;ref-type name="Journal Article"&gt;17&lt;/ref-type&gt;&lt;contributors&gt;&lt;authors&gt;&lt;author&gt;Ritchie, Diane L&lt;/author&gt;&lt;author&gt;Barria, Marcelo A&lt;/author&gt;&lt;author&gt;Peden, Alexander H&lt;/author&gt;&lt;author&gt;Yull, Helen M&lt;/author&gt;&lt;author&gt;Kirkpatrick, James&lt;/author&gt;&lt;author&gt;Adlard, Peter&lt;/author&gt;&lt;author&gt;Ironside, James W&lt;/author&gt;&lt;author&gt;Head, Mark W&lt;/author&gt;&lt;/authors&gt;&lt;/contributors&gt;&lt;titles&gt;&lt;title&gt;UK Iatrogenic Creutzfeldt–Jakob disease: investigating human prion transmission across genotypic barriers using human tissue-based and molecular approaches&lt;/title&gt;&lt;secondary-title&gt;Acta neuropathologica&lt;/secondary-title&gt;&lt;/titles&gt;&lt;periodical&gt;&lt;full-title&gt;Acta Neuropathologica&lt;/full-title&gt;&lt;/periodical&gt;&lt;pages&gt;579-595&lt;/pages&gt;&lt;volume&gt;133&lt;/volume&gt;&lt;number&gt;4&lt;/number&gt;&lt;keywords&gt;&lt;keyword&gt;$$CC_3_TSE incubation&lt;/keyword&gt;&lt;keyword&gt;$$Lesley google&lt;/keyword&gt;&lt;keyword&gt;$$CJD relevant&lt;/keyword&gt;&lt;keyword&gt;$$1_prevalence CJD&lt;/keyword&gt;&lt;/keywords&gt;&lt;dates&gt;&lt;year&gt;2017&lt;/year&gt;&lt;/dates&gt;&lt;isbn&gt;0001-6322&lt;/isbn&gt;&lt;urls&gt;&lt;/urls&gt;&lt;/record&gt;&lt;/Cite&gt;&lt;/EndNote&gt;</w:instrText>
      </w:r>
      <w:r w:rsidR="00FC6175" w:rsidRPr="000B5A91">
        <w:rPr>
          <w:rFonts w:eastAsia="Calibri" w:cs="Times New Roman"/>
        </w:rPr>
        <w:fldChar w:fldCharType="separate"/>
      </w:r>
      <w:r w:rsidR="0076576E" w:rsidRPr="0076576E">
        <w:rPr>
          <w:rFonts w:eastAsia="Calibri" w:cs="Times New Roman"/>
          <w:noProof/>
          <w:vertAlign w:val="superscript"/>
        </w:rPr>
        <w:t>136</w:t>
      </w:r>
      <w:r w:rsidR="00FC6175" w:rsidRPr="000B5A91">
        <w:rPr>
          <w:rFonts w:eastAsia="Calibri" w:cs="Times New Roman"/>
        </w:rPr>
        <w:fldChar w:fldCharType="end"/>
      </w:r>
      <w:r w:rsidRPr="000B5A91">
        <w:rPr>
          <w:rFonts w:eastAsia="Calibri" w:cs="Times New Roman"/>
          <w:lang w:val="en"/>
        </w:rPr>
        <w:t>).</w:t>
      </w:r>
    </w:p>
    <w:p w14:paraId="503A3D16" w14:textId="34D9777D" w:rsidR="00303D5A" w:rsidRPr="00B12E32" w:rsidRDefault="00303D5A" w:rsidP="00E0363A">
      <w:pPr>
        <w:rPr>
          <w:rFonts w:eastAsia="Calibri" w:cs="Times New Roman"/>
          <w:b/>
          <w:sz w:val="24"/>
          <w:szCs w:val="24"/>
        </w:rPr>
      </w:pPr>
    </w:p>
    <w:p w14:paraId="39E552D0" w14:textId="77777777" w:rsidR="00E0363A" w:rsidRDefault="00E0363A">
      <w:pPr>
        <w:spacing w:after="160" w:line="259" w:lineRule="auto"/>
        <w:rPr>
          <w:b/>
          <w:iCs/>
          <w:szCs w:val="18"/>
        </w:rPr>
      </w:pPr>
      <w:bookmarkStart w:id="54" w:name="_Ref506969260"/>
      <w:r>
        <w:br w:type="page"/>
      </w:r>
    </w:p>
    <w:p w14:paraId="2BBA79D8" w14:textId="06D2A06A" w:rsidR="00584638" w:rsidRDefault="00584638" w:rsidP="00E0363A">
      <w:pPr>
        <w:pStyle w:val="Caption"/>
        <w:keepNext/>
        <w:spacing w:line="360" w:lineRule="auto"/>
      </w:pPr>
      <w:bookmarkStart w:id="55" w:name="_Toc525106696"/>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9</w:t>
      </w:r>
      <w:r w:rsidR="00F62DB8">
        <w:rPr>
          <w:noProof/>
        </w:rPr>
        <w:fldChar w:fldCharType="end"/>
      </w:r>
      <w:bookmarkEnd w:id="54"/>
      <w:r w:rsidRPr="00C97A03">
        <w:t>:</w:t>
      </w:r>
      <w:r w:rsidR="00E0363A">
        <w:tab/>
      </w:r>
      <w:r w:rsidRPr="00C97A03">
        <w:t>Mean incubation periods by genotype for iCJD due to dura mater grafts</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06"/>
        <w:gridCol w:w="1145"/>
        <w:gridCol w:w="1157"/>
        <w:gridCol w:w="1145"/>
        <w:gridCol w:w="1157"/>
        <w:gridCol w:w="1145"/>
        <w:gridCol w:w="1157"/>
      </w:tblGrid>
      <w:tr w:rsidR="0054027F" w:rsidRPr="000B5A91" w14:paraId="18ACB698" w14:textId="77777777" w:rsidTr="00931EC4">
        <w:tc>
          <w:tcPr>
            <w:tcW w:w="1204" w:type="dxa"/>
            <w:vMerge w:val="restart"/>
          </w:tcPr>
          <w:p w14:paraId="654661F0" w14:textId="77777777" w:rsidR="0054027F" w:rsidRPr="000B5A91" w:rsidRDefault="0054027F" w:rsidP="00E0363A">
            <w:pPr>
              <w:spacing w:line="240" w:lineRule="auto"/>
              <w:rPr>
                <w:rFonts w:eastAsia="Calibri" w:cs="Times New Roman"/>
              </w:rPr>
            </w:pPr>
            <w:r w:rsidRPr="000B5A91">
              <w:rPr>
                <w:rFonts w:eastAsia="Calibri" w:cs="Times New Roman"/>
              </w:rPr>
              <w:t>Location</w:t>
            </w:r>
          </w:p>
        </w:tc>
        <w:tc>
          <w:tcPr>
            <w:tcW w:w="906" w:type="dxa"/>
            <w:vMerge w:val="restart"/>
          </w:tcPr>
          <w:p w14:paraId="58281212" w14:textId="77777777" w:rsidR="0054027F" w:rsidRPr="000B5A91" w:rsidRDefault="0054027F" w:rsidP="00E0363A">
            <w:pPr>
              <w:spacing w:line="240" w:lineRule="auto"/>
              <w:rPr>
                <w:rFonts w:eastAsia="Calibri" w:cs="Times New Roman"/>
              </w:rPr>
            </w:pPr>
            <w:r w:rsidRPr="000B5A91">
              <w:rPr>
                <w:rFonts w:eastAsia="Calibri" w:cs="Times New Roman"/>
              </w:rPr>
              <w:t>No. cases</w:t>
            </w:r>
          </w:p>
        </w:tc>
        <w:tc>
          <w:tcPr>
            <w:tcW w:w="2302" w:type="dxa"/>
            <w:gridSpan w:val="2"/>
          </w:tcPr>
          <w:p w14:paraId="144A2D3C" w14:textId="77777777" w:rsidR="0054027F" w:rsidRPr="000B5A91" w:rsidRDefault="0054027F" w:rsidP="00E0363A">
            <w:pPr>
              <w:spacing w:line="240" w:lineRule="auto"/>
              <w:jc w:val="center"/>
              <w:rPr>
                <w:rFonts w:eastAsia="Calibri" w:cs="Times New Roman"/>
              </w:rPr>
            </w:pPr>
            <w:r w:rsidRPr="000B5A91">
              <w:rPr>
                <w:rFonts w:eastAsia="Calibri" w:cs="Times New Roman"/>
              </w:rPr>
              <w:t>MM</w:t>
            </w:r>
          </w:p>
        </w:tc>
        <w:tc>
          <w:tcPr>
            <w:tcW w:w="2302" w:type="dxa"/>
            <w:gridSpan w:val="2"/>
          </w:tcPr>
          <w:p w14:paraId="7CB61176" w14:textId="77777777" w:rsidR="0054027F" w:rsidRPr="000B5A91" w:rsidRDefault="0054027F" w:rsidP="00E0363A">
            <w:pPr>
              <w:spacing w:line="240" w:lineRule="auto"/>
              <w:jc w:val="center"/>
              <w:rPr>
                <w:rFonts w:eastAsia="Calibri" w:cs="Times New Roman"/>
              </w:rPr>
            </w:pPr>
            <w:r w:rsidRPr="000B5A91">
              <w:rPr>
                <w:rFonts w:eastAsia="Calibri" w:cs="Times New Roman"/>
              </w:rPr>
              <w:t>MV</w:t>
            </w:r>
          </w:p>
        </w:tc>
        <w:tc>
          <w:tcPr>
            <w:tcW w:w="2302" w:type="dxa"/>
            <w:gridSpan w:val="2"/>
          </w:tcPr>
          <w:p w14:paraId="6FC8E4AF" w14:textId="77777777" w:rsidR="0054027F" w:rsidRPr="000B5A91" w:rsidRDefault="0054027F" w:rsidP="00E0363A">
            <w:pPr>
              <w:spacing w:line="240" w:lineRule="auto"/>
              <w:jc w:val="center"/>
              <w:rPr>
                <w:rFonts w:eastAsia="Calibri" w:cs="Times New Roman"/>
              </w:rPr>
            </w:pPr>
            <w:r w:rsidRPr="000B5A91">
              <w:rPr>
                <w:rFonts w:eastAsia="Calibri" w:cs="Times New Roman"/>
              </w:rPr>
              <w:t>VV</w:t>
            </w:r>
          </w:p>
        </w:tc>
      </w:tr>
      <w:tr w:rsidR="0054027F" w:rsidRPr="000B5A91" w14:paraId="4C4DC6D7" w14:textId="77777777" w:rsidTr="00931EC4">
        <w:tc>
          <w:tcPr>
            <w:tcW w:w="1204" w:type="dxa"/>
            <w:vMerge/>
          </w:tcPr>
          <w:p w14:paraId="34E5A8BB" w14:textId="77777777" w:rsidR="0054027F" w:rsidRPr="000B5A91" w:rsidRDefault="0054027F" w:rsidP="00E0363A">
            <w:pPr>
              <w:spacing w:line="240" w:lineRule="auto"/>
              <w:rPr>
                <w:rFonts w:eastAsia="Calibri" w:cs="Times New Roman"/>
              </w:rPr>
            </w:pPr>
          </w:p>
        </w:tc>
        <w:tc>
          <w:tcPr>
            <w:tcW w:w="906" w:type="dxa"/>
            <w:vMerge/>
          </w:tcPr>
          <w:p w14:paraId="6986DAA8" w14:textId="77777777" w:rsidR="0054027F" w:rsidRPr="000B5A91" w:rsidRDefault="0054027F" w:rsidP="00E0363A">
            <w:pPr>
              <w:spacing w:line="240" w:lineRule="auto"/>
              <w:rPr>
                <w:rFonts w:eastAsia="Calibri" w:cs="Times New Roman"/>
              </w:rPr>
            </w:pPr>
          </w:p>
        </w:tc>
        <w:tc>
          <w:tcPr>
            <w:tcW w:w="1145" w:type="dxa"/>
          </w:tcPr>
          <w:p w14:paraId="757F5F3B" w14:textId="77777777" w:rsidR="0054027F" w:rsidRPr="000B5A91" w:rsidRDefault="0054027F" w:rsidP="00E0363A">
            <w:pPr>
              <w:spacing w:line="240" w:lineRule="auto"/>
              <w:rPr>
                <w:rFonts w:eastAsia="Calibri" w:cs="Times New Roman"/>
              </w:rPr>
            </w:pPr>
            <w:r w:rsidRPr="000B5A91">
              <w:rPr>
                <w:rFonts w:eastAsia="Calibri" w:cs="Times New Roman"/>
              </w:rPr>
              <w:t xml:space="preserve">Frequency </w:t>
            </w:r>
          </w:p>
        </w:tc>
        <w:tc>
          <w:tcPr>
            <w:tcW w:w="1157" w:type="dxa"/>
          </w:tcPr>
          <w:p w14:paraId="32755278" w14:textId="77777777" w:rsidR="0054027F" w:rsidRPr="000B5A91" w:rsidRDefault="0054027F" w:rsidP="00E0363A">
            <w:pPr>
              <w:spacing w:line="240" w:lineRule="auto"/>
              <w:rPr>
                <w:rFonts w:eastAsia="Calibri" w:cs="Times New Roman"/>
              </w:rPr>
            </w:pPr>
            <w:r w:rsidRPr="000B5A91">
              <w:rPr>
                <w:rFonts w:eastAsia="Calibri" w:cs="Times New Roman"/>
              </w:rPr>
              <w:t xml:space="preserve">Incubation period </w:t>
            </w:r>
          </w:p>
        </w:tc>
        <w:tc>
          <w:tcPr>
            <w:tcW w:w="1145" w:type="dxa"/>
          </w:tcPr>
          <w:p w14:paraId="59E99F22" w14:textId="77777777" w:rsidR="0054027F" w:rsidRPr="000B5A91" w:rsidRDefault="0054027F" w:rsidP="00E0363A">
            <w:pPr>
              <w:spacing w:line="240" w:lineRule="auto"/>
              <w:rPr>
                <w:rFonts w:eastAsia="Calibri" w:cs="Times New Roman"/>
              </w:rPr>
            </w:pPr>
            <w:r w:rsidRPr="000B5A91">
              <w:rPr>
                <w:rFonts w:eastAsia="Calibri" w:cs="Times New Roman"/>
              </w:rPr>
              <w:t>Frequency</w:t>
            </w:r>
          </w:p>
        </w:tc>
        <w:tc>
          <w:tcPr>
            <w:tcW w:w="1157" w:type="dxa"/>
          </w:tcPr>
          <w:p w14:paraId="728AB783" w14:textId="77777777" w:rsidR="0054027F" w:rsidRPr="000B5A91" w:rsidRDefault="0054027F" w:rsidP="00E0363A">
            <w:pPr>
              <w:spacing w:line="240" w:lineRule="auto"/>
              <w:rPr>
                <w:rFonts w:eastAsia="Calibri" w:cs="Times New Roman"/>
              </w:rPr>
            </w:pPr>
            <w:r w:rsidRPr="000B5A91">
              <w:rPr>
                <w:rFonts w:eastAsia="Calibri" w:cs="Times New Roman"/>
              </w:rPr>
              <w:t>Incubation period</w:t>
            </w:r>
          </w:p>
        </w:tc>
        <w:tc>
          <w:tcPr>
            <w:tcW w:w="1145" w:type="dxa"/>
          </w:tcPr>
          <w:p w14:paraId="4EAF0677" w14:textId="77777777" w:rsidR="0054027F" w:rsidRPr="000B5A91" w:rsidRDefault="0054027F" w:rsidP="00E0363A">
            <w:pPr>
              <w:spacing w:line="240" w:lineRule="auto"/>
              <w:rPr>
                <w:rFonts w:eastAsia="Calibri" w:cs="Times New Roman"/>
              </w:rPr>
            </w:pPr>
            <w:r w:rsidRPr="000B5A91">
              <w:rPr>
                <w:rFonts w:eastAsia="Calibri" w:cs="Times New Roman"/>
              </w:rPr>
              <w:t>Frequency</w:t>
            </w:r>
          </w:p>
        </w:tc>
        <w:tc>
          <w:tcPr>
            <w:tcW w:w="1157" w:type="dxa"/>
          </w:tcPr>
          <w:p w14:paraId="2B97D009" w14:textId="77777777" w:rsidR="0054027F" w:rsidRPr="000B5A91" w:rsidRDefault="0054027F" w:rsidP="00E0363A">
            <w:pPr>
              <w:spacing w:line="240" w:lineRule="auto"/>
              <w:rPr>
                <w:rFonts w:eastAsia="Calibri" w:cs="Times New Roman"/>
              </w:rPr>
            </w:pPr>
            <w:r w:rsidRPr="000B5A91">
              <w:rPr>
                <w:rFonts w:eastAsia="Calibri" w:cs="Times New Roman"/>
              </w:rPr>
              <w:t xml:space="preserve">Incubation period </w:t>
            </w:r>
          </w:p>
        </w:tc>
      </w:tr>
      <w:tr w:rsidR="00584638" w:rsidRPr="000B5A91" w14:paraId="500C461C" w14:textId="77777777" w:rsidTr="00931EC4">
        <w:tc>
          <w:tcPr>
            <w:tcW w:w="1204" w:type="dxa"/>
          </w:tcPr>
          <w:p w14:paraId="5ED1F454" w14:textId="25F0308C" w:rsidR="00584638" w:rsidRPr="000B5A91" w:rsidRDefault="00584638" w:rsidP="0076576E">
            <w:pPr>
              <w:spacing w:line="240" w:lineRule="auto"/>
              <w:rPr>
                <w:rFonts w:eastAsia="Calibri" w:cs="Times New Roman"/>
              </w:rPr>
            </w:pPr>
            <w:r w:rsidRPr="000B5A91">
              <w:rPr>
                <w:rFonts w:eastAsia="Calibri" w:cs="Times New Roman"/>
              </w:rPr>
              <w:t>Not Japan</w:t>
            </w:r>
            <w:r w:rsidR="0054027F">
              <w:rPr>
                <w:rFonts w:eastAsia="Calibri" w:cs="Times New Roman"/>
              </w:rPr>
              <w:t xml:space="preserve"> </w:t>
            </w:r>
            <w:r w:rsidR="0037182C" w:rsidRPr="000B5A91">
              <w:rPr>
                <w:rFonts w:eastAsia="Calibri" w:cs="Times New Roman"/>
              </w:rPr>
              <w:fldChar w:fldCharType="begin">
                <w:fldData xml:space="preserve">PEVuZE5vdGU+PENpdGU+PEF1dGhvcj5Ccm93bjwvQXV0aG9yPjxZZWFyPjIwMTI8L1llYXI+PFJl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PEVuZE5vdGU+PENpdGU+PEF1dGhvcj5Ccm93bjwvQXV0aG9yPjxZZWFyPjIwMTI8L1llYXI+PFJl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0B5A91">
              <w:rPr>
                <w:rFonts w:eastAsia="Calibri" w:cs="Times New Roman"/>
              </w:rPr>
            </w:r>
            <w:r w:rsidR="0037182C" w:rsidRPr="000B5A91">
              <w:rPr>
                <w:rFonts w:eastAsia="Calibri" w:cs="Times New Roman"/>
              </w:rPr>
              <w:fldChar w:fldCharType="separate"/>
            </w:r>
            <w:r w:rsidR="0076576E" w:rsidRPr="0076576E">
              <w:rPr>
                <w:rFonts w:eastAsia="Calibri" w:cs="Times New Roman"/>
                <w:noProof/>
                <w:vertAlign w:val="superscript"/>
              </w:rPr>
              <w:t>3, 132</w:t>
            </w:r>
            <w:r w:rsidR="0037182C" w:rsidRPr="000B5A91">
              <w:rPr>
                <w:rFonts w:eastAsia="Calibri" w:cs="Times New Roman"/>
              </w:rPr>
              <w:fldChar w:fldCharType="end"/>
            </w:r>
          </w:p>
        </w:tc>
        <w:tc>
          <w:tcPr>
            <w:tcW w:w="906" w:type="dxa"/>
          </w:tcPr>
          <w:p w14:paraId="37972CA2" w14:textId="77777777" w:rsidR="00584638" w:rsidRPr="000B5A91" w:rsidRDefault="00584638" w:rsidP="00E0363A">
            <w:pPr>
              <w:spacing w:line="240" w:lineRule="auto"/>
              <w:rPr>
                <w:rFonts w:eastAsia="Calibri" w:cs="Times New Roman"/>
              </w:rPr>
            </w:pPr>
            <w:r w:rsidRPr="000B5A91">
              <w:rPr>
                <w:rFonts w:eastAsia="Calibri" w:cs="Times New Roman"/>
              </w:rPr>
              <w:t>54†</w:t>
            </w:r>
          </w:p>
        </w:tc>
        <w:tc>
          <w:tcPr>
            <w:tcW w:w="1145" w:type="dxa"/>
          </w:tcPr>
          <w:p w14:paraId="3D980ED4" w14:textId="77777777" w:rsidR="00584638" w:rsidRPr="000B5A91" w:rsidRDefault="00584638" w:rsidP="00E0363A">
            <w:pPr>
              <w:spacing w:line="240" w:lineRule="auto"/>
              <w:rPr>
                <w:rFonts w:eastAsia="Calibri" w:cs="Times New Roman"/>
              </w:rPr>
            </w:pPr>
            <w:r w:rsidRPr="000B5A91">
              <w:rPr>
                <w:rFonts w:eastAsia="Calibri" w:cs="Times New Roman"/>
              </w:rPr>
              <w:t>65%</w:t>
            </w:r>
          </w:p>
        </w:tc>
        <w:tc>
          <w:tcPr>
            <w:tcW w:w="1157" w:type="dxa"/>
          </w:tcPr>
          <w:p w14:paraId="0D7DBBE7" w14:textId="77777777" w:rsidR="00584638" w:rsidRPr="000B5A91" w:rsidRDefault="00584638" w:rsidP="00E0363A">
            <w:pPr>
              <w:spacing w:line="240" w:lineRule="auto"/>
              <w:rPr>
                <w:rFonts w:eastAsia="Calibri" w:cs="Times New Roman"/>
              </w:rPr>
            </w:pPr>
            <w:r w:rsidRPr="000B5A91">
              <w:rPr>
                <w:rFonts w:eastAsia="Calibri" w:cs="Times New Roman"/>
              </w:rPr>
              <w:t>12 years</w:t>
            </w:r>
          </w:p>
        </w:tc>
        <w:tc>
          <w:tcPr>
            <w:tcW w:w="1145" w:type="dxa"/>
          </w:tcPr>
          <w:p w14:paraId="2B9E3B13" w14:textId="77777777" w:rsidR="00584638" w:rsidRPr="000B5A91" w:rsidRDefault="00584638" w:rsidP="00E0363A">
            <w:pPr>
              <w:spacing w:line="240" w:lineRule="auto"/>
              <w:rPr>
                <w:rFonts w:eastAsia="Calibri" w:cs="Times New Roman"/>
              </w:rPr>
            </w:pPr>
            <w:r w:rsidRPr="000B5A91">
              <w:rPr>
                <w:rFonts w:eastAsia="Calibri" w:cs="Times New Roman"/>
              </w:rPr>
              <w:t>20%</w:t>
            </w:r>
          </w:p>
        </w:tc>
        <w:tc>
          <w:tcPr>
            <w:tcW w:w="1157" w:type="dxa"/>
          </w:tcPr>
          <w:p w14:paraId="704D1D8B" w14:textId="77777777" w:rsidR="00584638" w:rsidRPr="000B5A91" w:rsidRDefault="00584638" w:rsidP="00E0363A">
            <w:pPr>
              <w:spacing w:line="240" w:lineRule="auto"/>
              <w:rPr>
                <w:rFonts w:eastAsia="Calibri" w:cs="Times New Roman"/>
              </w:rPr>
            </w:pPr>
            <w:r w:rsidRPr="000B5A91">
              <w:rPr>
                <w:rFonts w:eastAsia="Calibri" w:cs="Times New Roman"/>
              </w:rPr>
              <w:t>16 years</w:t>
            </w:r>
          </w:p>
        </w:tc>
        <w:tc>
          <w:tcPr>
            <w:tcW w:w="1145" w:type="dxa"/>
          </w:tcPr>
          <w:p w14:paraId="59734EF0" w14:textId="77777777" w:rsidR="00584638" w:rsidRPr="000B5A91" w:rsidRDefault="00584638" w:rsidP="00E0363A">
            <w:pPr>
              <w:spacing w:line="240" w:lineRule="auto"/>
              <w:rPr>
                <w:rFonts w:eastAsia="Calibri" w:cs="Times New Roman"/>
              </w:rPr>
            </w:pPr>
            <w:r w:rsidRPr="000B5A91">
              <w:rPr>
                <w:rFonts w:eastAsia="Calibri" w:cs="Times New Roman"/>
              </w:rPr>
              <w:t>15%</w:t>
            </w:r>
          </w:p>
        </w:tc>
        <w:tc>
          <w:tcPr>
            <w:tcW w:w="1157" w:type="dxa"/>
          </w:tcPr>
          <w:p w14:paraId="37A82754" w14:textId="77777777" w:rsidR="00584638" w:rsidRPr="000B5A91" w:rsidRDefault="00584638" w:rsidP="00E0363A">
            <w:pPr>
              <w:spacing w:line="240" w:lineRule="auto"/>
              <w:rPr>
                <w:rFonts w:eastAsia="Calibri" w:cs="Times New Roman"/>
              </w:rPr>
            </w:pPr>
            <w:r w:rsidRPr="000B5A91">
              <w:rPr>
                <w:rFonts w:eastAsia="Calibri" w:cs="Times New Roman"/>
              </w:rPr>
              <w:t>12 years</w:t>
            </w:r>
          </w:p>
        </w:tc>
      </w:tr>
      <w:tr w:rsidR="00584638" w:rsidRPr="000B5A91" w14:paraId="11BF494D" w14:textId="77777777" w:rsidTr="00931EC4">
        <w:tc>
          <w:tcPr>
            <w:tcW w:w="1204" w:type="dxa"/>
          </w:tcPr>
          <w:p w14:paraId="01EA888D" w14:textId="4F91DBB6" w:rsidR="00584638" w:rsidRPr="000B5A91" w:rsidRDefault="00584638" w:rsidP="0076576E">
            <w:pPr>
              <w:spacing w:line="240" w:lineRule="auto"/>
              <w:rPr>
                <w:rFonts w:eastAsia="Calibri" w:cs="Times New Roman"/>
              </w:rPr>
            </w:pPr>
            <w:r w:rsidRPr="000B5A91">
              <w:rPr>
                <w:rFonts w:eastAsia="Calibri" w:cs="Times New Roman"/>
              </w:rPr>
              <w:t xml:space="preserve">Japan* </w:t>
            </w:r>
            <w:r w:rsidR="0037182C" w:rsidRPr="000B5A91">
              <w:rPr>
                <w:rFonts w:eastAsia="Calibri" w:cs="Times New Roman"/>
              </w:rPr>
              <w:fldChar w:fldCharType="begin">
                <w:fldData xml:space="preserve">PEVuZE5vdGU+PENpdGU+PEF1dGhvcj5Ccm93bjwvQXV0aG9yPjxZZWFyPjIwMTI8L1llYXI+PFJl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PEVuZE5vdGU+PENpdGU+PEF1dGhvcj5Ccm93bjwvQXV0aG9yPjxZZWFyPjIwMTI8L1llYXI+PFJl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7182C" w:rsidRPr="000B5A91">
              <w:rPr>
                <w:rFonts w:eastAsia="Calibri" w:cs="Times New Roman"/>
              </w:rPr>
            </w:r>
            <w:r w:rsidR="0037182C" w:rsidRPr="000B5A91">
              <w:rPr>
                <w:rFonts w:eastAsia="Calibri" w:cs="Times New Roman"/>
              </w:rPr>
              <w:fldChar w:fldCharType="separate"/>
            </w:r>
            <w:r w:rsidR="0076576E" w:rsidRPr="0076576E">
              <w:rPr>
                <w:rFonts w:eastAsia="Calibri" w:cs="Times New Roman"/>
                <w:noProof/>
                <w:vertAlign w:val="superscript"/>
              </w:rPr>
              <w:t>3, 132</w:t>
            </w:r>
            <w:r w:rsidR="0037182C" w:rsidRPr="000B5A91">
              <w:rPr>
                <w:rFonts w:eastAsia="Calibri" w:cs="Times New Roman"/>
              </w:rPr>
              <w:fldChar w:fldCharType="end"/>
            </w:r>
          </w:p>
        </w:tc>
        <w:tc>
          <w:tcPr>
            <w:tcW w:w="906" w:type="dxa"/>
          </w:tcPr>
          <w:p w14:paraId="1D853DAD" w14:textId="77777777" w:rsidR="00584638" w:rsidRPr="000B5A91" w:rsidRDefault="00584638" w:rsidP="00E0363A">
            <w:pPr>
              <w:spacing w:line="240" w:lineRule="auto"/>
              <w:rPr>
                <w:rFonts w:eastAsia="Calibri" w:cs="Times New Roman"/>
              </w:rPr>
            </w:pPr>
            <w:r w:rsidRPr="000B5A91">
              <w:rPr>
                <w:rFonts w:eastAsia="Calibri" w:cs="Times New Roman"/>
              </w:rPr>
              <w:t>54§</w:t>
            </w:r>
          </w:p>
        </w:tc>
        <w:tc>
          <w:tcPr>
            <w:tcW w:w="1145" w:type="dxa"/>
          </w:tcPr>
          <w:p w14:paraId="1B9BCF06" w14:textId="77777777" w:rsidR="00584638" w:rsidRPr="000B5A91" w:rsidRDefault="00584638" w:rsidP="00E0363A">
            <w:pPr>
              <w:spacing w:line="240" w:lineRule="auto"/>
              <w:rPr>
                <w:rFonts w:eastAsia="Calibri" w:cs="Times New Roman"/>
              </w:rPr>
            </w:pPr>
            <w:r w:rsidRPr="000B5A91">
              <w:rPr>
                <w:rFonts w:eastAsia="Calibri" w:cs="Times New Roman"/>
              </w:rPr>
              <w:t>96%</w:t>
            </w:r>
          </w:p>
        </w:tc>
        <w:tc>
          <w:tcPr>
            <w:tcW w:w="1157" w:type="dxa"/>
          </w:tcPr>
          <w:p w14:paraId="4361D400" w14:textId="77777777" w:rsidR="00584638" w:rsidRPr="000B5A91" w:rsidRDefault="00584638" w:rsidP="00E0363A">
            <w:pPr>
              <w:spacing w:line="240" w:lineRule="auto"/>
              <w:rPr>
                <w:rFonts w:eastAsia="Calibri" w:cs="Times New Roman"/>
              </w:rPr>
            </w:pPr>
            <w:r w:rsidRPr="000B5A91">
              <w:rPr>
                <w:rFonts w:eastAsia="Calibri" w:cs="Times New Roman"/>
              </w:rPr>
              <w:t>16 years</w:t>
            </w:r>
          </w:p>
        </w:tc>
        <w:tc>
          <w:tcPr>
            <w:tcW w:w="1145" w:type="dxa"/>
          </w:tcPr>
          <w:p w14:paraId="1B0ECE08" w14:textId="77777777" w:rsidR="00584638" w:rsidRPr="000B5A91" w:rsidRDefault="00584638" w:rsidP="00E0363A">
            <w:pPr>
              <w:spacing w:line="240" w:lineRule="auto"/>
              <w:rPr>
                <w:rFonts w:eastAsia="Calibri" w:cs="Times New Roman"/>
              </w:rPr>
            </w:pPr>
            <w:r w:rsidRPr="000B5A91">
              <w:rPr>
                <w:rFonts w:eastAsia="Calibri" w:cs="Times New Roman"/>
              </w:rPr>
              <w:t>4%</w:t>
            </w:r>
          </w:p>
        </w:tc>
        <w:tc>
          <w:tcPr>
            <w:tcW w:w="1157" w:type="dxa"/>
          </w:tcPr>
          <w:p w14:paraId="2202CE11" w14:textId="77777777" w:rsidR="00584638" w:rsidRPr="000B5A91" w:rsidRDefault="00584638" w:rsidP="00E0363A">
            <w:pPr>
              <w:spacing w:line="240" w:lineRule="auto"/>
              <w:rPr>
                <w:rFonts w:eastAsia="Calibri" w:cs="Times New Roman"/>
              </w:rPr>
            </w:pPr>
            <w:r w:rsidRPr="000B5A91">
              <w:rPr>
                <w:rFonts w:eastAsia="Calibri" w:cs="Times New Roman"/>
              </w:rPr>
              <w:t>13 years</w:t>
            </w:r>
          </w:p>
        </w:tc>
        <w:tc>
          <w:tcPr>
            <w:tcW w:w="1145" w:type="dxa"/>
          </w:tcPr>
          <w:p w14:paraId="60A82EC0" w14:textId="77777777" w:rsidR="00584638" w:rsidRPr="000B5A91" w:rsidRDefault="00584638" w:rsidP="00E0363A">
            <w:pPr>
              <w:spacing w:line="240" w:lineRule="auto"/>
              <w:rPr>
                <w:rFonts w:eastAsia="Calibri" w:cs="Times New Roman"/>
              </w:rPr>
            </w:pPr>
            <w:r w:rsidRPr="000B5A91">
              <w:rPr>
                <w:rFonts w:eastAsia="Calibri" w:cs="Times New Roman"/>
              </w:rPr>
              <w:t>0%</w:t>
            </w:r>
          </w:p>
        </w:tc>
        <w:tc>
          <w:tcPr>
            <w:tcW w:w="1157" w:type="dxa"/>
          </w:tcPr>
          <w:p w14:paraId="2F166E04" w14:textId="77777777" w:rsidR="00584638" w:rsidRPr="000B5A91" w:rsidRDefault="00584638" w:rsidP="00E0363A">
            <w:pPr>
              <w:spacing w:line="240" w:lineRule="auto"/>
              <w:rPr>
                <w:rFonts w:eastAsia="Calibri" w:cs="Times New Roman"/>
              </w:rPr>
            </w:pPr>
            <w:r w:rsidRPr="000B5A91">
              <w:rPr>
                <w:rFonts w:eastAsia="Calibri" w:cs="Times New Roman"/>
              </w:rPr>
              <w:t>-</w:t>
            </w:r>
          </w:p>
        </w:tc>
      </w:tr>
      <w:tr w:rsidR="0054027F" w:rsidRPr="000B5A91" w14:paraId="7100ACAE" w14:textId="77777777" w:rsidTr="00931EC4">
        <w:trPr>
          <w:trHeight w:val="77"/>
        </w:trPr>
        <w:tc>
          <w:tcPr>
            <w:tcW w:w="9016" w:type="dxa"/>
            <w:gridSpan w:val="8"/>
            <w:shd w:val="clear" w:color="auto" w:fill="595959" w:themeFill="text1" w:themeFillTint="A6"/>
          </w:tcPr>
          <w:p w14:paraId="7FCD554B" w14:textId="77777777" w:rsidR="0054027F" w:rsidRPr="0054027F" w:rsidRDefault="0054027F" w:rsidP="00E0363A">
            <w:pPr>
              <w:spacing w:line="240" w:lineRule="auto"/>
              <w:rPr>
                <w:rFonts w:eastAsia="Calibri" w:cs="Times New Roman"/>
                <w:sz w:val="16"/>
                <w:szCs w:val="16"/>
              </w:rPr>
            </w:pPr>
          </w:p>
        </w:tc>
      </w:tr>
      <w:tr w:rsidR="00584638" w:rsidRPr="000B5A91" w14:paraId="56E478CF" w14:textId="77777777" w:rsidTr="00931EC4">
        <w:tc>
          <w:tcPr>
            <w:tcW w:w="1204" w:type="dxa"/>
          </w:tcPr>
          <w:p w14:paraId="7C84116A" w14:textId="77777777" w:rsidR="00584638" w:rsidRPr="000B5A91" w:rsidRDefault="00584638" w:rsidP="00E0363A">
            <w:pPr>
              <w:spacing w:line="240" w:lineRule="auto"/>
              <w:rPr>
                <w:rFonts w:eastAsia="Calibri" w:cs="Times New Roman"/>
              </w:rPr>
            </w:pPr>
          </w:p>
        </w:tc>
        <w:tc>
          <w:tcPr>
            <w:tcW w:w="906" w:type="dxa"/>
          </w:tcPr>
          <w:p w14:paraId="719D14F4" w14:textId="77777777" w:rsidR="00584638" w:rsidRPr="000B5A91" w:rsidRDefault="00584638" w:rsidP="00E0363A">
            <w:pPr>
              <w:spacing w:line="240" w:lineRule="auto"/>
              <w:rPr>
                <w:rFonts w:eastAsia="Calibri" w:cs="Times New Roman"/>
              </w:rPr>
            </w:pPr>
          </w:p>
        </w:tc>
        <w:tc>
          <w:tcPr>
            <w:tcW w:w="2302" w:type="dxa"/>
            <w:gridSpan w:val="2"/>
          </w:tcPr>
          <w:p w14:paraId="3239C1D0" w14:textId="2BE808D4" w:rsidR="00584638" w:rsidRPr="000B5A91" w:rsidRDefault="00584638" w:rsidP="00E0363A">
            <w:pPr>
              <w:spacing w:line="240" w:lineRule="auto"/>
              <w:rPr>
                <w:rFonts w:eastAsia="Calibri" w:cs="Times New Roman"/>
              </w:rPr>
            </w:pPr>
            <w:r w:rsidRPr="000B5A91">
              <w:rPr>
                <w:rFonts w:eastAsia="Calibri" w:cs="Times New Roman"/>
              </w:rPr>
              <w:t>Homozygous</w:t>
            </w:r>
          </w:p>
        </w:tc>
        <w:tc>
          <w:tcPr>
            <w:tcW w:w="2302" w:type="dxa"/>
            <w:gridSpan w:val="2"/>
          </w:tcPr>
          <w:p w14:paraId="6CCD1510" w14:textId="7FA7879A" w:rsidR="00584638" w:rsidRPr="000B5A91" w:rsidRDefault="00584638" w:rsidP="00E0363A">
            <w:pPr>
              <w:spacing w:line="240" w:lineRule="auto"/>
              <w:rPr>
                <w:rFonts w:eastAsia="Calibri" w:cs="Times New Roman"/>
              </w:rPr>
            </w:pPr>
            <w:r w:rsidRPr="000B5A91">
              <w:rPr>
                <w:rFonts w:eastAsia="Calibri" w:cs="Times New Roman"/>
              </w:rPr>
              <w:t>Homozygotes</w:t>
            </w:r>
          </w:p>
        </w:tc>
        <w:tc>
          <w:tcPr>
            <w:tcW w:w="2302" w:type="dxa"/>
            <w:gridSpan w:val="2"/>
          </w:tcPr>
          <w:p w14:paraId="12ADF21D" w14:textId="590A0FF0" w:rsidR="00584638" w:rsidRPr="000B5A91" w:rsidRDefault="00584638" w:rsidP="00E0363A">
            <w:pPr>
              <w:spacing w:line="240" w:lineRule="auto"/>
              <w:rPr>
                <w:rFonts w:eastAsia="Calibri" w:cs="Times New Roman"/>
              </w:rPr>
            </w:pPr>
            <w:r w:rsidRPr="000B5A91">
              <w:rPr>
                <w:rFonts w:eastAsia="Calibri" w:cs="Times New Roman"/>
              </w:rPr>
              <w:t>Heterozygotes</w:t>
            </w:r>
          </w:p>
        </w:tc>
      </w:tr>
      <w:tr w:rsidR="00584638" w:rsidRPr="000B5A91" w14:paraId="1996E193" w14:textId="77777777" w:rsidTr="00931EC4">
        <w:tc>
          <w:tcPr>
            <w:tcW w:w="1204" w:type="dxa"/>
          </w:tcPr>
          <w:p w14:paraId="29E10D81" w14:textId="77777777" w:rsidR="00584638" w:rsidRPr="000B5A91" w:rsidRDefault="00584638" w:rsidP="00E0363A">
            <w:pPr>
              <w:spacing w:line="240" w:lineRule="auto"/>
              <w:rPr>
                <w:rFonts w:eastAsia="Calibri" w:cs="Times New Roman"/>
              </w:rPr>
            </w:pPr>
          </w:p>
        </w:tc>
        <w:tc>
          <w:tcPr>
            <w:tcW w:w="906" w:type="dxa"/>
          </w:tcPr>
          <w:p w14:paraId="39CFD485" w14:textId="77777777" w:rsidR="00584638" w:rsidRPr="000B5A91" w:rsidRDefault="00584638" w:rsidP="00E0363A">
            <w:pPr>
              <w:spacing w:line="240" w:lineRule="auto"/>
              <w:rPr>
                <w:rFonts w:eastAsia="Calibri" w:cs="Times New Roman"/>
              </w:rPr>
            </w:pPr>
          </w:p>
        </w:tc>
        <w:tc>
          <w:tcPr>
            <w:tcW w:w="2302" w:type="dxa"/>
            <w:gridSpan w:val="2"/>
          </w:tcPr>
          <w:p w14:paraId="7518D72B" w14:textId="721240BA" w:rsidR="00584638" w:rsidRPr="000B5A91" w:rsidRDefault="00584638" w:rsidP="00E0363A">
            <w:pPr>
              <w:spacing w:line="240" w:lineRule="auto"/>
              <w:rPr>
                <w:rFonts w:eastAsia="Calibri" w:cs="Times New Roman"/>
              </w:rPr>
            </w:pPr>
            <w:r w:rsidRPr="000B5A91">
              <w:rPr>
                <w:rFonts w:eastAsia="Calibri" w:cs="Times New Roman"/>
              </w:rPr>
              <w:t>Frequency</w:t>
            </w:r>
          </w:p>
        </w:tc>
        <w:tc>
          <w:tcPr>
            <w:tcW w:w="2302" w:type="dxa"/>
            <w:gridSpan w:val="2"/>
          </w:tcPr>
          <w:p w14:paraId="55037931" w14:textId="414A17E8" w:rsidR="00584638" w:rsidRPr="000B5A91" w:rsidRDefault="00584638" w:rsidP="00E0363A">
            <w:pPr>
              <w:spacing w:line="240" w:lineRule="auto"/>
              <w:rPr>
                <w:rFonts w:eastAsia="Calibri" w:cs="Times New Roman"/>
              </w:rPr>
            </w:pPr>
            <w:r w:rsidRPr="000B5A91">
              <w:rPr>
                <w:rFonts w:eastAsia="Calibri" w:cs="Times New Roman"/>
              </w:rPr>
              <w:t>Incubation period</w:t>
            </w:r>
          </w:p>
        </w:tc>
        <w:tc>
          <w:tcPr>
            <w:tcW w:w="2302" w:type="dxa"/>
            <w:gridSpan w:val="2"/>
          </w:tcPr>
          <w:p w14:paraId="014D2E49" w14:textId="5283EE54" w:rsidR="00584638" w:rsidRPr="000B5A91" w:rsidRDefault="00584638" w:rsidP="00E0363A">
            <w:pPr>
              <w:spacing w:line="240" w:lineRule="auto"/>
              <w:rPr>
                <w:rFonts w:eastAsia="Calibri" w:cs="Times New Roman"/>
              </w:rPr>
            </w:pPr>
            <w:r w:rsidRPr="000B5A91">
              <w:rPr>
                <w:rFonts w:eastAsia="Calibri" w:cs="Times New Roman"/>
              </w:rPr>
              <w:t>Incubation period</w:t>
            </w:r>
          </w:p>
        </w:tc>
      </w:tr>
      <w:tr w:rsidR="00584638" w:rsidRPr="000B5A91" w14:paraId="38395722" w14:textId="77777777" w:rsidTr="00931EC4">
        <w:tc>
          <w:tcPr>
            <w:tcW w:w="1204" w:type="dxa"/>
          </w:tcPr>
          <w:p w14:paraId="34836E97" w14:textId="3C14E1E1" w:rsidR="00584638" w:rsidRPr="000B5A91" w:rsidRDefault="00584638" w:rsidP="00E0363A">
            <w:pPr>
              <w:spacing w:line="240" w:lineRule="auto"/>
              <w:rPr>
                <w:rFonts w:eastAsia="Calibri" w:cs="Times New Roman"/>
              </w:rPr>
            </w:pPr>
            <w:r w:rsidRPr="000B5A91">
              <w:rPr>
                <w:rFonts w:eastAsia="Calibri" w:cs="Times New Roman"/>
              </w:rPr>
              <w:t>Not Japan</w:t>
            </w:r>
          </w:p>
        </w:tc>
        <w:tc>
          <w:tcPr>
            <w:tcW w:w="906" w:type="dxa"/>
          </w:tcPr>
          <w:p w14:paraId="3136580C" w14:textId="77777777" w:rsidR="00584638" w:rsidRPr="000B5A91" w:rsidRDefault="00584638" w:rsidP="00E0363A">
            <w:pPr>
              <w:spacing w:line="240" w:lineRule="auto"/>
              <w:rPr>
                <w:rFonts w:eastAsia="Calibri" w:cs="Times New Roman"/>
              </w:rPr>
            </w:pPr>
          </w:p>
        </w:tc>
        <w:tc>
          <w:tcPr>
            <w:tcW w:w="2302" w:type="dxa"/>
            <w:gridSpan w:val="2"/>
          </w:tcPr>
          <w:p w14:paraId="0CDC8464" w14:textId="2A5AFE8F" w:rsidR="00584638" w:rsidRPr="000B5A91" w:rsidRDefault="00584638" w:rsidP="00E0363A">
            <w:pPr>
              <w:spacing w:line="240" w:lineRule="auto"/>
              <w:rPr>
                <w:rFonts w:eastAsia="Calibri" w:cs="Times New Roman"/>
              </w:rPr>
            </w:pPr>
            <w:r w:rsidRPr="000B5A91">
              <w:rPr>
                <w:rFonts w:eastAsia="Calibri" w:cs="Times New Roman"/>
              </w:rPr>
              <w:t>80%†</w:t>
            </w:r>
          </w:p>
        </w:tc>
        <w:tc>
          <w:tcPr>
            <w:tcW w:w="2302" w:type="dxa"/>
            <w:gridSpan w:val="2"/>
          </w:tcPr>
          <w:p w14:paraId="02CF98C2" w14:textId="7FE478F4" w:rsidR="00584638" w:rsidRPr="000B5A91" w:rsidRDefault="00584638" w:rsidP="00E0363A">
            <w:pPr>
              <w:spacing w:line="240" w:lineRule="auto"/>
              <w:rPr>
                <w:rFonts w:eastAsia="Calibri" w:cs="Times New Roman"/>
              </w:rPr>
            </w:pPr>
            <w:r w:rsidRPr="000B5A91">
              <w:rPr>
                <w:rFonts w:eastAsia="Calibri" w:cs="Times New Roman"/>
              </w:rPr>
              <w:t>12 years</w:t>
            </w:r>
          </w:p>
        </w:tc>
        <w:tc>
          <w:tcPr>
            <w:tcW w:w="2302" w:type="dxa"/>
            <w:gridSpan w:val="2"/>
          </w:tcPr>
          <w:p w14:paraId="7123EA95" w14:textId="7B013401" w:rsidR="00584638" w:rsidRPr="000B5A91" w:rsidRDefault="00584638" w:rsidP="00E0363A">
            <w:pPr>
              <w:spacing w:line="240" w:lineRule="auto"/>
              <w:rPr>
                <w:rFonts w:eastAsia="Calibri" w:cs="Times New Roman"/>
              </w:rPr>
            </w:pPr>
            <w:r w:rsidRPr="000B5A91">
              <w:rPr>
                <w:rFonts w:eastAsia="Calibri" w:cs="Times New Roman"/>
              </w:rPr>
              <w:t>16 years</w:t>
            </w:r>
          </w:p>
        </w:tc>
      </w:tr>
      <w:tr w:rsidR="00584638" w:rsidRPr="000B5A91" w14:paraId="7E1C425B" w14:textId="77777777" w:rsidTr="00931EC4">
        <w:tc>
          <w:tcPr>
            <w:tcW w:w="1204" w:type="dxa"/>
          </w:tcPr>
          <w:p w14:paraId="46717411" w14:textId="082A4571" w:rsidR="00584638" w:rsidRPr="000B5A91" w:rsidRDefault="00584638" w:rsidP="00E0363A">
            <w:pPr>
              <w:spacing w:line="240" w:lineRule="auto"/>
              <w:rPr>
                <w:rFonts w:eastAsia="Calibri" w:cs="Times New Roman"/>
              </w:rPr>
            </w:pPr>
            <w:r w:rsidRPr="000B5A91">
              <w:rPr>
                <w:rFonts w:eastAsia="Calibri" w:cs="Times New Roman"/>
              </w:rPr>
              <w:t xml:space="preserve">Japan* </w:t>
            </w:r>
          </w:p>
        </w:tc>
        <w:tc>
          <w:tcPr>
            <w:tcW w:w="906" w:type="dxa"/>
          </w:tcPr>
          <w:p w14:paraId="097E891F" w14:textId="77777777" w:rsidR="00584638" w:rsidRPr="000B5A91" w:rsidRDefault="00584638" w:rsidP="00E0363A">
            <w:pPr>
              <w:spacing w:line="240" w:lineRule="auto"/>
              <w:rPr>
                <w:rFonts w:eastAsia="Calibri" w:cs="Times New Roman"/>
              </w:rPr>
            </w:pPr>
          </w:p>
        </w:tc>
        <w:tc>
          <w:tcPr>
            <w:tcW w:w="2302" w:type="dxa"/>
            <w:gridSpan w:val="2"/>
          </w:tcPr>
          <w:p w14:paraId="565F0EAD" w14:textId="1D2A9F36" w:rsidR="00584638" w:rsidRPr="000B5A91" w:rsidRDefault="00584638" w:rsidP="00E0363A">
            <w:pPr>
              <w:spacing w:line="240" w:lineRule="auto"/>
              <w:rPr>
                <w:rFonts w:eastAsia="Calibri" w:cs="Times New Roman"/>
              </w:rPr>
            </w:pPr>
            <w:r w:rsidRPr="000B5A91">
              <w:rPr>
                <w:rFonts w:eastAsia="Calibri" w:cs="Times New Roman"/>
              </w:rPr>
              <w:t>96%</w:t>
            </w:r>
          </w:p>
        </w:tc>
        <w:tc>
          <w:tcPr>
            <w:tcW w:w="2302" w:type="dxa"/>
            <w:gridSpan w:val="2"/>
          </w:tcPr>
          <w:p w14:paraId="17C2E754" w14:textId="072AA1BA" w:rsidR="00584638" w:rsidRPr="000B5A91" w:rsidRDefault="00584638" w:rsidP="00E0363A">
            <w:pPr>
              <w:spacing w:line="240" w:lineRule="auto"/>
              <w:rPr>
                <w:rFonts w:eastAsia="Calibri" w:cs="Times New Roman"/>
              </w:rPr>
            </w:pPr>
            <w:r w:rsidRPr="000B5A91">
              <w:rPr>
                <w:rFonts w:eastAsia="Calibri" w:cs="Times New Roman"/>
              </w:rPr>
              <w:t>16 years</w:t>
            </w:r>
          </w:p>
        </w:tc>
        <w:tc>
          <w:tcPr>
            <w:tcW w:w="2302" w:type="dxa"/>
            <w:gridSpan w:val="2"/>
          </w:tcPr>
          <w:p w14:paraId="2B314B3F" w14:textId="098B1E83" w:rsidR="00584638" w:rsidRPr="000B5A91" w:rsidRDefault="00584638" w:rsidP="00E0363A">
            <w:pPr>
              <w:spacing w:line="240" w:lineRule="auto"/>
              <w:rPr>
                <w:rFonts w:eastAsia="Calibri" w:cs="Times New Roman"/>
              </w:rPr>
            </w:pPr>
            <w:r w:rsidRPr="000B5A91">
              <w:rPr>
                <w:rFonts w:eastAsia="Calibri" w:cs="Times New Roman"/>
              </w:rPr>
              <w:t>13 years</w:t>
            </w:r>
          </w:p>
        </w:tc>
      </w:tr>
    </w:tbl>
    <w:p w14:paraId="1680EA22" w14:textId="45595DC3" w:rsidR="00303D5A" w:rsidRPr="00E0363A" w:rsidRDefault="00303D5A" w:rsidP="00E0363A">
      <w:pPr>
        <w:rPr>
          <w:rFonts w:eastAsia="Calibri" w:cs="Times New Roman"/>
          <w:b/>
          <w:sz w:val="16"/>
          <w:szCs w:val="16"/>
        </w:rPr>
      </w:pPr>
      <w:r w:rsidRPr="00E0363A">
        <w:rPr>
          <w:rFonts w:eastAsia="Calibri" w:cs="Times New Roman"/>
          <w:sz w:val="16"/>
          <w:szCs w:val="16"/>
        </w:rPr>
        <w:t xml:space="preserve">*142/228 </w:t>
      </w:r>
      <w:r w:rsidR="00CA619B">
        <w:rPr>
          <w:rFonts w:eastAsia="Calibri" w:cs="Times New Roman"/>
          <w:sz w:val="16"/>
          <w:szCs w:val="16"/>
        </w:rPr>
        <w:t xml:space="preserve">known </w:t>
      </w:r>
      <w:r w:rsidR="00CA619B" w:rsidRPr="00733811">
        <w:rPr>
          <w:rFonts w:eastAsia="Calibri" w:cs="Times New Roman"/>
          <w:sz w:val="16"/>
          <w:szCs w:val="16"/>
        </w:rPr>
        <w:t>worldwide</w:t>
      </w:r>
      <w:r w:rsidR="00733811">
        <w:rPr>
          <w:rFonts w:eastAsia="Calibri" w:cs="Times New Roman"/>
          <w:sz w:val="16"/>
          <w:szCs w:val="16"/>
        </w:rPr>
        <w:t xml:space="preserve"> </w:t>
      </w:r>
      <w:r w:rsidRPr="00E0363A">
        <w:rPr>
          <w:rFonts w:eastAsia="Calibri" w:cs="Times New Roman"/>
          <w:sz w:val="16"/>
          <w:szCs w:val="16"/>
        </w:rPr>
        <w:t xml:space="preserve">cases </w:t>
      </w:r>
      <w:r w:rsidR="00733811">
        <w:rPr>
          <w:rFonts w:eastAsia="Calibri" w:cs="Times New Roman"/>
          <w:sz w:val="16"/>
          <w:szCs w:val="16"/>
        </w:rPr>
        <w:t>are from Japan</w:t>
      </w:r>
      <w:r w:rsidRPr="00E0363A">
        <w:rPr>
          <w:rFonts w:eastAsia="Calibri" w:cs="Times New Roman"/>
          <w:sz w:val="16"/>
          <w:szCs w:val="16"/>
        </w:rPr>
        <w:t xml:space="preserve"> (Brown 2012, Hamaguchi 2013): Note: According to </w:t>
      </w:r>
      <w:r w:rsidR="00733811">
        <w:rPr>
          <w:rFonts w:eastAsia="Calibri" w:cs="Times New Roman"/>
          <w:sz w:val="16"/>
          <w:szCs w:val="16"/>
        </w:rPr>
        <w:t xml:space="preserve">an abstract by </w:t>
      </w:r>
      <w:r w:rsidRPr="00E0363A">
        <w:rPr>
          <w:rFonts w:eastAsia="Calibri" w:cs="Times New Roman"/>
          <w:sz w:val="16"/>
          <w:szCs w:val="16"/>
        </w:rPr>
        <w:t>Ae 2016, 149 cases now reported in Japan, with a mean incubation period of 13 years and a maximum period of 30 years. † Hamaguchi 2013 reports data for a subset of 29 patients with both MM and MV mean incubation periods being 13 years, with 74.3% of a subset of 35 patients being homozygotes. §Hamaguchi (2013) reports the same figures for 58 patients.</w:t>
      </w:r>
    </w:p>
    <w:p w14:paraId="253043F4" w14:textId="77777777" w:rsidR="00334D92" w:rsidRPr="00E0363A" w:rsidRDefault="00334D92" w:rsidP="00E0363A">
      <w:pPr>
        <w:pStyle w:val="Caption"/>
        <w:keepNext/>
        <w:spacing w:line="360" w:lineRule="auto"/>
        <w:rPr>
          <w:sz w:val="16"/>
          <w:szCs w:val="16"/>
        </w:rPr>
        <w:sectPr w:rsidR="00334D92" w:rsidRPr="00E0363A" w:rsidSect="00EF722F">
          <w:headerReference w:type="default" r:id="rId12"/>
          <w:footerReference w:type="default" r:id="rId13"/>
          <w:pgSz w:w="11906" w:h="16838"/>
          <w:pgMar w:top="1440" w:right="1440" w:bottom="1440" w:left="1440" w:header="708" w:footer="708" w:gutter="0"/>
          <w:cols w:space="708"/>
          <w:titlePg/>
          <w:docGrid w:linePitch="360"/>
        </w:sectPr>
      </w:pPr>
      <w:bookmarkStart w:id="56" w:name="_Ref506969333"/>
    </w:p>
    <w:p w14:paraId="48724073" w14:textId="640A1B26" w:rsidR="00584638" w:rsidRDefault="00584638" w:rsidP="00E0363A">
      <w:pPr>
        <w:pStyle w:val="Caption"/>
        <w:keepNext/>
        <w:spacing w:line="360" w:lineRule="auto"/>
      </w:pPr>
      <w:bookmarkStart w:id="57" w:name="_Ref514062287"/>
      <w:bookmarkStart w:id="58" w:name="_Toc525106697"/>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10</w:t>
      </w:r>
      <w:r w:rsidR="00F62DB8">
        <w:rPr>
          <w:noProof/>
        </w:rPr>
        <w:fldChar w:fldCharType="end"/>
      </w:r>
      <w:bookmarkEnd w:id="56"/>
      <w:bookmarkEnd w:id="57"/>
      <w:r w:rsidRPr="006B521E">
        <w:t>:</w:t>
      </w:r>
      <w:r w:rsidR="00E0363A">
        <w:tab/>
      </w:r>
      <w:r w:rsidRPr="006B521E">
        <w:t xml:space="preserve">Mean incubation periods </w:t>
      </w:r>
      <w:r w:rsidR="00733811">
        <w:t xml:space="preserve">reported from included studies </w:t>
      </w:r>
      <w:r w:rsidRPr="006B521E">
        <w:t>by genotype for i</w:t>
      </w:r>
      <w:r>
        <w:t>CJD due to human growth hormone</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1023"/>
        <w:gridCol w:w="1148"/>
        <w:gridCol w:w="1160"/>
        <w:gridCol w:w="1148"/>
        <w:gridCol w:w="1160"/>
        <w:gridCol w:w="1148"/>
        <w:gridCol w:w="1160"/>
        <w:gridCol w:w="1148"/>
        <w:gridCol w:w="1160"/>
        <w:gridCol w:w="1492"/>
        <w:gridCol w:w="1280"/>
      </w:tblGrid>
      <w:tr w:rsidR="0054027F" w:rsidRPr="000B5A91" w14:paraId="32936BD6" w14:textId="77777777" w:rsidTr="00FB66C5">
        <w:trPr>
          <w:tblHeader/>
        </w:trPr>
        <w:tc>
          <w:tcPr>
            <w:tcW w:w="1002" w:type="dxa"/>
            <w:vMerge w:val="restart"/>
          </w:tcPr>
          <w:p w14:paraId="6AA2E6B4" w14:textId="77777777" w:rsidR="0054027F" w:rsidRPr="000B5A91" w:rsidRDefault="0054027F" w:rsidP="00E0363A">
            <w:pPr>
              <w:spacing w:line="240" w:lineRule="auto"/>
              <w:rPr>
                <w:rFonts w:eastAsia="Calibri" w:cs="Times New Roman"/>
              </w:rPr>
            </w:pPr>
            <w:r w:rsidRPr="000B5A91">
              <w:rPr>
                <w:rFonts w:eastAsia="Calibri" w:cs="Times New Roman"/>
              </w:rPr>
              <w:t>Location</w:t>
            </w:r>
          </w:p>
        </w:tc>
        <w:tc>
          <w:tcPr>
            <w:tcW w:w="942" w:type="dxa"/>
            <w:vMerge w:val="restart"/>
          </w:tcPr>
          <w:p w14:paraId="067964C1" w14:textId="259390D8" w:rsidR="0054027F" w:rsidRPr="000B5A91" w:rsidRDefault="00733811" w:rsidP="00733811">
            <w:pPr>
              <w:spacing w:line="240" w:lineRule="auto"/>
              <w:rPr>
                <w:rFonts w:eastAsia="Calibri" w:cs="Times New Roman"/>
              </w:rPr>
            </w:pPr>
            <w:r>
              <w:rPr>
                <w:rFonts w:eastAsia="Calibri" w:cs="Times New Roman"/>
              </w:rPr>
              <w:t>C</w:t>
            </w:r>
            <w:r w:rsidR="0054027F" w:rsidRPr="000B5A91">
              <w:rPr>
                <w:rFonts w:eastAsia="Calibri" w:cs="Times New Roman"/>
              </w:rPr>
              <w:t>ases</w:t>
            </w:r>
            <w:r>
              <w:rPr>
                <w:rFonts w:eastAsia="Calibri" w:cs="Times New Roman"/>
              </w:rPr>
              <w:t xml:space="preserve"> with</w:t>
            </w:r>
            <w:r w:rsidR="0054027F" w:rsidRPr="000B5A91">
              <w:rPr>
                <w:rFonts w:eastAsia="Calibri" w:cs="Times New Roman"/>
              </w:rPr>
              <w:t xml:space="preserve"> </w:t>
            </w:r>
            <w:r>
              <w:rPr>
                <w:rFonts w:eastAsia="Calibri" w:cs="Times New Roman"/>
              </w:rPr>
              <w:t xml:space="preserve">genotype data </w:t>
            </w:r>
            <w:r w:rsidR="0054027F" w:rsidRPr="000B5A91">
              <w:rPr>
                <w:rFonts w:eastAsia="Calibri" w:cs="Times New Roman"/>
              </w:rPr>
              <w:t xml:space="preserve">/ </w:t>
            </w:r>
            <w:r>
              <w:rPr>
                <w:rFonts w:eastAsia="Calibri" w:cs="Times New Roman"/>
              </w:rPr>
              <w:t>T</w:t>
            </w:r>
            <w:r w:rsidR="0054027F" w:rsidRPr="000B5A91">
              <w:rPr>
                <w:rFonts w:eastAsia="Calibri" w:cs="Times New Roman"/>
              </w:rPr>
              <w:t>otal</w:t>
            </w:r>
            <w:r>
              <w:rPr>
                <w:rFonts w:eastAsia="Calibri" w:cs="Times New Roman"/>
              </w:rPr>
              <w:t xml:space="preserve"> known cases</w:t>
            </w:r>
          </w:p>
        </w:tc>
        <w:tc>
          <w:tcPr>
            <w:tcW w:w="2308" w:type="dxa"/>
            <w:gridSpan w:val="2"/>
          </w:tcPr>
          <w:p w14:paraId="7A1B0006" w14:textId="77777777" w:rsidR="0054027F" w:rsidRPr="000B5A91" w:rsidRDefault="0054027F" w:rsidP="00E0363A">
            <w:pPr>
              <w:spacing w:line="240" w:lineRule="auto"/>
              <w:rPr>
                <w:rFonts w:eastAsia="Calibri" w:cs="Times New Roman"/>
              </w:rPr>
            </w:pPr>
            <w:r w:rsidRPr="000B5A91">
              <w:rPr>
                <w:rFonts w:eastAsia="Calibri" w:cs="Times New Roman"/>
              </w:rPr>
              <w:t>MM</w:t>
            </w:r>
          </w:p>
        </w:tc>
        <w:tc>
          <w:tcPr>
            <w:tcW w:w="2308" w:type="dxa"/>
            <w:gridSpan w:val="2"/>
          </w:tcPr>
          <w:p w14:paraId="78DCE40E" w14:textId="77777777" w:rsidR="0054027F" w:rsidRPr="000B5A91" w:rsidRDefault="0054027F" w:rsidP="00E0363A">
            <w:pPr>
              <w:spacing w:line="240" w:lineRule="auto"/>
              <w:rPr>
                <w:rFonts w:eastAsia="Calibri" w:cs="Times New Roman"/>
              </w:rPr>
            </w:pPr>
            <w:r w:rsidRPr="000B5A91">
              <w:rPr>
                <w:rFonts w:eastAsia="Calibri" w:cs="Times New Roman"/>
              </w:rPr>
              <w:t>MV</w:t>
            </w:r>
          </w:p>
        </w:tc>
        <w:tc>
          <w:tcPr>
            <w:tcW w:w="2308" w:type="dxa"/>
            <w:gridSpan w:val="2"/>
          </w:tcPr>
          <w:p w14:paraId="4D25F348" w14:textId="77777777" w:rsidR="0054027F" w:rsidRPr="000B5A91" w:rsidRDefault="0054027F" w:rsidP="00E0363A">
            <w:pPr>
              <w:spacing w:line="240" w:lineRule="auto"/>
              <w:rPr>
                <w:rFonts w:eastAsia="Calibri" w:cs="Times New Roman"/>
              </w:rPr>
            </w:pPr>
            <w:r w:rsidRPr="000B5A91">
              <w:rPr>
                <w:rFonts w:eastAsia="Calibri" w:cs="Times New Roman"/>
              </w:rPr>
              <w:t>VV</w:t>
            </w:r>
          </w:p>
        </w:tc>
        <w:tc>
          <w:tcPr>
            <w:tcW w:w="2308" w:type="dxa"/>
            <w:gridSpan w:val="2"/>
          </w:tcPr>
          <w:p w14:paraId="43F2F749" w14:textId="77777777" w:rsidR="0054027F" w:rsidRPr="000B5A91" w:rsidRDefault="0054027F" w:rsidP="00E0363A">
            <w:pPr>
              <w:spacing w:line="240" w:lineRule="auto"/>
              <w:jc w:val="center"/>
              <w:rPr>
                <w:rFonts w:eastAsia="Calibri" w:cs="Times New Roman"/>
              </w:rPr>
            </w:pPr>
            <w:r w:rsidRPr="000B5A91">
              <w:rPr>
                <w:rFonts w:eastAsia="Calibri" w:cs="Times New Roman"/>
              </w:rPr>
              <w:t>Homozygotes</w:t>
            </w:r>
          </w:p>
        </w:tc>
        <w:tc>
          <w:tcPr>
            <w:tcW w:w="1492" w:type="dxa"/>
          </w:tcPr>
          <w:p w14:paraId="5B057519" w14:textId="77777777" w:rsidR="0054027F" w:rsidRPr="000B5A91" w:rsidRDefault="0054027F" w:rsidP="00E0363A">
            <w:pPr>
              <w:spacing w:line="240" w:lineRule="auto"/>
              <w:rPr>
                <w:rFonts w:eastAsia="Calibri" w:cs="Times New Roman"/>
              </w:rPr>
            </w:pPr>
            <w:r w:rsidRPr="000B5A91">
              <w:rPr>
                <w:rFonts w:eastAsia="Calibri" w:cs="Times New Roman"/>
              </w:rPr>
              <w:t>Heterozygotes</w:t>
            </w:r>
          </w:p>
        </w:tc>
        <w:tc>
          <w:tcPr>
            <w:tcW w:w="1280" w:type="dxa"/>
            <w:vMerge w:val="restart"/>
          </w:tcPr>
          <w:p w14:paraId="7B6A2827" w14:textId="77777777" w:rsidR="0054027F" w:rsidRPr="000B5A91" w:rsidRDefault="0054027F" w:rsidP="00E0363A">
            <w:pPr>
              <w:spacing w:line="240" w:lineRule="auto"/>
              <w:rPr>
                <w:rFonts w:eastAsia="Calibri" w:cs="Times New Roman"/>
              </w:rPr>
            </w:pPr>
            <w:r w:rsidRPr="000B5A91">
              <w:rPr>
                <w:rFonts w:eastAsia="Calibri" w:cs="Times New Roman"/>
              </w:rPr>
              <w:t>Studies</w:t>
            </w:r>
          </w:p>
        </w:tc>
      </w:tr>
      <w:tr w:rsidR="0054027F" w:rsidRPr="000B5A91" w14:paraId="70DDA9CB" w14:textId="77777777" w:rsidTr="00FB66C5">
        <w:tc>
          <w:tcPr>
            <w:tcW w:w="1002" w:type="dxa"/>
            <w:vMerge/>
          </w:tcPr>
          <w:p w14:paraId="5C9CBA65" w14:textId="77777777" w:rsidR="0054027F" w:rsidRPr="000B5A91" w:rsidRDefault="0054027F" w:rsidP="00E0363A">
            <w:pPr>
              <w:spacing w:line="240" w:lineRule="auto"/>
              <w:rPr>
                <w:rFonts w:eastAsia="Calibri" w:cs="Times New Roman"/>
              </w:rPr>
            </w:pPr>
          </w:p>
        </w:tc>
        <w:tc>
          <w:tcPr>
            <w:tcW w:w="942" w:type="dxa"/>
            <w:vMerge/>
          </w:tcPr>
          <w:p w14:paraId="03A7A3BD" w14:textId="77777777" w:rsidR="0054027F" w:rsidRPr="000B5A91" w:rsidRDefault="0054027F" w:rsidP="00E0363A">
            <w:pPr>
              <w:spacing w:line="240" w:lineRule="auto"/>
              <w:rPr>
                <w:rFonts w:eastAsia="Calibri" w:cs="Times New Roman"/>
              </w:rPr>
            </w:pPr>
          </w:p>
        </w:tc>
        <w:tc>
          <w:tcPr>
            <w:tcW w:w="1148" w:type="dxa"/>
          </w:tcPr>
          <w:p w14:paraId="5141447A" w14:textId="77777777" w:rsidR="0054027F" w:rsidRPr="000B5A91" w:rsidRDefault="0054027F" w:rsidP="00E0363A">
            <w:pPr>
              <w:spacing w:line="240" w:lineRule="auto"/>
              <w:rPr>
                <w:rFonts w:eastAsia="Calibri" w:cs="Times New Roman"/>
              </w:rPr>
            </w:pPr>
            <w:r w:rsidRPr="000B5A91">
              <w:rPr>
                <w:rFonts w:eastAsia="Calibri" w:cs="Times New Roman"/>
              </w:rPr>
              <w:t xml:space="preserve">Frequency </w:t>
            </w:r>
          </w:p>
        </w:tc>
        <w:tc>
          <w:tcPr>
            <w:tcW w:w="1160" w:type="dxa"/>
          </w:tcPr>
          <w:p w14:paraId="4FECECB6" w14:textId="77777777" w:rsidR="0054027F" w:rsidRPr="000B5A91" w:rsidRDefault="0054027F" w:rsidP="00E0363A">
            <w:pPr>
              <w:spacing w:line="240" w:lineRule="auto"/>
              <w:rPr>
                <w:rFonts w:eastAsia="Calibri" w:cs="Times New Roman"/>
              </w:rPr>
            </w:pPr>
            <w:r w:rsidRPr="000B5A91">
              <w:rPr>
                <w:rFonts w:eastAsia="Calibri" w:cs="Times New Roman"/>
              </w:rPr>
              <w:t xml:space="preserve">Incubation period </w:t>
            </w:r>
          </w:p>
        </w:tc>
        <w:tc>
          <w:tcPr>
            <w:tcW w:w="1148" w:type="dxa"/>
          </w:tcPr>
          <w:p w14:paraId="4F41EDA4" w14:textId="77777777" w:rsidR="0054027F" w:rsidRPr="000B5A91" w:rsidRDefault="0054027F" w:rsidP="00E0363A">
            <w:pPr>
              <w:spacing w:line="240" w:lineRule="auto"/>
              <w:rPr>
                <w:rFonts w:eastAsia="Calibri" w:cs="Times New Roman"/>
              </w:rPr>
            </w:pPr>
            <w:r w:rsidRPr="000B5A91">
              <w:rPr>
                <w:rFonts w:eastAsia="Calibri" w:cs="Times New Roman"/>
              </w:rPr>
              <w:t>Frequency</w:t>
            </w:r>
          </w:p>
        </w:tc>
        <w:tc>
          <w:tcPr>
            <w:tcW w:w="1160" w:type="dxa"/>
          </w:tcPr>
          <w:p w14:paraId="2F467928" w14:textId="77777777" w:rsidR="0054027F" w:rsidRPr="000B5A91" w:rsidRDefault="0054027F" w:rsidP="00E0363A">
            <w:pPr>
              <w:spacing w:line="240" w:lineRule="auto"/>
              <w:rPr>
                <w:rFonts w:eastAsia="Calibri" w:cs="Times New Roman"/>
              </w:rPr>
            </w:pPr>
            <w:r w:rsidRPr="000B5A91">
              <w:rPr>
                <w:rFonts w:eastAsia="Calibri" w:cs="Times New Roman"/>
              </w:rPr>
              <w:t>Incubation period</w:t>
            </w:r>
          </w:p>
        </w:tc>
        <w:tc>
          <w:tcPr>
            <w:tcW w:w="1148" w:type="dxa"/>
          </w:tcPr>
          <w:p w14:paraId="3DA2BF6F" w14:textId="77777777" w:rsidR="0054027F" w:rsidRPr="000B5A91" w:rsidRDefault="0054027F" w:rsidP="00E0363A">
            <w:pPr>
              <w:spacing w:line="240" w:lineRule="auto"/>
              <w:rPr>
                <w:rFonts w:eastAsia="Calibri" w:cs="Times New Roman"/>
              </w:rPr>
            </w:pPr>
            <w:r w:rsidRPr="000B5A91">
              <w:rPr>
                <w:rFonts w:eastAsia="Calibri" w:cs="Times New Roman"/>
              </w:rPr>
              <w:t>Frequency</w:t>
            </w:r>
          </w:p>
        </w:tc>
        <w:tc>
          <w:tcPr>
            <w:tcW w:w="1160" w:type="dxa"/>
          </w:tcPr>
          <w:p w14:paraId="2796DF3D" w14:textId="77777777" w:rsidR="0054027F" w:rsidRPr="000B5A91" w:rsidRDefault="0054027F" w:rsidP="00E0363A">
            <w:pPr>
              <w:spacing w:line="240" w:lineRule="auto"/>
              <w:rPr>
                <w:rFonts w:eastAsia="Calibri" w:cs="Times New Roman"/>
              </w:rPr>
            </w:pPr>
            <w:r w:rsidRPr="000B5A91">
              <w:rPr>
                <w:rFonts w:eastAsia="Calibri" w:cs="Times New Roman"/>
              </w:rPr>
              <w:t xml:space="preserve">Incubation period </w:t>
            </w:r>
          </w:p>
        </w:tc>
        <w:tc>
          <w:tcPr>
            <w:tcW w:w="1148" w:type="dxa"/>
          </w:tcPr>
          <w:p w14:paraId="61FEFFCC" w14:textId="77777777" w:rsidR="0054027F" w:rsidRPr="000B5A91" w:rsidRDefault="0054027F" w:rsidP="00E0363A">
            <w:pPr>
              <w:spacing w:line="240" w:lineRule="auto"/>
              <w:rPr>
                <w:rFonts w:eastAsia="Calibri" w:cs="Times New Roman"/>
              </w:rPr>
            </w:pPr>
            <w:r w:rsidRPr="000B5A91">
              <w:rPr>
                <w:rFonts w:eastAsia="Calibri" w:cs="Times New Roman"/>
              </w:rPr>
              <w:t>Frequency</w:t>
            </w:r>
          </w:p>
        </w:tc>
        <w:tc>
          <w:tcPr>
            <w:tcW w:w="1160" w:type="dxa"/>
          </w:tcPr>
          <w:p w14:paraId="0EA830BF" w14:textId="77777777" w:rsidR="0054027F" w:rsidRPr="000B5A91" w:rsidRDefault="0054027F" w:rsidP="00E0363A">
            <w:pPr>
              <w:spacing w:line="240" w:lineRule="auto"/>
              <w:rPr>
                <w:rFonts w:eastAsia="Calibri" w:cs="Times New Roman"/>
              </w:rPr>
            </w:pPr>
            <w:r w:rsidRPr="000B5A91">
              <w:rPr>
                <w:rFonts w:eastAsia="Calibri" w:cs="Times New Roman"/>
              </w:rPr>
              <w:t>Incubation period</w:t>
            </w:r>
          </w:p>
        </w:tc>
        <w:tc>
          <w:tcPr>
            <w:tcW w:w="1492" w:type="dxa"/>
          </w:tcPr>
          <w:p w14:paraId="6562B79F" w14:textId="77777777" w:rsidR="0054027F" w:rsidRPr="000B5A91" w:rsidRDefault="0054027F" w:rsidP="00E0363A">
            <w:pPr>
              <w:spacing w:line="240" w:lineRule="auto"/>
              <w:rPr>
                <w:rFonts w:eastAsia="Calibri" w:cs="Times New Roman"/>
              </w:rPr>
            </w:pPr>
            <w:r w:rsidRPr="000B5A91">
              <w:rPr>
                <w:rFonts w:eastAsia="Calibri" w:cs="Times New Roman"/>
              </w:rPr>
              <w:t>Incubation period</w:t>
            </w:r>
          </w:p>
        </w:tc>
        <w:tc>
          <w:tcPr>
            <w:tcW w:w="1280" w:type="dxa"/>
            <w:vMerge/>
          </w:tcPr>
          <w:p w14:paraId="172B3D5C" w14:textId="77777777" w:rsidR="0054027F" w:rsidRPr="000B5A91" w:rsidRDefault="0054027F" w:rsidP="00E0363A">
            <w:pPr>
              <w:spacing w:line="240" w:lineRule="auto"/>
              <w:rPr>
                <w:rFonts w:eastAsia="Calibri" w:cs="Times New Roman"/>
              </w:rPr>
            </w:pPr>
          </w:p>
        </w:tc>
      </w:tr>
      <w:tr w:rsidR="00303D5A" w:rsidRPr="000B5A91" w14:paraId="7CF7D741" w14:textId="77777777" w:rsidTr="00FB66C5">
        <w:tc>
          <w:tcPr>
            <w:tcW w:w="1002" w:type="dxa"/>
          </w:tcPr>
          <w:p w14:paraId="02C7B381" w14:textId="77777777" w:rsidR="00303D5A" w:rsidRPr="000B5A91" w:rsidRDefault="00303D5A" w:rsidP="00E0363A">
            <w:pPr>
              <w:spacing w:line="240" w:lineRule="auto"/>
              <w:rPr>
                <w:rFonts w:eastAsia="Calibri" w:cs="Times New Roman"/>
              </w:rPr>
            </w:pPr>
            <w:r w:rsidRPr="000B5A91">
              <w:rPr>
                <w:rFonts w:eastAsia="Calibri" w:cs="Times New Roman"/>
              </w:rPr>
              <w:t>UK</w:t>
            </w:r>
          </w:p>
        </w:tc>
        <w:tc>
          <w:tcPr>
            <w:tcW w:w="942" w:type="dxa"/>
          </w:tcPr>
          <w:p w14:paraId="423E1EED" w14:textId="77777777" w:rsidR="00303D5A" w:rsidRPr="000B5A91" w:rsidRDefault="00303D5A" w:rsidP="00E0363A">
            <w:pPr>
              <w:spacing w:line="240" w:lineRule="auto"/>
              <w:rPr>
                <w:rFonts w:eastAsia="Calibri" w:cs="Times New Roman"/>
              </w:rPr>
            </w:pPr>
            <w:r w:rsidRPr="000B5A91">
              <w:rPr>
                <w:rFonts w:eastAsia="Calibri" w:cs="Times New Roman"/>
              </w:rPr>
              <w:t>21/78 (1990-2012§)</w:t>
            </w:r>
          </w:p>
        </w:tc>
        <w:tc>
          <w:tcPr>
            <w:tcW w:w="1148" w:type="dxa"/>
          </w:tcPr>
          <w:p w14:paraId="64353361" w14:textId="77777777" w:rsidR="00303D5A" w:rsidRPr="000B5A91" w:rsidRDefault="00303D5A" w:rsidP="00E0363A">
            <w:pPr>
              <w:spacing w:line="240" w:lineRule="auto"/>
              <w:rPr>
                <w:rFonts w:eastAsia="Calibri" w:cs="Times New Roman"/>
              </w:rPr>
            </w:pPr>
            <w:r w:rsidRPr="000B5A91">
              <w:rPr>
                <w:rFonts w:eastAsia="Calibri" w:cs="Times New Roman"/>
              </w:rPr>
              <w:t>10%</w:t>
            </w:r>
          </w:p>
          <w:p w14:paraId="6800F371" w14:textId="77777777" w:rsidR="00303D5A" w:rsidRPr="000B5A91" w:rsidRDefault="00303D5A" w:rsidP="00E0363A">
            <w:pPr>
              <w:spacing w:line="240" w:lineRule="auto"/>
              <w:rPr>
                <w:rFonts w:eastAsia="Calibri" w:cs="Times New Roman"/>
              </w:rPr>
            </w:pPr>
            <w:r w:rsidRPr="000B5A91">
              <w:rPr>
                <w:rFonts w:eastAsia="Calibri" w:cs="Times New Roman"/>
              </w:rPr>
              <w:t>(n=2)</w:t>
            </w:r>
          </w:p>
        </w:tc>
        <w:tc>
          <w:tcPr>
            <w:tcW w:w="1160" w:type="dxa"/>
          </w:tcPr>
          <w:p w14:paraId="078822C7" w14:textId="77777777" w:rsidR="00303D5A" w:rsidRPr="000B5A91" w:rsidRDefault="00303D5A" w:rsidP="00E0363A">
            <w:pPr>
              <w:spacing w:line="240" w:lineRule="auto"/>
              <w:rPr>
                <w:rFonts w:eastAsia="Calibri" w:cs="Times New Roman"/>
              </w:rPr>
            </w:pPr>
            <w:r w:rsidRPr="000B5A91">
              <w:rPr>
                <w:rFonts w:eastAsia="Calibri" w:cs="Times New Roman"/>
              </w:rPr>
              <w:t>30 years</w:t>
            </w:r>
          </w:p>
        </w:tc>
        <w:tc>
          <w:tcPr>
            <w:tcW w:w="1148" w:type="dxa"/>
          </w:tcPr>
          <w:p w14:paraId="0CAACEEA" w14:textId="77777777" w:rsidR="00303D5A" w:rsidRPr="000B5A91" w:rsidRDefault="00303D5A" w:rsidP="00E0363A">
            <w:pPr>
              <w:spacing w:line="240" w:lineRule="auto"/>
              <w:rPr>
                <w:rFonts w:eastAsia="Calibri" w:cs="Times New Roman"/>
              </w:rPr>
            </w:pPr>
            <w:r w:rsidRPr="000B5A91">
              <w:rPr>
                <w:rFonts w:eastAsia="Calibri" w:cs="Times New Roman"/>
              </w:rPr>
              <w:t>57%</w:t>
            </w:r>
          </w:p>
          <w:p w14:paraId="0FD09757" w14:textId="77777777" w:rsidR="00303D5A" w:rsidRPr="000B5A91" w:rsidRDefault="00303D5A" w:rsidP="00E0363A">
            <w:pPr>
              <w:spacing w:line="240" w:lineRule="auto"/>
              <w:rPr>
                <w:rFonts w:eastAsia="Calibri" w:cs="Times New Roman"/>
              </w:rPr>
            </w:pPr>
            <w:r w:rsidRPr="000B5A91">
              <w:rPr>
                <w:rFonts w:eastAsia="Calibri" w:cs="Times New Roman"/>
              </w:rPr>
              <w:t>(n=12)</w:t>
            </w:r>
          </w:p>
        </w:tc>
        <w:tc>
          <w:tcPr>
            <w:tcW w:w="1160" w:type="dxa"/>
          </w:tcPr>
          <w:p w14:paraId="504A9E26" w14:textId="77777777" w:rsidR="00303D5A" w:rsidRPr="000B5A91" w:rsidRDefault="00303D5A" w:rsidP="00E0363A">
            <w:pPr>
              <w:spacing w:line="240" w:lineRule="auto"/>
              <w:rPr>
                <w:rFonts w:eastAsia="Calibri" w:cs="Times New Roman"/>
              </w:rPr>
            </w:pPr>
            <w:r w:rsidRPr="000B5A91">
              <w:rPr>
                <w:rFonts w:eastAsia="Calibri" w:cs="Times New Roman"/>
              </w:rPr>
              <w:t>18.5 years</w:t>
            </w:r>
          </w:p>
        </w:tc>
        <w:tc>
          <w:tcPr>
            <w:tcW w:w="1148" w:type="dxa"/>
          </w:tcPr>
          <w:p w14:paraId="59A204D3" w14:textId="77777777" w:rsidR="00303D5A" w:rsidRPr="000B5A91" w:rsidRDefault="00303D5A" w:rsidP="00E0363A">
            <w:pPr>
              <w:spacing w:line="240" w:lineRule="auto"/>
              <w:rPr>
                <w:rFonts w:eastAsia="Calibri" w:cs="Times New Roman"/>
              </w:rPr>
            </w:pPr>
            <w:r w:rsidRPr="000B5A91">
              <w:rPr>
                <w:rFonts w:eastAsia="Calibri" w:cs="Times New Roman"/>
              </w:rPr>
              <w:t>33%</w:t>
            </w:r>
          </w:p>
          <w:p w14:paraId="379FF782" w14:textId="77777777" w:rsidR="00303D5A" w:rsidRPr="000B5A91" w:rsidRDefault="00303D5A" w:rsidP="00E0363A">
            <w:pPr>
              <w:spacing w:line="240" w:lineRule="auto"/>
              <w:rPr>
                <w:rFonts w:eastAsia="Calibri" w:cs="Times New Roman"/>
              </w:rPr>
            </w:pPr>
            <w:r w:rsidRPr="000B5A91">
              <w:rPr>
                <w:rFonts w:eastAsia="Calibri" w:cs="Times New Roman"/>
              </w:rPr>
              <w:t>(n=7)</w:t>
            </w:r>
          </w:p>
        </w:tc>
        <w:tc>
          <w:tcPr>
            <w:tcW w:w="1160" w:type="dxa"/>
          </w:tcPr>
          <w:p w14:paraId="0EE6FC70" w14:textId="77777777" w:rsidR="00303D5A" w:rsidRPr="000B5A91" w:rsidRDefault="00303D5A" w:rsidP="00E0363A">
            <w:pPr>
              <w:spacing w:line="240" w:lineRule="auto"/>
              <w:rPr>
                <w:rFonts w:eastAsia="Calibri" w:cs="Times New Roman"/>
              </w:rPr>
            </w:pPr>
            <w:r w:rsidRPr="000B5A91">
              <w:rPr>
                <w:rFonts w:eastAsia="Calibri" w:cs="Times New Roman"/>
              </w:rPr>
              <w:t>15.7 years</w:t>
            </w:r>
          </w:p>
        </w:tc>
        <w:tc>
          <w:tcPr>
            <w:tcW w:w="1148" w:type="dxa"/>
          </w:tcPr>
          <w:p w14:paraId="4E6F0FBB" w14:textId="77777777" w:rsidR="00303D5A" w:rsidRPr="000B5A91" w:rsidRDefault="00303D5A" w:rsidP="00E0363A">
            <w:pPr>
              <w:spacing w:line="240" w:lineRule="auto"/>
              <w:rPr>
                <w:rFonts w:eastAsia="Calibri" w:cs="Times New Roman"/>
              </w:rPr>
            </w:pPr>
            <w:r w:rsidRPr="000B5A91">
              <w:rPr>
                <w:rFonts w:eastAsia="Calibri" w:cs="Times New Roman"/>
              </w:rPr>
              <w:t>43%</w:t>
            </w:r>
          </w:p>
        </w:tc>
        <w:tc>
          <w:tcPr>
            <w:tcW w:w="1160" w:type="dxa"/>
          </w:tcPr>
          <w:p w14:paraId="15BB57DF" w14:textId="77777777" w:rsidR="00303D5A" w:rsidRPr="000B5A91" w:rsidRDefault="00303D5A" w:rsidP="00E0363A">
            <w:pPr>
              <w:spacing w:line="240" w:lineRule="auto"/>
              <w:rPr>
                <w:rFonts w:eastAsia="Calibri" w:cs="Times New Roman"/>
              </w:rPr>
            </w:pPr>
            <w:r w:rsidRPr="000B5A91">
              <w:rPr>
                <w:rFonts w:eastAsia="Calibri" w:cs="Times New Roman"/>
              </w:rPr>
              <w:t>19 years</w:t>
            </w:r>
          </w:p>
        </w:tc>
        <w:tc>
          <w:tcPr>
            <w:tcW w:w="1492" w:type="dxa"/>
          </w:tcPr>
          <w:p w14:paraId="4F26BECF" w14:textId="77777777" w:rsidR="00303D5A" w:rsidRPr="000B5A91" w:rsidRDefault="00303D5A" w:rsidP="00E0363A">
            <w:pPr>
              <w:spacing w:line="240" w:lineRule="auto"/>
              <w:rPr>
                <w:rFonts w:eastAsia="Calibri" w:cs="Times New Roman"/>
              </w:rPr>
            </w:pPr>
            <w:r w:rsidRPr="000B5A91">
              <w:rPr>
                <w:rFonts w:eastAsia="Calibri" w:cs="Times New Roman"/>
              </w:rPr>
              <w:t>19 years</w:t>
            </w:r>
          </w:p>
        </w:tc>
        <w:tc>
          <w:tcPr>
            <w:tcW w:w="1280" w:type="dxa"/>
          </w:tcPr>
          <w:p w14:paraId="1C72D8E7" w14:textId="7FA945FF" w:rsidR="00303D5A" w:rsidRPr="000B5A91" w:rsidRDefault="00303D5A" w:rsidP="0076576E">
            <w:pPr>
              <w:spacing w:line="240" w:lineRule="auto"/>
              <w:rPr>
                <w:rFonts w:eastAsia="Calibri" w:cs="Times New Roman"/>
              </w:rPr>
            </w:pPr>
            <w:r w:rsidRPr="000B5A91">
              <w:rPr>
                <w:rFonts w:eastAsia="Calibri" w:cs="Times New Roman"/>
              </w:rPr>
              <w:t>Ritchie 2017**</w:t>
            </w:r>
            <w:r w:rsidR="00F2096B" w:rsidRPr="000B5A91">
              <w:rPr>
                <w:rFonts w:eastAsia="Calibri" w:cs="Times New Roman"/>
              </w:rPr>
              <w:fldChar w:fldCharType="begin"/>
            </w:r>
            <w:r w:rsidR="0076576E">
              <w:rPr>
                <w:rFonts w:eastAsia="Calibri" w:cs="Times New Roman"/>
              </w:rPr>
              <w:instrText xml:space="preserve"> ADDIN EN.CITE &lt;EndNote&gt;&lt;Cite&gt;&lt;Author&gt;Ritchie&lt;/Author&gt;&lt;Year&gt;2017&lt;/Year&gt;&lt;RecNum&gt;10258&lt;/RecNum&gt;&lt;DisplayText&gt;&lt;style face="superscript"&gt;136&lt;/style&gt;&lt;/DisplayText&gt;&lt;record&gt;&lt;rec-number&gt;10258&lt;/rec-number&gt;&lt;foreign-keys&gt;&lt;key app="EN" db-id="vrp0pptazv05wtesfz5vrzsj2p0rv09ttsa9" timestamp="1520851588" guid="f7449048-5417-4c42-b564-70ee88fa921e"&gt;10258&lt;/key&gt;&lt;/foreign-keys&gt;&lt;ref-type name="Journal Article"&gt;17&lt;/ref-type&gt;&lt;contributors&gt;&lt;authors&gt;&lt;author&gt;Ritchie, Diane L&lt;/author&gt;&lt;author&gt;Barria, Marcelo A&lt;/author&gt;&lt;author&gt;Peden, Alexander H&lt;/author&gt;&lt;author&gt;Yull, Helen M&lt;/author&gt;&lt;author&gt;Kirkpatrick, James&lt;/author&gt;&lt;author&gt;Adlard, Peter&lt;/author&gt;&lt;author&gt;Ironside, James W&lt;/author&gt;&lt;author&gt;Head, Mark W&lt;/author&gt;&lt;/authors&gt;&lt;/contributors&gt;&lt;titles&gt;&lt;title&gt;UK Iatrogenic Creutzfeldt–Jakob disease: investigating human prion transmission across genotypic barriers using human tissue-based and molecular approaches&lt;/title&gt;&lt;secondary-title&gt;Acta neuropathologica&lt;/secondary-title&gt;&lt;/titles&gt;&lt;periodical&gt;&lt;full-title&gt;Acta Neuropathologica&lt;/full-title&gt;&lt;/periodical&gt;&lt;pages&gt;579-595&lt;/pages&gt;&lt;volume&gt;133&lt;/volume&gt;&lt;number&gt;4&lt;/number&gt;&lt;keywords&gt;&lt;keyword&gt;$$CC_3_TSE incubation&lt;/keyword&gt;&lt;keyword&gt;$$Lesley google&lt;/keyword&gt;&lt;keyword&gt;$$CJD relevant&lt;/keyword&gt;&lt;keyword&gt;$$1_prevalence CJD&lt;/keyword&gt;&lt;/keywords&gt;&lt;dates&gt;&lt;year&gt;2017&lt;/year&gt;&lt;/dates&gt;&lt;isbn&gt;0001-6322&lt;/isbn&gt;&lt;urls&gt;&lt;/urls&gt;&lt;/record&gt;&lt;/Cite&gt;&lt;/EndNote&gt;</w:instrText>
            </w:r>
            <w:r w:rsidR="00F2096B" w:rsidRPr="000B5A91">
              <w:rPr>
                <w:rFonts w:eastAsia="Calibri" w:cs="Times New Roman"/>
              </w:rPr>
              <w:fldChar w:fldCharType="separate"/>
            </w:r>
            <w:r w:rsidR="0076576E" w:rsidRPr="0076576E">
              <w:rPr>
                <w:rFonts w:eastAsia="Calibri" w:cs="Times New Roman"/>
                <w:noProof/>
                <w:vertAlign w:val="superscript"/>
              </w:rPr>
              <w:t>136</w:t>
            </w:r>
            <w:r w:rsidR="00F2096B" w:rsidRPr="000B5A91">
              <w:rPr>
                <w:rFonts w:eastAsia="Calibri" w:cs="Times New Roman"/>
              </w:rPr>
              <w:fldChar w:fldCharType="end"/>
            </w:r>
          </w:p>
        </w:tc>
      </w:tr>
      <w:tr w:rsidR="00303D5A" w:rsidRPr="000B5A91" w14:paraId="5C905BF9" w14:textId="77777777" w:rsidTr="00FB66C5">
        <w:tc>
          <w:tcPr>
            <w:tcW w:w="1002" w:type="dxa"/>
          </w:tcPr>
          <w:p w14:paraId="4B09C170" w14:textId="77777777" w:rsidR="00303D5A" w:rsidRPr="000B5A91" w:rsidRDefault="00303D5A" w:rsidP="00E0363A">
            <w:pPr>
              <w:spacing w:line="240" w:lineRule="auto"/>
              <w:rPr>
                <w:rFonts w:eastAsia="Calibri" w:cs="Times New Roman"/>
              </w:rPr>
            </w:pPr>
          </w:p>
        </w:tc>
        <w:tc>
          <w:tcPr>
            <w:tcW w:w="942" w:type="dxa"/>
          </w:tcPr>
          <w:p w14:paraId="504EC406" w14:textId="77777777" w:rsidR="00303D5A" w:rsidRPr="000B5A91" w:rsidRDefault="00303D5A" w:rsidP="00E0363A">
            <w:pPr>
              <w:spacing w:line="240" w:lineRule="auto"/>
              <w:rPr>
                <w:rFonts w:eastAsia="Calibri" w:cs="Times New Roman"/>
              </w:rPr>
            </w:pPr>
            <w:r w:rsidRPr="000B5A91">
              <w:rPr>
                <w:rFonts w:eastAsia="Calibri" w:cs="Times New Roman"/>
              </w:rPr>
              <w:t>37</w:t>
            </w:r>
          </w:p>
        </w:tc>
        <w:tc>
          <w:tcPr>
            <w:tcW w:w="1148" w:type="dxa"/>
          </w:tcPr>
          <w:p w14:paraId="78C2E7F4" w14:textId="77777777" w:rsidR="00303D5A" w:rsidRPr="000B5A91" w:rsidRDefault="00303D5A" w:rsidP="00E0363A">
            <w:pPr>
              <w:spacing w:line="240" w:lineRule="auto"/>
              <w:rPr>
                <w:rFonts w:eastAsia="Calibri" w:cs="Times New Roman"/>
              </w:rPr>
            </w:pPr>
            <w:r w:rsidRPr="000B5A91">
              <w:rPr>
                <w:rFonts w:eastAsia="Calibri" w:cs="Times New Roman"/>
              </w:rPr>
              <w:t>10%</w:t>
            </w:r>
          </w:p>
        </w:tc>
        <w:tc>
          <w:tcPr>
            <w:tcW w:w="1160" w:type="dxa"/>
          </w:tcPr>
          <w:p w14:paraId="68496A4F" w14:textId="77777777" w:rsidR="00303D5A" w:rsidRPr="000B5A91" w:rsidRDefault="00303D5A" w:rsidP="00E0363A">
            <w:pPr>
              <w:spacing w:line="240" w:lineRule="auto"/>
              <w:rPr>
                <w:rFonts w:eastAsia="Calibri" w:cs="Times New Roman"/>
              </w:rPr>
            </w:pPr>
          </w:p>
        </w:tc>
        <w:tc>
          <w:tcPr>
            <w:tcW w:w="1148" w:type="dxa"/>
          </w:tcPr>
          <w:p w14:paraId="63803D7A" w14:textId="77777777" w:rsidR="00303D5A" w:rsidRPr="000B5A91" w:rsidRDefault="00303D5A" w:rsidP="00E0363A">
            <w:pPr>
              <w:spacing w:line="240" w:lineRule="auto"/>
              <w:rPr>
                <w:rFonts w:eastAsia="Calibri" w:cs="Times New Roman"/>
              </w:rPr>
            </w:pPr>
            <w:r w:rsidRPr="000B5A91">
              <w:rPr>
                <w:rFonts w:eastAsia="Calibri" w:cs="Times New Roman"/>
              </w:rPr>
              <w:t>68%</w:t>
            </w:r>
          </w:p>
        </w:tc>
        <w:tc>
          <w:tcPr>
            <w:tcW w:w="1160" w:type="dxa"/>
          </w:tcPr>
          <w:p w14:paraId="49C356EC" w14:textId="77777777" w:rsidR="00303D5A" w:rsidRPr="000B5A91" w:rsidRDefault="00303D5A" w:rsidP="00E0363A">
            <w:pPr>
              <w:spacing w:line="240" w:lineRule="auto"/>
              <w:rPr>
                <w:rFonts w:eastAsia="Calibri" w:cs="Times New Roman"/>
              </w:rPr>
            </w:pPr>
          </w:p>
        </w:tc>
        <w:tc>
          <w:tcPr>
            <w:tcW w:w="1148" w:type="dxa"/>
          </w:tcPr>
          <w:p w14:paraId="65EA8143" w14:textId="77777777" w:rsidR="00303D5A" w:rsidRPr="000B5A91" w:rsidRDefault="00303D5A" w:rsidP="00E0363A">
            <w:pPr>
              <w:spacing w:line="240" w:lineRule="auto"/>
              <w:rPr>
                <w:rFonts w:eastAsia="Calibri" w:cs="Times New Roman"/>
              </w:rPr>
            </w:pPr>
            <w:r w:rsidRPr="000B5A91">
              <w:rPr>
                <w:rFonts w:eastAsia="Calibri" w:cs="Times New Roman"/>
              </w:rPr>
              <w:t>22%</w:t>
            </w:r>
          </w:p>
        </w:tc>
        <w:tc>
          <w:tcPr>
            <w:tcW w:w="1160" w:type="dxa"/>
          </w:tcPr>
          <w:p w14:paraId="706DC5E6" w14:textId="77777777" w:rsidR="00303D5A" w:rsidRPr="000B5A91" w:rsidRDefault="00303D5A" w:rsidP="00E0363A">
            <w:pPr>
              <w:spacing w:line="240" w:lineRule="auto"/>
              <w:rPr>
                <w:rFonts w:eastAsia="Calibri" w:cs="Times New Roman"/>
              </w:rPr>
            </w:pPr>
          </w:p>
        </w:tc>
        <w:tc>
          <w:tcPr>
            <w:tcW w:w="1148" w:type="dxa"/>
          </w:tcPr>
          <w:p w14:paraId="3E4DEB3C" w14:textId="77777777" w:rsidR="00303D5A" w:rsidRPr="000B5A91" w:rsidRDefault="00303D5A" w:rsidP="00E0363A">
            <w:pPr>
              <w:spacing w:line="240" w:lineRule="auto"/>
              <w:rPr>
                <w:rFonts w:eastAsia="Calibri" w:cs="Times New Roman"/>
              </w:rPr>
            </w:pPr>
            <w:r w:rsidRPr="000B5A91">
              <w:rPr>
                <w:rFonts w:eastAsia="Calibri" w:cs="Times New Roman"/>
              </w:rPr>
              <w:t>32%</w:t>
            </w:r>
          </w:p>
        </w:tc>
        <w:tc>
          <w:tcPr>
            <w:tcW w:w="1160" w:type="dxa"/>
          </w:tcPr>
          <w:p w14:paraId="4E463F2D" w14:textId="77777777" w:rsidR="00303D5A" w:rsidRPr="000B5A91" w:rsidRDefault="00303D5A" w:rsidP="00E0363A">
            <w:pPr>
              <w:spacing w:line="240" w:lineRule="auto"/>
              <w:rPr>
                <w:rFonts w:eastAsia="Calibri" w:cs="Times New Roman"/>
              </w:rPr>
            </w:pPr>
          </w:p>
        </w:tc>
        <w:tc>
          <w:tcPr>
            <w:tcW w:w="1492" w:type="dxa"/>
          </w:tcPr>
          <w:p w14:paraId="77F28E24" w14:textId="77777777" w:rsidR="00303D5A" w:rsidRPr="000B5A91" w:rsidRDefault="00303D5A" w:rsidP="00E0363A">
            <w:pPr>
              <w:spacing w:line="240" w:lineRule="auto"/>
              <w:rPr>
                <w:rFonts w:eastAsia="Calibri" w:cs="Times New Roman"/>
              </w:rPr>
            </w:pPr>
          </w:p>
        </w:tc>
        <w:tc>
          <w:tcPr>
            <w:tcW w:w="1280" w:type="dxa"/>
          </w:tcPr>
          <w:p w14:paraId="2F43F164" w14:textId="0F905524" w:rsidR="00303D5A" w:rsidRPr="000B5A91" w:rsidRDefault="000859CB" w:rsidP="0076576E">
            <w:pPr>
              <w:spacing w:line="240" w:lineRule="auto"/>
              <w:rPr>
                <w:rFonts w:eastAsia="Calibri" w:cs="Times New Roman"/>
              </w:rPr>
            </w:pPr>
            <w:r w:rsidRPr="000B5A91">
              <w:rPr>
                <w:rFonts w:eastAsia="Calibri" w:cs="Times New Roman"/>
              </w:rPr>
              <w:t>Ritchie (2017)</w:t>
            </w:r>
            <w:r w:rsidR="00FC6175" w:rsidRPr="000B5A91">
              <w:rPr>
                <w:rFonts w:eastAsia="Calibri" w:cs="Times New Roman"/>
              </w:rPr>
              <w:fldChar w:fldCharType="begin"/>
            </w:r>
            <w:r w:rsidR="0076576E">
              <w:rPr>
                <w:rFonts w:eastAsia="Calibri" w:cs="Times New Roman"/>
              </w:rPr>
              <w:instrText xml:space="preserve"> ADDIN EN.CITE &lt;EndNote&gt;&lt;Cite&gt;&lt;Author&gt;Ritchie&lt;/Author&gt;&lt;Year&gt;2017&lt;/Year&gt;&lt;RecNum&gt;10258&lt;/RecNum&gt;&lt;DisplayText&gt;&lt;style face="superscript"&gt;136&lt;/style&gt;&lt;/DisplayText&gt;&lt;record&gt;&lt;rec-number&gt;10258&lt;/rec-number&gt;&lt;foreign-keys&gt;&lt;key app="EN" db-id="vrp0pptazv05wtesfz5vrzsj2p0rv09ttsa9" timestamp="1520851588" guid="f7449048-5417-4c42-b564-70ee88fa921e"&gt;10258&lt;/key&gt;&lt;/foreign-keys&gt;&lt;ref-type name="Journal Article"&gt;17&lt;/ref-type&gt;&lt;contributors&gt;&lt;authors&gt;&lt;author&gt;Ritchie, Diane L&lt;/author&gt;&lt;author&gt;Barria, Marcelo A&lt;/author&gt;&lt;author&gt;Peden, Alexander H&lt;/author&gt;&lt;author&gt;Yull, Helen M&lt;/author&gt;&lt;author&gt;Kirkpatrick, James&lt;/author&gt;&lt;author&gt;Adlard, Peter&lt;/author&gt;&lt;author&gt;Ironside, James W&lt;/author&gt;&lt;author&gt;Head, Mark W&lt;/author&gt;&lt;/authors&gt;&lt;/contributors&gt;&lt;titles&gt;&lt;title&gt;UK Iatrogenic Creutzfeldt–Jakob disease: investigating human prion transmission across genotypic barriers using human tissue-based and molecular approaches&lt;/title&gt;&lt;secondary-title&gt;Acta neuropathologica&lt;/secondary-title&gt;&lt;/titles&gt;&lt;periodical&gt;&lt;full-title&gt;Acta Neuropathologica&lt;/full-title&gt;&lt;/periodical&gt;&lt;pages&gt;579-595&lt;/pages&gt;&lt;volume&gt;133&lt;/volume&gt;&lt;number&gt;4&lt;/number&gt;&lt;keywords&gt;&lt;keyword&gt;$$CC_3_TSE incubation&lt;/keyword&gt;&lt;keyword&gt;$$Lesley google&lt;/keyword&gt;&lt;keyword&gt;$$CJD relevant&lt;/keyword&gt;&lt;keyword&gt;$$1_prevalence CJD&lt;/keyword&gt;&lt;/keywords&gt;&lt;dates&gt;&lt;year&gt;2017&lt;/year&gt;&lt;/dates&gt;&lt;isbn&gt;0001-6322&lt;/isbn&gt;&lt;urls&gt;&lt;/urls&gt;&lt;/record&gt;&lt;/Cite&gt;&lt;/EndNote&gt;</w:instrText>
            </w:r>
            <w:r w:rsidR="00FC6175" w:rsidRPr="000B5A91">
              <w:rPr>
                <w:rFonts w:eastAsia="Calibri" w:cs="Times New Roman"/>
              </w:rPr>
              <w:fldChar w:fldCharType="separate"/>
            </w:r>
            <w:r w:rsidR="0076576E" w:rsidRPr="0076576E">
              <w:rPr>
                <w:rFonts w:eastAsia="Calibri" w:cs="Times New Roman"/>
                <w:noProof/>
                <w:vertAlign w:val="superscript"/>
              </w:rPr>
              <w:t>136</w:t>
            </w:r>
            <w:r w:rsidR="00FC6175" w:rsidRPr="000B5A91">
              <w:rPr>
                <w:rFonts w:eastAsia="Calibri" w:cs="Times New Roman"/>
              </w:rPr>
              <w:fldChar w:fldCharType="end"/>
            </w:r>
          </w:p>
        </w:tc>
      </w:tr>
      <w:tr w:rsidR="00303D5A" w:rsidRPr="000B5A91" w14:paraId="0CADEAEC" w14:textId="77777777" w:rsidTr="00FB66C5">
        <w:tc>
          <w:tcPr>
            <w:tcW w:w="1002" w:type="dxa"/>
            <w:vMerge w:val="restart"/>
          </w:tcPr>
          <w:p w14:paraId="292546B6" w14:textId="0D38462C" w:rsidR="00303D5A" w:rsidRPr="000B5A91" w:rsidRDefault="00303D5A" w:rsidP="00E0363A">
            <w:pPr>
              <w:spacing w:line="240" w:lineRule="auto"/>
              <w:rPr>
                <w:rFonts w:eastAsia="Calibri" w:cs="Times New Roman"/>
              </w:rPr>
            </w:pPr>
          </w:p>
        </w:tc>
        <w:tc>
          <w:tcPr>
            <w:tcW w:w="942" w:type="dxa"/>
          </w:tcPr>
          <w:p w14:paraId="16167323" w14:textId="77777777" w:rsidR="00303D5A" w:rsidRPr="000B5A91" w:rsidRDefault="00303D5A" w:rsidP="00E0363A">
            <w:pPr>
              <w:spacing w:line="240" w:lineRule="auto"/>
              <w:rPr>
                <w:rFonts w:eastAsia="Calibri" w:cs="Times New Roman"/>
              </w:rPr>
            </w:pPr>
            <w:r w:rsidRPr="000B5A91">
              <w:rPr>
                <w:rFonts w:eastAsia="Calibri" w:cs="Times New Roman"/>
              </w:rPr>
              <w:t>56/65</w:t>
            </w:r>
          </w:p>
          <w:p w14:paraId="764BAFF9" w14:textId="77777777" w:rsidR="00303D5A" w:rsidRPr="000B5A91" w:rsidRDefault="00303D5A" w:rsidP="00E0363A">
            <w:pPr>
              <w:spacing w:line="240" w:lineRule="auto"/>
              <w:rPr>
                <w:rFonts w:eastAsia="Calibri" w:cs="Times New Roman"/>
              </w:rPr>
            </w:pPr>
          </w:p>
          <w:p w14:paraId="50AACE61" w14:textId="77777777" w:rsidR="00303D5A" w:rsidRPr="000B5A91" w:rsidRDefault="00303D5A" w:rsidP="00E0363A">
            <w:pPr>
              <w:spacing w:line="240" w:lineRule="auto"/>
              <w:rPr>
                <w:rFonts w:eastAsia="Calibri" w:cs="Times New Roman"/>
              </w:rPr>
            </w:pPr>
          </w:p>
        </w:tc>
        <w:tc>
          <w:tcPr>
            <w:tcW w:w="1148" w:type="dxa"/>
          </w:tcPr>
          <w:p w14:paraId="43BC40DF" w14:textId="77777777" w:rsidR="00303D5A" w:rsidRPr="000B5A91" w:rsidRDefault="00303D5A" w:rsidP="00E0363A">
            <w:pPr>
              <w:spacing w:line="240" w:lineRule="auto"/>
              <w:rPr>
                <w:rFonts w:eastAsia="Calibri" w:cs="Times New Roman"/>
              </w:rPr>
            </w:pPr>
            <w:r w:rsidRPr="000B5A91">
              <w:rPr>
                <w:rFonts w:eastAsia="Calibri" w:cs="Times New Roman"/>
              </w:rPr>
              <w:t>14%</w:t>
            </w:r>
          </w:p>
          <w:p w14:paraId="2811787D" w14:textId="77777777" w:rsidR="00303D5A" w:rsidRPr="000B5A91" w:rsidRDefault="00303D5A" w:rsidP="00E0363A">
            <w:pPr>
              <w:spacing w:line="240" w:lineRule="auto"/>
              <w:rPr>
                <w:rFonts w:eastAsia="Calibri" w:cs="Times New Roman"/>
              </w:rPr>
            </w:pPr>
            <w:r w:rsidRPr="000B5A91">
              <w:rPr>
                <w:rFonts w:eastAsia="Calibri" w:cs="Times New Roman"/>
              </w:rPr>
              <w:t>(n=8)</w:t>
            </w:r>
          </w:p>
        </w:tc>
        <w:tc>
          <w:tcPr>
            <w:tcW w:w="1160" w:type="dxa"/>
          </w:tcPr>
          <w:p w14:paraId="41482635" w14:textId="77777777" w:rsidR="00303D5A" w:rsidRPr="000B5A91" w:rsidRDefault="00303D5A" w:rsidP="00E0363A">
            <w:pPr>
              <w:spacing w:line="240" w:lineRule="auto"/>
              <w:rPr>
                <w:rFonts w:eastAsia="Calibri" w:cs="Times New Roman"/>
              </w:rPr>
            </w:pPr>
            <w:r w:rsidRPr="000B5A91">
              <w:rPr>
                <w:rFonts w:eastAsia="Calibri" w:cs="Times New Roman"/>
              </w:rPr>
              <w:t>30.8 years</w:t>
            </w:r>
          </w:p>
        </w:tc>
        <w:tc>
          <w:tcPr>
            <w:tcW w:w="1148" w:type="dxa"/>
          </w:tcPr>
          <w:p w14:paraId="07EE8E15" w14:textId="77777777" w:rsidR="00303D5A" w:rsidRPr="000B5A91" w:rsidRDefault="00303D5A" w:rsidP="00E0363A">
            <w:pPr>
              <w:spacing w:line="240" w:lineRule="auto"/>
              <w:rPr>
                <w:rFonts w:eastAsia="Calibri" w:cs="Times New Roman"/>
              </w:rPr>
            </w:pPr>
            <w:r w:rsidRPr="000B5A91">
              <w:rPr>
                <w:rFonts w:eastAsia="Calibri" w:cs="Times New Roman"/>
              </w:rPr>
              <w:t>59%</w:t>
            </w:r>
          </w:p>
          <w:p w14:paraId="65CD7266" w14:textId="77777777" w:rsidR="00303D5A" w:rsidRPr="000B5A91" w:rsidRDefault="00303D5A" w:rsidP="00E0363A">
            <w:pPr>
              <w:spacing w:line="240" w:lineRule="auto"/>
              <w:rPr>
                <w:rFonts w:eastAsia="Calibri" w:cs="Times New Roman"/>
              </w:rPr>
            </w:pPr>
            <w:r w:rsidRPr="000B5A91">
              <w:rPr>
                <w:rFonts w:eastAsia="Calibri" w:cs="Times New Roman"/>
              </w:rPr>
              <w:t>(n=33)</w:t>
            </w:r>
          </w:p>
        </w:tc>
        <w:tc>
          <w:tcPr>
            <w:tcW w:w="1160" w:type="dxa"/>
          </w:tcPr>
          <w:p w14:paraId="15AAAACB" w14:textId="77777777" w:rsidR="00303D5A" w:rsidRPr="000B5A91" w:rsidRDefault="00303D5A" w:rsidP="00E0363A">
            <w:pPr>
              <w:spacing w:line="240" w:lineRule="auto"/>
              <w:rPr>
                <w:rFonts w:eastAsia="Calibri" w:cs="Times New Roman"/>
              </w:rPr>
            </w:pPr>
            <w:r w:rsidRPr="000B5A91">
              <w:rPr>
                <w:rFonts w:eastAsia="Calibri" w:cs="Times New Roman"/>
              </w:rPr>
              <w:t>23.4 years</w:t>
            </w:r>
          </w:p>
        </w:tc>
        <w:tc>
          <w:tcPr>
            <w:tcW w:w="1148" w:type="dxa"/>
          </w:tcPr>
          <w:p w14:paraId="4F66EB43" w14:textId="77777777" w:rsidR="00303D5A" w:rsidRPr="000B5A91" w:rsidRDefault="00303D5A" w:rsidP="00E0363A">
            <w:pPr>
              <w:spacing w:line="240" w:lineRule="auto"/>
              <w:rPr>
                <w:rFonts w:eastAsia="Calibri" w:cs="Times New Roman"/>
              </w:rPr>
            </w:pPr>
            <w:r w:rsidRPr="000B5A91">
              <w:rPr>
                <w:rFonts w:eastAsia="Calibri" w:cs="Times New Roman"/>
              </w:rPr>
              <w:t>27%</w:t>
            </w:r>
          </w:p>
          <w:p w14:paraId="3A5C480D" w14:textId="77777777" w:rsidR="00303D5A" w:rsidRPr="000B5A91" w:rsidRDefault="00303D5A" w:rsidP="00E0363A">
            <w:pPr>
              <w:spacing w:line="240" w:lineRule="auto"/>
              <w:rPr>
                <w:rFonts w:eastAsia="Calibri" w:cs="Times New Roman"/>
              </w:rPr>
            </w:pPr>
            <w:r w:rsidRPr="000B5A91">
              <w:rPr>
                <w:rFonts w:eastAsia="Calibri" w:cs="Times New Roman"/>
              </w:rPr>
              <w:t>(n=15)</w:t>
            </w:r>
          </w:p>
        </w:tc>
        <w:tc>
          <w:tcPr>
            <w:tcW w:w="1160" w:type="dxa"/>
          </w:tcPr>
          <w:p w14:paraId="0144E4FB" w14:textId="77777777" w:rsidR="00303D5A" w:rsidRPr="000B5A91" w:rsidRDefault="00303D5A" w:rsidP="00E0363A">
            <w:pPr>
              <w:spacing w:line="240" w:lineRule="auto"/>
              <w:rPr>
                <w:rFonts w:eastAsia="Calibri" w:cs="Times New Roman"/>
              </w:rPr>
            </w:pPr>
            <w:r w:rsidRPr="000B5A91">
              <w:rPr>
                <w:rFonts w:eastAsia="Calibri" w:cs="Times New Roman"/>
              </w:rPr>
              <w:t>14.3 years</w:t>
            </w:r>
          </w:p>
        </w:tc>
        <w:tc>
          <w:tcPr>
            <w:tcW w:w="1148" w:type="dxa"/>
          </w:tcPr>
          <w:p w14:paraId="4B1124E2" w14:textId="77777777" w:rsidR="00303D5A" w:rsidRPr="000B5A91" w:rsidRDefault="00303D5A" w:rsidP="00E0363A">
            <w:pPr>
              <w:spacing w:line="240" w:lineRule="auto"/>
              <w:rPr>
                <w:rFonts w:eastAsia="Calibri" w:cs="Times New Roman"/>
              </w:rPr>
            </w:pPr>
            <w:r w:rsidRPr="000B5A91">
              <w:rPr>
                <w:rFonts w:eastAsia="Calibri" w:cs="Times New Roman"/>
              </w:rPr>
              <w:t>41%</w:t>
            </w:r>
          </w:p>
        </w:tc>
        <w:tc>
          <w:tcPr>
            <w:tcW w:w="1160" w:type="dxa"/>
          </w:tcPr>
          <w:p w14:paraId="6BC0D8AD" w14:textId="77777777" w:rsidR="00303D5A" w:rsidRPr="000B5A91" w:rsidRDefault="00303D5A" w:rsidP="00E0363A">
            <w:pPr>
              <w:spacing w:line="240" w:lineRule="auto"/>
              <w:rPr>
                <w:rFonts w:eastAsia="Calibri" w:cs="Times New Roman"/>
              </w:rPr>
            </w:pPr>
          </w:p>
        </w:tc>
        <w:tc>
          <w:tcPr>
            <w:tcW w:w="1492" w:type="dxa"/>
          </w:tcPr>
          <w:p w14:paraId="604563B3" w14:textId="77777777" w:rsidR="00303D5A" w:rsidRPr="000B5A91" w:rsidRDefault="00303D5A" w:rsidP="00E0363A">
            <w:pPr>
              <w:spacing w:line="240" w:lineRule="auto"/>
              <w:rPr>
                <w:rFonts w:eastAsia="Calibri" w:cs="Times New Roman"/>
              </w:rPr>
            </w:pPr>
            <w:r w:rsidRPr="000B5A91">
              <w:rPr>
                <w:rFonts w:eastAsia="Calibri" w:cs="Times New Roman"/>
              </w:rPr>
              <w:t>23 years</w:t>
            </w:r>
          </w:p>
        </w:tc>
        <w:tc>
          <w:tcPr>
            <w:tcW w:w="1280" w:type="dxa"/>
          </w:tcPr>
          <w:p w14:paraId="610EB7CC" w14:textId="297EC9C2" w:rsidR="00303D5A" w:rsidRPr="000B5A91" w:rsidRDefault="00910682" w:rsidP="0076576E">
            <w:pPr>
              <w:spacing w:line="240" w:lineRule="auto"/>
              <w:rPr>
                <w:rFonts w:eastAsia="Calibri" w:cs="Times New Roman"/>
              </w:rPr>
            </w:pPr>
            <w:r w:rsidRPr="000B5A91">
              <w:rPr>
                <w:rFonts w:eastAsia="Calibri" w:cs="Times New Roman"/>
                <w:lang w:val="en"/>
              </w:rPr>
              <w:t>Rudge (2015)</w:t>
            </w:r>
            <w:r w:rsidR="00FC6175" w:rsidRPr="000B5A91">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FC6175" w:rsidRPr="000B5A91">
              <w:rPr>
                <w:rFonts w:eastAsia="Calibri" w:cs="Times New Roman"/>
                <w:lang w:val="en"/>
              </w:rPr>
            </w:r>
            <w:r w:rsidR="00FC6175" w:rsidRPr="000B5A91">
              <w:rPr>
                <w:rFonts w:eastAsia="Calibri" w:cs="Times New Roman"/>
                <w:lang w:val="en"/>
              </w:rPr>
              <w:fldChar w:fldCharType="separate"/>
            </w:r>
            <w:r w:rsidR="0076576E" w:rsidRPr="0076576E">
              <w:rPr>
                <w:rFonts w:eastAsia="Calibri" w:cs="Times New Roman"/>
                <w:noProof/>
                <w:vertAlign w:val="superscript"/>
                <w:lang w:val="en"/>
              </w:rPr>
              <w:t>64</w:t>
            </w:r>
            <w:r w:rsidR="00FC6175" w:rsidRPr="000B5A91">
              <w:rPr>
                <w:rFonts w:eastAsia="Calibri" w:cs="Times New Roman"/>
                <w:lang w:val="en"/>
              </w:rPr>
              <w:fldChar w:fldCharType="end"/>
            </w:r>
          </w:p>
        </w:tc>
      </w:tr>
      <w:tr w:rsidR="00303D5A" w:rsidRPr="000B5A91" w14:paraId="48D255D8" w14:textId="77777777" w:rsidTr="00FB66C5">
        <w:tc>
          <w:tcPr>
            <w:tcW w:w="1002" w:type="dxa"/>
            <w:vMerge/>
          </w:tcPr>
          <w:p w14:paraId="071A2319" w14:textId="77777777" w:rsidR="00303D5A" w:rsidRPr="000B5A91" w:rsidRDefault="00303D5A" w:rsidP="00E0363A">
            <w:pPr>
              <w:spacing w:line="240" w:lineRule="auto"/>
              <w:rPr>
                <w:rFonts w:eastAsia="Calibri" w:cs="Times New Roman"/>
              </w:rPr>
            </w:pPr>
          </w:p>
        </w:tc>
        <w:tc>
          <w:tcPr>
            <w:tcW w:w="942" w:type="dxa"/>
          </w:tcPr>
          <w:p w14:paraId="10C134E0" w14:textId="77777777" w:rsidR="00303D5A" w:rsidRPr="000B5A91" w:rsidRDefault="00303D5A" w:rsidP="00E0363A">
            <w:pPr>
              <w:spacing w:line="240" w:lineRule="auto"/>
              <w:rPr>
                <w:rFonts w:eastAsia="Calibri" w:cs="Times New Roman"/>
              </w:rPr>
            </w:pPr>
            <w:r w:rsidRPr="000B5A91">
              <w:rPr>
                <w:rFonts w:eastAsia="Calibri" w:cs="Times New Roman"/>
              </w:rPr>
              <w:t>22 (2000-2014)</w:t>
            </w:r>
          </w:p>
        </w:tc>
        <w:tc>
          <w:tcPr>
            <w:tcW w:w="1148" w:type="dxa"/>
          </w:tcPr>
          <w:p w14:paraId="5F163117" w14:textId="77777777" w:rsidR="00303D5A" w:rsidRPr="000B5A91" w:rsidRDefault="00303D5A" w:rsidP="00E0363A">
            <w:pPr>
              <w:spacing w:line="240" w:lineRule="auto"/>
              <w:rPr>
                <w:rFonts w:eastAsia="Calibri" w:cs="Times New Roman"/>
              </w:rPr>
            </w:pPr>
            <w:r w:rsidRPr="000B5A91">
              <w:rPr>
                <w:rFonts w:eastAsia="Calibri" w:cs="Times New Roman"/>
              </w:rPr>
              <w:t xml:space="preserve">18% </w:t>
            </w:r>
          </w:p>
          <w:p w14:paraId="716636A3" w14:textId="77777777" w:rsidR="00303D5A" w:rsidRPr="000B5A91" w:rsidRDefault="00303D5A" w:rsidP="00E0363A">
            <w:pPr>
              <w:spacing w:line="240" w:lineRule="auto"/>
              <w:rPr>
                <w:rFonts w:eastAsia="Calibri" w:cs="Times New Roman"/>
              </w:rPr>
            </w:pPr>
            <w:r w:rsidRPr="000B5A91">
              <w:rPr>
                <w:rFonts w:eastAsia="Calibri" w:cs="Times New Roman"/>
              </w:rPr>
              <w:t>(n=4)</w:t>
            </w:r>
          </w:p>
        </w:tc>
        <w:tc>
          <w:tcPr>
            <w:tcW w:w="1160" w:type="dxa"/>
          </w:tcPr>
          <w:p w14:paraId="794B1202" w14:textId="77777777" w:rsidR="00303D5A" w:rsidRPr="000B5A91" w:rsidRDefault="00303D5A" w:rsidP="00E0363A">
            <w:pPr>
              <w:spacing w:line="240" w:lineRule="auto"/>
              <w:rPr>
                <w:rFonts w:eastAsia="Calibri" w:cs="Times New Roman"/>
              </w:rPr>
            </w:pPr>
            <w:r w:rsidRPr="000B5A91">
              <w:rPr>
                <w:rFonts w:eastAsia="Calibri" w:cs="Times New Roman"/>
              </w:rPr>
              <w:t>31.8 years</w:t>
            </w:r>
          </w:p>
        </w:tc>
        <w:tc>
          <w:tcPr>
            <w:tcW w:w="1148" w:type="dxa"/>
          </w:tcPr>
          <w:p w14:paraId="4FFECE3D" w14:textId="77777777" w:rsidR="00303D5A" w:rsidRPr="000B5A91" w:rsidRDefault="00303D5A" w:rsidP="00E0363A">
            <w:pPr>
              <w:spacing w:line="240" w:lineRule="auto"/>
              <w:rPr>
                <w:rFonts w:eastAsia="Calibri" w:cs="Times New Roman"/>
              </w:rPr>
            </w:pPr>
            <w:r w:rsidRPr="000B5A91">
              <w:rPr>
                <w:rFonts w:eastAsia="Calibri" w:cs="Times New Roman"/>
              </w:rPr>
              <w:t>77% (n=17)</w:t>
            </w:r>
          </w:p>
        </w:tc>
        <w:tc>
          <w:tcPr>
            <w:tcW w:w="1160" w:type="dxa"/>
          </w:tcPr>
          <w:p w14:paraId="7D3AC935" w14:textId="77777777" w:rsidR="00303D5A" w:rsidRPr="000B5A91" w:rsidRDefault="00303D5A" w:rsidP="00E0363A">
            <w:pPr>
              <w:spacing w:line="240" w:lineRule="auto"/>
              <w:rPr>
                <w:rFonts w:eastAsia="Calibri" w:cs="Times New Roman"/>
              </w:rPr>
            </w:pPr>
            <w:r w:rsidRPr="000B5A91">
              <w:rPr>
                <w:rFonts w:eastAsia="Calibri" w:cs="Times New Roman"/>
              </w:rPr>
              <w:t>28.6 years</w:t>
            </w:r>
          </w:p>
        </w:tc>
        <w:tc>
          <w:tcPr>
            <w:tcW w:w="1148" w:type="dxa"/>
          </w:tcPr>
          <w:p w14:paraId="5345E84B" w14:textId="77777777" w:rsidR="00303D5A" w:rsidRPr="000B5A91" w:rsidRDefault="00303D5A" w:rsidP="00E0363A">
            <w:pPr>
              <w:spacing w:line="240" w:lineRule="auto"/>
              <w:rPr>
                <w:rFonts w:eastAsia="Calibri" w:cs="Times New Roman"/>
              </w:rPr>
            </w:pPr>
            <w:r w:rsidRPr="000B5A91">
              <w:rPr>
                <w:rFonts w:eastAsia="Calibri" w:cs="Times New Roman"/>
              </w:rPr>
              <w:t xml:space="preserve">5% </w:t>
            </w:r>
          </w:p>
          <w:p w14:paraId="3BED70C5" w14:textId="77777777" w:rsidR="00303D5A" w:rsidRPr="000B5A91" w:rsidRDefault="00303D5A" w:rsidP="00E0363A">
            <w:pPr>
              <w:spacing w:line="240" w:lineRule="auto"/>
              <w:rPr>
                <w:rFonts w:eastAsia="Calibri" w:cs="Times New Roman"/>
              </w:rPr>
            </w:pPr>
            <w:r w:rsidRPr="000B5A91">
              <w:rPr>
                <w:rFonts w:eastAsia="Calibri" w:cs="Times New Roman"/>
              </w:rPr>
              <w:t>(n=1)</w:t>
            </w:r>
          </w:p>
        </w:tc>
        <w:tc>
          <w:tcPr>
            <w:tcW w:w="1160" w:type="dxa"/>
          </w:tcPr>
          <w:p w14:paraId="1F0C0225" w14:textId="77777777" w:rsidR="00303D5A" w:rsidRPr="000B5A91" w:rsidRDefault="00303D5A" w:rsidP="00E0363A">
            <w:pPr>
              <w:spacing w:line="240" w:lineRule="auto"/>
              <w:rPr>
                <w:rFonts w:eastAsia="Calibri" w:cs="Times New Roman"/>
              </w:rPr>
            </w:pPr>
            <w:r w:rsidRPr="000B5A91">
              <w:rPr>
                <w:rFonts w:eastAsia="Calibri" w:cs="Times New Roman"/>
              </w:rPr>
              <w:t>20.6 years</w:t>
            </w:r>
          </w:p>
        </w:tc>
        <w:tc>
          <w:tcPr>
            <w:tcW w:w="1148" w:type="dxa"/>
          </w:tcPr>
          <w:p w14:paraId="2ABB1158" w14:textId="77777777" w:rsidR="00303D5A" w:rsidRPr="000B5A91" w:rsidRDefault="00303D5A" w:rsidP="00E0363A">
            <w:pPr>
              <w:spacing w:line="240" w:lineRule="auto"/>
              <w:rPr>
                <w:rFonts w:eastAsia="Calibri" w:cs="Times New Roman"/>
              </w:rPr>
            </w:pPr>
            <w:r w:rsidRPr="000B5A91">
              <w:rPr>
                <w:rFonts w:eastAsia="Calibri" w:cs="Times New Roman"/>
              </w:rPr>
              <w:t>23%</w:t>
            </w:r>
          </w:p>
        </w:tc>
        <w:tc>
          <w:tcPr>
            <w:tcW w:w="1160" w:type="dxa"/>
          </w:tcPr>
          <w:p w14:paraId="659536E1" w14:textId="77777777" w:rsidR="00303D5A" w:rsidRPr="000B5A91" w:rsidRDefault="00303D5A" w:rsidP="00E0363A">
            <w:pPr>
              <w:spacing w:line="240" w:lineRule="auto"/>
              <w:rPr>
                <w:rFonts w:eastAsia="Calibri" w:cs="Times New Roman"/>
              </w:rPr>
            </w:pPr>
          </w:p>
        </w:tc>
        <w:tc>
          <w:tcPr>
            <w:tcW w:w="1492" w:type="dxa"/>
          </w:tcPr>
          <w:p w14:paraId="286754BE" w14:textId="77777777" w:rsidR="00303D5A" w:rsidRPr="000B5A91" w:rsidRDefault="00303D5A" w:rsidP="00E0363A">
            <w:pPr>
              <w:spacing w:line="240" w:lineRule="auto"/>
              <w:rPr>
                <w:rFonts w:eastAsia="Calibri" w:cs="Times New Roman"/>
              </w:rPr>
            </w:pPr>
            <w:r w:rsidRPr="000B5A91">
              <w:rPr>
                <w:rFonts w:eastAsia="Calibri" w:cs="Times New Roman"/>
              </w:rPr>
              <w:t>29 years</w:t>
            </w:r>
          </w:p>
        </w:tc>
        <w:tc>
          <w:tcPr>
            <w:tcW w:w="1280" w:type="dxa"/>
          </w:tcPr>
          <w:p w14:paraId="1F2AD24B" w14:textId="1ED6113D" w:rsidR="00303D5A" w:rsidRPr="000B5A91" w:rsidRDefault="00910682" w:rsidP="0076576E">
            <w:pPr>
              <w:spacing w:line="240" w:lineRule="auto"/>
              <w:rPr>
                <w:rFonts w:eastAsia="Calibri" w:cs="Times New Roman"/>
              </w:rPr>
            </w:pPr>
            <w:r w:rsidRPr="000B5A91">
              <w:rPr>
                <w:rFonts w:eastAsia="Calibri" w:cs="Times New Roman"/>
                <w:lang w:val="en"/>
              </w:rPr>
              <w:t>Rudge (2015)</w:t>
            </w:r>
            <w:r w:rsidR="00FC6175" w:rsidRPr="000B5A91">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PEVuZE5vdGU+PENpdGU+PEF1dGhvcj5SdWRnZTwvQXV0aG9yPjxZZWFyPjIwMTU8L1llYXI+PFJl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FC6175" w:rsidRPr="000B5A91">
              <w:rPr>
                <w:rFonts w:eastAsia="Calibri" w:cs="Times New Roman"/>
                <w:lang w:val="en"/>
              </w:rPr>
            </w:r>
            <w:r w:rsidR="00FC6175" w:rsidRPr="000B5A91">
              <w:rPr>
                <w:rFonts w:eastAsia="Calibri" w:cs="Times New Roman"/>
                <w:lang w:val="en"/>
              </w:rPr>
              <w:fldChar w:fldCharType="separate"/>
            </w:r>
            <w:r w:rsidR="0076576E" w:rsidRPr="0076576E">
              <w:rPr>
                <w:rFonts w:eastAsia="Calibri" w:cs="Times New Roman"/>
                <w:noProof/>
                <w:vertAlign w:val="superscript"/>
                <w:lang w:val="en"/>
              </w:rPr>
              <w:t>64</w:t>
            </w:r>
            <w:r w:rsidR="00FC6175" w:rsidRPr="000B5A91">
              <w:rPr>
                <w:rFonts w:eastAsia="Calibri" w:cs="Times New Roman"/>
                <w:lang w:val="en"/>
              </w:rPr>
              <w:fldChar w:fldCharType="end"/>
            </w:r>
          </w:p>
        </w:tc>
      </w:tr>
      <w:tr w:rsidR="00303D5A" w:rsidRPr="000B5A91" w14:paraId="538C7AE1" w14:textId="77777777" w:rsidTr="00FB66C5">
        <w:tc>
          <w:tcPr>
            <w:tcW w:w="1002" w:type="dxa"/>
            <w:vMerge/>
          </w:tcPr>
          <w:p w14:paraId="48342E10" w14:textId="77777777" w:rsidR="00303D5A" w:rsidRPr="000B5A91" w:rsidRDefault="00303D5A" w:rsidP="00E0363A">
            <w:pPr>
              <w:spacing w:line="240" w:lineRule="auto"/>
              <w:rPr>
                <w:rFonts w:eastAsia="Calibri" w:cs="Times New Roman"/>
              </w:rPr>
            </w:pPr>
          </w:p>
        </w:tc>
        <w:tc>
          <w:tcPr>
            <w:tcW w:w="942" w:type="dxa"/>
          </w:tcPr>
          <w:p w14:paraId="14D7F98D" w14:textId="77777777" w:rsidR="00303D5A" w:rsidRPr="000B5A91" w:rsidRDefault="00303D5A" w:rsidP="00E0363A">
            <w:pPr>
              <w:spacing w:line="240" w:lineRule="auto"/>
              <w:rPr>
                <w:rFonts w:eastAsia="Calibri" w:cs="Times New Roman"/>
              </w:rPr>
            </w:pPr>
            <w:r w:rsidRPr="000B5A91">
              <w:rPr>
                <w:rFonts w:eastAsia="Calibri" w:cs="Times New Roman"/>
              </w:rPr>
              <w:t>28</w:t>
            </w:r>
          </w:p>
          <w:p w14:paraId="3C8D529E" w14:textId="77777777" w:rsidR="00303D5A" w:rsidRPr="000B5A91" w:rsidRDefault="00303D5A" w:rsidP="00E0363A">
            <w:pPr>
              <w:spacing w:line="240" w:lineRule="auto"/>
              <w:rPr>
                <w:rFonts w:eastAsia="Calibri" w:cs="Times New Roman"/>
              </w:rPr>
            </w:pPr>
          </w:p>
        </w:tc>
        <w:tc>
          <w:tcPr>
            <w:tcW w:w="1148" w:type="dxa"/>
          </w:tcPr>
          <w:p w14:paraId="14A73A50" w14:textId="77777777" w:rsidR="00303D5A" w:rsidRPr="000B5A91" w:rsidRDefault="00303D5A" w:rsidP="00E0363A">
            <w:pPr>
              <w:spacing w:line="240" w:lineRule="auto"/>
              <w:rPr>
                <w:rFonts w:eastAsia="Calibri" w:cs="Times New Roman"/>
              </w:rPr>
            </w:pPr>
            <w:r w:rsidRPr="000B5A91">
              <w:rPr>
                <w:rFonts w:eastAsia="Calibri" w:cs="Times New Roman"/>
              </w:rPr>
              <w:t xml:space="preserve">4% </w:t>
            </w:r>
          </w:p>
          <w:p w14:paraId="6E74CA67" w14:textId="77777777" w:rsidR="00303D5A" w:rsidRPr="000B5A91" w:rsidRDefault="00303D5A" w:rsidP="00E0363A">
            <w:pPr>
              <w:spacing w:line="240" w:lineRule="auto"/>
              <w:rPr>
                <w:rFonts w:eastAsia="Calibri" w:cs="Times New Roman"/>
              </w:rPr>
            </w:pPr>
            <w:r w:rsidRPr="000B5A91">
              <w:rPr>
                <w:rFonts w:eastAsia="Calibri" w:cs="Times New Roman"/>
              </w:rPr>
              <w:t>(n=1)</w:t>
            </w:r>
          </w:p>
        </w:tc>
        <w:tc>
          <w:tcPr>
            <w:tcW w:w="1160" w:type="dxa"/>
          </w:tcPr>
          <w:p w14:paraId="1185CC3B" w14:textId="77777777" w:rsidR="00303D5A" w:rsidRPr="000B5A91" w:rsidRDefault="00303D5A" w:rsidP="00E0363A">
            <w:pPr>
              <w:spacing w:line="240" w:lineRule="auto"/>
              <w:rPr>
                <w:rFonts w:eastAsia="Calibri" w:cs="Times New Roman"/>
              </w:rPr>
            </w:pPr>
            <w:r w:rsidRPr="000B5A91">
              <w:rPr>
                <w:rFonts w:eastAsia="Calibri" w:cs="Times New Roman"/>
              </w:rPr>
              <w:t>21 years</w:t>
            </w:r>
          </w:p>
        </w:tc>
        <w:tc>
          <w:tcPr>
            <w:tcW w:w="1148" w:type="dxa"/>
          </w:tcPr>
          <w:p w14:paraId="54F89BD2" w14:textId="77777777" w:rsidR="00303D5A" w:rsidRPr="000B5A91" w:rsidRDefault="00303D5A" w:rsidP="00E0363A">
            <w:pPr>
              <w:spacing w:line="240" w:lineRule="auto"/>
              <w:rPr>
                <w:rFonts w:eastAsia="Calibri" w:cs="Times New Roman"/>
              </w:rPr>
            </w:pPr>
            <w:r w:rsidRPr="000B5A91">
              <w:rPr>
                <w:rFonts w:eastAsia="Calibri" w:cs="Times New Roman"/>
              </w:rPr>
              <w:t>50% (n=13)</w:t>
            </w:r>
          </w:p>
        </w:tc>
        <w:tc>
          <w:tcPr>
            <w:tcW w:w="1160" w:type="dxa"/>
          </w:tcPr>
          <w:p w14:paraId="607E9D74" w14:textId="77777777" w:rsidR="00303D5A" w:rsidRPr="000B5A91" w:rsidRDefault="00303D5A" w:rsidP="00E0363A">
            <w:pPr>
              <w:spacing w:line="240" w:lineRule="auto"/>
              <w:rPr>
                <w:rFonts w:eastAsia="Calibri" w:cs="Times New Roman"/>
              </w:rPr>
            </w:pPr>
            <w:r w:rsidRPr="000B5A91">
              <w:rPr>
                <w:rFonts w:eastAsia="Calibri" w:cs="Times New Roman"/>
              </w:rPr>
              <w:t>23 years</w:t>
            </w:r>
          </w:p>
        </w:tc>
        <w:tc>
          <w:tcPr>
            <w:tcW w:w="1148" w:type="dxa"/>
          </w:tcPr>
          <w:p w14:paraId="746B66FF" w14:textId="77777777" w:rsidR="00303D5A" w:rsidRPr="000B5A91" w:rsidRDefault="00303D5A" w:rsidP="00E0363A">
            <w:pPr>
              <w:spacing w:line="240" w:lineRule="auto"/>
              <w:rPr>
                <w:rFonts w:eastAsia="Calibri" w:cs="Times New Roman"/>
              </w:rPr>
            </w:pPr>
            <w:r w:rsidRPr="000B5A91">
              <w:rPr>
                <w:rFonts w:eastAsia="Calibri" w:cs="Times New Roman"/>
              </w:rPr>
              <w:t>46% (n=14)</w:t>
            </w:r>
          </w:p>
        </w:tc>
        <w:tc>
          <w:tcPr>
            <w:tcW w:w="1160" w:type="dxa"/>
          </w:tcPr>
          <w:p w14:paraId="575B2824" w14:textId="77777777" w:rsidR="00303D5A" w:rsidRPr="000B5A91" w:rsidRDefault="00303D5A" w:rsidP="00E0363A">
            <w:pPr>
              <w:spacing w:line="240" w:lineRule="auto"/>
              <w:rPr>
                <w:rFonts w:eastAsia="Calibri" w:cs="Times New Roman"/>
              </w:rPr>
            </w:pPr>
            <w:r w:rsidRPr="000B5A91">
              <w:rPr>
                <w:rFonts w:eastAsia="Calibri" w:cs="Times New Roman"/>
              </w:rPr>
              <w:t>18 years</w:t>
            </w:r>
          </w:p>
        </w:tc>
        <w:tc>
          <w:tcPr>
            <w:tcW w:w="1148" w:type="dxa"/>
          </w:tcPr>
          <w:p w14:paraId="5F1FCF4F" w14:textId="77777777" w:rsidR="00303D5A" w:rsidRPr="000B5A91" w:rsidRDefault="00303D5A" w:rsidP="00E0363A">
            <w:pPr>
              <w:spacing w:line="240" w:lineRule="auto"/>
              <w:rPr>
                <w:rFonts w:eastAsia="Calibri" w:cs="Times New Roman"/>
              </w:rPr>
            </w:pPr>
            <w:r w:rsidRPr="000B5A91">
              <w:rPr>
                <w:rFonts w:eastAsia="Calibri" w:cs="Times New Roman"/>
              </w:rPr>
              <w:t>54%</w:t>
            </w:r>
          </w:p>
        </w:tc>
        <w:tc>
          <w:tcPr>
            <w:tcW w:w="1160" w:type="dxa"/>
          </w:tcPr>
          <w:p w14:paraId="6260E88F" w14:textId="77777777" w:rsidR="00303D5A" w:rsidRPr="000B5A91" w:rsidRDefault="00303D5A" w:rsidP="00E0363A">
            <w:pPr>
              <w:spacing w:line="240" w:lineRule="auto"/>
              <w:rPr>
                <w:rFonts w:eastAsia="Calibri" w:cs="Times New Roman"/>
              </w:rPr>
            </w:pPr>
            <w:r w:rsidRPr="000B5A91">
              <w:rPr>
                <w:rFonts w:eastAsia="Calibri" w:cs="Times New Roman"/>
              </w:rPr>
              <w:t>20 years</w:t>
            </w:r>
          </w:p>
        </w:tc>
        <w:tc>
          <w:tcPr>
            <w:tcW w:w="1492" w:type="dxa"/>
          </w:tcPr>
          <w:p w14:paraId="3AC68E24" w14:textId="77777777" w:rsidR="00303D5A" w:rsidRPr="000B5A91" w:rsidRDefault="00303D5A" w:rsidP="00E0363A">
            <w:pPr>
              <w:spacing w:line="240" w:lineRule="auto"/>
              <w:rPr>
                <w:rFonts w:eastAsia="Calibri" w:cs="Times New Roman"/>
              </w:rPr>
            </w:pPr>
            <w:r w:rsidRPr="000B5A91">
              <w:rPr>
                <w:rFonts w:eastAsia="Calibri" w:cs="Times New Roman"/>
              </w:rPr>
              <w:t>23 years</w:t>
            </w:r>
          </w:p>
        </w:tc>
        <w:tc>
          <w:tcPr>
            <w:tcW w:w="1280" w:type="dxa"/>
          </w:tcPr>
          <w:p w14:paraId="6E47CCE6" w14:textId="2A03FC10" w:rsidR="00303D5A" w:rsidRPr="000B5A91" w:rsidRDefault="00334D92" w:rsidP="00D63CDB">
            <w:pPr>
              <w:spacing w:line="240" w:lineRule="auto"/>
              <w:rPr>
                <w:rFonts w:eastAsia="Calibri" w:cs="Times New Roman"/>
              </w:rPr>
            </w:pPr>
            <w:r w:rsidRPr="000B5A91">
              <w:rPr>
                <w:rFonts w:eastAsia="Calibri" w:cs="Times New Roman"/>
              </w:rPr>
              <w:t>Brown (2012)</w:t>
            </w:r>
            <w:r w:rsidR="00FC6175" w:rsidRPr="000B5A9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FC6175" w:rsidRPr="000B5A91">
              <w:rPr>
                <w:rFonts w:eastAsia="Calibri" w:cs="Times New Roman"/>
              </w:rPr>
            </w:r>
            <w:r w:rsidR="00FC6175" w:rsidRPr="000B5A91">
              <w:rPr>
                <w:rFonts w:eastAsia="Calibri" w:cs="Times New Roman"/>
              </w:rPr>
              <w:fldChar w:fldCharType="separate"/>
            </w:r>
            <w:r w:rsidR="001D65B2" w:rsidRPr="001D65B2">
              <w:rPr>
                <w:rFonts w:eastAsia="Calibri" w:cs="Times New Roman"/>
                <w:noProof/>
                <w:vertAlign w:val="superscript"/>
              </w:rPr>
              <w:t>3</w:t>
            </w:r>
            <w:r w:rsidR="00FC6175" w:rsidRPr="000B5A91">
              <w:rPr>
                <w:rFonts w:eastAsia="Calibri" w:cs="Times New Roman"/>
              </w:rPr>
              <w:fldChar w:fldCharType="end"/>
            </w:r>
          </w:p>
        </w:tc>
      </w:tr>
      <w:tr w:rsidR="00303D5A" w:rsidRPr="000B5A91" w14:paraId="02A72E8F" w14:textId="77777777" w:rsidTr="00FB66C5">
        <w:tc>
          <w:tcPr>
            <w:tcW w:w="1002" w:type="dxa"/>
          </w:tcPr>
          <w:p w14:paraId="4F52F629" w14:textId="77777777" w:rsidR="00303D5A" w:rsidRPr="000B5A91" w:rsidRDefault="00303D5A" w:rsidP="00E0363A">
            <w:pPr>
              <w:spacing w:line="240" w:lineRule="auto"/>
              <w:rPr>
                <w:rFonts w:eastAsia="Calibri" w:cs="Times New Roman"/>
              </w:rPr>
            </w:pPr>
            <w:r w:rsidRPr="000B5A91">
              <w:rPr>
                <w:rFonts w:eastAsia="Calibri" w:cs="Times New Roman"/>
              </w:rPr>
              <w:t>France</w:t>
            </w:r>
          </w:p>
        </w:tc>
        <w:tc>
          <w:tcPr>
            <w:tcW w:w="942" w:type="dxa"/>
          </w:tcPr>
          <w:p w14:paraId="3CBA565D" w14:textId="77777777" w:rsidR="00303D5A" w:rsidRPr="000B5A91" w:rsidRDefault="00303D5A" w:rsidP="00E0363A">
            <w:pPr>
              <w:spacing w:line="240" w:lineRule="auto"/>
              <w:rPr>
                <w:rFonts w:eastAsia="Calibri" w:cs="Times New Roman"/>
              </w:rPr>
            </w:pPr>
            <w:r w:rsidRPr="000B5A91">
              <w:rPr>
                <w:rFonts w:eastAsia="Calibri" w:cs="Times New Roman"/>
              </w:rPr>
              <w:t>111/119</w:t>
            </w:r>
          </w:p>
        </w:tc>
        <w:tc>
          <w:tcPr>
            <w:tcW w:w="1148" w:type="dxa"/>
          </w:tcPr>
          <w:p w14:paraId="539014F6" w14:textId="77777777" w:rsidR="00303D5A" w:rsidRPr="000B5A91" w:rsidRDefault="00303D5A" w:rsidP="00E0363A">
            <w:pPr>
              <w:spacing w:line="240" w:lineRule="auto"/>
              <w:rPr>
                <w:rFonts w:eastAsia="Calibri" w:cs="Times New Roman"/>
              </w:rPr>
            </w:pPr>
            <w:r w:rsidRPr="000B5A91">
              <w:rPr>
                <w:rFonts w:eastAsia="Calibri" w:cs="Times New Roman"/>
              </w:rPr>
              <w:t>54%</w:t>
            </w:r>
          </w:p>
        </w:tc>
        <w:tc>
          <w:tcPr>
            <w:tcW w:w="1160" w:type="dxa"/>
          </w:tcPr>
          <w:p w14:paraId="5980FFC7" w14:textId="77777777" w:rsidR="00303D5A" w:rsidRPr="000B5A91" w:rsidRDefault="00303D5A" w:rsidP="00E0363A">
            <w:pPr>
              <w:spacing w:line="240" w:lineRule="auto"/>
              <w:rPr>
                <w:rFonts w:eastAsia="Calibri" w:cs="Times New Roman"/>
              </w:rPr>
            </w:pPr>
            <w:r w:rsidRPr="000B5A91">
              <w:rPr>
                <w:rFonts w:eastAsia="Calibri" w:cs="Times New Roman"/>
              </w:rPr>
              <w:t>12 years</w:t>
            </w:r>
          </w:p>
        </w:tc>
        <w:tc>
          <w:tcPr>
            <w:tcW w:w="1148" w:type="dxa"/>
          </w:tcPr>
          <w:p w14:paraId="44E14A09" w14:textId="77777777" w:rsidR="00303D5A" w:rsidRPr="000B5A91" w:rsidRDefault="00303D5A" w:rsidP="00E0363A">
            <w:pPr>
              <w:spacing w:line="240" w:lineRule="auto"/>
              <w:rPr>
                <w:rFonts w:eastAsia="Calibri" w:cs="Times New Roman"/>
              </w:rPr>
            </w:pPr>
          </w:p>
        </w:tc>
        <w:tc>
          <w:tcPr>
            <w:tcW w:w="1160" w:type="dxa"/>
          </w:tcPr>
          <w:p w14:paraId="11E225D2" w14:textId="77777777" w:rsidR="00303D5A" w:rsidRPr="000B5A91" w:rsidRDefault="00303D5A" w:rsidP="00E0363A">
            <w:pPr>
              <w:spacing w:line="240" w:lineRule="auto"/>
              <w:rPr>
                <w:rFonts w:eastAsia="Calibri" w:cs="Times New Roman"/>
              </w:rPr>
            </w:pPr>
          </w:p>
        </w:tc>
        <w:tc>
          <w:tcPr>
            <w:tcW w:w="1148" w:type="dxa"/>
          </w:tcPr>
          <w:p w14:paraId="2BD1A801" w14:textId="77777777" w:rsidR="00303D5A" w:rsidRPr="000B5A91" w:rsidRDefault="00303D5A" w:rsidP="00E0363A">
            <w:pPr>
              <w:spacing w:line="240" w:lineRule="auto"/>
              <w:rPr>
                <w:rFonts w:eastAsia="Calibri" w:cs="Times New Roman"/>
              </w:rPr>
            </w:pPr>
            <w:r w:rsidRPr="000B5A91">
              <w:rPr>
                <w:rFonts w:eastAsia="Calibri" w:cs="Times New Roman"/>
              </w:rPr>
              <w:t>15%</w:t>
            </w:r>
          </w:p>
        </w:tc>
        <w:tc>
          <w:tcPr>
            <w:tcW w:w="1160" w:type="dxa"/>
          </w:tcPr>
          <w:p w14:paraId="2527097A" w14:textId="77777777" w:rsidR="00303D5A" w:rsidRPr="000B5A91" w:rsidRDefault="00303D5A" w:rsidP="00E0363A">
            <w:pPr>
              <w:spacing w:line="240" w:lineRule="auto"/>
              <w:rPr>
                <w:rFonts w:eastAsia="Calibri" w:cs="Times New Roman"/>
              </w:rPr>
            </w:pPr>
            <w:r w:rsidRPr="000B5A91">
              <w:rPr>
                <w:rFonts w:eastAsia="Calibri" w:cs="Times New Roman"/>
              </w:rPr>
              <w:t>9 years</w:t>
            </w:r>
          </w:p>
        </w:tc>
        <w:tc>
          <w:tcPr>
            <w:tcW w:w="1148" w:type="dxa"/>
          </w:tcPr>
          <w:p w14:paraId="65A3625D" w14:textId="77777777" w:rsidR="00303D5A" w:rsidRPr="000B5A91" w:rsidRDefault="00303D5A" w:rsidP="00E0363A">
            <w:pPr>
              <w:spacing w:line="240" w:lineRule="auto"/>
              <w:rPr>
                <w:rFonts w:eastAsia="Calibri" w:cs="Times New Roman"/>
              </w:rPr>
            </w:pPr>
            <w:r w:rsidRPr="000B5A91">
              <w:rPr>
                <w:rFonts w:eastAsia="Calibri" w:cs="Times New Roman"/>
              </w:rPr>
              <w:t>69%</w:t>
            </w:r>
          </w:p>
        </w:tc>
        <w:tc>
          <w:tcPr>
            <w:tcW w:w="1160" w:type="dxa"/>
          </w:tcPr>
          <w:p w14:paraId="480169D8" w14:textId="77777777" w:rsidR="00303D5A" w:rsidRPr="000B5A91" w:rsidRDefault="00303D5A" w:rsidP="00E0363A">
            <w:pPr>
              <w:spacing w:line="240" w:lineRule="auto"/>
              <w:rPr>
                <w:rFonts w:eastAsia="Calibri" w:cs="Times New Roman"/>
              </w:rPr>
            </w:pPr>
            <w:r w:rsidRPr="000B5A91">
              <w:rPr>
                <w:rFonts w:eastAsia="Calibri" w:cs="Times New Roman"/>
              </w:rPr>
              <w:t>11 years</w:t>
            </w:r>
          </w:p>
        </w:tc>
        <w:tc>
          <w:tcPr>
            <w:tcW w:w="1492" w:type="dxa"/>
          </w:tcPr>
          <w:p w14:paraId="7946580F" w14:textId="77777777" w:rsidR="00303D5A" w:rsidRPr="000B5A91" w:rsidRDefault="00303D5A" w:rsidP="00E0363A">
            <w:pPr>
              <w:spacing w:line="240" w:lineRule="auto"/>
              <w:rPr>
                <w:rFonts w:eastAsia="Calibri" w:cs="Times New Roman"/>
              </w:rPr>
            </w:pPr>
            <w:r w:rsidRPr="000B5A91">
              <w:rPr>
                <w:rFonts w:eastAsia="Calibri" w:cs="Times New Roman"/>
              </w:rPr>
              <w:t>17 years</w:t>
            </w:r>
          </w:p>
        </w:tc>
        <w:tc>
          <w:tcPr>
            <w:tcW w:w="1280" w:type="dxa"/>
          </w:tcPr>
          <w:p w14:paraId="1AAD3A6D" w14:textId="12A6E976" w:rsidR="00303D5A" w:rsidRPr="000B5A91" w:rsidRDefault="00334D92" w:rsidP="0076576E">
            <w:pPr>
              <w:spacing w:line="240" w:lineRule="auto"/>
              <w:rPr>
                <w:rFonts w:eastAsia="Calibri" w:cs="Times New Roman"/>
              </w:rPr>
            </w:pPr>
            <w:r w:rsidRPr="000B5A91">
              <w:rPr>
                <w:rFonts w:eastAsia="Calibri" w:cs="Times New Roman"/>
              </w:rPr>
              <w:t>Brown (2012)</w:t>
            </w:r>
            <w:r w:rsidR="00FC6175" w:rsidRPr="000B5A9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FC6175" w:rsidRPr="000B5A91">
              <w:rPr>
                <w:rFonts w:eastAsia="Calibri" w:cs="Times New Roman"/>
              </w:rPr>
            </w:r>
            <w:r w:rsidR="00FC6175" w:rsidRPr="000B5A91">
              <w:rPr>
                <w:rFonts w:eastAsia="Calibri" w:cs="Times New Roman"/>
              </w:rPr>
              <w:fldChar w:fldCharType="separate"/>
            </w:r>
            <w:r w:rsidR="001D65B2" w:rsidRPr="001D65B2">
              <w:rPr>
                <w:rFonts w:eastAsia="Calibri" w:cs="Times New Roman"/>
                <w:noProof/>
                <w:vertAlign w:val="superscript"/>
              </w:rPr>
              <w:t>3</w:t>
            </w:r>
            <w:r w:rsidR="00FC6175" w:rsidRPr="000B5A91">
              <w:rPr>
                <w:rFonts w:eastAsia="Calibri" w:cs="Times New Roman"/>
              </w:rPr>
              <w:fldChar w:fldCharType="end"/>
            </w:r>
            <w:r w:rsidR="00303D5A" w:rsidRPr="000B5A91">
              <w:rPr>
                <w:rFonts w:eastAsia="Calibri" w:cs="Times New Roman"/>
              </w:rPr>
              <w:t xml:space="preserve">, </w:t>
            </w:r>
            <w:r w:rsidR="00910682" w:rsidRPr="000B5A91">
              <w:rPr>
                <w:rFonts w:eastAsia="Calibri" w:cs="Times New Roman"/>
              </w:rPr>
              <w:t>}, Haik (2014)</w:t>
            </w:r>
            <w:r w:rsidR="00FC6175" w:rsidRPr="000B5A91">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FC6175" w:rsidRPr="000B5A91">
              <w:rPr>
                <w:rFonts w:eastAsia="Calibri" w:cs="Times New Roman"/>
              </w:rPr>
            </w:r>
            <w:r w:rsidR="00FC6175" w:rsidRPr="000B5A91">
              <w:rPr>
                <w:rFonts w:eastAsia="Calibri" w:cs="Times New Roman"/>
              </w:rPr>
              <w:fldChar w:fldCharType="separate"/>
            </w:r>
            <w:r w:rsidR="0076576E" w:rsidRPr="0076576E">
              <w:rPr>
                <w:rFonts w:eastAsia="Calibri" w:cs="Times New Roman"/>
                <w:noProof/>
                <w:vertAlign w:val="superscript"/>
              </w:rPr>
              <w:t>131</w:t>
            </w:r>
            <w:r w:rsidR="00FC6175" w:rsidRPr="000B5A91">
              <w:rPr>
                <w:rFonts w:eastAsia="Calibri" w:cs="Times New Roman"/>
              </w:rPr>
              <w:fldChar w:fldCharType="end"/>
            </w:r>
          </w:p>
        </w:tc>
      </w:tr>
      <w:tr w:rsidR="00303D5A" w:rsidRPr="000B5A91" w14:paraId="496A9380" w14:textId="77777777" w:rsidTr="00FB66C5">
        <w:tc>
          <w:tcPr>
            <w:tcW w:w="1002" w:type="dxa"/>
          </w:tcPr>
          <w:p w14:paraId="62B1D7F3" w14:textId="77777777" w:rsidR="00303D5A" w:rsidRPr="000B5A91" w:rsidRDefault="00303D5A" w:rsidP="00E0363A">
            <w:pPr>
              <w:spacing w:line="240" w:lineRule="auto"/>
              <w:rPr>
                <w:rFonts w:eastAsia="Calibri" w:cs="Times New Roman"/>
              </w:rPr>
            </w:pPr>
            <w:r w:rsidRPr="000B5A91">
              <w:rPr>
                <w:rFonts w:eastAsia="Calibri" w:cs="Times New Roman"/>
              </w:rPr>
              <w:t xml:space="preserve">USA </w:t>
            </w:r>
          </w:p>
        </w:tc>
        <w:tc>
          <w:tcPr>
            <w:tcW w:w="942" w:type="dxa"/>
          </w:tcPr>
          <w:p w14:paraId="5BB6615D" w14:textId="77777777" w:rsidR="00303D5A" w:rsidRPr="000B5A91" w:rsidRDefault="00303D5A" w:rsidP="00E0363A">
            <w:pPr>
              <w:spacing w:line="240" w:lineRule="auto"/>
              <w:rPr>
                <w:rFonts w:eastAsia="Calibri" w:cs="Times New Roman"/>
              </w:rPr>
            </w:pPr>
            <w:r w:rsidRPr="000B5A91">
              <w:rPr>
                <w:rFonts w:eastAsia="Calibri" w:cs="Times New Roman"/>
              </w:rPr>
              <w:t>11/29</w:t>
            </w:r>
          </w:p>
        </w:tc>
        <w:tc>
          <w:tcPr>
            <w:tcW w:w="1148" w:type="dxa"/>
          </w:tcPr>
          <w:p w14:paraId="7EC226B1" w14:textId="77777777" w:rsidR="00303D5A" w:rsidRPr="000B5A91" w:rsidRDefault="00303D5A" w:rsidP="00E0363A">
            <w:pPr>
              <w:spacing w:line="240" w:lineRule="auto"/>
              <w:rPr>
                <w:rFonts w:eastAsia="Calibri" w:cs="Times New Roman"/>
              </w:rPr>
            </w:pPr>
            <w:r w:rsidRPr="000B5A91">
              <w:rPr>
                <w:rFonts w:eastAsia="Calibri" w:cs="Times New Roman"/>
              </w:rPr>
              <w:t>55%</w:t>
            </w:r>
          </w:p>
        </w:tc>
        <w:tc>
          <w:tcPr>
            <w:tcW w:w="1160" w:type="dxa"/>
          </w:tcPr>
          <w:p w14:paraId="79534271" w14:textId="77777777" w:rsidR="00303D5A" w:rsidRPr="000B5A91" w:rsidRDefault="00303D5A" w:rsidP="00E0363A">
            <w:pPr>
              <w:spacing w:line="240" w:lineRule="auto"/>
              <w:rPr>
                <w:rFonts w:eastAsia="Calibri" w:cs="Times New Roman"/>
              </w:rPr>
            </w:pPr>
            <w:r w:rsidRPr="000B5A91">
              <w:rPr>
                <w:rFonts w:eastAsia="Calibri" w:cs="Times New Roman"/>
              </w:rPr>
              <w:t>21 years</w:t>
            </w:r>
          </w:p>
        </w:tc>
        <w:tc>
          <w:tcPr>
            <w:tcW w:w="1148" w:type="dxa"/>
          </w:tcPr>
          <w:p w14:paraId="0A28E9DB" w14:textId="77777777" w:rsidR="00303D5A" w:rsidRPr="000B5A91" w:rsidRDefault="00303D5A" w:rsidP="00E0363A">
            <w:pPr>
              <w:spacing w:line="240" w:lineRule="auto"/>
              <w:rPr>
                <w:rFonts w:eastAsia="Calibri" w:cs="Times New Roman"/>
              </w:rPr>
            </w:pPr>
          </w:p>
        </w:tc>
        <w:tc>
          <w:tcPr>
            <w:tcW w:w="1160" w:type="dxa"/>
          </w:tcPr>
          <w:p w14:paraId="5EA03353" w14:textId="77777777" w:rsidR="00303D5A" w:rsidRPr="000B5A91" w:rsidRDefault="00303D5A" w:rsidP="00E0363A">
            <w:pPr>
              <w:spacing w:line="240" w:lineRule="auto"/>
              <w:rPr>
                <w:rFonts w:eastAsia="Calibri" w:cs="Times New Roman"/>
              </w:rPr>
            </w:pPr>
          </w:p>
        </w:tc>
        <w:tc>
          <w:tcPr>
            <w:tcW w:w="1148" w:type="dxa"/>
          </w:tcPr>
          <w:p w14:paraId="42DDDCE8" w14:textId="77777777" w:rsidR="00303D5A" w:rsidRPr="000B5A91" w:rsidRDefault="00303D5A" w:rsidP="00E0363A">
            <w:pPr>
              <w:spacing w:line="240" w:lineRule="auto"/>
              <w:rPr>
                <w:rFonts w:eastAsia="Calibri" w:cs="Times New Roman"/>
              </w:rPr>
            </w:pPr>
            <w:r w:rsidRPr="000B5A91">
              <w:rPr>
                <w:rFonts w:eastAsia="Calibri" w:cs="Times New Roman"/>
              </w:rPr>
              <w:t>18%</w:t>
            </w:r>
          </w:p>
        </w:tc>
        <w:tc>
          <w:tcPr>
            <w:tcW w:w="1160" w:type="dxa"/>
          </w:tcPr>
          <w:p w14:paraId="54707D62" w14:textId="77777777" w:rsidR="00303D5A" w:rsidRPr="000B5A91" w:rsidRDefault="00303D5A" w:rsidP="00E0363A">
            <w:pPr>
              <w:spacing w:line="240" w:lineRule="auto"/>
              <w:rPr>
                <w:rFonts w:eastAsia="Calibri" w:cs="Times New Roman"/>
              </w:rPr>
            </w:pPr>
            <w:r w:rsidRPr="000B5A91">
              <w:rPr>
                <w:rFonts w:eastAsia="Calibri" w:cs="Times New Roman"/>
              </w:rPr>
              <w:t>18 years</w:t>
            </w:r>
          </w:p>
        </w:tc>
        <w:tc>
          <w:tcPr>
            <w:tcW w:w="1148" w:type="dxa"/>
          </w:tcPr>
          <w:p w14:paraId="7A86EEEA" w14:textId="77777777" w:rsidR="00303D5A" w:rsidRPr="000B5A91" w:rsidRDefault="00303D5A" w:rsidP="00E0363A">
            <w:pPr>
              <w:spacing w:line="240" w:lineRule="auto"/>
              <w:rPr>
                <w:rFonts w:eastAsia="Calibri" w:cs="Times New Roman"/>
              </w:rPr>
            </w:pPr>
            <w:r w:rsidRPr="000B5A91">
              <w:rPr>
                <w:rFonts w:eastAsia="Calibri" w:cs="Times New Roman"/>
              </w:rPr>
              <w:t>73%</w:t>
            </w:r>
          </w:p>
        </w:tc>
        <w:tc>
          <w:tcPr>
            <w:tcW w:w="1160" w:type="dxa"/>
          </w:tcPr>
          <w:p w14:paraId="258890CE" w14:textId="77777777" w:rsidR="00303D5A" w:rsidRPr="000B5A91" w:rsidRDefault="00303D5A" w:rsidP="00E0363A">
            <w:pPr>
              <w:spacing w:line="240" w:lineRule="auto"/>
              <w:rPr>
                <w:rFonts w:eastAsia="Calibri" w:cs="Times New Roman"/>
              </w:rPr>
            </w:pPr>
            <w:r w:rsidRPr="000B5A91">
              <w:rPr>
                <w:rFonts w:eastAsia="Calibri" w:cs="Times New Roman"/>
              </w:rPr>
              <w:t>20 years</w:t>
            </w:r>
          </w:p>
        </w:tc>
        <w:tc>
          <w:tcPr>
            <w:tcW w:w="1492" w:type="dxa"/>
          </w:tcPr>
          <w:p w14:paraId="0327E3D0" w14:textId="77777777" w:rsidR="00303D5A" w:rsidRPr="000B5A91" w:rsidRDefault="00303D5A" w:rsidP="00E0363A">
            <w:pPr>
              <w:spacing w:line="240" w:lineRule="auto"/>
              <w:rPr>
                <w:rFonts w:eastAsia="Calibri" w:cs="Times New Roman"/>
              </w:rPr>
            </w:pPr>
            <w:r w:rsidRPr="000B5A91">
              <w:rPr>
                <w:rFonts w:eastAsia="Calibri" w:cs="Times New Roman"/>
              </w:rPr>
              <w:t>23 years</w:t>
            </w:r>
          </w:p>
        </w:tc>
        <w:tc>
          <w:tcPr>
            <w:tcW w:w="1280" w:type="dxa"/>
          </w:tcPr>
          <w:p w14:paraId="2C5B6626" w14:textId="43B90B38" w:rsidR="00303D5A" w:rsidRPr="000B5A91" w:rsidRDefault="00334D92" w:rsidP="00D63CDB">
            <w:pPr>
              <w:spacing w:line="240" w:lineRule="auto"/>
              <w:rPr>
                <w:rFonts w:eastAsia="Calibri" w:cs="Times New Roman"/>
              </w:rPr>
            </w:pPr>
            <w:r w:rsidRPr="000B5A91">
              <w:rPr>
                <w:rFonts w:eastAsia="Calibri" w:cs="Times New Roman"/>
              </w:rPr>
              <w:t>Brown (2012)</w:t>
            </w:r>
            <w:r w:rsidR="00FC6175" w:rsidRPr="000B5A9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FC6175" w:rsidRPr="000B5A91">
              <w:rPr>
                <w:rFonts w:eastAsia="Calibri" w:cs="Times New Roman"/>
              </w:rPr>
            </w:r>
            <w:r w:rsidR="00FC6175" w:rsidRPr="000B5A91">
              <w:rPr>
                <w:rFonts w:eastAsia="Calibri" w:cs="Times New Roman"/>
              </w:rPr>
              <w:fldChar w:fldCharType="separate"/>
            </w:r>
            <w:r w:rsidR="001D65B2" w:rsidRPr="001D65B2">
              <w:rPr>
                <w:rFonts w:eastAsia="Calibri" w:cs="Times New Roman"/>
                <w:noProof/>
                <w:vertAlign w:val="superscript"/>
              </w:rPr>
              <w:t>3</w:t>
            </w:r>
            <w:r w:rsidR="00FC6175" w:rsidRPr="000B5A91">
              <w:rPr>
                <w:rFonts w:eastAsia="Calibri" w:cs="Times New Roman"/>
              </w:rPr>
              <w:fldChar w:fldCharType="end"/>
            </w:r>
          </w:p>
        </w:tc>
      </w:tr>
    </w:tbl>
    <w:p w14:paraId="18A98239" w14:textId="5518531D" w:rsidR="00303D5A" w:rsidRPr="00E0363A" w:rsidRDefault="00303D5A" w:rsidP="00E0363A">
      <w:pPr>
        <w:rPr>
          <w:rFonts w:eastAsia="Calibri" w:cs="Times New Roman"/>
          <w:sz w:val="16"/>
          <w:szCs w:val="16"/>
        </w:rPr>
      </w:pPr>
      <w:r w:rsidRPr="00E0363A">
        <w:rPr>
          <w:rFonts w:eastAsia="Calibri" w:cs="Times New Roman"/>
          <w:sz w:val="16"/>
          <w:szCs w:val="16"/>
        </w:rPr>
        <w:t>**Online Tables 1 and 3 §Sample with frozen tissues from patients who died 1990-2012 Hirst (2005) reports a case of hGH with an incubation period of 24 years.</w:t>
      </w:r>
    </w:p>
    <w:p w14:paraId="5DFA5610" w14:textId="77777777" w:rsidR="00F91E83" w:rsidRDefault="00F91E83" w:rsidP="00F91E83">
      <w:pPr>
        <w:autoSpaceDE w:val="0"/>
        <w:autoSpaceDN w:val="0"/>
        <w:adjustRightInd w:val="0"/>
        <w:spacing w:after="120"/>
        <w:jc w:val="both"/>
        <w:rPr>
          <w:rFonts w:cs="Times New Roman"/>
          <w:sz w:val="24"/>
          <w:szCs w:val="24"/>
        </w:rPr>
      </w:pPr>
    </w:p>
    <w:p w14:paraId="20F416D6" w14:textId="77777777" w:rsidR="00334D92" w:rsidRDefault="00334D92" w:rsidP="00F91E83">
      <w:pPr>
        <w:autoSpaceDE w:val="0"/>
        <w:autoSpaceDN w:val="0"/>
        <w:adjustRightInd w:val="0"/>
        <w:spacing w:after="120"/>
        <w:jc w:val="both"/>
        <w:rPr>
          <w:rFonts w:cs="Times New Roman"/>
          <w:sz w:val="24"/>
          <w:szCs w:val="24"/>
        </w:rPr>
        <w:sectPr w:rsidR="00334D92" w:rsidSect="00334D92">
          <w:pgSz w:w="16838" w:h="11906" w:orient="landscape"/>
          <w:pgMar w:top="1440" w:right="1440" w:bottom="1440" w:left="1440" w:header="709" w:footer="709" w:gutter="0"/>
          <w:cols w:space="708"/>
          <w:docGrid w:linePitch="360"/>
        </w:sectPr>
      </w:pPr>
    </w:p>
    <w:p w14:paraId="39F58DB0" w14:textId="24A69080" w:rsidR="00303D5A" w:rsidRPr="00F84738" w:rsidRDefault="00F70CC2" w:rsidP="00E0363A">
      <w:pPr>
        <w:pStyle w:val="Heading3"/>
        <w:rPr>
          <w:rFonts w:eastAsia="Calibri"/>
          <w:b w:val="0"/>
          <w:i/>
        </w:rPr>
      </w:pPr>
      <w:r w:rsidRPr="00F84738">
        <w:rPr>
          <w:rFonts w:eastAsia="Calibri"/>
          <w:b w:val="0"/>
          <w:i/>
        </w:rPr>
        <w:t>2.4.2</w:t>
      </w:r>
      <w:r w:rsidRPr="00F84738">
        <w:rPr>
          <w:rFonts w:eastAsia="Calibri"/>
          <w:b w:val="0"/>
          <w:i/>
        </w:rPr>
        <w:tab/>
      </w:r>
      <w:r w:rsidR="002849E9">
        <w:rPr>
          <w:b w:val="0"/>
          <w:i/>
        </w:rPr>
        <w:t>Discussion/ s</w:t>
      </w:r>
      <w:r w:rsidR="002849E9" w:rsidRPr="00F84738">
        <w:rPr>
          <w:b w:val="0"/>
          <w:i/>
        </w:rPr>
        <w:t>ummary</w:t>
      </w:r>
      <w:r w:rsidR="00BE2B55" w:rsidRPr="00F84738">
        <w:rPr>
          <w:rFonts w:eastAsia="Calibri"/>
          <w:b w:val="0"/>
          <w:i/>
        </w:rPr>
        <w:t xml:space="preserve"> of incubation data</w:t>
      </w:r>
    </w:p>
    <w:p w14:paraId="1C496FA2" w14:textId="6FF840BA" w:rsidR="00303D5A" w:rsidRPr="000B5A91" w:rsidRDefault="004B3740" w:rsidP="00E0363A">
      <w:pPr>
        <w:jc w:val="both"/>
        <w:rPr>
          <w:rFonts w:eastAsia="Calibri" w:cs="Times New Roman"/>
        </w:rPr>
      </w:pPr>
      <w:r>
        <w:rPr>
          <w:rFonts w:eastAsia="Calibri" w:cs="Times New Roman"/>
        </w:rPr>
        <w:t xml:space="preserve">The incubation periods in CJD </w:t>
      </w:r>
      <w:r w:rsidR="00D25530">
        <w:rPr>
          <w:rFonts w:eastAsia="Calibri" w:cs="Times New Roman"/>
        </w:rPr>
        <w:t xml:space="preserve">reported in </w:t>
      </w:r>
      <w:r>
        <w:rPr>
          <w:rFonts w:eastAsia="Calibri" w:cs="Times New Roman"/>
        </w:rPr>
        <w:t xml:space="preserve">the published literature range from 1 to 42 years with the shortest durations occurring in surgically transmitted iCJD and the longest occurring in Kuru or iCJD via hGH. </w:t>
      </w:r>
      <w:r w:rsidR="00303D5A" w:rsidRPr="000B5A91">
        <w:rPr>
          <w:rFonts w:eastAsia="Calibri" w:cs="Times New Roman"/>
        </w:rPr>
        <w:t xml:space="preserve">Different incubation times might </w:t>
      </w:r>
      <w:r w:rsidR="00C66445" w:rsidRPr="000B5A91">
        <w:rPr>
          <w:rFonts w:eastAsia="Calibri" w:cs="Times New Roman"/>
        </w:rPr>
        <w:t>occur</w:t>
      </w:r>
      <w:r w:rsidR="00303D5A" w:rsidRPr="000B5A91">
        <w:rPr>
          <w:rFonts w:eastAsia="Calibri" w:cs="Times New Roman"/>
        </w:rPr>
        <w:t xml:space="preserve"> due to the resistance of different genotypes. Evidence from kuru studies (Collinge </w:t>
      </w:r>
      <w:r w:rsidR="006623EA" w:rsidRPr="000B5A91">
        <w:rPr>
          <w:rFonts w:eastAsia="Calibri" w:cs="Times New Roman"/>
        </w:rPr>
        <w:t>(</w:t>
      </w:r>
      <w:r w:rsidR="00303D5A" w:rsidRPr="000B5A91">
        <w:rPr>
          <w:rFonts w:eastAsia="Calibri" w:cs="Times New Roman"/>
        </w:rPr>
        <w:t>2006</w:t>
      </w:r>
      <w:r w:rsidR="00A4052B">
        <w:rPr>
          <w:rFonts w:eastAsia="Calibri" w:cs="Times New Roman"/>
        </w:rPr>
        <w:t>a</w:t>
      </w:r>
      <w:r w:rsidR="006623EA" w:rsidRPr="000B5A91">
        <w:rPr>
          <w:rFonts w:eastAsia="Calibri" w:cs="Times New Roman"/>
        </w:rPr>
        <w:t>)</w:t>
      </w:r>
      <w:r w:rsidR="00FC6175" w:rsidRPr="000B5A91">
        <w:rPr>
          <w:rFonts w:eastAsia="Calibri" w:cs="Times New Roman"/>
        </w:rPr>
        <w:fldChar w:fldCharType="begin">
          <w:fldData xml:space="preserve">PEVuZE5vdGU+PENpdGU+PEF1dGhvcj5Db2xsaW5nZTwvQXV0aG9yPjxZZWFyPjIwMDY8L1llYXI+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PEVuZE5vdGU+PENpdGU+PEF1dGhvcj5Db2xsaW5nZTwvQXV0aG9yPjxZZWFyPjIwMDY8L1llYXI+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FC6175" w:rsidRPr="000B5A91">
        <w:rPr>
          <w:rFonts w:eastAsia="Calibri" w:cs="Times New Roman"/>
        </w:rPr>
      </w:r>
      <w:r w:rsidR="00FC6175" w:rsidRPr="000B5A91">
        <w:rPr>
          <w:rFonts w:eastAsia="Calibri" w:cs="Times New Roman"/>
        </w:rPr>
        <w:fldChar w:fldCharType="separate"/>
      </w:r>
      <w:r w:rsidR="0076576E" w:rsidRPr="0076576E">
        <w:rPr>
          <w:rFonts w:eastAsia="Calibri" w:cs="Times New Roman"/>
          <w:noProof/>
          <w:vertAlign w:val="superscript"/>
        </w:rPr>
        <w:t>129</w:t>
      </w:r>
      <w:r w:rsidR="00FC6175" w:rsidRPr="000B5A91">
        <w:rPr>
          <w:rFonts w:eastAsia="Calibri" w:cs="Times New Roman"/>
        </w:rPr>
        <w:fldChar w:fldCharType="end"/>
      </w:r>
      <w:r w:rsidR="006623EA" w:rsidRPr="000B5A91">
        <w:rPr>
          <w:rFonts w:eastAsia="Calibri" w:cs="Times New Roman"/>
        </w:rPr>
        <w:t>, Collinge (2008</w:t>
      </w:r>
      <w:r w:rsidR="00A4052B">
        <w:rPr>
          <w:rFonts w:eastAsia="Calibri" w:cs="Times New Roman"/>
        </w:rPr>
        <w:t>b</w:t>
      </w:r>
      <w:r w:rsidR="006623EA" w:rsidRPr="000B5A91">
        <w:rPr>
          <w:rFonts w:eastAsia="Calibri" w:cs="Times New Roman"/>
        </w:rPr>
        <w:t>)</w:t>
      </w:r>
      <w:r w:rsidR="00FC6175" w:rsidRPr="000B5A91">
        <w:rPr>
          <w:rFonts w:eastAsia="Calibri" w:cs="Times New Roman"/>
        </w:rPr>
        <w:fldChar w:fldCharType="begin">
          <w:fldData xml:space="preserve">PEVuZE5vdGU+PENpdGU+PEF1dGhvcj5Db2xsaW5nZTwvQXV0aG9yPjxZZWFyPjIwMDg8L1llYXI+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PEVuZE5vdGU+PENpdGU+PEF1dGhvcj5Db2xsaW5nZTwvQXV0aG9yPjxZZWFyPjIwMDg8L1llYXI+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FC6175" w:rsidRPr="000B5A91">
        <w:rPr>
          <w:rFonts w:eastAsia="Calibri" w:cs="Times New Roman"/>
        </w:rPr>
      </w:r>
      <w:r w:rsidR="00FC6175" w:rsidRPr="000B5A91">
        <w:rPr>
          <w:rFonts w:eastAsia="Calibri" w:cs="Times New Roman"/>
        </w:rPr>
        <w:fldChar w:fldCharType="separate"/>
      </w:r>
      <w:r w:rsidR="0076576E" w:rsidRPr="0076576E">
        <w:rPr>
          <w:rFonts w:eastAsia="Calibri" w:cs="Times New Roman"/>
          <w:noProof/>
          <w:vertAlign w:val="superscript"/>
        </w:rPr>
        <w:t>128</w:t>
      </w:r>
      <w:r w:rsidR="00FC6175" w:rsidRPr="000B5A91">
        <w:rPr>
          <w:rFonts w:eastAsia="Calibri" w:cs="Times New Roman"/>
        </w:rPr>
        <w:fldChar w:fldCharType="end"/>
      </w:r>
      <w:r w:rsidR="00303D5A" w:rsidRPr="000B5A91">
        <w:rPr>
          <w:rFonts w:eastAsia="Calibri" w:cs="Times New Roman"/>
        </w:rPr>
        <w:t xml:space="preserve">) indicates that incubation times are shorter, and mortality risk is significantly greater, in those with homozygous genotype (MM or VV) compared with the heterozygous genotype (MV), which has longer incubation times: older survivors are more likely to be MV (heterozygous) (Collinge </w:t>
      </w:r>
      <w:r w:rsidR="00A4052B">
        <w:rPr>
          <w:rFonts w:eastAsia="Calibri" w:cs="Times New Roman"/>
        </w:rPr>
        <w:t>(</w:t>
      </w:r>
      <w:r w:rsidR="00303D5A" w:rsidRPr="000B5A91">
        <w:rPr>
          <w:rFonts w:eastAsia="Calibri" w:cs="Times New Roman"/>
        </w:rPr>
        <w:t>2008a</w:t>
      </w:r>
      <w:r w:rsidR="00A4052B">
        <w:rPr>
          <w:rFonts w:eastAsia="Calibri" w:cs="Times New Roman"/>
        </w:rPr>
        <w:t>)</w:t>
      </w:r>
      <w:r w:rsidR="00A4052B" w:rsidRPr="007A7C51">
        <w:rPr>
          <w:rFonts w:eastAsia="Calibri" w:cs="Times New Roman"/>
        </w:rPr>
        <w:fldChar w:fldCharType="begin">
          <w:fldData xml:space="preserve">PEVuZE5vdGU+PENpdGU+PEF1dGhvcj5Db2xsaW5nZTwvQXV0aG9yPjxZZWFyPjIwMDg8L1llYXI+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PEVuZE5vdGU+PENpdGU+PEF1dGhvcj5Db2xsaW5nZTwvQXV0aG9yPjxZZWFyPjIwMDg8L1llYXI+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A4052B" w:rsidRPr="007A7C51">
        <w:rPr>
          <w:rFonts w:eastAsia="Calibri" w:cs="Times New Roman"/>
        </w:rPr>
      </w:r>
      <w:r w:rsidR="00A4052B" w:rsidRPr="007A7C51">
        <w:rPr>
          <w:rFonts w:eastAsia="Calibri" w:cs="Times New Roman"/>
        </w:rPr>
        <w:fldChar w:fldCharType="separate"/>
      </w:r>
      <w:r w:rsidR="0076576E" w:rsidRPr="0076576E">
        <w:rPr>
          <w:rFonts w:eastAsia="Calibri" w:cs="Times New Roman"/>
          <w:noProof/>
          <w:vertAlign w:val="superscript"/>
        </w:rPr>
        <w:t>127</w:t>
      </w:r>
      <w:r w:rsidR="00A4052B" w:rsidRPr="007A7C51">
        <w:rPr>
          <w:rFonts w:eastAsia="Calibri" w:cs="Times New Roman"/>
        </w:rPr>
        <w:fldChar w:fldCharType="end"/>
      </w:r>
      <w:r w:rsidR="00303D5A" w:rsidRPr="000B5A91">
        <w:rPr>
          <w:rFonts w:eastAsia="Calibri" w:cs="Times New Roman"/>
        </w:rPr>
        <w:t xml:space="preserve">, Collinge </w:t>
      </w:r>
      <w:r w:rsidR="00023D1B">
        <w:rPr>
          <w:rFonts w:eastAsia="Calibri" w:cs="Times New Roman"/>
        </w:rPr>
        <w:t>(</w:t>
      </w:r>
      <w:r w:rsidR="00303D5A" w:rsidRPr="000B5A91">
        <w:rPr>
          <w:rFonts w:eastAsia="Calibri" w:cs="Times New Roman"/>
        </w:rPr>
        <w:t>2006</w:t>
      </w:r>
      <w:r w:rsidR="00A4052B">
        <w:rPr>
          <w:rFonts w:eastAsia="Calibri" w:cs="Times New Roman"/>
        </w:rPr>
        <w:t>b</w:t>
      </w:r>
      <w:r w:rsidR="00303D5A" w:rsidRPr="000B5A91">
        <w:rPr>
          <w:rFonts w:eastAsia="Calibri" w:cs="Times New Roman"/>
        </w:rPr>
        <w:t>)</w:t>
      </w:r>
      <w:r w:rsidR="00023D1B">
        <w:rPr>
          <w:rFonts w:eastAsia="Calibri" w:cs="Times New Roman"/>
        </w:rPr>
        <w:fldChar w:fldCharType="begin">
          <w:fldData xml:space="preserve">PEVuZE5vdGU+PENpdGU+PEF1dGhvcj5Db2xsaW5nZTwvQXV0aG9yPjxZZWFyPjIwMDY8L1llYXI+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PEVuZE5vdGU+PENpdGU+PEF1dGhvcj5Db2xsaW5nZTwvQXV0aG9yPjxZZWFyPjIwMDY8L1llYXI+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023D1B">
        <w:rPr>
          <w:rFonts w:eastAsia="Calibri" w:cs="Times New Roman"/>
        </w:rPr>
      </w:r>
      <w:r w:rsidR="00023D1B">
        <w:rPr>
          <w:rFonts w:eastAsia="Calibri" w:cs="Times New Roman"/>
        </w:rPr>
        <w:fldChar w:fldCharType="separate"/>
      </w:r>
      <w:r w:rsidR="0076576E" w:rsidRPr="0076576E">
        <w:rPr>
          <w:rFonts w:eastAsia="Calibri" w:cs="Times New Roman"/>
          <w:noProof/>
          <w:vertAlign w:val="superscript"/>
        </w:rPr>
        <w:t>130</w:t>
      </w:r>
      <w:r w:rsidR="00023D1B">
        <w:rPr>
          <w:rFonts w:eastAsia="Calibri" w:cs="Times New Roman"/>
        </w:rPr>
        <w:fldChar w:fldCharType="end"/>
      </w:r>
      <w:r w:rsidR="00023D1B">
        <w:rPr>
          <w:rFonts w:eastAsia="Calibri" w:cs="Times New Roman"/>
        </w:rPr>
        <w:t>)</w:t>
      </w:r>
      <w:r w:rsidR="00303D5A" w:rsidRPr="000B5A91">
        <w:rPr>
          <w:rFonts w:eastAsia="Calibri" w:cs="Times New Roman"/>
        </w:rPr>
        <w:t>. However, the h</w:t>
      </w:r>
      <w:r w:rsidR="00AC0F5F">
        <w:rPr>
          <w:rFonts w:eastAsia="Calibri" w:cs="Times New Roman"/>
        </w:rPr>
        <w:t>GH</w:t>
      </w:r>
      <w:r w:rsidR="00303D5A" w:rsidRPr="000B5A91">
        <w:rPr>
          <w:rFonts w:eastAsia="Calibri" w:cs="Times New Roman"/>
        </w:rPr>
        <w:t xml:space="preserve"> data suggest that this might not always be the case, given the longer incubation times for MM homozygote patients and shorter times for VV homozygotes.</w:t>
      </w:r>
    </w:p>
    <w:p w14:paraId="484C5365" w14:textId="77777777" w:rsidR="00303D5A" w:rsidRPr="000B5A91" w:rsidRDefault="00303D5A" w:rsidP="00E0363A">
      <w:pPr>
        <w:jc w:val="both"/>
        <w:rPr>
          <w:rFonts w:eastAsia="Calibri" w:cs="Times New Roman"/>
        </w:rPr>
      </w:pPr>
    </w:p>
    <w:p w14:paraId="332836B7" w14:textId="5D5389D6" w:rsidR="00303D5A" w:rsidRPr="000B5A91" w:rsidRDefault="00303D5A" w:rsidP="00716901">
      <w:pPr>
        <w:jc w:val="both"/>
        <w:rPr>
          <w:rFonts w:eastAsia="Calibri" w:cs="Times New Roman"/>
        </w:rPr>
      </w:pPr>
      <w:r w:rsidRPr="000B5A91">
        <w:rPr>
          <w:rFonts w:eastAsia="Calibri" w:cs="Times New Roman"/>
        </w:rPr>
        <w:t>Where proportions of heterozygotes and homozygotes are similar across countries or groups, but incubation times are different, it has been proposed that differences in these incubation times might be due to infection with different strains or subtypes of the CJD agent</w:t>
      </w:r>
      <w:r w:rsidR="004B2E5E">
        <w:rPr>
          <w:rFonts w:eastAsia="Calibri" w:cs="Times New Roman"/>
        </w:rPr>
        <w:t xml:space="preserve"> </w:t>
      </w:r>
      <w:r w:rsidRPr="000B5A91">
        <w:rPr>
          <w:rFonts w:eastAsia="Calibri" w:cs="Times New Roman"/>
        </w:rPr>
        <w:t>(</w:t>
      </w:r>
      <w:r w:rsidR="004B2E5E">
        <w:rPr>
          <w:rFonts w:eastAsia="Calibri" w:cs="Times New Roman"/>
        </w:rPr>
        <w:t xml:space="preserve">Haik </w:t>
      </w:r>
      <w:r w:rsidR="004B2E5E">
        <w:rPr>
          <w:rFonts w:eastAsia="Calibri" w:cs="Times New Roman"/>
          <w:i/>
        </w:rPr>
        <w:t xml:space="preserve">et al </w:t>
      </w:r>
      <w:r w:rsidR="00910682" w:rsidRPr="000B5A91">
        <w:rPr>
          <w:rFonts w:eastAsia="Calibri" w:cs="Times New Roman"/>
        </w:rPr>
        <w:t>2014</w:t>
      </w:r>
      <w:r w:rsidR="009A3332">
        <w:rPr>
          <w:rFonts w:eastAsia="Calibri" w:cs="Times New Roman"/>
        </w:rPr>
        <w:t>,</w:t>
      </w:r>
      <w:r w:rsidR="00FC6175" w:rsidRPr="000B5A91">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PEVuZE5vdGU+PENpdGU+PEF1dGhvcj5IYWlrPC9BdXRob3I+PFllYXI+MjAxNDwvWWVhcj48UmVj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FC6175" w:rsidRPr="000B5A91">
        <w:rPr>
          <w:rFonts w:eastAsia="Calibri" w:cs="Times New Roman"/>
        </w:rPr>
      </w:r>
      <w:r w:rsidR="00FC6175" w:rsidRPr="000B5A91">
        <w:rPr>
          <w:rFonts w:eastAsia="Calibri" w:cs="Times New Roman"/>
        </w:rPr>
        <w:fldChar w:fldCharType="separate"/>
      </w:r>
      <w:r w:rsidR="0076576E" w:rsidRPr="0076576E">
        <w:rPr>
          <w:rFonts w:eastAsia="Calibri" w:cs="Times New Roman"/>
          <w:noProof/>
          <w:vertAlign w:val="superscript"/>
        </w:rPr>
        <w:t>131</w:t>
      </w:r>
      <w:r w:rsidR="00FC6175" w:rsidRPr="000B5A91">
        <w:rPr>
          <w:rFonts w:eastAsia="Calibri" w:cs="Times New Roman"/>
        </w:rPr>
        <w:fldChar w:fldCharType="end"/>
      </w:r>
      <w:r w:rsidRPr="000B5A91">
        <w:rPr>
          <w:rFonts w:eastAsia="Calibri" w:cs="Times New Roman"/>
        </w:rPr>
        <w:t xml:space="preserve"> </w:t>
      </w:r>
      <w:r w:rsidR="000859CB" w:rsidRPr="000B5A91">
        <w:rPr>
          <w:rFonts w:eastAsia="Calibri" w:cs="Times New Roman"/>
        </w:rPr>
        <w:t xml:space="preserve">Ritchie </w:t>
      </w:r>
      <w:r w:rsidR="004B2E5E">
        <w:rPr>
          <w:rFonts w:eastAsia="Calibri" w:cs="Times New Roman"/>
          <w:i/>
        </w:rPr>
        <w:t xml:space="preserve">et al </w:t>
      </w:r>
      <w:r w:rsidR="000859CB" w:rsidRPr="000B5A91">
        <w:rPr>
          <w:rFonts w:eastAsia="Calibri" w:cs="Times New Roman"/>
        </w:rPr>
        <w:t>2017)</w:t>
      </w:r>
      <w:r w:rsidR="004B2E5E">
        <w:rPr>
          <w:rFonts w:eastAsia="Calibri" w:cs="Times New Roman"/>
        </w:rPr>
        <w:t>.</w:t>
      </w:r>
      <w:r w:rsidR="00FC6175" w:rsidRPr="000B5A91">
        <w:rPr>
          <w:rFonts w:eastAsia="Calibri" w:cs="Times New Roman"/>
        </w:rPr>
        <w:fldChar w:fldCharType="begin"/>
      </w:r>
      <w:r w:rsidR="0076576E">
        <w:rPr>
          <w:rFonts w:eastAsia="Calibri" w:cs="Times New Roman"/>
        </w:rPr>
        <w:instrText xml:space="preserve"> ADDIN EN.CITE &lt;EndNote&gt;&lt;Cite&gt;&lt;Author&gt;Ritchie&lt;/Author&gt;&lt;Year&gt;2017&lt;/Year&gt;&lt;RecNum&gt;10258&lt;/RecNum&gt;&lt;DisplayText&gt;&lt;style face="superscript"&gt;136&lt;/style&gt;&lt;/DisplayText&gt;&lt;record&gt;&lt;rec-number&gt;10258&lt;/rec-number&gt;&lt;foreign-keys&gt;&lt;key app="EN" db-id="vrp0pptazv05wtesfz5vrzsj2p0rv09ttsa9" timestamp="1520851588" guid="f7449048-5417-4c42-b564-70ee88fa921e"&gt;10258&lt;/key&gt;&lt;/foreign-keys&gt;&lt;ref-type name="Journal Article"&gt;17&lt;/ref-type&gt;&lt;contributors&gt;&lt;authors&gt;&lt;author&gt;Ritchie, Diane L&lt;/author&gt;&lt;author&gt;Barria, Marcelo A&lt;/author&gt;&lt;author&gt;Peden, Alexander H&lt;/author&gt;&lt;author&gt;Yull, Helen M&lt;/author&gt;&lt;author&gt;Kirkpatrick, James&lt;/author&gt;&lt;author&gt;Adlard, Peter&lt;/author&gt;&lt;author&gt;Ironside, James W&lt;/author&gt;&lt;author&gt;Head, Mark W&lt;/author&gt;&lt;/authors&gt;&lt;/contributors&gt;&lt;titles&gt;&lt;title&gt;UK Iatrogenic Creutzfeldt–Jakob disease: investigating human prion transmission across genotypic barriers using human tissue-based and molecular approaches&lt;/title&gt;&lt;secondary-title&gt;Acta neuropathologica&lt;/secondary-title&gt;&lt;/titles&gt;&lt;periodical&gt;&lt;full-title&gt;Acta Neuropathologica&lt;/full-title&gt;&lt;/periodical&gt;&lt;pages&gt;579-595&lt;/pages&gt;&lt;volume&gt;133&lt;/volume&gt;&lt;number&gt;4&lt;/number&gt;&lt;keywords&gt;&lt;keyword&gt;$$CC_3_TSE incubation&lt;/keyword&gt;&lt;keyword&gt;$$Lesley google&lt;/keyword&gt;&lt;keyword&gt;$$CJD relevant&lt;/keyword&gt;&lt;keyword&gt;$$1_prevalence CJD&lt;/keyword&gt;&lt;/keywords&gt;&lt;dates&gt;&lt;year&gt;2017&lt;/year&gt;&lt;/dates&gt;&lt;isbn&gt;0001-6322&lt;/isbn&gt;&lt;urls&gt;&lt;/urls&gt;&lt;/record&gt;&lt;/Cite&gt;&lt;/EndNote&gt;</w:instrText>
      </w:r>
      <w:r w:rsidR="00FC6175" w:rsidRPr="000B5A91">
        <w:rPr>
          <w:rFonts w:eastAsia="Calibri" w:cs="Times New Roman"/>
        </w:rPr>
        <w:fldChar w:fldCharType="separate"/>
      </w:r>
      <w:r w:rsidR="0076576E" w:rsidRPr="0076576E">
        <w:rPr>
          <w:rFonts w:eastAsia="Calibri" w:cs="Times New Roman"/>
          <w:noProof/>
          <w:vertAlign w:val="superscript"/>
        </w:rPr>
        <w:t>136</w:t>
      </w:r>
      <w:r w:rsidR="00FC6175" w:rsidRPr="000B5A91">
        <w:rPr>
          <w:rFonts w:eastAsia="Calibri" w:cs="Times New Roman"/>
        </w:rPr>
        <w:fldChar w:fldCharType="end"/>
      </w:r>
      <w:r w:rsidRPr="000B5A91">
        <w:rPr>
          <w:rFonts w:eastAsia="Calibri" w:cs="Times New Roman"/>
        </w:rPr>
        <w:t xml:space="preserve"> </w:t>
      </w:r>
      <w:r w:rsidR="00716901">
        <w:rPr>
          <w:rFonts w:eastAsia="Calibri" w:cs="Times New Roman"/>
        </w:rPr>
        <w:t xml:space="preserve">For example, </w:t>
      </w:r>
      <w:r w:rsidR="00716901" w:rsidRPr="00716901">
        <w:rPr>
          <w:rFonts w:eastAsia="Calibri" w:cs="Times New Roman"/>
        </w:rPr>
        <w:t>most cases of hGH-iCJD in France</w:t>
      </w:r>
      <w:r w:rsidR="00716901">
        <w:rPr>
          <w:rFonts w:eastAsia="Calibri" w:cs="Times New Roman"/>
        </w:rPr>
        <w:t xml:space="preserve"> were of</w:t>
      </w:r>
      <w:r w:rsidR="00716901" w:rsidRPr="00716901">
        <w:rPr>
          <w:rFonts w:eastAsia="Calibri" w:cs="Times New Roman"/>
        </w:rPr>
        <w:t xml:space="preserve"> MM </w:t>
      </w:r>
      <w:r w:rsidR="00716901">
        <w:rPr>
          <w:rFonts w:eastAsia="Calibri" w:cs="Times New Roman"/>
        </w:rPr>
        <w:t>genotype</w:t>
      </w:r>
      <w:r w:rsidR="00716901" w:rsidRPr="00716901">
        <w:rPr>
          <w:rFonts w:eastAsia="Calibri" w:cs="Times New Roman"/>
        </w:rPr>
        <w:t>, whilst in the UK the</w:t>
      </w:r>
      <w:r w:rsidR="00BC0130">
        <w:rPr>
          <w:rFonts w:eastAsia="Calibri" w:cs="Times New Roman"/>
        </w:rPr>
        <w:t xml:space="preserve"> </w:t>
      </w:r>
      <w:r w:rsidR="00716901" w:rsidRPr="00716901">
        <w:rPr>
          <w:rFonts w:eastAsia="Calibri" w:cs="Times New Roman"/>
        </w:rPr>
        <w:t xml:space="preserve">VV and MV </w:t>
      </w:r>
      <w:r w:rsidR="00716901">
        <w:rPr>
          <w:rFonts w:eastAsia="Calibri" w:cs="Times New Roman"/>
        </w:rPr>
        <w:t>genotypes</w:t>
      </w:r>
      <w:r w:rsidR="00716901" w:rsidRPr="00716901">
        <w:rPr>
          <w:rFonts w:eastAsia="Calibri" w:cs="Times New Roman"/>
        </w:rPr>
        <w:t xml:space="preserve"> predominate</w:t>
      </w:r>
      <w:r w:rsidR="00716901">
        <w:rPr>
          <w:rFonts w:eastAsia="Calibri" w:cs="Times New Roman"/>
        </w:rPr>
        <w:t xml:space="preserve">. </w:t>
      </w:r>
      <w:r w:rsidR="004B2E5E">
        <w:rPr>
          <w:rFonts w:eastAsia="Calibri" w:cs="Times New Roman"/>
        </w:rPr>
        <w:t>I</w:t>
      </w:r>
      <w:r w:rsidRPr="000B5A91">
        <w:rPr>
          <w:rFonts w:eastAsia="Calibri" w:cs="Times New Roman"/>
        </w:rPr>
        <w:t xml:space="preserve">nfections in </w:t>
      </w:r>
      <w:r w:rsidR="00716901">
        <w:rPr>
          <w:rFonts w:eastAsia="Calibri" w:cs="Times New Roman"/>
        </w:rPr>
        <w:t xml:space="preserve">that appear to affect certain </w:t>
      </w:r>
      <w:r w:rsidRPr="000B5A91">
        <w:rPr>
          <w:rFonts w:eastAsia="Calibri" w:cs="Times New Roman"/>
        </w:rPr>
        <w:t xml:space="preserve">genotypes </w:t>
      </w:r>
      <w:r w:rsidR="004B2E5E">
        <w:rPr>
          <w:rFonts w:eastAsia="Calibri" w:cs="Times New Roman"/>
        </w:rPr>
        <w:t xml:space="preserve">per location may </w:t>
      </w:r>
      <w:r w:rsidRPr="000B5A91">
        <w:rPr>
          <w:rFonts w:eastAsia="Calibri" w:cs="Times New Roman"/>
        </w:rPr>
        <w:t>reflect an absence of genotypic resistance</w:t>
      </w:r>
      <w:r w:rsidR="00716901">
        <w:rPr>
          <w:rFonts w:eastAsia="Calibri" w:cs="Times New Roman"/>
        </w:rPr>
        <w:t xml:space="preserve"> to a particular strain</w:t>
      </w:r>
      <w:r w:rsidRPr="000B5A91">
        <w:rPr>
          <w:rFonts w:eastAsia="Calibri" w:cs="Times New Roman"/>
        </w:rPr>
        <w:t xml:space="preserve">, and </w:t>
      </w:r>
      <w:r w:rsidR="009A3332">
        <w:rPr>
          <w:rFonts w:eastAsia="Calibri" w:cs="Times New Roman"/>
        </w:rPr>
        <w:t>thus shorter incubation times. H</w:t>
      </w:r>
      <w:r w:rsidRPr="000B5A91">
        <w:rPr>
          <w:rFonts w:eastAsia="Calibri" w:cs="Times New Roman"/>
        </w:rPr>
        <w:t>ence</w:t>
      </w:r>
      <w:r w:rsidR="00645395">
        <w:rPr>
          <w:rFonts w:eastAsia="Calibri" w:cs="Times New Roman"/>
        </w:rPr>
        <w:t>,</w:t>
      </w:r>
      <w:r w:rsidR="00716901">
        <w:rPr>
          <w:rFonts w:eastAsia="Calibri" w:cs="Times New Roman"/>
        </w:rPr>
        <w:t xml:space="preserve"> </w:t>
      </w:r>
      <w:r w:rsidR="00AC0F5F">
        <w:rPr>
          <w:rFonts w:eastAsia="Calibri" w:cs="Times New Roman"/>
        </w:rPr>
        <w:t xml:space="preserve">it is believed that </w:t>
      </w:r>
      <w:r w:rsidRPr="000B5A91">
        <w:rPr>
          <w:rFonts w:eastAsia="Calibri" w:cs="Times New Roman"/>
        </w:rPr>
        <w:t xml:space="preserve">MM genotype </w:t>
      </w:r>
      <w:r w:rsidR="00716901">
        <w:rPr>
          <w:rFonts w:eastAsia="Calibri" w:cs="Times New Roman"/>
        </w:rPr>
        <w:t xml:space="preserve">in </w:t>
      </w:r>
      <w:r w:rsidR="00716901" w:rsidRPr="000B5A91">
        <w:rPr>
          <w:rFonts w:eastAsia="Calibri" w:cs="Times New Roman"/>
        </w:rPr>
        <w:t xml:space="preserve">the UK </w:t>
      </w:r>
      <w:r w:rsidR="00716901">
        <w:rPr>
          <w:rFonts w:eastAsia="Calibri" w:cs="Times New Roman"/>
        </w:rPr>
        <w:t xml:space="preserve">hGH-iCJD cohort </w:t>
      </w:r>
      <w:r w:rsidRPr="000B5A91">
        <w:rPr>
          <w:rFonts w:eastAsia="Calibri" w:cs="Times New Roman"/>
        </w:rPr>
        <w:t>ha</w:t>
      </w:r>
      <w:r w:rsidR="00716901">
        <w:rPr>
          <w:rFonts w:eastAsia="Calibri" w:cs="Times New Roman"/>
        </w:rPr>
        <w:t>d</w:t>
      </w:r>
      <w:r w:rsidRPr="000B5A91">
        <w:rPr>
          <w:rFonts w:eastAsia="Calibri" w:cs="Times New Roman"/>
        </w:rPr>
        <w:t xml:space="preserve"> the longest incubation times because the infectious stra</w:t>
      </w:r>
      <w:r w:rsidR="009A3332">
        <w:rPr>
          <w:rFonts w:eastAsia="Calibri" w:cs="Times New Roman"/>
        </w:rPr>
        <w:t>in was of the VV or MV genotype</w:t>
      </w:r>
      <w:r w:rsidRPr="000B5A91">
        <w:rPr>
          <w:rFonts w:eastAsia="Calibri" w:cs="Times New Roman"/>
        </w:rPr>
        <w:t>. Other possible factors include higher infectious doses and/or differences in the actual data, for example where the precise date of likely contamination is known, incubation times appear to be shorter (</w:t>
      </w:r>
      <w:r w:rsidR="009A3332">
        <w:rPr>
          <w:rFonts w:eastAsia="Calibri" w:cs="Times New Roman"/>
        </w:rPr>
        <w:t xml:space="preserve">Brown </w:t>
      </w:r>
      <w:r w:rsidR="009A3332">
        <w:rPr>
          <w:rFonts w:eastAsia="Calibri" w:cs="Times New Roman"/>
          <w:i/>
        </w:rPr>
        <w:t xml:space="preserve">et al </w:t>
      </w:r>
      <w:r w:rsidR="00334D92" w:rsidRPr="000B5A91">
        <w:rPr>
          <w:rFonts w:eastAsia="Calibri" w:cs="Times New Roman"/>
        </w:rPr>
        <w:t>2012)</w:t>
      </w:r>
      <w:r w:rsidR="00A7277A">
        <w:rPr>
          <w:rFonts w:eastAsia="Calibri" w:cs="Times New Roman"/>
        </w:rPr>
        <w:t>.</w:t>
      </w:r>
      <w:r w:rsidR="00FC6175" w:rsidRPr="000B5A91">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 </w:instrText>
      </w:r>
      <w:r w:rsidR="00D63CDB">
        <w:rPr>
          <w:rFonts w:eastAsia="Calibri" w:cs="Times New Roman"/>
        </w:rPr>
        <w:fldChar w:fldCharType="begin">
          <w:fldData xml:space="preserve">PEVuZE5vdGU+PENpdGU+PEF1dGhvcj5Ccm93bjwvQXV0aG9yPjxZZWFyPjIwMTI8L1llYXI+PFJl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</w:fldData>
        </w:fldChar>
      </w:r>
      <w:r w:rsidR="00D63CDB">
        <w:rPr>
          <w:rFonts w:eastAsia="Calibri" w:cs="Times New Roman"/>
        </w:rPr>
        <w:instrText xml:space="preserve"> ADDIN EN.CITE.DATA </w:instrText>
      </w:r>
      <w:r w:rsidR="00D63CDB">
        <w:rPr>
          <w:rFonts w:eastAsia="Calibri" w:cs="Times New Roman"/>
        </w:rPr>
      </w:r>
      <w:r w:rsidR="00D63CDB">
        <w:rPr>
          <w:rFonts w:eastAsia="Calibri" w:cs="Times New Roman"/>
        </w:rPr>
        <w:fldChar w:fldCharType="end"/>
      </w:r>
      <w:r w:rsidR="00FC6175" w:rsidRPr="000B5A91">
        <w:rPr>
          <w:rFonts w:eastAsia="Calibri" w:cs="Times New Roman"/>
        </w:rPr>
      </w:r>
      <w:r w:rsidR="00FC6175" w:rsidRPr="000B5A91">
        <w:rPr>
          <w:rFonts w:eastAsia="Calibri" w:cs="Times New Roman"/>
        </w:rPr>
        <w:fldChar w:fldCharType="separate"/>
      </w:r>
      <w:r w:rsidR="001D65B2" w:rsidRPr="001D65B2">
        <w:rPr>
          <w:rFonts w:eastAsia="Calibri" w:cs="Times New Roman"/>
          <w:noProof/>
          <w:vertAlign w:val="superscript"/>
        </w:rPr>
        <w:t>3</w:t>
      </w:r>
      <w:r w:rsidR="00FC6175" w:rsidRPr="000B5A91">
        <w:rPr>
          <w:rFonts w:eastAsia="Calibri" w:cs="Times New Roman"/>
        </w:rPr>
        <w:fldChar w:fldCharType="end"/>
      </w:r>
    </w:p>
    <w:p w14:paraId="394A0A18" w14:textId="77777777" w:rsidR="00735A8E" w:rsidRDefault="00735A8E" w:rsidP="00E0363A">
      <w:pPr>
        <w:jc w:val="both"/>
        <w:rPr>
          <w:rFonts w:eastAsia="Calibri" w:cs="Times New Roman"/>
        </w:rPr>
      </w:pPr>
    </w:p>
    <w:p w14:paraId="2720612B" w14:textId="588E3E25" w:rsidR="00303D5A" w:rsidRPr="000B5A91" w:rsidRDefault="00735A8E" w:rsidP="00E0363A">
      <w:pPr>
        <w:jc w:val="both"/>
        <w:rPr>
          <w:rFonts w:eastAsia="Calibri" w:cs="Times New Roman"/>
        </w:rPr>
      </w:pPr>
      <w:r>
        <w:rPr>
          <w:rFonts w:eastAsia="Calibri" w:cs="Times New Roman"/>
        </w:rPr>
        <w:t>D</w:t>
      </w:r>
      <w:r>
        <w:t>iagnoses of sCJD could potentially be made that are actually iatrogenic in origin.</w:t>
      </w:r>
      <w:r w:rsidR="00303D5A" w:rsidRPr="000B5A91">
        <w:rPr>
          <w:rFonts w:eastAsia="Calibri" w:cs="Times New Roman"/>
        </w:rPr>
        <w:t xml:space="preserve"> </w:t>
      </w:r>
      <w:r w:rsidR="0070703D">
        <w:rPr>
          <w:rFonts w:eastAsia="Calibri" w:cs="Times New Roman"/>
        </w:rPr>
        <w:t>Correct identification can be difficult</w:t>
      </w:r>
      <w:r w:rsidR="00303D5A" w:rsidRPr="000B5A91">
        <w:rPr>
          <w:rFonts w:eastAsia="Calibri" w:cs="Times New Roman"/>
        </w:rPr>
        <w:t xml:space="preserve"> </w:t>
      </w:r>
      <w:r w:rsidR="0037182C" w:rsidRPr="000B5A91">
        <w:rPr>
          <w:rFonts w:eastAsia="Calibri" w:cs="Times New Roman"/>
        </w:rPr>
        <w:t>if</w:t>
      </w:r>
      <w:r w:rsidR="00303D5A" w:rsidRPr="000B5A91">
        <w:rPr>
          <w:rFonts w:eastAsia="Calibri" w:cs="Times New Roman"/>
        </w:rPr>
        <w:t xml:space="preserve"> </w:t>
      </w:r>
      <w:r w:rsidR="0070703D">
        <w:rPr>
          <w:rFonts w:eastAsia="Calibri" w:cs="Times New Roman"/>
        </w:rPr>
        <w:t>cases</w:t>
      </w:r>
      <w:r>
        <w:rPr>
          <w:rFonts w:eastAsia="Calibri" w:cs="Times New Roman"/>
        </w:rPr>
        <w:t xml:space="preserve"> of iCJD may</w:t>
      </w:r>
      <w:r w:rsidR="0070703D">
        <w:rPr>
          <w:rFonts w:eastAsia="Calibri" w:cs="Times New Roman"/>
        </w:rPr>
        <w:t xml:space="preserve"> initially </w:t>
      </w:r>
      <w:r>
        <w:rPr>
          <w:rFonts w:eastAsia="Calibri" w:cs="Times New Roman"/>
        </w:rPr>
        <w:t xml:space="preserve">be </w:t>
      </w:r>
      <w:r w:rsidR="0070703D">
        <w:rPr>
          <w:rFonts w:eastAsia="Calibri" w:cs="Times New Roman"/>
        </w:rPr>
        <w:t xml:space="preserve">presenting as </w:t>
      </w:r>
      <w:r>
        <w:rPr>
          <w:rFonts w:eastAsia="Calibri" w:cs="Times New Roman"/>
        </w:rPr>
        <w:t>sCJD</w:t>
      </w:r>
      <w:r w:rsidR="00303D5A" w:rsidRPr="000B5A91">
        <w:rPr>
          <w:rFonts w:eastAsia="Calibri" w:cs="Times New Roman"/>
        </w:rPr>
        <w:t xml:space="preserve">. </w:t>
      </w:r>
      <w:r w:rsidR="000859CB" w:rsidRPr="000B5A91">
        <w:rPr>
          <w:rFonts w:eastAsia="Calibri" w:cs="Times New Roman"/>
        </w:rPr>
        <w:t>Ritchie (2017)</w:t>
      </w:r>
      <w:r w:rsidR="00FC6175" w:rsidRPr="000B5A91">
        <w:rPr>
          <w:rFonts w:eastAsia="Calibri" w:cs="Times New Roman"/>
        </w:rPr>
        <w:fldChar w:fldCharType="begin"/>
      </w:r>
      <w:r w:rsidR="0076576E">
        <w:rPr>
          <w:rFonts w:eastAsia="Calibri" w:cs="Times New Roman"/>
        </w:rPr>
        <w:instrText xml:space="preserve"> ADDIN EN.CITE &lt;EndNote&gt;&lt;Cite&gt;&lt;Author&gt;Ritchie&lt;/Author&gt;&lt;Year&gt;2017&lt;/Year&gt;&lt;RecNum&gt;10258&lt;/RecNum&gt;&lt;DisplayText&gt;&lt;style face="superscript"&gt;136&lt;/style&gt;&lt;/DisplayText&gt;&lt;record&gt;&lt;rec-number&gt;10258&lt;/rec-number&gt;&lt;foreign-keys&gt;&lt;key app="EN" db-id="vrp0pptazv05wtesfz5vrzsj2p0rv09ttsa9" timestamp="1520851588" guid="f7449048-5417-4c42-b564-70ee88fa921e"&gt;10258&lt;/key&gt;&lt;/foreign-keys&gt;&lt;ref-type name="Journal Article"&gt;17&lt;/ref-type&gt;&lt;contributors&gt;&lt;authors&gt;&lt;author&gt;Ritchie, Diane L&lt;/author&gt;&lt;author&gt;Barria, Marcelo A&lt;/author&gt;&lt;author&gt;Peden, Alexander H&lt;/author&gt;&lt;author&gt;Yull, Helen M&lt;/author&gt;&lt;author&gt;Kirkpatrick, James&lt;/author&gt;&lt;author&gt;Adlard, Peter&lt;/author&gt;&lt;author&gt;Ironside, James W&lt;/author&gt;&lt;author&gt;Head, Mark W&lt;/author&gt;&lt;/authors&gt;&lt;/contributors&gt;&lt;titles&gt;&lt;title&gt;UK Iatrogenic Creutzfeldt–Jakob disease: investigating human prion transmission across genotypic barriers using human tissue-based and molecular approaches&lt;/title&gt;&lt;secondary-title&gt;Acta neuropathologica&lt;/secondary-title&gt;&lt;/titles&gt;&lt;periodical&gt;&lt;full-title&gt;Acta Neuropathologica&lt;/full-title&gt;&lt;/periodical&gt;&lt;pages&gt;579-595&lt;/pages&gt;&lt;volume&gt;133&lt;/volume&gt;&lt;number&gt;4&lt;/number&gt;&lt;keywords&gt;&lt;keyword&gt;$$CC_3_TSE incubation&lt;/keyword&gt;&lt;keyword&gt;$$Lesley google&lt;/keyword&gt;&lt;keyword&gt;$$CJD relevant&lt;/keyword&gt;&lt;keyword&gt;$$1_prevalence CJD&lt;/keyword&gt;&lt;/keywords&gt;&lt;dates&gt;&lt;year&gt;2017&lt;/year&gt;&lt;/dates&gt;&lt;isbn&gt;0001-6322&lt;/isbn&gt;&lt;urls&gt;&lt;/urls&gt;&lt;/record&gt;&lt;/Cite&gt;&lt;/EndNote&gt;</w:instrText>
      </w:r>
      <w:r w:rsidR="00FC6175" w:rsidRPr="000B5A91">
        <w:rPr>
          <w:rFonts w:eastAsia="Calibri" w:cs="Times New Roman"/>
        </w:rPr>
        <w:fldChar w:fldCharType="separate"/>
      </w:r>
      <w:r w:rsidR="0076576E" w:rsidRPr="0076576E">
        <w:rPr>
          <w:rFonts w:eastAsia="Calibri" w:cs="Times New Roman"/>
          <w:noProof/>
          <w:vertAlign w:val="superscript"/>
        </w:rPr>
        <w:t>136</w:t>
      </w:r>
      <w:r w:rsidR="00FC6175" w:rsidRPr="000B5A91">
        <w:rPr>
          <w:rFonts w:eastAsia="Calibri" w:cs="Times New Roman"/>
        </w:rPr>
        <w:fldChar w:fldCharType="end"/>
      </w:r>
      <w:r w:rsidR="00303D5A" w:rsidRPr="000B5A91">
        <w:rPr>
          <w:rFonts w:eastAsia="Calibri" w:cs="Times New Roman"/>
        </w:rPr>
        <w:t>and Kobayashi (2015)</w:t>
      </w:r>
      <w:r w:rsidR="00FC6175" w:rsidRPr="000B5A91">
        <w:rPr>
          <w:rFonts w:eastAsia="Calibri" w:cs="Times New Roman"/>
        </w:rPr>
        <w:fldChar w:fldCharType="begin">
          <w:fldData xml:space="preserve">PEVuZE5vdGU+PENpdGU+PEF1dGhvcj5Lb2JheWFzaGk8L0F1dGhvcj48WWVhcj4yMDE1PC9ZZWFy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=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PEVuZE5vdGU+PENpdGU+PEF1dGhvcj5Lb2JheWFzaGk8L0F1dGhvcj48WWVhcj4yMDE1PC9ZZWFy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=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FC6175" w:rsidRPr="000B5A91">
        <w:rPr>
          <w:rFonts w:eastAsia="Calibri" w:cs="Times New Roman"/>
        </w:rPr>
      </w:r>
      <w:r w:rsidR="00FC6175" w:rsidRPr="000B5A91">
        <w:rPr>
          <w:rFonts w:eastAsia="Calibri" w:cs="Times New Roman"/>
        </w:rPr>
        <w:fldChar w:fldCharType="separate"/>
      </w:r>
      <w:r w:rsidR="0076576E" w:rsidRPr="0076576E">
        <w:rPr>
          <w:rFonts w:eastAsia="Calibri" w:cs="Times New Roman"/>
          <w:noProof/>
          <w:vertAlign w:val="superscript"/>
        </w:rPr>
        <w:t>141</w:t>
      </w:r>
      <w:r w:rsidR="00FC6175" w:rsidRPr="000B5A91">
        <w:rPr>
          <w:rFonts w:eastAsia="Calibri" w:cs="Times New Roman"/>
        </w:rPr>
        <w:fldChar w:fldCharType="end"/>
      </w:r>
      <w:r w:rsidR="00303D5A" w:rsidRPr="000B5A91">
        <w:rPr>
          <w:rFonts w:eastAsia="Calibri" w:cs="Times New Roman"/>
        </w:rPr>
        <w:t xml:space="preserve"> report that some o</w:t>
      </w:r>
      <w:r w:rsidR="00DB5DF1" w:rsidRPr="000B5A91">
        <w:rPr>
          <w:rFonts w:eastAsia="Calibri" w:cs="Times New Roman"/>
        </w:rPr>
        <w:t>f</w:t>
      </w:r>
      <w:r w:rsidR="00303D5A" w:rsidRPr="000B5A91">
        <w:rPr>
          <w:rFonts w:eastAsia="Calibri" w:cs="Times New Roman"/>
        </w:rPr>
        <w:t xml:space="preserve"> the MM1 genotype present as sCJD, but others might be able to be distinguished as iCJD based on the presence of kuru p</w:t>
      </w:r>
      <w:r w:rsidR="00F05B7F">
        <w:rPr>
          <w:rFonts w:eastAsia="Calibri" w:cs="Times New Roman"/>
        </w:rPr>
        <w:t>la</w:t>
      </w:r>
      <w:r w:rsidR="00303D5A" w:rsidRPr="000B5A91">
        <w:rPr>
          <w:rFonts w:eastAsia="Calibri" w:cs="Times New Roman"/>
        </w:rPr>
        <w:t xml:space="preserve">ques: this has been demonstrated for hGH in the UK by </w:t>
      </w:r>
      <w:r w:rsidR="000859CB" w:rsidRPr="000B5A91">
        <w:rPr>
          <w:rFonts w:eastAsia="Calibri" w:cs="Times New Roman"/>
        </w:rPr>
        <w:t>Ritchie (2017).</w:t>
      </w:r>
      <w:r w:rsidR="00FC6175" w:rsidRPr="000B5A91">
        <w:rPr>
          <w:rFonts w:eastAsia="Calibri" w:cs="Times New Roman"/>
        </w:rPr>
        <w:fldChar w:fldCharType="begin"/>
      </w:r>
      <w:r w:rsidR="0076576E">
        <w:rPr>
          <w:rFonts w:eastAsia="Calibri" w:cs="Times New Roman"/>
        </w:rPr>
        <w:instrText xml:space="preserve"> ADDIN EN.CITE &lt;EndNote&gt;&lt;Cite&gt;&lt;Author&gt;Ritchie&lt;/Author&gt;&lt;Year&gt;2017&lt;/Year&gt;&lt;RecNum&gt;10258&lt;/RecNum&gt;&lt;DisplayText&gt;&lt;style face="superscript"&gt;136&lt;/style&gt;&lt;/DisplayText&gt;&lt;record&gt;&lt;rec-number&gt;10258&lt;/rec-number&gt;&lt;foreign-keys&gt;&lt;key app="EN" db-id="vrp0pptazv05wtesfz5vrzsj2p0rv09ttsa9" timestamp="1520851588" guid="f7449048-5417-4c42-b564-70ee88fa921e"&gt;10258&lt;/key&gt;&lt;/foreign-keys&gt;&lt;ref-type name="Journal Article"&gt;17&lt;/ref-type&gt;&lt;contributors&gt;&lt;authors&gt;&lt;author&gt;Ritchie, Diane L&lt;/author&gt;&lt;author&gt;Barria, Marcelo A&lt;/author&gt;&lt;author&gt;Peden, Alexander H&lt;/author&gt;&lt;author&gt;Yull, Helen M&lt;/author&gt;&lt;author&gt;Kirkpatrick, James&lt;/author&gt;&lt;author&gt;Adlard, Peter&lt;/author&gt;&lt;author&gt;Ironside, James W&lt;/author&gt;&lt;author&gt;Head, Mark W&lt;/author&gt;&lt;/authors&gt;&lt;/contributors&gt;&lt;titles&gt;&lt;title&gt;UK Iatrogenic Creutzfeldt–Jakob disease: investigating human prion transmission across genotypic barriers using human tissue-based and molecular approaches&lt;/title&gt;&lt;secondary-title&gt;Acta neuropathologica&lt;/secondary-title&gt;&lt;/titles&gt;&lt;periodical&gt;&lt;full-title&gt;Acta Neuropathologica&lt;/full-title&gt;&lt;/periodical&gt;&lt;pages&gt;579-595&lt;/pages&gt;&lt;volume&gt;133&lt;/volume&gt;&lt;number&gt;4&lt;/number&gt;&lt;keywords&gt;&lt;keyword&gt;$$CC_3_TSE incubation&lt;/keyword&gt;&lt;keyword&gt;$$Lesley google&lt;/keyword&gt;&lt;keyword&gt;$$CJD relevant&lt;/keyword&gt;&lt;keyword&gt;$$1_prevalence CJD&lt;/keyword&gt;&lt;/keywords&gt;&lt;dates&gt;&lt;year&gt;2017&lt;/year&gt;&lt;/dates&gt;&lt;isbn&gt;0001-6322&lt;/isbn&gt;&lt;urls&gt;&lt;/urls&gt;&lt;/record&gt;&lt;/Cite&gt;&lt;/EndNote&gt;</w:instrText>
      </w:r>
      <w:r w:rsidR="00FC6175" w:rsidRPr="000B5A91">
        <w:rPr>
          <w:rFonts w:eastAsia="Calibri" w:cs="Times New Roman"/>
        </w:rPr>
        <w:fldChar w:fldCharType="separate"/>
      </w:r>
      <w:r w:rsidR="0076576E" w:rsidRPr="0076576E">
        <w:rPr>
          <w:rFonts w:eastAsia="Calibri" w:cs="Times New Roman"/>
          <w:noProof/>
          <w:vertAlign w:val="superscript"/>
        </w:rPr>
        <w:t>136</w:t>
      </w:r>
      <w:r w:rsidR="00FC6175" w:rsidRPr="000B5A91">
        <w:rPr>
          <w:rFonts w:eastAsia="Calibri" w:cs="Times New Roman"/>
        </w:rPr>
        <w:fldChar w:fldCharType="end"/>
      </w:r>
      <w:r w:rsidR="00303D5A" w:rsidRPr="000B5A91">
        <w:rPr>
          <w:rFonts w:eastAsia="Calibri" w:cs="Times New Roman"/>
        </w:rPr>
        <w:t xml:space="preserve"> Consequently, there might be more evidence forthcoming on incubation of iCJD as more cases are identified that previously were considered to be sCJD, </w:t>
      </w:r>
      <w:r w:rsidR="00AC0F5F">
        <w:rPr>
          <w:rFonts w:eastAsia="Calibri" w:cs="Times New Roman"/>
        </w:rPr>
        <w:t>but revised to</w:t>
      </w:r>
      <w:r w:rsidR="00303D5A" w:rsidRPr="000B5A91">
        <w:rPr>
          <w:rFonts w:eastAsia="Calibri" w:cs="Times New Roman"/>
        </w:rPr>
        <w:t xml:space="preserve"> iCJD</w:t>
      </w:r>
      <w:r w:rsidR="0037182C" w:rsidRPr="000B5A91">
        <w:rPr>
          <w:rFonts w:eastAsia="Calibri" w:cs="Times New Roman"/>
        </w:rPr>
        <w:t xml:space="preserve"> following neuropathological examination</w:t>
      </w:r>
      <w:r w:rsidR="00303D5A" w:rsidRPr="000B5A91">
        <w:rPr>
          <w:rFonts w:eastAsia="Calibri" w:cs="Times New Roman"/>
        </w:rPr>
        <w:t>.</w:t>
      </w:r>
    </w:p>
    <w:p w14:paraId="0066D6B6" w14:textId="46F5B983" w:rsidR="000B5A91" w:rsidRPr="00BC0130" w:rsidRDefault="000B5A91" w:rsidP="00E0363A">
      <w:pPr>
        <w:rPr>
          <w:rFonts w:eastAsiaTheme="majorEastAsia" w:cs="Times New Roman"/>
          <w:b/>
        </w:rPr>
      </w:pPr>
    </w:p>
    <w:p w14:paraId="3C4342CF" w14:textId="686493B6" w:rsidR="00767562" w:rsidRPr="009F5584" w:rsidRDefault="00923105" w:rsidP="004642FD">
      <w:pPr>
        <w:pStyle w:val="Heading2"/>
      </w:pPr>
      <w:bookmarkStart w:id="59" w:name="_Toc525106664"/>
      <w:r>
        <w:t>2.5</w:t>
      </w:r>
      <w:r w:rsidR="00767562" w:rsidRPr="009F5584">
        <w:tab/>
        <w:t>The infectivity of CJD</w:t>
      </w:r>
      <w:bookmarkEnd w:id="59"/>
    </w:p>
    <w:p w14:paraId="79ADA631" w14:textId="78BF9BF0" w:rsidR="004375C7" w:rsidRDefault="007C7CE1" w:rsidP="004642FD">
      <w:pPr>
        <w:autoSpaceDE w:val="0"/>
        <w:autoSpaceDN w:val="0"/>
        <w:adjustRightInd w:val="0"/>
        <w:jc w:val="both"/>
        <w:rPr>
          <w:rFonts w:cs="Times New Roman"/>
        </w:rPr>
      </w:pPr>
      <w:r w:rsidRPr="000B5A91">
        <w:rPr>
          <w:rFonts w:cs="Times New Roman"/>
        </w:rPr>
        <w:t xml:space="preserve">The purpose of this review was to identify </w:t>
      </w:r>
      <w:r w:rsidR="00C66445" w:rsidRPr="000B5A91">
        <w:rPr>
          <w:rFonts w:cs="Times New Roman"/>
        </w:rPr>
        <w:t xml:space="preserve">relevant </w:t>
      </w:r>
      <w:r w:rsidRPr="000B5A91">
        <w:rPr>
          <w:rFonts w:cs="Times New Roman"/>
        </w:rPr>
        <w:t xml:space="preserve">published and unpublished evidence </w:t>
      </w:r>
      <w:r w:rsidR="00C66445" w:rsidRPr="000B5A91">
        <w:rPr>
          <w:rFonts w:cs="Times New Roman"/>
        </w:rPr>
        <w:t>on the</w:t>
      </w:r>
      <w:r w:rsidRPr="000B5A91">
        <w:rPr>
          <w:rFonts w:cs="Times New Roman"/>
        </w:rPr>
        <w:t xml:space="preserve"> infectiousness of CJD in terms of CJD type, subtype or prion strain, genotype of the recipient, infectivity of infectious tissue,</w:t>
      </w:r>
      <w:r w:rsidR="00AA3D49">
        <w:rPr>
          <w:rFonts w:cs="Times New Roman"/>
        </w:rPr>
        <w:t xml:space="preserve"> and the</w:t>
      </w:r>
      <w:r w:rsidRPr="000B5A91">
        <w:rPr>
          <w:rFonts w:cs="Times New Roman"/>
        </w:rPr>
        <w:t xml:space="preserve"> infectious mass required to transmit CJD. </w:t>
      </w:r>
    </w:p>
    <w:p w14:paraId="28312DE9" w14:textId="77777777" w:rsidR="004642FD" w:rsidRPr="000B5A91" w:rsidRDefault="004642FD" w:rsidP="004642FD">
      <w:pPr>
        <w:autoSpaceDE w:val="0"/>
        <w:autoSpaceDN w:val="0"/>
        <w:adjustRightInd w:val="0"/>
        <w:jc w:val="both"/>
        <w:rPr>
          <w:rFonts w:cs="Times New Roman"/>
        </w:rPr>
      </w:pPr>
    </w:p>
    <w:p w14:paraId="7B66D091" w14:textId="5951932C" w:rsidR="00767562" w:rsidRDefault="004375C7" w:rsidP="004642FD">
      <w:pPr>
        <w:autoSpaceDE w:val="0"/>
        <w:autoSpaceDN w:val="0"/>
        <w:adjustRightInd w:val="0"/>
        <w:jc w:val="both"/>
        <w:rPr>
          <w:rFonts w:cs="Times New Roman"/>
        </w:rPr>
      </w:pPr>
      <w:r w:rsidRPr="000B5A91">
        <w:rPr>
          <w:rFonts w:cs="Times New Roman"/>
        </w:rPr>
        <w:t>Few relevant papers addressing the research question in humans were identified</w:t>
      </w:r>
      <w:r w:rsidR="00131156">
        <w:rPr>
          <w:rFonts w:cs="Times New Roman"/>
        </w:rPr>
        <w:t>;</w:t>
      </w:r>
      <w:r w:rsidRPr="000B5A91">
        <w:rPr>
          <w:rFonts w:cs="Times New Roman"/>
        </w:rPr>
        <w:t xml:space="preserve"> however</w:t>
      </w:r>
      <w:r w:rsidR="00131156">
        <w:rPr>
          <w:rFonts w:cs="Times New Roman"/>
        </w:rPr>
        <w:t>,</w:t>
      </w:r>
      <w:r w:rsidRPr="000B5A91">
        <w:rPr>
          <w:rFonts w:cs="Times New Roman"/>
        </w:rPr>
        <w:t xml:space="preserve"> </w:t>
      </w:r>
      <w:r w:rsidR="00740DCB">
        <w:rPr>
          <w:rFonts w:cs="Times New Roman"/>
        </w:rPr>
        <w:t>38</w:t>
      </w:r>
      <w:r w:rsidR="00CB6B56" w:rsidRPr="000B5A91">
        <w:rPr>
          <w:rFonts w:cs="Times New Roman"/>
        </w:rPr>
        <w:t xml:space="preserve"> papers </w:t>
      </w:r>
      <w:r w:rsidRPr="000B5A91">
        <w:rPr>
          <w:rFonts w:cs="Times New Roman"/>
        </w:rPr>
        <w:t xml:space="preserve">from a range of scientific approaches </w:t>
      </w:r>
      <w:r w:rsidR="00CB6B56" w:rsidRPr="000B5A91">
        <w:rPr>
          <w:rFonts w:cs="Times New Roman"/>
        </w:rPr>
        <w:t>were</w:t>
      </w:r>
      <w:r w:rsidRPr="000B5A91">
        <w:rPr>
          <w:rFonts w:cs="Times New Roman"/>
        </w:rPr>
        <w:t xml:space="preserve"> found</w:t>
      </w:r>
      <w:r w:rsidR="00CB6B56" w:rsidRPr="000B5A91">
        <w:rPr>
          <w:rFonts w:cs="Times New Roman"/>
        </w:rPr>
        <w:t xml:space="preserve"> </w:t>
      </w:r>
      <w:r w:rsidR="00900FAE" w:rsidRPr="000B5A91">
        <w:rPr>
          <w:rFonts w:cs="Times New Roman"/>
        </w:rPr>
        <w:t xml:space="preserve">to </w:t>
      </w:r>
      <w:r w:rsidR="00CB6B56" w:rsidRPr="000B5A91">
        <w:rPr>
          <w:rFonts w:cs="Times New Roman"/>
        </w:rPr>
        <w:t xml:space="preserve">highlight themes that potentially relate to CJD infectivity. Therefore, papers were organised thematically </w:t>
      </w:r>
      <w:r w:rsidRPr="000B5A91">
        <w:rPr>
          <w:rFonts w:cs="Times New Roman"/>
        </w:rPr>
        <w:t>for</w:t>
      </w:r>
      <w:r w:rsidR="00333F34" w:rsidRPr="000B5A91">
        <w:rPr>
          <w:rFonts w:cs="Times New Roman"/>
        </w:rPr>
        <w:t xml:space="preserve"> CJD infectivity </w:t>
      </w:r>
      <w:r w:rsidR="00CB6B56" w:rsidRPr="000B5A91">
        <w:rPr>
          <w:rFonts w:cs="Times New Roman"/>
        </w:rPr>
        <w:t xml:space="preserve">and are presented as a narrative secondary </w:t>
      </w:r>
      <w:r w:rsidR="00F676EF" w:rsidRPr="000B5A91">
        <w:rPr>
          <w:rFonts w:cs="Times New Roman"/>
        </w:rPr>
        <w:t>discourse</w:t>
      </w:r>
      <w:r w:rsidR="00CB6B56" w:rsidRPr="000B5A91">
        <w:rPr>
          <w:rFonts w:cs="Times New Roman"/>
        </w:rPr>
        <w:t>.</w:t>
      </w:r>
    </w:p>
    <w:p w14:paraId="0D01218A" w14:textId="313112E7" w:rsidR="00B42D01" w:rsidRPr="000B5A91" w:rsidRDefault="00B42D01" w:rsidP="004642FD">
      <w:pPr>
        <w:autoSpaceDE w:val="0"/>
        <w:autoSpaceDN w:val="0"/>
        <w:adjustRightInd w:val="0"/>
        <w:jc w:val="both"/>
        <w:rPr>
          <w:rFonts w:cs="Times New Roman"/>
        </w:rPr>
      </w:pPr>
    </w:p>
    <w:p w14:paraId="0D7F12DA" w14:textId="340C5921" w:rsidR="00C66445" w:rsidRPr="004B3740" w:rsidRDefault="00F70CC2" w:rsidP="00B42D01">
      <w:pPr>
        <w:pStyle w:val="Heading3"/>
        <w:rPr>
          <w:b w:val="0"/>
          <w:i/>
          <w:szCs w:val="22"/>
        </w:rPr>
      </w:pPr>
      <w:r w:rsidRPr="00AB3D40">
        <w:rPr>
          <w:b w:val="0"/>
          <w:i/>
          <w:szCs w:val="22"/>
        </w:rPr>
        <w:t>2.5.1</w:t>
      </w:r>
      <w:r w:rsidRPr="00AB3D40">
        <w:rPr>
          <w:b w:val="0"/>
          <w:i/>
          <w:szCs w:val="22"/>
        </w:rPr>
        <w:tab/>
      </w:r>
      <w:r w:rsidR="00B42D01" w:rsidRPr="002D4EA3">
        <w:rPr>
          <w:b w:val="0"/>
          <w:i/>
          <w:szCs w:val="22"/>
        </w:rPr>
        <w:t xml:space="preserve">Studies </w:t>
      </w:r>
      <w:r w:rsidRPr="004B3740">
        <w:rPr>
          <w:b w:val="0"/>
          <w:i/>
          <w:szCs w:val="22"/>
        </w:rPr>
        <w:t>discussing</w:t>
      </w:r>
      <w:r w:rsidR="00B42D01" w:rsidRPr="004B3740">
        <w:rPr>
          <w:b w:val="0"/>
          <w:i/>
          <w:szCs w:val="22"/>
        </w:rPr>
        <w:t xml:space="preserve"> the infectivity of CJD</w:t>
      </w:r>
    </w:p>
    <w:p w14:paraId="025962AD" w14:textId="1162A748" w:rsidR="000A21F8" w:rsidRPr="00F05B7F" w:rsidRDefault="002323F8" w:rsidP="00B42D01">
      <w:pPr>
        <w:pStyle w:val="Heading4"/>
        <w:rPr>
          <w:b/>
          <w:sz w:val="22"/>
          <w:szCs w:val="22"/>
        </w:rPr>
      </w:pPr>
      <w:r w:rsidRPr="00F05B7F">
        <w:rPr>
          <w:sz w:val="22"/>
          <w:szCs w:val="22"/>
        </w:rPr>
        <w:t>I</w:t>
      </w:r>
      <w:r w:rsidR="000A21F8" w:rsidRPr="00F05B7F">
        <w:rPr>
          <w:sz w:val="22"/>
          <w:szCs w:val="22"/>
        </w:rPr>
        <w:t>nfectious mass required to transmit CJD</w:t>
      </w:r>
    </w:p>
    <w:p w14:paraId="27E9E9C8" w14:textId="08009DDE" w:rsidR="005D7C43" w:rsidRDefault="00305D00" w:rsidP="004642FD">
      <w:pPr>
        <w:autoSpaceDE w:val="0"/>
        <w:autoSpaceDN w:val="0"/>
        <w:adjustRightInd w:val="0"/>
        <w:jc w:val="both"/>
        <w:rPr>
          <w:rFonts w:cs="Times New Roman"/>
        </w:rPr>
      </w:pPr>
      <w:r w:rsidRPr="000C07FF">
        <w:rPr>
          <w:rFonts w:eastAsia="Calibri" w:cs="Times New Roman"/>
        </w:rPr>
        <w:t>The risk of any individual becoming infected by CJD is considered to be related to the dose of infectious mate</w:t>
      </w:r>
      <w:r w:rsidR="004375C7" w:rsidRPr="000C07FF">
        <w:rPr>
          <w:rFonts w:eastAsia="Calibri" w:cs="Times New Roman"/>
        </w:rPr>
        <w:t xml:space="preserve">rial received. </w:t>
      </w:r>
      <w:r w:rsidR="00B50F30">
        <w:rPr>
          <w:rFonts w:cs="Times New Roman"/>
        </w:rPr>
        <w:t>A quantitative estimation of infect</w:t>
      </w:r>
      <w:r w:rsidR="00C1676F">
        <w:rPr>
          <w:rFonts w:cs="Times New Roman"/>
        </w:rPr>
        <w:t xml:space="preserve">ivity in CJD </w:t>
      </w:r>
      <w:r w:rsidR="005D7C43" w:rsidRPr="000C07FF">
        <w:rPr>
          <w:rFonts w:cs="Times New Roman"/>
        </w:rPr>
        <w:t xml:space="preserve">is </w:t>
      </w:r>
      <w:r w:rsidR="00B50F30">
        <w:rPr>
          <w:rFonts w:cs="Times New Roman"/>
        </w:rPr>
        <w:t xml:space="preserve">traditionally ascertained using end-point dilution </w:t>
      </w:r>
      <w:r w:rsidR="00C1676F">
        <w:rPr>
          <w:rFonts w:cs="Times New Roman"/>
        </w:rPr>
        <w:t xml:space="preserve">titration and </w:t>
      </w:r>
      <w:r w:rsidR="00F05B7F">
        <w:rPr>
          <w:rFonts w:cs="Times New Roman"/>
        </w:rPr>
        <w:t>is</w:t>
      </w:r>
      <w:r w:rsidR="00C1676F">
        <w:rPr>
          <w:rFonts w:cs="Times New Roman"/>
        </w:rPr>
        <w:t xml:space="preserve"> expressed as median infective dose in terms of ID</w:t>
      </w:r>
      <w:r w:rsidR="00C1676F" w:rsidRPr="00C1676F">
        <w:rPr>
          <w:rFonts w:cs="Times New Roman"/>
          <w:vertAlign w:val="subscript"/>
        </w:rPr>
        <w:t>50</w:t>
      </w:r>
      <w:r w:rsidR="00D25530">
        <w:rPr>
          <w:rFonts w:cs="Times New Roman"/>
          <w:vertAlign w:val="subscript"/>
        </w:rPr>
        <w:t>s</w:t>
      </w:r>
      <w:r w:rsidR="00C1676F">
        <w:rPr>
          <w:rFonts w:cs="Times New Roman"/>
        </w:rPr>
        <w:t>. O</w:t>
      </w:r>
      <w:r w:rsidR="00297D3F" w:rsidRPr="000C07FF">
        <w:rPr>
          <w:rFonts w:cs="Times New Roman"/>
        </w:rPr>
        <w:t>ne</w:t>
      </w:r>
      <w:r w:rsidR="005D7C43" w:rsidRPr="000C07FF">
        <w:rPr>
          <w:rFonts w:cs="Times New Roman"/>
        </w:rPr>
        <w:t xml:space="preserve"> ID</w:t>
      </w:r>
      <w:r w:rsidR="005D7C43" w:rsidRPr="00C1676F">
        <w:rPr>
          <w:rFonts w:cs="Times New Roman"/>
          <w:vertAlign w:val="subscript"/>
        </w:rPr>
        <w:t>50</w:t>
      </w:r>
      <w:r w:rsidR="005D7C43" w:rsidRPr="000C07FF">
        <w:rPr>
          <w:rFonts w:cs="Times New Roman"/>
        </w:rPr>
        <w:t xml:space="preserve"> </w:t>
      </w:r>
      <w:r w:rsidR="00C1676F">
        <w:rPr>
          <w:rFonts w:cs="Times New Roman"/>
        </w:rPr>
        <w:t>is considered to be</w:t>
      </w:r>
      <w:r w:rsidR="005D7C43" w:rsidRPr="000C07FF">
        <w:rPr>
          <w:rFonts w:cs="Times New Roman"/>
        </w:rPr>
        <w:t xml:space="preserve"> </w:t>
      </w:r>
      <w:r w:rsidR="00297D3F" w:rsidRPr="000C07FF">
        <w:rPr>
          <w:rFonts w:cs="Times New Roman"/>
        </w:rPr>
        <w:t>t</w:t>
      </w:r>
      <w:r w:rsidR="005D7C43" w:rsidRPr="000C07FF">
        <w:rPr>
          <w:rFonts w:cs="Times New Roman"/>
        </w:rPr>
        <w:t>he dose needed to infect 50% of individuals receiving it.</w:t>
      </w:r>
    </w:p>
    <w:p w14:paraId="5E3C3285" w14:textId="77777777" w:rsidR="004642FD" w:rsidRPr="000C07FF" w:rsidRDefault="004642FD" w:rsidP="004642FD">
      <w:pPr>
        <w:autoSpaceDE w:val="0"/>
        <w:autoSpaceDN w:val="0"/>
        <w:adjustRightInd w:val="0"/>
        <w:jc w:val="both"/>
        <w:rPr>
          <w:rFonts w:cs="Times New Roman"/>
        </w:rPr>
      </w:pPr>
    </w:p>
    <w:p w14:paraId="4BB763D5" w14:textId="0C52F530" w:rsidR="005D7C43" w:rsidRDefault="004375C7" w:rsidP="004642FD">
      <w:pPr>
        <w:autoSpaceDE w:val="0"/>
        <w:autoSpaceDN w:val="0"/>
        <w:adjustRightInd w:val="0"/>
        <w:jc w:val="both"/>
        <w:rPr>
          <w:rFonts w:cs="Times New Roman"/>
        </w:rPr>
      </w:pPr>
      <w:r w:rsidRPr="000C07FF">
        <w:rPr>
          <w:rFonts w:eastAsia="Calibri" w:cs="Times New Roman"/>
        </w:rPr>
        <w:t>N</w:t>
      </w:r>
      <w:r w:rsidR="00305D00" w:rsidRPr="000C07FF">
        <w:rPr>
          <w:rFonts w:eastAsia="Calibri" w:cs="Times New Roman"/>
        </w:rPr>
        <w:t>o new evidence regarding the quantity of infective material required to transmit CJD in humans</w:t>
      </w:r>
      <w:r w:rsidR="000A21F8" w:rsidRPr="000C07FF">
        <w:rPr>
          <w:rFonts w:eastAsia="Calibri" w:cs="Times New Roman"/>
        </w:rPr>
        <w:t xml:space="preserve"> </w:t>
      </w:r>
      <w:r w:rsidR="00305D00" w:rsidRPr="000C07FF">
        <w:rPr>
          <w:rFonts w:eastAsia="Calibri" w:cs="Times New Roman"/>
        </w:rPr>
        <w:t xml:space="preserve">was identified </w:t>
      </w:r>
      <w:r w:rsidR="000A21F8" w:rsidRPr="000C07FF">
        <w:rPr>
          <w:rFonts w:cs="Times New Roman"/>
        </w:rPr>
        <w:t>in the peri</w:t>
      </w:r>
      <w:r w:rsidR="00305D00" w:rsidRPr="000C07FF">
        <w:rPr>
          <w:rFonts w:cs="Times New Roman"/>
        </w:rPr>
        <w:t>od covered by the searches. T</w:t>
      </w:r>
      <w:r w:rsidR="000A21F8" w:rsidRPr="000C07FF">
        <w:rPr>
          <w:rFonts w:cs="Times New Roman"/>
        </w:rPr>
        <w:t>he</w:t>
      </w:r>
      <w:r w:rsidR="00305D00" w:rsidRPr="000C07FF">
        <w:rPr>
          <w:rFonts w:cs="Times New Roman"/>
        </w:rPr>
        <w:t xml:space="preserve"> estimations </w:t>
      </w:r>
      <w:r w:rsidR="00297D3F" w:rsidRPr="000C07FF">
        <w:rPr>
          <w:rFonts w:cs="Times New Roman"/>
        </w:rPr>
        <w:t xml:space="preserve">used in </w:t>
      </w:r>
      <w:r w:rsidR="00AA3A0C" w:rsidRPr="000C07FF">
        <w:rPr>
          <w:rFonts w:cs="Times New Roman"/>
        </w:rPr>
        <w:t xml:space="preserve">the original </w:t>
      </w:r>
      <w:r w:rsidR="00DF087B" w:rsidRPr="000C07FF">
        <w:rPr>
          <w:rFonts w:cs="Times New Roman"/>
        </w:rPr>
        <w:t>mathematical</w:t>
      </w:r>
      <w:r w:rsidR="00AA3A0C" w:rsidRPr="000C07FF">
        <w:rPr>
          <w:rFonts w:cs="Times New Roman"/>
        </w:rPr>
        <w:t xml:space="preserve"> model</w:t>
      </w:r>
      <w:r w:rsidR="00297D3F" w:rsidRPr="000C07FF">
        <w:rPr>
          <w:rFonts w:cs="Times New Roman"/>
        </w:rPr>
        <w:t xml:space="preserve"> to estimate risk of vCJD transmission via surgery (Stevenson </w:t>
      </w:r>
      <w:r w:rsidR="00B301D6" w:rsidRPr="00B301D6">
        <w:rPr>
          <w:rFonts w:cs="Times New Roman"/>
          <w:i/>
        </w:rPr>
        <w:t>et al</w:t>
      </w:r>
      <w:r w:rsidR="00297D3F" w:rsidRPr="000C07FF">
        <w:rPr>
          <w:rFonts w:cs="Times New Roman"/>
        </w:rPr>
        <w:t xml:space="preserve"> </w:t>
      </w:r>
      <w:r w:rsidR="00481317">
        <w:rPr>
          <w:rFonts w:cs="Times New Roman"/>
        </w:rPr>
        <w:t>(</w:t>
      </w:r>
      <w:r w:rsidR="00297D3F" w:rsidRPr="000C07FF">
        <w:rPr>
          <w:rFonts w:cs="Times New Roman"/>
        </w:rPr>
        <w:t>2009</w:t>
      </w:r>
      <w:r w:rsidR="00481317">
        <w:rPr>
          <w:rFonts w:cs="Times New Roman"/>
        </w:rPr>
        <w:t>)</w:t>
      </w:r>
      <w:r w:rsidR="006A3FBC" w:rsidRPr="000C07FF">
        <w:rPr>
          <w:rFonts w:cs="Times New Roman"/>
        </w:rPr>
        <w:fldChar w:fldCharType="begin"/>
      </w:r>
      <w:r w:rsidR="00D63CDB">
        <w:rPr>
          <w:rFonts w:cs="Times New Roman"/>
        </w:rPr>
        <w:instrText xml:space="preserve"> ADDIN EN.CITE &lt;EndNote&gt;&lt;Cite&gt;&lt;Author&gt;Stevenson&lt;/Author&gt;&lt;Year&gt;2009&lt;/Year&gt;&lt;RecNum&gt;799&lt;/RecNum&gt;&lt;DisplayText&gt;&lt;style face="superscript"&gt;12&lt;/style&gt;&lt;/DisplayText&gt;&lt;record&gt;&lt;rec-number&gt;799&lt;/rec-number&gt;&lt;foreign-keys&gt;&lt;key app="EN" db-id="vrp0pptazv05wtesfz5vrzsj2p0rv09ttsa9" timestamp="1520851592" guid="272c99db-a4fa-4b8b-b57c-96e92fbdca9f"&gt;799&lt;/key&gt;&lt;key app="ENWeb" db-id=""&gt;0&lt;/key&gt;&lt;/foreign-keys&gt;&lt;ref-type name="Journal Article"&gt;17&lt;/ref-type&gt;&lt;contributors&gt;&lt;authors&gt;&lt;author&gt;Stevenson, M. D.&lt;/author&gt;&lt;author&gt;Oakley, J. E.&lt;/author&gt;&lt;author&gt;Chick, S. E.&lt;/author&gt;&lt;author&gt;Chalkidou, K.&lt;/author&gt;&lt;/authors&gt;&lt;/contributors&gt;&lt;titles&gt;&lt;title&gt;The cost-effectiveness of surgical instrument management policies to reduce the risk of vCJD transmission to humans&lt;/title&gt;&lt;secondary-title&gt;Journal of the Operational Research Society&lt;/secondary-title&gt;&lt;/titles&gt;&lt;periodical&gt;&lt;full-title&gt;Journal of the Operational Research Society&lt;/full-title&gt;&lt;/periodical&gt;&lt;pages&gt;506-518&lt;/pages&gt;&lt;volume&gt;60&lt;/volume&gt;&lt;number&gt;4&lt;/number&gt;&lt;keywords&gt;&lt;keyword&gt;$$LU_4_CJD infectivity&lt;/keyword&gt;&lt;keyword&gt;$$CJD relevant&lt;/keyword&gt;&lt;keyword&gt;$$Matt&lt;/keyword&gt;&lt;keyword&gt;$$Lesley added for protocol&lt;/keyword&gt;&lt;/keywords&gt;&lt;dates&gt;&lt;year&gt;2009&lt;/year&gt;&lt;pub-dates&gt;&lt;date&gt;Apr&lt;/date&gt;&lt;/pub-dates&gt;&lt;/dates&gt;&lt;isbn&gt;0160-5682&lt;/isbn&gt;&lt;accession-num&gt;WOS:000263995000006&lt;/accession-num&gt;&lt;urls&gt;&lt;related-urls&gt;&lt;url&gt;&lt;style face="underline" font="default" size="100%"&gt;&amp;lt;Go to ISI&amp;gt;://WOS:000263995000006&lt;/style&gt;&lt;/url&gt;&lt;url&gt;&lt;style face="underline" font="default" size="100%"&gt;https://link.springer.com/content/pdf/10.1057%2Fpalgrave.jors.2602580.pdf&lt;/style&gt;&lt;/url&gt;&lt;/related-urls&gt;&lt;/urls&gt;&lt;electronic-resource-num&gt;10.1057/palgrave.jors.2602580&lt;/electronic-resource-num&gt;&lt;remote-database-name&gt;WoS costs&lt;/remote-database-name&gt;&lt;/record&gt;&lt;/Cite&gt;&lt;/EndNote&gt;</w:instrText>
      </w:r>
      <w:r w:rsidR="006A3FBC" w:rsidRPr="000C07FF">
        <w:rPr>
          <w:rFonts w:cs="Times New Roman"/>
        </w:rPr>
        <w:fldChar w:fldCharType="separate"/>
      </w:r>
      <w:r w:rsidR="005C50C5" w:rsidRPr="005C50C5">
        <w:rPr>
          <w:rFonts w:cs="Times New Roman"/>
          <w:noProof/>
          <w:vertAlign w:val="superscript"/>
        </w:rPr>
        <w:t>12</w:t>
      </w:r>
      <w:r w:rsidR="006A3FBC" w:rsidRPr="000C07FF">
        <w:rPr>
          <w:rFonts w:cs="Times New Roman"/>
        </w:rPr>
        <w:fldChar w:fldCharType="end"/>
      </w:r>
      <w:r w:rsidR="00297D3F" w:rsidRPr="000C07FF">
        <w:rPr>
          <w:rFonts w:cs="Times New Roman"/>
        </w:rPr>
        <w:t xml:space="preserve"> and Bennet</w:t>
      </w:r>
      <w:r w:rsidR="00DF087B" w:rsidRPr="000C07FF">
        <w:rPr>
          <w:rFonts w:cs="Times New Roman"/>
        </w:rPr>
        <w:t>t</w:t>
      </w:r>
      <w:r w:rsidR="00297D3F" w:rsidRPr="000C07FF">
        <w:rPr>
          <w:rFonts w:cs="Times New Roman"/>
        </w:rPr>
        <w:t xml:space="preserve"> </w:t>
      </w:r>
      <w:r w:rsidR="00B301D6" w:rsidRPr="00B301D6">
        <w:rPr>
          <w:rFonts w:cs="Times New Roman"/>
          <w:i/>
        </w:rPr>
        <w:t>et al</w:t>
      </w:r>
      <w:r w:rsidR="00297D3F" w:rsidRPr="000C07FF">
        <w:rPr>
          <w:rFonts w:cs="Times New Roman"/>
        </w:rPr>
        <w:t xml:space="preserve"> </w:t>
      </w:r>
      <w:r w:rsidR="00481317">
        <w:rPr>
          <w:rFonts w:cs="Times New Roman"/>
        </w:rPr>
        <w:t>(</w:t>
      </w:r>
      <w:r w:rsidR="00297D3F" w:rsidRPr="000C07FF">
        <w:rPr>
          <w:rFonts w:cs="Times New Roman"/>
        </w:rPr>
        <w:t>2005</w:t>
      </w:r>
      <w:r w:rsidR="00481317">
        <w:rPr>
          <w:rFonts w:cs="Times New Roman"/>
        </w:rPr>
        <w:t>)</w:t>
      </w:r>
      <w:r w:rsidR="006A3FBC" w:rsidRPr="000C07FF">
        <w:rPr>
          <w:rFonts w:cs="Times New Roman"/>
        </w:rPr>
        <w:fldChar w:fldCharType="begin"/>
      </w:r>
      <w:r w:rsidR="00D63CDB">
        <w:rPr>
          <w:rFonts w:cs="Times New Roman"/>
        </w:rPr>
        <w:instrText xml:space="preserve"> ADDIN EN.CITE &lt;EndNote&gt;&lt;Cite&gt;&lt;Author&gt;Bennett&lt;/Author&gt;&lt;Year&gt;2005&lt;/Year&gt;&lt;RecNum&gt;1966&lt;/RecNum&gt;&lt;DisplayText&gt;&lt;style face="superscript"&gt;13&lt;/style&gt;&lt;/DisplayText&gt;&lt;record&gt;&lt;rec-number&gt;1966&lt;/rec-number&gt;&lt;foreign-keys&gt;&lt;key app="EN" db-id="vrp0pptazv05wtesfz5vrzsj2p0rv09ttsa9" timestamp="1506587022" guid="c7e291d3-2906-44a4-8fb0-bed6990be6aa"&gt;1966&lt;/key&gt;&lt;/foreign-keys&gt;&lt;ref-type name="Journal Article"&gt;17&lt;/ref-type&gt;&lt;contributors&gt;&lt;authors&gt;&lt;author&gt;Bennett, P.&lt;/author&gt;&lt;author&gt;Hare, A.&lt;/author&gt;&lt;author&gt;Townshend, J.&lt;/author&gt;&lt;/authors&gt;&lt;/contributors&gt;&lt;titles&gt;&lt;title&gt;Assessing the risk of vCJD transmission via surgery: models for uncertainty and complexity&lt;/title&gt;&lt;secondary-title&gt;Journal of the Operational Research Society&lt;/secondary-title&gt;&lt;/titles&gt;&lt;periodical&gt;&lt;full-title&gt;Journal of the Operational Research Society&lt;/full-title&gt;&lt;/periodical&gt;&lt;pages&gt;202-213&lt;/pages&gt;&lt;volume&gt;56&lt;/volume&gt;&lt;number&gt;2&lt;/number&gt;&lt;keywords&gt;&lt;keyword&gt;$$LU_4_CJD infectivity&lt;/keyword&gt;&lt;keyword&gt;$$Background&lt;/keyword&gt;&lt;keyword&gt;$$abstract&lt;/keyword&gt;&lt;keyword&gt;$$In File&lt;/keyword&gt;&lt;keyword&gt;$$CJD relevant&lt;/keyword&gt;&lt;keyword&gt;$$2_surgery transmission risk&lt;/keyword&gt;&lt;keyword&gt;$$flag for Matt&lt;/keyword&gt;&lt;keyword&gt;$$Matt&lt;/keyword&gt;&lt;/keywords&gt;&lt;dates&gt;&lt;year&gt;2005&lt;/year&gt;&lt;pub-dates&gt;&lt;date&gt;Feb&lt;/date&gt;&lt;/pub-dates&gt;&lt;/dates&gt;&lt;isbn&gt;0160-5682&lt;/isbn&gt;&lt;accession-num&gt;WOS:000226509800010&lt;/accession-num&gt;&lt;urls&gt;&lt;related-urls&gt;&lt;url&gt;&lt;style face="underline" font="default" size="100%"&gt;&amp;lt;Go to ISI&amp;gt;://WOS:000226509800010&lt;/style&gt;&lt;/url&gt;&lt;url&gt;&lt;style face="underline" font="default" size="100%"&gt;https://link.springer.com/content/pdf/10.1057%2Fpalgrave.jors.2601899.pdf&lt;/style&gt;&lt;/url&gt;&lt;/related-urls&gt;&lt;/urls&gt;&lt;electronic-resource-num&gt;10.1057/palgrave.jors.2601899&lt;/electronic-resource-num&gt;&lt;/record&gt;&lt;/Cite&gt;&lt;/EndNote&gt;</w:instrText>
      </w:r>
      <w:r w:rsidR="006A3FBC" w:rsidRPr="000C07FF">
        <w:rPr>
          <w:rFonts w:cs="Times New Roman"/>
        </w:rPr>
        <w:fldChar w:fldCharType="separate"/>
      </w:r>
      <w:r w:rsidR="005C50C5" w:rsidRPr="005C50C5">
        <w:rPr>
          <w:rFonts w:cs="Times New Roman"/>
          <w:noProof/>
          <w:vertAlign w:val="superscript"/>
        </w:rPr>
        <w:t>13</w:t>
      </w:r>
      <w:r w:rsidR="006A3FBC" w:rsidRPr="000C07FF">
        <w:rPr>
          <w:rFonts w:cs="Times New Roman"/>
        </w:rPr>
        <w:fldChar w:fldCharType="end"/>
      </w:r>
      <w:r w:rsidR="00297D3F" w:rsidRPr="000C07FF">
        <w:rPr>
          <w:rFonts w:cs="Times New Roman"/>
        </w:rPr>
        <w:t>)</w:t>
      </w:r>
      <w:r w:rsidR="00AA3A0C" w:rsidRPr="000C07FF">
        <w:rPr>
          <w:rFonts w:cs="Times New Roman"/>
        </w:rPr>
        <w:t xml:space="preserve"> and implemented in IPG196 reported in</w:t>
      </w:r>
      <w:r w:rsidR="000B5A91" w:rsidRPr="000C07FF">
        <w:rPr>
          <w:rFonts w:cs="Times New Roman"/>
        </w:rPr>
        <w:t xml:space="preserve"> </w:t>
      </w:r>
      <w:r w:rsidR="000B5A91" w:rsidRPr="000C07FF">
        <w:rPr>
          <w:rFonts w:cs="Times New Roman"/>
          <w:highlight w:val="magenta"/>
        </w:rPr>
        <w:fldChar w:fldCharType="begin"/>
      </w:r>
      <w:r w:rsidR="000B5A91" w:rsidRPr="000C07FF">
        <w:rPr>
          <w:rFonts w:cs="Times New Roman"/>
        </w:rPr>
        <w:instrText xml:space="preserve"> REF _Ref514062538 \h </w:instrText>
      </w:r>
      <w:r w:rsidR="000C07FF" w:rsidRPr="000C07FF">
        <w:rPr>
          <w:rFonts w:cs="Times New Roman"/>
          <w:highlight w:val="magenta"/>
        </w:rPr>
        <w:instrText xml:space="preserve"> \* MERGEFORMAT </w:instrText>
      </w:r>
      <w:r w:rsidR="000B5A91" w:rsidRPr="000C07FF">
        <w:rPr>
          <w:rFonts w:cs="Times New Roman"/>
          <w:highlight w:val="magenta"/>
        </w:rPr>
      </w:r>
      <w:r w:rsidR="000B5A91" w:rsidRPr="000C07FF">
        <w:rPr>
          <w:rFonts w:cs="Times New Roman"/>
          <w:highlight w:val="magenta"/>
        </w:rPr>
        <w:fldChar w:fldCharType="separate"/>
      </w:r>
      <w:r w:rsidR="00690541" w:rsidRPr="00690541">
        <w:rPr>
          <w:rFonts w:cs="Times New Roman"/>
        </w:rPr>
        <w:t xml:space="preserve">Table </w:t>
      </w:r>
      <w:r w:rsidR="00690541" w:rsidRPr="00690541">
        <w:rPr>
          <w:rFonts w:cs="Times New Roman"/>
          <w:noProof/>
        </w:rPr>
        <w:t>11</w:t>
      </w:r>
      <w:r w:rsidR="000B5A91" w:rsidRPr="000C07FF">
        <w:rPr>
          <w:rFonts w:cs="Times New Roman"/>
          <w:highlight w:val="magenta"/>
        </w:rPr>
        <w:fldChar w:fldCharType="end"/>
      </w:r>
      <w:r w:rsidR="00AA3A0C" w:rsidRPr="000C07FF">
        <w:rPr>
          <w:rFonts w:cs="Times New Roman"/>
        </w:rPr>
        <w:t>)</w:t>
      </w:r>
      <w:r w:rsidR="008869CA">
        <w:rPr>
          <w:rFonts w:cs="Times New Roman"/>
        </w:rPr>
        <w:t>.</w:t>
      </w:r>
    </w:p>
    <w:p w14:paraId="466AF0CF" w14:textId="77777777" w:rsidR="004642FD" w:rsidRPr="00280DD0" w:rsidRDefault="004642FD" w:rsidP="004642FD">
      <w:pPr>
        <w:autoSpaceDE w:val="0"/>
        <w:autoSpaceDN w:val="0"/>
        <w:adjustRightInd w:val="0"/>
        <w:jc w:val="both"/>
        <w:rPr>
          <w:rFonts w:cs="Times New Roman"/>
        </w:rPr>
      </w:pPr>
    </w:p>
    <w:p w14:paraId="0B82CC33" w14:textId="3D96A688" w:rsidR="000B5A91" w:rsidRDefault="000B5A91" w:rsidP="006E1D8B">
      <w:pPr>
        <w:pStyle w:val="Caption"/>
        <w:keepNext/>
        <w:spacing w:line="360" w:lineRule="auto"/>
        <w:ind w:left="1440" w:hanging="1440"/>
      </w:pPr>
      <w:bookmarkStart w:id="60" w:name="_Ref514062538"/>
      <w:bookmarkStart w:id="61" w:name="_Toc525106698"/>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11</w:t>
      </w:r>
      <w:r w:rsidR="00F62DB8">
        <w:rPr>
          <w:noProof/>
        </w:rPr>
        <w:fldChar w:fldCharType="end"/>
      </w:r>
      <w:bookmarkEnd w:id="60"/>
      <w:r>
        <w:t>:</w:t>
      </w:r>
      <w:r w:rsidR="006E1D8B">
        <w:tab/>
      </w:r>
      <w:r>
        <w:t>Estimated infectious titre of human tissue by surgical procedure</w:t>
      </w:r>
      <w:r w:rsidR="006A3FBC">
        <w:t xml:space="preserve"> in NICE IPG196</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677"/>
        <w:gridCol w:w="1650"/>
      </w:tblGrid>
      <w:tr w:rsidR="003405FA" w:rsidRPr="000C07FF" w14:paraId="6B688D14" w14:textId="77777777" w:rsidTr="00D25530">
        <w:tc>
          <w:tcPr>
            <w:tcW w:w="2689" w:type="dxa"/>
          </w:tcPr>
          <w:p w14:paraId="58CEB4BC" w14:textId="491E85AE" w:rsidR="003405FA" w:rsidRPr="000C07FF" w:rsidRDefault="005D7C43" w:rsidP="00851AC2">
            <w:pPr>
              <w:autoSpaceDE w:val="0"/>
              <w:autoSpaceDN w:val="0"/>
              <w:adjustRightInd w:val="0"/>
              <w:spacing w:line="240" w:lineRule="auto"/>
              <w:jc w:val="both"/>
              <w:rPr>
                <w:rFonts w:cs="Times New Roman"/>
              </w:rPr>
            </w:pPr>
            <w:r w:rsidRPr="000C07FF">
              <w:rPr>
                <w:rFonts w:cs="Times New Roman"/>
              </w:rPr>
              <w:t>R</w:t>
            </w:r>
            <w:r w:rsidR="004375C7" w:rsidRPr="000C07FF">
              <w:rPr>
                <w:rFonts w:cs="Times New Roman"/>
              </w:rPr>
              <w:t xml:space="preserve">isk of CJD transmission </w:t>
            </w:r>
          </w:p>
        </w:tc>
        <w:tc>
          <w:tcPr>
            <w:tcW w:w="4677" w:type="dxa"/>
          </w:tcPr>
          <w:p w14:paraId="0CF87AC6" w14:textId="5670E2DE" w:rsidR="003405FA" w:rsidRPr="000C07FF" w:rsidRDefault="005D7C43" w:rsidP="00851AC2">
            <w:pPr>
              <w:autoSpaceDE w:val="0"/>
              <w:autoSpaceDN w:val="0"/>
              <w:adjustRightInd w:val="0"/>
              <w:spacing w:line="240" w:lineRule="auto"/>
              <w:jc w:val="both"/>
              <w:rPr>
                <w:rFonts w:cs="Times New Roman"/>
              </w:rPr>
            </w:pPr>
            <w:r w:rsidRPr="000C07FF">
              <w:rPr>
                <w:rFonts w:cs="Times New Roman"/>
              </w:rPr>
              <w:t>S</w:t>
            </w:r>
            <w:r w:rsidR="004375C7" w:rsidRPr="000C07FF">
              <w:rPr>
                <w:rFonts w:cs="Times New Roman"/>
              </w:rPr>
              <w:t>urgical procedure</w:t>
            </w:r>
          </w:p>
        </w:tc>
        <w:tc>
          <w:tcPr>
            <w:tcW w:w="1650" w:type="dxa"/>
          </w:tcPr>
          <w:p w14:paraId="338AB5AD" w14:textId="3FDA7956" w:rsidR="003405FA" w:rsidRPr="000C07FF" w:rsidRDefault="00A15E17" w:rsidP="00851AC2">
            <w:pPr>
              <w:autoSpaceDE w:val="0"/>
              <w:autoSpaceDN w:val="0"/>
              <w:adjustRightInd w:val="0"/>
              <w:spacing w:line="240" w:lineRule="auto"/>
              <w:jc w:val="both"/>
              <w:rPr>
                <w:rFonts w:cs="Times New Roman"/>
              </w:rPr>
            </w:pPr>
            <w:r w:rsidRPr="000C07FF">
              <w:rPr>
                <w:rFonts w:cs="Times New Roman"/>
              </w:rPr>
              <w:t>Infecti</w:t>
            </w:r>
            <w:r w:rsidR="004375C7" w:rsidRPr="000C07FF">
              <w:rPr>
                <w:rFonts w:cs="Times New Roman"/>
              </w:rPr>
              <w:t>vity</w:t>
            </w:r>
          </w:p>
        </w:tc>
      </w:tr>
      <w:tr w:rsidR="003405FA" w:rsidRPr="000C07FF" w14:paraId="670C4BBB" w14:textId="77777777" w:rsidTr="00D25530">
        <w:tc>
          <w:tcPr>
            <w:tcW w:w="2689" w:type="dxa"/>
          </w:tcPr>
          <w:p w14:paraId="24F9334D" w14:textId="67658395" w:rsidR="003405FA" w:rsidRPr="000C07FF" w:rsidRDefault="003405FA" w:rsidP="00851AC2">
            <w:pPr>
              <w:autoSpaceDE w:val="0"/>
              <w:autoSpaceDN w:val="0"/>
              <w:adjustRightInd w:val="0"/>
              <w:spacing w:line="240" w:lineRule="auto"/>
              <w:jc w:val="both"/>
              <w:rPr>
                <w:rFonts w:cs="Times New Roman"/>
              </w:rPr>
            </w:pPr>
            <w:r w:rsidRPr="000C07FF">
              <w:rPr>
                <w:rFonts w:cs="Times New Roman"/>
              </w:rPr>
              <w:t xml:space="preserve">High </w:t>
            </w:r>
          </w:p>
        </w:tc>
        <w:tc>
          <w:tcPr>
            <w:tcW w:w="4677" w:type="dxa"/>
          </w:tcPr>
          <w:p w14:paraId="21635233" w14:textId="0C149468" w:rsidR="003405FA" w:rsidRPr="000C07FF" w:rsidRDefault="003405FA" w:rsidP="00851AC2">
            <w:pPr>
              <w:autoSpaceDE w:val="0"/>
              <w:autoSpaceDN w:val="0"/>
              <w:adjustRightInd w:val="0"/>
              <w:spacing w:line="240" w:lineRule="auto"/>
              <w:jc w:val="both"/>
              <w:rPr>
                <w:rFonts w:cs="Times New Roman"/>
              </w:rPr>
            </w:pPr>
            <w:r w:rsidRPr="000C07FF">
              <w:rPr>
                <w:rFonts w:cs="Times New Roman"/>
              </w:rPr>
              <w:t>Brain</w:t>
            </w:r>
            <w:r w:rsidR="005D7C43" w:rsidRPr="000C07FF">
              <w:rPr>
                <w:rFonts w:cs="Times New Roman"/>
              </w:rPr>
              <w:t xml:space="preserve"> and pituitary gland</w:t>
            </w:r>
          </w:p>
          <w:p w14:paraId="3642E5C9" w14:textId="5F285D5E" w:rsidR="003405FA" w:rsidRPr="000C07FF" w:rsidRDefault="003405FA" w:rsidP="00851AC2">
            <w:pPr>
              <w:autoSpaceDE w:val="0"/>
              <w:autoSpaceDN w:val="0"/>
              <w:adjustRightInd w:val="0"/>
              <w:spacing w:line="240" w:lineRule="auto"/>
              <w:jc w:val="both"/>
              <w:rPr>
                <w:rFonts w:cs="Times New Roman"/>
              </w:rPr>
            </w:pPr>
            <w:r w:rsidRPr="000C07FF">
              <w:rPr>
                <w:rFonts w:cs="Times New Roman"/>
              </w:rPr>
              <w:t>Posterior eye</w:t>
            </w:r>
            <w:r w:rsidR="00341F00" w:rsidRPr="000C07FF">
              <w:rPr>
                <w:rFonts w:cs="Times New Roman"/>
              </w:rPr>
              <w:t>, retina and optic nerve</w:t>
            </w:r>
          </w:p>
          <w:p w14:paraId="5C9C2B33" w14:textId="2B4F89ED" w:rsidR="003405FA" w:rsidRPr="000C07FF" w:rsidRDefault="003405FA" w:rsidP="00851AC2">
            <w:pPr>
              <w:autoSpaceDE w:val="0"/>
              <w:autoSpaceDN w:val="0"/>
              <w:adjustRightInd w:val="0"/>
              <w:spacing w:line="240" w:lineRule="auto"/>
              <w:jc w:val="both"/>
              <w:rPr>
                <w:rFonts w:cs="Times New Roman"/>
              </w:rPr>
            </w:pPr>
            <w:r w:rsidRPr="000C07FF">
              <w:rPr>
                <w:rFonts w:cs="Times New Roman"/>
              </w:rPr>
              <w:t>Intradural spine operations</w:t>
            </w:r>
          </w:p>
          <w:p w14:paraId="0731CE58" w14:textId="672A1F55" w:rsidR="003405FA" w:rsidRPr="000C07FF" w:rsidRDefault="003405FA" w:rsidP="00851AC2">
            <w:pPr>
              <w:autoSpaceDE w:val="0"/>
              <w:autoSpaceDN w:val="0"/>
              <w:adjustRightInd w:val="0"/>
              <w:spacing w:line="240" w:lineRule="auto"/>
              <w:jc w:val="both"/>
              <w:rPr>
                <w:rFonts w:cs="Times New Roman"/>
              </w:rPr>
            </w:pPr>
            <w:r w:rsidRPr="000C07FF">
              <w:rPr>
                <w:rFonts w:cs="Times New Roman"/>
              </w:rPr>
              <w:t>Neuroendoscopy</w:t>
            </w:r>
          </w:p>
        </w:tc>
        <w:tc>
          <w:tcPr>
            <w:tcW w:w="1650" w:type="dxa"/>
          </w:tcPr>
          <w:p w14:paraId="1CC5B061" w14:textId="1339AA57" w:rsidR="003405FA" w:rsidRPr="000C07FF" w:rsidRDefault="00A15E17" w:rsidP="00851AC2">
            <w:pPr>
              <w:autoSpaceDE w:val="0"/>
              <w:autoSpaceDN w:val="0"/>
              <w:adjustRightInd w:val="0"/>
              <w:spacing w:line="240" w:lineRule="auto"/>
              <w:jc w:val="both"/>
              <w:rPr>
                <w:rFonts w:cs="Times New Roman"/>
              </w:rPr>
            </w:pPr>
            <w:r w:rsidRPr="000C07FF">
              <w:rPr>
                <w:rFonts w:cs="Times New Roman"/>
              </w:rPr>
              <w:t>10</w:t>
            </w:r>
            <w:r w:rsidRPr="000C07FF">
              <w:rPr>
                <w:rFonts w:cs="Times New Roman"/>
                <w:vertAlign w:val="superscript"/>
              </w:rPr>
              <w:t xml:space="preserve">8 </w:t>
            </w:r>
            <w:r w:rsidRPr="000C07FF">
              <w:rPr>
                <w:rFonts w:cs="Times New Roman"/>
              </w:rPr>
              <w:t>ID</w:t>
            </w:r>
            <w:r w:rsidRPr="00D25530">
              <w:rPr>
                <w:rFonts w:cs="Times New Roman"/>
                <w:vertAlign w:val="subscript"/>
              </w:rPr>
              <w:t>50</w:t>
            </w:r>
            <w:r w:rsidR="00D25530">
              <w:rPr>
                <w:rFonts w:cs="Times New Roman"/>
                <w:vertAlign w:val="subscript"/>
              </w:rPr>
              <w:t>s</w:t>
            </w:r>
            <w:r w:rsidRPr="000C07FF">
              <w:rPr>
                <w:rFonts w:cs="Times New Roman"/>
              </w:rPr>
              <w:t xml:space="preserve"> / g</w:t>
            </w:r>
          </w:p>
        </w:tc>
      </w:tr>
      <w:tr w:rsidR="003405FA" w:rsidRPr="000C07FF" w14:paraId="79BEBBDD" w14:textId="77777777" w:rsidTr="00D25530">
        <w:trPr>
          <w:trHeight w:val="274"/>
        </w:trPr>
        <w:tc>
          <w:tcPr>
            <w:tcW w:w="2689" w:type="dxa"/>
          </w:tcPr>
          <w:p w14:paraId="5DC2449C" w14:textId="5A369754" w:rsidR="003405FA" w:rsidRPr="000C07FF" w:rsidRDefault="004375C7" w:rsidP="00851AC2">
            <w:pPr>
              <w:autoSpaceDE w:val="0"/>
              <w:autoSpaceDN w:val="0"/>
              <w:adjustRightInd w:val="0"/>
              <w:spacing w:line="240" w:lineRule="auto"/>
              <w:jc w:val="both"/>
              <w:rPr>
                <w:rFonts w:cs="Times New Roman"/>
              </w:rPr>
            </w:pPr>
            <w:r w:rsidRPr="000C07FF">
              <w:rPr>
                <w:rFonts w:cs="Times New Roman"/>
              </w:rPr>
              <w:t>Medium</w:t>
            </w:r>
          </w:p>
        </w:tc>
        <w:tc>
          <w:tcPr>
            <w:tcW w:w="4677" w:type="dxa"/>
          </w:tcPr>
          <w:p w14:paraId="43949CB6" w14:textId="1C614A31" w:rsidR="004375C7" w:rsidRPr="000C07FF" w:rsidRDefault="004375C7" w:rsidP="00851AC2">
            <w:pPr>
              <w:autoSpaceDE w:val="0"/>
              <w:autoSpaceDN w:val="0"/>
              <w:adjustRightInd w:val="0"/>
              <w:spacing w:line="240" w:lineRule="auto"/>
              <w:jc w:val="both"/>
              <w:rPr>
                <w:rFonts w:cs="Times New Roman"/>
              </w:rPr>
            </w:pPr>
            <w:r w:rsidRPr="000C07FF">
              <w:rPr>
                <w:rFonts w:cs="Times New Roman"/>
              </w:rPr>
              <w:t xml:space="preserve">Spinal cord </w:t>
            </w:r>
          </w:p>
          <w:p w14:paraId="740AF48A" w14:textId="34D656B2" w:rsidR="003405FA" w:rsidRPr="000C07FF" w:rsidRDefault="003405FA" w:rsidP="00851AC2">
            <w:pPr>
              <w:autoSpaceDE w:val="0"/>
              <w:autoSpaceDN w:val="0"/>
              <w:adjustRightInd w:val="0"/>
              <w:spacing w:line="240" w:lineRule="auto"/>
              <w:jc w:val="both"/>
              <w:rPr>
                <w:rFonts w:cs="Times New Roman"/>
              </w:rPr>
            </w:pPr>
            <w:r w:rsidRPr="000C07FF">
              <w:rPr>
                <w:rFonts w:cs="Times New Roman"/>
              </w:rPr>
              <w:t>Tonsils</w:t>
            </w:r>
          </w:p>
          <w:p w14:paraId="20C8AE12" w14:textId="75568301" w:rsidR="003405FA" w:rsidRPr="000C07FF" w:rsidRDefault="003405FA" w:rsidP="00851AC2">
            <w:pPr>
              <w:autoSpaceDE w:val="0"/>
              <w:autoSpaceDN w:val="0"/>
              <w:adjustRightInd w:val="0"/>
              <w:spacing w:line="240" w:lineRule="auto"/>
              <w:jc w:val="both"/>
              <w:rPr>
                <w:rFonts w:cs="Times New Roman"/>
              </w:rPr>
            </w:pPr>
            <w:r w:rsidRPr="000C07FF">
              <w:rPr>
                <w:rFonts w:cs="Times New Roman"/>
              </w:rPr>
              <w:t>Spleen</w:t>
            </w:r>
          </w:p>
          <w:p w14:paraId="631E02F5" w14:textId="3E0F8261" w:rsidR="003405FA" w:rsidRPr="000C07FF" w:rsidRDefault="004375C7" w:rsidP="00851AC2">
            <w:pPr>
              <w:autoSpaceDE w:val="0"/>
              <w:autoSpaceDN w:val="0"/>
              <w:adjustRightInd w:val="0"/>
              <w:spacing w:line="240" w:lineRule="auto"/>
              <w:jc w:val="both"/>
              <w:rPr>
                <w:rFonts w:cs="Times New Roman"/>
              </w:rPr>
            </w:pPr>
            <w:r w:rsidRPr="000C07FF">
              <w:rPr>
                <w:rFonts w:cs="Times New Roman"/>
              </w:rPr>
              <w:t>L</w:t>
            </w:r>
            <w:r w:rsidR="003405FA" w:rsidRPr="000C07FF">
              <w:rPr>
                <w:rFonts w:cs="Times New Roman"/>
              </w:rPr>
              <w:t>ymphoid</w:t>
            </w:r>
            <w:r w:rsidRPr="000C07FF">
              <w:rPr>
                <w:rFonts w:cs="Times New Roman"/>
              </w:rPr>
              <w:t xml:space="preserve"> </w:t>
            </w:r>
            <w:r w:rsidR="003405FA" w:rsidRPr="000C07FF">
              <w:rPr>
                <w:rFonts w:cs="Times New Roman"/>
              </w:rPr>
              <w:t>tissue</w:t>
            </w:r>
          </w:p>
          <w:p w14:paraId="2A645141" w14:textId="77777777" w:rsidR="003405FA" w:rsidRPr="000C07FF" w:rsidRDefault="003405FA" w:rsidP="00851AC2">
            <w:pPr>
              <w:autoSpaceDE w:val="0"/>
              <w:autoSpaceDN w:val="0"/>
              <w:adjustRightInd w:val="0"/>
              <w:spacing w:line="240" w:lineRule="auto"/>
              <w:jc w:val="both"/>
              <w:rPr>
                <w:rFonts w:cs="Times New Roman"/>
              </w:rPr>
            </w:pPr>
            <w:r w:rsidRPr="000C07FF">
              <w:rPr>
                <w:rFonts w:cs="Times New Roman"/>
              </w:rPr>
              <w:t>anterior eye</w:t>
            </w:r>
          </w:p>
          <w:p w14:paraId="00CF024C" w14:textId="54ADCB7D" w:rsidR="003405FA" w:rsidRPr="000C07FF" w:rsidRDefault="003405FA" w:rsidP="00851AC2">
            <w:pPr>
              <w:autoSpaceDE w:val="0"/>
              <w:autoSpaceDN w:val="0"/>
              <w:adjustRightInd w:val="0"/>
              <w:spacing w:line="240" w:lineRule="auto"/>
              <w:jc w:val="both"/>
              <w:rPr>
                <w:rFonts w:cs="Times New Roman"/>
              </w:rPr>
            </w:pPr>
            <w:r w:rsidRPr="000C07FF">
              <w:rPr>
                <w:rFonts w:cs="Times New Roman"/>
              </w:rPr>
              <w:t>peripheral nerves</w:t>
            </w:r>
          </w:p>
        </w:tc>
        <w:tc>
          <w:tcPr>
            <w:tcW w:w="1650" w:type="dxa"/>
          </w:tcPr>
          <w:p w14:paraId="335185DA" w14:textId="5AF20B38" w:rsidR="004375C7" w:rsidRPr="000C07FF" w:rsidRDefault="004375C7" w:rsidP="00851AC2">
            <w:pPr>
              <w:autoSpaceDE w:val="0"/>
              <w:autoSpaceDN w:val="0"/>
              <w:adjustRightInd w:val="0"/>
              <w:spacing w:line="240" w:lineRule="auto"/>
              <w:jc w:val="both"/>
              <w:rPr>
                <w:rFonts w:cs="Times New Roman"/>
              </w:rPr>
            </w:pPr>
            <w:r w:rsidRPr="000C07FF">
              <w:rPr>
                <w:rFonts w:cs="Times New Roman"/>
              </w:rPr>
              <w:t>10</w:t>
            </w:r>
            <w:r w:rsidRPr="000C07FF">
              <w:rPr>
                <w:rFonts w:cs="Times New Roman"/>
                <w:vertAlign w:val="superscript"/>
              </w:rPr>
              <w:t xml:space="preserve">6 </w:t>
            </w:r>
            <w:r w:rsidRPr="000C07FF">
              <w:rPr>
                <w:rFonts w:cs="Times New Roman"/>
              </w:rPr>
              <w:t>ID</w:t>
            </w:r>
            <w:r w:rsidR="00D25530" w:rsidRPr="00D25530">
              <w:rPr>
                <w:rFonts w:cs="Times New Roman"/>
                <w:vertAlign w:val="subscript"/>
              </w:rPr>
              <w:t>50</w:t>
            </w:r>
            <w:r w:rsidR="00D25530">
              <w:rPr>
                <w:rFonts w:cs="Times New Roman"/>
                <w:vertAlign w:val="subscript"/>
              </w:rPr>
              <w:t>s</w:t>
            </w:r>
            <w:r w:rsidRPr="000C07FF">
              <w:rPr>
                <w:rFonts w:cs="Times New Roman"/>
              </w:rPr>
              <w:t xml:space="preserve"> / g</w:t>
            </w:r>
          </w:p>
          <w:p w14:paraId="67946F86" w14:textId="2FBB2503" w:rsidR="004375C7" w:rsidRPr="000C07FF" w:rsidRDefault="004375C7" w:rsidP="00851AC2">
            <w:pPr>
              <w:autoSpaceDE w:val="0"/>
              <w:autoSpaceDN w:val="0"/>
              <w:adjustRightInd w:val="0"/>
              <w:spacing w:line="240" w:lineRule="auto"/>
              <w:jc w:val="both"/>
              <w:rPr>
                <w:rFonts w:cs="Times New Roman"/>
              </w:rPr>
            </w:pPr>
            <w:r w:rsidRPr="000C07FF">
              <w:rPr>
                <w:rFonts w:cs="Times New Roman"/>
              </w:rPr>
              <w:t>10</w:t>
            </w:r>
            <w:r w:rsidRPr="000C07FF">
              <w:rPr>
                <w:rFonts w:cs="Times New Roman"/>
                <w:vertAlign w:val="superscript"/>
              </w:rPr>
              <w:t xml:space="preserve">5.5 </w:t>
            </w:r>
            <w:r w:rsidRPr="000C07FF">
              <w:rPr>
                <w:rFonts w:cs="Times New Roman"/>
              </w:rPr>
              <w:t>ID</w:t>
            </w:r>
            <w:r w:rsidR="00D25530" w:rsidRPr="00D25530">
              <w:rPr>
                <w:rFonts w:cs="Times New Roman"/>
                <w:vertAlign w:val="subscript"/>
              </w:rPr>
              <w:t>50</w:t>
            </w:r>
            <w:r w:rsidR="00D25530">
              <w:rPr>
                <w:rFonts w:cs="Times New Roman"/>
                <w:vertAlign w:val="subscript"/>
              </w:rPr>
              <w:t>s</w:t>
            </w:r>
            <w:r w:rsidRPr="000C07FF">
              <w:rPr>
                <w:rFonts w:cs="Times New Roman"/>
              </w:rPr>
              <w:t xml:space="preserve"> / g</w:t>
            </w:r>
          </w:p>
          <w:p w14:paraId="21718F89" w14:textId="3E188E6F" w:rsidR="004375C7" w:rsidRPr="000C07FF" w:rsidRDefault="004375C7" w:rsidP="00851AC2">
            <w:pPr>
              <w:autoSpaceDE w:val="0"/>
              <w:autoSpaceDN w:val="0"/>
              <w:adjustRightInd w:val="0"/>
              <w:spacing w:line="240" w:lineRule="auto"/>
              <w:jc w:val="both"/>
              <w:rPr>
                <w:rFonts w:cs="Times New Roman"/>
              </w:rPr>
            </w:pPr>
            <w:r w:rsidRPr="000C07FF">
              <w:rPr>
                <w:rFonts w:cs="Times New Roman"/>
              </w:rPr>
              <w:t>10</w:t>
            </w:r>
            <w:r w:rsidRPr="000C07FF">
              <w:rPr>
                <w:rFonts w:cs="Times New Roman"/>
                <w:vertAlign w:val="superscript"/>
              </w:rPr>
              <w:t xml:space="preserve">5.5 </w:t>
            </w:r>
            <w:r w:rsidRPr="000C07FF">
              <w:rPr>
                <w:rFonts w:cs="Times New Roman"/>
              </w:rPr>
              <w:t>ID</w:t>
            </w:r>
            <w:r w:rsidR="00D25530" w:rsidRPr="00D25530">
              <w:rPr>
                <w:rFonts w:cs="Times New Roman"/>
                <w:vertAlign w:val="subscript"/>
              </w:rPr>
              <w:t>50</w:t>
            </w:r>
            <w:r w:rsidR="00D25530">
              <w:rPr>
                <w:rFonts w:cs="Times New Roman"/>
                <w:vertAlign w:val="subscript"/>
              </w:rPr>
              <w:t>s</w:t>
            </w:r>
            <w:r w:rsidRPr="000C07FF">
              <w:rPr>
                <w:rFonts w:cs="Times New Roman"/>
              </w:rPr>
              <w:t xml:space="preserve"> / g</w:t>
            </w:r>
          </w:p>
          <w:p w14:paraId="1D44A064" w14:textId="2909B681" w:rsidR="004375C7" w:rsidRPr="000C07FF" w:rsidRDefault="004375C7" w:rsidP="00851AC2">
            <w:pPr>
              <w:autoSpaceDE w:val="0"/>
              <w:autoSpaceDN w:val="0"/>
              <w:adjustRightInd w:val="0"/>
              <w:spacing w:line="240" w:lineRule="auto"/>
              <w:jc w:val="both"/>
              <w:rPr>
                <w:rFonts w:cs="Times New Roman"/>
              </w:rPr>
            </w:pPr>
            <w:r w:rsidRPr="000C07FF">
              <w:rPr>
                <w:rFonts w:cs="Times New Roman"/>
              </w:rPr>
              <w:t>10</w:t>
            </w:r>
            <w:r w:rsidRPr="000C07FF">
              <w:rPr>
                <w:rFonts w:cs="Times New Roman"/>
                <w:vertAlign w:val="superscript"/>
              </w:rPr>
              <w:t>4.5</w:t>
            </w:r>
            <w:r w:rsidRPr="000C07FF">
              <w:rPr>
                <w:rFonts w:cs="Times New Roman"/>
              </w:rPr>
              <w:t xml:space="preserve"> ID</w:t>
            </w:r>
            <w:r w:rsidR="00D25530" w:rsidRPr="00D25530">
              <w:rPr>
                <w:rFonts w:cs="Times New Roman"/>
                <w:vertAlign w:val="subscript"/>
              </w:rPr>
              <w:t>50</w:t>
            </w:r>
            <w:r w:rsidR="00D25530">
              <w:rPr>
                <w:rFonts w:cs="Times New Roman"/>
                <w:vertAlign w:val="subscript"/>
              </w:rPr>
              <w:t>s</w:t>
            </w:r>
            <w:r w:rsidRPr="000C07FF">
              <w:rPr>
                <w:rFonts w:cs="Times New Roman"/>
              </w:rPr>
              <w:t xml:space="preserve"> / g</w:t>
            </w:r>
          </w:p>
          <w:p w14:paraId="79C8B82F" w14:textId="62D25943" w:rsidR="004375C7" w:rsidRPr="000C07FF" w:rsidRDefault="004375C7" w:rsidP="00851AC2">
            <w:pPr>
              <w:autoSpaceDE w:val="0"/>
              <w:autoSpaceDN w:val="0"/>
              <w:adjustRightInd w:val="0"/>
              <w:spacing w:line="240" w:lineRule="auto"/>
              <w:jc w:val="both"/>
              <w:rPr>
                <w:rFonts w:cs="Times New Roman"/>
              </w:rPr>
            </w:pPr>
            <w:r w:rsidRPr="000C07FF">
              <w:rPr>
                <w:rFonts w:cs="Times New Roman"/>
              </w:rPr>
              <w:t>10</w:t>
            </w:r>
            <w:r w:rsidRPr="000C07FF">
              <w:rPr>
                <w:rFonts w:cs="Times New Roman"/>
                <w:vertAlign w:val="superscript"/>
              </w:rPr>
              <w:t>3.5</w:t>
            </w:r>
            <w:r w:rsidRPr="000C07FF">
              <w:rPr>
                <w:rFonts w:cs="Times New Roman"/>
              </w:rPr>
              <w:t xml:space="preserve"> ID</w:t>
            </w:r>
            <w:r w:rsidR="00D25530" w:rsidRPr="00D25530">
              <w:rPr>
                <w:rFonts w:cs="Times New Roman"/>
                <w:vertAlign w:val="subscript"/>
              </w:rPr>
              <w:t>50</w:t>
            </w:r>
            <w:r w:rsidR="00D25530">
              <w:rPr>
                <w:rFonts w:cs="Times New Roman"/>
                <w:vertAlign w:val="subscript"/>
              </w:rPr>
              <w:t>s</w:t>
            </w:r>
            <w:r w:rsidRPr="000C07FF">
              <w:rPr>
                <w:rFonts w:cs="Times New Roman"/>
              </w:rPr>
              <w:t xml:space="preserve"> / g</w:t>
            </w:r>
          </w:p>
          <w:p w14:paraId="2097C71F" w14:textId="77777777" w:rsidR="003405FA" w:rsidRPr="000C07FF" w:rsidRDefault="003405FA" w:rsidP="00851AC2">
            <w:pPr>
              <w:autoSpaceDE w:val="0"/>
              <w:autoSpaceDN w:val="0"/>
              <w:adjustRightInd w:val="0"/>
              <w:spacing w:line="240" w:lineRule="auto"/>
              <w:jc w:val="both"/>
              <w:rPr>
                <w:rFonts w:cs="Times New Roman"/>
              </w:rPr>
            </w:pPr>
          </w:p>
        </w:tc>
      </w:tr>
    </w:tbl>
    <w:p w14:paraId="03371A7E" w14:textId="77777777" w:rsidR="0000001A" w:rsidRDefault="0000001A" w:rsidP="004642FD">
      <w:pPr>
        <w:jc w:val="both"/>
        <w:rPr>
          <w:rFonts w:cs="Times New Roman"/>
        </w:rPr>
      </w:pPr>
    </w:p>
    <w:p w14:paraId="5FD1C17E" w14:textId="4FE10C7D" w:rsidR="008869CA" w:rsidRDefault="008869CA" w:rsidP="004642FD">
      <w:pPr>
        <w:jc w:val="both"/>
        <w:rPr>
          <w:rFonts w:cs="Times New Roman"/>
        </w:rPr>
      </w:pPr>
      <w:r>
        <w:rPr>
          <w:rFonts w:cs="Times New Roman"/>
        </w:rPr>
        <w:t>Higher infectious titres</w:t>
      </w:r>
      <w:r w:rsidR="00AA5385">
        <w:rPr>
          <w:rFonts w:cs="Times New Roman"/>
        </w:rPr>
        <w:t xml:space="preserve"> than those estimated in </w:t>
      </w:r>
      <w:r w:rsidR="00AA5385">
        <w:rPr>
          <w:rFonts w:cs="Times New Roman"/>
        </w:rPr>
        <w:fldChar w:fldCharType="begin"/>
      </w:r>
      <w:r w:rsidR="00AA5385">
        <w:rPr>
          <w:rFonts w:cs="Times New Roman"/>
        </w:rPr>
        <w:instrText xml:space="preserve"> REF _Ref514062538 \h </w:instrText>
      </w:r>
      <w:r w:rsidR="00AA5385">
        <w:rPr>
          <w:rFonts w:cs="Times New Roman"/>
        </w:rPr>
      </w:r>
      <w:r w:rsidR="00AA5385">
        <w:rPr>
          <w:rFonts w:cs="Times New Roman"/>
        </w:rPr>
        <w:fldChar w:fldCharType="separate"/>
      </w:r>
      <w:r w:rsidR="00690541">
        <w:t xml:space="preserve">Table </w:t>
      </w:r>
      <w:r w:rsidR="00690541">
        <w:rPr>
          <w:noProof/>
        </w:rPr>
        <w:t>11</w:t>
      </w:r>
      <w:r w:rsidR="00AA5385">
        <w:rPr>
          <w:rFonts w:cs="Times New Roman"/>
        </w:rPr>
        <w:fldChar w:fldCharType="end"/>
      </w:r>
      <w:r>
        <w:rPr>
          <w:rFonts w:cs="Times New Roman"/>
        </w:rPr>
        <w:t xml:space="preserve"> have been detected in animal studies</w:t>
      </w:r>
      <w:r w:rsidR="00A0486C">
        <w:rPr>
          <w:rFonts w:cs="Times New Roman"/>
        </w:rPr>
        <w:t xml:space="preserve"> using novel methods for end-point titration</w:t>
      </w:r>
      <w:r>
        <w:rPr>
          <w:rFonts w:cs="Times New Roman"/>
        </w:rPr>
        <w:t xml:space="preserve">. </w:t>
      </w:r>
      <w:r w:rsidR="00280DD0">
        <w:rPr>
          <w:rFonts w:cs="Times New Roman"/>
        </w:rPr>
        <w:t xml:space="preserve">For example, </w:t>
      </w:r>
      <w:r>
        <w:rPr>
          <w:rFonts w:cs="Times New Roman"/>
        </w:rPr>
        <w:t xml:space="preserve">Makarava </w:t>
      </w:r>
      <w:r w:rsidR="00B301D6" w:rsidRPr="00B301D6">
        <w:rPr>
          <w:rFonts w:cs="Times New Roman"/>
          <w:i/>
        </w:rPr>
        <w:t>et al</w:t>
      </w:r>
      <w:r>
        <w:rPr>
          <w:rFonts w:cs="Times New Roman"/>
        </w:rPr>
        <w:t xml:space="preserve"> (2012)</w:t>
      </w:r>
      <w:r w:rsidR="00BC01B1">
        <w:rPr>
          <w:rFonts w:cs="Times New Roman"/>
        </w:rPr>
        <w:t xml:space="preserve"> used protein misfolding cyclic amplification with beads (PMCAb) to propagate PrP</w:t>
      </w:r>
      <w:r w:rsidR="00BC01B1" w:rsidRPr="00BC01B1">
        <w:rPr>
          <w:rFonts w:cs="Times New Roman"/>
          <w:vertAlign w:val="superscript"/>
        </w:rPr>
        <w:t>Sc</w:t>
      </w:r>
      <w:r w:rsidR="00BC01B1">
        <w:rPr>
          <w:rFonts w:cs="Times New Roman"/>
          <w:vertAlign w:val="superscript"/>
        </w:rPr>
        <w:t xml:space="preserve"> </w:t>
      </w:r>
      <w:r w:rsidR="00BC01B1">
        <w:rPr>
          <w:rFonts w:cs="Times New Roman"/>
        </w:rPr>
        <w:t>in Syrian hamsters.</w:t>
      </w:r>
      <w:r w:rsidR="003C6F81">
        <w:rPr>
          <w:rFonts w:cs="Times New Roman"/>
        </w:rPr>
        <w:fldChar w:fldCharType="begin">
          <w:fldData xml:space="preserve">PEVuZE5vdGU+PENpdGU+PEF1dGhvcj5NYWthcmF2YTwvQXV0aG9yPjxZZWFyPjIwMTI8L1llYXI+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</w:fldData>
        </w:fldChar>
      </w:r>
      <w:r w:rsidR="0076576E">
        <w:rPr>
          <w:rFonts w:cs="Times New Roman"/>
        </w:rPr>
        <w:instrText xml:space="preserve"> ADDIN EN.CITE </w:instrText>
      </w:r>
      <w:r w:rsidR="0076576E">
        <w:rPr>
          <w:rFonts w:cs="Times New Roman"/>
        </w:rPr>
        <w:fldChar w:fldCharType="begin">
          <w:fldData xml:space="preserve">PEVuZE5vdGU+PENpdGU+PEF1dGhvcj5NYWthcmF2YTwvQXV0aG9yPjxZZWFyPjIwMTI8L1llYXI+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3C6F81">
        <w:rPr>
          <w:rFonts w:cs="Times New Roman"/>
        </w:rPr>
      </w:r>
      <w:r w:rsidR="003C6F81">
        <w:rPr>
          <w:rFonts w:cs="Times New Roman"/>
        </w:rPr>
        <w:fldChar w:fldCharType="separate"/>
      </w:r>
      <w:r w:rsidR="0076576E" w:rsidRPr="0076576E">
        <w:rPr>
          <w:rFonts w:cs="Times New Roman"/>
          <w:noProof/>
          <w:vertAlign w:val="superscript"/>
        </w:rPr>
        <w:t>142</w:t>
      </w:r>
      <w:r w:rsidR="003C6F81">
        <w:rPr>
          <w:rFonts w:cs="Times New Roman"/>
        </w:rPr>
        <w:fldChar w:fldCharType="end"/>
      </w:r>
      <w:r w:rsidR="00BC01B1">
        <w:rPr>
          <w:rFonts w:cs="Times New Roman"/>
        </w:rPr>
        <w:t xml:space="preserve"> Using this method they were able to detect infectious titres ranging from 10</w:t>
      </w:r>
      <w:r w:rsidR="00BC01B1" w:rsidRPr="00BC01B1">
        <w:rPr>
          <w:rFonts w:cs="Times New Roman"/>
          <w:vertAlign w:val="superscript"/>
        </w:rPr>
        <w:t xml:space="preserve">8.6 </w:t>
      </w:r>
      <w:r w:rsidR="00BC01B1">
        <w:rPr>
          <w:rFonts w:cs="Times New Roman"/>
        </w:rPr>
        <w:t>to 10</w:t>
      </w:r>
      <w:r w:rsidR="00A7277A">
        <w:rPr>
          <w:rFonts w:cs="Times New Roman"/>
        </w:rPr>
        <w:t>.</w:t>
      </w:r>
      <w:r w:rsidR="00BC01B1" w:rsidRPr="00BC01B1">
        <w:rPr>
          <w:rFonts w:cs="Times New Roman"/>
          <w:vertAlign w:val="superscript"/>
        </w:rPr>
        <w:t>12.8</w:t>
      </w:r>
      <w:r w:rsidR="00A0486C">
        <w:rPr>
          <w:rFonts w:cs="Times New Roman"/>
        </w:rPr>
        <w:t xml:space="preserve"> </w:t>
      </w:r>
      <w:r w:rsidR="00AA5385">
        <w:rPr>
          <w:rFonts w:cs="Times New Roman"/>
        </w:rPr>
        <w:t xml:space="preserve">A study by </w:t>
      </w:r>
      <w:r w:rsidR="00A0486C">
        <w:rPr>
          <w:rFonts w:cs="Times New Roman"/>
        </w:rPr>
        <w:t xml:space="preserve">Halliez </w:t>
      </w:r>
      <w:r w:rsidR="00B301D6" w:rsidRPr="00B301D6">
        <w:rPr>
          <w:rFonts w:cs="Times New Roman"/>
          <w:i/>
        </w:rPr>
        <w:t>et al</w:t>
      </w:r>
      <w:r w:rsidR="00A0486C">
        <w:rPr>
          <w:rFonts w:cs="Times New Roman"/>
        </w:rPr>
        <w:t xml:space="preserve"> (201</w:t>
      </w:r>
      <w:r w:rsidR="002E22FD">
        <w:rPr>
          <w:rFonts w:cs="Times New Roman"/>
        </w:rPr>
        <w:t>4</w:t>
      </w:r>
      <w:r w:rsidR="00A0486C">
        <w:rPr>
          <w:rFonts w:cs="Times New Roman"/>
        </w:rPr>
        <w:t xml:space="preserve">) also found that </w:t>
      </w:r>
      <w:r w:rsidR="00AF1C73">
        <w:rPr>
          <w:rFonts w:cs="Times New Roman"/>
        </w:rPr>
        <w:t>it</w:t>
      </w:r>
      <w:r w:rsidR="003B67F0">
        <w:rPr>
          <w:rFonts w:cs="Times New Roman"/>
        </w:rPr>
        <w:t xml:space="preserve"> was possible to detect </w:t>
      </w:r>
      <w:r w:rsidR="00A0486C">
        <w:rPr>
          <w:rFonts w:cs="Times New Roman"/>
        </w:rPr>
        <w:t xml:space="preserve">higher levels of </w:t>
      </w:r>
      <w:r w:rsidR="00AF1C73">
        <w:rPr>
          <w:rFonts w:cs="Times New Roman"/>
        </w:rPr>
        <w:t xml:space="preserve">vCJD </w:t>
      </w:r>
      <w:r w:rsidR="003B67F0">
        <w:rPr>
          <w:rFonts w:cs="Times New Roman"/>
        </w:rPr>
        <w:t>infectious</w:t>
      </w:r>
      <w:r w:rsidR="00A0486C">
        <w:rPr>
          <w:rFonts w:cs="Times New Roman"/>
        </w:rPr>
        <w:t xml:space="preserve"> tit</w:t>
      </w:r>
      <w:r w:rsidR="003B67F0">
        <w:rPr>
          <w:rFonts w:cs="Times New Roman"/>
        </w:rPr>
        <w:t>r</w:t>
      </w:r>
      <w:r w:rsidR="00A0486C">
        <w:rPr>
          <w:rFonts w:cs="Times New Roman"/>
        </w:rPr>
        <w:t xml:space="preserve">e </w:t>
      </w:r>
      <w:r w:rsidR="003B67F0">
        <w:rPr>
          <w:rFonts w:cs="Times New Roman"/>
        </w:rPr>
        <w:t xml:space="preserve">in </w:t>
      </w:r>
      <w:r w:rsidR="00AF1C73">
        <w:rPr>
          <w:rFonts w:cs="Times New Roman"/>
        </w:rPr>
        <w:t xml:space="preserve">a human spleen using a </w:t>
      </w:r>
      <w:r w:rsidR="002E22FD">
        <w:rPr>
          <w:rFonts w:cs="Times New Roman"/>
        </w:rPr>
        <w:t xml:space="preserve">novel </w:t>
      </w:r>
      <w:r w:rsidR="00304EAC">
        <w:rPr>
          <w:rFonts w:cs="Times New Roman"/>
        </w:rPr>
        <w:t>spleen-based</w:t>
      </w:r>
      <w:r w:rsidR="00481317">
        <w:rPr>
          <w:rFonts w:cs="Times New Roman"/>
        </w:rPr>
        <w:t>, compared with</w:t>
      </w:r>
      <w:r w:rsidR="002E22FD">
        <w:rPr>
          <w:rFonts w:cs="Times New Roman"/>
        </w:rPr>
        <w:t xml:space="preserve"> gold-standard immunoblot bioassay.</w:t>
      </w:r>
      <w:r w:rsidR="00BB5588">
        <w:rPr>
          <w:rFonts w:cs="Times New Roman"/>
        </w:rPr>
        <w:fldChar w:fldCharType="begin">
          <w:fldData xml:space="preserve">PEVuZE5vdGU+PENpdGU+PEF1dGhvcj5IYWxsaWV6PC9BdXRob3I+PFllYXI+MjAxNDwvWWVhcj48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PEVuZE5vdGU+PENpdGU+PEF1dGhvcj5IYWxsaWV6PC9BdXRob3I+PFllYXI+MjAxNDwvWWVhcj48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BB5588">
        <w:rPr>
          <w:rFonts w:cs="Times New Roman"/>
        </w:rPr>
      </w:r>
      <w:r w:rsidR="00BB5588">
        <w:rPr>
          <w:rFonts w:cs="Times New Roman"/>
        </w:rPr>
        <w:fldChar w:fldCharType="separate"/>
      </w:r>
      <w:r w:rsidR="0076576E" w:rsidRPr="0076576E">
        <w:rPr>
          <w:rFonts w:cs="Times New Roman"/>
          <w:noProof/>
          <w:vertAlign w:val="superscript"/>
        </w:rPr>
        <w:t>143</w:t>
      </w:r>
      <w:r w:rsidR="00BB5588">
        <w:rPr>
          <w:rFonts w:cs="Times New Roman"/>
        </w:rPr>
        <w:fldChar w:fldCharType="end"/>
      </w:r>
      <w:r w:rsidR="002E22FD">
        <w:rPr>
          <w:rFonts w:cs="Times New Roman"/>
        </w:rPr>
        <w:t xml:space="preserve"> </w:t>
      </w:r>
      <w:r w:rsidR="00304EAC">
        <w:rPr>
          <w:rFonts w:cs="Times New Roman"/>
        </w:rPr>
        <w:t>As methods for end-point titration improve</w:t>
      </w:r>
      <w:r w:rsidR="00131156">
        <w:rPr>
          <w:rFonts w:cs="Times New Roman"/>
        </w:rPr>
        <w:t>,</w:t>
      </w:r>
      <w:r w:rsidR="00304EAC">
        <w:rPr>
          <w:rFonts w:cs="Times New Roman"/>
        </w:rPr>
        <w:t xml:space="preserve"> it is </w:t>
      </w:r>
      <w:r w:rsidR="00131156">
        <w:rPr>
          <w:rFonts w:cs="Times New Roman"/>
        </w:rPr>
        <w:t xml:space="preserve">therefore </w:t>
      </w:r>
      <w:r w:rsidR="00304EAC">
        <w:rPr>
          <w:rFonts w:cs="Times New Roman"/>
        </w:rPr>
        <w:t xml:space="preserve">likely that some variation to the estimated titres used in IPG196 and noted in </w:t>
      </w:r>
      <w:r w:rsidR="00304EAC">
        <w:rPr>
          <w:rFonts w:cs="Times New Roman"/>
        </w:rPr>
        <w:fldChar w:fldCharType="begin"/>
      </w:r>
      <w:r w:rsidR="00304EAC">
        <w:rPr>
          <w:rFonts w:cs="Times New Roman"/>
        </w:rPr>
        <w:instrText xml:space="preserve"> REF _Ref514062538 \h </w:instrText>
      </w:r>
      <w:r w:rsidR="00304EAC">
        <w:rPr>
          <w:rFonts w:cs="Times New Roman"/>
        </w:rPr>
      </w:r>
      <w:r w:rsidR="00304EAC">
        <w:rPr>
          <w:rFonts w:cs="Times New Roman"/>
        </w:rPr>
        <w:fldChar w:fldCharType="separate"/>
      </w:r>
      <w:r w:rsidR="00690541">
        <w:t xml:space="preserve">Table </w:t>
      </w:r>
      <w:r w:rsidR="00690541">
        <w:rPr>
          <w:noProof/>
        </w:rPr>
        <w:t>11</w:t>
      </w:r>
      <w:r w:rsidR="00304EAC">
        <w:rPr>
          <w:rFonts w:cs="Times New Roman"/>
        </w:rPr>
        <w:fldChar w:fldCharType="end"/>
      </w:r>
      <w:r w:rsidR="00304EAC">
        <w:rPr>
          <w:rFonts w:cs="Times New Roman"/>
        </w:rPr>
        <w:t xml:space="preserve"> will be observed in the future.</w:t>
      </w:r>
    </w:p>
    <w:p w14:paraId="0FA4FC89" w14:textId="77777777" w:rsidR="004642FD" w:rsidRPr="00BC01B1" w:rsidRDefault="004642FD" w:rsidP="004642FD">
      <w:pPr>
        <w:jc w:val="both"/>
        <w:rPr>
          <w:rFonts w:cs="Times New Roman"/>
        </w:rPr>
      </w:pPr>
    </w:p>
    <w:p w14:paraId="6BC88AA7" w14:textId="3ECC8451" w:rsidR="00CB6B56" w:rsidRPr="00F05B7F" w:rsidRDefault="004074D8" w:rsidP="00B42D01">
      <w:pPr>
        <w:pStyle w:val="Heading4"/>
        <w:rPr>
          <w:sz w:val="22"/>
        </w:rPr>
      </w:pPr>
      <w:r w:rsidRPr="00F05B7F">
        <w:rPr>
          <w:sz w:val="22"/>
        </w:rPr>
        <w:t>Codon 129 g</w:t>
      </w:r>
      <w:r w:rsidR="00B41172" w:rsidRPr="00F05B7F">
        <w:rPr>
          <w:sz w:val="22"/>
        </w:rPr>
        <w:t>enotype and susceptibility</w:t>
      </w:r>
    </w:p>
    <w:p w14:paraId="1F726ABB" w14:textId="7D8B34C3" w:rsidR="002A7615" w:rsidRPr="000C07FF" w:rsidRDefault="000369E9" w:rsidP="004642FD">
      <w:pPr>
        <w:autoSpaceDE w:val="0"/>
        <w:autoSpaceDN w:val="0"/>
        <w:adjustRightInd w:val="0"/>
        <w:jc w:val="both"/>
        <w:rPr>
          <w:rFonts w:cs="Times New Roman"/>
        </w:rPr>
      </w:pPr>
      <w:r w:rsidRPr="000C07FF">
        <w:rPr>
          <w:rFonts w:cs="Times New Roman"/>
        </w:rPr>
        <w:t>All individuals, irrespective of genotype at codon 129</w:t>
      </w:r>
      <w:r w:rsidR="006B156F">
        <w:rPr>
          <w:rFonts w:cs="Times New Roman"/>
        </w:rPr>
        <w:t xml:space="preserve"> (MM, MV or VV)</w:t>
      </w:r>
      <w:r w:rsidRPr="000C07FF">
        <w:rPr>
          <w:rFonts w:cs="Times New Roman"/>
        </w:rPr>
        <w:t xml:space="preserve">, are now known to be susceptible to </w:t>
      </w:r>
      <w:r w:rsidR="00FA2D8B">
        <w:rPr>
          <w:rFonts w:cs="Times New Roman"/>
        </w:rPr>
        <w:t xml:space="preserve">sCJD and </w:t>
      </w:r>
      <w:r w:rsidRPr="000C07FF">
        <w:rPr>
          <w:rFonts w:cs="Times New Roman"/>
        </w:rPr>
        <w:t>secondary transmission of vCJD</w:t>
      </w:r>
      <w:r w:rsidR="00381349" w:rsidRPr="000C07FF">
        <w:rPr>
          <w:rFonts w:cs="Times New Roman"/>
        </w:rPr>
        <w:t xml:space="preserve"> through routes such as blood transfusion</w:t>
      </w:r>
      <w:r w:rsidR="00131156">
        <w:rPr>
          <w:rFonts w:cs="Times New Roman"/>
        </w:rPr>
        <w:t>,</w:t>
      </w:r>
      <w:r w:rsidR="00AD67F6" w:rsidRPr="000C07FF">
        <w:rPr>
          <w:rFonts w:cs="Times New Roman"/>
        </w:rPr>
        <w:t xml:space="preserve"> </w:t>
      </w:r>
      <w:r w:rsidR="00381349" w:rsidRPr="000C07FF">
        <w:rPr>
          <w:rFonts w:cs="Times New Roman"/>
        </w:rPr>
        <w:t>but the phenotype</w:t>
      </w:r>
      <w:r w:rsidR="00481317">
        <w:rPr>
          <w:rFonts w:cs="Times New Roman"/>
        </w:rPr>
        <w:t xml:space="preserve"> (or observable physical </w:t>
      </w:r>
      <w:r w:rsidR="009B708A">
        <w:rPr>
          <w:rFonts w:cs="Times New Roman"/>
        </w:rPr>
        <w:t>properties)</w:t>
      </w:r>
      <w:r w:rsidR="00381349" w:rsidRPr="000C07FF">
        <w:rPr>
          <w:rFonts w:cs="Times New Roman"/>
        </w:rPr>
        <w:t xml:space="preserve"> for MV and VV cases </w:t>
      </w:r>
      <w:r w:rsidR="006B156F">
        <w:rPr>
          <w:rFonts w:cs="Times New Roman"/>
        </w:rPr>
        <w:t>has been noted to be</w:t>
      </w:r>
      <w:r w:rsidR="00381349" w:rsidRPr="000C07FF">
        <w:rPr>
          <w:rFonts w:cs="Times New Roman"/>
        </w:rPr>
        <w:t xml:space="preserve"> less predictable due to reduced transmission efficiency and increased incubation periods</w:t>
      </w:r>
      <w:r w:rsidR="00AD67F6" w:rsidRPr="000C07FF">
        <w:rPr>
          <w:rFonts w:cs="Times New Roman"/>
        </w:rPr>
        <w:t>.</w:t>
      </w:r>
      <w:r w:rsidR="001C1038" w:rsidRPr="000C07FF">
        <w:rPr>
          <w:rFonts w:cs="Times New Roman"/>
        </w:rPr>
        <w:fldChar w:fldCharType="begin">
          <w:fldData xml:space="preserve">PEVuZE5vdGU+PENpdGU+PEF1dGhvcj5CaXNob3A8L0F1dGhvcj48WWVhcj4yMDA2PC9ZZWFyPjxS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</w:fldData>
        </w:fldChar>
      </w:r>
      <w:r w:rsidR="0076576E">
        <w:rPr>
          <w:rFonts w:cs="Times New Roman"/>
        </w:rPr>
        <w:instrText xml:space="preserve"> ADDIN EN.CITE </w:instrText>
      </w:r>
      <w:r w:rsidR="0076576E">
        <w:rPr>
          <w:rFonts w:cs="Times New Roman"/>
        </w:rPr>
        <w:fldChar w:fldCharType="begin">
          <w:fldData xml:space="preserve">PEVuZE5vdGU+PENpdGU+PEF1dGhvcj5CaXNob3A8L0F1dGhvcj48WWVhcj4yMDA2PC9ZZWFyPjxS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0C07FF">
        <w:rPr>
          <w:rFonts w:cs="Times New Roman"/>
        </w:rPr>
      </w:r>
      <w:r w:rsidR="001C1038" w:rsidRPr="000C07FF">
        <w:rPr>
          <w:rFonts w:cs="Times New Roman"/>
        </w:rPr>
        <w:fldChar w:fldCharType="separate"/>
      </w:r>
      <w:r w:rsidR="0076576E" w:rsidRPr="0076576E">
        <w:rPr>
          <w:rFonts w:cs="Times New Roman"/>
          <w:noProof/>
          <w:vertAlign w:val="superscript"/>
        </w:rPr>
        <w:t>74, 85</w:t>
      </w:r>
      <w:r w:rsidR="001C1038" w:rsidRPr="000C07FF">
        <w:rPr>
          <w:rFonts w:cs="Times New Roman"/>
        </w:rPr>
        <w:fldChar w:fldCharType="end"/>
      </w:r>
      <w:r w:rsidR="00B41EE6" w:rsidRPr="000C07FF">
        <w:rPr>
          <w:rFonts w:cs="Times New Roman"/>
        </w:rPr>
        <w:t xml:space="preserve"> The vCJD </w:t>
      </w:r>
      <w:r w:rsidR="00056312">
        <w:rPr>
          <w:rFonts w:cs="Times New Roman"/>
        </w:rPr>
        <w:t xml:space="preserve">prion or </w:t>
      </w:r>
      <w:r w:rsidR="00B41EE6" w:rsidRPr="000C07FF">
        <w:rPr>
          <w:rFonts w:cs="Times New Roman"/>
        </w:rPr>
        <w:t>agent appears to replicate in lymphoid tissues during the asymptomatic phase of the incubation period.</w:t>
      </w:r>
      <w:r w:rsidR="001C1038" w:rsidRPr="000C07FF">
        <w:rPr>
          <w:rFonts w:cs="Times New Roman"/>
        </w:rPr>
        <w:fldChar w:fldCharType="begin"/>
      </w:r>
      <w:r w:rsidR="0076576E">
        <w:rPr>
          <w:rFonts w:cs="Times New Roman"/>
        </w:rPr>
        <w:instrText xml:space="preserve"> ADDIN EN.CITE &lt;EndNote&gt;&lt;Cite&gt;&lt;Author&gt;Ironside&lt;/Author&gt;&lt;Year&gt;2012&lt;/Year&gt;&lt;RecNum&gt;8246&lt;/RecNum&gt;&lt;DisplayText&gt;&lt;style face="superscript"&gt;144&lt;/style&gt;&lt;/DisplayText&gt;&lt;record&gt;&lt;rec-number&gt;8246&lt;/rec-number&gt;&lt;foreign-keys&gt;&lt;key app="EN" db-id="vrp0pptazv05wtesfz5vrzsj2p0rv09ttsa9" timestamp="1506588761" guid="4a9091b3-a767-4b75-aca3-5b68a973f7b2"&gt;8246&lt;/key&gt;&lt;/foreign-keys&gt;&lt;ref-type name="Journal Article"&gt;17&lt;/ref-type&gt;&lt;contributors&gt;&lt;authors&gt;&lt;author&gt;Ironside, J. W.&lt;/author&gt;&lt;/authors&gt;&lt;/contributors&gt;&lt;titles&gt;&lt;title&gt;Variant Creutzfeldt-Jakob disease: an update&lt;/title&gt;&lt;secondary-title&gt;Folia Neuropathologica&lt;/secondary-title&gt;&lt;/titles&gt;&lt;periodical&gt;&lt;full-title&gt;Folia Neuropathologica&lt;/full-title&gt;&lt;/periodical&gt;&lt;pages&gt;50-56&lt;/pages&gt;&lt;volume&gt;50&lt;/volume&gt;&lt;number&gt;1&lt;/number&gt;&lt;keywords&gt;&lt;keyword&gt;$$LU_4_CJD infectivity&lt;/keyword&gt;&lt;keyword&gt;$$CJD relevant&lt;/keyword&gt;&lt;keyword&gt;Animals&lt;/keyword&gt;&lt;keyword&gt;Biomarkers/bl [Blood]&lt;/keyword&gt;&lt;keyword&gt;Creutzfeldt-Jakob Syndrome/bl [Blood]&lt;/keyword&gt;&lt;keyword&gt;*Creutzfeldt-Jakob Syndrome/ep [Epidemiology]&lt;/keyword&gt;&lt;keyword&gt;Creutzfeldt-Jakob Syndrome/ge [Genetics]&lt;/keyword&gt;&lt;keyword&gt;*Creutzfeldt-Jakob Syndrome/tm [Transmission]&lt;/keyword&gt;&lt;keyword&gt;Humans&lt;/keyword&gt;&lt;keyword&gt;Prions/ge [Genetics]&lt;/keyword&gt;&lt;keyword&gt;0 (Biomarkers)&lt;/keyword&gt;&lt;keyword&gt;0 (Prions)&lt;/keyword&gt;&lt;/keywords&gt;&lt;dates&gt;&lt;year&gt;2012&lt;/year&gt;&lt;/dates&gt;&lt;isbn&gt;1509-572X&lt;/isbn&gt;&lt;accession-num&gt;22505363&lt;/accession-num&gt;&lt;urls&gt;&lt;related-urls&gt;&lt;url&gt;http://ovidsp.ovid.com/ovidweb.cgi?T=JS&amp;amp;CSC=Y&amp;amp;NEWS=N&amp;amp;PAGE=fulltext&amp;amp;D=med7&amp;amp;AN=22505363http://resolver.shef.ac.uk/?http://find.shef.ac.uk/openurl/44SFD/44SFD_services_page?sid=OVID:medline&amp;amp;id=pmid:22505363&amp;amp;id=doi:&amp;amp;issn=1509-572X&amp;amp;isbn=&amp;amp;volume=50&amp;amp;issue=1&amp;amp;spage=50&amp;amp;pages=50-6&amp;amp;date=2012&amp;amp;title=Folia+Neuropathologica&amp;amp;atitle=Variant+Creutzfeldt-Jakob+disease%3A+an+update.&amp;amp;aulast=Ironside&amp;amp;pid=%3Cauthor%3EIronside+JW%3C%2Fauthor%3E%3CAN%3E22505363%3C%2FAN%3E%3CDT%3EJournal+Article%3C%2FDT%3E&lt;/url&gt;&lt;/related-urls&gt;&lt;/urls&gt;&lt;/record&gt;&lt;/Cite&gt;&lt;/EndNote&gt;</w:instrText>
      </w:r>
      <w:r w:rsidR="001C1038" w:rsidRPr="000C07FF">
        <w:rPr>
          <w:rFonts w:cs="Times New Roman"/>
        </w:rPr>
        <w:fldChar w:fldCharType="separate"/>
      </w:r>
      <w:r w:rsidR="0076576E" w:rsidRPr="0076576E">
        <w:rPr>
          <w:rFonts w:cs="Times New Roman"/>
          <w:noProof/>
          <w:vertAlign w:val="superscript"/>
        </w:rPr>
        <w:t>144</w:t>
      </w:r>
      <w:r w:rsidR="001C1038" w:rsidRPr="000C07FF">
        <w:rPr>
          <w:rFonts w:cs="Times New Roman"/>
        </w:rPr>
        <w:fldChar w:fldCharType="end"/>
      </w:r>
      <w:r w:rsidR="00B41EE6" w:rsidRPr="000C07FF">
        <w:rPr>
          <w:rFonts w:cs="Times New Roman"/>
        </w:rPr>
        <w:t xml:space="preserve"> </w:t>
      </w:r>
      <w:r w:rsidR="004F01C2" w:rsidRPr="000C07FF">
        <w:rPr>
          <w:rFonts w:cs="Times New Roman"/>
        </w:rPr>
        <w:t>Study of a</w:t>
      </w:r>
      <w:r w:rsidR="00890582" w:rsidRPr="000C07FF">
        <w:rPr>
          <w:rFonts w:cs="Times New Roman"/>
        </w:rPr>
        <w:t>bnormal prion protein accumulation</w:t>
      </w:r>
      <w:r w:rsidR="00D53ED3" w:rsidRPr="000C07FF">
        <w:rPr>
          <w:rFonts w:cs="Times New Roman"/>
        </w:rPr>
        <w:t xml:space="preserve"> in peripheral tissues from MV individuals </w:t>
      </w:r>
      <w:r w:rsidR="00B41EE6" w:rsidRPr="000C07FF">
        <w:rPr>
          <w:rFonts w:cs="Times New Roman"/>
        </w:rPr>
        <w:t>has been undertaken to</w:t>
      </w:r>
      <w:r w:rsidRPr="000C07FF">
        <w:rPr>
          <w:rFonts w:cs="Times New Roman"/>
        </w:rPr>
        <w:t xml:space="preserve"> understand</w:t>
      </w:r>
      <w:r w:rsidR="00D53ED3" w:rsidRPr="000C07FF">
        <w:rPr>
          <w:rFonts w:cs="Times New Roman"/>
        </w:rPr>
        <w:t xml:space="preserve"> </w:t>
      </w:r>
      <w:r w:rsidR="004F01C2" w:rsidRPr="000C07FF">
        <w:rPr>
          <w:rFonts w:cs="Times New Roman"/>
        </w:rPr>
        <w:t xml:space="preserve">infectivity and the </w:t>
      </w:r>
      <w:r w:rsidR="00D53ED3" w:rsidRPr="000C07FF">
        <w:rPr>
          <w:rFonts w:cs="Times New Roman"/>
        </w:rPr>
        <w:t xml:space="preserve">risk of horizontal transmission. Bishop </w:t>
      </w:r>
      <w:r w:rsidR="00B301D6" w:rsidRPr="00B301D6">
        <w:rPr>
          <w:rFonts w:cs="Times New Roman"/>
          <w:i/>
        </w:rPr>
        <w:t>et al</w:t>
      </w:r>
      <w:r w:rsidR="00D53ED3" w:rsidRPr="000C07FF">
        <w:rPr>
          <w:rFonts w:cs="Times New Roman"/>
        </w:rPr>
        <w:t xml:space="preserve"> (201</w:t>
      </w:r>
      <w:r w:rsidR="001332EC" w:rsidRPr="000C07FF">
        <w:rPr>
          <w:rFonts w:cs="Times New Roman"/>
        </w:rPr>
        <w:t>3</w:t>
      </w:r>
      <w:r w:rsidR="00D53ED3" w:rsidRPr="000C07FF">
        <w:rPr>
          <w:rFonts w:cs="Times New Roman"/>
        </w:rPr>
        <w:t xml:space="preserve">) </w:t>
      </w:r>
      <w:r w:rsidR="00280DB0" w:rsidRPr="000C07FF">
        <w:rPr>
          <w:rFonts w:cs="Times New Roman"/>
        </w:rPr>
        <w:t xml:space="preserve">inoculated mice with </w:t>
      </w:r>
      <w:r w:rsidR="00D53ED3" w:rsidRPr="000C07FF">
        <w:rPr>
          <w:rFonts w:cs="Times New Roman"/>
        </w:rPr>
        <w:t>br</w:t>
      </w:r>
      <w:r w:rsidR="00280DB0" w:rsidRPr="000C07FF">
        <w:rPr>
          <w:rFonts w:cs="Times New Roman"/>
        </w:rPr>
        <w:t>ain and spleen samples from the</w:t>
      </w:r>
      <w:r w:rsidR="00D53ED3" w:rsidRPr="000C07FF">
        <w:rPr>
          <w:rFonts w:cs="Times New Roman"/>
        </w:rPr>
        <w:t xml:space="preserve"> subclinical vCJD </w:t>
      </w:r>
      <w:r w:rsidR="00280DB0" w:rsidRPr="000C07FF">
        <w:rPr>
          <w:rFonts w:cs="Times New Roman"/>
        </w:rPr>
        <w:t>recipient</w:t>
      </w:r>
      <w:r w:rsidR="00D53ED3" w:rsidRPr="000C07FF">
        <w:rPr>
          <w:rFonts w:cs="Times New Roman"/>
        </w:rPr>
        <w:t xml:space="preserve"> </w:t>
      </w:r>
      <w:r w:rsidR="00280DB0" w:rsidRPr="000C07FF">
        <w:rPr>
          <w:rFonts w:cs="Times New Roman"/>
        </w:rPr>
        <w:t>as well as the clinical vCJD donor.</w:t>
      </w:r>
      <w:r w:rsidR="002F2DE1" w:rsidRPr="000C07FF">
        <w:rPr>
          <w:rFonts w:cs="Times New Roman"/>
        </w:rPr>
        <w:fldChar w:fldCharType="begin">
          <w:fldData xml:space="preserve">PEVuZE5vdGU+PENpdGU+PEF1dGhvcj5CaXNob3A8L0F1dGhvcj48WWVhcj4yMDEzPC9ZZWFyPjxS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PEVuZE5vdGU+PENpdGU+PEF1dGhvcj5CaXNob3A8L0F1dGhvcj48WWVhcj4yMDEzPC9ZZWFyPjxS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2F2DE1" w:rsidRPr="000C07FF">
        <w:rPr>
          <w:rFonts w:cs="Times New Roman"/>
        </w:rPr>
      </w:r>
      <w:r w:rsidR="002F2DE1" w:rsidRPr="000C07FF">
        <w:rPr>
          <w:rFonts w:cs="Times New Roman"/>
        </w:rPr>
        <w:fldChar w:fldCharType="separate"/>
      </w:r>
      <w:r w:rsidR="0076576E" w:rsidRPr="0076576E">
        <w:rPr>
          <w:rFonts w:cs="Times New Roman"/>
          <w:noProof/>
          <w:vertAlign w:val="superscript"/>
        </w:rPr>
        <w:t>145</w:t>
      </w:r>
      <w:r w:rsidR="002F2DE1" w:rsidRPr="000C07FF">
        <w:rPr>
          <w:rFonts w:cs="Times New Roman"/>
        </w:rPr>
        <w:fldChar w:fldCharType="end"/>
      </w:r>
      <w:r w:rsidR="00280DB0" w:rsidRPr="000C07FF">
        <w:rPr>
          <w:rFonts w:cs="Times New Roman"/>
        </w:rPr>
        <w:t xml:space="preserve"> They</w:t>
      </w:r>
      <w:r w:rsidR="00D53ED3" w:rsidRPr="000C07FF">
        <w:rPr>
          <w:rFonts w:cs="Times New Roman"/>
        </w:rPr>
        <w:t xml:space="preserve"> </w:t>
      </w:r>
      <w:r w:rsidR="00280DB0" w:rsidRPr="000C07FF">
        <w:rPr>
          <w:rFonts w:cs="Times New Roman"/>
        </w:rPr>
        <w:t>found transmission of vCJD to mice from the spleen, but not from the brain of the subclinical vCJD recipient, whereas there was transmission from both the spleen and the brain tissues from the clinical vCJD donor. The authors conclude that spleen tissue from MV genotype can propagate the vCJD agent and that the infectious agent can be present in the</w:t>
      </w:r>
      <w:r w:rsidR="00936566" w:rsidRPr="000C07FF">
        <w:rPr>
          <w:rFonts w:cs="Times New Roman"/>
        </w:rPr>
        <w:t xml:space="preserve"> spleen without CNS involvement and that 'silent' spread within the human population is therefore a possibility from </w:t>
      </w:r>
      <w:r w:rsidR="002F473F" w:rsidRPr="000C07FF">
        <w:rPr>
          <w:rFonts w:cs="Times New Roman"/>
        </w:rPr>
        <w:t>heterozygous</w:t>
      </w:r>
      <w:r w:rsidR="00936566" w:rsidRPr="000C07FF">
        <w:rPr>
          <w:rFonts w:cs="Times New Roman"/>
        </w:rPr>
        <w:t xml:space="preserve"> carriers.</w:t>
      </w:r>
      <w:r w:rsidR="00304EAC">
        <w:rPr>
          <w:rFonts w:cs="Times New Roman"/>
        </w:rPr>
        <w:t xml:space="preserve"> This finding was also echoed by Halliez </w:t>
      </w:r>
      <w:r w:rsidR="00B301D6" w:rsidRPr="00B301D6">
        <w:rPr>
          <w:rFonts w:cs="Times New Roman"/>
          <w:i/>
        </w:rPr>
        <w:t>et al</w:t>
      </w:r>
      <w:r w:rsidR="00304EAC">
        <w:rPr>
          <w:rFonts w:cs="Times New Roman"/>
        </w:rPr>
        <w:t xml:space="preserve"> (2014) in their evaluation of novel methods for end-point titration for vCJD</w:t>
      </w:r>
      <w:r w:rsidR="00B07571">
        <w:rPr>
          <w:rFonts w:cs="Times New Roman"/>
        </w:rPr>
        <w:t xml:space="preserve"> in the human spleen. T</w:t>
      </w:r>
      <w:r w:rsidR="00304EAC">
        <w:rPr>
          <w:rFonts w:cs="Times New Roman"/>
        </w:rPr>
        <w:t xml:space="preserve">he authors posit the notion that </w:t>
      </w:r>
      <w:r w:rsidR="00304EAC" w:rsidRPr="00304EAC">
        <w:rPr>
          <w:rFonts w:cs="Times New Roman"/>
        </w:rPr>
        <w:t>lymphoid tissue exhibits a higher capacity than the brain to replicate prions even after low-dose</w:t>
      </w:r>
      <w:r w:rsidR="00304EAC">
        <w:rPr>
          <w:rFonts w:cs="Times New Roman"/>
        </w:rPr>
        <w:t xml:space="preserve"> </w:t>
      </w:r>
      <w:r w:rsidR="00304EAC" w:rsidRPr="00304EAC">
        <w:rPr>
          <w:rFonts w:cs="Times New Roman"/>
        </w:rPr>
        <w:t>infection</w:t>
      </w:r>
      <w:r w:rsidR="00B07571">
        <w:rPr>
          <w:rFonts w:cs="Times New Roman"/>
        </w:rPr>
        <w:t xml:space="preserve"> and highlight as a key issue potential silent carriers of vCJD in lymphoid tissue.</w:t>
      </w:r>
      <w:r w:rsidR="00966B61">
        <w:rPr>
          <w:rFonts w:cs="Times New Roman"/>
        </w:rPr>
        <w:fldChar w:fldCharType="begin">
          <w:fldData xml:space="preserve">PEVuZE5vdGU+PENpdGU+PEF1dGhvcj5IYWxsaWV6PC9BdXRob3I+PFllYXI+MjAxNDwvWWVhcj48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PEVuZE5vdGU+PENpdGU+PEF1dGhvcj5IYWxsaWV6PC9BdXRob3I+PFllYXI+MjAxNDwvWWVhcj48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966B61">
        <w:rPr>
          <w:rFonts w:cs="Times New Roman"/>
        </w:rPr>
      </w:r>
      <w:r w:rsidR="00966B61">
        <w:rPr>
          <w:rFonts w:cs="Times New Roman"/>
        </w:rPr>
        <w:fldChar w:fldCharType="separate"/>
      </w:r>
      <w:r w:rsidR="0076576E" w:rsidRPr="0076576E">
        <w:rPr>
          <w:rFonts w:cs="Times New Roman"/>
          <w:noProof/>
          <w:vertAlign w:val="superscript"/>
        </w:rPr>
        <w:t>143</w:t>
      </w:r>
      <w:r w:rsidR="00966B61">
        <w:rPr>
          <w:rFonts w:cs="Times New Roman"/>
        </w:rPr>
        <w:fldChar w:fldCharType="end"/>
      </w:r>
      <w:r w:rsidR="00304EAC">
        <w:rPr>
          <w:rFonts w:cs="Times New Roman"/>
        </w:rPr>
        <w:t xml:space="preserve"> </w:t>
      </w:r>
    </w:p>
    <w:p w14:paraId="75DD925C" w14:textId="77777777" w:rsidR="00294505" w:rsidRDefault="00294505" w:rsidP="004642FD">
      <w:pPr>
        <w:autoSpaceDE w:val="0"/>
        <w:autoSpaceDN w:val="0"/>
        <w:adjustRightInd w:val="0"/>
        <w:jc w:val="both"/>
        <w:rPr>
          <w:rFonts w:cs="Times New Roman"/>
          <w:sz w:val="24"/>
          <w:szCs w:val="24"/>
        </w:rPr>
      </w:pPr>
    </w:p>
    <w:p w14:paraId="28CDAC07" w14:textId="6F4E9CDE" w:rsidR="00890582" w:rsidRPr="00F05B7F" w:rsidRDefault="00E43F38" w:rsidP="00B42D01">
      <w:pPr>
        <w:pStyle w:val="Heading4"/>
        <w:rPr>
          <w:sz w:val="22"/>
        </w:rPr>
      </w:pPr>
      <w:r w:rsidRPr="00F05B7F">
        <w:rPr>
          <w:sz w:val="22"/>
        </w:rPr>
        <w:t>Subtype or p</w:t>
      </w:r>
      <w:r w:rsidR="00294505" w:rsidRPr="00F05B7F">
        <w:rPr>
          <w:sz w:val="22"/>
        </w:rPr>
        <w:t>henotype</w:t>
      </w:r>
      <w:r w:rsidRPr="00F05B7F">
        <w:rPr>
          <w:sz w:val="22"/>
        </w:rPr>
        <w:t xml:space="preserve"> of CJD</w:t>
      </w:r>
    </w:p>
    <w:p w14:paraId="2BB0CE0D" w14:textId="62AB3C71" w:rsidR="004260BE" w:rsidRDefault="002E4A8D" w:rsidP="004642FD">
      <w:pPr>
        <w:autoSpaceDE w:val="0"/>
        <w:autoSpaceDN w:val="0"/>
        <w:adjustRightInd w:val="0"/>
        <w:jc w:val="both"/>
        <w:rPr>
          <w:rFonts w:cs="Times New Roman"/>
        </w:rPr>
      </w:pPr>
      <w:r w:rsidRPr="000C07FF">
        <w:rPr>
          <w:rFonts w:cs="Times New Roman"/>
        </w:rPr>
        <w:t>In</w:t>
      </w:r>
      <w:r w:rsidR="00294505" w:rsidRPr="000C07FF">
        <w:rPr>
          <w:rFonts w:cs="Times New Roman"/>
        </w:rPr>
        <w:t xml:space="preserve"> </w:t>
      </w:r>
      <w:r w:rsidRPr="000C07FF">
        <w:rPr>
          <w:rFonts w:cs="Times New Roman"/>
        </w:rPr>
        <w:t>s</w:t>
      </w:r>
      <w:r w:rsidR="00294505" w:rsidRPr="000C07FF">
        <w:rPr>
          <w:rFonts w:cs="Times New Roman"/>
        </w:rPr>
        <w:t>CJD</w:t>
      </w:r>
      <w:r w:rsidR="00131156">
        <w:rPr>
          <w:rFonts w:cs="Times New Roman"/>
        </w:rPr>
        <w:t>,</w:t>
      </w:r>
      <w:r w:rsidR="00171C4E" w:rsidRPr="000C07FF">
        <w:rPr>
          <w:rFonts w:cs="Times New Roman"/>
        </w:rPr>
        <w:t xml:space="preserve"> an interaction between host genotype </w:t>
      </w:r>
      <w:r w:rsidR="00F2709D" w:rsidRPr="000C07FF">
        <w:rPr>
          <w:rFonts w:cs="Times New Roman"/>
        </w:rPr>
        <w:t xml:space="preserve">at codon 129 </w:t>
      </w:r>
      <w:r w:rsidR="00171C4E" w:rsidRPr="000C07FF">
        <w:rPr>
          <w:rFonts w:cs="Times New Roman"/>
        </w:rPr>
        <w:t xml:space="preserve">and the </w:t>
      </w:r>
      <w:r w:rsidR="007C7CE1" w:rsidRPr="000C07FF">
        <w:rPr>
          <w:rFonts w:cs="Times New Roman"/>
        </w:rPr>
        <w:t>causative</w:t>
      </w:r>
      <w:r w:rsidR="00D51F83" w:rsidRPr="000C07FF">
        <w:rPr>
          <w:rFonts w:cs="Times New Roman"/>
        </w:rPr>
        <w:t xml:space="preserve"> agent</w:t>
      </w:r>
      <w:r w:rsidR="004351EC" w:rsidRPr="000C07FF">
        <w:rPr>
          <w:rFonts w:cs="Times New Roman"/>
        </w:rPr>
        <w:t xml:space="preserve"> </w:t>
      </w:r>
      <w:r w:rsidR="00D51F83" w:rsidRPr="000C07FF">
        <w:rPr>
          <w:rFonts w:cs="Times New Roman"/>
        </w:rPr>
        <w:t>identified as either PrP</w:t>
      </w:r>
      <w:r w:rsidR="00D51F83" w:rsidRPr="000C07FF">
        <w:rPr>
          <w:rFonts w:cs="Times New Roman"/>
          <w:vertAlign w:val="superscript"/>
        </w:rPr>
        <w:t>Sc</w:t>
      </w:r>
      <w:r w:rsidR="00D51F83" w:rsidRPr="000C07FF">
        <w:rPr>
          <w:rFonts w:cs="Times New Roman"/>
        </w:rPr>
        <w:t xml:space="preserve"> type 1 or type 2 </w:t>
      </w:r>
      <w:r w:rsidR="00171C4E" w:rsidRPr="000C07FF">
        <w:rPr>
          <w:rFonts w:cs="Times New Roman"/>
        </w:rPr>
        <w:t>produces</w:t>
      </w:r>
      <w:r w:rsidR="00240B3A" w:rsidRPr="000C07FF">
        <w:rPr>
          <w:rFonts w:cs="Times New Roman"/>
        </w:rPr>
        <w:t xml:space="preserve"> different</w:t>
      </w:r>
      <w:r w:rsidR="00171C4E" w:rsidRPr="000C07FF">
        <w:rPr>
          <w:rFonts w:cs="Times New Roman"/>
        </w:rPr>
        <w:t xml:space="preserve"> </w:t>
      </w:r>
      <w:r w:rsidR="00D51F83" w:rsidRPr="000C07FF">
        <w:rPr>
          <w:rFonts w:cs="Times New Roman"/>
        </w:rPr>
        <w:t xml:space="preserve">clinical and histopathological </w:t>
      </w:r>
      <w:r w:rsidR="001037B5" w:rsidRPr="000C07FF">
        <w:rPr>
          <w:rFonts w:cs="Times New Roman"/>
        </w:rPr>
        <w:t>phenotypic expressions</w:t>
      </w:r>
      <w:r w:rsidR="00CC494F" w:rsidRPr="000C07FF">
        <w:rPr>
          <w:rFonts w:cs="Times New Roman"/>
        </w:rPr>
        <w:t xml:space="preserve"> which may also be potentially influenced by other factors such as route of infection or locations of the initial PrP</w:t>
      </w:r>
      <w:r w:rsidR="00CC494F" w:rsidRPr="000C07FF">
        <w:rPr>
          <w:rFonts w:cs="Times New Roman"/>
          <w:vertAlign w:val="superscript"/>
        </w:rPr>
        <w:t>Sc</w:t>
      </w:r>
      <w:r w:rsidR="00CC494F" w:rsidRPr="000C07FF">
        <w:rPr>
          <w:rFonts w:cs="Times New Roman"/>
        </w:rPr>
        <w:t xml:space="preserve"> conversion</w:t>
      </w:r>
      <w:r w:rsidR="00E43F38" w:rsidRPr="000C07FF">
        <w:rPr>
          <w:rFonts w:cs="Times New Roman"/>
        </w:rPr>
        <w:t>.</w:t>
      </w:r>
      <w:r w:rsidR="001C1038" w:rsidRPr="000C07FF">
        <w:rPr>
          <w:rFonts w:cs="Times New Roman"/>
        </w:rPr>
        <w:fldChar w:fldCharType="begin">
          <w:fldData xml:space="preserve">PEVuZE5vdGU+PENpdGU+PEF1dGhvcj5DYWxpPC9BdXRob3I+PFllYXI+MjAwOTwvWWVhcj48UmVj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</w:fldData>
        </w:fldChar>
      </w:r>
      <w:r w:rsidR="0076576E">
        <w:rPr>
          <w:rFonts w:cs="Times New Roman"/>
        </w:rPr>
        <w:instrText xml:space="preserve"> ADDIN EN.CITE </w:instrText>
      </w:r>
      <w:r w:rsidR="0076576E">
        <w:rPr>
          <w:rFonts w:cs="Times New Roman"/>
        </w:rPr>
        <w:fldChar w:fldCharType="begin">
          <w:fldData xml:space="preserve">PEVuZE5vdGU+PENpdGU+PEF1dGhvcj5DYWxpPC9BdXRob3I+PFllYXI+MjAwOTwvWWVhcj48UmVj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0C07FF">
        <w:rPr>
          <w:rFonts w:cs="Times New Roman"/>
        </w:rPr>
      </w:r>
      <w:r w:rsidR="001C1038" w:rsidRPr="000C07FF">
        <w:rPr>
          <w:rFonts w:cs="Times New Roman"/>
        </w:rPr>
        <w:fldChar w:fldCharType="separate"/>
      </w:r>
      <w:r w:rsidR="0076576E" w:rsidRPr="0076576E">
        <w:rPr>
          <w:rFonts w:cs="Times New Roman"/>
          <w:noProof/>
          <w:vertAlign w:val="superscript"/>
        </w:rPr>
        <w:t>146</w:t>
      </w:r>
      <w:r w:rsidR="001C1038" w:rsidRPr="000C07FF">
        <w:rPr>
          <w:rFonts w:cs="Times New Roman"/>
        </w:rPr>
        <w:fldChar w:fldCharType="end"/>
      </w:r>
      <w:r w:rsidR="00E43F38" w:rsidRPr="000C07FF">
        <w:rPr>
          <w:rFonts w:cs="Times New Roman"/>
        </w:rPr>
        <w:t xml:space="preserve"> </w:t>
      </w:r>
      <w:r w:rsidR="00AD67F6" w:rsidRPr="000C07FF">
        <w:rPr>
          <w:rFonts w:cs="Times New Roman"/>
        </w:rPr>
        <w:t>In sCJD</w:t>
      </w:r>
      <w:r w:rsidR="00DF087B" w:rsidRPr="000C07FF">
        <w:rPr>
          <w:rFonts w:cs="Times New Roman"/>
        </w:rPr>
        <w:t>,</w:t>
      </w:r>
      <w:r w:rsidR="00AD67F6" w:rsidRPr="000C07FF">
        <w:rPr>
          <w:rFonts w:cs="Times New Roman"/>
        </w:rPr>
        <w:t xml:space="preserve"> six </w:t>
      </w:r>
      <w:r w:rsidR="007C7CE1" w:rsidRPr="000C07FF">
        <w:rPr>
          <w:rFonts w:cs="Times New Roman"/>
        </w:rPr>
        <w:t xml:space="preserve">major </w:t>
      </w:r>
      <w:r w:rsidR="00AD67F6" w:rsidRPr="000C07FF">
        <w:rPr>
          <w:rFonts w:cs="Times New Roman"/>
        </w:rPr>
        <w:t>subtypes</w:t>
      </w:r>
      <w:r w:rsidR="007C7CE1" w:rsidRPr="000C07FF">
        <w:rPr>
          <w:rFonts w:cs="Times New Roman"/>
        </w:rPr>
        <w:t xml:space="preserve"> carrying diverse clinical and pathological</w:t>
      </w:r>
      <w:r w:rsidR="00AD67F6" w:rsidRPr="000C07FF">
        <w:rPr>
          <w:rFonts w:cs="Times New Roman"/>
        </w:rPr>
        <w:t xml:space="preserve"> </w:t>
      </w:r>
      <w:r w:rsidR="007C7CE1" w:rsidRPr="000C07FF">
        <w:rPr>
          <w:rFonts w:cs="Times New Roman"/>
        </w:rPr>
        <w:t xml:space="preserve">features </w:t>
      </w:r>
      <w:r w:rsidR="00AD67F6" w:rsidRPr="000C07FF">
        <w:rPr>
          <w:rFonts w:cs="Times New Roman"/>
        </w:rPr>
        <w:t>have been identified: (i) MM1/MV1; (ii) VV2; (iii) MV 2K; (iv) MM 2</w:t>
      </w:r>
      <w:r w:rsidR="00C17861" w:rsidRPr="000C07FF">
        <w:rPr>
          <w:rFonts w:cs="Times New Roman"/>
        </w:rPr>
        <w:t>-cortical (MM2</w:t>
      </w:r>
      <w:r w:rsidR="00AD67F6" w:rsidRPr="000C07FF">
        <w:rPr>
          <w:rFonts w:cs="Times New Roman"/>
        </w:rPr>
        <w:t>C</w:t>
      </w:r>
      <w:r w:rsidR="00C17861" w:rsidRPr="000C07FF">
        <w:rPr>
          <w:rFonts w:cs="Times New Roman"/>
        </w:rPr>
        <w:t>)</w:t>
      </w:r>
      <w:r w:rsidR="00AD67F6" w:rsidRPr="000C07FF">
        <w:rPr>
          <w:rFonts w:cs="Times New Roman"/>
        </w:rPr>
        <w:t>; (v) MM</w:t>
      </w:r>
      <w:r w:rsidR="00C17861" w:rsidRPr="000C07FF">
        <w:rPr>
          <w:rFonts w:cs="Times New Roman"/>
        </w:rPr>
        <w:t>2-thalamic (MM</w:t>
      </w:r>
      <w:r w:rsidR="00AD67F6" w:rsidRPr="000C07FF">
        <w:rPr>
          <w:rFonts w:cs="Times New Roman"/>
        </w:rPr>
        <w:t>2T</w:t>
      </w:r>
      <w:r w:rsidR="00C17861" w:rsidRPr="000C07FF">
        <w:rPr>
          <w:rFonts w:cs="Times New Roman"/>
        </w:rPr>
        <w:t>)</w:t>
      </w:r>
      <w:r w:rsidR="00AD67F6" w:rsidRPr="000C07FF">
        <w:rPr>
          <w:rFonts w:cs="Times New Roman"/>
        </w:rPr>
        <w:t xml:space="preserve"> or sporadic FI; and (vi) VV1.</w:t>
      </w:r>
      <w:r w:rsidR="001C1038" w:rsidRPr="000C07FF">
        <w:rPr>
          <w:rFonts w:cs="Times New Roman"/>
        </w:rPr>
        <w:fldChar w:fldCharType="begin">
          <w:fldData xml:space="preserve">PEVuZE5vdGU+PENpdGU+PEF1dGhvcj5QYXJjaGk8L0F1dGhvcj48WWVhcj4yMDA5PC9ZZWFyPjxS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PEVuZE5vdGU+PENpdGU+PEF1dGhvcj5QYXJjaGk8L0F1dGhvcj48WWVhcj4yMDA5PC9ZZWFyPjxS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0C07FF">
        <w:rPr>
          <w:rFonts w:cs="Times New Roman"/>
        </w:rPr>
      </w:r>
      <w:r w:rsidR="001C1038" w:rsidRPr="000C07FF">
        <w:rPr>
          <w:rFonts w:cs="Times New Roman"/>
        </w:rPr>
        <w:fldChar w:fldCharType="separate"/>
      </w:r>
      <w:r w:rsidR="0076576E" w:rsidRPr="0076576E">
        <w:rPr>
          <w:rFonts w:cs="Times New Roman"/>
          <w:noProof/>
          <w:vertAlign w:val="superscript"/>
        </w:rPr>
        <w:t>147</w:t>
      </w:r>
      <w:r w:rsidR="001C1038" w:rsidRPr="000C07FF">
        <w:rPr>
          <w:rFonts w:cs="Times New Roman"/>
        </w:rPr>
        <w:fldChar w:fldCharType="end"/>
      </w:r>
      <w:r w:rsidR="00B64F8B" w:rsidRPr="000C07FF">
        <w:rPr>
          <w:rFonts w:cs="Times New Roman"/>
        </w:rPr>
        <w:t xml:space="preserve"> </w:t>
      </w:r>
      <w:r w:rsidR="00186EED" w:rsidRPr="000C07FF">
        <w:rPr>
          <w:rFonts w:cs="Times New Roman"/>
        </w:rPr>
        <w:t xml:space="preserve">All subtypes have been found to be transmissible to at least one genotype </w:t>
      </w:r>
      <w:r w:rsidR="00253924">
        <w:rPr>
          <w:rFonts w:cs="Times New Roman"/>
        </w:rPr>
        <w:t>in</w:t>
      </w:r>
      <w:r w:rsidR="00186EED" w:rsidRPr="000C07FF">
        <w:rPr>
          <w:rFonts w:cs="Times New Roman"/>
        </w:rPr>
        <w:t xml:space="preserve"> mice</w:t>
      </w:r>
      <w:r w:rsidR="00253924">
        <w:rPr>
          <w:rFonts w:cs="Times New Roman"/>
        </w:rPr>
        <w:t xml:space="preserve"> studies</w:t>
      </w:r>
      <w:r w:rsidR="00186EED" w:rsidRPr="000C07FF">
        <w:rPr>
          <w:rFonts w:cs="Times New Roman"/>
        </w:rPr>
        <w:t xml:space="preserve"> (Bishop </w:t>
      </w:r>
      <w:r w:rsidR="00B301D6" w:rsidRPr="00B301D6">
        <w:rPr>
          <w:rFonts w:cs="Times New Roman"/>
          <w:i/>
        </w:rPr>
        <w:t>et al</w:t>
      </w:r>
      <w:r w:rsidR="00186EED" w:rsidRPr="000C07FF">
        <w:rPr>
          <w:rFonts w:cs="Times New Roman"/>
        </w:rPr>
        <w:t xml:space="preserve"> 2010).</w:t>
      </w:r>
      <w:r w:rsidR="00DB67C1" w:rsidRPr="000C07FF">
        <w:rPr>
          <w:rFonts w:cs="Times New Roman"/>
        </w:rPr>
        <w:fldChar w:fldCharType="begin"/>
      </w:r>
      <w:r w:rsidR="0076576E">
        <w:rPr>
          <w:rFonts w:cs="Times New Roman"/>
        </w:rPr>
        <w:instrText xml:space="preserve"> ADDIN EN.CITE &lt;EndNote&gt;&lt;Cite&gt;&lt;Author&gt;Bishop&lt;/Author&gt;&lt;Year&gt;2010&lt;/Year&gt;&lt;RecNum&gt;10270&lt;/RecNum&gt;&lt;DisplayText&gt;&lt;style face="superscript"&gt;148&lt;/style&gt;&lt;/DisplayText&gt;&lt;record&gt;&lt;rec-number&gt;10270&lt;/rec-number&gt;&lt;foreign-keys&gt;&lt;key app="EN" db-id="vrp0pptazv05wtesfz5vrzsj2p0rv09ttsa9" timestamp="1520952810" guid="91a3717e-25c9-4c35-910a-3c1333a0b7bd"&gt;10270&lt;/key&gt;&lt;/foreign-keys&gt;&lt;ref-type name="Journal Article"&gt;17&lt;/ref-type&gt;&lt;contributors&gt;&lt;authors&gt;&lt;author&gt;Bishop, Matthew T&lt;/author&gt;&lt;author&gt;Will, Robert G&lt;/author&gt;&lt;author&gt;Manson, Jean C&lt;/author&gt;&lt;/authors&gt;&lt;/contributors&gt;&lt;titles&gt;&lt;title&gt;Defining sporadic Creutzfeldt-Jakob disease strains and their transmission properties&lt;/title&gt;&lt;secondary-title&gt;Proceedings of the National Academy of Sciences&lt;/secondary-title&gt;&lt;/titles&gt;&lt;periodical&gt;&lt;full-title&gt;Proceedings of the National Academy of Sciences&lt;/full-title&gt;&lt;/periodical&gt;&lt;pages&gt;12005-12010&lt;/pages&gt;&lt;volume&gt;107&lt;/volume&gt;&lt;number&gt;26&lt;/number&gt;&lt;keywords&gt;&lt;keyword&gt;$$LU_4_CJD infectivity&lt;/keyword&gt;&lt;keyword&gt;$$Lesley google&lt;/keyword&gt;&lt;/keywords&gt;&lt;dates&gt;&lt;year&gt;2010&lt;/year&gt;&lt;/dates&gt;&lt;isbn&gt;0027-8424&lt;/isbn&gt;&lt;urls&gt;&lt;/urls&gt;&lt;/record&gt;&lt;/Cite&gt;&lt;/EndNote&gt;</w:instrText>
      </w:r>
      <w:r w:rsidR="00DB67C1" w:rsidRPr="000C07FF">
        <w:rPr>
          <w:rFonts w:cs="Times New Roman"/>
        </w:rPr>
        <w:fldChar w:fldCharType="separate"/>
      </w:r>
      <w:r w:rsidR="0076576E" w:rsidRPr="0076576E">
        <w:rPr>
          <w:rFonts w:cs="Times New Roman"/>
          <w:noProof/>
          <w:vertAlign w:val="superscript"/>
        </w:rPr>
        <w:t>148</w:t>
      </w:r>
      <w:r w:rsidR="00DB67C1" w:rsidRPr="000C07FF">
        <w:rPr>
          <w:rFonts w:cs="Times New Roman"/>
        </w:rPr>
        <w:fldChar w:fldCharType="end"/>
      </w:r>
      <w:r w:rsidR="00186EED" w:rsidRPr="000C07FF">
        <w:rPr>
          <w:rFonts w:cs="Times New Roman"/>
        </w:rPr>
        <w:t xml:space="preserve"> </w:t>
      </w:r>
      <w:r w:rsidR="00EE507B" w:rsidRPr="000C07FF">
        <w:rPr>
          <w:rFonts w:cs="Times New Roman"/>
        </w:rPr>
        <w:t xml:space="preserve">Four major </w:t>
      </w:r>
      <w:r w:rsidR="00D51F83" w:rsidRPr="000C07FF">
        <w:rPr>
          <w:rFonts w:cs="Times New Roman"/>
        </w:rPr>
        <w:t xml:space="preserve">prion </w:t>
      </w:r>
      <w:r w:rsidR="00EE507B" w:rsidRPr="000C07FF">
        <w:rPr>
          <w:rFonts w:cs="Times New Roman"/>
        </w:rPr>
        <w:t>strains have</w:t>
      </w:r>
      <w:r w:rsidR="00186EED" w:rsidRPr="000C07FF">
        <w:rPr>
          <w:rFonts w:cs="Times New Roman"/>
        </w:rPr>
        <w:t xml:space="preserve"> been proposed to underlie </w:t>
      </w:r>
      <w:r w:rsidR="00820B63" w:rsidRPr="000C07FF">
        <w:rPr>
          <w:rFonts w:cs="Times New Roman"/>
        </w:rPr>
        <w:t>sCJD, iCJD, Kuru and some gCJD cases</w:t>
      </w:r>
      <w:r w:rsidR="00EE507B" w:rsidRPr="000C07FF">
        <w:rPr>
          <w:rFonts w:cs="Times New Roman"/>
        </w:rPr>
        <w:t xml:space="preserve"> termed M1, V2, M2 and V1.</w:t>
      </w:r>
      <w:r w:rsidR="00DB67C1" w:rsidRPr="000C07FF">
        <w:rPr>
          <w:rFonts w:cs="Times New Roman"/>
        </w:rPr>
        <w:fldChar w:fldCharType="begin">
          <w:fldData xml:space="preserve">PEVuZE5vdGU+PENpdGU+PEF1dGhvcj5EaWFjazwvQXV0aG9yPjxZZWFyPjIwMTQ8L1llYXI+PFJl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PEVuZE5vdGU+PENpdGU+PEF1dGhvcj5EaWFjazwvQXV0aG9yPjxZZWFyPjIwMTQ8L1llYXI+PFJl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DB67C1" w:rsidRPr="000C07FF">
        <w:rPr>
          <w:rFonts w:cs="Times New Roman"/>
        </w:rPr>
      </w:r>
      <w:r w:rsidR="00DB67C1" w:rsidRPr="000C07FF">
        <w:rPr>
          <w:rFonts w:cs="Times New Roman"/>
        </w:rPr>
        <w:fldChar w:fldCharType="separate"/>
      </w:r>
      <w:r w:rsidR="0076576E" w:rsidRPr="0076576E">
        <w:rPr>
          <w:rFonts w:cs="Times New Roman"/>
          <w:noProof/>
          <w:vertAlign w:val="superscript"/>
        </w:rPr>
        <w:t>85</w:t>
      </w:r>
      <w:r w:rsidR="00DB67C1" w:rsidRPr="000C07FF">
        <w:rPr>
          <w:rFonts w:cs="Times New Roman"/>
        </w:rPr>
        <w:fldChar w:fldCharType="end"/>
      </w:r>
      <w:r w:rsidR="00EE507B" w:rsidRPr="000C07FF">
        <w:rPr>
          <w:rFonts w:cs="Times New Roman"/>
        </w:rPr>
        <w:t xml:space="preserve"> </w:t>
      </w:r>
      <w:r w:rsidR="00820B63" w:rsidRPr="000C07FF">
        <w:rPr>
          <w:rFonts w:cs="Times New Roman"/>
        </w:rPr>
        <w:t xml:space="preserve">Variant </w:t>
      </w:r>
      <w:r w:rsidRPr="000C07FF">
        <w:rPr>
          <w:rFonts w:cs="Times New Roman"/>
        </w:rPr>
        <w:t>CJD</w:t>
      </w:r>
      <w:r w:rsidR="00EE507B" w:rsidRPr="000C07FF">
        <w:rPr>
          <w:rFonts w:cs="Times New Roman"/>
        </w:rPr>
        <w:t>,</w:t>
      </w:r>
      <w:r w:rsidR="00186EED" w:rsidRPr="000C07FF">
        <w:rPr>
          <w:rFonts w:cs="Times New Roman"/>
        </w:rPr>
        <w:t xml:space="preserve"> however,</w:t>
      </w:r>
      <w:r w:rsidR="00EE507B" w:rsidRPr="000C07FF">
        <w:rPr>
          <w:rFonts w:cs="Times New Roman"/>
        </w:rPr>
        <w:t xml:space="preserve"> </w:t>
      </w:r>
      <w:r w:rsidRPr="000C07FF">
        <w:rPr>
          <w:rFonts w:cs="Times New Roman"/>
        </w:rPr>
        <w:t xml:space="preserve">can be distinguished from </w:t>
      </w:r>
      <w:r w:rsidR="00820B63" w:rsidRPr="000C07FF">
        <w:rPr>
          <w:rFonts w:cs="Times New Roman"/>
        </w:rPr>
        <w:t xml:space="preserve">other </w:t>
      </w:r>
      <w:r w:rsidR="00DF087B" w:rsidRPr="000C07FF">
        <w:rPr>
          <w:rFonts w:cs="Times New Roman"/>
        </w:rPr>
        <w:t>categories of CJD due to the</w:t>
      </w:r>
      <w:r w:rsidRPr="000C07FF">
        <w:rPr>
          <w:rFonts w:cs="Times New Roman"/>
        </w:rPr>
        <w:t xml:space="preserve"> unique PrP</w:t>
      </w:r>
      <w:r w:rsidRPr="000C07FF">
        <w:rPr>
          <w:rFonts w:cs="Times New Roman"/>
          <w:vertAlign w:val="superscript"/>
        </w:rPr>
        <w:t>res</w:t>
      </w:r>
      <w:r w:rsidRPr="000C07FF">
        <w:rPr>
          <w:rFonts w:cs="Times New Roman"/>
        </w:rPr>
        <w:t xml:space="preserve"> </w:t>
      </w:r>
      <w:r w:rsidR="00C26E36" w:rsidRPr="000C07FF">
        <w:rPr>
          <w:rFonts w:cs="Times New Roman"/>
        </w:rPr>
        <w:t>biochemical</w:t>
      </w:r>
      <w:r w:rsidR="00C26E36" w:rsidRPr="000C07FF">
        <w:rPr>
          <w:rFonts w:cs="Times New Roman"/>
          <w:vertAlign w:val="superscript"/>
        </w:rPr>
        <w:t xml:space="preserve"> </w:t>
      </w:r>
      <w:r w:rsidR="00C26E36" w:rsidRPr="000C07FF">
        <w:rPr>
          <w:rFonts w:cs="Times New Roman"/>
        </w:rPr>
        <w:t>glyco</w:t>
      </w:r>
      <w:r w:rsidRPr="000C07FF">
        <w:rPr>
          <w:rFonts w:cs="Times New Roman"/>
        </w:rPr>
        <w:t>type referred to a</w:t>
      </w:r>
      <w:r w:rsidR="00C26E36" w:rsidRPr="000C07FF">
        <w:rPr>
          <w:rFonts w:cs="Times New Roman"/>
        </w:rPr>
        <w:t>s</w:t>
      </w:r>
      <w:r w:rsidRPr="000C07FF">
        <w:rPr>
          <w:rFonts w:cs="Times New Roman"/>
        </w:rPr>
        <w:t xml:space="preserve"> type 2B or type 4</w:t>
      </w:r>
      <w:r w:rsidR="00C26E36" w:rsidRPr="000C07FF">
        <w:rPr>
          <w:rFonts w:cs="Times New Roman"/>
        </w:rPr>
        <w:t>, also found in cases of natural BSE and other BSE-related conditions.</w:t>
      </w:r>
      <w:r w:rsidR="00DB67C1" w:rsidRPr="000C07FF">
        <w:rPr>
          <w:rFonts w:cs="Times New Roman"/>
        </w:rPr>
        <w:fldChar w:fldCharType="begin">
          <w:fldData xml:space="preserve">PEVuZE5vdGU+PENpdGU+PEF1dGhvcj5SaXRjaGllPC9BdXRob3I+PFllYXI+MjAwOTwvWWVhcj48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PEVuZE5vdGU+PENpdGU+PEF1dGhvcj5SaXRjaGllPC9BdXRob3I+PFllYXI+MjAwOTwvWWVhcj48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DB67C1" w:rsidRPr="000C07FF">
        <w:rPr>
          <w:rFonts w:cs="Times New Roman"/>
        </w:rPr>
      </w:r>
      <w:r w:rsidR="00DB67C1" w:rsidRPr="000C07FF">
        <w:rPr>
          <w:rFonts w:cs="Times New Roman"/>
        </w:rPr>
        <w:fldChar w:fldCharType="separate"/>
      </w:r>
      <w:r w:rsidR="0076576E" w:rsidRPr="0076576E">
        <w:rPr>
          <w:rFonts w:cs="Times New Roman"/>
          <w:noProof/>
          <w:vertAlign w:val="superscript"/>
        </w:rPr>
        <w:t>86</w:t>
      </w:r>
      <w:r w:rsidR="00DB67C1" w:rsidRPr="000C07FF">
        <w:rPr>
          <w:rFonts w:cs="Times New Roman"/>
        </w:rPr>
        <w:fldChar w:fldCharType="end"/>
      </w:r>
    </w:p>
    <w:p w14:paraId="4BC06303" w14:textId="77777777" w:rsidR="006E1D8B" w:rsidRPr="000C07FF" w:rsidRDefault="006E1D8B" w:rsidP="004642FD">
      <w:pPr>
        <w:autoSpaceDE w:val="0"/>
        <w:autoSpaceDN w:val="0"/>
        <w:adjustRightInd w:val="0"/>
        <w:jc w:val="both"/>
        <w:rPr>
          <w:rFonts w:cs="Times New Roman"/>
        </w:rPr>
      </w:pPr>
    </w:p>
    <w:p w14:paraId="3B913A3E" w14:textId="22CC4499" w:rsidR="00F71669" w:rsidRPr="000C07FF" w:rsidRDefault="00F71669" w:rsidP="004642FD">
      <w:pPr>
        <w:autoSpaceDE w:val="0"/>
        <w:autoSpaceDN w:val="0"/>
        <w:adjustRightInd w:val="0"/>
        <w:jc w:val="both"/>
        <w:rPr>
          <w:rFonts w:eastAsia="Calibri" w:cs="Times New Roman"/>
        </w:rPr>
      </w:pPr>
      <w:r w:rsidRPr="000C07FF">
        <w:rPr>
          <w:rFonts w:cs="Times New Roman"/>
        </w:rPr>
        <w:t>Definitive information on the phenotype can be identified only following neuropathological examination which provides the opportunity to establish whether CJD may have been acquired as opposed to spora</w:t>
      </w:r>
      <w:r w:rsidR="00D12BD3" w:rsidRPr="000C07FF">
        <w:rPr>
          <w:rFonts w:cs="Times New Roman"/>
        </w:rPr>
        <w:t xml:space="preserve">dic or genetic causes. </w:t>
      </w:r>
      <w:r w:rsidR="00F96F2D" w:rsidRPr="000C07FF">
        <w:rPr>
          <w:rFonts w:cs="Times New Roman"/>
        </w:rPr>
        <w:t xml:space="preserve">Kobayashi </w:t>
      </w:r>
      <w:r w:rsidR="00B301D6" w:rsidRPr="00B301D6">
        <w:rPr>
          <w:rFonts w:cs="Times New Roman"/>
          <w:i/>
        </w:rPr>
        <w:t>et al</w:t>
      </w:r>
      <w:r w:rsidR="00F96F2D" w:rsidRPr="000C07FF">
        <w:rPr>
          <w:rFonts w:cs="Times New Roman"/>
        </w:rPr>
        <w:t xml:space="preserve"> (</w:t>
      </w:r>
      <w:r w:rsidR="00F25602">
        <w:rPr>
          <w:rFonts w:cs="Times New Roman"/>
        </w:rPr>
        <w:t>2016),</w:t>
      </w:r>
      <w:r w:rsidR="00F96F2D" w:rsidRPr="000C07FF">
        <w:rPr>
          <w:rFonts w:cs="Times New Roman"/>
        </w:rPr>
        <w:fldChar w:fldCharType="begin">
          <w:fldData xml:space="preserve">PEVuZE5vdGU+PENpdGU+PEF1dGhvcj5UZXJhc2FrYTwvQXV0aG9yPjxZZWFyPjIwMTY8L1llYXI+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PEVuZE5vdGU+PENpdGU+PEF1dGhvcj5UZXJhc2FrYTwvQXV0aG9yPjxZZWFyPjIwMTY8L1llYXI+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F96F2D" w:rsidRPr="000C07FF">
        <w:rPr>
          <w:rFonts w:cs="Times New Roman"/>
        </w:rPr>
      </w:r>
      <w:r w:rsidR="00F96F2D" w:rsidRPr="000C07FF">
        <w:rPr>
          <w:rFonts w:cs="Times New Roman"/>
        </w:rPr>
        <w:fldChar w:fldCharType="separate"/>
      </w:r>
      <w:r w:rsidR="0076576E" w:rsidRPr="0076576E">
        <w:rPr>
          <w:rFonts w:cs="Times New Roman"/>
          <w:noProof/>
          <w:vertAlign w:val="superscript"/>
        </w:rPr>
        <w:t>94</w:t>
      </w:r>
      <w:r w:rsidR="00F96F2D" w:rsidRPr="000C07FF">
        <w:rPr>
          <w:rFonts w:cs="Times New Roman"/>
        </w:rPr>
        <w:fldChar w:fldCharType="end"/>
      </w:r>
      <w:r w:rsidR="00F96F2D" w:rsidRPr="000C07FF">
        <w:rPr>
          <w:rFonts w:cs="Times New Roman"/>
        </w:rPr>
        <w:t xml:space="preserve"> for example, propose the distinctive combination of 129M/M genotype, kuru plaques, and intermediate type PrP</w:t>
      </w:r>
      <w:r w:rsidR="00F96F2D" w:rsidRPr="000C07FF">
        <w:rPr>
          <w:rFonts w:cs="Times New Roman"/>
          <w:vertAlign w:val="superscript"/>
        </w:rPr>
        <w:t>Sc</w:t>
      </w:r>
      <w:r w:rsidR="00F96F2D" w:rsidRPr="000C07FF">
        <w:rPr>
          <w:rFonts w:cs="Times New Roman"/>
        </w:rPr>
        <w:t xml:space="preserve">, as a reliable criterion for the identification of </w:t>
      </w:r>
      <w:r w:rsidR="00253924">
        <w:rPr>
          <w:rFonts w:cs="Times New Roman"/>
        </w:rPr>
        <w:t xml:space="preserve">iatrogenically </w:t>
      </w:r>
      <w:r w:rsidR="00F96F2D" w:rsidRPr="000C07FF">
        <w:rPr>
          <w:rFonts w:cs="Times New Roman"/>
        </w:rPr>
        <w:t xml:space="preserve">acquired CJD cases among presumed sporadic cases. Additionally, </w:t>
      </w:r>
      <w:r w:rsidR="00AA5385">
        <w:rPr>
          <w:rFonts w:cs="Times New Roman"/>
        </w:rPr>
        <w:t>some</w:t>
      </w:r>
      <w:r w:rsidR="007C7CE1" w:rsidRPr="000C07FF">
        <w:rPr>
          <w:rFonts w:cs="Times New Roman"/>
        </w:rPr>
        <w:t xml:space="preserve"> studies</w:t>
      </w:r>
      <w:r w:rsidRPr="000C07FF">
        <w:rPr>
          <w:rFonts w:cs="Times New Roman"/>
        </w:rPr>
        <w:t xml:space="preserve"> highlight</w:t>
      </w:r>
      <w:r w:rsidR="007C7CE1" w:rsidRPr="000C07FF">
        <w:rPr>
          <w:rFonts w:cs="Times New Roman"/>
        </w:rPr>
        <w:t xml:space="preserve"> that</w:t>
      </w:r>
      <w:r w:rsidR="00235C82" w:rsidRPr="000C07FF">
        <w:rPr>
          <w:rFonts w:cs="Times New Roman"/>
        </w:rPr>
        <w:t xml:space="preserve"> </w:t>
      </w:r>
      <w:r w:rsidR="002F1F20" w:rsidRPr="000C07FF">
        <w:rPr>
          <w:rFonts w:cs="Times New Roman"/>
        </w:rPr>
        <w:t>whilst exclusive</w:t>
      </w:r>
      <w:r w:rsidR="00235C82" w:rsidRPr="000C07FF">
        <w:rPr>
          <w:rFonts w:cs="Times New Roman"/>
        </w:rPr>
        <w:t xml:space="preserve"> type 1 (sCJDMM1) or type 2 (sCJDMM2) cases do exist, </w:t>
      </w:r>
      <w:r w:rsidR="007C7CE1" w:rsidRPr="000C07FF">
        <w:rPr>
          <w:rFonts w:cs="Times New Roman"/>
        </w:rPr>
        <w:t>a</w:t>
      </w:r>
      <w:r w:rsidRPr="000C07FF">
        <w:rPr>
          <w:rFonts w:cs="Times New Roman"/>
        </w:rPr>
        <w:t xml:space="preserve"> frequent co-occurrence </w:t>
      </w:r>
      <w:r w:rsidR="002F1F20" w:rsidRPr="000C07FF">
        <w:rPr>
          <w:rFonts w:cs="Times New Roman"/>
        </w:rPr>
        <w:t xml:space="preserve">has been noted </w:t>
      </w:r>
      <w:r w:rsidRPr="000C07FF">
        <w:rPr>
          <w:rFonts w:cs="Times New Roman"/>
        </w:rPr>
        <w:t>of both PrP</w:t>
      </w:r>
      <w:r w:rsidRPr="004C49AD">
        <w:rPr>
          <w:rFonts w:cs="Times New Roman"/>
          <w:vertAlign w:val="superscript"/>
        </w:rPr>
        <w:t>Sc</w:t>
      </w:r>
      <w:r w:rsidRPr="000C07FF">
        <w:rPr>
          <w:rFonts w:cs="Times New Roman"/>
        </w:rPr>
        <w:t xml:space="preserve"> types 1 and 2 in sCJD</w:t>
      </w:r>
      <w:r w:rsidR="002F1F20" w:rsidRPr="000C07FF">
        <w:rPr>
          <w:rFonts w:cs="Times New Roman"/>
        </w:rPr>
        <w:t xml:space="preserve"> in</w:t>
      </w:r>
      <w:r w:rsidRPr="000C07FF">
        <w:rPr>
          <w:rFonts w:cs="Times New Roman"/>
        </w:rPr>
        <w:t xml:space="preserve"> </w:t>
      </w:r>
      <w:r w:rsidR="007C7CE1" w:rsidRPr="000C07FF">
        <w:rPr>
          <w:rFonts w:cs="Times New Roman"/>
        </w:rPr>
        <w:t>different areas</w:t>
      </w:r>
      <w:r w:rsidR="00253924">
        <w:rPr>
          <w:rFonts w:cs="Times New Roman"/>
        </w:rPr>
        <w:t>,</w:t>
      </w:r>
      <w:r w:rsidR="007C7CE1" w:rsidRPr="000C07FF">
        <w:rPr>
          <w:rFonts w:cs="Times New Roman"/>
        </w:rPr>
        <w:t xml:space="preserve"> or the same area</w:t>
      </w:r>
      <w:r w:rsidR="00253924">
        <w:rPr>
          <w:rFonts w:cs="Times New Roman"/>
        </w:rPr>
        <w:t>,</w:t>
      </w:r>
      <w:r w:rsidR="007C7CE1" w:rsidRPr="000C07FF">
        <w:rPr>
          <w:rFonts w:cs="Times New Roman"/>
        </w:rPr>
        <w:t xml:space="preserve"> </w:t>
      </w:r>
      <w:r w:rsidR="00253924">
        <w:rPr>
          <w:rFonts w:cs="Times New Roman"/>
        </w:rPr>
        <w:t>of</w:t>
      </w:r>
      <w:r w:rsidR="007C7CE1" w:rsidRPr="000C07FF">
        <w:rPr>
          <w:rFonts w:cs="Times New Roman"/>
        </w:rPr>
        <w:t xml:space="preserve"> the brain from a single sCJD</w:t>
      </w:r>
      <w:r w:rsidR="002F1F20" w:rsidRPr="000C07FF">
        <w:rPr>
          <w:rFonts w:cs="Times New Roman"/>
        </w:rPr>
        <w:t xml:space="preserve"> </w:t>
      </w:r>
      <w:r w:rsidR="007C7CE1" w:rsidRPr="000C07FF">
        <w:rPr>
          <w:rFonts w:cs="Times New Roman"/>
        </w:rPr>
        <w:t>patient</w:t>
      </w:r>
      <w:r w:rsidR="002F1F20" w:rsidRPr="000C07FF">
        <w:rPr>
          <w:rFonts w:cs="Times New Roman"/>
        </w:rPr>
        <w:t>.</w:t>
      </w:r>
      <w:r w:rsidR="001C1038" w:rsidRPr="000C07FF">
        <w:rPr>
          <w:rFonts w:cs="Times New Roman"/>
        </w:rPr>
        <w:fldChar w:fldCharType="begin">
          <w:fldData xml:space="preserve">PEVuZE5vdGU+PENpdGU+PEF1dGhvcj5Vcm8tQ29zdGU8L0F1dGhvcj48WWVhcj4yMDA4PC9ZZWFy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</w:fldData>
        </w:fldChar>
      </w:r>
      <w:r w:rsidR="0076576E">
        <w:rPr>
          <w:rFonts w:cs="Times New Roman"/>
        </w:rPr>
        <w:instrText xml:space="preserve"> ADDIN EN.CITE </w:instrText>
      </w:r>
      <w:r w:rsidR="0076576E">
        <w:rPr>
          <w:rFonts w:cs="Times New Roman"/>
        </w:rPr>
        <w:fldChar w:fldCharType="begin">
          <w:fldData xml:space="preserve">PEVuZE5vdGU+PENpdGU+PEF1dGhvcj5Vcm8tQ29zdGU8L0F1dGhvcj48WWVhcj4yMDA4PC9ZZWFy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0C07FF">
        <w:rPr>
          <w:rFonts w:cs="Times New Roman"/>
        </w:rPr>
      </w:r>
      <w:r w:rsidR="001C1038" w:rsidRPr="000C07FF">
        <w:rPr>
          <w:rFonts w:cs="Times New Roman"/>
        </w:rPr>
        <w:fldChar w:fldCharType="separate"/>
      </w:r>
      <w:r w:rsidR="0076576E" w:rsidRPr="0076576E">
        <w:rPr>
          <w:rFonts w:cs="Times New Roman"/>
          <w:noProof/>
          <w:vertAlign w:val="superscript"/>
        </w:rPr>
        <w:t>149</w:t>
      </w:r>
      <w:r w:rsidR="001C1038" w:rsidRPr="000C07FF">
        <w:rPr>
          <w:rFonts w:cs="Times New Roman"/>
        </w:rPr>
        <w:fldChar w:fldCharType="end"/>
      </w:r>
      <w:r w:rsidR="002F1F20" w:rsidRPr="000C07FF">
        <w:rPr>
          <w:rFonts w:cs="Times New Roman"/>
        </w:rPr>
        <w:t xml:space="preserve"> This finding</w:t>
      </w:r>
      <w:r w:rsidR="007C7CE1" w:rsidRPr="000C07FF">
        <w:rPr>
          <w:rFonts w:cs="Times New Roman"/>
        </w:rPr>
        <w:t xml:space="preserve"> </w:t>
      </w:r>
      <w:r w:rsidRPr="000C07FF">
        <w:rPr>
          <w:rFonts w:cs="Times New Roman"/>
        </w:rPr>
        <w:t>complicates the diagnosis and the</w:t>
      </w:r>
      <w:r w:rsidR="00036703" w:rsidRPr="000C07FF">
        <w:rPr>
          <w:rFonts w:cs="Times New Roman"/>
        </w:rPr>
        <w:t xml:space="preserve"> current classification of sCJD</w:t>
      </w:r>
      <w:r w:rsidR="00036703" w:rsidRPr="000C07FF">
        <w:rPr>
          <w:rFonts w:cs="Times New Roman"/>
        </w:rPr>
        <w:fldChar w:fldCharType="begin">
          <w:fldData xml:space="preserve">PEVuZE5vdGU+PENpdGU+PEF1dGhvcj5DYWxpPC9BdXRob3I+PFllYXI+MjAwOTwvWWVhcj48UmVj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</w:fldData>
        </w:fldChar>
      </w:r>
      <w:r w:rsidR="0076576E">
        <w:rPr>
          <w:rFonts w:cs="Times New Roman"/>
        </w:rPr>
        <w:instrText xml:space="preserve"> ADDIN EN.CITE </w:instrText>
      </w:r>
      <w:r w:rsidR="0076576E">
        <w:rPr>
          <w:rFonts w:cs="Times New Roman"/>
        </w:rPr>
        <w:fldChar w:fldCharType="begin">
          <w:fldData xml:space="preserve">PEVuZE5vdGU+PENpdGU+PEF1dGhvcj5DYWxpPC9BdXRob3I+PFllYXI+MjAwOTwvWWVhcj48UmVj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036703" w:rsidRPr="000C07FF">
        <w:rPr>
          <w:rFonts w:cs="Times New Roman"/>
        </w:rPr>
      </w:r>
      <w:r w:rsidR="00036703" w:rsidRPr="000C07FF">
        <w:rPr>
          <w:rFonts w:cs="Times New Roman"/>
        </w:rPr>
        <w:fldChar w:fldCharType="separate"/>
      </w:r>
      <w:r w:rsidR="0076576E" w:rsidRPr="0076576E">
        <w:rPr>
          <w:rFonts w:cs="Times New Roman"/>
          <w:noProof/>
          <w:vertAlign w:val="superscript"/>
        </w:rPr>
        <w:t>146</w:t>
      </w:r>
      <w:r w:rsidR="00036703" w:rsidRPr="000C07FF">
        <w:rPr>
          <w:rFonts w:cs="Times New Roman"/>
        </w:rPr>
        <w:fldChar w:fldCharType="end"/>
      </w:r>
      <w:r w:rsidR="00E76B9D" w:rsidRPr="000C07FF">
        <w:rPr>
          <w:rFonts w:cs="Times New Roman"/>
        </w:rPr>
        <w:t xml:space="preserve"> with</w:t>
      </w:r>
      <w:r w:rsidR="00036703" w:rsidRPr="000C07FF">
        <w:rPr>
          <w:rFonts w:cs="Times New Roman"/>
        </w:rPr>
        <w:t xml:space="preserve"> Parchi </w:t>
      </w:r>
      <w:r w:rsidR="00B301D6" w:rsidRPr="00B301D6">
        <w:rPr>
          <w:rFonts w:cs="Times New Roman"/>
          <w:i/>
        </w:rPr>
        <w:t>et al</w:t>
      </w:r>
      <w:r w:rsidR="00036703" w:rsidRPr="000C07FF">
        <w:rPr>
          <w:rFonts w:cs="Times New Roman"/>
        </w:rPr>
        <w:t xml:space="preserve"> (2009) highlight</w:t>
      </w:r>
      <w:r w:rsidR="00E76B9D" w:rsidRPr="000C07FF">
        <w:rPr>
          <w:rFonts w:cs="Times New Roman"/>
        </w:rPr>
        <w:t>ing</w:t>
      </w:r>
      <w:r w:rsidR="00036703" w:rsidRPr="000C07FF">
        <w:rPr>
          <w:rFonts w:cs="Times New Roman"/>
        </w:rPr>
        <w:t xml:space="preserve"> the importance of assessing the cerebral cortex from each of the 4 lobes </w:t>
      </w:r>
      <w:r w:rsidR="00E76B9D" w:rsidRPr="000C07FF">
        <w:rPr>
          <w:rFonts w:cs="Times New Roman"/>
        </w:rPr>
        <w:t>(</w:t>
      </w:r>
      <w:r w:rsidR="00036703" w:rsidRPr="000C07FF">
        <w:rPr>
          <w:rFonts w:cs="Times New Roman"/>
        </w:rPr>
        <w:t>striatum, hippocampus, thalamus and cerebellum</w:t>
      </w:r>
      <w:r w:rsidR="00E76B9D" w:rsidRPr="000C07FF">
        <w:rPr>
          <w:rFonts w:cs="Times New Roman"/>
        </w:rPr>
        <w:t>)</w:t>
      </w:r>
      <w:r w:rsidR="00036703" w:rsidRPr="000C07FF">
        <w:rPr>
          <w:rFonts w:cs="Times New Roman"/>
        </w:rPr>
        <w:t xml:space="preserve"> </w:t>
      </w:r>
      <w:r w:rsidR="00CC494F" w:rsidRPr="000C07FF">
        <w:rPr>
          <w:rFonts w:cs="Times New Roman"/>
        </w:rPr>
        <w:t>to avoid</w:t>
      </w:r>
      <w:r w:rsidR="00036703" w:rsidRPr="000C07FF">
        <w:rPr>
          <w:rFonts w:cs="Times New Roman"/>
        </w:rPr>
        <w:t xml:space="preserve"> </w:t>
      </w:r>
      <w:r w:rsidR="00E76B9D" w:rsidRPr="000C07FF">
        <w:rPr>
          <w:rFonts w:cs="Times New Roman"/>
        </w:rPr>
        <w:t>misclassification</w:t>
      </w:r>
      <w:r w:rsidR="00036703" w:rsidRPr="000C07FF">
        <w:rPr>
          <w:rFonts w:cs="Times New Roman"/>
        </w:rPr>
        <w:t xml:space="preserve"> of disease</w:t>
      </w:r>
      <w:r w:rsidRPr="000C07FF">
        <w:rPr>
          <w:rFonts w:cs="Times New Roman"/>
        </w:rPr>
        <w:t>.</w:t>
      </w:r>
      <w:r w:rsidR="00DB67C1" w:rsidRPr="000C07FF">
        <w:rPr>
          <w:rFonts w:cs="Times New Roman"/>
        </w:rPr>
        <w:fldChar w:fldCharType="begin">
          <w:fldData xml:space="preserve">PEVuZE5vdGU+PENpdGU+PEF1dGhvcj5QYXJjaGk8L0F1dGhvcj48WWVhcj4yMDA5PC9ZZWFyPjxS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PEVuZE5vdGU+PENpdGU+PEF1dGhvcj5QYXJjaGk8L0F1dGhvcj48WWVhcj4yMDA5PC9ZZWFyPjxS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DB67C1" w:rsidRPr="000C07FF">
        <w:rPr>
          <w:rFonts w:cs="Times New Roman"/>
        </w:rPr>
      </w:r>
      <w:r w:rsidR="00DB67C1" w:rsidRPr="000C07FF">
        <w:rPr>
          <w:rFonts w:cs="Times New Roman"/>
        </w:rPr>
        <w:fldChar w:fldCharType="separate"/>
      </w:r>
      <w:r w:rsidR="0076576E" w:rsidRPr="0076576E">
        <w:rPr>
          <w:rFonts w:cs="Times New Roman"/>
          <w:noProof/>
          <w:vertAlign w:val="superscript"/>
        </w:rPr>
        <w:t>147</w:t>
      </w:r>
      <w:r w:rsidR="00DB67C1" w:rsidRPr="000C07FF">
        <w:rPr>
          <w:rFonts w:cs="Times New Roman"/>
        </w:rPr>
        <w:fldChar w:fldCharType="end"/>
      </w:r>
      <w:r w:rsidRPr="000C07FF">
        <w:rPr>
          <w:rFonts w:cs="Times New Roman"/>
        </w:rPr>
        <w:t xml:space="preserve"> </w:t>
      </w:r>
      <w:r w:rsidR="002F1F20" w:rsidRPr="000C07FF">
        <w:rPr>
          <w:rFonts w:cs="Times New Roman"/>
        </w:rPr>
        <w:t xml:space="preserve">For example, </w:t>
      </w:r>
      <w:r w:rsidRPr="000C07FF">
        <w:rPr>
          <w:rFonts w:cs="Times New Roman"/>
        </w:rPr>
        <w:t xml:space="preserve">Jansen </w:t>
      </w:r>
      <w:r w:rsidR="00B301D6" w:rsidRPr="00B301D6">
        <w:rPr>
          <w:rFonts w:cs="Times New Roman"/>
          <w:i/>
        </w:rPr>
        <w:t>et al</w:t>
      </w:r>
      <w:r w:rsidRPr="000C07FF">
        <w:rPr>
          <w:rFonts w:cs="Times New Roman"/>
        </w:rPr>
        <w:t xml:space="preserve"> (2012) report from an analysis of CJD cases in the Netherlands that a "pure" phenotype was demonstrated in 60.1% of patients, whereas a mixed phenotype was detected in 39.9% of all sCJD cases.</w:t>
      </w:r>
      <w:r w:rsidR="001C1038" w:rsidRPr="000C07FF">
        <w:rPr>
          <w:rFonts w:cs="Times New Roman"/>
        </w:rPr>
        <w:fldChar w:fldCharType="begin">
          <w:fldData xml:space="preserve">PEVuZE5vdGU+PENpdGU+PEF1dGhvcj5KYW5zZW48L0F1dGhvcj48WWVhcj4yMDEyPC9ZZWFyPjxS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PEVuZE5vdGU+PENpdGU+PEF1dGhvcj5KYW5zZW48L0F1dGhvcj48WWVhcj4yMDEyPC9ZZWFyPjxS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0C07FF">
        <w:rPr>
          <w:rFonts w:cs="Times New Roman"/>
        </w:rPr>
      </w:r>
      <w:r w:rsidR="001C1038" w:rsidRPr="000C07FF">
        <w:rPr>
          <w:rFonts w:cs="Times New Roman"/>
        </w:rPr>
        <w:fldChar w:fldCharType="separate"/>
      </w:r>
      <w:r w:rsidR="0076576E" w:rsidRPr="0076576E">
        <w:rPr>
          <w:rFonts w:cs="Times New Roman"/>
          <w:noProof/>
          <w:vertAlign w:val="superscript"/>
        </w:rPr>
        <w:t>150</w:t>
      </w:r>
      <w:r w:rsidR="001C1038" w:rsidRPr="000C07FF">
        <w:rPr>
          <w:rFonts w:cs="Times New Roman"/>
        </w:rPr>
        <w:fldChar w:fldCharType="end"/>
      </w:r>
      <w:r w:rsidRPr="000C07FF">
        <w:rPr>
          <w:rFonts w:cs="Times New Roman"/>
        </w:rPr>
        <w:t xml:space="preserve"> Similarly</w:t>
      </w:r>
      <w:r w:rsidR="007C706F">
        <w:rPr>
          <w:rFonts w:cs="Times New Roman"/>
        </w:rPr>
        <w:t>,</w:t>
      </w:r>
      <w:r w:rsidRPr="000C07FF">
        <w:rPr>
          <w:rFonts w:cs="Times New Roman"/>
        </w:rPr>
        <w:t xml:space="preserve"> an abstract by Mackay </w:t>
      </w:r>
      <w:r w:rsidR="00B301D6" w:rsidRPr="00B301D6">
        <w:rPr>
          <w:rFonts w:cs="Times New Roman"/>
          <w:i/>
        </w:rPr>
        <w:t>et al</w:t>
      </w:r>
      <w:r w:rsidRPr="000C07FF">
        <w:rPr>
          <w:rFonts w:cs="Times New Roman"/>
        </w:rPr>
        <w:t xml:space="preserve"> (2013) reports that 26 of 108 sCJD patients (24%) had both type 1 and 2 proteins on western blot analysis.</w:t>
      </w:r>
      <w:r w:rsidR="001C1038" w:rsidRPr="000C07FF">
        <w:rPr>
          <w:rFonts w:cs="Times New Roman"/>
        </w:rPr>
        <w:fldChar w:fldCharType="begin">
          <w:fldData xml:space="preserve">PEVuZE5vdGU+PENpdGU+PEF1dGhvcj5NYWNrYXk8L0F1dGhvcj48WWVhcj4yMDEzPC9ZZWFyPjxS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==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PEVuZE5vdGU+PENpdGU+PEF1dGhvcj5NYWNrYXk8L0F1dGhvcj48WWVhcj4yMDEzPC9ZZWFyPjxS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==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0C07FF">
        <w:rPr>
          <w:rFonts w:cs="Times New Roman"/>
        </w:rPr>
      </w:r>
      <w:r w:rsidR="001C1038" w:rsidRPr="000C07FF">
        <w:rPr>
          <w:rFonts w:cs="Times New Roman"/>
        </w:rPr>
        <w:fldChar w:fldCharType="separate"/>
      </w:r>
      <w:r w:rsidR="0076576E" w:rsidRPr="0076576E">
        <w:rPr>
          <w:rFonts w:cs="Times New Roman"/>
          <w:noProof/>
          <w:vertAlign w:val="superscript"/>
        </w:rPr>
        <w:t>151</w:t>
      </w:r>
      <w:r w:rsidR="001C1038" w:rsidRPr="000C07FF">
        <w:rPr>
          <w:rFonts w:cs="Times New Roman"/>
        </w:rPr>
        <w:fldChar w:fldCharType="end"/>
      </w:r>
      <w:r w:rsidRPr="000C07FF">
        <w:rPr>
          <w:rFonts w:cs="Times New Roman"/>
        </w:rPr>
        <w:t xml:space="preserve"> </w:t>
      </w:r>
      <w:r w:rsidR="00253924" w:rsidRPr="000C07FF">
        <w:rPr>
          <w:rFonts w:cs="Times New Roman"/>
        </w:rPr>
        <w:t xml:space="preserve">Mackay </w:t>
      </w:r>
      <w:r w:rsidR="00B301D6" w:rsidRPr="00B301D6">
        <w:rPr>
          <w:rFonts w:cs="Times New Roman"/>
          <w:i/>
        </w:rPr>
        <w:t>et al</w:t>
      </w:r>
      <w:r w:rsidR="00253924" w:rsidRPr="000C07FF">
        <w:rPr>
          <w:rFonts w:cs="Times New Roman"/>
        </w:rPr>
        <w:t xml:space="preserve"> </w:t>
      </w:r>
      <w:r w:rsidRPr="000C07FF">
        <w:rPr>
          <w:rFonts w:cs="Times New Roman"/>
        </w:rPr>
        <w:t>argue that the lack of distinct clinical or pathological findings in the six discrete subtypes suggest that these groups do not represent unique strains of prions, but rather groupings over a spectrum of disease.</w:t>
      </w:r>
      <w:r w:rsidR="00D41684" w:rsidRPr="000C07FF">
        <w:rPr>
          <w:rFonts w:cs="Times New Roman"/>
        </w:rPr>
        <w:t xml:space="preserve"> These findings underline the importance of </w:t>
      </w:r>
      <w:r w:rsidR="00F94A42" w:rsidRPr="000C07FF">
        <w:rPr>
          <w:rFonts w:cs="Times New Roman"/>
        </w:rPr>
        <w:t>neuropathological assessment of</w:t>
      </w:r>
      <w:r w:rsidR="00D41684" w:rsidRPr="000C07FF">
        <w:rPr>
          <w:rFonts w:cs="Times New Roman"/>
        </w:rPr>
        <w:t xml:space="preserve"> CJD cases </w:t>
      </w:r>
      <w:r w:rsidR="00F94A42" w:rsidRPr="000C07FF">
        <w:rPr>
          <w:rFonts w:cs="Times New Roman"/>
        </w:rPr>
        <w:t xml:space="preserve">to </w:t>
      </w:r>
      <w:r w:rsidR="00D41684" w:rsidRPr="000C07FF">
        <w:rPr>
          <w:rFonts w:cs="Times New Roman"/>
        </w:rPr>
        <w:t xml:space="preserve">document phenotypic variability </w:t>
      </w:r>
      <w:r w:rsidR="00F94A42" w:rsidRPr="000C07FF">
        <w:rPr>
          <w:rFonts w:cs="Times New Roman"/>
        </w:rPr>
        <w:t xml:space="preserve">and help </w:t>
      </w:r>
      <w:r w:rsidR="00D41684" w:rsidRPr="000C07FF">
        <w:rPr>
          <w:rFonts w:cs="Times New Roman"/>
        </w:rPr>
        <w:t xml:space="preserve">to disclose </w:t>
      </w:r>
      <w:r w:rsidR="00253924">
        <w:rPr>
          <w:rFonts w:cs="Times New Roman"/>
        </w:rPr>
        <w:t xml:space="preserve">the </w:t>
      </w:r>
      <w:r w:rsidR="00CA619B" w:rsidRPr="000C07FF">
        <w:rPr>
          <w:rFonts w:cs="Times New Roman"/>
        </w:rPr>
        <w:t>aetiology</w:t>
      </w:r>
      <w:r w:rsidR="00D41684" w:rsidRPr="000C07FF">
        <w:rPr>
          <w:rFonts w:cs="Times New Roman"/>
        </w:rPr>
        <w:t xml:space="preserve"> of CJD strains and </w:t>
      </w:r>
      <w:r w:rsidR="00F94A42" w:rsidRPr="000C07FF">
        <w:rPr>
          <w:rFonts w:cs="Times New Roman"/>
        </w:rPr>
        <w:t xml:space="preserve">efficiency of </w:t>
      </w:r>
      <w:r w:rsidR="00D41684" w:rsidRPr="000C07FF">
        <w:rPr>
          <w:rFonts w:cs="Times New Roman"/>
        </w:rPr>
        <w:t>transmission</w:t>
      </w:r>
      <w:r w:rsidR="00E76B9D" w:rsidRPr="000C07FF">
        <w:rPr>
          <w:rFonts w:cs="Times New Roman"/>
        </w:rPr>
        <w:t>,</w:t>
      </w:r>
      <w:r w:rsidR="00D41684" w:rsidRPr="000C07FF">
        <w:rPr>
          <w:rFonts w:cs="Times New Roman"/>
        </w:rPr>
        <w:t xml:space="preserve"> </w:t>
      </w:r>
      <w:r w:rsidR="00E76B9D" w:rsidRPr="000C07FF">
        <w:rPr>
          <w:rFonts w:cs="Times New Roman"/>
        </w:rPr>
        <w:t>where</w:t>
      </w:r>
      <w:r w:rsidR="00D41684" w:rsidRPr="000C07FF">
        <w:rPr>
          <w:rFonts w:cs="Times New Roman"/>
        </w:rPr>
        <w:t xml:space="preserve"> possible.</w:t>
      </w:r>
    </w:p>
    <w:p w14:paraId="7D74F4EE" w14:textId="3ADDEBC0" w:rsidR="00CC494F" w:rsidRPr="00F05B7F" w:rsidRDefault="00CC494F" w:rsidP="004642FD">
      <w:pPr>
        <w:autoSpaceDE w:val="0"/>
        <w:autoSpaceDN w:val="0"/>
        <w:adjustRightInd w:val="0"/>
        <w:jc w:val="both"/>
        <w:rPr>
          <w:rFonts w:cs="Times New Roman"/>
          <w:szCs w:val="24"/>
        </w:rPr>
      </w:pPr>
    </w:p>
    <w:p w14:paraId="3A2519F7" w14:textId="77777777" w:rsidR="004351EC" w:rsidRDefault="004351EC" w:rsidP="00B42D01">
      <w:pPr>
        <w:pStyle w:val="Heading4"/>
      </w:pPr>
      <w:r w:rsidRPr="00F05B7F">
        <w:rPr>
          <w:sz w:val="22"/>
        </w:rPr>
        <w:t xml:space="preserve">Route </w:t>
      </w:r>
      <w:r>
        <w:t>of transmission</w:t>
      </w:r>
    </w:p>
    <w:p w14:paraId="1337E1A5" w14:textId="1AC9D67A" w:rsidR="004351EC" w:rsidRDefault="004351EC" w:rsidP="004642FD">
      <w:pPr>
        <w:autoSpaceDE w:val="0"/>
        <w:autoSpaceDN w:val="0"/>
        <w:adjustRightInd w:val="0"/>
        <w:jc w:val="both"/>
        <w:rPr>
          <w:rFonts w:cs="Times New Roman"/>
        </w:rPr>
      </w:pPr>
      <w:r w:rsidRPr="000C07FF">
        <w:rPr>
          <w:rFonts w:cs="Times New Roman"/>
        </w:rPr>
        <w:t>Route of transmission may also be relevant to infectivity</w:t>
      </w:r>
      <w:r w:rsidR="00A76508" w:rsidRPr="000C07FF">
        <w:rPr>
          <w:rFonts w:cs="Times New Roman"/>
        </w:rPr>
        <w:t xml:space="preserve"> of iCJD</w:t>
      </w:r>
      <w:r w:rsidRPr="000C07FF">
        <w:rPr>
          <w:rFonts w:cs="Times New Roman"/>
        </w:rPr>
        <w:t>. A study of five dura</w:t>
      </w:r>
      <w:r w:rsidR="00635170">
        <w:rPr>
          <w:rFonts w:cs="Times New Roman"/>
        </w:rPr>
        <w:t xml:space="preserve"> </w:t>
      </w:r>
      <w:r w:rsidRPr="000C07FF">
        <w:rPr>
          <w:rFonts w:cs="Times New Roman"/>
        </w:rPr>
        <w:t xml:space="preserve">mater iCJD cases conducted by Iwasaki </w:t>
      </w:r>
      <w:r w:rsidR="00B301D6" w:rsidRPr="00B301D6">
        <w:rPr>
          <w:rFonts w:cs="Times New Roman"/>
          <w:i/>
        </w:rPr>
        <w:t>et al</w:t>
      </w:r>
      <w:r w:rsidRPr="000C07FF">
        <w:rPr>
          <w:rFonts w:cs="Times New Roman"/>
        </w:rPr>
        <w:t xml:space="preserve"> (2008) indicated that the initial symptoms at </w:t>
      </w:r>
      <w:r w:rsidR="00253924">
        <w:rPr>
          <w:rFonts w:cs="Times New Roman"/>
        </w:rPr>
        <w:t xml:space="preserve">perceived </w:t>
      </w:r>
      <w:r w:rsidRPr="000C07FF">
        <w:rPr>
          <w:rFonts w:cs="Times New Roman"/>
        </w:rPr>
        <w:t>sCJD onset appear to be closely related to the graft site in the brain, indicating a direct transmission of CJD from the graft site to the adjacent brain.</w:t>
      </w:r>
      <w:r w:rsidRPr="000C07FF">
        <w:rPr>
          <w:rFonts w:cs="Times New Roman"/>
        </w:rPr>
        <w:fldChar w:fldCharType="begin">
          <w:fldData xml:space="preserve">PEVuZE5vdGU+PENpdGU+PEF1dGhvcj5Jd2FzYWtpPC9BdXRob3I+PFllYXI+MjAwODwvWWVhcj48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PEVuZE5vdGU+PENpdGU+PEF1dGhvcj5Jd2FzYWtpPC9BdXRob3I+PFllYXI+MjAwODwvWWVhcj48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0C07FF">
        <w:rPr>
          <w:rFonts w:cs="Times New Roman"/>
        </w:rPr>
      </w:r>
      <w:r w:rsidRPr="000C07FF">
        <w:rPr>
          <w:rFonts w:cs="Times New Roman"/>
        </w:rPr>
        <w:fldChar w:fldCharType="separate"/>
      </w:r>
      <w:r w:rsidR="0076576E" w:rsidRPr="0076576E">
        <w:rPr>
          <w:rFonts w:cs="Times New Roman"/>
          <w:noProof/>
          <w:vertAlign w:val="superscript"/>
        </w:rPr>
        <w:t>152</w:t>
      </w:r>
      <w:r w:rsidRPr="000C07FF">
        <w:rPr>
          <w:rFonts w:cs="Times New Roman"/>
        </w:rPr>
        <w:fldChar w:fldCharType="end"/>
      </w:r>
      <w:r w:rsidRPr="000C07FF">
        <w:rPr>
          <w:rFonts w:cs="Times New Roman"/>
        </w:rPr>
        <w:t xml:space="preserve"> </w:t>
      </w:r>
      <w:r w:rsidR="00302702" w:rsidRPr="000C07FF">
        <w:rPr>
          <w:rFonts w:cs="Times New Roman"/>
        </w:rPr>
        <w:t xml:space="preserve">Sakai </w:t>
      </w:r>
      <w:r w:rsidR="00B301D6" w:rsidRPr="00B301D6">
        <w:rPr>
          <w:rFonts w:cs="Times New Roman"/>
          <w:i/>
        </w:rPr>
        <w:t>et al</w:t>
      </w:r>
      <w:r w:rsidR="00302702" w:rsidRPr="000C07FF">
        <w:rPr>
          <w:rFonts w:cs="Times New Roman"/>
        </w:rPr>
        <w:t xml:space="preserve"> (2013) also support the finding of a relationship between initial clinical manifestation and the site of graft in patients with dura mater graft-associated CJD.</w:t>
      </w:r>
      <w:r w:rsidR="00340971" w:rsidRPr="000C07FF">
        <w:rPr>
          <w:rFonts w:cs="Times New Roman"/>
        </w:rPr>
        <w:fldChar w:fldCharType="begin"/>
      </w:r>
      <w:r w:rsidR="0076576E">
        <w:rPr>
          <w:rFonts w:cs="Times New Roman"/>
        </w:rPr>
        <w:instrText xml:space="preserve"> ADDIN EN.CITE &lt;EndNote&gt;&lt;Cite&gt;&lt;Author&gt;Sakai&lt;/Author&gt;&lt;Year&gt;2013&lt;/Year&gt;&lt;RecNum&gt;10240&lt;/RecNum&gt;&lt;DisplayText&gt;&lt;style face="superscript"&gt;153&lt;/style&gt;&lt;/DisplayText&gt;&lt;record&gt;&lt;rec-number&gt;10240&lt;/rec-number&gt;&lt;foreign-keys&gt;&lt;key app="EN" db-id="vrp0pptazv05wtesfz5vrzsj2p0rv09ttsa9" timestamp="1514885075" guid="dcc028e8-32f0-434b-b222-d10fca657175"&gt;10240&lt;/key&gt;&lt;/foreign-keys&gt;&lt;ref-type name="Journal Article"&gt;17&lt;/ref-type&gt;&lt;contributors&gt;&lt;authors&gt;&lt;author&gt;Sakai, Kenji&lt;/author&gt;&lt;author&gt;Hamaguchi, Tsuyoshi&lt;/author&gt;&lt;author&gt;Noguchi-Shinohara, Moeko&lt;/author&gt;&lt;author&gt;Nozaki, Ichiro&lt;/author&gt;&lt;author&gt;Takumi, Ichiro&lt;/author&gt;&lt;author&gt;Sanjo, Nobuo&lt;/author&gt;&lt;author&gt;Nakamura, Yosikazu&lt;/author&gt;&lt;author&gt;Kitamoto, Tetsuyuki&lt;/author&gt;&lt;author&gt;Saito, Nobuhito&lt;/author&gt;&lt;author&gt;Mizusawa, Hidehiro&lt;/author&gt;&lt;/authors&gt;&lt;/contributors&gt;&lt;titles&gt;&lt;title&gt;Graft-related disease progression in dura mater graft-associated Creutzfeldt-Jakob disease: a cross-sectional study&lt;/title&gt;&lt;secondary-title&gt;BMJ open&lt;/secondary-title&gt;&lt;/titles&gt;&lt;periodical&gt;&lt;full-title&gt;BMJ Open&lt;/full-title&gt;&lt;abbr-1&gt;BMJ Open&lt;/abbr-1&gt;&lt;/periodical&gt;&lt;pages&gt;e003400&lt;/pages&gt;&lt;volume&gt;3&lt;/volume&gt;&lt;number&gt;8&lt;/number&gt;&lt;keywords&gt;&lt;keyword&gt;$$LU_4_CJD infectivity&lt;/keyword&gt;&lt;keyword&gt;$$Lesley google&lt;/keyword&gt;&lt;keyword&gt;$$CJD relevant&lt;/keyword&gt;&lt;keyword&gt;$$2_surgery transmission risk&lt;/keyword&gt;&lt;/keywords&gt;&lt;dates&gt;&lt;year&gt;2013&lt;/year&gt;&lt;/dates&gt;&lt;isbn&gt;2044-6055&lt;/isbn&gt;&lt;urls&gt;&lt;/urls&gt;&lt;/record&gt;&lt;/Cite&gt;&lt;/EndNote&gt;</w:instrText>
      </w:r>
      <w:r w:rsidR="00340971" w:rsidRPr="000C07FF">
        <w:rPr>
          <w:rFonts w:cs="Times New Roman"/>
        </w:rPr>
        <w:fldChar w:fldCharType="separate"/>
      </w:r>
      <w:r w:rsidR="0076576E" w:rsidRPr="0076576E">
        <w:rPr>
          <w:rFonts w:cs="Times New Roman"/>
          <w:noProof/>
          <w:vertAlign w:val="superscript"/>
        </w:rPr>
        <w:t>153</w:t>
      </w:r>
      <w:r w:rsidR="00340971" w:rsidRPr="000C07FF">
        <w:rPr>
          <w:rFonts w:cs="Times New Roman"/>
        </w:rPr>
        <w:fldChar w:fldCharType="end"/>
      </w:r>
      <w:r w:rsidR="00302702" w:rsidRPr="000C07FF">
        <w:rPr>
          <w:rFonts w:cs="Times New Roman"/>
        </w:rPr>
        <w:t xml:space="preserve"> </w:t>
      </w:r>
      <w:r w:rsidRPr="000C07FF">
        <w:rPr>
          <w:rFonts w:cs="Times New Roman"/>
        </w:rPr>
        <w:t xml:space="preserve">Beringue </w:t>
      </w:r>
      <w:r w:rsidR="00B301D6" w:rsidRPr="00B301D6">
        <w:rPr>
          <w:rFonts w:cs="Times New Roman"/>
          <w:i/>
        </w:rPr>
        <w:t>et al</w:t>
      </w:r>
      <w:r w:rsidRPr="000C07FF">
        <w:rPr>
          <w:rFonts w:cs="Times New Roman"/>
        </w:rPr>
        <w:t xml:space="preserve"> (2008) demonstrated in a study of transgenic mice that prion strain divergence can occur upon transmission of human, primary vCJD, and that peripheral exposure in mice resulted in inefficient neuroinvasion with asymptomatic, life-long infection of the lymphoid compartment.</w:t>
      </w:r>
      <w:r w:rsidRPr="000C07FF">
        <w:rPr>
          <w:rFonts w:cs="Times New Roman"/>
        </w:rPr>
        <w:fldChar w:fldCharType="begin">
          <w:fldData xml:space="preserve">PEVuZE5vdGU+PENpdGU+PEF1dGhvcj5CZXJpbmd1ZTwvQXV0aG9yPjxZZWFyPjIwMDg8L1llYXI+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</w:fldData>
        </w:fldChar>
      </w:r>
      <w:r w:rsidR="0076576E">
        <w:rPr>
          <w:rFonts w:cs="Times New Roman"/>
        </w:rPr>
        <w:instrText xml:space="preserve"> ADDIN EN.CITE </w:instrText>
      </w:r>
      <w:r w:rsidR="0076576E">
        <w:rPr>
          <w:rFonts w:cs="Times New Roman"/>
        </w:rPr>
        <w:fldChar w:fldCharType="begin">
          <w:fldData xml:space="preserve">PEVuZE5vdGU+PENpdGU+PEF1dGhvcj5CZXJpbmd1ZTwvQXV0aG9yPjxZZWFyPjIwMDg8L1llYXI+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Pr="000C07FF">
        <w:rPr>
          <w:rFonts w:cs="Times New Roman"/>
        </w:rPr>
      </w:r>
      <w:r w:rsidRPr="000C07FF">
        <w:rPr>
          <w:rFonts w:cs="Times New Roman"/>
        </w:rPr>
        <w:fldChar w:fldCharType="separate"/>
      </w:r>
      <w:r w:rsidR="0076576E" w:rsidRPr="0076576E">
        <w:rPr>
          <w:rFonts w:cs="Times New Roman"/>
          <w:noProof/>
          <w:vertAlign w:val="superscript"/>
        </w:rPr>
        <w:t>154</w:t>
      </w:r>
      <w:r w:rsidRPr="000C07FF">
        <w:rPr>
          <w:rFonts w:cs="Times New Roman"/>
        </w:rPr>
        <w:fldChar w:fldCharType="end"/>
      </w:r>
    </w:p>
    <w:p w14:paraId="172CFFEF" w14:textId="77777777" w:rsidR="004642FD" w:rsidRPr="000C07FF" w:rsidRDefault="004642FD" w:rsidP="004642FD">
      <w:pPr>
        <w:autoSpaceDE w:val="0"/>
        <w:autoSpaceDN w:val="0"/>
        <w:adjustRightInd w:val="0"/>
        <w:jc w:val="both"/>
        <w:rPr>
          <w:rFonts w:cs="Times New Roman"/>
        </w:rPr>
      </w:pPr>
    </w:p>
    <w:p w14:paraId="61D841F1" w14:textId="0EB90BE2" w:rsidR="004351EC" w:rsidRPr="000C07FF" w:rsidRDefault="00CC494F" w:rsidP="00C617B0">
      <w:pPr>
        <w:jc w:val="both"/>
        <w:rPr>
          <w:rFonts w:cs="Times New Roman"/>
        </w:rPr>
      </w:pPr>
      <w:r w:rsidRPr="000C07FF">
        <w:rPr>
          <w:rFonts w:cs="Times New Roman"/>
        </w:rPr>
        <w:t xml:space="preserve">Beringue </w:t>
      </w:r>
      <w:r w:rsidR="00B301D6" w:rsidRPr="00B301D6">
        <w:rPr>
          <w:rFonts w:cs="Times New Roman"/>
          <w:i/>
        </w:rPr>
        <w:t>et al</w:t>
      </w:r>
      <w:r w:rsidRPr="000C07FF">
        <w:rPr>
          <w:rFonts w:cs="Times New Roman"/>
        </w:rPr>
        <w:t xml:space="preserve"> (2008) raise the possibility that human-to-human transmission of vCJD might produce alternative neuropathological phenotypes and that lymphoid tissue examination of CJD cases classified as sporadic might reveal an infection by vCJD-type prions.</w:t>
      </w:r>
      <w:r w:rsidRPr="000C07FF">
        <w:rPr>
          <w:rFonts w:cs="Times New Roman"/>
        </w:rPr>
        <w:fldChar w:fldCharType="begin"/>
      </w:r>
      <w:r w:rsidR="0076576E">
        <w:rPr>
          <w:rFonts w:cs="Times New Roman"/>
        </w:rPr>
        <w:instrText xml:space="preserve"> ADDIN EN.CITE &lt;EndNote&gt;&lt;Cite&gt;&lt;Author&gt;Beringue&lt;/Author&gt;&lt;Year&gt;2008&lt;/Year&gt;&lt;RecNum&gt;2006&lt;/RecNum&gt;&lt;DisplayText&gt;&lt;style face="superscript"&gt;155&lt;/style&gt;&lt;/DisplayText&gt;&lt;record&gt;&lt;rec-number&gt;2006&lt;/rec-number&gt;&lt;foreign-keys&gt;&lt;key app="EN" db-id="vrp0pptazv05wtesfz5vrzsj2p0rv09ttsa9" timestamp="1506587026" guid="431000ca-46c0-46db-8ad8-5dac83ba8400"&gt;2006&lt;/key&gt;&lt;/foreign-keys&gt;&lt;ref-type name="Journal Article"&gt;17&lt;/ref-type&gt;&lt;contributors&gt;&lt;authors&gt;&lt;author&gt;Beringue, V.&lt;/author&gt;&lt;author&gt;Vilotte, J. L.&lt;/author&gt;&lt;author&gt;Laude, H.&lt;/author&gt;&lt;/authors&gt;&lt;/contributors&gt;&lt;titles&gt;&lt;title&gt;Prion agent diversity and species barrier&lt;/title&gt;&lt;secondary-title&gt;Veterinary Research&lt;/secondary-title&gt;&lt;/titles&gt;&lt;periodical&gt;&lt;full-title&gt;Veterinary Research&lt;/full-title&gt;&lt;/periodical&gt;&lt;pages&gt;47&lt;/pages&gt;&lt;volume&gt;39&lt;/volume&gt;&lt;number&gt;4&lt;/number&gt;&lt;keywords&gt;&lt;keyword&gt;$$Exclude _LU&lt;/keyword&gt;&lt;keyword&gt;Animals&lt;/keyword&gt;&lt;keyword&gt;Cattle&lt;/keyword&gt;&lt;keyword&gt;Deer&lt;/keyword&gt;&lt;keyword&gt;Humans&lt;/keyword&gt;&lt;keyword&gt;Mice&lt;/keyword&gt;&lt;keyword&gt;*Prion Diseases/ge [Genetics]&lt;/keyword&gt;&lt;keyword&gt;*Prions/ge [Genetics]&lt;/keyword&gt;&lt;keyword&gt;Species Specificity&lt;/keyword&gt;&lt;keyword&gt;0 (Prions)&lt;/keyword&gt;&lt;/keywords&gt;&lt;dates&gt;&lt;year&gt;2008&lt;/year&gt;&lt;pub-dates&gt;&lt;date&gt;Jul-Aug&lt;/date&gt;&lt;/pub-dates&gt;&lt;/dates&gt;&lt;isbn&gt;0928-4249&lt;/isbn&gt;&lt;accession-num&gt;18519020&lt;/accession-num&gt;&lt;urls&gt;&lt;related-urls&gt;&lt;url&gt;http://ovidsp.ovid.com/ovidweb.cgi?T=JS&amp;amp;CSC=Y&amp;amp;NEWS=N&amp;amp;PAGE=fulltext&amp;amp;D=med6&amp;amp;AN=18519020http://resolver.shef.ac.uk/?http://find.shef.ac.uk/openurl/44SFD/44SFD_services_page?sid=OVID:medline&amp;amp;id=pmid:18519020&amp;amp;id=doi:10.1051%2Fvetres%3A2008024&amp;amp;issn=0928-4249&amp;amp;isbn=&amp;amp;volume=39&amp;amp;issue=4&amp;amp;spage=47&amp;amp;pages=47&amp;amp;date=2008&amp;amp;title=Veterinary+Research&amp;amp;atitle=Prion+agent+diversity+and+species+barrier.&amp;amp;aulast=Beringue&amp;amp;pid=%3Cauthor%3EBeringue+V%3BVilotte+JL%3BLaude+H%3C%2Fauthor%3E%3CAN%3E18519020%3C%2FAN%3E%3CDT%3EJournal+Article%3C%2FDT%3E&lt;/url&gt;&lt;/related-urls&gt;&lt;/urls&gt;&lt;electronic-resource-num&gt;https://dx.doi.org/10.1051/vetres:2008024&lt;/electronic-resource-num&gt;&lt;/record&gt;&lt;/Cite&gt;&lt;/EndNote&gt;</w:instrText>
      </w:r>
      <w:r w:rsidRPr="000C07FF">
        <w:rPr>
          <w:rFonts w:cs="Times New Roman"/>
        </w:rPr>
        <w:fldChar w:fldCharType="separate"/>
      </w:r>
      <w:r w:rsidR="0076576E" w:rsidRPr="0076576E">
        <w:rPr>
          <w:rFonts w:cs="Times New Roman"/>
          <w:noProof/>
          <w:vertAlign w:val="superscript"/>
        </w:rPr>
        <w:t>155</w:t>
      </w:r>
      <w:r w:rsidRPr="000C07FF">
        <w:rPr>
          <w:rFonts w:cs="Times New Roman"/>
        </w:rPr>
        <w:fldChar w:fldCharType="end"/>
      </w:r>
      <w:r w:rsidRPr="000C07FF">
        <w:rPr>
          <w:rFonts w:cs="Times New Roman"/>
        </w:rPr>
        <w:t xml:space="preserve"> </w:t>
      </w:r>
      <w:r w:rsidR="00A76508" w:rsidRPr="000C07FF">
        <w:rPr>
          <w:rFonts w:cs="Times New Roman"/>
        </w:rPr>
        <w:t xml:space="preserve">Cali </w:t>
      </w:r>
      <w:r w:rsidR="00B301D6" w:rsidRPr="00B301D6">
        <w:rPr>
          <w:rFonts w:cs="Times New Roman"/>
          <w:i/>
        </w:rPr>
        <w:t>et al</w:t>
      </w:r>
      <w:r w:rsidR="00A76508" w:rsidRPr="000C07FF">
        <w:rPr>
          <w:rFonts w:cs="Times New Roman"/>
        </w:rPr>
        <w:t xml:space="preserve"> (2015) demonstrated that novel phenotypes </w:t>
      </w:r>
      <w:r w:rsidR="00DE763C" w:rsidRPr="000C07FF">
        <w:rPr>
          <w:rFonts w:cs="Times New Roman"/>
        </w:rPr>
        <w:t>may</w:t>
      </w:r>
      <w:r w:rsidR="00A76508" w:rsidRPr="000C07FF">
        <w:rPr>
          <w:rFonts w:cs="Times New Roman"/>
        </w:rPr>
        <w:t xml:space="preserve"> arise potentially due to adaptation of heterologous prion strains of sCJD through contaminated growth hormone.</w:t>
      </w:r>
      <w:r w:rsidR="00DB67C1" w:rsidRPr="000C07FF">
        <w:rPr>
          <w:rFonts w:cs="Times New Roman"/>
        </w:rPr>
        <w:fldChar w:fldCharType="begin">
          <w:fldData xml:space="preserve">PEVuZE5vdGU+PENpdGU+PEF1dGhvcj5DYWxpPC9BdXRob3I+PFllYXI+MjAxNTwvWWVhcj48UmVj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PEVuZE5vdGU+PENpdGU+PEF1dGhvcj5DYWxpPC9BdXRob3I+PFllYXI+MjAxNTwvWWVhcj48UmVj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DB67C1" w:rsidRPr="000C07FF">
        <w:rPr>
          <w:rFonts w:cs="Times New Roman"/>
        </w:rPr>
      </w:r>
      <w:r w:rsidR="00DB67C1" w:rsidRPr="000C07FF">
        <w:rPr>
          <w:rFonts w:cs="Times New Roman"/>
        </w:rPr>
        <w:fldChar w:fldCharType="separate"/>
      </w:r>
      <w:r w:rsidR="0076576E" w:rsidRPr="0076576E">
        <w:rPr>
          <w:rFonts w:cs="Times New Roman"/>
          <w:noProof/>
          <w:vertAlign w:val="superscript"/>
        </w:rPr>
        <w:t>156</w:t>
      </w:r>
      <w:r w:rsidR="00DB67C1" w:rsidRPr="000C07FF">
        <w:rPr>
          <w:rFonts w:cs="Times New Roman"/>
        </w:rPr>
        <w:fldChar w:fldCharType="end"/>
      </w:r>
      <w:r w:rsidR="00A76508" w:rsidRPr="000C07FF">
        <w:rPr>
          <w:rFonts w:cs="Times New Roman"/>
        </w:rPr>
        <w:t xml:space="preserve"> </w:t>
      </w:r>
      <w:r w:rsidR="004351EC" w:rsidRPr="000C07FF">
        <w:rPr>
          <w:rFonts w:cs="Times New Roman"/>
        </w:rPr>
        <w:t xml:space="preserve">A conference abstract by Peden </w:t>
      </w:r>
      <w:r w:rsidR="00B301D6" w:rsidRPr="00B301D6">
        <w:rPr>
          <w:rFonts w:cs="Times New Roman"/>
          <w:i/>
        </w:rPr>
        <w:t>et al</w:t>
      </w:r>
      <w:r w:rsidR="004351EC" w:rsidRPr="000C07FF">
        <w:rPr>
          <w:rFonts w:cs="Times New Roman"/>
        </w:rPr>
        <w:t xml:space="preserve"> (2016) also describes that human-to-human transmission of prion disease may affect the seeding properties of PrPSc associated with the disease.</w:t>
      </w:r>
      <w:r w:rsidR="001C1038" w:rsidRPr="000C07FF">
        <w:rPr>
          <w:rFonts w:cs="Times New Roman"/>
        </w:rPr>
        <w:fldChar w:fldCharType="begin">
          <w:fldData xml:space="preserve">PEVuZE5vdGU+PENpdGU+PEF1dGhvcj5QZWRlbjwvQXV0aG9yPjxZZWFyPjIwMTY8L1llYXI+PFJl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</w:fldData>
        </w:fldChar>
      </w:r>
      <w:r w:rsidR="0076576E">
        <w:rPr>
          <w:rFonts w:cs="Times New Roman"/>
        </w:rPr>
        <w:instrText xml:space="preserve"> ADDIN EN.CITE </w:instrText>
      </w:r>
      <w:r w:rsidR="0076576E">
        <w:rPr>
          <w:rFonts w:cs="Times New Roman"/>
        </w:rPr>
        <w:fldChar w:fldCharType="begin">
          <w:fldData xml:space="preserve">PEVuZE5vdGU+PENpdGU+PEF1dGhvcj5QZWRlbjwvQXV0aG9yPjxZZWFyPjIwMTY8L1llYXI+PFJl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0C07FF">
        <w:rPr>
          <w:rFonts w:cs="Times New Roman"/>
        </w:rPr>
      </w:r>
      <w:r w:rsidR="001C1038" w:rsidRPr="000C07FF">
        <w:rPr>
          <w:rFonts w:cs="Times New Roman"/>
        </w:rPr>
        <w:fldChar w:fldCharType="separate"/>
      </w:r>
      <w:r w:rsidR="0076576E" w:rsidRPr="0076576E">
        <w:rPr>
          <w:rFonts w:cs="Times New Roman"/>
          <w:noProof/>
          <w:vertAlign w:val="superscript"/>
        </w:rPr>
        <w:t>157</w:t>
      </w:r>
      <w:r w:rsidR="001C1038" w:rsidRPr="000C07FF">
        <w:rPr>
          <w:rFonts w:cs="Times New Roman"/>
        </w:rPr>
        <w:fldChar w:fldCharType="end"/>
      </w:r>
      <w:r w:rsidR="004351EC" w:rsidRPr="000C07FF">
        <w:rPr>
          <w:rFonts w:cs="Times New Roman"/>
        </w:rPr>
        <w:t xml:space="preserve"> Their analysis compared the seeding properties of iCJD tissue sampl</w:t>
      </w:r>
      <w:r w:rsidR="00635170">
        <w:rPr>
          <w:rFonts w:cs="Times New Roman"/>
        </w:rPr>
        <w:t xml:space="preserve">es (including both hGH and dura </w:t>
      </w:r>
      <w:r w:rsidR="004351EC" w:rsidRPr="000C07FF">
        <w:rPr>
          <w:rFonts w:cs="Times New Roman"/>
        </w:rPr>
        <w:t xml:space="preserve">mater) with sCJD tissue samples using a </w:t>
      </w:r>
      <w:r w:rsidR="00251F96" w:rsidRPr="000C07FF">
        <w:rPr>
          <w:rFonts w:cs="Times New Roman"/>
        </w:rPr>
        <w:t>real-time quaking-induced conversion (RT-QuIC) assay</w:t>
      </w:r>
      <w:r w:rsidR="007C706F">
        <w:rPr>
          <w:rFonts w:cs="Times New Roman"/>
        </w:rPr>
        <w:t xml:space="preserve">, </w:t>
      </w:r>
      <w:r w:rsidR="00F1300C">
        <w:rPr>
          <w:rFonts w:cs="Times New Roman"/>
        </w:rPr>
        <w:t>which showed</w:t>
      </w:r>
      <w:r w:rsidR="007C706F">
        <w:rPr>
          <w:rFonts w:cs="Times New Roman"/>
        </w:rPr>
        <w:t xml:space="preserve"> </w:t>
      </w:r>
      <w:r w:rsidR="004351EC" w:rsidRPr="000C07FF">
        <w:rPr>
          <w:rFonts w:cs="Times New Roman"/>
        </w:rPr>
        <w:t>lower seeding properties for secondary iCJD cases than for sCJD cases. The authors note that their findings refute the hypothesis that secondary transmission of a human prion disease results in acquired virulence</w:t>
      </w:r>
      <w:r w:rsidR="00253924">
        <w:rPr>
          <w:rFonts w:cs="Times New Roman"/>
        </w:rPr>
        <w:t xml:space="preserve"> (</w:t>
      </w:r>
      <w:r w:rsidR="00C617B0">
        <w:rPr>
          <w:rFonts w:cs="Times New Roman"/>
        </w:rPr>
        <w:t xml:space="preserve">or </w:t>
      </w:r>
      <w:r w:rsidR="00253924">
        <w:rPr>
          <w:rFonts w:cs="Times New Roman"/>
        </w:rPr>
        <w:t>harmfulness)</w:t>
      </w:r>
      <w:r w:rsidR="004351EC" w:rsidRPr="000C07FF">
        <w:rPr>
          <w:rFonts w:cs="Times New Roman"/>
        </w:rPr>
        <w:t>.</w:t>
      </w:r>
      <w:r w:rsidR="00DE763C" w:rsidRPr="000C07FF">
        <w:rPr>
          <w:rFonts w:cs="Times New Roman"/>
        </w:rPr>
        <w:t xml:space="preserve"> This is supported by a study by Galeno </w:t>
      </w:r>
      <w:r w:rsidR="00B301D6" w:rsidRPr="00B301D6">
        <w:rPr>
          <w:rFonts w:cs="Times New Roman"/>
          <w:i/>
        </w:rPr>
        <w:t>et al</w:t>
      </w:r>
      <w:r w:rsidR="00DE763C" w:rsidRPr="000C07FF">
        <w:rPr>
          <w:rFonts w:cs="Times New Roman"/>
        </w:rPr>
        <w:t xml:space="preserve"> (2017) who found that a novel strain from an atypical CJD in a </w:t>
      </w:r>
      <w:r w:rsidR="00CA619B" w:rsidRPr="000C07FF">
        <w:rPr>
          <w:rFonts w:cs="Times New Roman"/>
        </w:rPr>
        <w:t>heterogeneous</w:t>
      </w:r>
      <w:r w:rsidR="00DE763C" w:rsidRPr="000C07FF">
        <w:rPr>
          <w:rFonts w:cs="Times New Roman"/>
        </w:rPr>
        <w:t xml:space="preserve"> 69-year old woman who had been treated with phospholipids extracted from bovine brains was not transmissible to transgenic mice but </w:t>
      </w:r>
      <w:r w:rsidR="00C617B0">
        <w:rPr>
          <w:rFonts w:cs="Times New Roman"/>
        </w:rPr>
        <w:t>transmitted exclusively</w:t>
      </w:r>
      <w:r w:rsidR="00DE763C" w:rsidRPr="000C07FF">
        <w:rPr>
          <w:rFonts w:cs="Times New Roman"/>
        </w:rPr>
        <w:t xml:space="preserve"> </w:t>
      </w:r>
      <w:r w:rsidR="00C617B0">
        <w:rPr>
          <w:rFonts w:cs="Times New Roman"/>
        </w:rPr>
        <w:t>to</w:t>
      </w:r>
      <w:r w:rsidR="00DE763C" w:rsidRPr="000C07FF">
        <w:rPr>
          <w:rFonts w:cs="Times New Roman"/>
        </w:rPr>
        <w:t xml:space="preserve"> bank voles</w:t>
      </w:r>
      <w:r w:rsidR="00C617B0">
        <w:rPr>
          <w:rFonts w:cs="Times New Roman"/>
        </w:rPr>
        <w:t xml:space="preserve">. The authors note that bank voles </w:t>
      </w:r>
      <w:r w:rsidR="00C617B0" w:rsidRPr="00C617B0">
        <w:rPr>
          <w:rFonts w:cs="Times New Roman"/>
        </w:rPr>
        <w:t>are susceptible to a variety of human and animal prions with an efficacy that</w:t>
      </w:r>
      <w:r w:rsidR="00C617B0">
        <w:rPr>
          <w:rFonts w:cs="Times New Roman"/>
        </w:rPr>
        <w:t xml:space="preserve"> </w:t>
      </w:r>
      <w:r w:rsidR="00C617B0" w:rsidRPr="00C617B0">
        <w:rPr>
          <w:rFonts w:cs="Times New Roman"/>
        </w:rPr>
        <w:t xml:space="preserve">is often higher than that observed in </w:t>
      </w:r>
      <w:r w:rsidR="00C617B0">
        <w:rPr>
          <w:rFonts w:cs="Times New Roman"/>
        </w:rPr>
        <w:t>transgenic</w:t>
      </w:r>
      <w:r w:rsidR="00C617B0" w:rsidRPr="00C617B0">
        <w:rPr>
          <w:rFonts w:cs="Times New Roman"/>
        </w:rPr>
        <w:t xml:space="preserve"> mice</w:t>
      </w:r>
      <w:r w:rsidR="00DE763C" w:rsidRPr="000C07FF">
        <w:rPr>
          <w:rFonts w:cs="Times New Roman"/>
        </w:rPr>
        <w:t>.</w:t>
      </w:r>
      <w:r w:rsidR="00DB67C1" w:rsidRPr="000C07FF">
        <w:rPr>
          <w:rFonts w:cs="Times New Roman"/>
        </w:rPr>
        <w:fldChar w:fldCharType="begin">
          <w:fldData xml:space="preserve">PEVuZE5vdGU+PENpdGU+PEF1dGhvcj5HYWxlbm88L0F1dGhvcj48WWVhcj4yMDE3PC9ZZWFyPjxS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PEVuZE5vdGU+PENpdGU+PEF1dGhvcj5HYWxlbm88L0F1dGhvcj48WWVhcj4yMDE3PC9ZZWFyPjxS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DB67C1" w:rsidRPr="000C07FF">
        <w:rPr>
          <w:rFonts w:cs="Times New Roman"/>
        </w:rPr>
      </w:r>
      <w:r w:rsidR="00DB67C1" w:rsidRPr="000C07FF">
        <w:rPr>
          <w:rFonts w:cs="Times New Roman"/>
        </w:rPr>
        <w:fldChar w:fldCharType="separate"/>
      </w:r>
      <w:r w:rsidR="0076576E" w:rsidRPr="0076576E">
        <w:rPr>
          <w:rFonts w:cs="Times New Roman"/>
          <w:noProof/>
          <w:vertAlign w:val="superscript"/>
        </w:rPr>
        <w:t>63</w:t>
      </w:r>
      <w:r w:rsidR="00DB67C1" w:rsidRPr="000C07FF">
        <w:rPr>
          <w:rFonts w:cs="Times New Roman"/>
        </w:rPr>
        <w:fldChar w:fldCharType="end"/>
      </w:r>
    </w:p>
    <w:p w14:paraId="3E4FCABC" w14:textId="77777777" w:rsidR="00294505" w:rsidRDefault="00294505" w:rsidP="004642FD">
      <w:pPr>
        <w:autoSpaceDE w:val="0"/>
        <w:autoSpaceDN w:val="0"/>
        <w:adjustRightInd w:val="0"/>
        <w:jc w:val="both"/>
        <w:rPr>
          <w:rFonts w:cs="Times New Roman"/>
          <w:sz w:val="24"/>
          <w:szCs w:val="24"/>
        </w:rPr>
      </w:pPr>
    </w:p>
    <w:p w14:paraId="14C87521" w14:textId="01D62790" w:rsidR="003F78AA" w:rsidRPr="00F1300C" w:rsidRDefault="00EC1BE3" w:rsidP="00B42D01">
      <w:pPr>
        <w:pStyle w:val="Heading4"/>
        <w:rPr>
          <w:sz w:val="22"/>
        </w:rPr>
      </w:pPr>
      <w:r w:rsidRPr="00F1300C">
        <w:rPr>
          <w:sz w:val="22"/>
        </w:rPr>
        <w:t>Detection of CJD</w:t>
      </w:r>
    </w:p>
    <w:p w14:paraId="2B801F70" w14:textId="57D0E2E5" w:rsidR="003A322C" w:rsidRPr="000C07FF" w:rsidRDefault="003A322C" w:rsidP="004642FD">
      <w:pPr>
        <w:autoSpaceDE w:val="0"/>
        <w:autoSpaceDN w:val="0"/>
        <w:adjustRightInd w:val="0"/>
        <w:jc w:val="both"/>
        <w:rPr>
          <w:rFonts w:cs="Times New Roman"/>
        </w:rPr>
      </w:pPr>
      <w:r w:rsidRPr="000C07FF">
        <w:rPr>
          <w:rFonts w:cs="Times New Roman"/>
        </w:rPr>
        <w:t xml:space="preserve">Whether and when asymptomatic carriers of CJD become infectious is important </w:t>
      </w:r>
      <w:r w:rsidR="00C617B0">
        <w:rPr>
          <w:rFonts w:cs="Times New Roman"/>
        </w:rPr>
        <w:t>in</w:t>
      </w:r>
      <w:r w:rsidRPr="000C07FF">
        <w:rPr>
          <w:rFonts w:cs="Times New Roman"/>
        </w:rPr>
        <w:t xml:space="preserve"> understanding the potential risks of contamination during surgery. Bougard </w:t>
      </w:r>
      <w:r w:rsidR="00B301D6" w:rsidRPr="00B301D6">
        <w:rPr>
          <w:rFonts w:cs="Times New Roman"/>
          <w:i/>
        </w:rPr>
        <w:t>et al</w:t>
      </w:r>
      <w:r w:rsidRPr="000C07FF">
        <w:rPr>
          <w:rFonts w:cs="Times New Roman"/>
        </w:rPr>
        <w:t xml:space="preserve"> (2016) describe an assay which detected prions 1.3 and 2.6 years before the clinical onset in plasma samples of two blood donors who later developed vCJD.</w:t>
      </w:r>
      <w:r w:rsidR="001C1038" w:rsidRPr="000C07FF">
        <w:rPr>
          <w:rFonts w:cs="Times New Roman"/>
        </w:rPr>
        <w:fldChar w:fldCharType="begin">
          <w:fldData xml:space="preserve">PEVuZE5vdGU+PENpdGU+PEF1dGhvcj5Cb3VnYXJkPC9BdXRob3I+PFllYXI+MjAxNjwvWWVhcj48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PEVuZE5vdGU+PENpdGU+PEF1dGhvcj5Cb3VnYXJkPC9BdXRob3I+PFllYXI+MjAxNjwvWWVhcj48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0C07FF">
        <w:rPr>
          <w:rFonts w:cs="Times New Roman"/>
        </w:rPr>
      </w:r>
      <w:r w:rsidR="001C1038" w:rsidRPr="000C07FF">
        <w:rPr>
          <w:rFonts w:cs="Times New Roman"/>
        </w:rPr>
        <w:fldChar w:fldCharType="separate"/>
      </w:r>
      <w:r w:rsidR="0076576E" w:rsidRPr="0076576E">
        <w:rPr>
          <w:rFonts w:cs="Times New Roman"/>
          <w:noProof/>
          <w:vertAlign w:val="superscript"/>
        </w:rPr>
        <w:t>158</w:t>
      </w:r>
      <w:r w:rsidR="001C1038" w:rsidRPr="000C07FF">
        <w:rPr>
          <w:rFonts w:cs="Times New Roman"/>
        </w:rPr>
        <w:fldChar w:fldCharType="end"/>
      </w:r>
      <w:r w:rsidRPr="000C07FF">
        <w:rPr>
          <w:rFonts w:cs="Times New Roman"/>
        </w:rPr>
        <w:t xml:space="preserve"> The authors report that the ability to identify presymptomatic (n=2) and symptomatic (n=18) vCJD positives in blinded cohort of 256 plasma samples comprising sCJD, Alzheimer’s disease, Parkinson’s, other neurological diseases and healthy controls indicates the possibility of detecting incubating or silent carriage of vCJD prions. </w:t>
      </w:r>
    </w:p>
    <w:p w14:paraId="092354FD" w14:textId="77777777" w:rsidR="003A322C" w:rsidRPr="000C07FF" w:rsidRDefault="003A322C" w:rsidP="004642FD">
      <w:pPr>
        <w:autoSpaceDE w:val="0"/>
        <w:autoSpaceDN w:val="0"/>
        <w:adjustRightInd w:val="0"/>
        <w:jc w:val="both"/>
        <w:rPr>
          <w:rFonts w:cs="Times New Roman"/>
        </w:rPr>
      </w:pPr>
    </w:p>
    <w:p w14:paraId="17C39929" w14:textId="27EEB44C" w:rsidR="00EC1BE3" w:rsidRPr="000C07FF" w:rsidRDefault="00890582" w:rsidP="004642FD">
      <w:pPr>
        <w:autoSpaceDE w:val="0"/>
        <w:autoSpaceDN w:val="0"/>
        <w:adjustRightInd w:val="0"/>
        <w:jc w:val="both"/>
        <w:rPr>
          <w:rFonts w:cs="Times New Roman"/>
        </w:rPr>
      </w:pPr>
      <w:r w:rsidRPr="000C07FF">
        <w:rPr>
          <w:rFonts w:cs="Times New Roman"/>
        </w:rPr>
        <w:t>Identification of a</w:t>
      </w:r>
      <w:r w:rsidR="00303D5A" w:rsidRPr="000C07FF">
        <w:rPr>
          <w:rFonts w:cs="Times New Roman"/>
        </w:rPr>
        <w:t xml:space="preserve">bnormal prion accumulation in peripheral lymphoreticular tissue </w:t>
      </w:r>
      <w:r w:rsidRPr="000C07FF">
        <w:rPr>
          <w:rFonts w:cs="Times New Roman"/>
        </w:rPr>
        <w:t xml:space="preserve">is </w:t>
      </w:r>
      <w:r w:rsidR="003F3FC7" w:rsidRPr="000C07FF">
        <w:rPr>
          <w:rFonts w:cs="Times New Roman"/>
        </w:rPr>
        <w:t>commonly</w:t>
      </w:r>
      <w:r w:rsidRPr="000C07FF">
        <w:rPr>
          <w:rFonts w:cs="Times New Roman"/>
        </w:rPr>
        <w:t xml:space="preserve"> </w:t>
      </w:r>
      <w:r w:rsidR="00EC1BE3" w:rsidRPr="000C07FF">
        <w:rPr>
          <w:rFonts w:cs="Times New Roman"/>
        </w:rPr>
        <w:t>considered</w:t>
      </w:r>
      <w:r w:rsidRPr="000C07FF">
        <w:rPr>
          <w:rFonts w:cs="Times New Roman"/>
        </w:rPr>
        <w:t xml:space="preserve"> </w:t>
      </w:r>
      <w:r w:rsidR="003F3FC7" w:rsidRPr="000C07FF">
        <w:rPr>
          <w:rFonts w:cs="Times New Roman"/>
        </w:rPr>
        <w:t xml:space="preserve">to be </w:t>
      </w:r>
      <w:r w:rsidRPr="000C07FF">
        <w:rPr>
          <w:rFonts w:cs="Times New Roman"/>
        </w:rPr>
        <w:t xml:space="preserve">a marker of </w:t>
      </w:r>
      <w:r w:rsidR="00303D5A" w:rsidRPr="000C07FF">
        <w:rPr>
          <w:rFonts w:cs="Times New Roman"/>
        </w:rPr>
        <w:t xml:space="preserve">subclinical </w:t>
      </w:r>
      <w:r w:rsidRPr="000C07FF">
        <w:rPr>
          <w:rFonts w:cs="Times New Roman"/>
        </w:rPr>
        <w:t>v</w:t>
      </w:r>
      <w:r w:rsidR="00303D5A" w:rsidRPr="000C07FF">
        <w:rPr>
          <w:rFonts w:cs="Times New Roman"/>
        </w:rPr>
        <w:t xml:space="preserve">CJD </w:t>
      </w:r>
      <w:r w:rsidR="000E1D31" w:rsidRPr="000C07FF">
        <w:rPr>
          <w:rFonts w:cs="Times New Roman"/>
        </w:rPr>
        <w:t xml:space="preserve">that </w:t>
      </w:r>
      <w:r w:rsidR="003F3FC7" w:rsidRPr="000C07FF">
        <w:rPr>
          <w:rFonts w:cs="Times New Roman"/>
        </w:rPr>
        <w:t>may</w:t>
      </w:r>
      <w:r w:rsidR="000E1D31" w:rsidRPr="000C07FF">
        <w:rPr>
          <w:rFonts w:cs="Times New Roman"/>
        </w:rPr>
        <w:t xml:space="preserve"> subsequently develop into clinical CJD</w:t>
      </w:r>
      <w:r w:rsidRPr="000C07FF">
        <w:rPr>
          <w:rFonts w:cs="Times New Roman"/>
        </w:rPr>
        <w:t xml:space="preserve">. </w:t>
      </w:r>
      <w:r w:rsidR="0082366B">
        <w:rPr>
          <w:rFonts w:cs="Times New Roman"/>
        </w:rPr>
        <w:t>However,</w:t>
      </w:r>
      <w:r w:rsidR="0082366B" w:rsidRPr="000C07FF">
        <w:rPr>
          <w:rFonts w:cs="Times New Roman"/>
        </w:rPr>
        <w:t xml:space="preserve"> </w:t>
      </w:r>
      <w:r w:rsidRPr="000C07FF">
        <w:rPr>
          <w:rFonts w:cs="Times New Roman"/>
        </w:rPr>
        <w:t>the reliab</w:t>
      </w:r>
      <w:r w:rsidR="00A54E42" w:rsidRPr="000C07FF">
        <w:rPr>
          <w:rFonts w:cs="Times New Roman"/>
        </w:rPr>
        <w:t>ilit</w:t>
      </w:r>
      <w:r w:rsidRPr="000C07FF">
        <w:rPr>
          <w:rFonts w:cs="Times New Roman"/>
        </w:rPr>
        <w:t>y</w:t>
      </w:r>
      <w:r w:rsidR="00A54E42" w:rsidRPr="000C07FF">
        <w:rPr>
          <w:rFonts w:cs="Times New Roman"/>
        </w:rPr>
        <w:t xml:space="preserve"> of this marker for</w:t>
      </w:r>
      <w:r w:rsidRPr="000C07FF">
        <w:rPr>
          <w:rFonts w:cs="Times New Roman"/>
        </w:rPr>
        <w:t xml:space="preserve"> represent</w:t>
      </w:r>
      <w:r w:rsidR="00A54E42" w:rsidRPr="000C07FF">
        <w:rPr>
          <w:rFonts w:cs="Times New Roman"/>
        </w:rPr>
        <w:t>ing</w:t>
      </w:r>
      <w:r w:rsidRPr="000C07FF">
        <w:rPr>
          <w:rFonts w:cs="Times New Roman"/>
        </w:rPr>
        <w:t xml:space="preserve"> subclinical</w:t>
      </w:r>
      <w:r w:rsidR="000E1D31" w:rsidRPr="000C07FF">
        <w:rPr>
          <w:rFonts w:cs="Times New Roman"/>
        </w:rPr>
        <w:t xml:space="preserve"> </w:t>
      </w:r>
      <w:r w:rsidR="00303D5A" w:rsidRPr="000C07FF">
        <w:rPr>
          <w:rFonts w:cs="Times New Roman"/>
        </w:rPr>
        <w:t>or indeed</w:t>
      </w:r>
      <w:r w:rsidR="00C617B0">
        <w:rPr>
          <w:rFonts w:cs="Times New Roman"/>
        </w:rPr>
        <w:t>,</w:t>
      </w:r>
      <w:r w:rsidR="00303D5A" w:rsidRPr="000C07FF">
        <w:rPr>
          <w:rFonts w:cs="Times New Roman"/>
        </w:rPr>
        <w:t xml:space="preserve"> clinical</w:t>
      </w:r>
      <w:r w:rsidR="00C617B0">
        <w:rPr>
          <w:rFonts w:cs="Times New Roman"/>
        </w:rPr>
        <w:t>,</w:t>
      </w:r>
      <w:r w:rsidR="00303D5A" w:rsidRPr="000C07FF">
        <w:rPr>
          <w:rFonts w:cs="Times New Roman"/>
        </w:rPr>
        <w:t xml:space="preserve"> vCJD</w:t>
      </w:r>
      <w:r w:rsidR="00EC1BE3" w:rsidRPr="000C07FF">
        <w:rPr>
          <w:rFonts w:cs="Times New Roman"/>
        </w:rPr>
        <w:t xml:space="preserve"> has</w:t>
      </w:r>
      <w:r w:rsidR="00303D5A" w:rsidRPr="000C07FF">
        <w:rPr>
          <w:rFonts w:cs="Times New Roman"/>
        </w:rPr>
        <w:t xml:space="preserve"> be</w:t>
      </w:r>
      <w:r w:rsidR="00EC1BE3" w:rsidRPr="000C07FF">
        <w:rPr>
          <w:rFonts w:cs="Times New Roman"/>
        </w:rPr>
        <w:t>en</w:t>
      </w:r>
      <w:r w:rsidR="00303D5A" w:rsidRPr="000C07FF">
        <w:rPr>
          <w:rFonts w:cs="Times New Roman"/>
        </w:rPr>
        <w:t xml:space="preserve"> questioned. </w:t>
      </w:r>
      <w:r w:rsidR="00FE27BF" w:rsidRPr="000C07FF">
        <w:rPr>
          <w:rFonts w:cs="Times New Roman"/>
        </w:rPr>
        <w:t xml:space="preserve">Mead </w:t>
      </w:r>
      <w:r w:rsidR="00B301D6" w:rsidRPr="00B301D6">
        <w:rPr>
          <w:rFonts w:cs="Times New Roman"/>
          <w:i/>
        </w:rPr>
        <w:t>et al</w:t>
      </w:r>
      <w:r w:rsidR="00FE27BF" w:rsidRPr="000C07FF">
        <w:rPr>
          <w:rFonts w:cs="Times New Roman"/>
        </w:rPr>
        <w:t xml:space="preserve"> (2014) highlight a case of clinical vCJD whose presentation, imaging findings, cerebrospinal fluid investigation results, and clinical progression were typical of other </w:t>
      </w:r>
      <w:r w:rsidR="000E1D31" w:rsidRPr="000C07FF">
        <w:rPr>
          <w:rFonts w:cs="Times New Roman"/>
        </w:rPr>
        <w:t xml:space="preserve">vCJD </w:t>
      </w:r>
      <w:r w:rsidR="00456DA3" w:rsidRPr="000C07FF">
        <w:rPr>
          <w:rFonts w:cs="Times New Roman"/>
        </w:rPr>
        <w:t>cases.</w:t>
      </w:r>
      <w:r w:rsidR="00FE27BF" w:rsidRPr="000C07FF">
        <w:rPr>
          <w:rFonts w:cs="Times New Roman"/>
        </w:rPr>
        <w:t xml:space="preserve"> </w:t>
      </w:r>
      <w:r w:rsidR="00456DA3" w:rsidRPr="000C07FF">
        <w:rPr>
          <w:rFonts w:cs="Times New Roman"/>
        </w:rPr>
        <w:t>However</w:t>
      </w:r>
      <w:r w:rsidR="00C617B0">
        <w:rPr>
          <w:rFonts w:cs="Times New Roman"/>
        </w:rPr>
        <w:t>,</w:t>
      </w:r>
      <w:r w:rsidR="00456DA3" w:rsidRPr="000C07FF">
        <w:rPr>
          <w:rFonts w:cs="Times New Roman"/>
        </w:rPr>
        <w:t xml:space="preserve"> subsequent examination of multiple tissues from</w:t>
      </w:r>
      <w:r w:rsidR="00FE27BF" w:rsidRPr="000C07FF">
        <w:rPr>
          <w:rFonts w:cs="Times New Roman"/>
        </w:rPr>
        <w:t xml:space="preserve"> biopsy</w:t>
      </w:r>
      <w:r w:rsidR="00456DA3" w:rsidRPr="000C07FF">
        <w:rPr>
          <w:rFonts w:cs="Times New Roman"/>
        </w:rPr>
        <w:t xml:space="preserve"> and</w:t>
      </w:r>
      <w:r w:rsidR="00FE27BF" w:rsidRPr="000C07FF">
        <w:rPr>
          <w:rFonts w:cs="Times New Roman"/>
        </w:rPr>
        <w:t xml:space="preserve"> at autopsy showed minimal deposition of disease-associated prion protein in tonsil</w:t>
      </w:r>
      <w:r w:rsidR="003012D0" w:rsidRPr="000C07FF">
        <w:rPr>
          <w:rFonts w:cs="Times New Roman"/>
        </w:rPr>
        <w:t xml:space="preserve"> tissue.</w:t>
      </w:r>
      <w:r w:rsidR="00826471" w:rsidRPr="000C07FF">
        <w:rPr>
          <w:rFonts w:cs="Times New Roman"/>
        </w:rPr>
        <w:fldChar w:fldCharType="begin">
          <w:fldData xml:space="preserve">PEVuZE5vdGU+PENpdGU+PEF1dGhvcj5NZWFkPC9BdXRob3I+PFllYXI+MjAxNDwvWWVhcj48UmVj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</w:fldData>
        </w:fldChar>
      </w:r>
      <w:r w:rsidR="0076576E">
        <w:rPr>
          <w:rFonts w:cs="Times New Roman"/>
        </w:rPr>
        <w:instrText xml:space="preserve"> ADDIN EN.CITE </w:instrText>
      </w:r>
      <w:r w:rsidR="0076576E">
        <w:rPr>
          <w:rFonts w:cs="Times New Roman"/>
        </w:rPr>
        <w:fldChar w:fldCharType="begin">
          <w:fldData xml:space="preserve">PEVuZE5vdGU+PENpdGU+PEF1dGhvcj5NZWFkPC9BdXRob3I+PFllYXI+MjAxNDwvWWVhcj48UmVj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826471" w:rsidRPr="000C07FF">
        <w:rPr>
          <w:rFonts w:cs="Times New Roman"/>
        </w:rPr>
      </w:r>
      <w:r w:rsidR="00826471" w:rsidRPr="000C07FF">
        <w:rPr>
          <w:rFonts w:cs="Times New Roman"/>
        </w:rPr>
        <w:fldChar w:fldCharType="separate"/>
      </w:r>
      <w:r w:rsidR="0076576E" w:rsidRPr="0076576E">
        <w:rPr>
          <w:rFonts w:cs="Times New Roman"/>
          <w:noProof/>
          <w:vertAlign w:val="superscript"/>
        </w:rPr>
        <w:t>159</w:t>
      </w:r>
      <w:r w:rsidR="00826471" w:rsidRPr="000C07FF">
        <w:rPr>
          <w:rFonts w:cs="Times New Roman"/>
        </w:rPr>
        <w:fldChar w:fldCharType="end"/>
      </w:r>
      <w:r w:rsidR="00FE27BF" w:rsidRPr="000C07FF">
        <w:rPr>
          <w:rFonts w:cs="Times New Roman"/>
        </w:rPr>
        <w:t xml:space="preserve"> </w:t>
      </w:r>
      <w:r w:rsidR="00AC2AF2" w:rsidRPr="000C07FF">
        <w:rPr>
          <w:rFonts w:cs="Times New Roman"/>
        </w:rPr>
        <w:t>This patient also received a negative score from</w:t>
      </w:r>
      <w:r w:rsidR="00F1300C">
        <w:rPr>
          <w:rFonts w:cs="Times New Roman"/>
        </w:rPr>
        <w:t xml:space="preserve"> </w:t>
      </w:r>
      <w:r w:rsidR="00C617B0">
        <w:rPr>
          <w:rFonts w:cs="Times New Roman"/>
        </w:rPr>
        <w:t xml:space="preserve">a blood test </w:t>
      </w:r>
      <w:r w:rsidR="00251F96">
        <w:rPr>
          <w:rFonts w:cs="Times New Roman"/>
        </w:rPr>
        <w:t>specifically for</w:t>
      </w:r>
      <w:r w:rsidR="00C617B0">
        <w:rPr>
          <w:rFonts w:cs="Times New Roman"/>
        </w:rPr>
        <w:t xml:space="preserve"> vCJD, the direct d</w:t>
      </w:r>
      <w:r w:rsidR="00AC2AF2" w:rsidRPr="000C07FF">
        <w:rPr>
          <w:rFonts w:cs="Times New Roman"/>
        </w:rPr>
        <w:t xml:space="preserve">etection </w:t>
      </w:r>
      <w:r w:rsidR="00C617B0">
        <w:rPr>
          <w:rFonts w:cs="Times New Roman"/>
        </w:rPr>
        <w:t>a</w:t>
      </w:r>
      <w:r w:rsidR="00AC2AF2" w:rsidRPr="000C07FF">
        <w:rPr>
          <w:rFonts w:cs="Times New Roman"/>
        </w:rPr>
        <w:t xml:space="preserve">ssay. </w:t>
      </w:r>
      <w:r w:rsidR="00FE27BF" w:rsidRPr="000C07FF">
        <w:rPr>
          <w:rFonts w:cs="Times New Roman"/>
        </w:rPr>
        <w:t xml:space="preserve">The authors note that this case demonstrates that even patients with end-stage vCJD may have minimal </w:t>
      </w:r>
      <w:r w:rsidR="003012D0" w:rsidRPr="000C07FF">
        <w:rPr>
          <w:rFonts w:cs="Times New Roman"/>
        </w:rPr>
        <w:t>prion colonisation</w:t>
      </w:r>
      <w:r w:rsidR="00FE27BF" w:rsidRPr="000C07FF">
        <w:rPr>
          <w:rFonts w:cs="Times New Roman"/>
        </w:rPr>
        <w:t xml:space="preserve"> in lymphoreticular tissue.</w:t>
      </w:r>
      <w:r w:rsidR="006C6B34" w:rsidRPr="000C07FF">
        <w:rPr>
          <w:rFonts w:cs="Times New Roman"/>
        </w:rPr>
        <w:t xml:space="preserve"> </w:t>
      </w:r>
    </w:p>
    <w:p w14:paraId="77B362D7" w14:textId="77777777" w:rsidR="00EC1BE3" w:rsidRPr="000C07FF" w:rsidRDefault="00EC1BE3" w:rsidP="004642FD">
      <w:pPr>
        <w:autoSpaceDE w:val="0"/>
        <w:autoSpaceDN w:val="0"/>
        <w:adjustRightInd w:val="0"/>
        <w:jc w:val="both"/>
        <w:rPr>
          <w:rFonts w:cs="Times New Roman"/>
        </w:rPr>
      </w:pPr>
    </w:p>
    <w:p w14:paraId="4458620E" w14:textId="5947898E" w:rsidR="00EC1BE3" w:rsidRPr="000C07FF" w:rsidRDefault="007C3C41" w:rsidP="004642FD">
      <w:pPr>
        <w:jc w:val="both"/>
        <w:rPr>
          <w:rFonts w:cs="Times New Roman"/>
        </w:rPr>
      </w:pPr>
      <w:r w:rsidRPr="000C07FF">
        <w:rPr>
          <w:rFonts w:cs="Times New Roman"/>
        </w:rPr>
        <w:t>Absence</w:t>
      </w:r>
      <w:r w:rsidR="00EC1BE3" w:rsidRPr="000C07FF">
        <w:rPr>
          <w:rFonts w:cs="Times New Roman"/>
        </w:rPr>
        <w:t xml:space="preserve"> versus presence of abnormal prion accumulation may occur due to the sensitivity of the CJD assay employed. </w:t>
      </w:r>
      <w:r w:rsidRPr="000C07FF">
        <w:rPr>
          <w:rFonts w:cs="Times New Roman"/>
        </w:rPr>
        <w:t>Examination of</w:t>
      </w:r>
      <w:r w:rsidR="00EC1BE3" w:rsidRPr="000C07FF">
        <w:rPr>
          <w:rFonts w:cs="Times New Roman"/>
        </w:rPr>
        <w:t xml:space="preserve"> 14-3-3 proteins in cerebrospinal fluid </w:t>
      </w:r>
      <w:r w:rsidRPr="000C07FF">
        <w:rPr>
          <w:rFonts w:cs="Times New Roman"/>
        </w:rPr>
        <w:t>and</w:t>
      </w:r>
      <w:r w:rsidR="00251F96">
        <w:rPr>
          <w:rFonts w:cs="Times New Roman"/>
        </w:rPr>
        <w:t xml:space="preserve"> </w:t>
      </w:r>
      <w:r w:rsidR="0091300E" w:rsidRPr="000C07FF">
        <w:rPr>
          <w:rFonts w:cs="Times New Roman"/>
        </w:rPr>
        <w:t xml:space="preserve">RT-QuIC </w:t>
      </w:r>
      <w:r w:rsidR="00EC1BE3" w:rsidRPr="000C07FF">
        <w:rPr>
          <w:rFonts w:cs="Times New Roman"/>
        </w:rPr>
        <w:t xml:space="preserve">assay are commonly </w:t>
      </w:r>
      <w:r w:rsidRPr="000C07FF">
        <w:rPr>
          <w:rFonts w:cs="Times New Roman"/>
        </w:rPr>
        <w:t>employed tests</w:t>
      </w:r>
      <w:r w:rsidR="00EC1BE3" w:rsidRPr="000C07FF">
        <w:rPr>
          <w:rFonts w:cs="Times New Roman"/>
        </w:rPr>
        <w:t xml:space="preserve"> considered to be sensitive and specific for sCJD detection, </w:t>
      </w:r>
      <w:r w:rsidR="005227A3" w:rsidRPr="000C07FF">
        <w:rPr>
          <w:rFonts w:cs="Times New Roman"/>
        </w:rPr>
        <w:t>although</w:t>
      </w:r>
      <w:r w:rsidR="00EC1BE3" w:rsidRPr="000C07FF">
        <w:rPr>
          <w:rFonts w:cs="Times New Roman"/>
        </w:rPr>
        <w:t xml:space="preserve"> less so for vCJD.</w:t>
      </w:r>
      <w:r w:rsidR="001C1038" w:rsidRPr="000C07FF">
        <w:rPr>
          <w:rFonts w:cs="Times New Roman"/>
        </w:rPr>
        <w:fldChar w:fldCharType="begin"/>
      </w:r>
      <w:r w:rsidR="0076576E">
        <w:rPr>
          <w:rFonts w:cs="Times New Roman"/>
        </w:rPr>
        <w:instrText xml:space="preserve"> ADDIN EN.CITE &lt;EndNote&gt;&lt;Cite&gt;&lt;Author&gt;Peden&lt;/Author&gt;&lt;Year&gt;2012&lt;/Year&gt;&lt;RecNum&gt;10266&lt;/RecNum&gt;&lt;DisplayText&gt;&lt;style face="superscript"&gt;160&lt;/style&gt;&lt;/DisplayText&gt;&lt;record&gt;&lt;rec-number&gt;10266&lt;/rec-number&gt;&lt;foreign-keys&gt;&lt;key app="EN" db-id="vrp0pptazv05wtesfz5vrzsj2p0rv09ttsa9" timestamp="1520851591" guid="7872339a-efca-4c0a-9c3c-6dcf39a44a15"&gt;10266&lt;/key&gt;&lt;/foreign-keys&gt;&lt;ref-type name="Journal Article"&gt;17&lt;/ref-type&gt;&lt;contributors&gt;&lt;authors&gt;&lt;author&gt;Peden, Alexander H&lt;/author&gt;&lt;author&gt;McGuire, Lynne I&lt;/author&gt;&lt;author&gt;Appleford, Nigel EJ&lt;/author&gt;&lt;author&gt;Mallinson, Gary&lt;/author&gt;&lt;author&gt;Wilham, Jason M&lt;/author&gt;&lt;author&gt;Orrú, Christina D&lt;/author&gt;&lt;author&gt;Caughey, Byron&lt;/author&gt;&lt;author&gt;Ironside, James W&lt;/author&gt;&lt;author&gt;Knight, Richard S&lt;/author&gt;&lt;author&gt;Will, Robert G&lt;/author&gt;&lt;/authors&gt;&lt;/contributors&gt;&lt;titles&gt;&lt;title&gt;Sensitive and specific detection of sporadic Creutzfeldt–Jakob disease brain prion protein using real-time quaking-induced conversion&lt;/title&gt;&lt;secondary-title&gt;Journal of General Virology&lt;/secondary-title&gt;&lt;/titles&gt;&lt;periodical&gt;&lt;full-title&gt;Journal of General Virology&lt;/full-title&gt;&lt;/periodical&gt;&lt;pages&gt;438-449&lt;/pages&gt;&lt;volume&gt;93&lt;/volume&gt;&lt;number&gt;2&lt;/number&gt;&lt;keywords&gt;&lt;keyword&gt;$$LU_4_CJD infectivity&lt;/keyword&gt;&lt;keyword&gt;$$CJD relevant&lt;/keyword&gt;&lt;keyword&gt;$$Lesley google&lt;/keyword&gt;&lt;keyword&gt;$$CJD detection&lt;/keyword&gt;&lt;keyword&gt;$$Background&lt;/keyword&gt;&lt;/keywords&gt;&lt;dates&gt;&lt;year&gt;2012&lt;/year&gt;&lt;/dates&gt;&lt;isbn&gt;1465-2099&lt;/isbn&gt;&lt;urls&gt;&lt;/urls&gt;&lt;/record&gt;&lt;/Cite&gt;&lt;/EndNote&gt;</w:instrText>
      </w:r>
      <w:r w:rsidR="001C1038" w:rsidRPr="000C07FF">
        <w:rPr>
          <w:rFonts w:cs="Times New Roman"/>
        </w:rPr>
        <w:fldChar w:fldCharType="separate"/>
      </w:r>
      <w:r w:rsidR="0076576E" w:rsidRPr="0076576E">
        <w:rPr>
          <w:rFonts w:cs="Times New Roman"/>
          <w:noProof/>
          <w:vertAlign w:val="superscript"/>
        </w:rPr>
        <w:t>160</w:t>
      </w:r>
      <w:r w:rsidR="001C1038" w:rsidRPr="000C07FF">
        <w:rPr>
          <w:rFonts w:cs="Times New Roman"/>
        </w:rPr>
        <w:fldChar w:fldCharType="end"/>
      </w:r>
      <w:r w:rsidR="00EC1BE3" w:rsidRPr="000C07FF">
        <w:rPr>
          <w:rFonts w:cs="Times New Roman"/>
        </w:rPr>
        <w:t xml:space="preserve"> </w:t>
      </w:r>
      <w:r w:rsidR="00235C82" w:rsidRPr="000C07FF">
        <w:rPr>
          <w:rFonts w:cs="Times New Roman"/>
        </w:rPr>
        <w:t>F</w:t>
      </w:r>
      <w:r w:rsidR="00EC1BE3" w:rsidRPr="000C07FF">
        <w:rPr>
          <w:rFonts w:cs="Times New Roman"/>
        </w:rPr>
        <w:t>or example</w:t>
      </w:r>
      <w:r w:rsidR="003F3FC7" w:rsidRPr="000C07FF">
        <w:rPr>
          <w:rFonts w:cs="Times New Roman"/>
        </w:rPr>
        <w:t>,</w:t>
      </w:r>
      <w:r w:rsidR="00EC1BE3" w:rsidRPr="000C07FF">
        <w:rPr>
          <w:rFonts w:cs="Times New Roman"/>
        </w:rPr>
        <w:t xml:space="preserve"> the </w:t>
      </w:r>
      <w:r w:rsidR="00251F96">
        <w:rPr>
          <w:rFonts w:cs="Times New Roman"/>
        </w:rPr>
        <w:t xml:space="preserve">identified </w:t>
      </w:r>
      <w:r w:rsidR="00EC1BE3" w:rsidRPr="000C07FF">
        <w:rPr>
          <w:rFonts w:cs="Times New Roman"/>
        </w:rPr>
        <w:t xml:space="preserve">heterozygous </w:t>
      </w:r>
      <w:r w:rsidR="00275BB4" w:rsidRPr="000C07FF">
        <w:rPr>
          <w:rFonts w:cs="Times New Roman"/>
        </w:rPr>
        <w:t xml:space="preserve">clinical </w:t>
      </w:r>
      <w:r w:rsidR="00EC1BE3" w:rsidRPr="000C07FF">
        <w:rPr>
          <w:rFonts w:cs="Times New Roman"/>
        </w:rPr>
        <w:t>vCJD patient, aged 36 years in 2016</w:t>
      </w:r>
      <w:r w:rsidR="001C1038" w:rsidRPr="000C07FF">
        <w:rPr>
          <w:rFonts w:cs="Times New Roman"/>
        </w:rPr>
        <w:fldChar w:fldCharType="begin"/>
      </w:r>
      <w:r w:rsidR="0076576E">
        <w:rPr>
          <w:rFonts w:cs="Times New Roman"/>
        </w:rPr>
        <w:instrText xml:space="preserve"> ADDIN EN.CITE &lt;EndNote&gt;&lt;Cite&gt;&lt;Author&gt;Mok&lt;/Author&gt;&lt;Year&gt;2017&lt;/Year&gt;&lt;RecNum&gt;9731&lt;/RecNum&gt;&lt;DisplayText&gt;&lt;style face="superscript"&gt;33&lt;/style&gt;&lt;/DisplayText&gt;&lt;record&gt;&lt;rec-number&gt;9731&lt;/rec-number&gt;&lt;foreign-keys&gt;&lt;key app="EN" db-id="vrp0pptazv05wtesfz5vrzsj2p0rv09ttsa9" timestamp="1511786612" guid="4955f14a-2207-4abf-b2f5-8bf0a8ef41c3"&gt;9731&lt;/key&gt;&lt;/foreign-keys&gt;&lt;ref-type name="Journal Article"&gt;17&lt;/ref-type&gt;&lt;contributors&gt;&lt;authors&gt;&lt;author&gt;Mok, Tzehow&lt;/author&gt;&lt;author&gt;Jaunmuktane, Zane&lt;/author&gt;&lt;author&gt;Joiner, Susan&lt;/author&gt;&lt;author&gt;Campbell, Tracy&lt;/author&gt;&lt;author&gt;Morgan, Catherine&lt;/author&gt;&lt;author&gt;Wakerley, Benjamin&lt;/author&gt;&lt;author&gt;Golestani, Farhad&lt;/author&gt;&lt;author&gt;Rudge, Peter&lt;/author&gt;&lt;author&gt;Mead, Simon&lt;/author&gt;&lt;author&gt;Jäger, H. Rolf&lt;/author&gt;&lt;author&gt;Wadsworth, Jonathan D.F.&lt;/author&gt;&lt;author&gt;Brandner, Sebastian&lt;/author&gt;&lt;author&gt;Collinge, John&lt;/author&gt;&lt;/authors&gt;&lt;/contributors&gt;&lt;titles&gt;&lt;title&gt;Variant Creutzfeldt–Jakob Disease in a Patient with Heterozygosity at PRNP Codon 129&lt;/title&gt;&lt;secondary-title&gt;New England Journal of Medicine&lt;/secondary-title&gt;&lt;/titles&gt;&lt;periodical&gt;&lt;full-title&gt;New England Journal of Medicine&lt;/full-title&gt;&lt;/periodical&gt;&lt;pages&gt;292-294&lt;/pages&gt;&lt;volume&gt;376&lt;/volume&gt;&lt;number&gt;3&lt;/number&gt;&lt;keywords&gt;&lt;keyword&gt;$$LU_1_prevalence CJD&lt;/keyword&gt;&lt;keyword&gt;$$LU_4_CJD infectivity&lt;/keyword&gt;&lt;keyword&gt;$$CJD relevant&lt;/keyword&gt;&lt;keyword&gt;$$Lesley google&lt;/keyword&gt;&lt;/keywords&gt;&lt;dates&gt;&lt;year&gt;2017&lt;/year&gt;&lt;/dates&gt;&lt;accession-num&gt;28099827&lt;/accession-num&gt;&lt;urls&gt;&lt;related-urls&gt;&lt;url&gt;http://www.nejm.org/doi/full/10.1056/NEJMc1610003&lt;/url&gt;&lt;/related-urls&gt;&lt;/urls&gt;&lt;electronic-resource-num&gt;10.1056/NEJMc1610003&lt;/electronic-resource-num&gt;&lt;/record&gt;&lt;/Cite&gt;&lt;/EndNote&gt;</w:instrText>
      </w:r>
      <w:r w:rsidR="001C1038" w:rsidRPr="000C07FF">
        <w:rPr>
          <w:rFonts w:cs="Times New Roman"/>
        </w:rPr>
        <w:fldChar w:fldCharType="separate"/>
      </w:r>
      <w:r w:rsidR="0076576E" w:rsidRPr="0076576E">
        <w:rPr>
          <w:rFonts w:cs="Times New Roman"/>
          <w:noProof/>
          <w:vertAlign w:val="superscript"/>
        </w:rPr>
        <w:t>33</w:t>
      </w:r>
      <w:r w:rsidR="001C1038" w:rsidRPr="000C07FF">
        <w:rPr>
          <w:rFonts w:cs="Times New Roman"/>
        </w:rPr>
        <w:fldChar w:fldCharType="end"/>
      </w:r>
      <w:r w:rsidR="0091300E" w:rsidRPr="000C07FF">
        <w:rPr>
          <w:rFonts w:cs="Times New Roman"/>
        </w:rPr>
        <w:t xml:space="preserve"> tested negative for 14-3-3 protein, RT-QuIC and the </w:t>
      </w:r>
      <w:r w:rsidR="00251F96">
        <w:rPr>
          <w:rFonts w:cs="Times New Roman"/>
        </w:rPr>
        <w:t>vCJD-focussed direct d</w:t>
      </w:r>
      <w:r w:rsidR="006B3AE2" w:rsidRPr="000C07FF">
        <w:rPr>
          <w:rFonts w:cs="Times New Roman"/>
        </w:rPr>
        <w:t>e</w:t>
      </w:r>
      <w:r w:rsidR="00251F96">
        <w:rPr>
          <w:rFonts w:cs="Times New Roman"/>
        </w:rPr>
        <w:t>tection a</w:t>
      </w:r>
      <w:r w:rsidR="006B3AE2" w:rsidRPr="000C07FF">
        <w:rPr>
          <w:rFonts w:cs="Times New Roman"/>
        </w:rPr>
        <w:t>ssay</w:t>
      </w:r>
      <w:r w:rsidR="00281CF3">
        <w:rPr>
          <w:rFonts w:cs="Times New Roman"/>
        </w:rPr>
        <w:t xml:space="preserve"> but immunoblotting of brain homogenate at autopsy confirmed the presence of vCJD prions</w:t>
      </w:r>
      <w:r w:rsidR="0091300E" w:rsidRPr="000C07FF">
        <w:rPr>
          <w:rFonts w:cs="Times New Roman"/>
        </w:rPr>
        <w:t>.</w:t>
      </w:r>
      <w:r w:rsidR="006B3AE2" w:rsidRPr="000C07FF">
        <w:rPr>
          <w:rFonts w:cs="Times New Roman"/>
        </w:rPr>
        <w:t xml:space="preserve"> Moreover</w:t>
      </w:r>
      <w:r w:rsidR="003F3FC7" w:rsidRPr="000C07FF">
        <w:rPr>
          <w:rFonts w:cs="Times New Roman"/>
        </w:rPr>
        <w:t>,</w:t>
      </w:r>
      <w:r w:rsidR="006B3AE2" w:rsidRPr="000C07FF">
        <w:rPr>
          <w:rFonts w:cs="Times New Roman"/>
        </w:rPr>
        <w:t xml:space="preserve"> immunostaining </w:t>
      </w:r>
      <w:r w:rsidRPr="000C07FF">
        <w:rPr>
          <w:rFonts w:cs="Times New Roman"/>
        </w:rPr>
        <w:t xml:space="preserve">performed in this patient </w:t>
      </w:r>
      <w:r w:rsidR="006B3AE2" w:rsidRPr="000C07FF">
        <w:rPr>
          <w:rFonts w:cs="Times New Roman"/>
        </w:rPr>
        <w:t>for abnormal prion protein labelled amyloid plaques highlighted a relative</w:t>
      </w:r>
      <w:r w:rsidR="0091300E" w:rsidRPr="000C07FF">
        <w:rPr>
          <w:rFonts w:cs="Times New Roman"/>
        </w:rPr>
        <w:t xml:space="preserve"> lack of peripheral tissue involvement </w:t>
      </w:r>
      <w:r w:rsidR="006B3AE2" w:rsidRPr="000C07FF">
        <w:rPr>
          <w:rFonts w:cs="Times New Roman"/>
        </w:rPr>
        <w:t>with only minute amounts detected in the spleen and no detection in the appendix or mesenteric lymph nodes.</w:t>
      </w:r>
      <w:r w:rsidRPr="000C07FF">
        <w:rPr>
          <w:rFonts w:cs="Times New Roman"/>
        </w:rPr>
        <w:t xml:space="preserve"> </w:t>
      </w:r>
      <w:r w:rsidR="005227A3" w:rsidRPr="000C07FF">
        <w:rPr>
          <w:rFonts w:cs="Times New Roman"/>
        </w:rPr>
        <w:t xml:space="preserve">However, Douet </w:t>
      </w:r>
      <w:r w:rsidR="00B301D6" w:rsidRPr="00B301D6">
        <w:rPr>
          <w:rFonts w:cs="Times New Roman"/>
          <w:i/>
        </w:rPr>
        <w:t>et al</w:t>
      </w:r>
      <w:r w:rsidR="005227A3" w:rsidRPr="000C07FF">
        <w:rPr>
          <w:rFonts w:cs="Times New Roman"/>
        </w:rPr>
        <w:t xml:space="preserve"> (2017) used a highly sensitive protein misfolding cyclic amplification (PMCA) assay</w:t>
      </w:r>
      <w:r w:rsidR="00275BB4" w:rsidRPr="000C07FF">
        <w:rPr>
          <w:rFonts w:cs="Times New Roman"/>
        </w:rPr>
        <w:t xml:space="preserve"> to assess abnormal prion accumulation in the </w:t>
      </w:r>
      <w:r w:rsidR="00251F96">
        <w:rPr>
          <w:rFonts w:cs="Times New Roman"/>
        </w:rPr>
        <w:t xml:space="preserve">identified </w:t>
      </w:r>
      <w:r w:rsidR="00275BB4" w:rsidRPr="000C07FF">
        <w:rPr>
          <w:rFonts w:cs="Times New Roman"/>
        </w:rPr>
        <w:t>heterozygous subclinical vCJD</w:t>
      </w:r>
      <w:r w:rsidR="005D079C" w:rsidRPr="000C07FF">
        <w:rPr>
          <w:rFonts w:cs="Times New Roman"/>
        </w:rPr>
        <w:t xml:space="preserve"> patient</w:t>
      </w:r>
      <w:r w:rsidR="00275BB4" w:rsidRPr="000C07FF">
        <w:rPr>
          <w:rFonts w:cs="Times New Roman"/>
        </w:rPr>
        <w:t>, aged 82 years in 2017</w:t>
      </w:r>
      <w:r w:rsidR="00403690">
        <w:rPr>
          <w:rFonts w:cs="Times New Roman"/>
        </w:rPr>
        <w:t>.</w:t>
      </w:r>
      <w:r w:rsidR="001C1038" w:rsidRPr="000C07FF">
        <w:rPr>
          <w:rFonts w:cs="Times New Roman"/>
        </w:rPr>
        <w:fldChar w:fldCharType="begin">
          <w:fldData xml:space="preserve">PEVuZE5vdGU+PENpdGU+PEF1dGhvcj5Eb3VldDwvQXV0aG9yPjxZZWFyPjIwMTc8L1llYXI+PFJl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==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PEVuZE5vdGU+PENpdGU+PEF1dGhvcj5Eb3VldDwvQXV0aG9yPjxZZWFyPjIwMTc8L1llYXI+PFJl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==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0C07FF">
        <w:rPr>
          <w:rFonts w:cs="Times New Roman"/>
        </w:rPr>
      </w:r>
      <w:r w:rsidR="001C1038" w:rsidRPr="000C07FF">
        <w:rPr>
          <w:rFonts w:cs="Times New Roman"/>
        </w:rPr>
        <w:fldChar w:fldCharType="separate"/>
      </w:r>
      <w:r w:rsidR="0076576E" w:rsidRPr="0076576E">
        <w:rPr>
          <w:rFonts w:cs="Times New Roman"/>
          <w:noProof/>
          <w:vertAlign w:val="superscript"/>
        </w:rPr>
        <w:t>161</w:t>
      </w:r>
      <w:r w:rsidR="001C1038" w:rsidRPr="000C07FF">
        <w:rPr>
          <w:rFonts w:cs="Times New Roman"/>
        </w:rPr>
        <w:fldChar w:fldCharType="end"/>
      </w:r>
      <w:r w:rsidR="005D079C" w:rsidRPr="000C07FF">
        <w:rPr>
          <w:rFonts w:cs="Times New Roman"/>
        </w:rPr>
        <w:t xml:space="preserve"> Previous investigations had not detected abnormal prion protein or infectivity in the brain indicating a lack of central nervous system </w:t>
      </w:r>
      <w:r w:rsidR="00281CF3">
        <w:rPr>
          <w:rFonts w:cs="Times New Roman"/>
        </w:rPr>
        <w:t xml:space="preserve">(CNS) </w:t>
      </w:r>
      <w:r w:rsidR="005D079C" w:rsidRPr="000C07FF">
        <w:rPr>
          <w:rFonts w:cs="Times New Roman"/>
        </w:rPr>
        <w:t>involvement at the time of death.</w:t>
      </w:r>
      <w:r w:rsidR="001C1038" w:rsidRPr="000C07FF">
        <w:rPr>
          <w:rFonts w:cs="Times New Roman"/>
        </w:rPr>
        <w:fldChar w:fldCharType="begin">
          <w:fldData xml:space="preserve">PEVuZE5vdGU+PENpdGU+PEF1dGhvcj5QZWRlbjwvQXV0aG9yPjxZZWFyPjIwMDQ8L1llYXI+PFJl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PEVuZE5vdGU+PENpdGU+PEF1dGhvcj5QZWRlbjwvQXV0aG9yPjxZZWFyPjIwMDQ8L1llYXI+PFJl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C1038" w:rsidRPr="000C07FF">
        <w:rPr>
          <w:rFonts w:cs="Times New Roman"/>
        </w:rPr>
      </w:r>
      <w:r w:rsidR="001C1038" w:rsidRPr="000C07FF">
        <w:rPr>
          <w:rFonts w:cs="Times New Roman"/>
        </w:rPr>
        <w:fldChar w:fldCharType="separate"/>
      </w:r>
      <w:r w:rsidR="0076576E" w:rsidRPr="0076576E">
        <w:rPr>
          <w:rFonts w:cs="Times New Roman"/>
          <w:noProof/>
          <w:vertAlign w:val="superscript"/>
        </w:rPr>
        <w:t>73, 145</w:t>
      </w:r>
      <w:r w:rsidR="001C1038" w:rsidRPr="000C07FF">
        <w:rPr>
          <w:rFonts w:cs="Times New Roman"/>
        </w:rPr>
        <w:fldChar w:fldCharType="end"/>
      </w:r>
      <w:r w:rsidR="005D079C" w:rsidRPr="000C07FF">
        <w:rPr>
          <w:rFonts w:cs="Times New Roman"/>
        </w:rPr>
        <w:t xml:space="preserve"> However, using this assay they found vCJD prions in all lymphoid organs and a wide variety of other tissues including salivary gland, lung and liver. The authors caution that the identification of wide vCJD involvement in the peripheral tissues of a preclinical patient further indicates the potential for iatrogenic transmission of this fatal neurologic condition by surgical procedures. </w:t>
      </w:r>
    </w:p>
    <w:p w14:paraId="762162E1" w14:textId="77777777" w:rsidR="00235C82" w:rsidRDefault="00235C82" w:rsidP="004642FD">
      <w:pPr>
        <w:rPr>
          <w:rFonts w:cs="Times New Roman"/>
          <w:sz w:val="24"/>
          <w:szCs w:val="24"/>
        </w:rPr>
      </w:pPr>
    </w:p>
    <w:p w14:paraId="25A7333D" w14:textId="433EE796" w:rsidR="00EC1BE3" w:rsidRPr="00F1300C" w:rsidRDefault="00EC1BE3" w:rsidP="00B42D01">
      <w:pPr>
        <w:pStyle w:val="Heading4"/>
        <w:rPr>
          <w:sz w:val="22"/>
        </w:rPr>
      </w:pPr>
      <w:r w:rsidRPr="00F1300C">
        <w:rPr>
          <w:sz w:val="22"/>
        </w:rPr>
        <w:t>Transmission to and from peripheral tissues</w:t>
      </w:r>
    </w:p>
    <w:p w14:paraId="11510835" w14:textId="49B4A243" w:rsidR="001C7D39" w:rsidRPr="000C07FF" w:rsidRDefault="00593E51" w:rsidP="004642FD">
      <w:pPr>
        <w:autoSpaceDE w:val="0"/>
        <w:autoSpaceDN w:val="0"/>
        <w:adjustRightInd w:val="0"/>
        <w:jc w:val="both"/>
        <w:rPr>
          <w:rFonts w:cs="Times New Roman"/>
        </w:rPr>
      </w:pPr>
      <w:r w:rsidRPr="000C07FF">
        <w:rPr>
          <w:rFonts w:cs="Times New Roman"/>
        </w:rPr>
        <w:t>The infectious load is known to be higher in certain tissues</w:t>
      </w:r>
      <w:r w:rsidR="00281CF3">
        <w:rPr>
          <w:rFonts w:cs="Times New Roman"/>
        </w:rPr>
        <w:t>, such as CNS tissues</w:t>
      </w:r>
      <w:r w:rsidR="00340971" w:rsidRPr="000C07FF">
        <w:rPr>
          <w:rFonts w:cs="Times New Roman"/>
        </w:rPr>
        <w:fldChar w:fldCharType="begin"/>
      </w:r>
      <w:r w:rsidR="00892AF6">
        <w:rPr>
          <w:rFonts w:cs="Times New Roman"/>
        </w:rPr>
        <w:instrText xml:space="preserve"> ADDIN EN.CITE &lt;EndNote&gt;&lt;Cite&gt;&lt;Author&gt;National Institute for Health and Care Excellence&lt;/Author&gt;&lt;Year&gt;2008&lt;/Year&gt;&lt;RecNum&gt;10250&lt;/RecNum&gt;&lt;DisplayText&gt;&lt;style face="superscript"&gt;14&lt;/style&gt;&lt;/DisplayText&gt;&lt;record&gt;&lt;rec-number&gt;10250&lt;/rec-number&gt;&lt;foreign-keys&gt;&lt;key app="EN" db-id="vrp0pptazv05wtesfz5vrzsj2p0rv09ttsa9" timestamp="1520851583" guid="875b169c-6726-4f90-9c42-19ea7d5d9733"&gt;10250&lt;/key&gt;&lt;/foreign-keys&gt;&lt;ref-type name="Web Page"&gt;12&lt;/ref-type&gt;&lt;contributors&gt;&lt;authors&gt;&lt;author&gt;National Institute for Health and Care Excellence,&lt;/author&gt;&lt;/authors&gt;&lt;/contributors&gt;&lt;titles&gt;&lt;title&gt;NICE interventional procedure guidance 196. Patient safety and reduction of risk of transmission of Creutzfeldt–Jakob disease (CJD) via interventional procedures.&lt;/title&gt;&lt;/titles&gt;&lt;number&gt;02.02.2018&lt;/number&gt;&lt;dates&gt;&lt;year&gt;2008&lt;/year&gt;&lt;/dates&gt;&lt;urls&gt;&lt;related-urls&gt;&lt;url&gt;&lt;style face="underline" font="default" size="100%"&gt;https://www.nice.org.uk/guidance/ipg196/documents/ipg196-patient-safety-and-reduction-of-risk-of-transmission-of-creutzfeldtjakob-disease-cjd-via-interventional-procedures-guidance2&lt;/style&gt;&lt;/url&gt;&lt;/related-urls&gt;&lt;/urls&gt;&lt;/record&gt;&lt;/Cite&gt;&lt;/EndNote&gt;</w:instrText>
      </w:r>
      <w:r w:rsidR="00340971" w:rsidRPr="000C07FF">
        <w:rPr>
          <w:rFonts w:cs="Times New Roman"/>
        </w:rPr>
        <w:fldChar w:fldCharType="separate"/>
      </w:r>
      <w:r w:rsidR="005C50C5" w:rsidRPr="005C50C5">
        <w:rPr>
          <w:rFonts w:cs="Times New Roman"/>
          <w:noProof/>
          <w:vertAlign w:val="superscript"/>
        </w:rPr>
        <w:t>14</w:t>
      </w:r>
      <w:r w:rsidR="00340971" w:rsidRPr="000C07FF">
        <w:rPr>
          <w:rFonts w:cs="Times New Roman"/>
        </w:rPr>
        <w:fldChar w:fldCharType="end"/>
      </w:r>
      <w:r w:rsidR="00281CF3">
        <w:rPr>
          <w:rFonts w:cs="Times New Roman"/>
        </w:rPr>
        <w:t>, and therefore</w:t>
      </w:r>
      <w:r w:rsidRPr="000C07FF">
        <w:rPr>
          <w:rFonts w:cs="Times New Roman"/>
        </w:rPr>
        <w:t xml:space="preserve"> t</w:t>
      </w:r>
      <w:r w:rsidR="00A54E42" w:rsidRPr="000C07FF">
        <w:rPr>
          <w:rFonts w:cs="Times New Roman"/>
        </w:rPr>
        <w:t xml:space="preserve">he </w:t>
      </w:r>
      <w:r w:rsidR="00281CF3">
        <w:rPr>
          <w:rFonts w:cs="Times New Roman"/>
        </w:rPr>
        <w:t>risk of infectivity from</w:t>
      </w:r>
      <w:r w:rsidR="00A54E42" w:rsidRPr="000C07FF">
        <w:rPr>
          <w:rFonts w:cs="Times New Roman"/>
        </w:rPr>
        <w:t xml:space="preserve"> peripheral tissue has been questioned. </w:t>
      </w:r>
      <w:r w:rsidR="00793482">
        <w:rPr>
          <w:rFonts w:cs="Times New Roman"/>
        </w:rPr>
        <w:t>Studies report conflicting findings regarding the infectivity of peripheral tissues.</w:t>
      </w:r>
      <w:r w:rsidR="00E356BD">
        <w:rPr>
          <w:rFonts w:cs="Times New Roman"/>
        </w:rPr>
        <w:t xml:space="preserve"> For example, Bishop </w:t>
      </w:r>
      <w:r w:rsidR="00B301D6" w:rsidRPr="00B301D6">
        <w:rPr>
          <w:rFonts w:cs="Times New Roman"/>
          <w:i/>
        </w:rPr>
        <w:t>et al</w:t>
      </w:r>
      <w:r w:rsidR="00E356BD">
        <w:rPr>
          <w:rFonts w:cs="Times New Roman"/>
        </w:rPr>
        <w:t xml:space="preserve"> (2013, 2010</w:t>
      </w:r>
      <w:r w:rsidR="00793482">
        <w:rPr>
          <w:rFonts w:cs="Times New Roman"/>
        </w:rPr>
        <w:t>) reported that spleen tissue from</w:t>
      </w:r>
      <w:r w:rsidR="00281CF3">
        <w:rPr>
          <w:rFonts w:cs="Times New Roman"/>
        </w:rPr>
        <w:t xml:space="preserve"> </w:t>
      </w:r>
      <w:r w:rsidR="001B099D">
        <w:rPr>
          <w:rFonts w:cs="Times New Roman"/>
        </w:rPr>
        <w:t xml:space="preserve">the </w:t>
      </w:r>
      <w:r w:rsidR="00793482">
        <w:rPr>
          <w:rFonts w:cs="Times New Roman"/>
        </w:rPr>
        <w:t>MV preclinical vCJD blood recipient was transmissible in a study using transgenic and wild-type mice. The authors highlight that significant levels of infectious agent are present in the spleen before CNS involvement.</w:t>
      </w:r>
      <w:r w:rsidR="00800B58">
        <w:rPr>
          <w:rFonts w:cs="Times New Roman"/>
        </w:rPr>
        <w:fldChar w:fldCharType="begin">
          <w:fldData xml:space="preserve">PEVuZE5vdGU+PENpdGU+PEF1dGhvcj5CaXNob3A8L0F1dGhvcj48WWVhcj4yMDEwPC9ZZWFyPjxS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PEVuZE5vdGU+PENpdGU+PEF1dGhvcj5CaXNob3A8L0F1dGhvcj48WWVhcj4yMDEwPC9ZZWFyPjxS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800B58">
        <w:rPr>
          <w:rFonts w:cs="Times New Roman"/>
        </w:rPr>
      </w:r>
      <w:r w:rsidR="00800B58">
        <w:rPr>
          <w:rFonts w:cs="Times New Roman"/>
        </w:rPr>
        <w:fldChar w:fldCharType="separate"/>
      </w:r>
      <w:r w:rsidR="0076576E" w:rsidRPr="0076576E">
        <w:rPr>
          <w:rFonts w:cs="Times New Roman"/>
          <w:noProof/>
          <w:vertAlign w:val="superscript"/>
        </w:rPr>
        <w:t>145, 162</w:t>
      </w:r>
      <w:r w:rsidR="00800B58">
        <w:rPr>
          <w:rFonts w:cs="Times New Roman"/>
        </w:rPr>
        <w:fldChar w:fldCharType="end"/>
      </w:r>
      <w:r w:rsidR="00793482">
        <w:rPr>
          <w:rFonts w:cs="Times New Roman"/>
        </w:rPr>
        <w:t xml:space="preserve"> However, </w:t>
      </w:r>
      <w:r w:rsidR="006C6B34" w:rsidRPr="000C07FF">
        <w:rPr>
          <w:rFonts w:cs="Times New Roman"/>
        </w:rPr>
        <w:t xml:space="preserve">Wadsworth </w:t>
      </w:r>
      <w:r w:rsidR="00B301D6" w:rsidRPr="00B301D6">
        <w:rPr>
          <w:rFonts w:cs="Times New Roman"/>
          <w:i/>
        </w:rPr>
        <w:t>et al</w:t>
      </w:r>
      <w:r w:rsidR="006C6B34" w:rsidRPr="000C07FF">
        <w:rPr>
          <w:rFonts w:cs="Times New Roman"/>
        </w:rPr>
        <w:t xml:space="preserve"> (2011) found from an animal study of transgenic mice that whilst vCJD prion infection was readily reported following inoculation with frozen vCJD brain or appendix, and also formalin-fixed, paraffin-embedded (FFPE) brain, no infectivity was detected from FFPE vCJD spleen or FFPE appendix samples.</w:t>
      </w:r>
      <w:r w:rsidR="002F2DE1" w:rsidRPr="000C07FF">
        <w:rPr>
          <w:rFonts w:cs="Times New Roman"/>
        </w:rPr>
        <w:fldChar w:fldCharType="begin">
          <w:fldData xml:space="preserve">PEVuZE5vdGU+PENpdGU+PEF1dGhvcj5XYWRzd29ydGg8L0F1dGhvcj48WWVhcj4yMDExPC9ZZWFy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PEVuZE5vdGU+PENpdGU+PEF1dGhvcj5XYWRzd29ydGg8L0F1dGhvcj48WWVhcj4yMDExPC9ZZWFy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2F2DE1" w:rsidRPr="000C07FF">
        <w:rPr>
          <w:rFonts w:cs="Times New Roman"/>
        </w:rPr>
      </w:r>
      <w:r w:rsidR="002F2DE1" w:rsidRPr="000C07FF">
        <w:rPr>
          <w:rFonts w:cs="Times New Roman"/>
        </w:rPr>
        <w:fldChar w:fldCharType="separate"/>
      </w:r>
      <w:r w:rsidR="0076576E" w:rsidRPr="0076576E">
        <w:rPr>
          <w:rFonts w:cs="Times New Roman"/>
          <w:noProof/>
          <w:vertAlign w:val="superscript"/>
        </w:rPr>
        <w:t>163</w:t>
      </w:r>
      <w:r w:rsidR="002F2DE1" w:rsidRPr="000C07FF">
        <w:rPr>
          <w:rFonts w:cs="Times New Roman"/>
        </w:rPr>
        <w:fldChar w:fldCharType="end"/>
      </w:r>
      <w:r w:rsidR="006C6B34" w:rsidRPr="000C07FF">
        <w:rPr>
          <w:rFonts w:cs="Times New Roman"/>
        </w:rPr>
        <w:t xml:space="preserve"> The authors caution that the absence of detectable infectivity in fixed, known positive vCJD lymphoreticular tissue precludes interpreting negative transmissions </w:t>
      </w:r>
      <w:r w:rsidR="00317DA6">
        <w:rPr>
          <w:rFonts w:cs="Times New Roman"/>
        </w:rPr>
        <w:t>from</w:t>
      </w:r>
      <w:r w:rsidR="006C6B34" w:rsidRPr="000C07FF">
        <w:rPr>
          <w:rFonts w:cs="Times New Roman"/>
        </w:rPr>
        <w:t xml:space="preserve"> vCJD prevalence study</w:t>
      </w:r>
      <w:r w:rsidR="00317DA6">
        <w:rPr>
          <w:rFonts w:cs="Times New Roman"/>
        </w:rPr>
        <w:t xml:space="preserve"> using</w:t>
      </w:r>
      <w:r w:rsidR="006C6B34" w:rsidRPr="000C07FF">
        <w:rPr>
          <w:rFonts w:cs="Times New Roman"/>
        </w:rPr>
        <w:t xml:space="preserve"> appendix specimens.</w:t>
      </w:r>
      <w:r w:rsidR="00936566" w:rsidRPr="000C07FF">
        <w:rPr>
          <w:rFonts w:cs="Times New Roman"/>
        </w:rPr>
        <w:t xml:space="preserve"> </w:t>
      </w:r>
      <w:r w:rsidR="003C6F81">
        <w:rPr>
          <w:rFonts w:cs="Times New Roman"/>
        </w:rPr>
        <w:t xml:space="preserve">However, in contrast, Halliez </w:t>
      </w:r>
      <w:r w:rsidR="00B301D6" w:rsidRPr="00B301D6">
        <w:rPr>
          <w:rFonts w:cs="Times New Roman"/>
          <w:i/>
        </w:rPr>
        <w:t>et al</w:t>
      </w:r>
      <w:r w:rsidR="003C6F81">
        <w:rPr>
          <w:rFonts w:cs="Times New Roman"/>
        </w:rPr>
        <w:t xml:space="preserve"> (2014), </w:t>
      </w:r>
      <w:r w:rsidR="00793482">
        <w:rPr>
          <w:rFonts w:cs="Times New Roman"/>
        </w:rPr>
        <w:t>more recently</w:t>
      </w:r>
      <w:r w:rsidR="003C6F81">
        <w:rPr>
          <w:rFonts w:cs="Times New Roman"/>
        </w:rPr>
        <w:t xml:space="preserve"> found that lymphoid tissue exhibited higher capacity than the brain to replicate prions using novel detection methods.</w:t>
      </w:r>
      <w:r w:rsidR="00BB5588">
        <w:rPr>
          <w:rFonts w:cs="Times New Roman"/>
        </w:rPr>
        <w:fldChar w:fldCharType="begin">
          <w:fldData xml:space="preserve">PEVuZE5vdGU+PENpdGU+PEF1dGhvcj5IYWxsaWV6PC9BdXRob3I+PFllYXI+MjAxNDwvWWVhcj48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</w:fldData>
        </w:fldChar>
      </w:r>
      <w:r w:rsidR="0076576E">
        <w:rPr>
          <w:rFonts w:cs="Times New Roman"/>
        </w:rPr>
        <w:instrText xml:space="preserve"> ADDIN EN.CITE </w:instrText>
      </w:r>
      <w:r w:rsidR="0076576E">
        <w:rPr>
          <w:rFonts w:cs="Times New Roman"/>
        </w:rPr>
        <w:fldChar w:fldCharType="begin">
          <w:fldData xml:space="preserve">PEVuZE5vdGU+PENpdGU+PEF1dGhvcj5IYWxsaWV6PC9BdXRob3I+PFllYXI+MjAxNDwvWWVhcj48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BB5588">
        <w:rPr>
          <w:rFonts w:cs="Times New Roman"/>
        </w:rPr>
      </w:r>
      <w:r w:rsidR="00BB5588">
        <w:rPr>
          <w:rFonts w:cs="Times New Roman"/>
        </w:rPr>
        <w:fldChar w:fldCharType="separate"/>
      </w:r>
      <w:r w:rsidR="0076576E" w:rsidRPr="0076576E">
        <w:rPr>
          <w:rFonts w:cs="Times New Roman"/>
          <w:noProof/>
          <w:vertAlign w:val="superscript"/>
        </w:rPr>
        <w:t>143</w:t>
      </w:r>
      <w:r w:rsidR="00BB5588">
        <w:rPr>
          <w:rFonts w:cs="Times New Roman"/>
        </w:rPr>
        <w:fldChar w:fldCharType="end"/>
      </w:r>
    </w:p>
    <w:p w14:paraId="55636631" w14:textId="77777777" w:rsidR="002F634E" w:rsidRPr="000C07FF" w:rsidRDefault="002F634E" w:rsidP="004642FD">
      <w:pPr>
        <w:jc w:val="both"/>
        <w:rPr>
          <w:rFonts w:cs="Times New Roman"/>
        </w:rPr>
      </w:pPr>
    </w:p>
    <w:p w14:paraId="2DC5704B" w14:textId="238B7EB0" w:rsidR="00BC233B" w:rsidRPr="00F1300C" w:rsidRDefault="00170E8C" w:rsidP="00B42D01">
      <w:pPr>
        <w:pStyle w:val="Heading4"/>
        <w:rPr>
          <w:sz w:val="22"/>
        </w:rPr>
      </w:pPr>
      <w:r w:rsidRPr="00F1300C">
        <w:rPr>
          <w:sz w:val="22"/>
        </w:rPr>
        <w:t>Infectivity of genetic CJD</w:t>
      </w:r>
    </w:p>
    <w:p w14:paraId="6184419A" w14:textId="122C17E3" w:rsidR="00BC233B" w:rsidRPr="000C07FF" w:rsidRDefault="00C62C26" w:rsidP="004642FD">
      <w:pPr>
        <w:jc w:val="both"/>
        <w:rPr>
          <w:rFonts w:cs="Times New Roman"/>
        </w:rPr>
      </w:pPr>
      <w:r w:rsidRPr="000C07FF">
        <w:rPr>
          <w:rFonts w:cs="Times New Roman"/>
        </w:rPr>
        <w:t xml:space="preserve">The </w:t>
      </w:r>
      <w:r w:rsidR="00170E8C" w:rsidRPr="000C07FF">
        <w:rPr>
          <w:rFonts w:cs="Times New Roman"/>
        </w:rPr>
        <w:t>potential for horizontal transmission</w:t>
      </w:r>
      <w:r w:rsidRPr="000C07FF">
        <w:rPr>
          <w:rFonts w:cs="Times New Roman"/>
        </w:rPr>
        <w:t xml:space="preserve"> of</w:t>
      </w:r>
      <w:r w:rsidR="00170E8C" w:rsidRPr="000C07FF">
        <w:rPr>
          <w:rFonts w:cs="Times New Roman"/>
        </w:rPr>
        <w:t xml:space="preserve"> gCJD</w:t>
      </w:r>
      <w:r w:rsidRPr="000C07FF">
        <w:rPr>
          <w:rFonts w:cs="Times New Roman"/>
        </w:rPr>
        <w:t xml:space="preserve">, discussed previously, was raised due to </w:t>
      </w:r>
      <w:r w:rsidR="00250149" w:rsidRPr="000C07FF">
        <w:rPr>
          <w:rFonts w:cs="Times New Roman"/>
        </w:rPr>
        <w:t>unusually high</w:t>
      </w:r>
      <w:r w:rsidRPr="000C07FF">
        <w:rPr>
          <w:rFonts w:cs="Times New Roman"/>
        </w:rPr>
        <w:t xml:space="preserve"> prevalence of gCJD in Slovakia </w:t>
      </w:r>
      <w:r w:rsidR="00170E8C" w:rsidRPr="000C07FF">
        <w:rPr>
          <w:rFonts w:cs="Times New Roman"/>
        </w:rPr>
        <w:t xml:space="preserve">by Mitrova </w:t>
      </w:r>
      <w:r w:rsidR="00B301D6" w:rsidRPr="00B301D6">
        <w:rPr>
          <w:rFonts w:cs="Times New Roman"/>
          <w:i/>
        </w:rPr>
        <w:t>et al</w:t>
      </w:r>
      <w:r w:rsidR="00170E8C" w:rsidRPr="000C07FF">
        <w:rPr>
          <w:rFonts w:cs="Times New Roman"/>
        </w:rPr>
        <w:t xml:space="preserve"> (2014).</w:t>
      </w:r>
      <w:r w:rsidR="002F2DE1" w:rsidRPr="000C07FF">
        <w:rPr>
          <w:rFonts w:cs="Times New Roman"/>
        </w:rPr>
        <w:fldChar w:fldCharType="begin">
          <w:fldData xml:space="preserve">PEVuZE5vdGU+PENpdGU+PEF1dGhvcj5NaXRyb3ZhPC9BdXRob3I+PFllYXI+MjAxNDwvWWVhcj48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</w:fldData>
        </w:fldChar>
      </w:r>
      <w:r w:rsidR="0076576E">
        <w:rPr>
          <w:rFonts w:cs="Times New Roman"/>
        </w:rPr>
        <w:instrText xml:space="preserve"> ADDIN EN.CITE </w:instrText>
      </w:r>
      <w:r w:rsidR="0076576E">
        <w:rPr>
          <w:rFonts w:cs="Times New Roman"/>
        </w:rPr>
        <w:fldChar w:fldCharType="begin">
          <w:fldData xml:space="preserve">PEVuZE5vdGU+PENpdGU+PEF1dGhvcj5NaXRyb3ZhPC9BdXRob3I+PFllYXI+MjAxNDwvWWVhcj48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2F2DE1" w:rsidRPr="000C07FF">
        <w:rPr>
          <w:rFonts w:cs="Times New Roman"/>
        </w:rPr>
      </w:r>
      <w:r w:rsidR="002F2DE1" w:rsidRPr="000C07FF">
        <w:rPr>
          <w:rFonts w:cs="Times New Roman"/>
        </w:rPr>
        <w:fldChar w:fldCharType="separate"/>
      </w:r>
      <w:r w:rsidR="0076576E" w:rsidRPr="0076576E">
        <w:rPr>
          <w:rFonts w:cs="Times New Roman"/>
          <w:noProof/>
          <w:vertAlign w:val="superscript"/>
        </w:rPr>
        <w:t>43</w:t>
      </w:r>
      <w:r w:rsidR="002F2DE1" w:rsidRPr="000C07FF">
        <w:rPr>
          <w:rFonts w:cs="Times New Roman"/>
        </w:rPr>
        <w:fldChar w:fldCharType="end"/>
      </w:r>
      <w:r w:rsidR="00170E8C" w:rsidRPr="000C07FF">
        <w:rPr>
          <w:rFonts w:cs="Times New Roman"/>
        </w:rPr>
        <w:t xml:space="preserve"> </w:t>
      </w:r>
      <w:r w:rsidR="007860D7">
        <w:rPr>
          <w:rFonts w:cs="Times New Roman"/>
        </w:rPr>
        <w:t xml:space="preserve">Ritchie </w:t>
      </w:r>
      <w:r w:rsidR="00B301D6" w:rsidRPr="00B301D6">
        <w:rPr>
          <w:rFonts w:cs="Times New Roman"/>
          <w:i/>
        </w:rPr>
        <w:t>et al</w:t>
      </w:r>
      <w:r w:rsidR="007860D7">
        <w:rPr>
          <w:rFonts w:cs="Times New Roman"/>
        </w:rPr>
        <w:t xml:space="preserve"> (2016</w:t>
      </w:r>
      <w:r w:rsidR="00BC233B" w:rsidRPr="000C07FF">
        <w:rPr>
          <w:rFonts w:cs="Times New Roman"/>
        </w:rPr>
        <w:t xml:space="preserve">) report from an animal </w:t>
      </w:r>
      <w:r w:rsidR="00E550C5" w:rsidRPr="000C07FF">
        <w:rPr>
          <w:rFonts w:cs="Times New Roman"/>
        </w:rPr>
        <w:t>study</w:t>
      </w:r>
      <w:r w:rsidR="00BC233B" w:rsidRPr="000C07FF">
        <w:rPr>
          <w:rFonts w:cs="Times New Roman"/>
        </w:rPr>
        <w:t xml:space="preserve"> of squirrel monkeys </w:t>
      </w:r>
      <w:r w:rsidR="00A60B46" w:rsidRPr="000C07FF">
        <w:rPr>
          <w:rFonts w:cs="Times New Roman"/>
        </w:rPr>
        <w:t>that no clinical or pathologic signs of CJD were observed following blood transfusion</w:t>
      </w:r>
      <w:r w:rsidR="00317DA6">
        <w:rPr>
          <w:rFonts w:cs="Times New Roman"/>
        </w:rPr>
        <w:t>,</w:t>
      </w:r>
      <w:r w:rsidR="00A60B46" w:rsidRPr="000C07FF">
        <w:rPr>
          <w:rFonts w:cs="Times New Roman"/>
        </w:rPr>
        <w:t xml:space="preserve"> of</w:t>
      </w:r>
      <w:r w:rsidR="00E550C5" w:rsidRPr="000C07FF">
        <w:rPr>
          <w:rFonts w:cs="Times New Roman"/>
        </w:rPr>
        <w:t xml:space="preserve"> </w:t>
      </w:r>
      <w:r w:rsidR="00317DA6">
        <w:rPr>
          <w:rFonts w:cs="Times New Roman"/>
        </w:rPr>
        <w:t xml:space="preserve">either </w:t>
      </w:r>
      <w:r w:rsidR="00E550C5" w:rsidRPr="000C07FF">
        <w:rPr>
          <w:rFonts w:cs="Times New Roman"/>
        </w:rPr>
        <w:t>sCJD or vCJD</w:t>
      </w:r>
      <w:r w:rsidR="00317DA6">
        <w:rPr>
          <w:rFonts w:cs="Times New Roman"/>
        </w:rPr>
        <w:t>,</w:t>
      </w:r>
      <w:r w:rsidR="00E550C5" w:rsidRPr="000C07FF">
        <w:rPr>
          <w:rFonts w:cs="Times New Roman"/>
        </w:rPr>
        <w:t xml:space="preserve"> of the intracerebral inoculated</w:t>
      </w:r>
      <w:r w:rsidR="00A60B46" w:rsidRPr="000C07FF">
        <w:rPr>
          <w:rFonts w:cs="Times New Roman"/>
        </w:rPr>
        <w:t xml:space="preserve"> monkeys after </w:t>
      </w:r>
      <w:r w:rsidR="00E550C5" w:rsidRPr="000C07FF">
        <w:rPr>
          <w:rFonts w:cs="Times New Roman"/>
        </w:rPr>
        <w:t xml:space="preserve">euthanasia at </w:t>
      </w:r>
      <w:r w:rsidR="00A60B46" w:rsidRPr="000C07FF">
        <w:rPr>
          <w:rFonts w:cs="Times New Roman"/>
        </w:rPr>
        <w:t>7 years.</w:t>
      </w:r>
      <w:r w:rsidR="007860D7">
        <w:rPr>
          <w:rFonts w:cs="Times New Roman"/>
        </w:rPr>
        <w:fldChar w:fldCharType="begin">
          <w:fldData xml:space="preserve">PEVuZE5vdGU+PENpdGU+PEF1dGhvcj5SaXRjaGllPC9BdXRob3I+PFllYXI+MjAxNjwvWWVhcj48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</w:fldData>
        </w:fldChar>
      </w:r>
      <w:r w:rsidR="0076576E">
        <w:rPr>
          <w:rFonts w:cs="Times New Roman"/>
        </w:rPr>
        <w:instrText xml:space="preserve"> ADDIN EN.CITE </w:instrText>
      </w:r>
      <w:r w:rsidR="0076576E">
        <w:rPr>
          <w:rFonts w:cs="Times New Roman"/>
        </w:rPr>
        <w:fldChar w:fldCharType="begin">
          <w:fldData xml:space="preserve">PEVuZE5vdGU+PENpdGU+PEF1dGhvcj5SaXRjaGllPC9BdXRob3I+PFllYXI+MjAxNjwvWWVhcj48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7860D7">
        <w:rPr>
          <w:rFonts w:cs="Times New Roman"/>
        </w:rPr>
      </w:r>
      <w:r w:rsidR="007860D7">
        <w:rPr>
          <w:rFonts w:cs="Times New Roman"/>
        </w:rPr>
        <w:fldChar w:fldCharType="separate"/>
      </w:r>
      <w:r w:rsidR="0076576E" w:rsidRPr="0076576E">
        <w:rPr>
          <w:rFonts w:cs="Times New Roman"/>
          <w:noProof/>
          <w:vertAlign w:val="superscript"/>
        </w:rPr>
        <w:t>164</w:t>
      </w:r>
      <w:r w:rsidR="007860D7">
        <w:rPr>
          <w:rFonts w:cs="Times New Roman"/>
        </w:rPr>
        <w:fldChar w:fldCharType="end"/>
      </w:r>
      <w:r w:rsidR="00A60B46" w:rsidRPr="000C07FF">
        <w:rPr>
          <w:rFonts w:cs="Times New Roman"/>
        </w:rPr>
        <w:t xml:space="preserve"> However, there was evidence that</w:t>
      </w:r>
      <w:r w:rsidR="000F443E">
        <w:rPr>
          <w:rFonts w:cs="Times New Roman"/>
        </w:rPr>
        <w:t xml:space="preserve"> GSS</w:t>
      </w:r>
      <w:r w:rsidRPr="000C07FF">
        <w:rPr>
          <w:rFonts w:cs="Times New Roman"/>
        </w:rPr>
        <w:t>, a form of g</w:t>
      </w:r>
      <w:r w:rsidR="00E550C5" w:rsidRPr="000C07FF">
        <w:rPr>
          <w:rFonts w:cs="Times New Roman"/>
        </w:rPr>
        <w:t>CJD,</w:t>
      </w:r>
      <w:r w:rsidR="00A60B46" w:rsidRPr="000C07FF">
        <w:rPr>
          <w:rFonts w:cs="Times New Roman"/>
        </w:rPr>
        <w:t xml:space="preserve"> transmitted autopsy-proven disease to two intracerebral-inoculated monkeys after incubation periods of 34 and 39 months.</w:t>
      </w:r>
      <w:r w:rsidR="00E550C5" w:rsidRPr="000C07FF">
        <w:rPr>
          <w:rFonts w:cs="Times New Roman"/>
        </w:rPr>
        <w:t xml:space="preserve"> Brown </w:t>
      </w:r>
      <w:r w:rsidR="00B301D6" w:rsidRPr="00B301D6">
        <w:rPr>
          <w:rFonts w:cs="Times New Roman"/>
          <w:i/>
        </w:rPr>
        <w:t>et al</w:t>
      </w:r>
      <w:r w:rsidR="00E550C5" w:rsidRPr="000C07FF">
        <w:rPr>
          <w:rFonts w:cs="Times New Roman"/>
        </w:rPr>
        <w:t xml:space="preserve"> (2015) conclude that these </w:t>
      </w:r>
      <w:r w:rsidR="00170E8C" w:rsidRPr="000C07FF">
        <w:rPr>
          <w:rFonts w:cs="Times New Roman"/>
        </w:rPr>
        <w:t>results</w:t>
      </w:r>
      <w:r w:rsidR="00250149" w:rsidRPr="000C07FF">
        <w:rPr>
          <w:rFonts w:cs="Times New Roman"/>
        </w:rPr>
        <w:t xml:space="preserve"> and other studies from</w:t>
      </w:r>
      <w:r w:rsidR="00E550C5" w:rsidRPr="000C07FF">
        <w:rPr>
          <w:rFonts w:cs="Times New Roman"/>
        </w:rPr>
        <w:t xml:space="preserve"> rodents and non-human primates suggest that blood donations of GSS (and perhaps other familial fo</w:t>
      </w:r>
      <w:r w:rsidR="00250149" w:rsidRPr="000C07FF">
        <w:rPr>
          <w:rFonts w:cs="Times New Roman"/>
        </w:rPr>
        <w:t>rms of TSE) carry more risk than those</w:t>
      </w:r>
      <w:r w:rsidR="00E550C5" w:rsidRPr="000C07FF">
        <w:rPr>
          <w:rFonts w:cs="Times New Roman"/>
        </w:rPr>
        <w:t xml:space="preserve"> from vCJD.</w:t>
      </w:r>
      <w:r w:rsidR="00D63CDB">
        <w:rPr>
          <w:rFonts w:cs="Times New Roman"/>
        </w:rPr>
        <w:fldChar w:fldCharType="begin"/>
      </w:r>
      <w:r w:rsidR="0076576E">
        <w:rPr>
          <w:rFonts w:cs="Times New Roman"/>
        </w:rPr>
        <w:instrText xml:space="preserve"> ADDIN EN.CITE &lt;EndNote&gt;&lt;Cite&gt;&lt;Author&gt;Brown&lt;/Author&gt;&lt;Year&gt;2015&lt;/Year&gt;&lt;RecNum&gt;10260&lt;/RecNum&gt;&lt;DisplayText&gt;&lt;style face="superscript"&gt;165&lt;/style&gt;&lt;/DisplayText&gt;&lt;record&gt;&lt;rec-number&gt;10260&lt;/rec-number&gt;&lt;foreign-keys&gt;&lt;key app="EN" db-id="vrp0pptazv05wtesfz5vrzsj2p0rv09ttsa9" timestamp="1520851589" guid="72cb6272-5040-46d3-b04a-ab02a6dfa006"&gt;10260&lt;/key&gt;&lt;/foreign-keys&gt;&lt;ref-type name="Conference Proceedings"&gt;10&lt;/ref-type&gt;&lt;contributors&gt;&lt;authors&gt;&lt;author&gt;Brown, Paul&lt;/author&gt;&lt;author&gt;Ritchie, Diane&lt;/author&gt;&lt;author&gt;Ironside, James&lt;/author&gt;&lt;author&gt;Abee, Christian&lt;/author&gt;&lt;author&gt;Kreil, Thomas&lt;/author&gt;&lt;author&gt;Gibson, Susan&lt;/author&gt;&lt;/authors&gt;&lt;/contributors&gt;&lt;titles&gt;&lt;title&gt;Blood transmission of prion infectivity in the squirrel monkey: The Baxter study&lt;/title&gt;&lt;secondary-title&gt;PRION&lt;/secondary-title&gt;&lt;/titles&gt;&lt;periodical&gt;&lt;full-title&gt;Prion&lt;/full-title&gt;&lt;/periodical&gt;&lt;pages&gt;S98-S98&lt;/pages&gt;&lt;volume&gt;9&lt;/volume&gt;&lt;keywords&gt;&lt;keyword&gt;$$LU_4_CJD infectivity&lt;/keyword&gt;&lt;keyword&gt;$$Lesley google&lt;/keyword&gt;&lt;keyword&gt;$$CJD relevant&lt;/keyword&gt;&lt;/keywords&gt;&lt;dates&gt;&lt;year&gt;2015&lt;/year&gt;&lt;/dates&gt;&lt;publisher&gt;TAYLOR &amp;amp; FRANCIS INC 530 WALNUT STREET, STE 850, PHILADELPHIA, PA 19106 USA&lt;/publisher&gt;&lt;isbn&gt;1933-6896&lt;/isbn&gt;&lt;urls&gt;&lt;/urls&gt;&lt;/record&gt;&lt;/Cite&gt;&lt;/EndNote&gt;</w:instrText>
      </w:r>
      <w:r w:rsidR="00D63CDB">
        <w:rPr>
          <w:rFonts w:cs="Times New Roman"/>
        </w:rPr>
        <w:fldChar w:fldCharType="separate"/>
      </w:r>
      <w:r w:rsidR="0076576E" w:rsidRPr="0076576E">
        <w:rPr>
          <w:rFonts w:cs="Times New Roman"/>
          <w:noProof/>
          <w:vertAlign w:val="superscript"/>
        </w:rPr>
        <w:t>165</w:t>
      </w:r>
      <w:r w:rsidR="00D63CDB">
        <w:rPr>
          <w:rFonts w:cs="Times New Roman"/>
        </w:rPr>
        <w:fldChar w:fldCharType="end"/>
      </w:r>
      <w:r w:rsidR="00D63CDB">
        <w:rPr>
          <w:rFonts w:cs="Times New Roman"/>
        </w:rPr>
        <w:t xml:space="preserve"> </w:t>
      </w:r>
      <w:r w:rsidR="004B3740">
        <w:rPr>
          <w:rFonts w:cs="Times New Roman"/>
        </w:rPr>
        <w:t>T</w:t>
      </w:r>
      <w:r w:rsidR="006C300B" w:rsidRPr="000C07FF">
        <w:rPr>
          <w:rFonts w:cs="Times New Roman"/>
        </w:rPr>
        <w:t xml:space="preserve">he infectiousness </w:t>
      </w:r>
      <w:r w:rsidR="00250149" w:rsidRPr="000C07FF">
        <w:rPr>
          <w:rFonts w:cs="Times New Roman"/>
        </w:rPr>
        <w:t xml:space="preserve">of CJD </w:t>
      </w:r>
      <w:r w:rsidR="006C300B" w:rsidRPr="000C07FF">
        <w:rPr>
          <w:rFonts w:cs="Times New Roman"/>
        </w:rPr>
        <w:t>via blood is not directly relevant to the current decision problem of CJD risk via surgery. However,</w:t>
      </w:r>
      <w:r w:rsidR="00250149" w:rsidRPr="000C07FF">
        <w:rPr>
          <w:rFonts w:cs="Times New Roman"/>
        </w:rPr>
        <w:t xml:space="preserve"> consideration of</w:t>
      </w:r>
      <w:r w:rsidRPr="000C07FF">
        <w:rPr>
          <w:rFonts w:cs="Times New Roman"/>
        </w:rPr>
        <w:t xml:space="preserve"> </w:t>
      </w:r>
      <w:r w:rsidR="00250149" w:rsidRPr="000C07FF">
        <w:rPr>
          <w:rFonts w:cs="Times New Roman"/>
        </w:rPr>
        <w:t xml:space="preserve">potential differences of </w:t>
      </w:r>
      <w:r w:rsidRPr="000C07FF">
        <w:rPr>
          <w:rFonts w:cs="Times New Roman"/>
        </w:rPr>
        <w:t xml:space="preserve">infectiousness of </w:t>
      </w:r>
      <w:r w:rsidR="00250149" w:rsidRPr="000C07FF">
        <w:rPr>
          <w:rFonts w:cs="Times New Roman"/>
        </w:rPr>
        <w:t xml:space="preserve">the </w:t>
      </w:r>
      <w:r w:rsidRPr="000C07FF">
        <w:rPr>
          <w:rFonts w:cs="Times New Roman"/>
        </w:rPr>
        <w:t>CJD types may be relevant when considering the risk</w:t>
      </w:r>
      <w:r w:rsidR="00250149" w:rsidRPr="000C07FF">
        <w:rPr>
          <w:rFonts w:cs="Times New Roman"/>
        </w:rPr>
        <w:t>s</w:t>
      </w:r>
      <w:r w:rsidRPr="000C07FF">
        <w:rPr>
          <w:rFonts w:cs="Times New Roman"/>
        </w:rPr>
        <w:t xml:space="preserve"> of horizontal transmission</w:t>
      </w:r>
      <w:r w:rsidR="00250149" w:rsidRPr="000C07FF">
        <w:rPr>
          <w:rFonts w:cs="Times New Roman"/>
        </w:rPr>
        <w:t xml:space="preserve"> in the future and in particular localities</w:t>
      </w:r>
      <w:r w:rsidRPr="000C07FF">
        <w:rPr>
          <w:rFonts w:cs="Times New Roman"/>
        </w:rPr>
        <w:t>.</w:t>
      </w:r>
    </w:p>
    <w:p w14:paraId="2CD4E8C7" w14:textId="26ACA285" w:rsidR="00E550C5" w:rsidRPr="000C07FF" w:rsidRDefault="00E550C5" w:rsidP="004642FD">
      <w:pPr>
        <w:jc w:val="both"/>
        <w:rPr>
          <w:rFonts w:cs="Times New Roman"/>
        </w:rPr>
      </w:pPr>
    </w:p>
    <w:p w14:paraId="7C70644E" w14:textId="0D4F5EEA" w:rsidR="001332EC" w:rsidRPr="00F1300C" w:rsidRDefault="006D0FF1" w:rsidP="00B42D01">
      <w:pPr>
        <w:pStyle w:val="Heading4"/>
        <w:rPr>
          <w:sz w:val="22"/>
        </w:rPr>
      </w:pPr>
      <w:r w:rsidRPr="00F1300C">
        <w:rPr>
          <w:sz w:val="22"/>
        </w:rPr>
        <w:t xml:space="preserve">MV genotype as protective: </w:t>
      </w:r>
      <w:r w:rsidR="001332EC" w:rsidRPr="00F1300C">
        <w:rPr>
          <w:sz w:val="22"/>
        </w:rPr>
        <w:t>PrP</w:t>
      </w:r>
      <w:r w:rsidR="001332EC" w:rsidRPr="00F1300C">
        <w:rPr>
          <w:sz w:val="22"/>
          <w:vertAlign w:val="superscript"/>
        </w:rPr>
        <w:t>Sc</w:t>
      </w:r>
      <w:r w:rsidR="001332EC" w:rsidRPr="00F1300C">
        <w:rPr>
          <w:sz w:val="22"/>
        </w:rPr>
        <w:t xml:space="preserve"> Allotype</w:t>
      </w:r>
    </w:p>
    <w:p w14:paraId="7EC50F66" w14:textId="3F69F550" w:rsidR="001332EC" w:rsidRPr="000C07FF" w:rsidRDefault="00B64F8B" w:rsidP="004642FD">
      <w:pPr>
        <w:autoSpaceDE w:val="0"/>
        <w:autoSpaceDN w:val="0"/>
        <w:adjustRightInd w:val="0"/>
        <w:jc w:val="both"/>
        <w:rPr>
          <w:rFonts w:eastAsia="Calibri" w:cs="Times New Roman"/>
        </w:rPr>
      </w:pPr>
      <w:r w:rsidRPr="000C07FF">
        <w:rPr>
          <w:rFonts w:cs="Times New Roman"/>
        </w:rPr>
        <w:t xml:space="preserve">Allotype refers to an inherited set of determinants or sequence of amino acids and other proteins demonstrating heterogeneity, which is specific for an individual </w:t>
      </w:r>
      <w:r w:rsidR="00904ED6" w:rsidRPr="000C07FF">
        <w:rPr>
          <w:rFonts w:cs="Times New Roman"/>
        </w:rPr>
        <w:t>but</w:t>
      </w:r>
      <w:r w:rsidRPr="000C07FF">
        <w:rPr>
          <w:rFonts w:cs="Times New Roman"/>
        </w:rPr>
        <w:t xml:space="preserve"> more common in a racial group. </w:t>
      </w:r>
      <w:r w:rsidR="001332EC" w:rsidRPr="000C07FF">
        <w:rPr>
          <w:rFonts w:cs="Times New Roman"/>
        </w:rPr>
        <w:t xml:space="preserve">The relative contribution of each prion protein allotype to the infectious disease associated with the abnormal isoform of prion protein (PrPSc) is unknown. Moore </w:t>
      </w:r>
      <w:r w:rsidR="00B301D6" w:rsidRPr="00B301D6">
        <w:rPr>
          <w:rFonts w:cs="Times New Roman"/>
          <w:i/>
        </w:rPr>
        <w:t>et al</w:t>
      </w:r>
      <w:r w:rsidR="001332EC" w:rsidRPr="000C07FF">
        <w:rPr>
          <w:rFonts w:cs="Times New Roman"/>
        </w:rPr>
        <w:t xml:space="preserve"> (2016)</w:t>
      </w:r>
      <w:r w:rsidR="001332EC" w:rsidRPr="000C07FF">
        <w:rPr>
          <w:rFonts w:cs="Times New Roman"/>
        </w:rPr>
        <w:fldChar w:fldCharType="begin">
          <w:fldData xml:space="preserve">PEVuZE5vdGU+PENpdGU+PEF1dGhvcj5Nb29yZTwvQXV0aG9yPjxZZWFyPjIwMTY8L1llYXI+PFJl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=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PEVuZE5vdGU+PENpdGU+PEF1dGhvcj5Nb29yZTwvQXV0aG9yPjxZZWFyPjIwMTY8L1llYXI+PFJl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=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332EC" w:rsidRPr="000C07FF">
        <w:rPr>
          <w:rFonts w:cs="Times New Roman"/>
        </w:rPr>
      </w:r>
      <w:r w:rsidR="001332EC" w:rsidRPr="000C07FF">
        <w:rPr>
          <w:rFonts w:cs="Times New Roman"/>
        </w:rPr>
        <w:fldChar w:fldCharType="separate"/>
      </w:r>
      <w:r w:rsidR="0076576E" w:rsidRPr="0076576E">
        <w:rPr>
          <w:rFonts w:cs="Times New Roman"/>
          <w:noProof/>
          <w:vertAlign w:val="superscript"/>
        </w:rPr>
        <w:t>166</w:t>
      </w:r>
      <w:r w:rsidR="001332EC" w:rsidRPr="000C07FF">
        <w:rPr>
          <w:rFonts w:cs="Times New Roman"/>
        </w:rPr>
        <w:fldChar w:fldCharType="end"/>
      </w:r>
      <w:r w:rsidR="001332EC" w:rsidRPr="000C07FF">
        <w:rPr>
          <w:rFonts w:cs="Times New Roman"/>
        </w:rPr>
        <w:t xml:space="preserve"> found from an analysis of four heterozygous cases of sCJD, that the PrP</w:t>
      </w:r>
      <w:r w:rsidR="001332EC" w:rsidRPr="000C07FF">
        <w:rPr>
          <w:rFonts w:cs="Times New Roman"/>
          <w:vertAlign w:val="superscript"/>
        </w:rPr>
        <w:t>Sc</w:t>
      </w:r>
      <w:r w:rsidR="001332EC" w:rsidRPr="000C07FF">
        <w:rPr>
          <w:rFonts w:cs="Times New Roman"/>
        </w:rPr>
        <w:t xml:space="preserve"> allotype ratio is highly variable, with PrP</w:t>
      </w:r>
      <w:r w:rsidR="001332EC" w:rsidRPr="000C07FF">
        <w:rPr>
          <w:rFonts w:cs="Times New Roman"/>
          <w:vertAlign w:val="superscript"/>
        </w:rPr>
        <w:t>Sc</w:t>
      </w:r>
      <w:r w:rsidR="001332EC" w:rsidRPr="000C07FF">
        <w:rPr>
          <w:rFonts w:cs="Times New Roman"/>
        </w:rPr>
        <w:t xml:space="preserve"> (-M129 and –V129) differing markedly between different regions within the same sCJD brain.</w:t>
      </w:r>
      <w:r w:rsidR="001332EC" w:rsidRPr="000C07FF">
        <w:rPr>
          <w:rFonts w:cs="Times New Roman"/>
        </w:rPr>
        <w:fldChar w:fldCharType="begin">
          <w:fldData xml:space="preserve">PEVuZE5vdGU+PENpdGU+PEF1dGhvcj5Nb29yZTwvQXV0aG9yPjxZZWFyPjIwMTY8L1llYXI+PFJl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=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PEVuZE5vdGU+PENpdGU+PEF1dGhvcj5Nb29yZTwvQXV0aG9yPjxZZWFyPjIwMTY8L1llYXI+PFJl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=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1332EC" w:rsidRPr="000C07FF">
        <w:rPr>
          <w:rFonts w:cs="Times New Roman"/>
        </w:rPr>
      </w:r>
      <w:r w:rsidR="001332EC" w:rsidRPr="000C07FF">
        <w:rPr>
          <w:rFonts w:cs="Times New Roman"/>
        </w:rPr>
        <w:fldChar w:fldCharType="separate"/>
      </w:r>
      <w:r w:rsidR="0076576E" w:rsidRPr="0076576E">
        <w:rPr>
          <w:rFonts w:cs="Times New Roman"/>
          <w:noProof/>
          <w:vertAlign w:val="superscript"/>
        </w:rPr>
        <w:t>166</w:t>
      </w:r>
      <w:r w:rsidR="001332EC" w:rsidRPr="000C07FF">
        <w:rPr>
          <w:rFonts w:cs="Times New Roman"/>
        </w:rPr>
        <w:fldChar w:fldCharType="end"/>
      </w:r>
      <w:r w:rsidR="001332EC" w:rsidRPr="000C07FF">
        <w:rPr>
          <w:rFonts w:cs="Times New Roman"/>
        </w:rPr>
        <w:t xml:space="preserve"> However, an analysis of six heterozygous cases of iCJD found the composition of PrP</w:t>
      </w:r>
      <w:r w:rsidR="001332EC" w:rsidRPr="000C07FF">
        <w:rPr>
          <w:rFonts w:cs="Times New Roman"/>
          <w:vertAlign w:val="superscript"/>
        </w:rPr>
        <w:t>Sc</w:t>
      </w:r>
      <w:r w:rsidR="001332EC" w:rsidRPr="000C07FF">
        <w:rPr>
          <w:rFonts w:cs="Times New Roman"/>
        </w:rPr>
        <w:t xml:space="preserve"> iCJD was more homogenous and tended to contain a higher proportion of PrP</w:t>
      </w:r>
      <w:r w:rsidR="001332EC" w:rsidRPr="000C07FF">
        <w:rPr>
          <w:rFonts w:cs="Times New Roman"/>
          <w:vertAlign w:val="superscript"/>
        </w:rPr>
        <w:t>Sc</w:t>
      </w:r>
      <w:r w:rsidR="001332EC" w:rsidRPr="000C07FF">
        <w:rPr>
          <w:rFonts w:cs="Times New Roman"/>
        </w:rPr>
        <w:t xml:space="preserve">-V129 when compared to heterozygous cases of sCJD. </w:t>
      </w:r>
      <w:r w:rsidR="001332EC" w:rsidRPr="000C07FF">
        <w:rPr>
          <w:rFonts w:eastAsia="Calibri" w:cs="Times New Roman"/>
        </w:rPr>
        <w:t>The presence of two different PrP allotypes in the same brain can often lead, in a dose-dependent manner, to inefficient PrP</w:t>
      </w:r>
      <w:r w:rsidR="001332EC" w:rsidRPr="004C49AD">
        <w:rPr>
          <w:rFonts w:eastAsia="Calibri" w:cs="Times New Roman"/>
          <w:vertAlign w:val="superscript"/>
        </w:rPr>
        <w:t>Sc</w:t>
      </w:r>
      <w:r w:rsidR="001332EC" w:rsidRPr="000C07FF">
        <w:rPr>
          <w:rFonts w:eastAsia="Calibri" w:cs="Times New Roman"/>
        </w:rPr>
        <w:t xml:space="preserve"> formation and increased disease incubation. However, the study authors report that in both types of CJD, the PrP</w:t>
      </w:r>
      <w:r w:rsidR="001332EC" w:rsidRPr="004C49AD">
        <w:rPr>
          <w:rFonts w:eastAsia="Calibri" w:cs="Times New Roman"/>
          <w:vertAlign w:val="superscript"/>
        </w:rPr>
        <w:t>Sc</w:t>
      </w:r>
      <w:r w:rsidR="001332EC" w:rsidRPr="000C07FF">
        <w:rPr>
          <w:rFonts w:eastAsia="Calibri" w:cs="Times New Roman"/>
        </w:rPr>
        <w:t xml:space="preserve"> allotype ratio had no correlation with CJD type, age at clinical onset</w:t>
      </w:r>
      <w:r w:rsidR="00AE1AD6">
        <w:rPr>
          <w:rFonts w:eastAsia="Calibri" w:cs="Times New Roman"/>
        </w:rPr>
        <w:t>, or disease duration. This evidence suggests therefore that</w:t>
      </w:r>
      <w:r w:rsidR="001332EC" w:rsidRPr="000C07FF">
        <w:rPr>
          <w:rFonts w:eastAsia="Calibri" w:cs="Times New Roman"/>
        </w:rPr>
        <w:t xml:space="preserve"> factors other than PrP</w:t>
      </w:r>
      <w:r w:rsidR="001332EC" w:rsidRPr="004C49AD">
        <w:rPr>
          <w:rFonts w:eastAsia="Calibri" w:cs="Times New Roman"/>
          <w:vertAlign w:val="superscript"/>
        </w:rPr>
        <w:t>Sc</w:t>
      </w:r>
      <w:r w:rsidR="001332EC" w:rsidRPr="000C07FF">
        <w:rPr>
          <w:rFonts w:eastAsia="Calibri" w:cs="Times New Roman"/>
        </w:rPr>
        <w:t xml:space="preserve"> allotype abundance must influence the clinical progression and phenotype of heterozygous cases of CJD.</w:t>
      </w:r>
    </w:p>
    <w:p w14:paraId="14EAF861" w14:textId="626310B7" w:rsidR="00C66445" w:rsidRPr="000C07FF" w:rsidRDefault="00C66445" w:rsidP="004642FD">
      <w:pPr>
        <w:rPr>
          <w:rFonts w:cs="Times New Roman"/>
        </w:rPr>
      </w:pPr>
    </w:p>
    <w:p w14:paraId="1AB1CE91" w14:textId="54BDEBCB" w:rsidR="00C66445" w:rsidRPr="00F84738" w:rsidRDefault="00F70CC2" w:rsidP="004642FD">
      <w:pPr>
        <w:pStyle w:val="Heading3"/>
        <w:rPr>
          <w:b w:val="0"/>
          <w:i/>
        </w:rPr>
      </w:pPr>
      <w:r w:rsidRPr="00F84738">
        <w:rPr>
          <w:b w:val="0"/>
          <w:i/>
        </w:rPr>
        <w:t xml:space="preserve">2.5.2 </w:t>
      </w:r>
      <w:r w:rsidRPr="00F84738">
        <w:rPr>
          <w:b w:val="0"/>
          <w:i/>
        </w:rPr>
        <w:tab/>
      </w:r>
      <w:r w:rsidR="002849E9">
        <w:rPr>
          <w:b w:val="0"/>
          <w:i/>
        </w:rPr>
        <w:t>Discussion/ s</w:t>
      </w:r>
      <w:r w:rsidR="002849E9" w:rsidRPr="00F84738">
        <w:rPr>
          <w:b w:val="0"/>
          <w:i/>
        </w:rPr>
        <w:t>ummary</w:t>
      </w:r>
      <w:r w:rsidR="00C66445" w:rsidRPr="00F84738">
        <w:rPr>
          <w:b w:val="0"/>
          <w:i/>
        </w:rPr>
        <w:t xml:space="preserve"> of infectivity of CJD</w:t>
      </w:r>
    </w:p>
    <w:p w14:paraId="3C83DBD7" w14:textId="77777777" w:rsidR="00BC0130" w:rsidRDefault="00A33CFB" w:rsidP="004642FD">
      <w:pPr>
        <w:jc w:val="both"/>
        <w:rPr>
          <w:rFonts w:eastAsia="Calibri" w:cs="Times New Roman"/>
        </w:rPr>
      </w:pPr>
      <w:r w:rsidRPr="000C07FF">
        <w:rPr>
          <w:rFonts w:eastAsia="Calibri" w:cs="Times New Roman"/>
        </w:rPr>
        <w:t>When opportunities for CJD transmission occur, a</w:t>
      </w:r>
      <w:r w:rsidR="00C66445" w:rsidRPr="000C07FF">
        <w:rPr>
          <w:rFonts w:eastAsia="Calibri" w:cs="Times New Roman"/>
        </w:rPr>
        <w:t xml:space="preserve"> </w:t>
      </w:r>
      <w:r w:rsidR="00DF087B" w:rsidRPr="000C07FF">
        <w:rPr>
          <w:rFonts w:eastAsia="Calibri" w:cs="Times New Roman"/>
        </w:rPr>
        <w:t>range</w:t>
      </w:r>
      <w:r w:rsidR="00C66445" w:rsidRPr="000C07FF">
        <w:rPr>
          <w:rFonts w:eastAsia="Calibri" w:cs="Times New Roman"/>
        </w:rPr>
        <w:t xml:space="preserve"> of factors are likely to influence how the disease will manifest itself in terms of clinical phenotype, neuropathological </w:t>
      </w:r>
      <w:r w:rsidR="006D0FF1" w:rsidRPr="000C07FF">
        <w:rPr>
          <w:rFonts w:eastAsia="Calibri" w:cs="Times New Roman"/>
        </w:rPr>
        <w:t>pattern, incubation</w:t>
      </w:r>
      <w:r w:rsidR="00C66445" w:rsidRPr="000C07FF">
        <w:rPr>
          <w:rFonts w:eastAsia="Calibri" w:cs="Times New Roman"/>
        </w:rPr>
        <w:t xml:space="preserve"> period</w:t>
      </w:r>
      <w:r w:rsidR="00C10FA5">
        <w:rPr>
          <w:rFonts w:eastAsia="Calibri" w:cs="Times New Roman"/>
        </w:rPr>
        <w:t xml:space="preserve">, </w:t>
      </w:r>
      <w:r w:rsidR="006D0FF1" w:rsidRPr="000C07FF">
        <w:rPr>
          <w:rFonts w:eastAsia="Calibri" w:cs="Times New Roman"/>
        </w:rPr>
        <w:t>and disease duration</w:t>
      </w:r>
      <w:r w:rsidR="00C66445" w:rsidRPr="000C07FF">
        <w:rPr>
          <w:rFonts w:eastAsia="Calibri" w:cs="Times New Roman"/>
        </w:rPr>
        <w:t xml:space="preserve">. These factors include an interaction between genotype at PRNP codon 129, the infecting prion strain, the route of transmission and the location of PRNP conversion. </w:t>
      </w:r>
      <w:r w:rsidR="00DF087B" w:rsidRPr="000C07FF">
        <w:rPr>
          <w:rFonts w:eastAsia="Calibri" w:cs="Times New Roman"/>
        </w:rPr>
        <w:t xml:space="preserve">Moreover, the method of detection and analysis of CJD is crucial to obtaining detailed and accurate neuropathological confirmation of CJD type </w:t>
      </w:r>
      <w:r w:rsidR="006D0FF1" w:rsidRPr="000C07FF">
        <w:rPr>
          <w:rFonts w:eastAsia="Calibri" w:cs="Times New Roman"/>
        </w:rPr>
        <w:t xml:space="preserve">in order to </w:t>
      </w:r>
      <w:r w:rsidR="00DF087B" w:rsidRPr="000C07FF">
        <w:rPr>
          <w:rFonts w:eastAsia="Calibri" w:cs="Times New Roman"/>
        </w:rPr>
        <w:t>posit the most plausible explanations for acquisition</w:t>
      </w:r>
      <w:r w:rsidRPr="000C07FF">
        <w:rPr>
          <w:rFonts w:eastAsia="Calibri" w:cs="Times New Roman"/>
        </w:rPr>
        <w:t xml:space="preserve"> of iCJD.</w:t>
      </w:r>
      <w:r w:rsidR="00A57D9D">
        <w:rPr>
          <w:rFonts w:eastAsia="Calibri" w:cs="Times New Roman"/>
        </w:rPr>
        <w:t xml:space="preserve"> Whilst little </w:t>
      </w:r>
      <w:r w:rsidR="00A57D9D" w:rsidRPr="00A57D9D">
        <w:rPr>
          <w:rFonts w:eastAsia="Calibri" w:cs="Times New Roman"/>
        </w:rPr>
        <w:t xml:space="preserve">data regarding infectious dose </w:t>
      </w:r>
      <w:r w:rsidR="00A57D9D">
        <w:rPr>
          <w:rFonts w:eastAsia="Calibri" w:cs="Times New Roman"/>
        </w:rPr>
        <w:t>or infectious titre h</w:t>
      </w:r>
      <w:r w:rsidR="00272ED6">
        <w:rPr>
          <w:rFonts w:eastAsia="Calibri" w:cs="Times New Roman"/>
        </w:rPr>
        <w:t>ave</w:t>
      </w:r>
      <w:r w:rsidR="00A57D9D">
        <w:rPr>
          <w:rFonts w:eastAsia="Calibri" w:cs="Times New Roman"/>
        </w:rPr>
        <w:t xml:space="preserve"> been published in humans</w:t>
      </w:r>
      <w:r w:rsidR="00A57D9D" w:rsidRPr="00A57D9D">
        <w:rPr>
          <w:rFonts w:eastAsia="Calibri" w:cs="Times New Roman"/>
        </w:rPr>
        <w:t xml:space="preserve"> to supersede </w:t>
      </w:r>
      <w:r w:rsidR="00A57D9D">
        <w:rPr>
          <w:rFonts w:eastAsia="Calibri" w:cs="Times New Roman"/>
        </w:rPr>
        <w:t>the information used to populate the model built</w:t>
      </w:r>
      <w:r w:rsidR="00A57D9D" w:rsidRPr="00A57D9D">
        <w:rPr>
          <w:rFonts w:eastAsia="Calibri" w:cs="Times New Roman"/>
        </w:rPr>
        <w:t xml:space="preserve"> by ScHARR </w:t>
      </w:r>
      <w:r w:rsidR="00A57D9D">
        <w:rPr>
          <w:rFonts w:eastAsia="Calibri" w:cs="Times New Roman"/>
        </w:rPr>
        <w:t>in 2005</w:t>
      </w:r>
      <w:r w:rsidR="00A57D9D" w:rsidRPr="00A57D9D">
        <w:rPr>
          <w:rFonts w:eastAsia="Calibri" w:cs="Times New Roman"/>
        </w:rPr>
        <w:t xml:space="preserve"> some animal studies using advanced detection methods indicate that infectious doses greater than 10</w:t>
      </w:r>
      <w:r w:rsidR="00272ED6" w:rsidRPr="00272ED6">
        <w:rPr>
          <w:vertAlign w:val="superscript"/>
        </w:rPr>
        <w:t>8</w:t>
      </w:r>
      <w:r w:rsidR="00A57D9D" w:rsidRPr="00A57D9D">
        <w:rPr>
          <w:rFonts w:eastAsia="Calibri" w:cs="Times New Roman"/>
        </w:rPr>
        <w:t xml:space="preserve"> ID</w:t>
      </w:r>
      <w:r w:rsidR="00A57D9D" w:rsidRPr="00272ED6">
        <w:rPr>
          <w:rFonts w:eastAsia="Calibri" w:cs="Times New Roman"/>
          <w:vertAlign w:val="subscript"/>
        </w:rPr>
        <w:t>50</w:t>
      </w:r>
      <w:r w:rsidR="00272ED6" w:rsidRPr="00272ED6">
        <w:rPr>
          <w:rFonts w:eastAsia="Calibri" w:cs="Times New Roman"/>
          <w:vertAlign w:val="subscript"/>
        </w:rPr>
        <w:t>s</w:t>
      </w:r>
      <w:r w:rsidR="00A57D9D" w:rsidRPr="00A57D9D">
        <w:rPr>
          <w:rFonts w:eastAsia="Calibri" w:cs="Times New Roman"/>
        </w:rPr>
        <w:t xml:space="preserve"> are possible. </w:t>
      </w:r>
    </w:p>
    <w:p w14:paraId="614F798F" w14:textId="69A5D41B" w:rsidR="00DC46F9" w:rsidRPr="000C07FF" w:rsidRDefault="00DC46F9" w:rsidP="004642FD">
      <w:pPr>
        <w:jc w:val="both"/>
        <w:rPr>
          <w:rFonts w:eastAsia="Calibri" w:cs="Times New Roman"/>
        </w:rPr>
      </w:pPr>
    </w:p>
    <w:p w14:paraId="7F50C1C0" w14:textId="25A60906" w:rsidR="00767562" w:rsidRPr="009F5584" w:rsidRDefault="004642FD" w:rsidP="004642FD">
      <w:pPr>
        <w:pStyle w:val="Heading2"/>
        <w:ind w:left="720" w:hanging="720"/>
      </w:pPr>
      <w:bookmarkStart w:id="62" w:name="_Toc525106665"/>
      <w:r>
        <w:t>2.6</w:t>
      </w:r>
      <w:r w:rsidR="00767562" w:rsidRPr="009F5584">
        <w:tab/>
        <w:t xml:space="preserve">The evidence on the efficacy of </w:t>
      </w:r>
      <w:r w:rsidR="00500F8B" w:rsidRPr="00500F8B">
        <w:t>prion decontamination proc</w:t>
      </w:r>
      <w:r w:rsidR="00500F8B">
        <w:t>edures for surgical instruments</w:t>
      </w:r>
      <w:bookmarkEnd w:id="62"/>
    </w:p>
    <w:p w14:paraId="380256C1" w14:textId="203628B2" w:rsidR="00500F8B" w:rsidRPr="000C07FF" w:rsidRDefault="00500F8B" w:rsidP="004642FD">
      <w:pPr>
        <w:jc w:val="both"/>
        <w:rPr>
          <w:rFonts w:eastAsia="Calibri" w:cs="Times New Roman"/>
        </w:rPr>
      </w:pPr>
      <w:r w:rsidRPr="000C07FF">
        <w:rPr>
          <w:rFonts w:eastAsia="Calibri" w:cs="Times New Roman"/>
        </w:rPr>
        <w:t xml:space="preserve">The purpose of this review was to identify published and unpublished evidence for the efficacy of decontamination procedures in terms of reducing the infectivity of prions adhering to steel wires or other steel materials. The review focuses principally on log reductions in the infectious titre, i.e. the reduction in the load of infectivity on steel (wires) before and after the decontamination processes. Log reductions are a common measure of decontamination and </w:t>
      </w:r>
      <w:r w:rsidR="00F373F5">
        <w:rPr>
          <w:rFonts w:eastAsia="Calibri" w:cs="Times New Roman"/>
        </w:rPr>
        <w:t xml:space="preserve">the review </w:t>
      </w:r>
      <w:r w:rsidRPr="000C07FF">
        <w:rPr>
          <w:rFonts w:eastAsia="Calibri" w:cs="Times New Roman"/>
        </w:rPr>
        <w:t xml:space="preserve">could inform this parameter in the </w:t>
      </w:r>
      <w:r w:rsidR="00F1300C">
        <w:rPr>
          <w:rFonts w:eastAsia="Calibri" w:cs="Times New Roman"/>
        </w:rPr>
        <w:t>health economic</w:t>
      </w:r>
      <w:r w:rsidRPr="000C07FF">
        <w:rPr>
          <w:rFonts w:eastAsia="Calibri" w:cs="Times New Roman"/>
        </w:rPr>
        <w:t xml:space="preserve"> model. This systematic review includes studies that investigate autoclaving – the principal process currently employed in the NHS – as well as decontamination procedures that might be used in addition to autoclaving.</w:t>
      </w:r>
    </w:p>
    <w:p w14:paraId="4CC6FD95" w14:textId="77777777" w:rsidR="00500F8B" w:rsidRPr="000C07FF" w:rsidRDefault="00500F8B" w:rsidP="004642FD">
      <w:pPr>
        <w:jc w:val="both"/>
        <w:rPr>
          <w:rFonts w:eastAsia="Calibri" w:cs="Times New Roman"/>
        </w:rPr>
      </w:pPr>
    </w:p>
    <w:p w14:paraId="5A1D9CA0" w14:textId="2C55B7AF" w:rsidR="00500F8B" w:rsidRDefault="00500F8B" w:rsidP="004642FD">
      <w:pPr>
        <w:jc w:val="both"/>
        <w:rPr>
          <w:rFonts w:eastAsia="Calibri" w:cs="Times New Roman"/>
        </w:rPr>
      </w:pPr>
      <w:r w:rsidRPr="000C07FF">
        <w:rPr>
          <w:rFonts w:eastAsia="Calibri" w:cs="Times New Roman"/>
        </w:rPr>
        <w:t>According to a 2014 report by the House of Commons Science and Technology Committee, a potentially effective decontaminant (Rely+On), to be used prior to autoclaving, experienced barriers to its uptake in the NHS due to: 1) the perceived low risk of iCJD due to surgical transmission; and 2) resistance to the inclusion of an additional step in the decontamination process (House of Commons, 2014).</w:t>
      </w:r>
      <w:r w:rsidR="00DB67C1" w:rsidRPr="000C07FF">
        <w:rPr>
          <w:rFonts w:eastAsia="Calibri" w:cs="Times New Roman"/>
        </w:rPr>
        <w:fldChar w:fldCharType="begin"/>
      </w:r>
      <w:r w:rsidR="0076576E">
        <w:rPr>
          <w:rFonts w:eastAsia="Calibri" w:cs="Times New Roman"/>
        </w:rPr>
        <w:instrText xml:space="preserve"> ADDIN EN.CITE &lt;EndNote&gt;&lt;Cite&gt;&lt;Author&gt;House of Commons. Science and Technology Committee&lt;/Author&gt;&lt;Year&gt;2014&lt;/Year&gt;&lt;RecNum&gt;10274&lt;/RecNum&gt;&lt;DisplayText&gt;&lt;style face="superscript"&gt;167&lt;/style&gt;&lt;/DisplayText&gt;&lt;record&gt;&lt;rec-number&gt;10274&lt;/rec-number&gt;&lt;foreign-keys&gt;&lt;key app="EN" db-id="vrp0pptazv05wtesfz5vrzsj2p0rv09ttsa9" timestamp="1521469699" guid="b339a950-5d84-4725-a9ad-76a566fe91f3"&gt;10274&lt;/key&gt;&lt;/foreign-keys&gt;&lt;ref-type name="Web Page"&gt;12&lt;/ref-type&gt;&lt;contributors&gt;&lt;authors&gt;&lt;author&gt;House of Commons. Science and Technology Committee,&lt;/author&gt;&lt;/authors&gt;&lt;/contributors&gt;&lt;titles&gt;&lt;title&gt;After the storm? UK blood safety and the risk of variant Creutzfeldt-Jakob Disease. Second Report of Session&lt;/title&gt;&lt;/titles&gt;&lt;number&gt;15.03.2018&lt;/number&gt;&lt;keywords&gt;&lt;keyword&gt;$$5_instrument decontamination&lt;/keyword&gt;&lt;keyword&gt;$$Background&lt;/keyword&gt;&lt;/keywords&gt;&lt;dates&gt;&lt;year&gt;2014&lt;/year&gt;&lt;/dates&gt;&lt;urls&gt;&lt;related-urls&gt;&lt;url&gt;https://publications.parliament.uk/pa/cm201415/cmselect/cmsctech/327/32706.htm#a7&lt;/url&gt;&lt;/related-urls&gt;&lt;/urls&gt;&lt;/record&gt;&lt;/Cite&gt;&lt;/EndNote&gt;</w:instrText>
      </w:r>
      <w:r w:rsidR="00DB67C1" w:rsidRPr="000C07FF">
        <w:rPr>
          <w:rFonts w:eastAsia="Calibri" w:cs="Times New Roman"/>
        </w:rPr>
        <w:fldChar w:fldCharType="separate"/>
      </w:r>
      <w:r w:rsidR="0076576E" w:rsidRPr="0076576E">
        <w:rPr>
          <w:rFonts w:eastAsia="Calibri" w:cs="Times New Roman"/>
          <w:noProof/>
          <w:vertAlign w:val="superscript"/>
        </w:rPr>
        <w:t>167</w:t>
      </w:r>
      <w:r w:rsidR="00DB67C1" w:rsidRPr="000C07FF">
        <w:rPr>
          <w:rFonts w:eastAsia="Calibri" w:cs="Times New Roman"/>
        </w:rPr>
        <w:fldChar w:fldCharType="end"/>
      </w:r>
      <w:r w:rsidRPr="000C07FF">
        <w:rPr>
          <w:rFonts w:eastAsia="Calibri" w:cs="Times New Roman"/>
        </w:rPr>
        <w:t xml:space="preserve"> It should therefore be noted that, first, based on the number of known cases, the risk of iCJD due to surgical transmission has not increased markedly since 2013-14, which suggests evidence on new decontaminants might not be taken-up in practice. Second, any decontaminants identified by this systematic review as potentially being effective, but also representing an additional step, might experience the same barriers to uptake.</w:t>
      </w:r>
    </w:p>
    <w:p w14:paraId="7E8CFABC" w14:textId="2B25FF44" w:rsidR="00500F8B" w:rsidRPr="000C07FF" w:rsidRDefault="00500F8B" w:rsidP="004642FD">
      <w:pPr>
        <w:jc w:val="both"/>
        <w:rPr>
          <w:rFonts w:eastAsia="Calibri" w:cs="Times New Roman"/>
        </w:rPr>
      </w:pPr>
    </w:p>
    <w:p w14:paraId="08D867D8" w14:textId="11C69CDD" w:rsidR="00334E96" w:rsidRPr="00F84738" w:rsidRDefault="00F70CC2" w:rsidP="004642FD">
      <w:pPr>
        <w:pStyle w:val="Heading3"/>
        <w:rPr>
          <w:rFonts w:eastAsia="Calibri"/>
          <w:b w:val="0"/>
          <w:i/>
        </w:rPr>
      </w:pPr>
      <w:r w:rsidRPr="00F84738">
        <w:rPr>
          <w:rFonts w:eastAsia="Calibri"/>
          <w:b w:val="0"/>
          <w:i/>
        </w:rPr>
        <w:t>2.6.1</w:t>
      </w:r>
      <w:r w:rsidRPr="00F84738">
        <w:rPr>
          <w:rFonts w:eastAsia="Calibri"/>
          <w:b w:val="0"/>
          <w:i/>
        </w:rPr>
        <w:tab/>
      </w:r>
      <w:r w:rsidR="00334E96" w:rsidRPr="00F84738">
        <w:rPr>
          <w:rFonts w:eastAsia="Calibri"/>
          <w:b w:val="0"/>
          <w:i/>
        </w:rPr>
        <w:t>Decontamination studies</w:t>
      </w:r>
    </w:p>
    <w:p w14:paraId="0CB4281D" w14:textId="7EEA980F" w:rsidR="00500F8B" w:rsidRPr="00F1300C" w:rsidRDefault="00500F8B" w:rsidP="00334E96">
      <w:pPr>
        <w:pStyle w:val="Heading4"/>
        <w:rPr>
          <w:rFonts w:eastAsia="Calibri"/>
          <w:sz w:val="22"/>
        </w:rPr>
      </w:pPr>
      <w:r w:rsidRPr="00F1300C">
        <w:rPr>
          <w:rFonts w:eastAsia="Calibri"/>
          <w:sz w:val="22"/>
        </w:rPr>
        <w:t>Studies reporting log reductions of prion infectivity after autoclaving with / without other processes</w:t>
      </w:r>
    </w:p>
    <w:p w14:paraId="7673AB03" w14:textId="06642789" w:rsidR="00500F8B" w:rsidRPr="000C07FF" w:rsidRDefault="00500F8B" w:rsidP="004642FD">
      <w:pPr>
        <w:jc w:val="both"/>
        <w:rPr>
          <w:rFonts w:eastAsia="Calibri" w:cs="Times New Roman"/>
          <w:lang w:val="en"/>
        </w:rPr>
      </w:pPr>
      <w:r w:rsidRPr="000C07FF">
        <w:rPr>
          <w:rFonts w:eastAsia="Calibri" w:cs="Times New Roman"/>
          <w:lang w:val="en"/>
        </w:rPr>
        <w:t>Five studies reported this outcome after autoclaving with and without other decontamination processes (</w:t>
      </w:r>
      <w:r w:rsidR="00BD14CD" w:rsidRPr="000C07FF">
        <w:rPr>
          <w:rFonts w:eastAsia="Calibri" w:cs="Times New Roman"/>
          <w:lang w:val="en"/>
        </w:rPr>
        <w:t xml:space="preserve">see </w:t>
      </w:r>
      <w:r w:rsidR="00BD14CD" w:rsidRPr="000C07FF">
        <w:rPr>
          <w:rFonts w:eastAsia="Calibri" w:cs="Times New Roman"/>
          <w:highlight w:val="magenta"/>
          <w:lang w:val="en"/>
        </w:rPr>
        <w:fldChar w:fldCharType="begin"/>
      </w:r>
      <w:r w:rsidR="00BD14CD" w:rsidRPr="000C07FF">
        <w:rPr>
          <w:rFonts w:eastAsia="Calibri" w:cs="Times New Roman"/>
          <w:lang w:val="en"/>
        </w:rPr>
        <w:instrText xml:space="preserve"> REF _Ref508886347 \h </w:instrText>
      </w:r>
      <w:r w:rsidR="000C07FF">
        <w:rPr>
          <w:rFonts w:eastAsia="Calibri" w:cs="Times New Roman"/>
          <w:highlight w:val="magenta"/>
          <w:lang w:val="en"/>
        </w:rPr>
        <w:instrText xml:space="preserve"> \* MERGEFORMAT </w:instrText>
      </w:r>
      <w:r w:rsidR="00BD14CD" w:rsidRPr="000C07FF">
        <w:rPr>
          <w:rFonts w:eastAsia="Calibri" w:cs="Times New Roman"/>
          <w:highlight w:val="magenta"/>
          <w:lang w:val="en"/>
        </w:rPr>
      </w:r>
      <w:r w:rsidR="00BD14CD" w:rsidRPr="000C07FF">
        <w:rPr>
          <w:rFonts w:eastAsia="Calibri" w:cs="Times New Roman"/>
          <w:highlight w:val="magenta"/>
          <w:lang w:val="en"/>
        </w:rPr>
        <w:fldChar w:fldCharType="separate"/>
      </w:r>
      <w:r w:rsidR="00690541">
        <w:t xml:space="preserve">Table </w:t>
      </w:r>
      <w:r w:rsidR="00690541">
        <w:rPr>
          <w:noProof/>
        </w:rPr>
        <w:t>12</w:t>
      </w:r>
      <w:r w:rsidR="00BD14CD" w:rsidRPr="000C07FF">
        <w:rPr>
          <w:rFonts w:eastAsia="Calibri" w:cs="Times New Roman"/>
          <w:highlight w:val="magenta"/>
          <w:lang w:val="en"/>
        </w:rPr>
        <w:fldChar w:fldCharType="end"/>
      </w:r>
      <w:r w:rsidRPr="000C07FF">
        <w:rPr>
          <w:rFonts w:eastAsia="Calibri" w:cs="Times New Roman"/>
          <w:lang w:val="en"/>
        </w:rPr>
        <w:t>). In terms of prion strain, three studies used 10% brain homogenate of 263K hamster scrapie (Lehmann</w:t>
      </w:r>
      <w:r w:rsidR="00EE3281" w:rsidRPr="000C07FF">
        <w:rPr>
          <w:rFonts w:eastAsia="Calibri" w:cs="Times New Roman"/>
          <w:lang w:val="en"/>
        </w:rPr>
        <w:t xml:space="preserve"> </w:t>
      </w:r>
      <w:r w:rsidR="00B301D6" w:rsidRPr="00B301D6">
        <w:rPr>
          <w:rFonts w:eastAsia="Calibri" w:cs="Times New Roman"/>
          <w:i/>
          <w:lang w:val="en"/>
        </w:rPr>
        <w:t>et al</w:t>
      </w:r>
      <w:r w:rsidR="00EE3281" w:rsidRPr="000C07FF">
        <w:rPr>
          <w:rFonts w:eastAsia="Calibri" w:cs="Times New Roman"/>
          <w:lang w:val="en"/>
        </w:rPr>
        <w:t xml:space="preserve"> (2009)</w:t>
      </w:r>
      <w:r w:rsidR="006B0011">
        <w:rPr>
          <w:rFonts w:eastAsia="Calibri" w:cs="Times New Roman"/>
          <w:lang w:val="en"/>
        </w:rPr>
        <w:t>,</w:t>
      </w:r>
      <w:r w:rsidR="00DB67C1" w:rsidRPr="000C07FF">
        <w:rPr>
          <w:rFonts w:eastAsia="Calibri"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sidRPr="000C07FF">
        <w:rPr>
          <w:rFonts w:eastAsia="Calibri" w:cs="Times New Roman"/>
          <w:lang w:val="en"/>
        </w:rPr>
      </w:r>
      <w:r w:rsidR="00DB67C1" w:rsidRPr="000C07FF">
        <w:rPr>
          <w:rFonts w:eastAsia="Calibri" w:cs="Times New Roman"/>
          <w:lang w:val="en"/>
        </w:rPr>
        <w:fldChar w:fldCharType="separate"/>
      </w:r>
      <w:r w:rsidR="0076576E" w:rsidRPr="0076576E">
        <w:rPr>
          <w:rFonts w:eastAsia="Calibri" w:cs="Times New Roman"/>
          <w:noProof/>
          <w:vertAlign w:val="superscript"/>
          <w:lang w:val="en"/>
        </w:rPr>
        <w:t>168</w:t>
      </w:r>
      <w:r w:rsidR="00DB67C1" w:rsidRPr="000C07FF">
        <w:rPr>
          <w:rFonts w:eastAsia="Calibri" w:cs="Times New Roman"/>
          <w:lang w:val="en"/>
        </w:rPr>
        <w:fldChar w:fldCharType="end"/>
      </w:r>
      <w:r w:rsidRPr="000C07FF">
        <w:rPr>
          <w:rFonts w:eastAsia="Calibri" w:cs="Times New Roman"/>
          <w:lang w:val="en"/>
        </w:rPr>
        <w:t xml:space="preserve"> Lemmer</w:t>
      </w:r>
      <w:r w:rsidR="00E35FE6" w:rsidRPr="000C07FF">
        <w:rPr>
          <w:rFonts w:eastAsia="Calibri" w:cs="Times New Roman"/>
          <w:lang w:val="en"/>
        </w:rPr>
        <w:t xml:space="preserve"> </w:t>
      </w:r>
      <w:r w:rsidR="00B301D6" w:rsidRPr="00B301D6">
        <w:rPr>
          <w:rFonts w:eastAsia="Calibri" w:cs="Times New Roman"/>
          <w:i/>
          <w:lang w:val="en"/>
        </w:rPr>
        <w:t>et al</w:t>
      </w:r>
      <w:r w:rsidR="00E35FE6" w:rsidRPr="000C07FF">
        <w:rPr>
          <w:rFonts w:eastAsia="Calibri" w:cs="Times New Roman"/>
          <w:lang w:val="en"/>
        </w:rPr>
        <w:t xml:space="preserve"> (2008)</w:t>
      </w:r>
      <w:r w:rsidR="006B0011">
        <w:rPr>
          <w:rFonts w:eastAsia="Calibri" w:cs="Times New Roman"/>
          <w:lang w:val="en"/>
        </w:rPr>
        <w:t>,</w:t>
      </w:r>
      <w:r w:rsidR="00DB67C1" w:rsidRPr="000C07FF">
        <w:rPr>
          <w:rFonts w:eastAsia="Calibri" w:cs="Times New Roman"/>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sidRPr="000C07FF">
        <w:rPr>
          <w:rFonts w:eastAsia="Calibri" w:cs="Times New Roman"/>
          <w:lang w:val="en"/>
        </w:rPr>
      </w:r>
      <w:r w:rsidR="00DB67C1" w:rsidRPr="000C07FF">
        <w:rPr>
          <w:rFonts w:eastAsia="Calibri" w:cs="Times New Roman"/>
          <w:lang w:val="en"/>
        </w:rPr>
        <w:fldChar w:fldCharType="separate"/>
      </w:r>
      <w:r w:rsidR="0076576E" w:rsidRPr="0076576E">
        <w:rPr>
          <w:rFonts w:eastAsia="Calibri" w:cs="Times New Roman"/>
          <w:noProof/>
          <w:vertAlign w:val="superscript"/>
          <w:lang w:val="en"/>
        </w:rPr>
        <w:t>169</w:t>
      </w:r>
      <w:r w:rsidR="00DB67C1" w:rsidRPr="000C07FF">
        <w:rPr>
          <w:rFonts w:eastAsia="Calibri" w:cs="Times New Roman"/>
          <w:lang w:val="en"/>
        </w:rPr>
        <w:fldChar w:fldCharType="end"/>
      </w:r>
      <w:r w:rsidRPr="000C07FF">
        <w:rPr>
          <w:rFonts w:eastAsia="Calibri" w:cs="Times New Roman"/>
          <w:lang w:val="en"/>
        </w:rPr>
        <w:t xml:space="preserve"> </w:t>
      </w:r>
      <w:r w:rsidR="00F373F5" w:rsidRPr="00F373F5">
        <w:rPr>
          <w:rFonts w:eastAsia="Calibri" w:cs="Times New Roman"/>
          <w:lang w:val="en"/>
        </w:rPr>
        <w:t xml:space="preserve">Rogez-Kreuz </w:t>
      </w:r>
      <w:r w:rsidR="00B301D6" w:rsidRPr="00B301D6">
        <w:rPr>
          <w:rFonts w:eastAsia="Calibri" w:cs="Times New Roman"/>
          <w:i/>
          <w:lang w:val="en"/>
        </w:rPr>
        <w:t>et al</w:t>
      </w:r>
      <w:r w:rsidR="00F373F5" w:rsidRPr="00F373F5">
        <w:rPr>
          <w:rFonts w:eastAsia="Calibri" w:cs="Times New Roman"/>
          <w:lang w:val="en"/>
        </w:rPr>
        <w:t>, 2009</w:t>
      </w:r>
      <w:r w:rsidR="00F373F5" w:rsidRPr="00F373F5">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F373F5" w:rsidRPr="00F373F5">
        <w:rPr>
          <w:rFonts w:eastAsia="Calibri" w:cs="Times New Roman"/>
          <w:lang w:val="en"/>
        </w:rPr>
      </w:r>
      <w:r w:rsidR="00F373F5" w:rsidRPr="00F373F5">
        <w:rPr>
          <w:rFonts w:eastAsia="Calibri" w:cs="Times New Roman"/>
          <w:lang w:val="en"/>
        </w:rPr>
        <w:fldChar w:fldCharType="separate"/>
      </w:r>
      <w:r w:rsidR="0076576E" w:rsidRPr="0076576E">
        <w:rPr>
          <w:rFonts w:eastAsia="Calibri" w:cs="Times New Roman"/>
          <w:noProof/>
          <w:vertAlign w:val="superscript"/>
          <w:lang w:val="en"/>
        </w:rPr>
        <w:t>170</w:t>
      </w:r>
      <w:r w:rsidR="00F373F5" w:rsidRPr="00F373F5">
        <w:rPr>
          <w:rFonts w:eastAsia="Calibri" w:cs="Times New Roman"/>
          <w:lang w:val="en"/>
        </w:rPr>
        <w:fldChar w:fldCharType="end"/>
      </w:r>
      <w:r w:rsidRPr="000C07FF">
        <w:rPr>
          <w:rFonts w:eastAsia="Calibri" w:cs="Times New Roman"/>
          <w:lang w:val="en"/>
        </w:rPr>
        <w:t>); two used vCJD (</w:t>
      </w:r>
      <w:r w:rsidR="0031217E" w:rsidRPr="000C07FF">
        <w:rPr>
          <w:rFonts w:eastAsia="Calibri" w:cs="Times New Roman"/>
          <w:lang w:val="en"/>
        </w:rPr>
        <w:t xml:space="preserve">(Belondrade </w:t>
      </w:r>
      <w:r w:rsidR="00B301D6" w:rsidRPr="00B301D6">
        <w:rPr>
          <w:rFonts w:eastAsia="Calibri" w:cs="Times New Roman"/>
          <w:i/>
          <w:lang w:val="en"/>
        </w:rPr>
        <w:t>et al</w:t>
      </w:r>
      <w:r w:rsidR="0031217E" w:rsidRPr="000C07FF">
        <w:rPr>
          <w:rFonts w:eastAsia="Calibri" w:cs="Times New Roman"/>
          <w:lang w:val="en"/>
        </w:rPr>
        <w:t xml:space="preserve"> (2016)</w:t>
      </w:r>
      <w:r w:rsidR="006B0011">
        <w:rPr>
          <w:rFonts w:eastAsia="Calibri" w:cs="Times New Roman"/>
          <w:lang w:val="en"/>
        </w:rPr>
        <w:t>,</w:t>
      </w:r>
      <w:r w:rsidR="0031217E" w:rsidRPr="000C07FF">
        <w:rPr>
          <w:rFonts w:eastAsia="Calibri" w:cs="Times New Roman"/>
          <w:lang w:val="en"/>
        </w:rPr>
        <w:fldChar w:fldCharType="begin"/>
      </w:r>
      <w:r w:rsidR="0076576E">
        <w:rPr>
          <w:rFonts w:eastAsia="Calibri" w:cs="Times New Roman"/>
          <w:lang w:val="en"/>
        </w:rPr>
        <w:instrText xml:space="preserve"> ADDIN EN.CITE &lt;EndNote&gt;&lt;Cite&gt;&lt;Author&gt;Belondrade&lt;/Author&gt;&lt;Year&gt;2016&lt;/Year&gt;&lt;RecNum&gt;10275&lt;/RecNum&gt;&lt;DisplayText&gt;&lt;style face="superscript"&gt;171&lt;/style&gt;&lt;/DisplayText&gt;&lt;record&gt;&lt;rec-number&gt;10275&lt;/rec-number&gt;&lt;foreign-keys&gt;&lt;key app="EN" db-id="vrp0pptazv05wtesfz5vrzsj2p0rv09ttsa9" timestamp="1521469700" guid="ea0094e7-3c92-4fa9-809d-d65e2d41a3e6"&gt;10275&lt;/key&gt;&lt;/foreign-keys&gt;&lt;ref-type name="Journal Article"&gt;17&lt;/ref-type&gt;&lt;contributors&gt;&lt;authors&gt;&lt;author&gt;Belondrade, Maxime&lt;/author&gt;&lt;author&gt;Nicot, Simon&lt;/author&gt;&lt;author&gt;Béringue, Vincent&lt;/author&gt;&lt;author&gt;Coste, Joliette&lt;/author&gt;&lt;author&gt;Lehmann, Sylvain&lt;/author&gt;&lt;author&gt;Bougard, Daisy&lt;/author&gt;&lt;/authors&gt;&lt;/contributors&gt;&lt;titles&gt;&lt;title&gt;Rapid and highly sensitive detection of variant Creutzfeldt-Jakob disease abnormal prion protein on steel surfaces by protein misfolding cyclic amplification: application to prion decontamination Studies&lt;/title&gt;&lt;secondary-title&gt;PloS one&lt;/secondary-title&gt;&lt;/titles&gt;&lt;periodical&gt;&lt;full-title&gt;PLoS ONE [Electronic Resource]&lt;/full-title&gt;&lt;abbr-1&gt;PLoS ONE&lt;/abbr-1&gt;&lt;/periodical&gt;&lt;pages&gt;e0146833&lt;/pages&gt;&lt;volume&gt;11&lt;/volume&gt;&lt;number&gt;1&lt;/number&gt;&lt;keywords&gt;&lt;keyword&gt;$$CC_5_instrument decontamination&lt;/keyword&gt;&lt;keyword&gt;$$5_instrument decontamination&lt;/keyword&gt;&lt;keyword&gt;$$Lesley google&lt;/keyword&gt;&lt;/keywords&gt;&lt;dates&gt;&lt;year&gt;2016&lt;/year&gt;&lt;/dates&gt;&lt;isbn&gt;1932-6203&lt;/isbn&gt;&lt;urls&gt;&lt;/urls&gt;&lt;/record&gt;&lt;/Cite&gt;&lt;/EndNote&gt;</w:instrText>
      </w:r>
      <w:r w:rsidR="0031217E" w:rsidRPr="000C07FF">
        <w:rPr>
          <w:rFonts w:eastAsia="Calibri" w:cs="Times New Roman"/>
          <w:lang w:val="en"/>
        </w:rPr>
        <w:fldChar w:fldCharType="separate"/>
      </w:r>
      <w:r w:rsidR="0076576E" w:rsidRPr="0076576E">
        <w:rPr>
          <w:rFonts w:eastAsia="Calibri" w:cs="Times New Roman"/>
          <w:noProof/>
          <w:vertAlign w:val="superscript"/>
          <w:lang w:val="en"/>
        </w:rPr>
        <w:t>171</w:t>
      </w:r>
      <w:r w:rsidR="0031217E" w:rsidRPr="000C07FF">
        <w:rPr>
          <w:rFonts w:eastAsia="Calibri" w:cs="Times New Roman"/>
          <w:lang w:val="en"/>
        </w:rPr>
        <w:fldChar w:fldCharType="end"/>
      </w:r>
      <w:r w:rsidRPr="000C07FF">
        <w:rPr>
          <w:rFonts w:eastAsia="Calibri" w:cs="Times New Roman"/>
          <w:lang w:val="en"/>
        </w:rPr>
        <w:t xml:space="preserve"> </w:t>
      </w:r>
      <w:r w:rsidR="00F373F5" w:rsidRPr="00F373F5">
        <w:rPr>
          <w:rFonts w:eastAsia="Calibri" w:cs="Times New Roman"/>
          <w:lang w:val="en"/>
        </w:rPr>
        <w:t xml:space="preserve">Rogez-Kreuz </w:t>
      </w:r>
      <w:r w:rsidR="00B301D6" w:rsidRPr="00B301D6">
        <w:rPr>
          <w:rFonts w:eastAsia="Calibri" w:cs="Times New Roman"/>
          <w:i/>
          <w:lang w:val="en"/>
        </w:rPr>
        <w:t>et al</w:t>
      </w:r>
      <w:r w:rsidR="00F373F5" w:rsidRPr="00F373F5">
        <w:rPr>
          <w:rFonts w:eastAsia="Calibri" w:cs="Times New Roman"/>
          <w:lang w:val="en"/>
        </w:rPr>
        <w:t>, 2009</w:t>
      </w:r>
      <w:r w:rsidR="00F373F5" w:rsidRPr="00F373F5">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F373F5" w:rsidRPr="00F373F5">
        <w:rPr>
          <w:rFonts w:eastAsia="Calibri" w:cs="Times New Roman"/>
          <w:lang w:val="en"/>
        </w:rPr>
      </w:r>
      <w:r w:rsidR="00F373F5" w:rsidRPr="00F373F5">
        <w:rPr>
          <w:rFonts w:eastAsia="Calibri" w:cs="Times New Roman"/>
          <w:lang w:val="en"/>
        </w:rPr>
        <w:fldChar w:fldCharType="separate"/>
      </w:r>
      <w:r w:rsidR="0076576E" w:rsidRPr="0076576E">
        <w:rPr>
          <w:rFonts w:eastAsia="Calibri" w:cs="Times New Roman"/>
          <w:noProof/>
          <w:vertAlign w:val="superscript"/>
          <w:lang w:val="en"/>
        </w:rPr>
        <w:t>170</w:t>
      </w:r>
      <w:r w:rsidR="00F373F5" w:rsidRPr="00F373F5">
        <w:rPr>
          <w:rFonts w:eastAsia="Calibri" w:cs="Times New Roman"/>
          <w:lang w:val="en"/>
        </w:rPr>
        <w:fldChar w:fldCharType="end"/>
      </w:r>
      <w:r w:rsidRPr="000C07FF">
        <w:rPr>
          <w:rFonts w:eastAsia="Calibri" w:cs="Times New Roman"/>
          <w:lang w:val="en"/>
        </w:rPr>
        <w:t>); and the following prion strains were investigated in only a single study: 127S (Belondrade</w:t>
      </w:r>
      <w:r w:rsidR="000C3E82" w:rsidRPr="000C07FF">
        <w:rPr>
          <w:rFonts w:eastAsia="Calibri" w:cs="Times New Roman"/>
          <w:lang w:val="en"/>
        </w:rPr>
        <w:t xml:space="preserve"> </w:t>
      </w:r>
      <w:r w:rsidR="00B301D6" w:rsidRPr="00B301D6">
        <w:rPr>
          <w:rFonts w:eastAsia="Calibri" w:cs="Times New Roman"/>
          <w:i/>
          <w:lang w:val="en"/>
        </w:rPr>
        <w:t>et al</w:t>
      </w:r>
      <w:r w:rsidR="000C3E82" w:rsidRPr="000C07FF">
        <w:rPr>
          <w:rFonts w:eastAsia="Calibri" w:cs="Times New Roman"/>
          <w:lang w:val="en"/>
        </w:rPr>
        <w:t xml:space="preserve"> (2016)</w:t>
      </w:r>
      <w:r w:rsidR="00DB67C1" w:rsidRPr="000C07FF">
        <w:rPr>
          <w:rFonts w:eastAsia="Calibri" w:cs="Times New Roman"/>
          <w:lang w:val="en"/>
        </w:rPr>
        <w:fldChar w:fldCharType="begin"/>
      </w:r>
      <w:r w:rsidR="0076576E">
        <w:rPr>
          <w:rFonts w:eastAsia="Calibri" w:cs="Times New Roman"/>
          <w:lang w:val="en"/>
        </w:rPr>
        <w:instrText xml:space="preserve"> ADDIN EN.CITE &lt;EndNote&gt;&lt;Cite&gt;&lt;Author&gt;Belondrade&lt;/Author&gt;&lt;Year&gt;2016&lt;/Year&gt;&lt;RecNum&gt;10275&lt;/RecNum&gt;&lt;DisplayText&gt;&lt;style face="superscript"&gt;171&lt;/style&gt;&lt;/DisplayText&gt;&lt;record&gt;&lt;rec-number&gt;10275&lt;/rec-number&gt;&lt;foreign-keys&gt;&lt;key app="EN" db-id="vrp0pptazv05wtesfz5vrzsj2p0rv09ttsa9" timestamp="1521469700" guid="ea0094e7-3c92-4fa9-809d-d65e2d41a3e6"&gt;10275&lt;/key&gt;&lt;/foreign-keys&gt;&lt;ref-type name="Journal Article"&gt;17&lt;/ref-type&gt;&lt;contributors&gt;&lt;authors&gt;&lt;author&gt;Belondrade, Maxime&lt;/author&gt;&lt;author&gt;Nicot, Simon&lt;/author&gt;&lt;author&gt;Béringue, Vincent&lt;/author&gt;&lt;author&gt;Coste, Joliette&lt;/author&gt;&lt;author&gt;Lehmann, Sylvain&lt;/author&gt;&lt;author&gt;Bougard, Daisy&lt;/author&gt;&lt;/authors&gt;&lt;/contributors&gt;&lt;titles&gt;&lt;title&gt;Rapid and highly sensitive detection of variant Creutzfeldt-Jakob disease abnormal prion protein on steel surfaces by protein misfolding cyclic amplification: application to prion decontamination Studies&lt;/title&gt;&lt;secondary-title&gt;PloS one&lt;/secondary-title&gt;&lt;/titles&gt;&lt;periodical&gt;&lt;full-title&gt;PLoS ONE [Electronic Resource]&lt;/full-title&gt;&lt;abbr-1&gt;PLoS ONE&lt;/abbr-1&gt;&lt;/periodical&gt;&lt;pages&gt;e0146833&lt;/pages&gt;&lt;volume&gt;11&lt;/volume&gt;&lt;number&gt;1&lt;/number&gt;&lt;keywords&gt;&lt;keyword&gt;$$CC_5_instrument decontamination&lt;/keyword&gt;&lt;keyword&gt;$$5_instrument decontamination&lt;/keyword&gt;&lt;keyword&gt;$$Lesley google&lt;/keyword&gt;&lt;/keywords&gt;&lt;dates&gt;&lt;year&gt;2016&lt;/year&gt;&lt;/dates&gt;&lt;isbn&gt;1932-6203&lt;/isbn&gt;&lt;urls&gt;&lt;/urls&gt;&lt;/record&gt;&lt;/Cite&gt;&lt;/EndNote&gt;</w:instrText>
      </w:r>
      <w:r w:rsidR="00DB67C1" w:rsidRPr="000C07FF">
        <w:rPr>
          <w:rFonts w:eastAsia="Calibri" w:cs="Times New Roman"/>
          <w:lang w:val="en"/>
        </w:rPr>
        <w:fldChar w:fldCharType="separate"/>
      </w:r>
      <w:r w:rsidR="0076576E" w:rsidRPr="0076576E">
        <w:rPr>
          <w:rFonts w:eastAsia="Calibri" w:cs="Times New Roman"/>
          <w:noProof/>
          <w:vertAlign w:val="superscript"/>
          <w:lang w:val="en"/>
        </w:rPr>
        <w:t>171</w:t>
      </w:r>
      <w:r w:rsidR="00DB67C1" w:rsidRPr="000C07FF">
        <w:rPr>
          <w:rFonts w:eastAsia="Calibri" w:cs="Times New Roman"/>
          <w:lang w:val="en"/>
        </w:rPr>
        <w:fldChar w:fldCharType="end"/>
      </w:r>
      <w:r w:rsidRPr="000C07FF">
        <w:rPr>
          <w:rFonts w:eastAsia="Calibri" w:cs="Times New Roman"/>
          <w:lang w:val="en"/>
        </w:rPr>
        <w:t>), M1000 (Lawson</w:t>
      </w:r>
      <w:r w:rsidR="00DD053F" w:rsidRPr="000C07FF">
        <w:rPr>
          <w:rFonts w:eastAsia="Calibri" w:cs="Times New Roman"/>
          <w:lang w:val="en"/>
        </w:rPr>
        <w:t xml:space="preserve"> </w:t>
      </w:r>
      <w:r w:rsidR="00B301D6" w:rsidRPr="00B301D6">
        <w:rPr>
          <w:rFonts w:eastAsia="Calibri" w:cs="Times New Roman"/>
          <w:i/>
          <w:lang w:val="en"/>
        </w:rPr>
        <w:t>et al</w:t>
      </w:r>
      <w:r w:rsidR="00DD053F" w:rsidRPr="000C07FF">
        <w:rPr>
          <w:rFonts w:eastAsia="Calibri" w:cs="Times New Roman"/>
          <w:lang w:val="en"/>
        </w:rPr>
        <w:t xml:space="preserve"> 2007</w:t>
      </w:r>
      <w:r w:rsidR="00DB67C1" w:rsidRPr="000C07FF">
        <w:rPr>
          <w:rFonts w:eastAsia="Calibri" w:cs="Times New Roman"/>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sidRPr="000C07FF">
        <w:rPr>
          <w:rFonts w:eastAsia="Calibri" w:cs="Times New Roman"/>
          <w:lang w:val="en"/>
        </w:rPr>
      </w:r>
      <w:r w:rsidR="00DB67C1" w:rsidRPr="000C07FF">
        <w:rPr>
          <w:rFonts w:eastAsia="Calibri" w:cs="Times New Roman"/>
          <w:lang w:val="en"/>
        </w:rPr>
        <w:fldChar w:fldCharType="separate"/>
      </w:r>
      <w:r w:rsidR="0076576E" w:rsidRPr="0076576E">
        <w:rPr>
          <w:rFonts w:eastAsia="Calibri" w:cs="Times New Roman"/>
          <w:noProof/>
          <w:vertAlign w:val="superscript"/>
          <w:lang w:val="en"/>
        </w:rPr>
        <w:t>172</w:t>
      </w:r>
      <w:r w:rsidR="00DB67C1" w:rsidRPr="000C07FF">
        <w:rPr>
          <w:rFonts w:eastAsia="Calibri" w:cs="Times New Roman"/>
          <w:lang w:val="en"/>
        </w:rPr>
        <w:fldChar w:fldCharType="end"/>
      </w:r>
      <w:r w:rsidRPr="000C07FF">
        <w:rPr>
          <w:rFonts w:eastAsia="Calibri" w:cs="Times New Roman"/>
          <w:lang w:val="en"/>
        </w:rPr>
        <w:t>) and BSE 6PB1 (</w:t>
      </w:r>
      <w:r w:rsidR="00F373F5" w:rsidRPr="00FC66A1">
        <w:rPr>
          <w:rFonts w:eastAsia="Calibri" w:cs="Times New Roman"/>
          <w:lang w:val="en"/>
        </w:rPr>
        <w:t xml:space="preserve">Rogez-Kreuz </w:t>
      </w:r>
      <w:r w:rsidR="00B301D6" w:rsidRPr="00B301D6">
        <w:rPr>
          <w:rFonts w:eastAsia="Calibri" w:cs="Times New Roman"/>
          <w:i/>
          <w:lang w:val="en"/>
        </w:rPr>
        <w:t>et al</w:t>
      </w:r>
      <w:r w:rsidR="00F373F5" w:rsidRPr="00FC66A1">
        <w:rPr>
          <w:rFonts w:eastAsia="Calibri" w:cs="Times New Roman"/>
          <w:lang w:val="en"/>
        </w:rPr>
        <w:t>, 2009</w:t>
      </w:r>
      <w:r w:rsidR="00F373F5" w:rsidRPr="00F373F5">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F373F5" w:rsidRPr="00F373F5">
        <w:rPr>
          <w:rFonts w:eastAsia="Calibri" w:cs="Times New Roman"/>
          <w:lang w:val="en"/>
        </w:rPr>
      </w:r>
      <w:r w:rsidR="00F373F5" w:rsidRPr="00F373F5">
        <w:rPr>
          <w:rFonts w:eastAsia="Calibri" w:cs="Times New Roman"/>
          <w:lang w:val="en"/>
        </w:rPr>
        <w:fldChar w:fldCharType="separate"/>
      </w:r>
      <w:r w:rsidR="0076576E" w:rsidRPr="0076576E">
        <w:rPr>
          <w:rFonts w:eastAsia="Calibri" w:cs="Times New Roman"/>
          <w:noProof/>
          <w:vertAlign w:val="superscript"/>
          <w:lang w:val="en"/>
        </w:rPr>
        <w:t>170</w:t>
      </w:r>
      <w:r w:rsidR="00F373F5" w:rsidRPr="00F373F5">
        <w:rPr>
          <w:rFonts w:eastAsia="Calibri" w:cs="Times New Roman"/>
          <w:lang w:val="en"/>
        </w:rPr>
        <w:fldChar w:fldCharType="end"/>
      </w:r>
      <w:r w:rsidRPr="000C07FF">
        <w:rPr>
          <w:rFonts w:eastAsia="Calibri" w:cs="Times New Roman"/>
          <w:lang w:val="en"/>
        </w:rPr>
        <w:t>). All studies used steel wires contaminated with the prion (one study also used steel sheets: Rogez-Kreuz</w:t>
      </w:r>
      <w:r w:rsidR="00DD053F" w:rsidRPr="000C07FF">
        <w:rPr>
          <w:rFonts w:eastAsia="Calibri" w:cs="Times New Roman"/>
          <w:lang w:val="en"/>
        </w:rPr>
        <w:t xml:space="preserve"> </w:t>
      </w:r>
      <w:r w:rsidR="00B301D6" w:rsidRPr="00B301D6">
        <w:rPr>
          <w:rFonts w:eastAsia="Calibri" w:cs="Times New Roman"/>
          <w:i/>
          <w:lang w:val="en"/>
        </w:rPr>
        <w:t>et al</w:t>
      </w:r>
      <w:r w:rsidR="00DD053F" w:rsidRPr="000C07FF">
        <w:rPr>
          <w:rFonts w:eastAsia="Calibri" w:cs="Times New Roman"/>
          <w:lang w:val="en"/>
        </w:rPr>
        <w:t xml:space="preserve"> 2009</w:t>
      </w:r>
      <w:r w:rsidR="00DB67C1" w:rsidRPr="000C07FF">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sidRPr="000C07FF">
        <w:rPr>
          <w:rFonts w:eastAsia="Calibri" w:cs="Times New Roman"/>
          <w:lang w:val="en"/>
        </w:rPr>
      </w:r>
      <w:r w:rsidR="00DB67C1" w:rsidRPr="000C07FF">
        <w:rPr>
          <w:rFonts w:eastAsia="Calibri" w:cs="Times New Roman"/>
          <w:lang w:val="en"/>
        </w:rPr>
        <w:fldChar w:fldCharType="separate"/>
      </w:r>
      <w:r w:rsidR="0076576E" w:rsidRPr="0076576E">
        <w:rPr>
          <w:rFonts w:eastAsia="Calibri" w:cs="Times New Roman"/>
          <w:noProof/>
          <w:vertAlign w:val="superscript"/>
          <w:lang w:val="en"/>
        </w:rPr>
        <w:t>170</w:t>
      </w:r>
      <w:r w:rsidR="00DB67C1" w:rsidRPr="000C07FF">
        <w:rPr>
          <w:rFonts w:eastAsia="Calibri" w:cs="Times New Roman"/>
          <w:lang w:val="en"/>
        </w:rPr>
        <w:fldChar w:fldCharType="end"/>
      </w:r>
      <w:r w:rsidRPr="000C07FF">
        <w:rPr>
          <w:rFonts w:eastAsia="Calibri" w:cs="Times New Roman"/>
          <w:lang w:val="en"/>
        </w:rPr>
        <w:t>); and all studies investigated autoclaving at 121</w:t>
      </w:r>
      <w:r w:rsidRPr="000C07FF">
        <w:rPr>
          <w:rFonts w:eastAsia="Calibri" w:cs="Times New Roman"/>
          <w:vertAlign w:val="superscript"/>
        </w:rPr>
        <w:t>°</w:t>
      </w:r>
      <w:r w:rsidRPr="000C07FF">
        <w:rPr>
          <w:rFonts w:eastAsia="Calibri" w:cs="Times New Roman"/>
        </w:rPr>
        <w:t>C</w:t>
      </w:r>
      <w:r w:rsidRPr="000C07FF">
        <w:rPr>
          <w:rFonts w:eastAsia="Calibri" w:cs="Times New Roman"/>
          <w:lang w:val="en"/>
        </w:rPr>
        <w:t xml:space="preserve"> or 134</w:t>
      </w:r>
      <w:r w:rsidRPr="000C07FF">
        <w:rPr>
          <w:rFonts w:eastAsia="Calibri" w:cs="Times New Roman"/>
          <w:vertAlign w:val="superscript"/>
        </w:rPr>
        <w:t>°</w:t>
      </w:r>
      <w:r w:rsidRPr="000C07FF">
        <w:rPr>
          <w:rFonts w:eastAsia="Calibri" w:cs="Times New Roman"/>
        </w:rPr>
        <w:t>C</w:t>
      </w:r>
      <w:r w:rsidRPr="000C07FF">
        <w:rPr>
          <w:rFonts w:eastAsia="Calibri" w:cs="Times New Roman"/>
          <w:lang w:val="en"/>
        </w:rPr>
        <w:t xml:space="preserve"> for specified amounts of time as a decontamination procedure. </w:t>
      </w:r>
    </w:p>
    <w:p w14:paraId="4E748C8F" w14:textId="77777777" w:rsidR="00500F8B" w:rsidRPr="000C07FF" w:rsidRDefault="00500F8B" w:rsidP="004642FD">
      <w:pPr>
        <w:jc w:val="both"/>
        <w:rPr>
          <w:rFonts w:eastAsia="Calibri" w:cs="Times New Roman"/>
          <w:lang w:val="en"/>
        </w:rPr>
      </w:pPr>
    </w:p>
    <w:p w14:paraId="684132EC" w14:textId="62E1E3B7" w:rsidR="00500F8B" w:rsidRPr="00B77DB4" w:rsidRDefault="00500F8B" w:rsidP="004642FD">
      <w:pPr>
        <w:jc w:val="both"/>
      </w:pPr>
      <w:r w:rsidRPr="000C07FF">
        <w:rPr>
          <w:rFonts w:eastAsia="Calibri" w:cs="Times New Roman"/>
          <w:lang w:val="en"/>
        </w:rPr>
        <w:t>The efficiency of autoclaving was assessed alone and in combination with a range of other decontaminants. These included sodium chloride (NaOH); sodium hypochlorite (</w:t>
      </w:r>
      <w:r w:rsidRPr="000C07FF">
        <w:rPr>
          <w:rFonts w:eastAsia="Calibri" w:cs="Times New Roman"/>
        </w:rPr>
        <w:t>NaOCl</w:t>
      </w:r>
      <w:r w:rsidRPr="000C07FF">
        <w:rPr>
          <w:rFonts w:eastAsia="Calibri" w:cs="Times New Roman"/>
          <w:lang w:val="en"/>
        </w:rPr>
        <w:t xml:space="preserve">); </w:t>
      </w:r>
      <w:r w:rsidRPr="000C07FF">
        <w:rPr>
          <w:rFonts w:eastAsia="Calibri" w:cs="Times New Roman"/>
        </w:rPr>
        <w:t>sodium dodecyl sulfate (SDS); hydrogen peroxide (H</w:t>
      </w:r>
      <w:r w:rsidRPr="000C07FF">
        <w:rPr>
          <w:rFonts w:eastAsia="Calibri" w:cs="Times New Roman"/>
          <w:vertAlign w:val="subscript"/>
        </w:rPr>
        <w:t>2</w:t>
      </w:r>
      <w:r w:rsidRPr="000C07FF">
        <w:rPr>
          <w:rFonts w:eastAsia="Calibri" w:cs="Times New Roman"/>
        </w:rPr>
        <w:t>O</w:t>
      </w:r>
      <w:r w:rsidRPr="000C07FF">
        <w:rPr>
          <w:rFonts w:eastAsia="Calibri" w:cs="Times New Roman"/>
          <w:vertAlign w:val="subscript"/>
        </w:rPr>
        <w:t>2</w:t>
      </w:r>
      <w:r w:rsidRPr="000C07FF">
        <w:rPr>
          <w:rFonts w:eastAsia="Calibri" w:cs="Times New Roman"/>
        </w:rPr>
        <w:t>) and various other enzymatic and alkaline detergents</w:t>
      </w:r>
      <w:r w:rsidRPr="000C07FF">
        <w:rPr>
          <w:rFonts w:eastAsia="Calibri" w:cs="Times New Roman"/>
          <w:lang w:val="en"/>
        </w:rPr>
        <w:t xml:space="preserve">. These decontaminants were also investigated alone or in combination with other decontaminants. Selected results from these investigations are reported in </w:t>
      </w:r>
      <w:r w:rsidR="00BD14CD" w:rsidRPr="000C07FF">
        <w:rPr>
          <w:rFonts w:eastAsia="Calibri" w:cs="Times New Roman"/>
          <w:highlight w:val="magenta"/>
          <w:lang w:val="en"/>
        </w:rPr>
        <w:fldChar w:fldCharType="begin"/>
      </w:r>
      <w:r w:rsidR="00BD14CD" w:rsidRPr="000C07FF">
        <w:rPr>
          <w:rFonts w:eastAsia="Calibri" w:cs="Times New Roman"/>
          <w:lang w:val="en"/>
        </w:rPr>
        <w:instrText xml:space="preserve"> REF _Ref508886372 \h </w:instrText>
      </w:r>
      <w:r w:rsidR="000C07FF">
        <w:rPr>
          <w:rFonts w:eastAsia="Calibri" w:cs="Times New Roman"/>
          <w:highlight w:val="magenta"/>
          <w:lang w:val="en"/>
        </w:rPr>
        <w:instrText xml:space="preserve"> \* MERGEFORMAT </w:instrText>
      </w:r>
      <w:r w:rsidR="00BD14CD" w:rsidRPr="000C07FF">
        <w:rPr>
          <w:rFonts w:eastAsia="Calibri" w:cs="Times New Roman"/>
          <w:highlight w:val="magenta"/>
          <w:lang w:val="en"/>
        </w:rPr>
      </w:r>
      <w:r w:rsidR="00BD14CD" w:rsidRPr="000C07FF">
        <w:rPr>
          <w:rFonts w:eastAsia="Calibri" w:cs="Times New Roman"/>
          <w:highlight w:val="magenta"/>
          <w:lang w:val="en"/>
        </w:rPr>
        <w:fldChar w:fldCharType="separate"/>
      </w:r>
      <w:r w:rsidR="00690541">
        <w:rPr>
          <w:noProof/>
        </w:rPr>
        <w:t>Table</w:t>
      </w:r>
      <w:r w:rsidR="00690541">
        <w:t xml:space="preserve"> </w:t>
      </w:r>
      <w:r w:rsidR="00690541">
        <w:rPr>
          <w:noProof/>
        </w:rPr>
        <w:t>13</w:t>
      </w:r>
      <w:r w:rsidR="00BD14CD" w:rsidRPr="000C07FF">
        <w:rPr>
          <w:rFonts w:eastAsia="Calibri" w:cs="Times New Roman"/>
          <w:highlight w:val="magenta"/>
          <w:lang w:val="en"/>
        </w:rPr>
        <w:fldChar w:fldCharType="end"/>
      </w:r>
      <w:r w:rsidRPr="000C07FF">
        <w:rPr>
          <w:rFonts w:eastAsia="Calibri" w:cs="Times New Roman"/>
          <w:lang w:val="en"/>
        </w:rPr>
        <w:t xml:space="preserve">. </w:t>
      </w:r>
    </w:p>
    <w:p w14:paraId="19C6F6B0" w14:textId="77777777" w:rsidR="00BC0130" w:rsidRPr="006E1D8B" w:rsidRDefault="00BC0130" w:rsidP="004642FD">
      <w:pPr>
        <w:jc w:val="both"/>
      </w:pPr>
    </w:p>
    <w:p w14:paraId="71AB5663" w14:textId="0B2205F7" w:rsidR="00500F8B" w:rsidRPr="000C07FF" w:rsidRDefault="00500F8B" w:rsidP="004642FD">
      <w:pPr>
        <w:jc w:val="both"/>
        <w:rPr>
          <w:rFonts w:eastAsia="Calibri" w:cs="Times New Roman"/>
          <w:lang w:val="en"/>
        </w:rPr>
      </w:pPr>
      <w:r w:rsidRPr="000C07FF">
        <w:rPr>
          <w:rFonts w:eastAsia="Calibri" w:cs="Times New Roman"/>
          <w:lang w:val="en"/>
        </w:rPr>
        <w:t>The log reductions produced by autoclaving at 134°C for 18 minutes for the 263K prion strain ranged from 4.11 (Lehmann</w:t>
      </w:r>
      <w:r w:rsidR="00DD053F" w:rsidRPr="000C07FF">
        <w:rPr>
          <w:rFonts w:eastAsia="Calibri" w:cs="Times New Roman"/>
          <w:lang w:val="en"/>
        </w:rPr>
        <w:t xml:space="preserve"> </w:t>
      </w:r>
      <w:r w:rsidR="00B301D6" w:rsidRPr="00B301D6">
        <w:rPr>
          <w:rFonts w:eastAsia="Calibri" w:cs="Times New Roman"/>
          <w:i/>
          <w:lang w:val="en"/>
        </w:rPr>
        <w:t>et al</w:t>
      </w:r>
      <w:r w:rsidR="00DD053F" w:rsidRPr="000C07FF">
        <w:rPr>
          <w:rFonts w:eastAsia="Calibri" w:cs="Times New Roman"/>
          <w:lang w:val="en"/>
        </w:rPr>
        <w:t xml:space="preserve"> 2009</w:t>
      </w:r>
      <w:r w:rsidRPr="000C07FF">
        <w:rPr>
          <w:rFonts w:eastAsia="Calibri" w:cs="Times New Roman"/>
          <w:lang w:val="en"/>
        </w:rPr>
        <w:t>)</w:t>
      </w:r>
      <w:r w:rsidR="00DB67C1" w:rsidRPr="000C07FF">
        <w:rPr>
          <w:rFonts w:eastAsia="Calibri"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sidRPr="000C07FF">
        <w:rPr>
          <w:rFonts w:eastAsia="Calibri" w:cs="Times New Roman"/>
          <w:lang w:val="en"/>
        </w:rPr>
      </w:r>
      <w:r w:rsidR="00DB67C1" w:rsidRPr="000C07FF">
        <w:rPr>
          <w:rFonts w:eastAsia="Calibri" w:cs="Times New Roman"/>
          <w:lang w:val="en"/>
        </w:rPr>
        <w:fldChar w:fldCharType="separate"/>
      </w:r>
      <w:r w:rsidR="0076576E" w:rsidRPr="0076576E">
        <w:rPr>
          <w:rFonts w:eastAsia="Calibri" w:cs="Times New Roman"/>
          <w:noProof/>
          <w:vertAlign w:val="superscript"/>
          <w:lang w:val="en"/>
        </w:rPr>
        <w:t>168</w:t>
      </w:r>
      <w:r w:rsidR="00DB67C1" w:rsidRPr="000C07FF">
        <w:rPr>
          <w:rFonts w:eastAsia="Calibri" w:cs="Times New Roman"/>
          <w:lang w:val="en"/>
        </w:rPr>
        <w:fldChar w:fldCharType="end"/>
      </w:r>
      <w:r w:rsidRPr="000C07FF">
        <w:rPr>
          <w:rFonts w:eastAsia="Calibri" w:cs="Times New Roman"/>
          <w:lang w:val="en"/>
        </w:rPr>
        <w:t xml:space="preserve"> to &gt;5-6 (Rogez-Kreuz</w:t>
      </w:r>
      <w:r w:rsidR="00F1300C" w:rsidRPr="00F1300C">
        <w:rPr>
          <w:rFonts w:eastAsia="Calibri" w:cs="Times New Roman"/>
          <w:i/>
          <w:lang w:val="en"/>
        </w:rPr>
        <w:t xml:space="preserve"> </w:t>
      </w:r>
      <w:r w:rsidR="00F1300C" w:rsidRPr="00B301D6">
        <w:rPr>
          <w:rFonts w:eastAsia="Calibri" w:cs="Times New Roman"/>
          <w:i/>
          <w:lang w:val="en"/>
        </w:rPr>
        <w:t>et al</w:t>
      </w:r>
      <w:r w:rsidR="00F1300C" w:rsidRPr="00F373F5">
        <w:rPr>
          <w:rFonts w:eastAsia="Calibri" w:cs="Times New Roman"/>
          <w:lang w:val="en"/>
        </w:rPr>
        <w:t>, 2009</w:t>
      </w:r>
      <w:r w:rsidRPr="000C07FF">
        <w:rPr>
          <w:rFonts w:eastAsia="Calibri" w:cs="Times New Roman"/>
          <w:lang w:val="en"/>
        </w:rPr>
        <w:t>)</w:t>
      </w:r>
      <w:r w:rsidR="001C3274">
        <w:rPr>
          <w:rFonts w:eastAsia="Calibri" w:cs="Times New Roman"/>
          <w:lang w:val="en"/>
        </w:rPr>
        <w:t>,</w:t>
      </w:r>
      <w:r w:rsidR="00DB67C1" w:rsidRPr="000C07FF">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sidRPr="000C07FF">
        <w:rPr>
          <w:rFonts w:eastAsia="Calibri" w:cs="Times New Roman"/>
          <w:lang w:val="en"/>
        </w:rPr>
      </w:r>
      <w:r w:rsidR="00DB67C1" w:rsidRPr="000C07FF">
        <w:rPr>
          <w:rFonts w:eastAsia="Calibri" w:cs="Times New Roman"/>
          <w:lang w:val="en"/>
        </w:rPr>
        <w:fldChar w:fldCharType="separate"/>
      </w:r>
      <w:r w:rsidR="0076576E" w:rsidRPr="0076576E">
        <w:rPr>
          <w:rFonts w:eastAsia="Calibri" w:cs="Times New Roman"/>
          <w:noProof/>
          <w:vertAlign w:val="superscript"/>
          <w:lang w:val="en"/>
        </w:rPr>
        <w:t>170</w:t>
      </w:r>
      <w:r w:rsidR="00DB67C1" w:rsidRPr="000C07FF">
        <w:rPr>
          <w:rFonts w:eastAsia="Calibri" w:cs="Times New Roman"/>
          <w:lang w:val="en"/>
        </w:rPr>
        <w:fldChar w:fldCharType="end"/>
      </w:r>
      <w:r w:rsidRPr="000C07FF">
        <w:rPr>
          <w:rFonts w:eastAsia="Calibri" w:cs="Times New Roman"/>
          <w:lang w:val="en"/>
        </w:rPr>
        <w:t xml:space="preserve"> with transmission rates of 57% and 50% respectively. The log reduction was only 2.2 (100% transmission) for the M1000 strain. Autoclaving at 134°C for 18 minutes, combined with NaOH or an alkaline detergent, produced log reductions of  &gt;5 to 6, as well as lower transmission rates (28% for NaOH and 0% for the alkaline detergent) for the 263K prion strain (Rogez-Kreuz</w:t>
      </w:r>
      <w:r w:rsidR="00F1300C" w:rsidRPr="00F1300C">
        <w:rPr>
          <w:rFonts w:eastAsia="Calibri" w:cs="Times New Roman"/>
          <w:i/>
          <w:lang w:val="en"/>
        </w:rPr>
        <w:t xml:space="preserve"> </w:t>
      </w:r>
      <w:r w:rsidR="00F1300C" w:rsidRPr="00B301D6">
        <w:rPr>
          <w:rFonts w:eastAsia="Calibri" w:cs="Times New Roman"/>
          <w:i/>
          <w:lang w:val="en"/>
        </w:rPr>
        <w:t>et al</w:t>
      </w:r>
      <w:r w:rsidR="00F1300C" w:rsidRPr="00F373F5">
        <w:rPr>
          <w:rFonts w:eastAsia="Calibri" w:cs="Times New Roman"/>
          <w:lang w:val="en"/>
        </w:rPr>
        <w:t>, 2009</w:t>
      </w:r>
      <w:r w:rsidRPr="000C07FF">
        <w:rPr>
          <w:rFonts w:eastAsia="Calibri" w:cs="Times New Roman"/>
          <w:lang w:val="en"/>
        </w:rPr>
        <w:t>)</w:t>
      </w:r>
      <w:r w:rsidR="009B4E5A">
        <w:rPr>
          <w:rFonts w:eastAsia="Calibri" w:cs="Times New Roman"/>
          <w:lang w:val="en"/>
        </w:rPr>
        <w:t>.</w:t>
      </w:r>
      <w:r w:rsidR="00DB67C1" w:rsidRPr="000C07FF">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sidRPr="000C07FF">
        <w:rPr>
          <w:rFonts w:eastAsia="Calibri" w:cs="Times New Roman"/>
          <w:lang w:val="en"/>
        </w:rPr>
      </w:r>
      <w:r w:rsidR="00DB67C1" w:rsidRPr="000C07FF">
        <w:rPr>
          <w:rFonts w:eastAsia="Calibri" w:cs="Times New Roman"/>
          <w:lang w:val="en"/>
        </w:rPr>
        <w:fldChar w:fldCharType="separate"/>
      </w:r>
      <w:r w:rsidR="0076576E" w:rsidRPr="0076576E">
        <w:rPr>
          <w:rFonts w:eastAsia="Calibri" w:cs="Times New Roman"/>
          <w:noProof/>
          <w:vertAlign w:val="superscript"/>
          <w:lang w:val="en"/>
        </w:rPr>
        <w:t>170</w:t>
      </w:r>
      <w:r w:rsidR="00DB67C1" w:rsidRPr="000C07FF">
        <w:rPr>
          <w:rFonts w:eastAsia="Calibri" w:cs="Times New Roman"/>
          <w:lang w:val="en"/>
        </w:rPr>
        <w:fldChar w:fldCharType="end"/>
      </w:r>
      <w:r w:rsidRPr="000C07FF">
        <w:rPr>
          <w:rFonts w:eastAsia="Calibri" w:cs="Times New Roman"/>
          <w:lang w:val="en"/>
        </w:rPr>
        <w:t xml:space="preserve"> Autoclaving at 134°C for 5 minutes, combined with alkaline cleaners or SDS 0.2%/NaOH 0.3%, at different concentrations and/or different durations, also produced log reductions of &gt;5.5 for the 263K prion strain (</w:t>
      </w:r>
      <w:r w:rsidR="00E35FE6" w:rsidRPr="000C07FF">
        <w:rPr>
          <w:rFonts w:eastAsia="Calibri" w:cs="Times New Roman"/>
          <w:lang w:val="en"/>
        </w:rPr>
        <w:t xml:space="preserve">Lemmer </w:t>
      </w:r>
      <w:r w:rsidR="00B301D6" w:rsidRPr="00B301D6">
        <w:rPr>
          <w:rFonts w:eastAsia="Calibri" w:cs="Times New Roman"/>
          <w:i/>
          <w:lang w:val="en"/>
        </w:rPr>
        <w:t>et al</w:t>
      </w:r>
      <w:r w:rsidR="00E35FE6" w:rsidRPr="000C07FF">
        <w:rPr>
          <w:rFonts w:eastAsia="Calibri" w:cs="Times New Roman"/>
          <w:lang w:val="en"/>
        </w:rPr>
        <w:t xml:space="preserve"> (2008)</w:t>
      </w:r>
      <w:r w:rsidR="00DB67C1" w:rsidRPr="000C07FF">
        <w:rPr>
          <w:rFonts w:eastAsia="Calibri" w:cs="Times New Roman"/>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sidRPr="000C07FF">
        <w:rPr>
          <w:rFonts w:eastAsia="Calibri" w:cs="Times New Roman"/>
          <w:lang w:val="en"/>
        </w:rPr>
      </w:r>
      <w:r w:rsidR="00DB67C1" w:rsidRPr="000C07FF">
        <w:rPr>
          <w:rFonts w:eastAsia="Calibri" w:cs="Times New Roman"/>
          <w:lang w:val="en"/>
        </w:rPr>
        <w:fldChar w:fldCharType="separate"/>
      </w:r>
      <w:r w:rsidR="0076576E" w:rsidRPr="0076576E">
        <w:rPr>
          <w:rFonts w:eastAsia="Calibri" w:cs="Times New Roman"/>
          <w:noProof/>
          <w:vertAlign w:val="superscript"/>
          <w:lang w:val="en"/>
        </w:rPr>
        <w:t>169</w:t>
      </w:r>
      <w:r w:rsidR="00DB67C1" w:rsidRPr="000C07FF">
        <w:rPr>
          <w:rFonts w:eastAsia="Calibri" w:cs="Times New Roman"/>
          <w:lang w:val="en"/>
        </w:rPr>
        <w:fldChar w:fldCharType="end"/>
      </w:r>
      <w:r w:rsidRPr="000C07FF">
        <w:rPr>
          <w:rFonts w:eastAsia="Calibri" w:cs="Times New Roman"/>
          <w:lang w:val="en"/>
        </w:rPr>
        <w:t xml:space="preserve">). </w:t>
      </w:r>
    </w:p>
    <w:p w14:paraId="551E0781" w14:textId="77777777" w:rsidR="00500F8B" w:rsidRPr="000C07FF" w:rsidRDefault="00500F8B" w:rsidP="004642FD">
      <w:pPr>
        <w:jc w:val="both"/>
        <w:rPr>
          <w:rFonts w:eastAsia="Calibri" w:cs="Times New Roman"/>
          <w:lang w:val="en"/>
        </w:rPr>
      </w:pPr>
    </w:p>
    <w:p w14:paraId="75F4F9DA" w14:textId="71F9AF0F" w:rsidR="00500F8B" w:rsidRDefault="00500F8B" w:rsidP="004642FD">
      <w:pPr>
        <w:jc w:val="both"/>
        <w:rPr>
          <w:rFonts w:eastAsia="Calibri" w:cs="Times New Roman"/>
          <w:lang w:val="en"/>
        </w:rPr>
      </w:pPr>
      <w:r w:rsidRPr="000C07FF">
        <w:rPr>
          <w:rFonts w:eastAsia="Calibri" w:cs="Times New Roman"/>
          <w:lang w:val="en"/>
        </w:rPr>
        <w:t>The only process reported to have produced a log reduction of &gt;5 and a transmission rate of 0% is: autoclaving at 121°C for 20 minutes plus Rapid Multi Enzyme Cleaner trial formulation (RMEC) B 0.3% at 60°C for 30 min</w:t>
      </w:r>
      <w:r w:rsidR="00CA619B">
        <w:rPr>
          <w:rFonts w:eastAsia="Calibri" w:cs="Times New Roman"/>
          <w:lang w:val="en"/>
        </w:rPr>
        <w:t>ute</w:t>
      </w:r>
      <w:r w:rsidRPr="000C07FF">
        <w:rPr>
          <w:rFonts w:eastAsia="Calibri" w:cs="Times New Roman"/>
          <w:lang w:val="en"/>
        </w:rPr>
        <w:t>s (</w:t>
      </w:r>
      <w:r w:rsidR="00E35FE6" w:rsidRPr="000C07FF">
        <w:rPr>
          <w:rFonts w:eastAsia="Calibri" w:cs="Times New Roman"/>
          <w:lang w:val="en"/>
        </w:rPr>
        <w:t xml:space="preserve">Lawson </w:t>
      </w:r>
      <w:r w:rsidR="00B301D6" w:rsidRPr="00B301D6">
        <w:rPr>
          <w:rFonts w:eastAsia="Calibri" w:cs="Times New Roman"/>
          <w:i/>
          <w:lang w:val="en"/>
        </w:rPr>
        <w:t>et al</w:t>
      </w:r>
      <w:r w:rsidR="00E35FE6" w:rsidRPr="000C07FF">
        <w:rPr>
          <w:rFonts w:eastAsia="Calibri" w:cs="Times New Roman"/>
          <w:lang w:val="en"/>
        </w:rPr>
        <w:t xml:space="preserve"> 2007</w:t>
      </w:r>
      <w:r w:rsidR="00DB67C1" w:rsidRPr="000C07FF">
        <w:rPr>
          <w:rFonts w:eastAsia="Calibri" w:cs="Times New Roman"/>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sidRPr="000C07FF">
        <w:rPr>
          <w:rFonts w:eastAsia="Calibri" w:cs="Times New Roman"/>
          <w:lang w:val="en"/>
        </w:rPr>
      </w:r>
      <w:r w:rsidR="00DB67C1" w:rsidRPr="000C07FF">
        <w:rPr>
          <w:rFonts w:eastAsia="Calibri" w:cs="Times New Roman"/>
          <w:lang w:val="en"/>
        </w:rPr>
        <w:fldChar w:fldCharType="separate"/>
      </w:r>
      <w:r w:rsidR="0076576E" w:rsidRPr="0076576E">
        <w:rPr>
          <w:rFonts w:eastAsia="Calibri" w:cs="Times New Roman"/>
          <w:noProof/>
          <w:vertAlign w:val="superscript"/>
          <w:lang w:val="en"/>
        </w:rPr>
        <w:t>172</w:t>
      </w:r>
      <w:r w:rsidR="00DB67C1" w:rsidRPr="000C07FF">
        <w:rPr>
          <w:rFonts w:eastAsia="Calibri" w:cs="Times New Roman"/>
          <w:lang w:val="en"/>
        </w:rPr>
        <w:fldChar w:fldCharType="end"/>
      </w:r>
      <w:r w:rsidR="00DB67C1" w:rsidRPr="000C07FF">
        <w:rPr>
          <w:rFonts w:eastAsia="Calibri" w:cs="Times New Roman"/>
          <w:lang w:val="en"/>
        </w:rPr>
        <w:t>).</w:t>
      </w:r>
    </w:p>
    <w:p w14:paraId="566E45B6" w14:textId="77777777" w:rsidR="00B96A6E" w:rsidRPr="000C07FF" w:rsidRDefault="00B96A6E" w:rsidP="004642FD">
      <w:pPr>
        <w:jc w:val="both"/>
        <w:rPr>
          <w:rFonts w:eastAsia="Calibri" w:cs="Times New Roman"/>
          <w:lang w:val="en"/>
        </w:rPr>
        <w:sectPr w:rsidR="00B96A6E" w:rsidRPr="000C07FF">
          <w:pgSz w:w="11906" w:h="16838"/>
          <w:pgMar w:top="1440" w:right="1440" w:bottom="1440" w:left="1440" w:header="708" w:footer="708" w:gutter="0"/>
          <w:cols w:space="708"/>
          <w:docGrid w:linePitch="360"/>
        </w:sectPr>
      </w:pPr>
    </w:p>
    <w:p w14:paraId="49C232ED" w14:textId="7C557110" w:rsidR="00DB67C1" w:rsidRDefault="00DB67C1" w:rsidP="004642FD">
      <w:pPr>
        <w:pStyle w:val="Caption"/>
        <w:keepNext/>
        <w:spacing w:line="360" w:lineRule="auto"/>
        <w:ind w:left="1440" w:hanging="1440"/>
      </w:pPr>
      <w:bookmarkStart w:id="63" w:name="_Ref508886347"/>
      <w:bookmarkStart w:id="64" w:name="_Toc525106699"/>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12</w:t>
      </w:r>
      <w:r w:rsidR="00F62DB8">
        <w:rPr>
          <w:noProof/>
        </w:rPr>
        <w:fldChar w:fldCharType="end"/>
      </w:r>
      <w:bookmarkEnd w:id="63"/>
      <w:r>
        <w:t>:</w:t>
      </w:r>
      <w:r w:rsidR="004642FD">
        <w:tab/>
      </w:r>
      <w:r w:rsidRPr="00FA2EDB">
        <w:t>Characteristics of studies reporting log reductions in prion contamination on steel surfaces after autoclaving with and without other processes</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gridCol w:w="992"/>
        <w:gridCol w:w="851"/>
        <w:gridCol w:w="1701"/>
        <w:gridCol w:w="4820"/>
        <w:gridCol w:w="2125"/>
      </w:tblGrid>
      <w:tr w:rsidR="00DB67C1" w:rsidRPr="00DB67C1" w14:paraId="4EC0F9D8" w14:textId="77777777" w:rsidTr="00931EC4">
        <w:tc>
          <w:tcPr>
            <w:tcW w:w="1242" w:type="dxa"/>
            <w:vMerge w:val="restart"/>
          </w:tcPr>
          <w:p w14:paraId="6FF43804"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Study</w:t>
            </w:r>
          </w:p>
        </w:tc>
        <w:tc>
          <w:tcPr>
            <w:tcW w:w="1418" w:type="dxa"/>
            <w:vMerge w:val="restart"/>
          </w:tcPr>
          <w:p w14:paraId="0715EC44"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Prion strain</w:t>
            </w:r>
          </w:p>
        </w:tc>
        <w:tc>
          <w:tcPr>
            <w:tcW w:w="992" w:type="dxa"/>
            <w:vMerge w:val="restart"/>
          </w:tcPr>
          <w:p w14:paraId="6F159516"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Source material</w:t>
            </w:r>
          </w:p>
          <w:p w14:paraId="2A056986"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 w/v)</w:t>
            </w:r>
          </w:p>
        </w:tc>
        <w:tc>
          <w:tcPr>
            <w:tcW w:w="851" w:type="dxa"/>
            <w:vMerge w:val="restart"/>
          </w:tcPr>
          <w:p w14:paraId="2CAE0F53"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Steel</w:t>
            </w:r>
          </w:p>
        </w:tc>
        <w:tc>
          <w:tcPr>
            <w:tcW w:w="6521" w:type="dxa"/>
            <w:gridSpan w:val="2"/>
          </w:tcPr>
          <w:p w14:paraId="2C8EAE3B" w14:textId="77777777" w:rsidR="00DB67C1" w:rsidRPr="00DB67C1" w:rsidRDefault="00DB67C1" w:rsidP="004642FD">
            <w:pPr>
              <w:spacing w:line="240" w:lineRule="auto"/>
              <w:jc w:val="center"/>
              <w:rPr>
                <w:rFonts w:eastAsia="Calibri" w:cs="Times New Roman"/>
                <w:b/>
                <w:sz w:val="20"/>
                <w:szCs w:val="20"/>
              </w:rPr>
            </w:pPr>
            <w:r w:rsidRPr="00DB67C1">
              <w:rPr>
                <w:rFonts w:eastAsia="Calibri" w:cs="Times New Roman"/>
                <w:b/>
                <w:sz w:val="20"/>
                <w:szCs w:val="20"/>
              </w:rPr>
              <w:t>Decontamination methods</w:t>
            </w:r>
          </w:p>
        </w:tc>
        <w:tc>
          <w:tcPr>
            <w:tcW w:w="2125" w:type="dxa"/>
            <w:vMerge w:val="restart"/>
          </w:tcPr>
          <w:p w14:paraId="78BEE76B"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Assay used</w:t>
            </w:r>
          </w:p>
        </w:tc>
      </w:tr>
      <w:tr w:rsidR="00DB67C1" w:rsidRPr="00DB67C1" w14:paraId="1EFB1E59" w14:textId="77777777" w:rsidTr="00931EC4">
        <w:tc>
          <w:tcPr>
            <w:tcW w:w="1242" w:type="dxa"/>
            <w:vMerge/>
          </w:tcPr>
          <w:p w14:paraId="5C3DA49D" w14:textId="77777777" w:rsidR="00DB67C1" w:rsidRPr="00DB67C1" w:rsidRDefault="00DB67C1" w:rsidP="004642FD">
            <w:pPr>
              <w:spacing w:line="240" w:lineRule="auto"/>
              <w:rPr>
                <w:rFonts w:eastAsia="Calibri" w:cs="Times New Roman"/>
                <w:sz w:val="20"/>
                <w:szCs w:val="20"/>
              </w:rPr>
            </w:pPr>
          </w:p>
        </w:tc>
        <w:tc>
          <w:tcPr>
            <w:tcW w:w="1418" w:type="dxa"/>
            <w:vMerge/>
          </w:tcPr>
          <w:p w14:paraId="43E1105F" w14:textId="77777777" w:rsidR="00DB67C1" w:rsidRPr="00DB67C1" w:rsidRDefault="00DB67C1" w:rsidP="004642FD">
            <w:pPr>
              <w:spacing w:line="240" w:lineRule="auto"/>
              <w:rPr>
                <w:rFonts w:eastAsia="Calibri" w:cs="Times New Roman"/>
                <w:sz w:val="20"/>
                <w:szCs w:val="20"/>
              </w:rPr>
            </w:pPr>
          </w:p>
        </w:tc>
        <w:tc>
          <w:tcPr>
            <w:tcW w:w="992" w:type="dxa"/>
            <w:vMerge/>
          </w:tcPr>
          <w:p w14:paraId="2C3DF796" w14:textId="77777777" w:rsidR="00DB67C1" w:rsidRPr="00DB67C1" w:rsidRDefault="00DB67C1" w:rsidP="004642FD">
            <w:pPr>
              <w:spacing w:line="240" w:lineRule="auto"/>
              <w:rPr>
                <w:rFonts w:eastAsia="Calibri" w:cs="Times New Roman"/>
                <w:sz w:val="20"/>
                <w:szCs w:val="20"/>
              </w:rPr>
            </w:pPr>
          </w:p>
        </w:tc>
        <w:tc>
          <w:tcPr>
            <w:tcW w:w="851" w:type="dxa"/>
            <w:vMerge/>
          </w:tcPr>
          <w:p w14:paraId="604FFE9F" w14:textId="77777777" w:rsidR="00DB67C1" w:rsidRPr="00DB67C1" w:rsidRDefault="00DB67C1" w:rsidP="004642FD">
            <w:pPr>
              <w:spacing w:line="240" w:lineRule="auto"/>
              <w:rPr>
                <w:rFonts w:eastAsia="Calibri" w:cs="Times New Roman"/>
                <w:sz w:val="20"/>
                <w:szCs w:val="20"/>
              </w:rPr>
            </w:pPr>
          </w:p>
        </w:tc>
        <w:tc>
          <w:tcPr>
            <w:tcW w:w="1701" w:type="dxa"/>
          </w:tcPr>
          <w:p w14:paraId="77E7FE63"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 xml:space="preserve">Autoclaving </w:t>
            </w:r>
          </w:p>
        </w:tc>
        <w:tc>
          <w:tcPr>
            <w:tcW w:w="4820" w:type="dxa"/>
          </w:tcPr>
          <w:p w14:paraId="1A1719FF"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Other</w:t>
            </w:r>
          </w:p>
          <w:p w14:paraId="034D1333" w14:textId="77777777" w:rsidR="00DB67C1" w:rsidRPr="00DB67C1" w:rsidRDefault="00DB67C1" w:rsidP="004642FD">
            <w:pPr>
              <w:spacing w:line="240" w:lineRule="auto"/>
              <w:rPr>
                <w:rFonts w:eastAsia="Calibri" w:cs="Times New Roman"/>
                <w:b/>
                <w:sz w:val="20"/>
                <w:szCs w:val="20"/>
              </w:rPr>
            </w:pPr>
          </w:p>
        </w:tc>
        <w:tc>
          <w:tcPr>
            <w:tcW w:w="2125" w:type="dxa"/>
            <w:vMerge/>
          </w:tcPr>
          <w:p w14:paraId="3EE62A8C" w14:textId="77777777" w:rsidR="00DB67C1" w:rsidRPr="00DB67C1" w:rsidRDefault="00DB67C1" w:rsidP="004642FD">
            <w:pPr>
              <w:spacing w:line="240" w:lineRule="auto"/>
              <w:rPr>
                <w:rFonts w:eastAsia="Calibri" w:cs="Times New Roman"/>
                <w:sz w:val="20"/>
                <w:szCs w:val="20"/>
              </w:rPr>
            </w:pPr>
          </w:p>
        </w:tc>
      </w:tr>
      <w:tr w:rsidR="00DB67C1" w:rsidRPr="00DB67C1" w14:paraId="6942BBF7" w14:textId="77777777" w:rsidTr="00931EC4">
        <w:tc>
          <w:tcPr>
            <w:tcW w:w="1242" w:type="dxa"/>
          </w:tcPr>
          <w:p w14:paraId="22C7EC83" w14:textId="16C0901F" w:rsidR="00DB67C1" w:rsidRPr="003861AC" w:rsidRDefault="003861AC" w:rsidP="0076576E">
            <w:pPr>
              <w:spacing w:line="240" w:lineRule="auto"/>
              <w:rPr>
                <w:rFonts w:eastAsia="Calibri" w:cs="Times New Roman"/>
                <w:sz w:val="20"/>
                <w:szCs w:val="20"/>
              </w:rPr>
            </w:pPr>
            <w:r w:rsidRPr="003861AC">
              <w:rPr>
                <w:rFonts w:cs="Times New Roman"/>
                <w:sz w:val="20"/>
                <w:szCs w:val="20"/>
                <w:lang w:val="en"/>
              </w:rPr>
              <w:t xml:space="preserve">Belondrade </w:t>
            </w:r>
            <w:r w:rsidR="00B301D6" w:rsidRPr="00B301D6">
              <w:rPr>
                <w:rFonts w:cs="Times New Roman"/>
                <w:i/>
                <w:sz w:val="20"/>
                <w:szCs w:val="20"/>
                <w:lang w:val="en"/>
              </w:rPr>
              <w:t>et al</w:t>
            </w:r>
            <w:r w:rsidRPr="003861AC">
              <w:rPr>
                <w:rFonts w:cs="Times New Roman"/>
                <w:sz w:val="20"/>
                <w:szCs w:val="20"/>
                <w:lang w:val="en"/>
              </w:rPr>
              <w:t>, 2016</w:t>
            </w:r>
            <w:r w:rsidRPr="003861AC">
              <w:rPr>
                <w:rFonts w:cs="Times New Roman"/>
                <w:sz w:val="20"/>
                <w:szCs w:val="20"/>
                <w:lang w:val="en"/>
              </w:rPr>
              <w:fldChar w:fldCharType="begin"/>
            </w:r>
            <w:r w:rsidR="0076576E">
              <w:rPr>
                <w:rFonts w:cs="Times New Roman"/>
                <w:sz w:val="20"/>
                <w:szCs w:val="20"/>
                <w:lang w:val="en"/>
              </w:rPr>
              <w:instrText xml:space="preserve"> ADDIN EN.CITE &lt;EndNote&gt;&lt;Cite&gt;&lt;Author&gt;Belondrade&lt;/Author&gt;&lt;Year&gt;2016&lt;/Year&gt;&lt;RecNum&gt;10275&lt;/RecNum&gt;&lt;DisplayText&gt;&lt;style face="superscript"&gt;171&lt;/style&gt;&lt;/DisplayText&gt;&lt;record&gt;&lt;rec-number&gt;10275&lt;/rec-number&gt;&lt;foreign-keys&gt;&lt;key app="EN" db-id="vrp0pptazv05wtesfz5vrzsj2p0rv09ttsa9" timestamp="1521469700" guid="ea0094e7-3c92-4fa9-809d-d65e2d41a3e6"&gt;10275&lt;/key&gt;&lt;/foreign-keys&gt;&lt;ref-type name="Journal Article"&gt;17&lt;/ref-type&gt;&lt;contributors&gt;&lt;authors&gt;&lt;author&gt;Belondrade, Maxime&lt;/author&gt;&lt;author&gt;Nicot, Simon&lt;/author&gt;&lt;author&gt;Béringue, Vincent&lt;/author&gt;&lt;author&gt;Coste, Joliette&lt;/author&gt;&lt;author&gt;Lehmann, Sylvain&lt;/author&gt;&lt;author&gt;Bougard, Daisy&lt;/author&gt;&lt;/authors&gt;&lt;/contributors&gt;&lt;titles&gt;&lt;title&gt;Rapid and highly sensitive detection of variant Creutzfeldt-Jakob disease abnormal prion protein on steel surfaces by protein misfolding cyclic amplification: application to prion decontamination Studies&lt;/title&gt;&lt;secondary-title&gt;PloS one&lt;/secondary-title&gt;&lt;/titles&gt;&lt;periodical&gt;&lt;full-title&gt;PLoS ONE [Electronic Resource]&lt;/full-title&gt;&lt;abbr-1&gt;PLoS ONE&lt;/abbr-1&gt;&lt;/periodical&gt;&lt;pages&gt;e0146833&lt;/pages&gt;&lt;volume&gt;11&lt;/volume&gt;&lt;number&gt;1&lt;/number&gt;&lt;keywords&gt;&lt;keyword&gt;$$CC_5_instrument decontamination&lt;/keyword&gt;&lt;keyword&gt;$$5_instrument decontamination&lt;/keyword&gt;&lt;keyword&gt;$$Lesley google&lt;/keyword&gt;&lt;/keywords&gt;&lt;dates&gt;&lt;year&gt;2016&lt;/year&gt;&lt;/dates&gt;&lt;isbn&gt;1932-6203&lt;/isbn&gt;&lt;urls&gt;&lt;/urls&gt;&lt;/record&gt;&lt;/Cite&gt;&lt;/EndNote&gt;</w:instrText>
            </w:r>
            <w:r w:rsidRPr="003861AC">
              <w:rPr>
                <w:rFonts w:cs="Times New Roman"/>
                <w:sz w:val="20"/>
                <w:szCs w:val="20"/>
                <w:lang w:val="en"/>
              </w:rPr>
              <w:fldChar w:fldCharType="separate"/>
            </w:r>
            <w:r w:rsidR="0076576E" w:rsidRPr="0076576E">
              <w:rPr>
                <w:rFonts w:cs="Times New Roman"/>
                <w:noProof/>
                <w:sz w:val="20"/>
                <w:szCs w:val="20"/>
                <w:vertAlign w:val="superscript"/>
                <w:lang w:val="en"/>
              </w:rPr>
              <w:t>171</w:t>
            </w:r>
            <w:r w:rsidRPr="003861AC">
              <w:rPr>
                <w:rFonts w:cs="Times New Roman"/>
                <w:sz w:val="20"/>
                <w:szCs w:val="20"/>
                <w:lang w:val="en"/>
              </w:rPr>
              <w:fldChar w:fldCharType="end"/>
            </w:r>
          </w:p>
        </w:tc>
        <w:tc>
          <w:tcPr>
            <w:tcW w:w="1418" w:type="dxa"/>
          </w:tcPr>
          <w:p w14:paraId="6AC92F8F"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127S scrapie,</w:t>
            </w:r>
          </w:p>
          <w:p w14:paraId="43327636"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vCJD</w:t>
            </w:r>
          </w:p>
        </w:tc>
        <w:tc>
          <w:tcPr>
            <w:tcW w:w="992" w:type="dxa"/>
          </w:tcPr>
          <w:p w14:paraId="01EDD9CD"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BH</w:t>
            </w:r>
          </w:p>
          <w:p w14:paraId="1CC93B55"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(10%)</w:t>
            </w:r>
          </w:p>
          <w:p w14:paraId="6EF5E5A6" w14:textId="77777777" w:rsidR="00DB67C1" w:rsidRPr="00DB67C1" w:rsidRDefault="00DB67C1" w:rsidP="004642FD">
            <w:pPr>
              <w:spacing w:line="240" w:lineRule="auto"/>
              <w:rPr>
                <w:rFonts w:eastAsia="Calibri" w:cs="Times New Roman"/>
                <w:sz w:val="20"/>
                <w:szCs w:val="20"/>
              </w:rPr>
            </w:pPr>
          </w:p>
        </w:tc>
        <w:tc>
          <w:tcPr>
            <w:tcW w:w="851" w:type="dxa"/>
          </w:tcPr>
          <w:p w14:paraId="6A7803DE"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Wires</w:t>
            </w:r>
          </w:p>
        </w:tc>
        <w:tc>
          <w:tcPr>
            <w:tcW w:w="1701" w:type="dxa"/>
          </w:tcPr>
          <w:p w14:paraId="19395183"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121</w:t>
            </w:r>
            <w:r w:rsidRPr="00DB67C1">
              <w:rPr>
                <w:rFonts w:eastAsia="Calibri" w:cs="Times New Roman"/>
                <w:sz w:val="20"/>
                <w:szCs w:val="20"/>
                <w:vertAlign w:val="superscript"/>
              </w:rPr>
              <w:t>°</w:t>
            </w:r>
            <w:r w:rsidRPr="00DB67C1">
              <w:rPr>
                <w:rFonts w:eastAsia="Calibri" w:cs="Times New Roman"/>
                <w:sz w:val="20"/>
                <w:szCs w:val="20"/>
              </w:rPr>
              <w:t>C - 20 mins</w:t>
            </w:r>
          </w:p>
          <w:p w14:paraId="46F8DDB7"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- 20 mins</w:t>
            </w:r>
          </w:p>
          <w:p w14:paraId="545E8820" w14:textId="77777777" w:rsidR="00DB67C1" w:rsidRPr="00DB67C1" w:rsidRDefault="00DB67C1" w:rsidP="004642FD">
            <w:pPr>
              <w:spacing w:line="240" w:lineRule="auto"/>
              <w:rPr>
                <w:rFonts w:eastAsia="Calibri" w:cs="Times New Roman"/>
                <w:sz w:val="20"/>
                <w:szCs w:val="20"/>
              </w:rPr>
            </w:pPr>
          </w:p>
          <w:p w14:paraId="49991AE0" w14:textId="77777777" w:rsidR="00DB67C1" w:rsidRPr="00DB67C1" w:rsidRDefault="00DB67C1" w:rsidP="004642FD">
            <w:pPr>
              <w:spacing w:line="240" w:lineRule="auto"/>
              <w:rPr>
                <w:rFonts w:eastAsia="Calibri" w:cs="Times New Roman"/>
                <w:sz w:val="20"/>
                <w:szCs w:val="20"/>
              </w:rPr>
            </w:pPr>
          </w:p>
          <w:p w14:paraId="11A8E8C2" w14:textId="77777777" w:rsidR="00DB67C1" w:rsidRPr="00DB67C1" w:rsidRDefault="00DB67C1" w:rsidP="004642FD">
            <w:pPr>
              <w:spacing w:line="240" w:lineRule="auto"/>
              <w:rPr>
                <w:rFonts w:eastAsia="Calibri" w:cs="Times New Roman"/>
                <w:sz w:val="20"/>
                <w:szCs w:val="20"/>
              </w:rPr>
            </w:pPr>
          </w:p>
        </w:tc>
        <w:tc>
          <w:tcPr>
            <w:tcW w:w="4820" w:type="dxa"/>
          </w:tcPr>
          <w:p w14:paraId="17F604BD" w14:textId="77777777" w:rsidR="00DB67C1" w:rsidRPr="001D1C67" w:rsidRDefault="00DB67C1" w:rsidP="004642FD">
            <w:pPr>
              <w:spacing w:line="240" w:lineRule="auto"/>
              <w:rPr>
                <w:rFonts w:eastAsia="Calibri" w:cs="Times New Roman"/>
                <w:sz w:val="20"/>
                <w:szCs w:val="20"/>
                <w:lang w:val="pt-PT"/>
              </w:rPr>
            </w:pPr>
            <w:r w:rsidRPr="001D1C67">
              <w:rPr>
                <w:rFonts w:eastAsia="Calibri" w:cs="Times New Roman"/>
                <w:sz w:val="20"/>
                <w:szCs w:val="20"/>
                <w:lang w:val="pt-PT"/>
              </w:rPr>
              <w:t>NaOH 0.1N (15 mins)</w:t>
            </w:r>
          </w:p>
          <w:p w14:paraId="54208B38" w14:textId="77777777" w:rsidR="00DB67C1" w:rsidRPr="001D1C67" w:rsidRDefault="00DB67C1" w:rsidP="004642FD">
            <w:pPr>
              <w:spacing w:line="240" w:lineRule="auto"/>
              <w:rPr>
                <w:rFonts w:eastAsia="Calibri" w:cs="Times New Roman"/>
                <w:sz w:val="20"/>
                <w:szCs w:val="20"/>
                <w:lang w:val="pt-PT"/>
              </w:rPr>
            </w:pPr>
            <w:r w:rsidRPr="001D1C67">
              <w:rPr>
                <w:rFonts w:eastAsia="Calibri" w:cs="Times New Roman"/>
                <w:sz w:val="20"/>
                <w:szCs w:val="20"/>
                <w:lang w:val="pt-PT"/>
              </w:rPr>
              <w:t>NaOH 1N (60mins)</w:t>
            </w:r>
          </w:p>
          <w:p w14:paraId="7F89C4E6" w14:textId="77777777" w:rsidR="00DB67C1" w:rsidRPr="001D1C67" w:rsidRDefault="00DB67C1" w:rsidP="004642FD">
            <w:pPr>
              <w:spacing w:line="240" w:lineRule="auto"/>
              <w:rPr>
                <w:rFonts w:eastAsia="Calibri" w:cs="Times New Roman"/>
                <w:sz w:val="20"/>
                <w:szCs w:val="20"/>
                <w:lang w:val="pt-PT"/>
              </w:rPr>
            </w:pPr>
            <w:r w:rsidRPr="001D1C67">
              <w:rPr>
                <w:rFonts w:eastAsia="Calibri" w:cs="Times New Roman"/>
                <w:sz w:val="20"/>
                <w:szCs w:val="20"/>
                <w:lang w:val="pt-PT"/>
              </w:rPr>
              <w:t>NaOCl 0.2% (15 mins)</w:t>
            </w:r>
          </w:p>
          <w:p w14:paraId="6353986C" w14:textId="77777777" w:rsidR="00DB67C1" w:rsidRPr="001D1C67" w:rsidRDefault="00DB67C1" w:rsidP="004642FD">
            <w:pPr>
              <w:spacing w:line="240" w:lineRule="auto"/>
              <w:rPr>
                <w:rFonts w:eastAsia="Calibri" w:cs="Times New Roman"/>
                <w:sz w:val="20"/>
                <w:szCs w:val="20"/>
                <w:lang w:val="pt-PT"/>
              </w:rPr>
            </w:pPr>
            <w:r w:rsidRPr="001D1C67">
              <w:rPr>
                <w:rFonts w:eastAsia="Calibri" w:cs="Times New Roman"/>
                <w:sz w:val="20"/>
                <w:szCs w:val="20"/>
                <w:lang w:val="pt-PT"/>
              </w:rPr>
              <w:t>NaOCl 2% (15 mins)</w:t>
            </w:r>
          </w:p>
          <w:p w14:paraId="190B6498" w14:textId="77777777" w:rsidR="00DB67C1" w:rsidRPr="001D1C67" w:rsidRDefault="00DB67C1" w:rsidP="004642FD">
            <w:pPr>
              <w:spacing w:line="240" w:lineRule="auto"/>
              <w:rPr>
                <w:rFonts w:eastAsia="Calibri" w:cs="Times New Roman"/>
                <w:sz w:val="20"/>
                <w:szCs w:val="20"/>
                <w:lang w:val="pt-PT"/>
              </w:rPr>
            </w:pPr>
            <w:r w:rsidRPr="001D1C67">
              <w:rPr>
                <w:rFonts w:eastAsia="Calibri" w:cs="Times New Roman"/>
                <w:sz w:val="20"/>
                <w:szCs w:val="20"/>
                <w:lang w:val="pt-PT"/>
              </w:rPr>
              <w:t>SDS 0.2% / NaOH 0.3% (10mins)</w:t>
            </w:r>
          </w:p>
        </w:tc>
        <w:tc>
          <w:tcPr>
            <w:tcW w:w="2125" w:type="dxa"/>
          </w:tcPr>
          <w:p w14:paraId="651ECA46" w14:textId="3AD8901C" w:rsidR="00DB67C1" w:rsidRPr="00DB67C1" w:rsidRDefault="00FD6060" w:rsidP="004642FD">
            <w:pPr>
              <w:spacing w:line="240" w:lineRule="auto"/>
              <w:rPr>
                <w:rFonts w:eastAsia="Calibri" w:cs="Times New Roman"/>
                <w:sz w:val="20"/>
                <w:szCs w:val="20"/>
              </w:rPr>
            </w:pPr>
            <w:r>
              <w:rPr>
                <w:rFonts w:eastAsia="Calibri" w:cs="Times New Roman"/>
                <w:sz w:val="20"/>
                <w:szCs w:val="20"/>
              </w:rPr>
              <w:t>PMCA</w:t>
            </w:r>
          </w:p>
        </w:tc>
      </w:tr>
      <w:tr w:rsidR="00DB67C1" w:rsidRPr="00DB67C1" w14:paraId="5D154923" w14:textId="77777777" w:rsidTr="00931EC4">
        <w:tc>
          <w:tcPr>
            <w:tcW w:w="1242" w:type="dxa"/>
          </w:tcPr>
          <w:p w14:paraId="4031D915" w14:textId="362FD443" w:rsidR="00DB67C1" w:rsidRPr="003861AC" w:rsidRDefault="003861AC" w:rsidP="0076576E">
            <w:pPr>
              <w:spacing w:line="240" w:lineRule="auto"/>
              <w:rPr>
                <w:rFonts w:eastAsia="Calibri" w:cs="Times New Roman"/>
                <w:sz w:val="20"/>
                <w:szCs w:val="20"/>
              </w:rPr>
            </w:pPr>
            <w:r w:rsidRPr="003479BA">
              <w:rPr>
                <w:rFonts w:cs="Times New Roman"/>
                <w:sz w:val="20"/>
                <w:szCs w:val="20"/>
                <w:lang w:val="en"/>
              </w:rPr>
              <w:t xml:space="preserve">Lawson </w:t>
            </w:r>
            <w:r w:rsidR="00B301D6" w:rsidRPr="00B301D6">
              <w:rPr>
                <w:rFonts w:cs="Times New Roman"/>
                <w:i/>
                <w:sz w:val="20"/>
                <w:szCs w:val="20"/>
                <w:lang w:val="en"/>
              </w:rPr>
              <w:t>et al</w:t>
            </w:r>
            <w:r w:rsidRPr="003479BA">
              <w:rPr>
                <w:rFonts w:cs="Times New Roman"/>
                <w:sz w:val="20"/>
                <w:szCs w:val="20"/>
                <w:lang w:val="en"/>
              </w:rPr>
              <w:t>, 2007</w:t>
            </w:r>
            <w:r w:rsidRPr="003861AC">
              <w:rPr>
                <w:rFonts w:cs="Times New Roman"/>
                <w:sz w:val="20"/>
                <w:szCs w:val="20"/>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Pr="003861AC">
              <w:rPr>
                <w:rFonts w:cs="Times New Roman"/>
                <w:sz w:val="20"/>
                <w:szCs w:val="20"/>
                <w:lang w:val="en"/>
              </w:rPr>
            </w:r>
            <w:r w:rsidRPr="003861AC">
              <w:rPr>
                <w:rFonts w:cs="Times New Roman"/>
                <w:sz w:val="20"/>
                <w:szCs w:val="20"/>
                <w:lang w:val="en"/>
              </w:rPr>
              <w:fldChar w:fldCharType="separate"/>
            </w:r>
            <w:r w:rsidR="0076576E" w:rsidRPr="0076576E">
              <w:rPr>
                <w:rFonts w:cs="Times New Roman"/>
                <w:noProof/>
                <w:sz w:val="20"/>
                <w:szCs w:val="20"/>
                <w:vertAlign w:val="superscript"/>
                <w:lang w:val="en"/>
              </w:rPr>
              <w:t>172</w:t>
            </w:r>
            <w:r w:rsidRPr="003861AC">
              <w:rPr>
                <w:rFonts w:cs="Times New Roman"/>
                <w:sz w:val="20"/>
                <w:szCs w:val="20"/>
                <w:lang w:val="en"/>
              </w:rPr>
              <w:fldChar w:fldCharType="end"/>
            </w:r>
          </w:p>
        </w:tc>
        <w:tc>
          <w:tcPr>
            <w:tcW w:w="1418" w:type="dxa"/>
          </w:tcPr>
          <w:p w14:paraId="5361D91D"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M1000</w:t>
            </w:r>
          </w:p>
        </w:tc>
        <w:tc>
          <w:tcPr>
            <w:tcW w:w="992" w:type="dxa"/>
          </w:tcPr>
          <w:p w14:paraId="6BD3093F"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BH</w:t>
            </w:r>
          </w:p>
          <w:p w14:paraId="1A169C51"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(10%)</w:t>
            </w:r>
          </w:p>
        </w:tc>
        <w:tc>
          <w:tcPr>
            <w:tcW w:w="851" w:type="dxa"/>
          </w:tcPr>
          <w:p w14:paraId="70778E96"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Wires</w:t>
            </w:r>
          </w:p>
        </w:tc>
        <w:tc>
          <w:tcPr>
            <w:tcW w:w="1701" w:type="dxa"/>
          </w:tcPr>
          <w:p w14:paraId="35A6156A"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121</w:t>
            </w:r>
            <w:r w:rsidRPr="00DB67C1">
              <w:rPr>
                <w:rFonts w:eastAsia="Calibri" w:cs="Times New Roman"/>
                <w:sz w:val="20"/>
                <w:szCs w:val="20"/>
                <w:vertAlign w:val="superscript"/>
              </w:rPr>
              <w:t>°</w:t>
            </w:r>
            <w:r w:rsidRPr="00DB67C1">
              <w:rPr>
                <w:rFonts w:eastAsia="Calibri" w:cs="Times New Roman"/>
                <w:sz w:val="20"/>
                <w:szCs w:val="20"/>
              </w:rPr>
              <w:t>C - 20 mins</w:t>
            </w:r>
          </w:p>
          <w:p w14:paraId="3F906657"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- 18 mins</w:t>
            </w:r>
          </w:p>
          <w:p w14:paraId="21B2E17D" w14:textId="77777777" w:rsidR="00DB67C1" w:rsidRPr="00DB67C1" w:rsidRDefault="00DB67C1" w:rsidP="004642FD">
            <w:pPr>
              <w:spacing w:line="240" w:lineRule="auto"/>
              <w:rPr>
                <w:rFonts w:eastAsia="Calibri" w:cs="Times New Roman"/>
                <w:sz w:val="20"/>
                <w:szCs w:val="20"/>
              </w:rPr>
            </w:pPr>
          </w:p>
        </w:tc>
        <w:tc>
          <w:tcPr>
            <w:tcW w:w="4820" w:type="dxa"/>
          </w:tcPr>
          <w:p w14:paraId="66812FA1"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RMEC A (Enzymatic detergent)</w:t>
            </w:r>
          </w:p>
          <w:p w14:paraId="050D2EAD"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RMEC B (Enzymatic detergent)</w:t>
            </w:r>
          </w:p>
          <w:p w14:paraId="65C447A3"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NaOH 1M - 60mins</w:t>
            </w:r>
          </w:p>
        </w:tc>
        <w:tc>
          <w:tcPr>
            <w:tcW w:w="2125" w:type="dxa"/>
          </w:tcPr>
          <w:p w14:paraId="35FD192C"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Tga20 mice</w:t>
            </w:r>
          </w:p>
          <w:p w14:paraId="49BB8879" w14:textId="77777777" w:rsidR="00DB67C1" w:rsidRPr="00DB67C1" w:rsidRDefault="00DB67C1" w:rsidP="004642FD">
            <w:pPr>
              <w:spacing w:line="240" w:lineRule="auto"/>
              <w:rPr>
                <w:rFonts w:eastAsia="Calibri" w:cs="Times New Roman"/>
                <w:sz w:val="20"/>
                <w:szCs w:val="20"/>
              </w:rPr>
            </w:pPr>
          </w:p>
          <w:p w14:paraId="3A6F5B7B"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WB</w:t>
            </w:r>
          </w:p>
        </w:tc>
      </w:tr>
      <w:tr w:rsidR="00DB67C1" w:rsidRPr="00DB67C1" w14:paraId="337D5F03" w14:textId="77777777" w:rsidTr="00931EC4">
        <w:tc>
          <w:tcPr>
            <w:tcW w:w="1242" w:type="dxa"/>
          </w:tcPr>
          <w:p w14:paraId="14A39A2F" w14:textId="4421C2BD" w:rsidR="00DB67C1" w:rsidRPr="003861AC" w:rsidRDefault="003861AC" w:rsidP="0076576E">
            <w:pPr>
              <w:spacing w:line="240" w:lineRule="auto"/>
              <w:rPr>
                <w:rFonts w:eastAsia="Calibri" w:cs="Times New Roman"/>
                <w:sz w:val="20"/>
                <w:szCs w:val="20"/>
              </w:rPr>
            </w:pPr>
            <w:r w:rsidRPr="003479BA">
              <w:rPr>
                <w:rFonts w:cs="Times New Roman"/>
                <w:sz w:val="20"/>
                <w:szCs w:val="20"/>
                <w:lang w:val="en"/>
              </w:rPr>
              <w:t xml:space="preserve">Lehmann </w:t>
            </w:r>
            <w:r w:rsidR="00B301D6" w:rsidRPr="00B301D6">
              <w:rPr>
                <w:rFonts w:cs="Times New Roman"/>
                <w:i/>
                <w:sz w:val="20"/>
                <w:szCs w:val="20"/>
                <w:lang w:val="en"/>
              </w:rPr>
              <w:t>et al</w:t>
            </w:r>
            <w:r w:rsidRPr="003479BA">
              <w:rPr>
                <w:rFonts w:cs="Times New Roman"/>
                <w:sz w:val="20"/>
                <w:szCs w:val="20"/>
                <w:lang w:val="en"/>
              </w:rPr>
              <w:t>, 2009,</w:t>
            </w:r>
            <w:r w:rsidRPr="003861AC">
              <w:rPr>
                <w:rFonts w:cs="Times New Roman"/>
                <w:sz w:val="20"/>
                <w:szCs w:val="20"/>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Pr="003861AC">
              <w:rPr>
                <w:rFonts w:cs="Times New Roman"/>
                <w:sz w:val="20"/>
                <w:szCs w:val="20"/>
                <w:lang w:val="en"/>
              </w:rPr>
            </w:r>
            <w:r w:rsidRPr="003861AC">
              <w:rPr>
                <w:rFonts w:cs="Times New Roman"/>
                <w:sz w:val="20"/>
                <w:szCs w:val="20"/>
                <w:lang w:val="en"/>
              </w:rPr>
              <w:fldChar w:fldCharType="separate"/>
            </w:r>
            <w:r w:rsidR="0076576E" w:rsidRPr="0076576E">
              <w:rPr>
                <w:rFonts w:cs="Times New Roman"/>
                <w:noProof/>
                <w:sz w:val="20"/>
                <w:szCs w:val="20"/>
                <w:vertAlign w:val="superscript"/>
                <w:lang w:val="en"/>
              </w:rPr>
              <w:t>168</w:t>
            </w:r>
            <w:r w:rsidRPr="003861AC">
              <w:rPr>
                <w:rFonts w:cs="Times New Roman"/>
                <w:sz w:val="20"/>
                <w:szCs w:val="20"/>
                <w:lang w:val="en"/>
              </w:rPr>
              <w:fldChar w:fldCharType="end"/>
            </w:r>
          </w:p>
        </w:tc>
        <w:tc>
          <w:tcPr>
            <w:tcW w:w="1418" w:type="dxa"/>
          </w:tcPr>
          <w:p w14:paraId="635EC813"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263K scrapie</w:t>
            </w:r>
          </w:p>
        </w:tc>
        <w:tc>
          <w:tcPr>
            <w:tcW w:w="992" w:type="dxa"/>
          </w:tcPr>
          <w:p w14:paraId="462E7A49"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BH</w:t>
            </w:r>
          </w:p>
          <w:p w14:paraId="00162641"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(10%)</w:t>
            </w:r>
          </w:p>
        </w:tc>
        <w:tc>
          <w:tcPr>
            <w:tcW w:w="851" w:type="dxa"/>
          </w:tcPr>
          <w:p w14:paraId="6CC63605"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Wires</w:t>
            </w:r>
          </w:p>
        </w:tc>
        <w:tc>
          <w:tcPr>
            <w:tcW w:w="1701" w:type="dxa"/>
          </w:tcPr>
          <w:p w14:paraId="0B1356AE"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- 18 mins</w:t>
            </w:r>
          </w:p>
          <w:p w14:paraId="7FF111DF" w14:textId="77777777" w:rsidR="00DB67C1" w:rsidRPr="00DB67C1" w:rsidRDefault="00DB67C1" w:rsidP="004642FD">
            <w:pPr>
              <w:spacing w:line="240" w:lineRule="auto"/>
              <w:rPr>
                <w:rFonts w:eastAsia="Calibri" w:cs="Times New Roman"/>
                <w:sz w:val="20"/>
                <w:szCs w:val="20"/>
              </w:rPr>
            </w:pPr>
          </w:p>
        </w:tc>
        <w:tc>
          <w:tcPr>
            <w:tcW w:w="4820" w:type="dxa"/>
          </w:tcPr>
          <w:p w14:paraId="5E478ED9" w14:textId="77777777" w:rsidR="00DB67C1" w:rsidRPr="001D1C67" w:rsidRDefault="00DB67C1" w:rsidP="004642FD">
            <w:pPr>
              <w:spacing w:line="240" w:lineRule="auto"/>
              <w:rPr>
                <w:rFonts w:eastAsia="Calibri" w:cs="Times New Roman"/>
                <w:sz w:val="20"/>
                <w:szCs w:val="20"/>
                <w:lang w:val="pt-PT"/>
              </w:rPr>
            </w:pPr>
            <w:r w:rsidRPr="001D1C67">
              <w:rPr>
                <w:rFonts w:eastAsia="Calibri" w:cs="Times New Roman"/>
                <w:sz w:val="20"/>
                <w:szCs w:val="20"/>
                <w:lang w:val="pt-PT"/>
              </w:rPr>
              <w:t>H</w:t>
            </w:r>
            <w:r w:rsidRPr="001D1C67">
              <w:rPr>
                <w:rFonts w:eastAsia="Calibri" w:cs="Times New Roman"/>
                <w:sz w:val="20"/>
                <w:szCs w:val="20"/>
                <w:vertAlign w:val="subscript"/>
                <w:lang w:val="pt-PT"/>
              </w:rPr>
              <w:t>2</w:t>
            </w:r>
            <w:r w:rsidRPr="001D1C67">
              <w:rPr>
                <w:rFonts w:eastAsia="Calibri" w:cs="Times New Roman"/>
                <w:sz w:val="20"/>
                <w:szCs w:val="20"/>
                <w:lang w:val="pt-PT"/>
              </w:rPr>
              <w:t>O</w:t>
            </w:r>
            <w:r w:rsidRPr="001D1C67">
              <w:rPr>
                <w:rFonts w:eastAsia="Calibri" w:cs="Times New Roman"/>
                <w:sz w:val="20"/>
                <w:szCs w:val="20"/>
                <w:vertAlign w:val="subscript"/>
                <w:lang w:val="pt-PT"/>
              </w:rPr>
              <w:t>2</w:t>
            </w:r>
            <w:r w:rsidRPr="001D1C67">
              <w:rPr>
                <w:rFonts w:eastAsia="Calibri" w:cs="Times New Roman"/>
                <w:sz w:val="20"/>
                <w:szCs w:val="20"/>
                <w:lang w:val="pt-PT"/>
              </w:rPr>
              <w:t xml:space="preserve"> (30 mins)</w:t>
            </w:r>
          </w:p>
          <w:p w14:paraId="7A3FF7F7" w14:textId="77777777" w:rsidR="00DB67C1" w:rsidRPr="001D1C67" w:rsidRDefault="00DB67C1" w:rsidP="004642FD">
            <w:pPr>
              <w:spacing w:line="240" w:lineRule="auto"/>
              <w:rPr>
                <w:rFonts w:eastAsia="Calibri" w:cs="Times New Roman"/>
                <w:sz w:val="20"/>
                <w:szCs w:val="20"/>
                <w:lang w:val="pt-PT"/>
              </w:rPr>
            </w:pPr>
            <w:r w:rsidRPr="001D1C67">
              <w:rPr>
                <w:rFonts w:eastAsia="Calibri" w:cs="Times New Roman"/>
                <w:sz w:val="20"/>
                <w:szCs w:val="20"/>
                <w:lang w:val="pt-PT"/>
              </w:rPr>
              <w:t>AF (10 mins)</w:t>
            </w:r>
          </w:p>
          <w:p w14:paraId="0318B678" w14:textId="77777777" w:rsidR="00DB67C1" w:rsidRPr="001D1C67" w:rsidRDefault="00DB67C1" w:rsidP="004642FD">
            <w:pPr>
              <w:spacing w:line="240" w:lineRule="auto"/>
              <w:rPr>
                <w:rFonts w:eastAsia="Calibri" w:cs="Times New Roman"/>
                <w:sz w:val="20"/>
                <w:szCs w:val="20"/>
                <w:lang w:val="pt-PT"/>
              </w:rPr>
            </w:pPr>
            <w:r w:rsidRPr="001D1C67">
              <w:rPr>
                <w:rFonts w:eastAsia="Calibri" w:cs="Times New Roman"/>
                <w:sz w:val="20"/>
                <w:szCs w:val="20"/>
                <w:lang w:val="pt-PT"/>
              </w:rPr>
              <w:t>Np-Np- H</w:t>
            </w:r>
            <w:r w:rsidRPr="001D1C67">
              <w:rPr>
                <w:rFonts w:eastAsia="Calibri" w:cs="Times New Roman"/>
                <w:sz w:val="20"/>
                <w:szCs w:val="20"/>
                <w:vertAlign w:val="subscript"/>
                <w:lang w:val="pt-PT"/>
              </w:rPr>
              <w:t>2</w:t>
            </w:r>
            <w:r w:rsidRPr="001D1C67">
              <w:rPr>
                <w:rFonts w:eastAsia="Calibri" w:cs="Times New Roman"/>
                <w:sz w:val="20"/>
                <w:szCs w:val="20"/>
                <w:lang w:val="pt-PT"/>
              </w:rPr>
              <w:t>O</w:t>
            </w:r>
            <w:r w:rsidRPr="001D1C67">
              <w:rPr>
                <w:rFonts w:eastAsia="Calibri" w:cs="Times New Roman"/>
                <w:sz w:val="20"/>
                <w:szCs w:val="20"/>
                <w:vertAlign w:val="subscript"/>
                <w:lang w:val="pt-PT"/>
              </w:rPr>
              <w:t>2</w:t>
            </w:r>
            <w:r w:rsidRPr="001D1C67">
              <w:rPr>
                <w:rFonts w:eastAsia="Calibri" w:cs="Times New Roman"/>
                <w:sz w:val="20"/>
                <w:szCs w:val="20"/>
                <w:lang w:val="pt-PT"/>
              </w:rPr>
              <w:t>/Cu (10 mins – 5 mins – 15 mins)</w:t>
            </w:r>
          </w:p>
          <w:p w14:paraId="661CD742" w14:textId="77777777" w:rsidR="00DB67C1" w:rsidRPr="001D1C67" w:rsidRDefault="00DB67C1" w:rsidP="004642FD">
            <w:pPr>
              <w:spacing w:line="240" w:lineRule="auto"/>
              <w:rPr>
                <w:rFonts w:eastAsia="Calibri" w:cs="Times New Roman"/>
                <w:sz w:val="20"/>
                <w:szCs w:val="20"/>
                <w:lang w:val="pt-PT"/>
              </w:rPr>
            </w:pPr>
            <w:r w:rsidRPr="001D1C67">
              <w:rPr>
                <w:rFonts w:eastAsia="Calibri" w:cs="Times New Roman"/>
                <w:sz w:val="20"/>
                <w:szCs w:val="20"/>
                <w:lang w:val="pt-PT"/>
              </w:rPr>
              <w:t>Dp-Dp- H</w:t>
            </w:r>
            <w:r w:rsidRPr="001D1C67">
              <w:rPr>
                <w:rFonts w:eastAsia="Calibri" w:cs="Times New Roman"/>
                <w:sz w:val="20"/>
                <w:szCs w:val="20"/>
                <w:vertAlign w:val="subscript"/>
                <w:lang w:val="pt-PT"/>
              </w:rPr>
              <w:t>2</w:t>
            </w:r>
            <w:r w:rsidRPr="001D1C67">
              <w:rPr>
                <w:rFonts w:eastAsia="Calibri" w:cs="Times New Roman"/>
                <w:sz w:val="20"/>
                <w:szCs w:val="20"/>
                <w:lang w:val="pt-PT"/>
              </w:rPr>
              <w:t>O</w:t>
            </w:r>
            <w:r w:rsidRPr="001D1C67">
              <w:rPr>
                <w:rFonts w:eastAsia="Calibri" w:cs="Times New Roman"/>
                <w:sz w:val="20"/>
                <w:szCs w:val="20"/>
                <w:vertAlign w:val="subscript"/>
                <w:lang w:val="pt-PT"/>
              </w:rPr>
              <w:t>2</w:t>
            </w:r>
            <w:r w:rsidRPr="001D1C67">
              <w:rPr>
                <w:rFonts w:eastAsia="Calibri" w:cs="Times New Roman"/>
                <w:sz w:val="20"/>
                <w:szCs w:val="20"/>
                <w:lang w:val="pt-PT"/>
              </w:rPr>
              <w:t>/Cu (10 mins – 5 mins – 15 mins)</w:t>
            </w:r>
          </w:p>
          <w:p w14:paraId="7B7AEB9F" w14:textId="77777777" w:rsidR="00DB67C1" w:rsidRPr="001D1C67" w:rsidRDefault="00DB67C1" w:rsidP="004642FD">
            <w:pPr>
              <w:spacing w:line="240" w:lineRule="auto"/>
              <w:rPr>
                <w:rFonts w:eastAsia="Calibri" w:cs="Times New Roman"/>
                <w:sz w:val="20"/>
                <w:szCs w:val="20"/>
                <w:lang w:val="pt-PT"/>
              </w:rPr>
            </w:pPr>
            <w:r w:rsidRPr="001D1C67">
              <w:rPr>
                <w:rFonts w:eastAsia="Calibri" w:cs="Times New Roman"/>
                <w:sz w:val="20"/>
                <w:szCs w:val="20"/>
                <w:lang w:val="pt-PT"/>
              </w:rPr>
              <w:t>Np-Dp- H</w:t>
            </w:r>
            <w:r w:rsidRPr="001D1C67">
              <w:rPr>
                <w:rFonts w:eastAsia="Calibri" w:cs="Times New Roman"/>
                <w:sz w:val="20"/>
                <w:szCs w:val="20"/>
                <w:vertAlign w:val="subscript"/>
                <w:lang w:val="pt-PT"/>
              </w:rPr>
              <w:t>2</w:t>
            </w:r>
            <w:r w:rsidRPr="001D1C67">
              <w:rPr>
                <w:rFonts w:eastAsia="Calibri" w:cs="Times New Roman"/>
                <w:sz w:val="20"/>
                <w:szCs w:val="20"/>
                <w:lang w:val="pt-PT"/>
              </w:rPr>
              <w:t>O</w:t>
            </w:r>
            <w:r w:rsidRPr="001D1C67">
              <w:rPr>
                <w:rFonts w:eastAsia="Calibri" w:cs="Times New Roman"/>
                <w:sz w:val="20"/>
                <w:szCs w:val="20"/>
                <w:vertAlign w:val="subscript"/>
                <w:lang w:val="pt-PT"/>
              </w:rPr>
              <w:t>2</w:t>
            </w:r>
            <w:r w:rsidRPr="001D1C67">
              <w:rPr>
                <w:rFonts w:eastAsia="Calibri" w:cs="Times New Roman"/>
                <w:sz w:val="20"/>
                <w:szCs w:val="20"/>
                <w:lang w:val="pt-PT"/>
              </w:rPr>
              <w:t>/Cu (10 mins – 5 mins – 15 mins)</w:t>
            </w:r>
          </w:p>
          <w:p w14:paraId="35AE3224" w14:textId="77777777" w:rsidR="00DB67C1" w:rsidRPr="00F1300C" w:rsidRDefault="00DB67C1" w:rsidP="004642FD">
            <w:pPr>
              <w:spacing w:line="240" w:lineRule="auto"/>
              <w:rPr>
                <w:rFonts w:eastAsia="Calibri" w:cs="Times New Roman"/>
                <w:sz w:val="20"/>
                <w:szCs w:val="20"/>
              </w:rPr>
            </w:pPr>
            <w:r w:rsidRPr="00F1300C">
              <w:rPr>
                <w:rFonts w:eastAsia="Calibri" w:cs="Times New Roman"/>
                <w:sz w:val="20"/>
                <w:szCs w:val="20"/>
              </w:rPr>
              <w:t>Nmp-Nmp- PAA/Cu (10 mins – 5 mins – 15 mins, 40</w:t>
            </w:r>
            <w:r w:rsidRPr="00F1300C">
              <w:rPr>
                <w:rFonts w:eastAsia="Calibri" w:cs="Times New Roman"/>
                <w:sz w:val="20"/>
                <w:szCs w:val="20"/>
                <w:vertAlign w:val="superscript"/>
              </w:rPr>
              <w:t>°</w:t>
            </w:r>
            <w:r w:rsidRPr="00F1300C">
              <w:rPr>
                <w:rFonts w:eastAsia="Calibri" w:cs="Times New Roman"/>
                <w:sz w:val="20"/>
                <w:szCs w:val="20"/>
              </w:rPr>
              <w:t>C)</w:t>
            </w:r>
          </w:p>
        </w:tc>
        <w:tc>
          <w:tcPr>
            <w:tcW w:w="2125" w:type="dxa"/>
          </w:tcPr>
          <w:p w14:paraId="76C660D2"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Syrian golden hamsters</w:t>
            </w:r>
          </w:p>
        </w:tc>
      </w:tr>
      <w:tr w:rsidR="00DB67C1" w:rsidRPr="00DB67C1" w14:paraId="699C28EE" w14:textId="77777777" w:rsidTr="00931EC4">
        <w:tc>
          <w:tcPr>
            <w:tcW w:w="1242" w:type="dxa"/>
          </w:tcPr>
          <w:p w14:paraId="6BB2C057" w14:textId="17763EB3" w:rsidR="00DB67C1" w:rsidRPr="003861AC" w:rsidRDefault="003861AC" w:rsidP="0076576E">
            <w:pPr>
              <w:spacing w:line="240" w:lineRule="auto"/>
              <w:rPr>
                <w:rFonts w:eastAsia="Calibri" w:cs="Times New Roman"/>
                <w:sz w:val="20"/>
                <w:szCs w:val="20"/>
              </w:rPr>
            </w:pPr>
            <w:r w:rsidRPr="003479BA">
              <w:rPr>
                <w:rFonts w:cs="Times New Roman"/>
                <w:sz w:val="20"/>
                <w:szCs w:val="20"/>
                <w:lang w:val="en"/>
              </w:rPr>
              <w:t xml:space="preserve">Lemmer </w:t>
            </w:r>
            <w:r w:rsidR="00B301D6" w:rsidRPr="00B301D6">
              <w:rPr>
                <w:rFonts w:cs="Times New Roman"/>
                <w:i/>
                <w:sz w:val="20"/>
                <w:szCs w:val="20"/>
                <w:lang w:val="en"/>
              </w:rPr>
              <w:t>et al</w:t>
            </w:r>
            <w:r w:rsidRPr="003479BA">
              <w:rPr>
                <w:rFonts w:cs="Times New Roman"/>
                <w:sz w:val="20"/>
                <w:szCs w:val="20"/>
                <w:lang w:val="en"/>
              </w:rPr>
              <w:t>, 2008,</w:t>
            </w:r>
            <w:r w:rsidRPr="003861AC">
              <w:rPr>
                <w:rFonts w:cs="Times New Roman"/>
                <w:sz w:val="20"/>
                <w:szCs w:val="20"/>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Pr="003861AC">
              <w:rPr>
                <w:rFonts w:cs="Times New Roman"/>
                <w:sz w:val="20"/>
                <w:szCs w:val="20"/>
                <w:lang w:val="en"/>
              </w:rPr>
            </w:r>
            <w:r w:rsidRPr="003861AC">
              <w:rPr>
                <w:rFonts w:cs="Times New Roman"/>
                <w:sz w:val="20"/>
                <w:szCs w:val="20"/>
                <w:lang w:val="en"/>
              </w:rPr>
              <w:fldChar w:fldCharType="separate"/>
            </w:r>
            <w:r w:rsidR="0076576E" w:rsidRPr="0076576E">
              <w:rPr>
                <w:rFonts w:cs="Times New Roman"/>
                <w:noProof/>
                <w:sz w:val="20"/>
                <w:szCs w:val="20"/>
                <w:vertAlign w:val="superscript"/>
                <w:lang w:val="en"/>
              </w:rPr>
              <w:t>169</w:t>
            </w:r>
            <w:r w:rsidRPr="003861AC">
              <w:rPr>
                <w:rFonts w:cs="Times New Roman"/>
                <w:sz w:val="20"/>
                <w:szCs w:val="20"/>
                <w:lang w:val="en"/>
              </w:rPr>
              <w:fldChar w:fldCharType="end"/>
            </w:r>
          </w:p>
        </w:tc>
        <w:tc>
          <w:tcPr>
            <w:tcW w:w="1418" w:type="dxa"/>
          </w:tcPr>
          <w:p w14:paraId="4389CA08"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263K scrapie</w:t>
            </w:r>
          </w:p>
        </w:tc>
        <w:tc>
          <w:tcPr>
            <w:tcW w:w="992" w:type="dxa"/>
          </w:tcPr>
          <w:p w14:paraId="18187BA3"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BH</w:t>
            </w:r>
          </w:p>
          <w:p w14:paraId="7E4BD0D0"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(10%)</w:t>
            </w:r>
          </w:p>
        </w:tc>
        <w:tc>
          <w:tcPr>
            <w:tcW w:w="851" w:type="dxa"/>
          </w:tcPr>
          <w:p w14:paraId="3D96A909"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Wires</w:t>
            </w:r>
          </w:p>
        </w:tc>
        <w:tc>
          <w:tcPr>
            <w:tcW w:w="1701" w:type="dxa"/>
          </w:tcPr>
          <w:p w14:paraId="57DF8048"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- 5 mins</w:t>
            </w:r>
          </w:p>
          <w:p w14:paraId="344924F8" w14:textId="77777777" w:rsidR="00DB67C1" w:rsidRPr="00DB67C1" w:rsidRDefault="00DB67C1" w:rsidP="004642FD">
            <w:pPr>
              <w:spacing w:line="240" w:lineRule="auto"/>
              <w:rPr>
                <w:rFonts w:eastAsia="Calibri" w:cs="Times New Roman"/>
                <w:sz w:val="20"/>
                <w:szCs w:val="20"/>
              </w:rPr>
            </w:pPr>
          </w:p>
        </w:tc>
        <w:tc>
          <w:tcPr>
            <w:tcW w:w="4820" w:type="dxa"/>
          </w:tcPr>
          <w:p w14:paraId="751C1DA0"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NaOH 1.0 M (60 mins 23</w:t>
            </w:r>
            <w:r w:rsidRPr="00DB67C1">
              <w:rPr>
                <w:rFonts w:eastAsia="Calibri" w:cs="Times New Roman"/>
                <w:sz w:val="20"/>
                <w:szCs w:val="20"/>
                <w:vertAlign w:val="superscript"/>
              </w:rPr>
              <w:t>°</w:t>
            </w:r>
            <w:r w:rsidRPr="00DB67C1">
              <w:rPr>
                <w:rFonts w:eastAsia="Calibri" w:cs="Times New Roman"/>
                <w:sz w:val="20"/>
                <w:szCs w:val="20"/>
              </w:rPr>
              <w:t>C)</w:t>
            </w:r>
          </w:p>
          <w:p w14:paraId="52A973AB"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NaOCl  2.5% (60 mins 23</w:t>
            </w:r>
            <w:r w:rsidRPr="00DB67C1">
              <w:rPr>
                <w:rFonts w:eastAsia="Calibri" w:cs="Times New Roman"/>
                <w:sz w:val="20"/>
                <w:szCs w:val="20"/>
                <w:vertAlign w:val="superscript"/>
              </w:rPr>
              <w:t>°</w:t>
            </w:r>
            <w:r w:rsidRPr="00DB67C1">
              <w:rPr>
                <w:rFonts w:eastAsia="Calibri" w:cs="Times New Roman"/>
                <w:sz w:val="20"/>
                <w:szCs w:val="20"/>
              </w:rPr>
              <w:t>C)</w:t>
            </w:r>
          </w:p>
          <w:p w14:paraId="49C73A5E"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Alkaline cleaner 0.5% and 1% (5/10 mins 55</w:t>
            </w:r>
            <w:r w:rsidRPr="00DB67C1">
              <w:rPr>
                <w:rFonts w:eastAsia="Calibri" w:cs="Times New Roman"/>
                <w:sz w:val="20"/>
                <w:szCs w:val="20"/>
                <w:vertAlign w:val="superscript"/>
              </w:rPr>
              <w:t>°</w:t>
            </w:r>
            <w:r w:rsidRPr="00DB67C1">
              <w:rPr>
                <w:rFonts w:eastAsia="Calibri" w:cs="Times New Roman"/>
                <w:sz w:val="20"/>
                <w:szCs w:val="20"/>
              </w:rPr>
              <w:t>C)</w:t>
            </w:r>
          </w:p>
          <w:p w14:paraId="7B16FA6B"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SDS 0.2% /NaOH 0.3% (5/10 mins 23</w:t>
            </w:r>
            <w:r w:rsidRPr="00DB67C1">
              <w:rPr>
                <w:rFonts w:eastAsia="Calibri" w:cs="Times New Roman"/>
                <w:sz w:val="20"/>
                <w:szCs w:val="20"/>
                <w:vertAlign w:val="superscript"/>
              </w:rPr>
              <w:t>°</w:t>
            </w:r>
            <w:r w:rsidRPr="00DB67C1">
              <w:rPr>
                <w:rFonts w:eastAsia="Calibri" w:cs="Times New Roman"/>
                <w:sz w:val="20"/>
                <w:szCs w:val="20"/>
              </w:rPr>
              <w:t>C)</w:t>
            </w:r>
          </w:p>
          <w:p w14:paraId="3B91C5A5"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Disinfectant with PAA 0.2% / NaOH 0.075-0.225% (120 mins 23</w:t>
            </w:r>
            <w:r w:rsidRPr="00DB67C1">
              <w:rPr>
                <w:rFonts w:eastAsia="Calibri" w:cs="Times New Roman"/>
                <w:sz w:val="20"/>
                <w:szCs w:val="20"/>
                <w:vertAlign w:val="superscript"/>
              </w:rPr>
              <w:t>°</w:t>
            </w:r>
            <w:r w:rsidRPr="00DB67C1">
              <w:rPr>
                <w:rFonts w:eastAsia="Calibri" w:cs="Times New Roman"/>
                <w:sz w:val="20"/>
                <w:szCs w:val="20"/>
              </w:rPr>
              <w:t>C)</w:t>
            </w:r>
          </w:p>
        </w:tc>
        <w:tc>
          <w:tcPr>
            <w:tcW w:w="2125" w:type="dxa"/>
          </w:tcPr>
          <w:p w14:paraId="62581EA2"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Syrian golden hamsters</w:t>
            </w:r>
          </w:p>
        </w:tc>
      </w:tr>
      <w:tr w:rsidR="00DB67C1" w:rsidRPr="00DB67C1" w14:paraId="41D176C3" w14:textId="77777777" w:rsidTr="00931EC4">
        <w:tc>
          <w:tcPr>
            <w:tcW w:w="1242" w:type="dxa"/>
          </w:tcPr>
          <w:p w14:paraId="26DB2ADF" w14:textId="343F4722" w:rsidR="00DB67C1" w:rsidRPr="003861AC" w:rsidRDefault="003861AC" w:rsidP="0076576E">
            <w:pPr>
              <w:spacing w:line="240" w:lineRule="auto"/>
              <w:rPr>
                <w:rFonts w:eastAsia="Calibri" w:cs="Times New Roman"/>
                <w:sz w:val="20"/>
                <w:szCs w:val="20"/>
              </w:rPr>
            </w:pPr>
            <w:r w:rsidRPr="003479BA">
              <w:rPr>
                <w:rFonts w:cs="Times New Roman"/>
                <w:sz w:val="20"/>
                <w:szCs w:val="20"/>
                <w:lang w:val="en"/>
              </w:rPr>
              <w:t xml:space="preserve">Rogez-Kreuz </w:t>
            </w:r>
            <w:r w:rsidR="00B301D6" w:rsidRPr="00B301D6">
              <w:rPr>
                <w:rFonts w:cs="Times New Roman"/>
                <w:i/>
                <w:sz w:val="20"/>
                <w:szCs w:val="20"/>
                <w:lang w:val="en"/>
              </w:rPr>
              <w:t>et al</w:t>
            </w:r>
            <w:r w:rsidRPr="003479BA">
              <w:rPr>
                <w:rFonts w:cs="Times New Roman"/>
                <w:sz w:val="20"/>
                <w:szCs w:val="20"/>
                <w:lang w:val="en"/>
              </w:rPr>
              <w:t>, 2009</w:t>
            </w:r>
            <w:r w:rsidRPr="003861AC">
              <w:rPr>
                <w:rFonts w:cs="Times New Roman"/>
                <w:sz w:val="20"/>
                <w:szCs w:val="20"/>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Pr="003861AC">
              <w:rPr>
                <w:rFonts w:cs="Times New Roman"/>
                <w:sz w:val="20"/>
                <w:szCs w:val="20"/>
                <w:lang w:val="en"/>
              </w:rPr>
            </w:r>
            <w:r w:rsidRPr="003861AC">
              <w:rPr>
                <w:rFonts w:cs="Times New Roman"/>
                <w:sz w:val="20"/>
                <w:szCs w:val="20"/>
                <w:lang w:val="en"/>
              </w:rPr>
              <w:fldChar w:fldCharType="separate"/>
            </w:r>
            <w:r w:rsidR="0076576E" w:rsidRPr="0076576E">
              <w:rPr>
                <w:rFonts w:cs="Times New Roman"/>
                <w:noProof/>
                <w:sz w:val="20"/>
                <w:szCs w:val="20"/>
                <w:vertAlign w:val="superscript"/>
                <w:lang w:val="en"/>
              </w:rPr>
              <w:t>170</w:t>
            </w:r>
            <w:r w:rsidRPr="003861AC">
              <w:rPr>
                <w:rFonts w:cs="Times New Roman"/>
                <w:sz w:val="20"/>
                <w:szCs w:val="20"/>
                <w:lang w:val="en"/>
              </w:rPr>
              <w:fldChar w:fldCharType="end"/>
            </w:r>
          </w:p>
        </w:tc>
        <w:tc>
          <w:tcPr>
            <w:tcW w:w="1418" w:type="dxa"/>
          </w:tcPr>
          <w:p w14:paraId="410882E1" w14:textId="77777777" w:rsidR="00DB67C1" w:rsidRPr="001D1C67" w:rsidRDefault="00DB67C1" w:rsidP="004642FD">
            <w:pPr>
              <w:spacing w:line="240" w:lineRule="auto"/>
              <w:rPr>
                <w:rFonts w:eastAsia="Calibri" w:cs="Times New Roman"/>
                <w:sz w:val="20"/>
                <w:szCs w:val="20"/>
                <w:lang w:val="nl-NL"/>
              </w:rPr>
            </w:pPr>
            <w:r w:rsidRPr="001D1C67">
              <w:rPr>
                <w:rFonts w:eastAsia="Calibri" w:cs="Times New Roman"/>
                <w:sz w:val="20"/>
                <w:szCs w:val="20"/>
                <w:lang w:val="nl-NL"/>
              </w:rPr>
              <w:t xml:space="preserve">263K scrapie, vCJD†, </w:t>
            </w:r>
          </w:p>
          <w:p w14:paraId="7E91D1B8" w14:textId="77777777" w:rsidR="00DB67C1" w:rsidRPr="001D1C67" w:rsidRDefault="00DB67C1" w:rsidP="004642FD">
            <w:pPr>
              <w:spacing w:line="240" w:lineRule="auto"/>
              <w:rPr>
                <w:rFonts w:eastAsia="Calibri" w:cs="Times New Roman"/>
                <w:sz w:val="20"/>
                <w:szCs w:val="20"/>
                <w:lang w:val="nl-NL"/>
              </w:rPr>
            </w:pPr>
            <w:r w:rsidRPr="001D1C67">
              <w:rPr>
                <w:rFonts w:eastAsia="Calibri" w:cs="Times New Roman"/>
                <w:sz w:val="20"/>
                <w:szCs w:val="20"/>
                <w:lang w:val="nl-NL"/>
              </w:rPr>
              <w:t>BSE 6PB1†</w:t>
            </w:r>
          </w:p>
        </w:tc>
        <w:tc>
          <w:tcPr>
            <w:tcW w:w="992" w:type="dxa"/>
          </w:tcPr>
          <w:p w14:paraId="3B2773D5"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BH</w:t>
            </w:r>
          </w:p>
          <w:p w14:paraId="7393931C"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(10% or 20%)</w:t>
            </w:r>
          </w:p>
        </w:tc>
        <w:tc>
          <w:tcPr>
            <w:tcW w:w="851" w:type="dxa"/>
          </w:tcPr>
          <w:p w14:paraId="7F7F861D"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 xml:space="preserve">Wires, sheets† </w:t>
            </w:r>
          </w:p>
        </w:tc>
        <w:tc>
          <w:tcPr>
            <w:tcW w:w="1701" w:type="dxa"/>
          </w:tcPr>
          <w:p w14:paraId="5A490AEF"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- 18 mins</w:t>
            </w:r>
          </w:p>
          <w:p w14:paraId="3F354B2A" w14:textId="77777777" w:rsidR="00DB67C1" w:rsidRPr="00DB67C1" w:rsidRDefault="00DB67C1" w:rsidP="004642FD">
            <w:pPr>
              <w:spacing w:line="240" w:lineRule="auto"/>
              <w:rPr>
                <w:rFonts w:eastAsia="Calibri" w:cs="Times New Roman"/>
                <w:sz w:val="20"/>
                <w:szCs w:val="20"/>
              </w:rPr>
            </w:pPr>
          </w:p>
        </w:tc>
        <w:tc>
          <w:tcPr>
            <w:tcW w:w="4820" w:type="dxa"/>
          </w:tcPr>
          <w:p w14:paraId="7A916A03" w14:textId="77777777" w:rsidR="00DB67C1" w:rsidRPr="001D1C67" w:rsidRDefault="00DB67C1" w:rsidP="004642FD">
            <w:pPr>
              <w:spacing w:line="240" w:lineRule="auto"/>
              <w:rPr>
                <w:rFonts w:eastAsia="Calibri" w:cs="Times New Roman"/>
                <w:sz w:val="20"/>
                <w:szCs w:val="20"/>
                <w:lang w:val="pt-PT"/>
              </w:rPr>
            </w:pPr>
            <w:r w:rsidRPr="001D1C67">
              <w:rPr>
                <w:rFonts w:eastAsia="Calibri" w:cs="Times New Roman"/>
                <w:sz w:val="20"/>
                <w:szCs w:val="20"/>
                <w:lang w:val="pt-PT"/>
              </w:rPr>
              <w:t>NaOH 1N (60mins)</w:t>
            </w:r>
          </w:p>
          <w:p w14:paraId="379CFA8A" w14:textId="77777777" w:rsidR="00DB67C1" w:rsidRPr="001D1C67" w:rsidRDefault="00DB67C1" w:rsidP="004642FD">
            <w:pPr>
              <w:spacing w:line="240" w:lineRule="auto"/>
              <w:rPr>
                <w:rFonts w:eastAsia="Calibri" w:cs="Times New Roman"/>
                <w:sz w:val="20"/>
                <w:szCs w:val="20"/>
                <w:lang w:val="pt-PT"/>
              </w:rPr>
            </w:pPr>
            <w:r w:rsidRPr="001D1C67">
              <w:rPr>
                <w:rFonts w:eastAsia="Calibri" w:cs="Times New Roman"/>
                <w:sz w:val="20"/>
                <w:szCs w:val="20"/>
                <w:lang w:val="pt-PT"/>
              </w:rPr>
              <w:t>H</w:t>
            </w:r>
            <w:r w:rsidRPr="001D1C67">
              <w:rPr>
                <w:rFonts w:eastAsia="Calibri" w:cs="Times New Roman"/>
                <w:sz w:val="20"/>
                <w:szCs w:val="20"/>
                <w:vertAlign w:val="subscript"/>
                <w:lang w:val="pt-PT"/>
              </w:rPr>
              <w:t>2</w:t>
            </w:r>
            <w:r w:rsidRPr="001D1C67">
              <w:rPr>
                <w:rFonts w:eastAsia="Calibri" w:cs="Times New Roman"/>
                <w:sz w:val="20"/>
                <w:szCs w:val="20"/>
                <w:lang w:val="pt-PT"/>
              </w:rPr>
              <w:t>O</w:t>
            </w:r>
            <w:r w:rsidRPr="001D1C67">
              <w:rPr>
                <w:rFonts w:eastAsia="Calibri" w:cs="Times New Roman"/>
                <w:sz w:val="20"/>
                <w:szCs w:val="20"/>
                <w:vertAlign w:val="subscript"/>
                <w:lang w:val="pt-PT"/>
              </w:rPr>
              <w:t>2</w:t>
            </w:r>
            <w:r w:rsidRPr="001D1C67">
              <w:rPr>
                <w:rFonts w:eastAsia="Calibri" w:cs="Times New Roman"/>
                <w:sz w:val="20"/>
                <w:szCs w:val="20"/>
                <w:lang w:val="pt-PT"/>
              </w:rPr>
              <w:t xml:space="preserve"> (10 mins, 20 mins)</w:t>
            </w:r>
          </w:p>
          <w:p w14:paraId="1C4446F1"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Enzymatic detergent 2% (10 mins, 37</w:t>
            </w:r>
            <w:r w:rsidRPr="00DB67C1">
              <w:rPr>
                <w:rFonts w:eastAsia="Calibri" w:cs="Times New Roman"/>
                <w:sz w:val="20"/>
                <w:szCs w:val="20"/>
                <w:vertAlign w:val="superscript"/>
              </w:rPr>
              <w:t>°</w:t>
            </w:r>
            <w:r w:rsidRPr="00DB67C1">
              <w:rPr>
                <w:rFonts w:eastAsia="Calibri" w:cs="Times New Roman"/>
                <w:sz w:val="20"/>
                <w:szCs w:val="20"/>
              </w:rPr>
              <w:t>C)</w:t>
            </w:r>
          </w:p>
          <w:p w14:paraId="026257FB"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Alkaline detergents A 1% (10 mins 70</w:t>
            </w:r>
            <w:r w:rsidRPr="00DB67C1">
              <w:rPr>
                <w:rFonts w:eastAsia="Calibri" w:cs="Times New Roman"/>
                <w:sz w:val="20"/>
                <w:szCs w:val="20"/>
                <w:vertAlign w:val="superscript"/>
              </w:rPr>
              <w:t>°</w:t>
            </w:r>
            <w:r w:rsidRPr="00DB67C1">
              <w:rPr>
                <w:rFonts w:eastAsia="Calibri" w:cs="Times New Roman"/>
                <w:sz w:val="20"/>
                <w:szCs w:val="20"/>
              </w:rPr>
              <w:t>C)</w:t>
            </w:r>
          </w:p>
          <w:p w14:paraId="11D5F627"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Alkaline detergents B 1% (10 mins 55</w:t>
            </w:r>
            <w:r w:rsidRPr="00DB67C1">
              <w:rPr>
                <w:rFonts w:eastAsia="Calibri" w:cs="Times New Roman"/>
                <w:sz w:val="20"/>
                <w:szCs w:val="20"/>
                <w:vertAlign w:val="superscript"/>
              </w:rPr>
              <w:t>°</w:t>
            </w:r>
            <w:r w:rsidRPr="00DB67C1">
              <w:rPr>
                <w:rFonts w:eastAsia="Calibri" w:cs="Times New Roman"/>
                <w:sz w:val="20"/>
                <w:szCs w:val="20"/>
              </w:rPr>
              <w:t>C)</w:t>
            </w:r>
          </w:p>
        </w:tc>
        <w:tc>
          <w:tcPr>
            <w:tcW w:w="2125" w:type="dxa"/>
          </w:tcPr>
          <w:p w14:paraId="5850F1F6" w14:textId="2D6BC285" w:rsidR="00DB67C1" w:rsidRPr="00DB67C1" w:rsidRDefault="00DB67C1" w:rsidP="004642FD">
            <w:pPr>
              <w:spacing w:line="240" w:lineRule="auto"/>
              <w:rPr>
                <w:rFonts w:eastAsia="Calibri" w:cs="Times New Roman"/>
                <w:sz w:val="20"/>
                <w:szCs w:val="20"/>
              </w:rPr>
            </w:pPr>
            <w:r w:rsidRPr="00366434">
              <w:rPr>
                <w:rFonts w:eastAsia="Calibri" w:cs="Times New Roman"/>
                <w:sz w:val="20"/>
                <w:szCs w:val="20"/>
              </w:rPr>
              <w:t xml:space="preserve">Syrian golden hamsters </w:t>
            </w:r>
          </w:p>
          <w:p w14:paraId="345F5943" w14:textId="77777777" w:rsidR="00DB67C1" w:rsidRPr="00DB67C1" w:rsidRDefault="00DB67C1" w:rsidP="004642FD">
            <w:pPr>
              <w:spacing w:line="240" w:lineRule="auto"/>
              <w:rPr>
                <w:rFonts w:eastAsia="Calibri" w:cs="Times New Roman"/>
                <w:sz w:val="20"/>
                <w:szCs w:val="20"/>
              </w:rPr>
            </w:pPr>
          </w:p>
          <w:p w14:paraId="48F03296"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WB</w:t>
            </w:r>
            <w:r w:rsidRPr="00DB67C1">
              <w:rPr>
                <w:rFonts w:eastAsia="Calibri" w:cs="Times New Roman"/>
                <w:sz w:val="16"/>
                <w:szCs w:val="16"/>
              </w:rPr>
              <w:t>†</w:t>
            </w:r>
          </w:p>
        </w:tc>
      </w:tr>
    </w:tbl>
    <w:p w14:paraId="1BC6019D" w14:textId="5D0F9BA4" w:rsidR="00DB67C1" w:rsidRPr="00DB67C1" w:rsidRDefault="00DB67C1" w:rsidP="004642FD">
      <w:pPr>
        <w:rPr>
          <w:rFonts w:eastAsia="Calibri" w:cs="Times New Roman"/>
          <w:sz w:val="16"/>
          <w:szCs w:val="16"/>
        </w:rPr>
      </w:pPr>
      <w:r w:rsidRPr="00DB67C1">
        <w:rPr>
          <w:rFonts w:eastAsia="Calibri" w:cs="Times New Roman"/>
          <w:sz w:val="16"/>
          <w:szCs w:val="16"/>
        </w:rPr>
        <w:t xml:space="preserve">BH: Brain homogenate; PMCA: protein misfolding cyclic amplification; NaOH: Sodium Hydroxide; NaOCI: Sodium Hypochlorite; SDS: Sodium dodecyl sulfate; RT: Room temperature; SSBA: Standard Steel Binding Assay; RMEC: Rapid Multi Enzyme Cleaner trial formulation; w/v: weight/volume; </w:t>
      </w:r>
      <w:r w:rsidRPr="00DB67C1">
        <w:rPr>
          <w:rFonts w:eastAsia="Calibri" w:cs="Times New Roman"/>
          <w:sz w:val="16"/>
          <w:szCs w:val="16"/>
          <w:lang w:val="en"/>
        </w:rPr>
        <w:t xml:space="preserve">AF (alkaline detergent, surfactants, chelatant); </w:t>
      </w:r>
      <w:r w:rsidRPr="00DB67C1">
        <w:rPr>
          <w:rFonts w:eastAsia="Calibri" w:cs="Times New Roman"/>
          <w:sz w:val="16"/>
          <w:szCs w:val="16"/>
        </w:rPr>
        <w:t>H</w:t>
      </w:r>
      <w:r w:rsidRPr="00DB67C1">
        <w:rPr>
          <w:rFonts w:eastAsia="Calibri" w:cs="Times New Roman"/>
          <w:sz w:val="16"/>
          <w:szCs w:val="16"/>
          <w:vertAlign w:val="subscript"/>
        </w:rPr>
        <w:t>2</w:t>
      </w:r>
      <w:r w:rsidRPr="00DB67C1">
        <w:rPr>
          <w:rFonts w:eastAsia="Calibri" w:cs="Times New Roman"/>
          <w:sz w:val="16"/>
          <w:szCs w:val="16"/>
        </w:rPr>
        <w:t>O</w:t>
      </w:r>
      <w:r w:rsidRPr="00DB67C1">
        <w:rPr>
          <w:rFonts w:eastAsia="Calibri" w:cs="Times New Roman"/>
          <w:sz w:val="16"/>
          <w:szCs w:val="16"/>
          <w:vertAlign w:val="subscript"/>
        </w:rPr>
        <w:t xml:space="preserve">2: </w:t>
      </w:r>
      <w:r w:rsidRPr="00DB67C1">
        <w:rPr>
          <w:rFonts w:eastAsia="Calibri" w:cs="Times New Roman"/>
          <w:sz w:val="16"/>
          <w:szCs w:val="16"/>
        </w:rPr>
        <w:t>Hydrogen peroxide</w:t>
      </w:r>
      <w:r w:rsidR="00CA619B">
        <w:rPr>
          <w:rFonts w:eastAsia="Calibri" w:cs="Times New Roman"/>
          <w:sz w:val="16"/>
          <w:szCs w:val="16"/>
        </w:rPr>
        <w:t>; mins: minutes</w:t>
      </w:r>
    </w:p>
    <w:p w14:paraId="18EA76C9" w14:textId="759B7403" w:rsidR="00DB67C1" w:rsidRDefault="00DB67C1" w:rsidP="004642FD">
      <w:pPr>
        <w:rPr>
          <w:rFonts w:eastAsia="Calibri" w:cs="Times New Roman"/>
          <w:sz w:val="16"/>
          <w:szCs w:val="16"/>
        </w:rPr>
      </w:pPr>
      <w:r w:rsidRPr="00DB67C1">
        <w:rPr>
          <w:rFonts w:eastAsia="Calibri" w:cs="Times New Roman"/>
          <w:sz w:val="16"/>
          <w:szCs w:val="16"/>
        </w:rPr>
        <w:t>†In vitro only</w:t>
      </w:r>
    </w:p>
    <w:p w14:paraId="17471BC2" w14:textId="77777777" w:rsidR="004642FD" w:rsidRPr="00DB67C1" w:rsidRDefault="004642FD" w:rsidP="004642FD">
      <w:pPr>
        <w:rPr>
          <w:rFonts w:eastAsia="Calibri" w:cs="Times New Roman"/>
          <w:sz w:val="16"/>
          <w:szCs w:val="16"/>
        </w:rPr>
      </w:pPr>
    </w:p>
    <w:p w14:paraId="75DBACD2" w14:textId="774B14DE" w:rsidR="00DB67C1" w:rsidRPr="00DB67C1" w:rsidRDefault="00DB67C1" w:rsidP="004642FD">
      <w:pPr>
        <w:rPr>
          <w:rFonts w:eastAsia="Calibri" w:cs="Times New Roman"/>
        </w:rPr>
      </w:pPr>
      <w:r w:rsidRPr="00DB67C1">
        <w:rPr>
          <w:rFonts w:eastAsia="Calibri" w:cs="Times New Roman"/>
        </w:rPr>
        <w:t>The aim of some studies is development of a prion detection assay, rather than the de</w:t>
      </w:r>
      <w:r w:rsidR="00366434">
        <w:rPr>
          <w:rFonts w:eastAsia="Calibri" w:cs="Times New Roman"/>
        </w:rPr>
        <w:t xml:space="preserve">velopment of the decontaminant, e.g., </w:t>
      </w:r>
      <w:r w:rsidRPr="00DB67C1">
        <w:rPr>
          <w:rFonts w:eastAsia="Calibri" w:cs="Times New Roman"/>
        </w:rPr>
        <w:t>Belondrade</w:t>
      </w:r>
      <w:r w:rsidR="00366434">
        <w:rPr>
          <w:rFonts w:eastAsia="Calibri" w:cs="Times New Roman"/>
        </w:rPr>
        <w:t xml:space="preserve"> </w:t>
      </w:r>
      <w:r w:rsidR="00B301D6" w:rsidRPr="00B301D6">
        <w:rPr>
          <w:rFonts w:eastAsia="Calibri" w:cs="Times New Roman"/>
          <w:i/>
        </w:rPr>
        <w:t>et al</w:t>
      </w:r>
      <w:r w:rsidR="00366434">
        <w:rPr>
          <w:rFonts w:eastAsia="Calibri" w:cs="Times New Roman"/>
        </w:rPr>
        <w:t xml:space="preserve"> (</w:t>
      </w:r>
      <w:r w:rsidRPr="00DB67C1">
        <w:rPr>
          <w:rFonts w:eastAsia="Calibri" w:cs="Times New Roman"/>
        </w:rPr>
        <w:t>2016</w:t>
      </w:r>
      <w:r w:rsidR="00366434">
        <w:rPr>
          <w:rFonts w:eastAsia="Calibri" w:cs="Times New Roman"/>
        </w:rPr>
        <w:t>).</w:t>
      </w:r>
    </w:p>
    <w:p w14:paraId="362C4FF3" w14:textId="77777777" w:rsidR="004642FD" w:rsidRDefault="004642FD">
      <w:pPr>
        <w:spacing w:after="160" w:line="259" w:lineRule="auto"/>
        <w:rPr>
          <w:b/>
          <w:iCs/>
          <w:szCs w:val="18"/>
        </w:rPr>
      </w:pPr>
      <w:bookmarkStart w:id="65" w:name="_Ref508886372"/>
      <w:r>
        <w:br w:type="page"/>
      </w:r>
    </w:p>
    <w:p w14:paraId="0781F026" w14:textId="090D27C0" w:rsidR="00DB67C1" w:rsidRPr="00DB67C1" w:rsidRDefault="00BD14CD" w:rsidP="004642FD">
      <w:pPr>
        <w:pStyle w:val="Caption"/>
        <w:spacing w:line="360" w:lineRule="auto"/>
        <w:ind w:left="1440" w:hanging="1440"/>
        <w:rPr>
          <w:rFonts w:eastAsia="Calibri" w:cs="Times New Roman"/>
        </w:rPr>
      </w:pPr>
      <w:bookmarkStart w:id="66" w:name="_Toc525106700"/>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13</w:t>
      </w:r>
      <w:r w:rsidR="00F62DB8">
        <w:rPr>
          <w:noProof/>
        </w:rPr>
        <w:fldChar w:fldCharType="end"/>
      </w:r>
      <w:bookmarkEnd w:id="65"/>
      <w:r w:rsidR="004642FD">
        <w:t>:</w:t>
      </w:r>
      <w:r w:rsidR="004642FD">
        <w:tab/>
      </w:r>
      <w:r w:rsidRPr="00EA2FB5">
        <w:t>Results of studies reporting log reductions in prion contamination on steel surfaces after autoclaving with and without other processes</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064"/>
        <w:gridCol w:w="1585"/>
        <w:gridCol w:w="4676"/>
        <w:gridCol w:w="1039"/>
        <w:gridCol w:w="1418"/>
        <w:gridCol w:w="1275"/>
      </w:tblGrid>
      <w:tr w:rsidR="00DB67C1" w:rsidRPr="00DB67C1" w14:paraId="7893B05A" w14:textId="77777777" w:rsidTr="00931EC4">
        <w:trPr>
          <w:tblHeader/>
        </w:trPr>
        <w:tc>
          <w:tcPr>
            <w:tcW w:w="1526" w:type="dxa"/>
            <w:vMerge w:val="restart"/>
          </w:tcPr>
          <w:p w14:paraId="1EE69F06"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Study</w:t>
            </w:r>
          </w:p>
        </w:tc>
        <w:tc>
          <w:tcPr>
            <w:tcW w:w="1064" w:type="dxa"/>
            <w:vMerge w:val="restart"/>
          </w:tcPr>
          <w:p w14:paraId="106F6C05"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Prion strain</w:t>
            </w:r>
          </w:p>
        </w:tc>
        <w:tc>
          <w:tcPr>
            <w:tcW w:w="6261" w:type="dxa"/>
            <w:gridSpan w:val="2"/>
          </w:tcPr>
          <w:p w14:paraId="1D8FB032" w14:textId="77777777" w:rsidR="00DB67C1" w:rsidRPr="00DB67C1" w:rsidRDefault="00DB67C1" w:rsidP="004642FD">
            <w:pPr>
              <w:spacing w:line="240" w:lineRule="auto"/>
              <w:jc w:val="center"/>
              <w:rPr>
                <w:rFonts w:eastAsia="Calibri" w:cs="Times New Roman"/>
                <w:b/>
                <w:sz w:val="20"/>
                <w:szCs w:val="20"/>
              </w:rPr>
            </w:pPr>
            <w:r w:rsidRPr="00DB67C1">
              <w:rPr>
                <w:rFonts w:eastAsia="Calibri" w:cs="Times New Roman"/>
                <w:b/>
                <w:sz w:val="20"/>
                <w:szCs w:val="20"/>
              </w:rPr>
              <w:t>Decontamination methods</w:t>
            </w:r>
          </w:p>
        </w:tc>
        <w:tc>
          <w:tcPr>
            <w:tcW w:w="1039" w:type="dxa"/>
            <w:vMerge w:val="restart"/>
          </w:tcPr>
          <w:p w14:paraId="2C67205E"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Log reduction</w:t>
            </w:r>
          </w:p>
        </w:tc>
        <w:tc>
          <w:tcPr>
            <w:tcW w:w="1418" w:type="dxa"/>
            <w:vMerge w:val="restart"/>
          </w:tcPr>
          <w:p w14:paraId="0B518474"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Transmission rate</w:t>
            </w:r>
          </w:p>
        </w:tc>
        <w:tc>
          <w:tcPr>
            <w:tcW w:w="1275" w:type="dxa"/>
            <w:vMerge w:val="restart"/>
          </w:tcPr>
          <w:p w14:paraId="5153027F"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Incubation period days (SD)</w:t>
            </w:r>
          </w:p>
        </w:tc>
      </w:tr>
      <w:tr w:rsidR="00DB67C1" w:rsidRPr="00DB67C1" w14:paraId="3BBA48A5" w14:textId="77777777" w:rsidTr="00931EC4">
        <w:tc>
          <w:tcPr>
            <w:tcW w:w="1526" w:type="dxa"/>
            <w:vMerge/>
          </w:tcPr>
          <w:p w14:paraId="54E17451" w14:textId="77777777" w:rsidR="00DB67C1" w:rsidRPr="00DB67C1" w:rsidRDefault="00DB67C1" w:rsidP="004642FD">
            <w:pPr>
              <w:spacing w:line="240" w:lineRule="auto"/>
              <w:rPr>
                <w:rFonts w:eastAsia="Calibri" w:cs="Times New Roman"/>
                <w:sz w:val="20"/>
                <w:szCs w:val="20"/>
              </w:rPr>
            </w:pPr>
          </w:p>
        </w:tc>
        <w:tc>
          <w:tcPr>
            <w:tcW w:w="1064" w:type="dxa"/>
            <w:vMerge/>
          </w:tcPr>
          <w:p w14:paraId="68381892" w14:textId="77777777" w:rsidR="00DB67C1" w:rsidRPr="00DB67C1" w:rsidRDefault="00DB67C1" w:rsidP="004642FD">
            <w:pPr>
              <w:spacing w:line="240" w:lineRule="auto"/>
              <w:rPr>
                <w:rFonts w:eastAsia="Calibri" w:cs="Times New Roman"/>
                <w:sz w:val="20"/>
                <w:szCs w:val="20"/>
              </w:rPr>
            </w:pPr>
          </w:p>
        </w:tc>
        <w:tc>
          <w:tcPr>
            <w:tcW w:w="1585" w:type="dxa"/>
          </w:tcPr>
          <w:p w14:paraId="4B138E60"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 xml:space="preserve">Autoclaving </w:t>
            </w:r>
          </w:p>
        </w:tc>
        <w:tc>
          <w:tcPr>
            <w:tcW w:w="4676" w:type="dxa"/>
          </w:tcPr>
          <w:p w14:paraId="4849E3F3" w14:textId="77777777" w:rsidR="00DB67C1" w:rsidRPr="00DB67C1" w:rsidRDefault="00DB67C1" w:rsidP="004642FD">
            <w:pPr>
              <w:spacing w:line="240" w:lineRule="auto"/>
              <w:rPr>
                <w:rFonts w:eastAsia="Calibri" w:cs="Times New Roman"/>
                <w:b/>
                <w:sz w:val="20"/>
                <w:szCs w:val="20"/>
              </w:rPr>
            </w:pPr>
            <w:r w:rsidRPr="00DB67C1">
              <w:rPr>
                <w:rFonts w:eastAsia="Calibri" w:cs="Times New Roman"/>
                <w:b/>
                <w:sz w:val="20"/>
                <w:szCs w:val="20"/>
              </w:rPr>
              <w:t>Other</w:t>
            </w:r>
          </w:p>
          <w:p w14:paraId="55BAAA68" w14:textId="77777777" w:rsidR="00DB67C1" w:rsidRPr="00DB67C1" w:rsidRDefault="00DB67C1" w:rsidP="004642FD">
            <w:pPr>
              <w:spacing w:line="240" w:lineRule="auto"/>
              <w:rPr>
                <w:rFonts w:eastAsia="Calibri" w:cs="Times New Roman"/>
                <w:b/>
                <w:sz w:val="20"/>
                <w:szCs w:val="20"/>
              </w:rPr>
            </w:pPr>
          </w:p>
        </w:tc>
        <w:tc>
          <w:tcPr>
            <w:tcW w:w="1039" w:type="dxa"/>
            <w:vMerge/>
          </w:tcPr>
          <w:p w14:paraId="75283C68" w14:textId="77777777" w:rsidR="00DB67C1" w:rsidRPr="00DB67C1" w:rsidRDefault="00DB67C1" w:rsidP="004642FD">
            <w:pPr>
              <w:spacing w:line="240" w:lineRule="auto"/>
              <w:rPr>
                <w:rFonts w:eastAsia="Calibri" w:cs="Times New Roman"/>
                <w:sz w:val="20"/>
                <w:szCs w:val="20"/>
              </w:rPr>
            </w:pPr>
          </w:p>
        </w:tc>
        <w:tc>
          <w:tcPr>
            <w:tcW w:w="1418" w:type="dxa"/>
            <w:vMerge/>
          </w:tcPr>
          <w:p w14:paraId="23A25FD0" w14:textId="77777777" w:rsidR="00DB67C1" w:rsidRPr="00DB67C1" w:rsidRDefault="00DB67C1" w:rsidP="004642FD">
            <w:pPr>
              <w:spacing w:line="240" w:lineRule="auto"/>
              <w:rPr>
                <w:rFonts w:eastAsia="Calibri" w:cs="Times New Roman"/>
                <w:sz w:val="20"/>
                <w:szCs w:val="20"/>
              </w:rPr>
            </w:pPr>
          </w:p>
        </w:tc>
        <w:tc>
          <w:tcPr>
            <w:tcW w:w="1275" w:type="dxa"/>
            <w:vMerge/>
          </w:tcPr>
          <w:p w14:paraId="2742761F" w14:textId="77777777" w:rsidR="00DB67C1" w:rsidRPr="00DB67C1" w:rsidRDefault="00DB67C1" w:rsidP="004642FD">
            <w:pPr>
              <w:spacing w:line="240" w:lineRule="auto"/>
              <w:rPr>
                <w:rFonts w:eastAsia="Calibri" w:cs="Times New Roman"/>
                <w:sz w:val="20"/>
                <w:szCs w:val="20"/>
              </w:rPr>
            </w:pPr>
          </w:p>
        </w:tc>
      </w:tr>
      <w:tr w:rsidR="00DB67C1" w:rsidRPr="00DB67C1" w14:paraId="340C9CDC" w14:textId="77777777" w:rsidTr="00931EC4">
        <w:tc>
          <w:tcPr>
            <w:tcW w:w="1526" w:type="dxa"/>
            <w:vMerge w:val="restart"/>
          </w:tcPr>
          <w:p w14:paraId="7481C36C" w14:textId="25ACE0D2" w:rsidR="00DB67C1" w:rsidRPr="00DB67C1" w:rsidRDefault="003861AC" w:rsidP="0076576E">
            <w:pPr>
              <w:spacing w:line="240" w:lineRule="auto"/>
              <w:rPr>
                <w:rFonts w:eastAsia="Calibri" w:cs="Times New Roman"/>
                <w:sz w:val="20"/>
                <w:szCs w:val="20"/>
              </w:rPr>
            </w:pPr>
            <w:r w:rsidRPr="003861AC">
              <w:rPr>
                <w:rFonts w:cs="Times New Roman"/>
                <w:sz w:val="20"/>
                <w:szCs w:val="20"/>
                <w:lang w:val="en"/>
              </w:rPr>
              <w:t xml:space="preserve">Belondrade </w:t>
            </w:r>
            <w:r w:rsidR="00B301D6" w:rsidRPr="00B301D6">
              <w:rPr>
                <w:rFonts w:cs="Times New Roman"/>
                <w:i/>
                <w:sz w:val="20"/>
                <w:szCs w:val="20"/>
                <w:lang w:val="en"/>
              </w:rPr>
              <w:t>et al</w:t>
            </w:r>
            <w:r w:rsidRPr="003861AC">
              <w:rPr>
                <w:rFonts w:cs="Times New Roman"/>
                <w:sz w:val="20"/>
                <w:szCs w:val="20"/>
                <w:lang w:val="en"/>
              </w:rPr>
              <w:t>, 2016</w:t>
            </w:r>
            <w:r w:rsidRPr="003861AC">
              <w:rPr>
                <w:rFonts w:cs="Times New Roman"/>
                <w:sz w:val="20"/>
                <w:szCs w:val="20"/>
                <w:lang w:val="en"/>
              </w:rPr>
              <w:fldChar w:fldCharType="begin"/>
            </w:r>
            <w:r w:rsidR="0076576E">
              <w:rPr>
                <w:rFonts w:cs="Times New Roman"/>
                <w:sz w:val="20"/>
                <w:szCs w:val="20"/>
                <w:lang w:val="en"/>
              </w:rPr>
              <w:instrText xml:space="preserve"> ADDIN EN.CITE &lt;EndNote&gt;&lt;Cite&gt;&lt;Author&gt;Belondrade&lt;/Author&gt;&lt;Year&gt;2016&lt;/Year&gt;&lt;RecNum&gt;10275&lt;/RecNum&gt;&lt;DisplayText&gt;&lt;style face="superscript"&gt;171&lt;/style&gt;&lt;/DisplayText&gt;&lt;record&gt;&lt;rec-number&gt;10275&lt;/rec-number&gt;&lt;foreign-keys&gt;&lt;key app="EN" db-id="vrp0pptazv05wtesfz5vrzsj2p0rv09ttsa9" timestamp="1521469700" guid="ea0094e7-3c92-4fa9-809d-d65e2d41a3e6"&gt;10275&lt;/key&gt;&lt;/foreign-keys&gt;&lt;ref-type name="Journal Article"&gt;17&lt;/ref-type&gt;&lt;contributors&gt;&lt;authors&gt;&lt;author&gt;Belondrade, Maxime&lt;/author&gt;&lt;author&gt;Nicot, Simon&lt;/author&gt;&lt;author&gt;Béringue, Vincent&lt;/author&gt;&lt;author&gt;Coste, Joliette&lt;/author&gt;&lt;author&gt;Lehmann, Sylvain&lt;/author&gt;&lt;author&gt;Bougard, Daisy&lt;/author&gt;&lt;/authors&gt;&lt;/contributors&gt;&lt;titles&gt;&lt;title&gt;Rapid and highly sensitive detection of variant Creutzfeldt-Jakob disease abnormal prion protein on steel surfaces by protein misfolding cyclic amplification: application to prion decontamination Studies&lt;/title&gt;&lt;secondary-title&gt;PloS one&lt;/secondary-title&gt;&lt;/titles&gt;&lt;periodical&gt;&lt;full-title&gt;PLoS ONE [Electronic Resource]&lt;/full-title&gt;&lt;abbr-1&gt;PLoS ONE&lt;/abbr-1&gt;&lt;/periodical&gt;&lt;pages&gt;e0146833&lt;/pages&gt;&lt;volume&gt;11&lt;/volume&gt;&lt;number&gt;1&lt;/number&gt;&lt;keywords&gt;&lt;keyword&gt;$$CC_5_instrument decontamination&lt;/keyword&gt;&lt;keyword&gt;$$5_instrument decontamination&lt;/keyword&gt;&lt;keyword&gt;$$Lesley google&lt;/keyword&gt;&lt;/keywords&gt;&lt;dates&gt;&lt;year&gt;2016&lt;/year&gt;&lt;/dates&gt;&lt;isbn&gt;1932-6203&lt;/isbn&gt;&lt;urls&gt;&lt;/urls&gt;&lt;/record&gt;&lt;/Cite&gt;&lt;/EndNote&gt;</w:instrText>
            </w:r>
            <w:r w:rsidRPr="003861AC">
              <w:rPr>
                <w:rFonts w:cs="Times New Roman"/>
                <w:sz w:val="20"/>
                <w:szCs w:val="20"/>
                <w:lang w:val="en"/>
              </w:rPr>
              <w:fldChar w:fldCharType="separate"/>
            </w:r>
            <w:r w:rsidR="0076576E" w:rsidRPr="0076576E">
              <w:rPr>
                <w:rFonts w:cs="Times New Roman"/>
                <w:noProof/>
                <w:sz w:val="20"/>
                <w:szCs w:val="20"/>
                <w:vertAlign w:val="superscript"/>
                <w:lang w:val="en"/>
              </w:rPr>
              <w:t>171</w:t>
            </w:r>
            <w:r w:rsidRPr="003861AC">
              <w:rPr>
                <w:rFonts w:cs="Times New Roman"/>
                <w:sz w:val="20"/>
                <w:szCs w:val="20"/>
                <w:lang w:val="en"/>
              </w:rPr>
              <w:fldChar w:fldCharType="end"/>
            </w:r>
          </w:p>
        </w:tc>
        <w:tc>
          <w:tcPr>
            <w:tcW w:w="1064" w:type="dxa"/>
            <w:vMerge w:val="restart"/>
          </w:tcPr>
          <w:p w14:paraId="3132EC23"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 xml:space="preserve">127S </w:t>
            </w:r>
          </w:p>
        </w:tc>
        <w:tc>
          <w:tcPr>
            <w:tcW w:w="1585" w:type="dxa"/>
          </w:tcPr>
          <w:p w14:paraId="0999D5C2"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121</w:t>
            </w:r>
            <w:r w:rsidRPr="00DB67C1">
              <w:rPr>
                <w:rFonts w:eastAsia="Calibri" w:cs="Times New Roman"/>
                <w:sz w:val="20"/>
                <w:szCs w:val="20"/>
                <w:vertAlign w:val="superscript"/>
              </w:rPr>
              <w:t>°</w:t>
            </w:r>
            <w:r w:rsidRPr="00DB67C1">
              <w:rPr>
                <w:rFonts w:eastAsia="Calibri" w:cs="Times New Roman"/>
                <w:sz w:val="20"/>
                <w:szCs w:val="20"/>
              </w:rPr>
              <w:t>C - 20 mins</w:t>
            </w:r>
          </w:p>
        </w:tc>
        <w:tc>
          <w:tcPr>
            <w:tcW w:w="4676" w:type="dxa"/>
          </w:tcPr>
          <w:p w14:paraId="6DAA1B30" w14:textId="77777777" w:rsidR="00DB67C1" w:rsidRPr="00DB67C1" w:rsidRDefault="00DB67C1" w:rsidP="004642FD">
            <w:pPr>
              <w:spacing w:line="240" w:lineRule="auto"/>
              <w:rPr>
                <w:rFonts w:eastAsia="Calibri" w:cs="Times New Roman"/>
                <w:sz w:val="20"/>
                <w:szCs w:val="20"/>
              </w:rPr>
            </w:pPr>
          </w:p>
        </w:tc>
        <w:tc>
          <w:tcPr>
            <w:tcW w:w="1039" w:type="dxa"/>
          </w:tcPr>
          <w:p w14:paraId="31E1E49E"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u w:val="single"/>
              </w:rPr>
              <w:t>&gt;</w:t>
            </w:r>
            <w:r w:rsidRPr="00DB67C1">
              <w:rPr>
                <w:rFonts w:eastAsia="Calibri" w:cs="Times New Roman"/>
                <w:sz w:val="20"/>
                <w:szCs w:val="20"/>
              </w:rPr>
              <w:t xml:space="preserve"> 5</w:t>
            </w:r>
          </w:p>
        </w:tc>
        <w:tc>
          <w:tcPr>
            <w:tcW w:w="1418" w:type="dxa"/>
          </w:tcPr>
          <w:p w14:paraId="420C55B1"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10/12 (83%)</w:t>
            </w:r>
          </w:p>
        </w:tc>
        <w:tc>
          <w:tcPr>
            <w:tcW w:w="1275" w:type="dxa"/>
          </w:tcPr>
          <w:p w14:paraId="6E404E66" w14:textId="3F7279D9"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r>
      <w:tr w:rsidR="00DB67C1" w:rsidRPr="00DB67C1" w14:paraId="6BBF9053" w14:textId="77777777" w:rsidTr="00931EC4">
        <w:tc>
          <w:tcPr>
            <w:tcW w:w="1526" w:type="dxa"/>
            <w:vMerge/>
          </w:tcPr>
          <w:p w14:paraId="62EA7CDC" w14:textId="77777777" w:rsidR="00DB67C1" w:rsidRPr="00DB67C1" w:rsidRDefault="00DB67C1" w:rsidP="004642FD">
            <w:pPr>
              <w:spacing w:line="240" w:lineRule="auto"/>
              <w:rPr>
                <w:rFonts w:eastAsia="Calibri" w:cs="Times New Roman"/>
                <w:sz w:val="20"/>
                <w:szCs w:val="20"/>
              </w:rPr>
            </w:pPr>
          </w:p>
        </w:tc>
        <w:tc>
          <w:tcPr>
            <w:tcW w:w="1064" w:type="dxa"/>
            <w:vMerge/>
          </w:tcPr>
          <w:p w14:paraId="58C4F510" w14:textId="77777777" w:rsidR="00DB67C1" w:rsidRPr="00DB67C1" w:rsidRDefault="00DB67C1" w:rsidP="004642FD">
            <w:pPr>
              <w:spacing w:line="240" w:lineRule="auto"/>
              <w:rPr>
                <w:rFonts w:eastAsia="Calibri" w:cs="Times New Roman"/>
                <w:sz w:val="20"/>
                <w:szCs w:val="20"/>
              </w:rPr>
            </w:pPr>
          </w:p>
        </w:tc>
        <w:tc>
          <w:tcPr>
            <w:tcW w:w="1585" w:type="dxa"/>
          </w:tcPr>
          <w:p w14:paraId="16FA4B4B"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- 20 mins</w:t>
            </w:r>
          </w:p>
        </w:tc>
        <w:tc>
          <w:tcPr>
            <w:tcW w:w="4676" w:type="dxa"/>
          </w:tcPr>
          <w:p w14:paraId="1B2745FA" w14:textId="77777777" w:rsidR="00DB67C1" w:rsidRPr="00DB67C1" w:rsidRDefault="00DB67C1" w:rsidP="004642FD">
            <w:pPr>
              <w:spacing w:line="240" w:lineRule="auto"/>
              <w:rPr>
                <w:rFonts w:eastAsia="Calibri" w:cs="Times New Roman"/>
                <w:sz w:val="20"/>
                <w:szCs w:val="20"/>
              </w:rPr>
            </w:pPr>
          </w:p>
        </w:tc>
        <w:tc>
          <w:tcPr>
            <w:tcW w:w="1039" w:type="dxa"/>
          </w:tcPr>
          <w:p w14:paraId="4CB45778" w14:textId="1E1269B8" w:rsidR="00DB67C1" w:rsidRPr="00DB67C1" w:rsidRDefault="00074D8B" w:rsidP="004642FD">
            <w:pPr>
              <w:spacing w:line="240" w:lineRule="auto"/>
              <w:rPr>
                <w:rFonts w:eastAsia="Calibri" w:cs="Times New Roman"/>
                <w:sz w:val="20"/>
                <w:szCs w:val="20"/>
              </w:rPr>
            </w:pPr>
            <w:r>
              <w:rPr>
                <w:rFonts w:eastAsia="Calibri" w:cs="Times New Roman"/>
                <w:sz w:val="20"/>
                <w:szCs w:val="20"/>
              </w:rPr>
              <w:t>FE</w:t>
            </w:r>
          </w:p>
        </w:tc>
        <w:tc>
          <w:tcPr>
            <w:tcW w:w="1418" w:type="dxa"/>
          </w:tcPr>
          <w:p w14:paraId="3D8C73A8" w14:textId="5AF805D4"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0/12</w:t>
            </w:r>
            <w:r w:rsidR="00074D8B">
              <w:rPr>
                <w:rFonts w:eastAsia="Calibri" w:cs="Times New Roman"/>
                <w:sz w:val="20"/>
                <w:szCs w:val="20"/>
              </w:rPr>
              <w:t xml:space="preserve"> (0%)</w:t>
            </w:r>
          </w:p>
        </w:tc>
        <w:tc>
          <w:tcPr>
            <w:tcW w:w="1275" w:type="dxa"/>
          </w:tcPr>
          <w:p w14:paraId="503DBE6F" w14:textId="6F1FF226"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r>
      <w:tr w:rsidR="00DB67C1" w:rsidRPr="00DB67C1" w14:paraId="159378C9" w14:textId="77777777" w:rsidTr="00931EC4">
        <w:tc>
          <w:tcPr>
            <w:tcW w:w="1526" w:type="dxa"/>
            <w:vMerge/>
          </w:tcPr>
          <w:p w14:paraId="2F109E7D" w14:textId="77777777" w:rsidR="00DB67C1" w:rsidRPr="00DB67C1" w:rsidRDefault="00DB67C1" w:rsidP="004642FD">
            <w:pPr>
              <w:spacing w:line="240" w:lineRule="auto"/>
              <w:rPr>
                <w:rFonts w:eastAsia="Calibri" w:cs="Times New Roman"/>
                <w:sz w:val="20"/>
                <w:szCs w:val="20"/>
              </w:rPr>
            </w:pPr>
          </w:p>
        </w:tc>
        <w:tc>
          <w:tcPr>
            <w:tcW w:w="1064" w:type="dxa"/>
            <w:vMerge w:val="restart"/>
          </w:tcPr>
          <w:p w14:paraId="2B9CEF43"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vCJD</w:t>
            </w:r>
          </w:p>
        </w:tc>
        <w:tc>
          <w:tcPr>
            <w:tcW w:w="1585" w:type="dxa"/>
          </w:tcPr>
          <w:p w14:paraId="3E93AC9D"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121</w:t>
            </w:r>
            <w:r w:rsidRPr="00DB67C1">
              <w:rPr>
                <w:rFonts w:eastAsia="Calibri" w:cs="Times New Roman"/>
                <w:sz w:val="20"/>
                <w:szCs w:val="20"/>
                <w:vertAlign w:val="superscript"/>
              </w:rPr>
              <w:t>°</w:t>
            </w:r>
            <w:r w:rsidRPr="00DB67C1">
              <w:rPr>
                <w:rFonts w:eastAsia="Calibri" w:cs="Times New Roman"/>
                <w:sz w:val="20"/>
                <w:szCs w:val="20"/>
              </w:rPr>
              <w:t>C - 20 mins</w:t>
            </w:r>
          </w:p>
        </w:tc>
        <w:tc>
          <w:tcPr>
            <w:tcW w:w="4676" w:type="dxa"/>
          </w:tcPr>
          <w:p w14:paraId="4251E39E" w14:textId="77777777" w:rsidR="00DB67C1" w:rsidRPr="00DB67C1" w:rsidRDefault="00DB67C1" w:rsidP="004642FD">
            <w:pPr>
              <w:spacing w:line="240" w:lineRule="auto"/>
              <w:rPr>
                <w:rFonts w:eastAsia="Calibri" w:cs="Times New Roman"/>
                <w:sz w:val="20"/>
                <w:szCs w:val="20"/>
              </w:rPr>
            </w:pPr>
          </w:p>
        </w:tc>
        <w:tc>
          <w:tcPr>
            <w:tcW w:w="1039" w:type="dxa"/>
          </w:tcPr>
          <w:p w14:paraId="5A960368"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5</w:t>
            </w:r>
          </w:p>
        </w:tc>
        <w:tc>
          <w:tcPr>
            <w:tcW w:w="1418" w:type="dxa"/>
          </w:tcPr>
          <w:p w14:paraId="480D92E9" w14:textId="300E94F6"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1/8</w:t>
            </w:r>
            <w:r w:rsidR="00074D8B">
              <w:rPr>
                <w:rFonts w:eastAsia="Calibri" w:cs="Times New Roman"/>
                <w:sz w:val="20"/>
                <w:szCs w:val="20"/>
              </w:rPr>
              <w:t xml:space="preserve"> (12.5%)</w:t>
            </w:r>
          </w:p>
        </w:tc>
        <w:tc>
          <w:tcPr>
            <w:tcW w:w="1275" w:type="dxa"/>
          </w:tcPr>
          <w:p w14:paraId="4BC9BE39" w14:textId="76E0CE93"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r>
      <w:tr w:rsidR="00DB67C1" w:rsidRPr="00DB67C1" w14:paraId="7545740E" w14:textId="77777777" w:rsidTr="00931EC4">
        <w:tc>
          <w:tcPr>
            <w:tcW w:w="1526" w:type="dxa"/>
            <w:vMerge/>
          </w:tcPr>
          <w:p w14:paraId="558D75F5" w14:textId="77777777" w:rsidR="00DB67C1" w:rsidRPr="00DB67C1" w:rsidRDefault="00DB67C1" w:rsidP="004642FD">
            <w:pPr>
              <w:spacing w:line="240" w:lineRule="auto"/>
              <w:rPr>
                <w:rFonts w:eastAsia="Calibri" w:cs="Times New Roman"/>
                <w:sz w:val="20"/>
                <w:szCs w:val="20"/>
              </w:rPr>
            </w:pPr>
          </w:p>
        </w:tc>
        <w:tc>
          <w:tcPr>
            <w:tcW w:w="1064" w:type="dxa"/>
            <w:vMerge/>
          </w:tcPr>
          <w:p w14:paraId="2EF32806" w14:textId="77777777" w:rsidR="00DB67C1" w:rsidRPr="00DB67C1" w:rsidRDefault="00DB67C1" w:rsidP="004642FD">
            <w:pPr>
              <w:spacing w:line="240" w:lineRule="auto"/>
              <w:rPr>
                <w:rFonts w:eastAsia="Calibri" w:cs="Times New Roman"/>
                <w:sz w:val="20"/>
                <w:szCs w:val="20"/>
              </w:rPr>
            </w:pPr>
          </w:p>
        </w:tc>
        <w:tc>
          <w:tcPr>
            <w:tcW w:w="1585" w:type="dxa"/>
          </w:tcPr>
          <w:p w14:paraId="415336DC"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- 20 mins</w:t>
            </w:r>
          </w:p>
        </w:tc>
        <w:tc>
          <w:tcPr>
            <w:tcW w:w="4676" w:type="dxa"/>
          </w:tcPr>
          <w:p w14:paraId="306C771B" w14:textId="77777777" w:rsidR="00DB67C1" w:rsidRPr="00DB67C1" w:rsidRDefault="00DB67C1" w:rsidP="004642FD">
            <w:pPr>
              <w:spacing w:line="240" w:lineRule="auto"/>
              <w:rPr>
                <w:rFonts w:eastAsia="Calibri" w:cs="Times New Roman"/>
                <w:sz w:val="20"/>
                <w:szCs w:val="20"/>
              </w:rPr>
            </w:pPr>
          </w:p>
        </w:tc>
        <w:tc>
          <w:tcPr>
            <w:tcW w:w="1039" w:type="dxa"/>
          </w:tcPr>
          <w:p w14:paraId="4C2210D6" w14:textId="1E0ED2B3" w:rsidR="00DB67C1" w:rsidRPr="00DB67C1" w:rsidRDefault="00074D8B" w:rsidP="004642FD">
            <w:pPr>
              <w:spacing w:line="240" w:lineRule="auto"/>
              <w:rPr>
                <w:rFonts w:eastAsia="Calibri" w:cs="Times New Roman"/>
                <w:sz w:val="20"/>
                <w:szCs w:val="20"/>
              </w:rPr>
            </w:pPr>
            <w:r>
              <w:rPr>
                <w:rFonts w:eastAsia="Calibri" w:cs="Times New Roman"/>
                <w:sz w:val="20"/>
                <w:szCs w:val="20"/>
              </w:rPr>
              <w:t>FE</w:t>
            </w:r>
          </w:p>
        </w:tc>
        <w:tc>
          <w:tcPr>
            <w:tcW w:w="1418" w:type="dxa"/>
          </w:tcPr>
          <w:p w14:paraId="51ECCD43" w14:textId="64E880BA"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0/8</w:t>
            </w:r>
            <w:r w:rsidR="00074D8B">
              <w:rPr>
                <w:rFonts w:eastAsia="Calibri" w:cs="Times New Roman"/>
                <w:sz w:val="20"/>
                <w:szCs w:val="20"/>
              </w:rPr>
              <w:t xml:space="preserve"> (0%)</w:t>
            </w:r>
          </w:p>
        </w:tc>
        <w:tc>
          <w:tcPr>
            <w:tcW w:w="1275" w:type="dxa"/>
          </w:tcPr>
          <w:p w14:paraId="048B7649" w14:textId="2BB0A662"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r>
      <w:tr w:rsidR="00DB67C1" w:rsidRPr="00DB67C1" w14:paraId="339B9745" w14:textId="77777777" w:rsidTr="00931EC4">
        <w:tc>
          <w:tcPr>
            <w:tcW w:w="1526" w:type="dxa"/>
            <w:vMerge w:val="restart"/>
          </w:tcPr>
          <w:p w14:paraId="04823D5E" w14:textId="15C35D9C" w:rsidR="00DB67C1" w:rsidRPr="00DB67C1" w:rsidRDefault="003861AC" w:rsidP="0076576E">
            <w:pPr>
              <w:spacing w:line="240" w:lineRule="auto"/>
              <w:rPr>
                <w:rFonts w:eastAsia="Calibri" w:cs="Times New Roman"/>
                <w:sz w:val="20"/>
                <w:szCs w:val="20"/>
              </w:rPr>
            </w:pPr>
            <w:r w:rsidRPr="00074D8B">
              <w:rPr>
                <w:rFonts w:cs="Times New Roman"/>
                <w:sz w:val="20"/>
                <w:szCs w:val="20"/>
                <w:lang w:val="en"/>
              </w:rPr>
              <w:t xml:space="preserve">Lawson </w:t>
            </w:r>
            <w:r w:rsidR="00B301D6" w:rsidRPr="00B301D6">
              <w:rPr>
                <w:rFonts w:cs="Times New Roman"/>
                <w:i/>
                <w:sz w:val="20"/>
                <w:szCs w:val="20"/>
                <w:lang w:val="en"/>
              </w:rPr>
              <w:t>et al</w:t>
            </w:r>
            <w:r w:rsidRPr="00074D8B">
              <w:rPr>
                <w:rFonts w:cs="Times New Roman"/>
                <w:sz w:val="20"/>
                <w:szCs w:val="20"/>
                <w:lang w:val="en"/>
              </w:rPr>
              <w:t>, 2007</w:t>
            </w:r>
            <w:r w:rsidRPr="003861AC">
              <w:rPr>
                <w:rFonts w:cs="Times New Roman"/>
                <w:sz w:val="20"/>
                <w:szCs w:val="20"/>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Pr="003861AC">
              <w:rPr>
                <w:rFonts w:cs="Times New Roman"/>
                <w:sz w:val="20"/>
                <w:szCs w:val="20"/>
                <w:lang w:val="en"/>
              </w:rPr>
            </w:r>
            <w:r w:rsidRPr="003861AC">
              <w:rPr>
                <w:rFonts w:cs="Times New Roman"/>
                <w:sz w:val="20"/>
                <w:szCs w:val="20"/>
                <w:lang w:val="en"/>
              </w:rPr>
              <w:fldChar w:fldCharType="separate"/>
            </w:r>
            <w:r w:rsidR="0076576E" w:rsidRPr="0076576E">
              <w:rPr>
                <w:rFonts w:cs="Times New Roman"/>
                <w:noProof/>
                <w:sz w:val="20"/>
                <w:szCs w:val="20"/>
                <w:vertAlign w:val="superscript"/>
                <w:lang w:val="en"/>
              </w:rPr>
              <w:t>172</w:t>
            </w:r>
            <w:r w:rsidRPr="003861AC">
              <w:rPr>
                <w:rFonts w:cs="Times New Roman"/>
                <w:sz w:val="20"/>
                <w:szCs w:val="20"/>
                <w:lang w:val="en"/>
              </w:rPr>
              <w:fldChar w:fldCharType="end"/>
            </w:r>
          </w:p>
        </w:tc>
        <w:tc>
          <w:tcPr>
            <w:tcW w:w="1064" w:type="dxa"/>
            <w:vMerge w:val="restart"/>
          </w:tcPr>
          <w:p w14:paraId="1378F16E"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M1000</w:t>
            </w:r>
          </w:p>
        </w:tc>
        <w:tc>
          <w:tcPr>
            <w:tcW w:w="1585" w:type="dxa"/>
          </w:tcPr>
          <w:p w14:paraId="21D2B7DE"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121</w:t>
            </w:r>
            <w:r w:rsidRPr="00DB67C1">
              <w:rPr>
                <w:rFonts w:eastAsia="Calibri" w:cs="Times New Roman"/>
                <w:sz w:val="20"/>
                <w:szCs w:val="20"/>
                <w:vertAlign w:val="superscript"/>
              </w:rPr>
              <w:t>°</w:t>
            </w:r>
            <w:r w:rsidRPr="00DB67C1">
              <w:rPr>
                <w:rFonts w:eastAsia="Calibri" w:cs="Times New Roman"/>
                <w:sz w:val="20"/>
                <w:szCs w:val="20"/>
              </w:rPr>
              <w:t>C - 20 mins</w:t>
            </w:r>
          </w:p>
        </w:tc>
        <w:tc>
          <w:tcPr>
            <w:tcW w:w="4676" w:type="dxa"/>
          </w:tcPr>
          <w:p w14:paraId="2BE48E40" w14:textId="77777777" w:rsidR="00DB67C1" w:rsidRPr="00DB67C1" w:rsidRDefault="00DB67C1" w:rsidP="004642FD">
            <w:pPr>
              <w:spacing w:line="240" w:lineRule="auto"/>
              <w:rPr>
                <w:rFonts w:eastAsia="Calibri" w:cs="Times New Roman"/>
                <w:sz w:val="20"/>
                <w:szCs w:val="20"/>
              </w:rPr>
            </w:pPr>
          </w:p>
        </w:tc>
        <w:tc>
          <w:tcPr>
            <w:tcW w:w="1039" w:type="dxa"/>
          </w:tcPr>
          <w:p w14:paraId="7A31F57A"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1.6</w:t>
            </w:r>
          </w:p>
        </w:tc>
        <w:tc>
          <w:tcPr>
            <w:tcW w:w="1418" w:type="dxa"/>
          </w:tcPr>
          <w:p w14:paraId="69A34D6B"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rPr>
              <w:t>100%</w:t>
            </w:r>
          </w:p>
        </w:tc>
        <w:tc>
          <w:tcPr>
            <w:tcW w:w="1275" w:type="dxa"/>
          </w:tcPr>
          <w:p w14:paraId="38DDE4B4"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106 (2)</w:t>
            </w:r>
          </w:p>
        </w:tc>
      </w:tr>
      <w:tr w:rsidR="00DB67C1" w:rsidRPr="00DB67C1" w14:paraId="1E6E30BF" w14:textId="77777777" w:rsidTr="00931EC4">
        <w:tc>
          <w:tcPr>
            <w:tcW w:w="1526" w:type="dxa"/>
            <w:vMerge/>
          </w:tcPr>
          <w:p w14:paraId="73070FA6" w14:textId="77777777" w:rsidR="00DB67C1" w:rsidRPr="00DB67C1" w:rsidRDefault="00DB67C1" w:rsidP="004642FD">
            <w:pPr>
              <w:spacing w:line="240" w:lineRule="auto"/>
              <w:rPr>
                <w:rFonts w:eastAsia="Calibri" w:cs="Times New Roman"/>
                <w:sz w:val="20"/>
                <w:szCs w:val="20"/>
              </w:rPr>
            </w:pPr>
          </w:p>
        </w:tc>
        <w:tc>
          <w:tcPr>
            <w:tcW w:w="1064" w:type="dxa"/>
            <w:vMerge/>
          </w:tcPr>
          <w:p w14:paraId="70F04E7C" w14:textId="77777777" w:rsidR="00DB67C1" w:rsidRPr="00DB67C1" w:rsidRDefault="00DB67C1" w:rsidP="004642FD">
            <w:pPr>
              <w:spacing w:line="240" w:lineRule="auto"/>
              <w:rPr>
                <w:rFonts w:eastAsia="Calibri" w:cs="Times New Roman"/>
                <w:sz w:val="20"/>
                <w:szCs w:val="20"/>
              </w:rPr>
            </w:pPr>
          </w:p>
        </w:tc>
        <w:tc>
          <w:tcPr>
            <w:tcW w:w="1585" w:type="dxa"/>
          </w:tcPr>
          <w:p w14:paraId="4DFFDC90"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- 3 mins</w:t>
            </w:r>
          </w:p>
        </w:tc>
        <w:tc>
          <w:tcPr>
            <w:tcW w:w="4676" w:type="dxa"/>
          </w:tcPr>
          <w:p w14:paraId="6BBD6158" w14:textId="77777777" w:rsidR="00DB67C1" w:rsidRPr="00DB67C1" w:rsidRDefault="00DB67C1" w:rsidP="004642FD">
            <w:pPr>
              <w:spacing w:line="240" w:lineRule="auto"/>
              <w:rPr>
                <w:rFonts w:eastAsia="Calibri" w:cs="Times New Roman"/>
                <w:sz w:val="20"/>
                <w:szCs w:val="20"/>
              </w:rPr>
            </w:pPr>
          </w:p>
        </w:tc>
        <w:tc>
          <w:tcPr>
            <w:tcW w:w="1039" w:type="dxa"/>
          </w:tcPr>
          <w:p w14:paraId="5B4C4F6C"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1.5</w:t>
            </w:r>
          </w:p>
        </w:tc>
        <w:tc>
          <w:tcPr>
            <w:tcW w:w="1418" w:type="dxa"/>
          </w:tcPr>
          <w:p w14:paraId="198FD627"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rPr>
              <w:t>100%</w:t>
            </w:r>
          </w:p>
        </w:tc>
        <w:tc>
          <w:tcPr>
            <w:tcW w:w="1275" w:type="dxa"/>
          </w:tcPr>
          <w:p w14:paraId="3E174992"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104 (3)</w:t>
            </w:r>
          </w:p>
        </w:tc>
      </w:tr>
      <w:tr w:rsidR="00DB67C1" w:rsidRPr="00DB67C1" w14:paraId="523555A3" w14:textId="77777777" w:rsidTr="00931EC4">
        <w:tc>
          <w:tcPr>
            <w:tcW w:w="1526" w:type="dxa"/>
            <w:vMerge/>
          </w:tcPr>
          <w:p w14:paraId="0450C68A" w14:textId="77777777" w:rsidR="00DB67C1" w:rsidRPr="00DB67C1" w:rsidRDefault="00DB67C1" w:rsidP="004642FD">
            <w:pPr>
              <w:spacing w:line="240" w:lineRule="auto"/>
              <w:rPr>
                <w:rFonts w:eastAsia="Calibri" w:cs="Times New Roman"/>
                <w:sz w:val="20"/>
                <w:szCs w:val="20"/>
              </w:rPr>
            </w:pPr>
          </w:p>
        </w:tc>
        <w:tc>
          <w:tcPr>
            <w:tcW w:w="1064" w:type="dxa"/>
            <w:vMerge/>
          </w:tcPr>
          <w:p w14:paraId="29DD439F" w14:textId="77777777" w:rsidR="00DB67C1" w:rsidRPr="00DB67C1" w:rsidRDefault="00DB67C1" w:rsidP="004642FD">
            <w:pPr>
              <w:spacing w:line="240" w:lineRule="auto"/>
              <w:rPr>
                <w:rFonts w:eastAsia="Calibri" w:cs="Times New Roman"/>
                <w:sz w:val="20"/>
                <w:szCs w:val="20"/>
              </w:rPr>
            </w:pPr>
          </w:p>
        </w:tc>
        <w:tc>
          <w:tcPr>
            <w:tcW w:w="1585" w:type="dxa"/>
          </w:tcPr>
          <w:p w14:paraId="2877FA0A"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- 18 mins</w:t>
            </w:r>
          </w:p>
        </w:tc>
        <w:tc>
          <w:tcPr>
            <w:tcW w:w="4676" w:type="dxa"/>
          </w:tcPr>
          <w:p w14:paraId="1DC00BDB" w14:textId="77777777" w:rsidR="00DB67C1" w:rsidRPr="00DB67C1" w:rsidRDefault="00DB67C1" w:rsidP="004642FD">
            <w:pPr>
              <w:spacing w:line="240" w:lineRule="auto"/>
              <w:rPr>
                <w:rFonts w:eastAsia="Calibri" w:cs="Times New Roman"/>
                <w:sz w:val="20"/>
                <w:szCs w:val="20"/>
              </w:rPr>
            </w:pPr>
          </w:p>
        </w:tc>
        <w:tc>
          <w:tcPr>
            <w:tcW w:w="1039" w:type="dxa"/>
          </w:tcPr>
          <w:p w14:paraId="6B938934"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2.2</w:t>
            </w:r>
          </w:p>
        </w:tc>
        <w:tc>
          <w:tcPr>
            <w:tcW w:w="1418" w:type="dxa"/>
          </w:tcPr>
          <w:p w14:paraId="16037605"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rPr>
              <w:t>100%</w:t>
            </w:r>
          </w:p>
        </w:tc>
        <w:tc>
          <w:tcPr>
            <w:tcW w:w="1275" w:type="dxa"/>
          </w:tcPr>
          <w:p w14:paraId="1DD36779"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120 (5)</w:t>
            </w:r>
          </w:p>
        </w:tc>
      </w:tr>
      <w:tr w:rsidR="00DB67C1" w:rsidRPr="00DB67C1" w14:paraId="0AFE661B" w14:textId="77777777" w:rsidTr="00931EC4">
        <w:tc>
          <w:tcPr>
            <w:tcW w:w="1526" w:type="dxa"/>
            <w:vMerge/>
          </w:tcPr>
          <w:p w14:paraId="63232F65" w14:textId="77777777" w:rsidR="00DB67C1" w:rsidRPr="00DB67C1" w:rsidRDefault="00DB67C1" w:rsidP="004642FD">
            <w:pPr>
              <w:spacing w:line="240" w:lineRule="auto"/>
              <w:rPr>
                <w:rFonts w:eastAsia="Calibri" w:cs="Times New Roman"/>
                <w:sz w:val="20"/>
                <w:szCs w:val="20"/>
              </w:rPr>
            </w:pPr>
          </w:p>
        </w:tc>
        <w:tc>
          <w:tcPr>
            <w:tcW w:w="1064" w:type="dxa"/>
            <w:vMerge/>
          </w:tcPr>
          <w:p w14:paraId="57DE2615" w14:textId="77777777" w:rsidR="00DB67C1" w:rsidRPr="00DB67C1" w:rsidRDefault="00DB67C1" w:rsidP="004642FD">
            <w:pPr>
              <w:spacing w:line="240" w:lineRule="auto"/>
              <w:rPr>
                <w:rFonts w:eastAsia="Calibri" w:cs="Times New Roman"/>
                <w:sz w:val="20"/>
                <w:szCs w:val="20"/>
              </w:rPr>
            </w:pPr>
          </w:p>
        </w:tc>
        <w:tc>
          <w:tcPr>
            <w:tcW w:w="1585" w:type="dxa"/>
          </w:tcPr>
          <w:p w14:paraId="0067DF28"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- 3 mins</w:t>
            </w:r>
          </w:p>
        </w:tc>
        <w:tc>
          <w:tcPr>
            <w:tcW w:w="4676" w:type="dxa"/>
          </w:tcPr>
          <w:p w14:paraId="2BE8A7BF"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RMEC B 0.3%, 60</w:t>
            </w:r>
            <w:r w:rsidRPr="00DB67C1">
              <w:rPr>
                <w:rFonts w:eastAsia="Calibri" w:cs="Times New Roman"/>
                <w:sz w:val="20"/>
                <w:szCs w:val="20"/>
                <w:vertAlign w:val="superscript"/>
              </w:rPr>
              <w:t>°</w:t>
            </w:r>
            <w:r w:rsidRPr="00DB67C1">
              <w:rPr>
                <w:rFonts w:eastAsia="Calibri" w:cs="Times New Roman"/>
                <w:sz w:val="20"/>
                <w:szCs w:val="20"/>
              </w:rPr>
              <w:t>C - 30 mins</w:t>
            </w:r>
          </w:p>
        </w:tc>
        <w:tc>
          <w:tcPr>
            <w:tcW w:w="1039" w:type="dxa"/>
          </w:tcPr>
          <w:p w14:paraId="1778164B"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u w:val="single"/>
              </w:rPr>
              <w:t>&gt;</w:t>
            </w:r>
            <w:r w:rsidRPr="00DB67C1">
              <w:rPr>
                <w:rFonts w:eastAsia="Calibri" w:cs="Times New Roman"/>
                <w:sz w:val="20"/>
                <w:szCs w:val="20"/>
              </w:rPr>
              <w:t>4.5</w:t>
            </w:r>
          </w:p>
        </w:tc>
        <w:tc>
          <w:tcPr>
            <w:tcW w:w="1418" w:type="dxa"/>
          </w:tcPr>
          <w:p w14:paraId="74FBFD2E"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10%</w:t>
            </w:r>
          </w:p>
        </w:tc>
        <w:tc>
          <w:tcPr>
            <w:tcW w:w="1275" w:type="dxa"/>
          </w:tcPr>
          <w:p w14:paraId="022CC7EC"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166 (NR)</w:t>
            </w:r>
          </w:p>
        </w:tc>
      </w:tr>
      <w:tr w:rsidR="00DB67C1" w:rsidRPr="00DB67C1" w14:paraId="74772560" w14:textId="77777777" w:rsidTr="00931EC4">
        <w:tc>
          <w:tcPr>
            <w:tcW w:w="1526" w:type="dxa"/>
            <w:vMerge/>
          </w:tcPr>
          <w:p w14:paraId="5C9FC438" w14:textId="77777777" w:rsidR="00DB67C1" w:rsidRPr="00DB67C1" w:rsidRDefault="00DB67C1" w:rsidP="004642FD">
            <w:pPr>
              <w:spacing w:line="240" w:lineRule="auto"/>
              <w:rPr>
                <w:rFonts w:eastAsia="Calibri" w:cs="Times New Roman"/>
                <w:sz w:val="20"/>
                <w:szCs w:val="20"/>
              </w:rPr>
            </w:pPr>
          </w:p>
        </w:tc>
        <w:tc>
          <w:tcPr>
            <w:tcW w:w="1064" w:type="dxa"/>
            <w:vMerge/>
          </w:tcPr>
          <w:p w14:paraId="783781D5" w14:textId="77777777" w:rsidR="00DB67C1" w:rsidRPr="00DB67C1" w:rsidRDefault="00DB67C1" w:rsidP="004642FD">
            <w:pPr>
              <w:spacing w:line="240" w:lineRule="auto"/>
              <w:rPr>
                <w:rFonts w:eastAsia="Calibri" w:cs="Times New Roman"/>
                <w:sz w:val="20"/>
                <w:szCs w:val="20"/>
              </w:rPr>
            </w:pPr>
          </w:p>
        </w:tc>
        <w:tc>
          <w:tcPr>
            <w:tcW w:w="1585" w:type="dxa"/>
          </w:tcPr>
          <w:p w14:paraId="047CAFB6"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121</w:t>
            </w:r>
            <w:r w:rsidRPr="00DB67C1">
              <w:rPr>
                <w:rFonts w:eastAsia="Calibri" w:cs="Times New Roman"/>
                <w:sz w:val="20"/>
                <w:szCs w:val="20"/>
                <w:vertAlign w:val="superscript"/>
              </w:rPr>
              <w:t>°</w:t>
            </w:r>
            <w:r w:rsidRPr="00DB67C1">
              <w:rPr>
                <w:rFonts w:eastAsia="Calibri" w:cs="Times New Roman"/>
                <w:sz w:val="20"/>
                <w:szCs w:val="20"/>
              </w:rPr>
              <w:t>C - 20 mins</w:t>
            </w:r>
          </w:p>
        </w:tc>
        <w:tc>
          <w:tcPr>
            <w:tcW w:w="4676" w:type="dxa"/>
          </w:tcPr>
          <w:p w14:paraId="3E6D78D0"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RMEC B 0.3%, 60</w:t>
            </w:r>
            <w:r w:rsidRPr="00DB67C1">
              <w:rPr>
                <w:rFonts w:eastAsia="Calibri" w:cs="Times New Roman"/>
                <w:sz w:val="20"/>
                <w:szCs w:val="20"/>
                <w:vertAlign w:val="superscript"/>
              </w:rPr>
              <w:t>°</w:t>
            </w:r>
            <w:r w:rsidRPr="00DB67C1">
              <w:rPr>
                <w:rFonts w:eastAsia="Calibri" w:cs="Times New Roman"/>
                <w:sz w:val="20"/>
                <w:szCs w:val="20"/>
              </w:rPr>
              <w:t>C - 30 mins</w:t>
            </w:r>
          </w:p>
        </w:tc>
        <w:tc>
          <w:tcPr>
            <w:tcW w:w="1039" w:type="dxa"/>
          </w:tcPr>
          <w:p w14:paraId="08C09709"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rPr>
              <w:t>&gt;5</w:t>
            </w:r>
          </w:p>
        </w:tc>
        <w:tc>
          <w:tcPr>
            <w:tcW w:w="1418" w:type="dxa"/>
          </w:tcPr>
          <w:p w14:paraId="5F6EF515"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0%</w:t>
            </w:r>
          </w:p>
        </w:tc>
        <w:tc>
          <w:tcPr>
            <w:tcW w:w="1275" w:type="dxa"/>
          </w:tcPr>
          <w:p w14:paraId="3EBD050A"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w:t>
            </w:r>
          </w:p>
        </w:tc>
      </w:tr>
      <w:tr w:rsidR="00DB67C1" w:rsidRPr="00DB67C1" w14:paraId="5FD10503" w14:textId="77777777" w:rsidTr="00931EC4">
        <w:tc>
          <w:tcPr>
            <w:tcW w:w="1526" w:type="dxa"/>
          </w:tcPr>
          <w:p w14:paraId="19E1BE6D" w14:textId="7E3D078D" w:rsidR="00DB67C1" w:rsidRPr="00DB67C1" w:rsidRDefault="003861AC" w:rsidP="0076576E">
            <w:pPr>
              <w:spacing w:line="240" w:lineRule="auto"/>
              <w:rPr>
                <w:rFonts w:eastAsia="Calibri" w:cs="Times New Roman"/>
                <w:sz w:val="20"/>
                <w:szCs w:val="20"/>
              </w:rPr>
            </w:pPr>
            <w:r w:rsidRPr="00074D8B">
              <w:rPr>
                <w:rFonts w:cs="Times New Roman"/>
                <w:sz w:val="20"/>
                <w:szCs w:val="20"/>
                <w:lang w:val="en"/>
              </w:rPr>
              <w:t xml:space="preserve">Lehmann </w:t>
            </w:r>
            <w:r w:rsidR="00B301D6" w:rsidRPr="00B301D6">
              <w:rPr>
                <w:rFonts w:cs="Times New Roman"/>
                <w:i/>
                <w:sz w:val="20"/>
                <w:szCs w:val="20"/>
                <w:lang w:val="en"/>
              </w:rPr>
              <w:t>et al</w:t>
            </w:r>
            <w:r w:rsidRPr="00074D8B">
              <w:rPr>
                <w:rFonts w:cs="Times New Roman"/>
                <w:sz w:val="20"/>
                <w:szCs w:val="20"/>
                <w:lang w:val="en"/>
              </w:rPr>
              <w:t>, 2009,</w:t>
            </w:r>
            <w:r w:rsidRPr="003861AC">
              <w:rPr>
                <w:rFonts w:cs="Times New Roman"/>
                <w:sz w:val="20"/>
                <w:szCs w:val="20"/>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Pr="003861AC">
              <w:rPr>
                <w:rFonts w:cs="Times New Roman"/>
                <w:sz w:val="20"/>
                <w:szCs w:val="20"/>
                <w:lang w:val="en"/>
              </w:rPr>
            </w:r>
            <w:r w:rsidRPr="003861AC">
              <w:rPr>
                <w:rFonts w:cs="Times New Roman"/>
                <w:sz w:val="20"/>
                <w:szCs w:val="20"/>
                <w:lang w:val="en"/>
              </w:rPr>
              <w:fldChar w:fldCharType="separate"/>
            </w:r>
            <w:r w:rsidR="0076576E" w:rsidRPr="0076576E">
              <w:rPr>
                <w:rFonts w:cs="Times New Roman"/>
                <w:noProof/>
                <w:sz w:val="20"/>
                <w:szCs w:val="20"/>
                <w:vertAlign w:val="superscript"/>
                <w:lang w:val="en"/>
              </w:rPr>
              <w:t>168</w:t>
            </w:r>
            <w:r w:rsidRPr="003861AC">
              <w:rPr>
                <w:rFonts w:cs="Times New Roman"/>
                <w:sz w:val="20"/>
                <w:szCs w:val="20"/>
                <w:lang w:val="en"/>
              </w:rPr>
              <w:fldChar w:fldCharType="end"/>
            </w:r>
          </w:p>
        </w:tc>
        <w:tc>
          <w:tcPr>
            <w:tcW w:w="1064" w:type="dxa"/>
          </w:tcPr>
          <w:p w14:paraId="04531A77"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263K</w:t>
            </w:r>
          </w:p>
        </w:tc>
        <w:tc>
          <w:tcPr>
            <w:tcW w:w="1585" w:type="dxa"/>
          </w:tcPr>
          <w:p w14:paraId="032B09EC"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- 18 mins</w:t>
            </w:r>
          </w:p>
        </w:tc>
        <w:tc>
          <w:tcPr>
            <w:tcW w:w="4676" w:type="dxa"/>
          </w:tcPr>
          <w:p w14:paraId="2528492D" w14:textId="77777777" w:rsidR="00DB67C1" w:rsidRPr="00DB67C1" w:rsidRDefault="00DB67C1" w:rsidP="004642FD">
            <w:pPr>
              <w:spacing w:line="240" w:lineRule="auto"/>
              <w:rPr>
                <w:rFonts w:eastAsia="Calibri" w:cs="Times New Roman"/>
                <w:sz w:val="20"/>
                <w:szCs w:val="20"/>
              </w:rPr>
            </w:pPr>
          </w:p>
        </w:tc>
        <w:tc>
          <w:tcPr>
            <w:tcW w:w="1039" w:type="dxa"/>
          </w:tcPr>
          <w:p w14:paraId="158BFDCC"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4.11</w:t>
            </w:r>
          </w:p>
        </w:tc>
        <w:tc>
          <w:tcPr>
            <w:tcW w:w="1418" w:type="dxa"/>
          </w:tcPr>
          <w:p w14:paraId="3694394D"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57%</w:t>
            </w:r>
          </w:p>
        </w:tc>
        <w:tc>
          <w:tcPr>
            <w:tcW w:w="1275" w:type="dxa"/>
          </w:tcPr>
          <w:p w14:paraId="6F670FAB"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140</w:t>
            </w:r>
          </w:p>
        </w:tc>
      </w:tr>
      <w:tr w:rsidR="00DB67C1" w:rsidRPr="00DB67C1" w14:paraId="412E060D" w14:textId="77777777" w:rsidTr="00931EC4">
        <w:tc>
          <w:tcPr>
            <w:tcW w:w="1526" w:type="dxa"/>
            <w:vMerge w:val="restart"/>
          </w:tcPr>
          <w:p w14:paraId="70BA2186" w14:textId="7FE7832A" w:rsidR="00DB67C1" w:rsidRPr="00DB67C1" w:rsidRDefault="003861AC" w:rsidP="0076576E">
            <w:pPr>
              <w:spacing w:line="240" w:lineRule="auto"/>
              <w:rPr>
                <w:rFonts w:eastAsia="Calibri" w:cs="Times New Roman"/>
                <w:sz w:val="20"/>
                <w:szCs w:val="20"/>
              </w:rPr>
            </w:pPr>
            <w:r w:rsidRPr="00074D8B">
              <w:rPr>
                <w:rFonts w:cs="Times New Roman"/>
                <w:sz w:val="20"/>
                <w:szCs w:val="20"/>
                <w:lang w:val="en"/>
              </w:rPr>
              <w:t xml:space="preserve">Lemmer </w:t>
            </w:r>
            <w:r w:rsidR="00B301D6" w:rsidRPr="00B301D6">
              <w:rPr>
                <w:rFonts w:cs="Times New Roman"/>
                <w:i/>
                <w:sz w:val="20"/>
                <w:szCs w:val="20"/>
                <w:lang w:val="en"/>
              </w:rPr>
              <w:t>et al</w:t>
            </w:r>
            <w:r w:rsidRPr="00074D8B">
              <w:rPr>
                <w:rFonts w:cs="Times New Roman"/>
                <w:sz w:val="20"/>
                <w:szCs w:val="20"/>
                <w:lang w:val="en"/>
              </w:rPr>
              <w:t>, 2008,</w:t>
            </w:r>
            <w:r w:rsidRPr="003861AC">
              <w:rPr>
                <w:rFonts w:cs="Times New Roman"/>
                <w:sz w:val="20"/>
                <w:szCs w:val="20"/>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Pr="003861AC">
              <w:rPr>
                <w:rFonts w:cs="Times New Roman"/>
                <w:sz w:val="20"/>
                <w:szCs w:val="20"/>
                <w:lang w:val="en"/>
              </w:rPr>
            </w:r>
            <w:r w:rsidRPr="003861AC">
              <w:rPr>
                <w:rFonts w:cs="Times New Roman"/>
                <w:sz w:val="20"/>
                <w:szCs w:val="20"/>
                <w:lang w:val="en"/>
              </w:rPr>
              <w:fldChar w:fldCharType="separate"/>
            </w:r>
            <w:r w:rsidR="0076576E" w:rsidRPr="0076576E">
              <w:rPr>
                <w:rFonts w:cs="Times New Roman"/>
                <w:noProof/>
                <w:sz w:val="20"/>
                <w:szCs w:val="20"/>
                <w:vertAlign w:val="superscript"/>
                <w:lang w:val="en"/>
              </w:rPr>
              <w:t>169</w:t>
            </w:r>
            <w:r w:rsidRPr="003861AC">
              <w:rPr>
                <w:rFonts w:cs="Times New Roman"/>
                <w:sz w:val="20"/>
                <w:szCs w:val="20"/>
                <w:lang w:val="en"/>
              </w:rPr>
              <w:fldChar w:fldCharType="end"/>
            </w:r>
            <w:r w:rsidR="00DB67C1" w:rsidRPr="00DB67C1">
              <w:rPr>
                <w:rFonts w:eastAsia="Calibri" w:cs="Times New Roman"/>
                <w:sz w:val="20"/>
                <w:szCs w:val="20"/>
              </w:rPr>
              <w:t>*</w:t>
            </w:r>
          </w:p>
        </w:tc>
        <w:tc>
          <w:tcPr>
            <w:tcW w:w="1064" w:type="dxa"/>
            <w:vMerge w:val="restart"/>
          </w:tcPr>
          <w:p w14:paraId="2FA4FEED"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263K</w:t>
            </w:r>
          </w:p>
        </w:tc>
        <w:tc>
          <w:tcPr>
            <w:tcW w:w="1585" w:type="dxa"/>
          </w:tcPr>
          <w:p w14:paraId="67D49DA4"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- 5 mins</w:t>
            </w:r>
          </w:p>
        </w:tc>
        <w:tc>
          <w:tcPr>
            <w:tcW w:w="4676" w:type="dxa"/>
          </w:tcPr>
          <w:p w14:paraId="62B08AB9"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Alkaline cleaner 0.5% (5 mins 55</w:t>
            </w:r>
            <w:r w:rsidRPr="00DB67C1">
              <w:rPr>
                <w:rFonts w:eastAsia="Calibri" w:cs="Times New Roman"/>
                <w:sz w:val="20"/>
                <w:szCs w:val="20"/>
                <w:vertAlign w:val="superscript"/>
              </w:rPr>
              <w:t>°</w:t>
            </w:r>
            <w:r w:rsidRPr="00DB67C1">
              <w:rPr>
                <w:rFonts w:eastAsia="Calibri" w:cs="Times New Roman"/>
                <w:sz w:val="20"/>
                <w:szCs w:val="20"/>
              </w:rPr>
              <w:t>C)</w:t>
            </w:r>
          </w:p>
        </w:tc>
        <w:tc>
          <w:tcPr>
            <w:tcW w:w="1039" w:type="dxa"/>
          </w:tcPr>
          <w:p w14:paraId="29C6B57F"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u w:val="single"/>
              </w:rPr>
              <w:t>&gt;</w:t>
            </w:r>
            <w:r w:rsidRPr="00DB67C1">
              <w:rPr>
                <w:rFonts w:eastAsia="Calibri" w:cs="Times New Roman"/>
                <w:sz w:val="20"/>
                <w:szCs w:val="20"/>
              </w:rPr>
              <w:t>5.5</w:t>
            </w:r>
          </w:p>
        </w:tc>
        <w:tc>
          <w:tcPr>
            <w:tcW w:w="1418" w:type="dxa"/>
          </w:tcPr>
          <w:p w14:paraId="472D9E41" w14:textId="12C04E7E"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c>
          <w:tcPr>
            <w:tcW w:w="1275" w:type="dxa"/>
          </w:tcPr>
          <w:p w14:paraId="3C1D0AA4" w14:textId="3057E7C7"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r>
      <w:tr w:rsidR="00DB67C1" w:rsidRPr="00DB67C1" w14:paraId="34DB89FD" w14:textId="77777777" w:rsidTr="00931EC4">
        <w:tc>
          <w:tcPr>
            <w:tcW w:w="1526" w:type="dxa"/>
            <w:vMerge/>
          </w:tcPr>
          <w:p w14:paraId="1DAAFDB6" w14:textId="77777777" w:rsidR="00DB67C1" w:rsidRPr="00DB67C1" w:rsidRDefault="00DB67C1" w:rsidP="004642FD">
            <w:pPr>
              <w:spacing w:line="240" w:lineRule="auto"/>
              <w:rPr>
                <w:rFonts w:eastAsia="Calibri" w:cs="Times New Roman"/>
                <w:sz w:val="20"/>
                <w:szCs w:val="20"/>
              </w:rPr>
            </w:pPr>
          </w:p>
        </w:tc>
        <w:tc>
          <w:tcPr>
            <w:tcW w:w="1064" w:type="dxa"/>
            <w:vMerge/>
          </w:tcPr>
          <w:p w14:paraId="43D3F28E" w14:textId="77777777" w:rsidR="00DB67C1" w:rsidRPr="00DB67C1" w:rsidRDefault="00DB67C1" w:rsidP="004642FD">
            <w:pPr>
              <w:spacing w:line="240" w:lineRule="auto"/>
              <w:rPr>
                <w:rFonts w:eastAsia="Calibri" w:cs="Times New Roman"/>
                <w:sz w:val="20"/>
                <w:szCs w:val="20"/>
              </w:rPr>
            </w:pPr>
          </w:p>
        </w:tc>
        <w:tc>
          <w:tcPr>
            <w:tcW w:w="1585" w:type="dxa"/>
          </w:tcPr>
          <w:p w14:paraId="350CF758"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- 5 mins</w:t>
            </w:r>
          </w:p>
        </w:tc>
        <w:tc>
          <w:tcPr>
            <w:tcW w:w="4676" w:type="dxa"/>
          </w:tcPr>
          <w:p w14:paraId="4D79C8EE"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Alkaline cleaner 0.5% (10 mins 55</w:t>
            </w:r>
            <w:r w:rsidRPr="00DB67C1">
              <w:rPr>
                <w:rFonts w:eastAsia="Calibri" w:cs="Times New Roman"/>
                <w:sz w:val="20"/>
                <w:szCs w:val="20"/>
                <w:vertAlign w:val="superscript"/>
              </w:rPr>
              <w:t>°</w:t>
            </w:r>
            <w:r w:rsidRPr="00DB67C1">
              <w:rPr>
                <w:rFonts w:eastAsia="Calibri" w:cs="Times New Roman"/>
                <w:sz w:val="20"/>
                <w:szCs w:val="20"/>
              </w:rPr>
              <w:t>C)</w:t>
            </w:r>
          </w:p>
        </w:tc>
        <w:tc>
          <w:tcPr>
            <w:tcW w:w="1039" w:type="dxa"/>
          </w:tcPr>
          <w:p w14:paraId="541E23C2"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u w:val="single"/>
              </w:rPr>
              <w:t>&gt;</w:t>
            </w:r>
            <w:r w:rsidRPr="00DB67C1">
              <w:rPr>
                <w:rFonts w:eastAsia="Calibri" w:cs="Times New Roman"/>
                <w:sz w:val="20"/>
                <w:szCs w:val="20"/>
              </w:rPr>
              <w:t>5.5</w:t>
            </w:r>
          </w:p>
        </w:tc>
        <w:tc>
          <w:tcPr>
            <w:tcW w:w="1418" w:type="dxa"/>
          </w:tcPr>
          <w:p w14:paraId="234EA664" w14:textId="241AD346"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c>
          <w:tcPr>
            <w:tcW w:w="1275" w:type="dxa"/>
          </w:tcPr>
          <w:p w14:paraId="1B5206CC" w14:textId="3A633CD3"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r>
      <w:tr w:rsidR="00DB67C1" w:rsidRPr="00DB67C1" w14:paraId="29D40BCB" w14:textId="77777777" w:rsidTr="00931EC4">
        <w:tc>
          <w:tcPr>
            <w:tcW w:w="1526" w:type="dxa"/>
            <w:vMerge/>
          </w:tcPr>
          <w:p w14:paraId="65498C7E" w14:textId="77777777" w:rsidR="00DB67C1" w:rsidRPr="00DB67C1" w:rsidRDefault="00DB67C1" w:rsidP="004642FD">
            <w:pPr>
              <w:spacing w:line="240" w:lineRule="auto"/>
              <w:rPr>
                <w:rFonts w:eastAsia="Calibri" w:cs="Times New Roman"/>
                <w:sz w:val="20"/>
                <w:szCs w:val="20"/>
              </w:rPr>
            </w:pPr>
          </w:p>
        </w:tc>
        <w:tc>
          <w:tcPr>
            <w:tcW w:w="1064" w:type="dxa"/>
            <w:vMerge/>
          </w:tcPr>
          <w:p w14:paraId="519FB8F4" w14:textId="77777777" w:rsidR="00DB67C1" w:rsidRPr="00DB67C1" w:rsidRDefault="00DB67C1" w:rsidP="004642FD">
            <w:pPr>
              <w:spacing w:line="240" w:lineRule="auto"/>
              <w:rPr>
                <w:rFonts w:eastAsia="Calibri" w:cs="Times New Roman"/>
                <w:sz w:val="20"/>
                <w:szCs w:val="20"/>
              </w:rPr>
            </w:pPr>
          </w:p>
        </w:tc>
        <w:tc>
          <w:tcPr>
            <w:tcW w:w="1585" w:type="dxa"/>
          </w:tcPr>
          <w:p w14:paraId="77875A27"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- 5 mins</w:t>
            </w:r>
          </w:p>
        </w:tc>
        <w:tc>
          <w:tcPr>
            <w:tcW w:w="4676" w:type="dxa"/>
          </w:tcPr>
          <w:p w14:paraId="1E9A917E"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Alkaline cleaner 1% (5 mins 55</w:t>
            </w:r>
            <w:r w:rsidRPr="00DB67C1">
              <w:rPr>
                <w:rFonts w:eastAsia="Calibri" w:cs="Times New Roman"/>
                <w:sz w:val="20"/>
                <w:szCs w:val="20"/>
                <w:vertAlign w:val="superscript"/>
              </w:rPr>
              <w:t>°</w:t>
            </w:r>
            <w:r w:rsidRPr="00DB67C1">
              <w:rPr>
                <w:rFonts w:eastAsia="Calibri" w:cs="Times New Roman"/>
                <w:sz w:val="20"/>
                <w:szCs w:val="20"/>
              </w:rPr>
              <w:t>C)</w:t>
            </w:r>
          </w:p>
        </w:tc>
        <w:tc>
          <w:tcPr>
            <w:tcW w:w="1039" w:type="dxa"/>
          </w:tcPr>
          <w:p w14:paraId="2ACC440D"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u w:val="single"/>
              </w:rPr>
              <w:t>&gt;</w:t>
            </w:r>
            <w:r w:rsidRPr="00DB67C1">
              <w:rPr>
                <w:rFonts w:eastAsia="Calibri" w:cs="Times New Roman"/>
                <w:sz w:val="20"/>
                <w:szCs w:val="20"/>
              </w:rPr>
              <w:t>5.5</w:t>
            </w:r>
          </w:p>
        </w:tc>
        <w:tc>
          <w:tcPr>
            <w:tcW w:w="1418" w:type="dxa"/>
          </w:tcPr>
          <w:p w14:paraId="795B5FD1" w14:textId="26DC8BA2"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c>
          <w:tcPr>
            <w:tcW w:w="1275" w:type="dxa"/>
          </w:tcPr>
          <w:p w14:paraId="4177BE80" w14:textId="408F4693"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r>
      <w:tr w:rsidR="00DB67C1" w:rsidRPr="00DB67C1" w14:paraId="7EAB5ABF" w14:textId="77777777" w:rsidTr="00931EC4">
        <w:tc>
          <w:tcPr>
            <w:tcW w:w="1526" w:type="dxa"/>
            <w:vMerge/>
          </w:tcPr>
          <w:p w14:paraId="46D535AD" w14:textId="77777777" w:rsidR="00DB67C1" w:rsidRPr="00DB67C1" w:rsidRDefault="00DB67C1" w:rsidP="004642FD">
            <w:pPr>
              <w:spacing w:line="240" w:lineRule="auto"/>
              <w:rPr>
                <w:rFonts w:eastAsia="Calibri" w:cs="Times New Roman"/>
                <w:sz w:val="20"/>
                <w:szCs w:val="20"/>
              </w:rPr>
            </w:pPr>
          </w:p>
        </w:tc>
        <w:tc>
          <w:tcPr>
            <w:tcW w:w="1064" w:type="dxa"/>
            <w:vMerge/>
          </w:tcPr>
          <w:p w14:paraId="7C78F9E6" w14:textId="77777777" w:rsidR="00DB67C1" w:rsidRPr="00DB67C1" w:rsidRDefault="00DB67C1" w:rsidP="004642FD">
            <w:pPr>
              <w:spacing w:line="240" w:lineRule="auto"/>
              <w:rPr>
                <w:rFonts w:eastAsia="Calibri" w:cs="Times New Roman"/>
                <w:sz w:val="20"/>
                <w:szCs w:val="20"/>
              </w:rPr>
            </w:pPr>
          </w:p>
        </w:tc>
        <w:tc>
          <w:tcPr>
            <w:tcW w:w="1585" w:type="dxa"/>
          </w:tcPr>
          <w:p w14:paraId="4817D468"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- 5 mins</w:t>
            </w:r>
          </w:p>
        </w:tc>
        <w:tc>
          <w:tcPr>
            <w:tcW w:w="4676" w:type="dxa"/>
          </w:tcPr>
          <w:p w14:paraId="553C6A54"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Alkaline cleaner 1% (10 mins 55</w:t>
            </w:r>
            <w:r w:rsidRPr="00DB67C1">
              <w:rPr>
                <w:rFonts w:eastAsia="Calibri" w:cs="Times New Roman"/>
                <w:sz w:val="20"/>
                <w:szCs w:val="20"/>
                <w:vertAlign w:val="superscript"/>
              </w:rPr>
              <w:t>°</w:t>
            </w:r>
            <w:r w:rsidRPr="00DB67C1">
              <w:rPr>
                <w:rFonts w:eastAsia="Calibri" w:cs="Times New Roman"/>
                <w:sz w:val="20"/>
                <w:szCs w:val="20"/>
              </w:rPr>
              <w:t>C)</w:t>
            </w:r>
          </w:p>
        </w:tc>
        <w:tc>
          <w:tcPr>
            <w:tcW w:w="1039" w:type="dxa"/>
          </w:tcPr>
          <w:p w14:paraId="09C7FC79"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u w:val="single"/>
              </w:rPr>
              <w:t>&gt;</w:t>
            </w:r>
            <w:r w:rsidRPr="00DB67C1">
              <w:rPr>
                <w:rFonts w:eastAsia="Calibri" w:cs="Times New Roman"/>
                <w:sz w:val="20"/>
                <w:szCs w:val="20"/>
              </w:rPr>
              <w:t>5.5</w:t>
            </w:r>
          </w:p>
        </w:tc>
        <w:tc>
          <w:tcPr>
            <w:tcW w:w="1418" w:type="dxa"/>
          </w:tcPr>
          <w:p w14:paraId="582D6D45" w14:textId="0F6C3889"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c>
          <w:tcPr>
            <w:tcW w:w="1275" w:type="dxa"/>
          </w:tcPr>
          <w:p w14:paraId="61C5DC90" w14:textId="7AC213C1"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r>
      <w:tr w:rsidR="00DB67C1" w:rsidRPr="00DB67C1" w14:paraId="7581ED83" w14:textId="77777777" w:rsidTr="00931EC4">
        <w:tc>
          <w:tcPr>
            <w:tcW w:w="1526" w:type="dxa"/>
            <w:vMerge/>
          </w:tcPr>
          <w:p w14:paraId="0EC55ACF" w14:textId="77777777" w:rsidR="00DB67C1" w:rsidRPr="00DB67C1" w:rsidRDefault="00DB67C1" w:rsidP="004642FD">
            <w:pPr>
              <w:spacing w:line="240" w:lineRule="auto"/>
              <w:rPr>
                <w:rFonts w:eastAsia="Calibri" w:cs="Times New Roman"/>
                <w:sz w:val="20"/>
                <w:szCs w:val="20"/>
              </w:rPr>
            </w:pPr>
          </w:p>
        </w:tc>
        <w:tc>
          <w:tcPr>
            <w:tcW w:w="1064" w:type="dxa"/>
            <w:vMerge/>
          </w:tcPr>
          <w:p w14:paraId="44396FC5" w14:textId="77777777" w:rsidR="00DB67C1" w:rsidRPr="00DB67C1" w:rsidRDefault="00DB67C1" w:rsidP="004642FD">
            <w:pPr>
              <w:spacing w:line="240" w:lineRule="auto"/>
              <w:rPr>
                <w:rFonts w:eastAsia="Calibri" w:cs="Times New Roman"/>
                <w:sz w:val="20"/>
                <w:szCs w:val="20"/>
              </w:rPr>
            </w:pPr>
          </w:p>
        </w:tc>
        <w:tc>
          <w:tcPr>
            <w:tcW w:w="1585" w:type="dxa"/>
          </w:tcPr>
          <w:p w14:paraId="6A81B7B9"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- 5 mins</w:t>
            </w:r>
          </w:p>
        </w:tc>
        <w:tc>
          <w:tcPr>
            <w:tcW w:w="4676" w:type="dxa"/>
          </w:tcPr>
          <w:p w14:paraId="0D722846"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SDS 0.2% /NaOH 0.3% (5 mins 23</w:t>
            </w:r>
            <w:r w:rsidRPr="00DB67C1">
              <w:rPr>
                <w:rFonts w:eastAsia="Calibri" w:cs="Times New Roman"/>
                <w:sz w:val="20"/>
                <w:szCs w:val="20"/>
                <w:vertAlign w:val="superscript"/>
              </w:rPr>
              <w:t>°</w:t>
            </w:r>
            <w:r w:rsidRPr="00DB67C1">
              <w:rPr>
                <w:rFonts w:eastAsia="Calibri" w:cs="Times New Roman"/>
                <w:sz w:val="20"/>
                <w:szCs w:val="20"/>
              </w:rPr>
              <w:t>C)</w:t>
            </w:r>
          </w:p>
        </w:tc>
        <w:tc>
          <w:tcPr>
            <w:tcW w:w="1039" w:type="dxa"/>
          </w:tcPr>
          <w:p w14:paraId="6F7FC6C4"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u w:val="single"/>
              </w:rPr>
              <w:t>&gt;</w:t>
            </w:r>
            <w:r w:rsidRPr="00DB67C1">
              <w:rPr>
                <w:rFonts w:eastAsia="Calibri" w:cs="Times New Roman"/>
                <w:sz w:val="20"/>
                <w:szCs w:val="20"/>
              </w:rPr>
              <w:t>5.5</w:t>
            </w:r>
          </w:p>
        </w:tc>
        <w:tc>
          <w:tcPr>
            <w:tcW w:w="1418" w:type="dxa"/>
          </w:tcPr>
          <w:p w14:paraId="13F93608" w14:textId="08231BCD"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c>
          <w:tcPr>
            <w:tcW w:w="1275" w:type="dxa"/>
          </w:tcPr>
          <w:p w14:paraId="5A9A88E0" w14:textId="27EA7923"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r>
      <w:tr w:rsidR="00DB67C1" w:rsidRPr="00DB67C1" w14:paraId="3506A923" w14:textId="77777777" w:rsidTr="00931EC4">
        <w:tc>
          <w:tcPr>
            <w:tcW w:w="1526" w:type="dxa"/>
            <w:vMerge/>
          </w:tcPr>
          <w:p w14:paraId="1481A943" w14:textId="77777777" w:rsidR="00DB67C1" w:rsidRPr="00DB67C1" w:rsidRDefault="00DB67C1" w:rsidP="004642FD">
            <w:pPr>
              <w:spacing w:line="240" w:lineRule="auto"/>
              <w:rPr>
                <w:rFonts w:eastAsia="Calibri" w:cs="Times New Roman"/>
                <w:sz w:val="20"/>
                <w:szCs w:val="20"/>
              </w:rPr>
            </w:pPr>
          </w:p>
        </w:tc>
        <w:tc>
          <w:tcPr>
            <w:tcW w:w="1064" w:type="dxa"/>
            <w:vMerge/>
          </w:tcPr>
          <w:p w14:paraId="4D472DC1" w14:textId="77777777" w:rsidR="00DB67C1" w:rsidRPr="00DB67C1" w:rsidRDefault="00DB67C1" w:rsidP="004642FD">
            <w:pPr>
              <w:spacing w:line="240" w:lineRule="auto"/>
              <w:rPr>
                <w:rFonts w:eastAsia="Calibri" w:cs="Times New Roman"/>
                <w:sz w:val="20"/>
                <w:szCs w:val="20"/>
              </w:rPr>
            </w:pPr>
          </w:p>
        </w:tc>
        <w:tc>
          <w:tcPr>
            <w:tcW w:w="1585" w:type="dxa"/>
          </w:tcPr>
          <w:p w14:paraId="3EB32AB7"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- 5 mins</w:t>
            </w:r>
          </w:p>
        </w:tc>
        <w:tc>
          <w:tcPr>
            <w:tcW w:w="4676" w:type="dxa"/>
          </w:tcPr>
          <w:p w14:paraId="7A7A9401"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SDS 0.2% /NaOH 0.3% (10 mins 23</w:t>
            </w:r>
            <w:r w:rsidRPr="00DB67C1">
              <w:rPr>
                <w:rFonts w:eastAsia="Calibri" w:cs="Times New Roman"/>
                <w:sz w:val="20"/>
                <w:szCs w:val="20"/>
                <w:vertAlign w:val="superscript"/>
              </w:rPr>
              <w:t>°</w:t>
            </w:r>
            <w:r w:rsidRPr="00DB67C1">
              <w:rPr>
                <w:rFonts w:eastAsia="Calibri" w:cs="Times New Roman"/>
                <w:sz w:val="20"/>
                <w:szCs w:val="20"/>
              </w:rPr>
              <w:t>C)</w:t>
            </w:r>
          </w:p>
        </w:tc>
        <w:tc>
          <w:tcPr>
            <w:tcW w:w="1039" w:type="dxa"/>
          </w:tcPr>
          <w:p w14:paraId="4B8CEF49"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u w:val="single"/>
              </w:rPr>
              <w:t>&gt;</w:t>
            </w:r>
            <w:r w:rsidRPr="00DB67C1">
              <w:rPr>
                <w:rFonts w:eastAsia="Calibri" w:cs="Times New Roman"/>
                <w:sz w:val="20"/>
                <w:szCs w:val="20"/>
              </w:rPr>
              <w:t>5.5</w:t>
            </w:r>
          </w:p>
        </w:tc>
        <w:tc>
          <w:tcPr>
            <w:tcW w:w="1418" w:type="dxa"/>
          </w:tcPr>
          <w:p w14:paraId="78C4A659" w14:textId="0849DB44"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c>
          <w:tcPr>
            <w:tcW w:w="1275" w:type="dxa"/>
          </w:tcPr>
          <w:p w14:paraId="2B2E9494" w14:textId="7ACE8AD3"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r>
      <w:tr w:rsidR="00DB67C1" w:rsidRPr="00DB67C1" w14:paraId="4A11ADE8" w14:textId="77777777" w:rsidTr="00931EC4">
        <w:tc>
          <w:tcPr>
            <w:tcW w:w="1526" w:type="dxa"/>
            <w:vMerge/>
          </w:tcPr>
          <w:p w14:paraId="5B938678" w14:textId="77777777" w:rsidR="00DB67C1" w:rsidRPr="00DB67C1" w:rsidRDefault="00DB67C1" w:rsidP="004642FD">
            <w:pPr>
              <w:spacing w:line="240" w:lineRule="auto"/>
              <w:rPr>
                <w:rFonts w:eastAsia="Calibri" w:cs="Times New Roman"/>
                <w:sz w:val="20"/>
                <w:szCs w:val="20"/>
              </w:rPr>
            </w:pPr>
          </w:p>
        </w:tc>
        <w:tc>
          <w:tcPr>
            <w:tcW w:w="1064" w:type="dxa"/>
            <w:vMerge/>
          </w:tcPr>
          <w:p w14:paraId="459A92DE" w14:textId="77777777" w:rsidR="00DB67C1" w:rsidRPr="00DB67C1" w:rsidRDefault="00DB67C1" w:rsidP="004642FD">
            <w:pPr>
              <w:spacing w:line="240" w:lineRule="auto"/>
              <w:rPr>
                <w:rFonts w:eastAsia="Calibri" w:cs="Times New Roman"/>
                <w:sz w:val="20"/>
                <w:szCs w:val="20"/>
              </w:rPr>
            </w:pPr>
          </w:p>
        </w:tc>
        <w:tc>
          <w:tcPr>
            <w:tcW w:w="1585" w:type="dxa"/>
          </w:tcPr>
          <w:p w14:paraId="5601305B"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- 5 mins</w:t>
            </w:r>
          </w:p>
        </w:tc>
        <w:tc>
          <w:tcPr>
            <w:tcW w:w="4676" w:type="dxa"/>
          </w:tcPr>
          <w:p w14:paraId="06A8E782"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Disinfectant with PAA 0.2% / NaOH 0.075-0.225% (120 mins 23</w:t>
            </w:r>
            <w:r w:rsidRPr="00DB67C1">
              <w:rPr>
                <w:rFonts w:eastAsia="Calibri" w:cs="Times New Roman"/>
                <w:sz w:val="20"/>
                <w:szCs w:val="20"/>
                <w:vertAlign w:val="superscript"/>
              </w:rPr>
              <w:t>°</w:t>
            </w:r>
            <w:r w:rsidRPr="00DB67C1">
              <w:rPr>
                <w:rFonts w:eastAsia="Calibri" w:cs="Times New Roman"/>
                <w:sz w:val="20"/>
                <w:szCs w:val="20"/>
              </w:rPr>
              <w:t>C)</w:t>
            </w:r>
          </w:p>
        </w:tc>
        <w:tc>
          <w:tcPr>
            <w:tcW w:w="1039" w:type="dxa"/>
          </w:tcPr>
          <w:p w14:paraId="18C60E8A"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&gt;2 to &lt;3</w:t>
            </w:r>
          </w:p>
        </w:tc>
        <w:tc>
          <w:tcPr>
            <w:tcW w:w="1418" w:type="dxa"/>
          </w:tcPr>
          <w:p w14:paraId="01289356" w14:textId="387F3968"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c>
          <w:tcPr>
            <w:tcW w:w="1275" w:type="dxa"/>
          </w:tcPr>
          <w:p w14:paraId="0CA8FD7F" w14:textId="7A6EC96F"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r>
      <w:tr w:rsidR="00DB67C1" w:rsidRPr="00DB67C1" w14:paraId="74F7E1B6" w14:textId="77777777" w:rsidTr="00931EC4">
        <w:tc>
          <w:tcPr>
            <w:tcW w:w="1526" w:type="dxa"/>
            <w:vMerge w:val="restart"/>
          </w:tcPr>
          <w:p w14:paraId="2349682D" w14:textId="43B3936F" w:rsidR="00DB67C1" w:rsidRPr="00DB67C1" w:rsidRDefault="003861AC" w:rsidP="0076576E">
            <w:pPr>
              <w:spacing w:line="240" w:lineRule="auto"/>
              <w:rPr>
                <w:rFonts w:eastAsia="Calibri" w:cs="Times New Roman"/>
                <w:sz w:val="20"/>
                <w:szCs w:val="20"/>
              </w:rPr>
            </w:pPr>
            <w:r w:rsidRPr="00074D8B">
              <w:rPr>
                <w:rFonts w:cs="Times New Roman"/>
                <w:sz w:val="20"/>
                <w:szCs w:val="20"/>
                <w:lang w:val="en"/>
              </w:rPr>
              <w:t xml:space="preserve">Rogez-Kreuz </w:t>
            </w:r>
            <w:r w:rsidR="00B301D6" w:rsidRPr="00B301D6">
              <w:rPr>
                <w:rFonts w:cs="Times New Roman"/>
                <w:i/>
                <w:sz w:val="20"/>
                <w:szCs w:val="20"/>
                <w:lang w:val="en"/>
              </w:rPr>
              <w:t>et al</w:t>
            </w:r>
            <w:r w:rsidRPr="00074D8B">
              <w:rPr>
                <w:rFonts w:cs="Times New Roman"/>
                <w:sz w:val="20"/>
                <w:szCs w:val="20"/>
                <w:lang w:val="en"/>
              </w:rPr>
              <w:t>, 2009</w:t>
            </w:r>
            <w:r w:rsidRPr="003861AC">
              <w:rPr>
                <w:rFonts w:cs="Times New Roman"/>
                <w:sz w:val="20"/>
                <w:szCs w:val="20"/>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Pr="003861AC">
              <w:rPr>
                <w:rFonts w:cs="Times New Roman"/>
                <w:sz w:val="20"/>
                <w:szCs w:val="20"/>
                <w:lang w:val="en"/>
              </w:rPr>
            </w:r>
            <w:r w:rsidRPr="003861AC">
              <w:rPr>
                <w:rFonts w:cs="Times New Roman"/>
                <w:sz w:val="20"/>
                <w:szCs w:val="20"/>
                <w:lang w:val="en"/>
              </w:rPr>
              <w:fldChar w:fldCharType="separate"/>
            </w:r>
            <w:r w:rsidR="0076576E" w:rsidRPr="0076576E">
              <w:rPr>
                <w:rFonts w:cs="Times New Roman"/>
                <w:noProof/>
                <w:sz w:val="20"/>
                <w:szCs w:val="20"/>
                <w:vertAlign w:val="superscript"/>
                <w:lang w:val="en"/>
              </w:rPr>
              <w:t>170</w:t>
            </w:r>
            <w:r w:rsidRPr="003861AC">
              <w:rPr>
                <w:rFonts w:cs="Times New Roman"/>
                <w:sz w:val="20"/>
                <w:szCs w:val="20"/>
                <w:lang w:val="en"/>
              </w:rPr>
              <w:fldChar w:fldCharType="end"/>
            </w:r>
          </w:p>
        </w:tc>
        <w:tc>
          <w:tcPr>
            <w:tcW w:w="1064" w:type="dxa"/>
            <w:vMerge w:val="restart"/>
          </w:tcPr>
          <w:p w14:paraId="522E3BB2"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 xml:space="preserve">263K </w:t>
            </w:r>
          </w:p>
        </w:tc>
        <w:tc>
          <w:tcPr>
            <w:tcW w:w="1585" w:type="dxa"/>
          </w:tcPr>
          <w:p w14:paraId="52B50217"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- 18 mins</w:t>
            </w:r>
          </w:p>
        </w:tc>
        <w:tc>
          <w:tcPr>
            <w:tcW w:w="4676" w:type="dxa"/>
          </w:tcPr>
          <w:p w14:paraId="051E11D0" w14:textId="77777777" w:rsidR="00DB67C1" w:rsidRPr="00DB67C1" w:rsidRDefault="00DB67C1" w:rsidP="004642FD">
            <w:pPr>
              <w:spacing w:line="240" w:lineRule="auto"/>
              <w:rPr>
                <w:rFonts w:eastAsia="Calibri" w:cs="Times New Roman"/>
                <w:sz w:val="20"/>
                <w:szCs w:val="20"/>
              </w:rPr>
            </w:pPr>
          </w:p>
        </w:tc>
        <w:tc>
          <w:tcPr>
            <w:tcW w:w="1039" w:type="dxa"/>
          </w:tcPr>
          <w:p w14:paraId="6D9E09CA"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u w:val="single"/>
              </w:rPr>
              <w:t>&gt;</w:t>
            </w:r>
            <w:r w:rsidRPr="00DB67C1">
              <w:rPr>
                <w:rFonts w:eastAsia="Calibri" w:cs="Times New Roman"/>
                <w:sz w:val="20"/>
                <w:szCs w:val="20"/>
              </w:rPr>
              <w:t>5 to 6</w:t>
            </w:r>
          </w:p>
        </w:tc>
        <w:tc>
          <w:tcPr>
            <w:tcW w:w="1418" w:type="dxa"/>
          </w:tcPr>
          <w:p w14:paraId="62EA712F"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50%</w:t>
            </w:r>
          </w:p>
        </w:tc>
        <w:tc>
          <w:tcPr>
            <w:tcW w:w="1275" w:type="dxa"/>
          </w:tcPr>
          <w:p w14:paraId="5704FA01"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428 ±103</w:t>
            </w:r>
          </w:p>
        </w:tc>
      </w:tr>
      <w:tr w:rsidR="00DB67C1" w:rsidRPr="00DB67C1" w14:paraId="2588676F" w14:textId="77777777" w:rsidTr="00931EC4">
        <w:tc>
          <w:tcPr>
            <w:tcW w:w="1526" w:type="dxa"/>
            <w:vMerge/>
          </w:tcPr>
          <w:p w14:paraId="649AEBCA" w14:textId="77777777" w:rsidR="00DB67C1" w:rsidRPr="00DB67C1" w:rsidRDefault="00DB67C1" w:rsidP="004642FD">
            <w:pPr>
              <w:spacing w:line="240" w:lineRule="auto"/>
              <w:rPr>
                <w:rFonts w:eastAsia="Calibri" w:cs="Times New Roman"/>
                <w:sz w:val="20"/>
                <w:szCs w:val="20"/>
              </w:rPr>
            </w:pPr>
          </w:p>
        </w:tc>
        <w:tc>
          <w:tcPr>
            <w:tcW w:w="1064" w:type="dxa"/>
            <w:vMerge/>
          </w:tcPr>
          <w:p w14:paraId="26549B25" w14:textId="77777777" w:rsidR="00DB67C1" w:rsidRPr="00DB67C1" w:rsidRDefault="00DB67C1" w:rsidP="004642FD">
            <w:pPr>
              <w:spacing w:line="240" w:lineRule="auto"/>
              <w:rPr>
                <w:rFonts w:eastAsia="Calibri" w:cs="Times New Roman"/>
                <w:sz w:val="20"/>
                <w:szCs w:val="20"/>
              </w:rPr>
            </w:pPr>
          </w:p>
        </w:tc>
        <w:tc>
          <w:tcPr>
            <w:tcW w:w="1585" w:type="dxa"/>
          </w:tcPr>
          <w:p w14:paraId="16D0B076"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- 18 mins</w:t>
            </w:r>
          </w:p>
        </w:tc>
        <w:tc>
          <w:tcPr>
            <w:tcW w:w="4676" w:type="dxa"/>
          </w:tcPr>
          <w:p w14:paraId="5F0E666C"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NaOH 1N (60mins)</w:t>
            </w:r>
          </w:p>
        </w:tc>
        <w:tc>
          <w:tcPr>
            <w:tcW w:w="1039" w:type="dxa"/>
          </w:tcPr>
          <w:p w14:paraId="467C28FB"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u w:val="single"/>
              </w:rPr>
              <w:t>&gt;</w:t>
            </w:r>
            <w:r w:rsidRPr="00DB67C1">
              <w:rPr>
                <w:rFonts w:eastAsia="Calibri" w:cs="Times New Roman"/>
                <w:sz w:val="20"/>
                <w:szCs w:val="20"/>
              </w:rPr>
              <w:t>5 to 6</w:t>
            </w:r>
          </w:p>
        </w:tc>
        <w:tc>
          <w:tcPr>
            <w:tcW w:w="1418" w:type="dxa"/>
          </w:tcPr>
          <w:p w14:paraId="243D06AB"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28%</w:t>
            </w:r>
          </w:p>
        </w:tc>
        <w:tc>
          <w:tcPr>
            <w:tcW w:w="1275" w:type="dxa"/>
          </w:tcPr>
          <w:p w14:paraId="54358DA9"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554 ±197</w:t>
            </w:r>
          </w:p>
        </w:tc>
      </w:tr>
      <w:tr w:rsidR="00DB67C1" w:rsidRPr="00DB67C1" w14:paraId="3C2C0F93" w14:textId="77777777" w:rsidTr="00931EC4">
        <w:tc>
          <w:tcPr>
            <w:tcW w:w="1526" w:type="dxa"/>
            <w:vMerge/>
          </w:tcPr>
          <w:p w14:paraId="7CF4DB65" w14:textId="77777777" w:rsidR="00DB67C1" w:rsidRPr="00DB67C1" w:rsidRDefault="00DB67C1" w:rsidP="004642FD">
            <w:pPr>
              <w:spacing w:line="240" w:lineRule="auto"/>
              <w:rPr>
                <w:rFonts w:eastAsia="Calibri" w:cs="Times New Roman"/>
                <w:sz w:val="20"/>
                <w:szCs w:val="20"/>
              </w:rPr>
            </w:pPr>
          </w:p>
        </w:tc>
        <w:tc>
          <w:tcPr>
            <w:tcW w:w="1064" w:type="dxa"/>
            <w:vMerge/>
          </w:tcPr>
          <w:p w14:paraId="5891BC3C" w14:textId="77777777" w:rsidR="00DB67C1" w:rsidRPr="00DB67C1" w:rsidRDefault="00DB67C1" w:rsidP="004642FD">
            <w:pPr>
              <w:spacing w:line="240" w:lineRule="auto"/>
              <w:rPr>
                <w:rFonts w:eastAsia="Calibri" w:cs="Times New Roman"/>
                <w:sz w:val="20"/>
                <w:szCs w:val="20"/>
              </w:rPr>
            </w:pPr>
          </w:p>
        </w:tc>
        <w:tc>
          <w:tcPr>
            <w:tcW w:w="1585" w:type="dxa"/>
          </w:tcPr>
          <w:p w14:paraId="69EF1E17"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- 18 mins</w:t>
            </w:r>
          </w:p>
        </w:tc>
        <w:tc>
          <w:tcPr>
            <w:tcW w:w="4676" w:type="dxa"/>
          </w:tcPr>
          <w:p w14:paraId="15623F76"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Enzymatic detergent 2% (10 mins, 37</w:t>
            </w:r>
            <w:r w:rsidRPr="00DB67C1">
              <w:rPr>
                <w:rFonts w:eastAsia="Calibri" w:cs="Times New Roman"/>
                <w:sz w:val="20"/>
                <w:szCs w:val="20"/>
                <w:vertAlign w:val="superscript"/>
              </w:rPr>
              <w:t>°</w:t>
            </w:r>
            <w:r w:rsidRPr="00DB67C1">
              <w:rPr>
                <w:rFonts w:eastAsia="Calibri" w:cs="Times New Roman"/>
                <w:sz w:val="20"/>
                <w:szCs w:val="20"/>
              </w:rPr>
              <w:t>C)</w:t>
            </w:r>
          </w:p>
        </w:tc>
        <w:tc>
          <w:tcPr>
            <w:tcW w:w="1039" w:type="dxa"/>
          </w:tcPr>
          <w:p w14:paraId="752942F1"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4</w:t>
            </w:r>
          </w:p>
        </w:tc>
        <w:tc>
          <w:tcPr>
            <w:tcW w:w="1418" w:type="dxa"/>
          </w:tcPr>
          <w:p w14:paraId="4AFA16C7"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100%</w:t>
            </w:r>
          </w:p>
        </w:tc>
        <w:tc>
          <w:tcPr>
            <w:tcW w:w="1275" w:type="dxa"/>
          </w:tcPr>
          <w:p w14:paraId="7748BA9D"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131 ±17</w:t>
            </w:r>
          </w:p>
        </w:tc>
      </w:tr>
      <w:tr w:rsidR="00DB67C1" w:rsidRPr="00DB67C1" w14:paraId="2B61A4C1" w14:textId="77777777" w:rsidTr="00931EC4">
        <w:tc>
          <w:tcPr>
            <w:tcW w:w="1526" w:type="dxa"/>
            <w:vMerge/>
          </w:tcPr>
          <w:p w14:paraId="015E3BAB" w14:textId="77777777" w:rsidR="00DB67C1" w:rsidRPr="00DB67C1" w:rsidRDefault="00DB67C1" w:rsidP="004642FD">
            <w:pPr>
              <w:spacing w:line="240" w:lineRule="auto"/>
              <w:rPr>
                <w:rFonts w:eastAsia="Calibri" w:cs="Times New Roman"/>
                <w:sz w:val="20"/>
                <w:szCs w:val="20"/>
              </w:rPr>
            </w:pPr>
          </w:p>
        </w:tc>
        <w:tc>
          <w:tcPr>
            <w:tcW w:w="1064" w:type="dxa"/>
            <w:vMerge/>
          </w:tcPr>
          <w:p w14:paraId="1723CA9E" w14:textId="77777777" w:rsidR="00DB67C1" w:rsidRPr="00DB67C1" w:rsidRDefault="00DB67C1" w:rsidP="004642FD">
            <w:pPr>
              <w:spacing w:line="240" w:lineRule="auto"/>
              <w:rPr>
                <w:rFonts w:eastAsia="Calibri" w:cs="Times New Roman"/>
                <w:sz w:val="20"/>
                <w:szCs w:val="20"/>
              </w:rPr>
            </w:pPr>
          </w:p>
        </w:tc>
        <w:tc>
          <w:tcPr>
            <w:tcW w:w="1585" w:type="dxa"/>
          </w:tcPr>
          <w:p w14:paraId="5320CB6B" w14:textId="77777777" w:rsidR="00DB67C1" w:rsidRPr="00DB67C1" w:rsidRDefault="00DB67C1" w:rsidP="004642FD">
            <w:pPr>
              <w:spacing w:line="240" w:lineRule="auto"/>
              <w:rPr>
                <w:rFonts w:ascii="Calibri" w:eastAsia="Calibri" w:hAnsi="Calibri" w:cs="Times New Roman"/>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- 18 mins</w:t>
            </w:r>
          </w:p>
        </w:tc>
        <w:tc>
          <w:tcPr>
            <w:tcW w:w="4676" w:type="dxa"/>
          </w:tcPr>
          <w:p w14:paraId="2C2899CF"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Alkaline detergent A 1% (10 mins 70</w:t>
            </w:r>
            <w:r w:rsidRPr="00DB67C1">
              <w:rPr>
                <w:rFonts w:eastAsia="Calibri" w:cs="Times New Roman"/>
                <w:sz w:val="20"/>
                <w:szCs w:val="20"/>
                <w:vertAlign w:val="superscript"/>
              </w:rPr>
              <w:t>°</w:t>
            </w:r>
            <w:r w:rsidRPr="00DB67C1">
              <w:rPr>
                <w:rFonts w:eastAsia="Calibri" w:cs="Times New Roman"/>
                <w:sz w:val="20"/>
                <w:szCs w:val="20"/>
              </w:rPr>
              <w:t>C)</w:t>
            </w:r>
          </w:p>
        </w:tc>
        <w:tc>
          <w:tcPr>
            <w:tcW w:w="1039" w:type="dxa"/>
          </w:tcPr>
          <w:p w14:paraId="2CA15266"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u w:val="single"/>
              </w:rPr>
              <w:t>&gt;</w:t>
            </w:r>
            <w:r w:rsidRPr="00DB67C1">
              <w:rPr>
                <w:rFonts w:eastAsia="Calibri" w:cs="Times New Roman"/>
                <w:sz w:val="20"/>
                <w:szCs w:val="20"/>
              </w:rPr>
              <w:t>5 to 6</w:t>
            </w:r>
          </w:p>
        </w:tc>
        <w:tc>
          <w:tcPr>
            <w:tcW w:w="1418" w:type="dxa"/>
          </w:tcPr>
          <w:p w14:paraId="43E2CF5F"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0%</w:t>
            </w:r>
          </w:p>
        </w:tc>
        <w:tc>
          <w:tcPr>
            <w:tcW w:w="1275" w:type="dxa"/>
          </w:tcPr>
          <w:p w14:paraId="6F3A51D1"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525 ±149</w:t>
            </w:r>
          </w:p>
        </w:tc>
      </w:tr>
      <w:tr w:rsidR="00DB67C1" w:rsidRPr="00DB67C1" w14:paraId="6C948457" w14:textId="77777777" w:rsidTr="00931EC4">
        <w:tc>
          <w:tcPr>
            <w:tcW w:w="1526" w:type="dxa"/>
            <w:vMerge/>
          </w:tcPr>
          <w:p w14:paraId="5BFA5442" w14:textId="77777777" w:rsidR="00DB67C1" w:rsidRPr="00DB67C1" w:rsidRDefault="00DB67C1" w:rsidP="004642FD">
            <w:pPr>
              <w:spacing w:line="240" w:lineRule="auto"/>
              <w:rPr>
                <w:rFonts w:eastAsia="Calibri" w:cs="Times New Roman"/>
                <w:sz w:val="20"/>
                <w:szCs w:val="20"/>
              </w:rPr>
            </w:pPr>
          </w:p>
        </w:tc>
        <w:tc>
          <w:tcPr>
            <w:tcW w:w="1064" w:type="dxa"/>
          </w:tcPr>
          <w:p w14:paraId="2D7F4125"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263K in vitro</w:t>
            </w:r>
          </w:p>
        </w:tc>
        <w:tc>
          <w:tcPr>
            <w:tcW w:w="1585" w:type="dxa"/>
          </w:tcPr>
          <w:p w14:paraId="05F2E1C4" w14:textId="77777777" w:rsidR="00DB67C1" w:rsidRPr="00DB67C1" w:rsidRDefault="00DB67C1" w:rsidP="004642FD">
            <w:pPr>
              <w:spacing w:line="240" w:lineRule="auto"/>
              <w:rPr>
                <w:rFonts w:eastAsia="Calibri" w:cs="Times New Roman"/>
                <w:sz w:val="20"/>
                <w:szCs w:val="20"/>
              </w:rPr>
            </w:pPr>
            <w:r w:rsidRPr="00DB67C1">
              <w:rPr>
                <w:rFonts w:eastAsia="Calibri" w:cs="Times New Roman"/>
                <w:sz w:val="20"/>
                <w:szCs w:val="20"/>
              </w:rPr>
              <w:t>134</w:t>
            </w:r>
            <w:r w:rsidRPr="00DB67C1">
              <w:rPr>
                <w:rFonts w:eastAsia="Calibri" w:cs="Times New Roman"/>
                <w:sz w:val="20"/>
                <w:szCs w:val="20"/>
                <w:vertAlign w:val="superscript"/>
              </w:rPr>
              <w:t>°</w:t>
            </w:r>
            <w:r w:rsidRPr="00DB67C1">
              <w:rPr>
                <w:rFonts w:eastAsia="Calibri" w:cs="Times New Roman"/>
                <w:sz w:val="20"/>
                <w:szCs w:val="20"/>
              </w:rPr>
              <w:t>C - 18 mins</w:t>
            </w:r>
          </w:p>
        </w:tc>
        <w:tc>
          <w:tcPr>
            <w:tcW w:w="4676" w:type="dxa"/>
          </w:tcPr>
          <w:p w14:paraId="51CBCDF4" w14:textId="77777777" w:rsidR="00DB67C1" w:rsidRPr="00DB67C1" w:rsidRDefault="00DB67C1" w:rsidP="004642FD">
            <w:pPr>
              <w:spacing w:line="240" w:lineRule="auto"/>
              <w:rPr>
                <w:rFonts w:eastAsia="Calibri" w:cs="Times New Roman"/>
                <w:sz w:val="20"/>
                <w:szCs w:val="20"/>
              </w:rPr>
            </w:pPr>
          </w:p>
        </w:tc>
        <w:tc>
          <w:tcPr>
            <w:tcW w:w="1039" w:type="dxa"/>
          </w:tcPr>
          <w:p w14:paraId="12A8FADC" w14:textId="77777777" w:rsidR="00DB67C1" w:rsidRPr="00DB67C1" w:rsidRDefault="00DB67C1" w:rsidP="004642FD">
            <w:pPr>
              <w:spacing w:line="240" w:lineRule="auto"/>
              <w:rPr>
                <w:rFonts w:eastAsia="Calibri" w:cs="Times New Roman"/>
                <w:sz w:val="20"/>
                <w:szCs w:val="20"/>
                <w:u w:val="single"/>
              </w:rPr>
            </w:pPr>
            <w:r w:rsidRPr="00DB67C1">
              <w:rPr>
                <w:rFonts w:eastAsia="Calibri" w:cs="Times New Roman"/>
                <w:sz w:val="20"/>
                <w:szCs w:val="20"/>
                <w:u w:val="single"/>
              </w:rPr>
              <w:t>&gt;</w:t>
            </w:r>
            <w:r w:rsidRPr="00DB67C1">
              <w:rPr>
                <w:rFonts w:eastAsia="Calibri" w:cs="Times New Roman"/>
                <w:sz w:val="20"/>
                <w:szCs w:val="20"/>
              </w:rPr>
              <w:t>5.4</w:t>
            </w:r>
          </w:p>
        </w:tc>
        <w:tc>
          <w:tcPr>
            <w:tcW w:w="1418" w:type="dxa"/>
          </w:tcPr>
          <w:p w14:paraId="77AC8F01" w14:textId="63E5E878"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c>
          <w:tcPr>
            <w:tcW w:w="1275" w:type="dxa"/>
          </w:tcPr>
          <w:p w14:paraId="31F70556" w14:textId="43AD8F3E" w:rsidR="00DB67C1" w:rsidRPr="00DB67C1" w:rsidRDefault="00074D8B" w:rsidP="004642FD">
            <w:pPr>
              <w:spacing w:line="240" w:lineRule="auto"/>
              <w:rPr>
                <w:rFonts w:eastAsia="Calibri" w:cs="Times New Roman"/>
                <w:sz w:val="20"/>
                <w:szCs w:val="20"/>
              </w:rPr>
            </w:pPr>
            <w:r>
              <w:rPr>
                <w:rFonts w:eastAsia="Calibri" w:cs="Times New Roman"/>
                <w:sz w:val="20"/>
                <w:szCs w:val="20"/>
              </w:rPr>
              <w:t>NR</w:t>
            </w:r>
          </w:p>
        </w:tc>
      </w:tr>
    </w:tbl>
    <w:p w14:paraId="18A5DE1E" w14:textId="3007216C" w:rsidR="00DB67C1" w:rsidRPr="00DB67C1" w:rsidRDefault="00DB67C1" w:rsidP="004642FD">
      <w:pPr>
        <w:spacing w:line="240" w:lineRule="auto"/>
        <w:rPr>
          <w:rFonts w:eastAsia="Calibri" w:cs="Times New Roman"/>
          <w:sz w:val="16"/>
          <w:szCs w:val="16"/>
        </w:rPr>
      </w:pPr>
      <w:r w:rsidRPr="00DB67C1">
        <w:rPr>
          <w:rFonts w:eastAsia="Calibri" w:cs="Times New Roman"/>
          <w:sz w:val="16"/>
          <w:szCs w:val="16"/>
        </w:rPr>
        <w:t>BH: Brain homogenate; PMCA: protein misfolding cyclic amplification;</w:t>
      </w:r>
      <w:r w:rsidR="00074D8B">
        <w:rPr>
          <w:rFonts w:eastAsia="Calibri" w:cs="Times New Roman"/>
          <w:sz w:val="16"/>
          <w:szCs w:val="16"/>
        </w:rPr>
        <w:t xml:space="preserve"> FE: Fully efficient as no positive wires found;</w:t>
      </w:r>
      <w:r w:rsidRPr="00DB67C1">
        <w:rPr>
          <w:rFonts w:eastAsia="Calibri" w:cs="Times New Roman"/>
          <w:sz w:val="16"/>
          <w:szCs w:val="16"/>
        </w:rPr>
        <w:t xml:space="preserve"> NaOH: Sodium Hydroxide; NaOCI: Sodium Hypochlorite; </w:t>
      </w:r>
      <w:r w:rsidR="00074D8B">
        <w:rPr>
          <w:rFonts w:eastAsia="Calibri" w:cs="Times New Roman"/>
          <w:sz w:val="16"/>
          <w:szCs w:val="16"/>
        </w:rPr>
        <w:t xml:space="preserve">NR: Not reported; </w:t>
      </w:r>
      <w:r w:rsidRPr="00DB67C1">
        <w:rPr>
          <w:rFonts w:eastAsia="Calibri" w:cs="Times New Roman"/>
          <w:sz w:val="16"/>
          <w:szCs w:val="16"/>
        </w:rPr>
        <w:t xml:space="preserve">SDS: Sodium dodecyl sulfate; RT: Room temperature; SSBA: Standard Steel Binding Assay; RMEC: Rapid Multi Enzyme Cleaner trial formulation; w/v: weight/volume; </w:t>
      </w:r>
      <w:r w:rsidRPr="00DB67C1">
        <w:rPr>
          <w:rFonts w:eastAsia="Calibri" w:cs="Times New Roman"/>
          <w:sz w:val="16"/>
          <w:szCs w:val="16"/>
          <w:lang w:val="en"/>
        </w:rPr>
        <w:t xml:space="preserve">AF (alkaline detergent, surfactants, chelatant); </w:t>
      </w:r>
      <w:r w:rsidRPr="00DB67C1">
        <w:rPr>
          <w:rFonts w:eastAsia="Calibri" w:cs="Times New Roman"/>
          <w:sz w:val="16"/>
          <w:szCs w:val="16"/>
        </w:rPr>
        <w:t>H</w:t>
      </w:r>
      <w:r w:rsidRPr="00DB67C1">
        <w:rPr>
          <w:rFonts w:eastAsia="Calibri" w:cs="Times New Roman"/>
          <w:sz w:val="16"/>
          <w:szCs w:val="16"/>
          <w:vertAlign w:val="subscript"/>
        </w:rPr>
        <w:t>2</w:t>
      </w:r>
      <w:r w:rsidRPr="00DB67C1">
        <w:rPr>
          <w:rFonts w:eastAsia="Calibri" w:cs="Times New Roman"/>
          <w:sz w:val="16"/>
          <w:szCs w:val="16"/>
        </w:rPr>
        <w:t>O</w:t>
      </w:r>
      <w:r w:rsidRPr="00DB67C1">
        <w:rPr>
          <w:rFonts w:eastAsia="Calibri" w:cs="Times New Roman"/>
          <w:sz w:val="16"/>
          <w:szCs w:val="16"/>
          <w:vertAlign w:val="subscript"/>
        </w:rPr>
        <w:t xml:space="preserve">2: </w:t>
      </w:r>
      <w:r w:rsidRPr="00DB67C1">
        <w:rPr>
          <w:rFonts w:eastAsia="Calibri" w:cs="Times New Roman"/>
          <w:sz w:val="16"/>
          <w:szCs w:val="16"/>
        </w:rPr>
        <w:t>Hydrogen peroxide; TICU</w:t>
      </w:r>
      <w:r w:rsidRPr="00DB67C1">
        <w:rPr>
          <w:rFonts w:eastAsia="Calibri" w:cs="Times New Roman"/>
          <w:sz w:val="16"/>
          <w:szCs w:val="16"/>
          <w:vertAlign w:val="subscript"/>
        </w:rPr>
        <w:t xml:space="preserve">w: </w:t>
      </w:r>
      <w:r w:rsidRPr="00DB67C1">
        <w:rPr>
          <w:rFonts w:eastAsia="Calibri" w:cs="Times New Roman"/>
          <w:sz w:val="16"/>
          <w:szCs w:val="16"/>
        </w:rPr>
        <w:t>tissue culture infectious units on wires</w:t>
      </w:r>
    </w:p>
    <w:p w14:paraId="2E46D694" w14:textId="77777777" w:rsidR="00DB67C1" w:rsidRPr="00DB67C1" w:rsidRDefault="00DB67C1" w:rsidP="004642FD">
      <w:pPr>
        <w:spacing w:line="240" w:lineRule="auto"/>
        <w:rPr>
          <w:rFonts w:eastAsia="Calibri" w:cs="Times New Roman"/>
          <w:sz w:val="16"/>
          <w:szCs w:val="16"/>
        </w:rPr>
      </w:pPr>
      <w:r w:rsidRPr="00DB67C1">
        <w:rPr>
          <w:rFonts w:eastAsia="Calibri" w:cs="Times New Roman"/>
          <w:sz w:val="16"/>
          <w:szCs w:val="16"/>
        </w:rPr>
        <w:t>Room temperature (RT) unless otherwise stated. *Bioassay 2 only (bioassay 1 = 2004 data).</w:t>
      </w:r>
    </w:p>
    <w:p w14:paraId="28E34AB2" w14:textId="77777777" w:rsidR="00500F8B" w:rsidRPr="00500F8B" w:rsidRDefault="00500F8B" w:rsidP="00500F8B">
      <w:pPr>
        <w:spacing w:after="200"/>
        <w:jc w:val="both"/>
        <w:rPr>
          <w:rFonts w:eastAsia="Calibri" w:cs="Times New Roman"/>
          <w:lang w:val="en"/>
        </w:rPr>
      </w:pPr>
    </w:p>
    <w:p w14:paraId="32B54510" w14:textId="77777777" w:rsidR="00500F8B" w:rsidRPr="00500F8B" w:rsidRDefault="00500F8B" w:rsidP="00500F8B">
      <w:pPr>
        <w:spacing w:after="200"/>
        <w:jc w:val="both"/>
        <w:rPr>
          <w:rFonts w:eastAsia="Calibri" w:cs="Times New Roman"/>
          <w:lang w:val="en"/>
        </w:rPr>
        <w:sectPr w:rsidR="00500F8B" w:rsidRPr="00500F8B" w:rsidSect="00B277F9">
          <w:pgSz w:w="16838" w:h="11906" w:orient="landscape"/>
          <w:pgMar w:top="1440" w:right="1440" w:bottom="1440" w:left="1440" w:header="708" w:footer="708" w:gutter="0"/>
          <w:cols w:space="708"/>
          <w:docGrid w:linePitch="360"/>
        </w:sectPr>
      </w:pPr>
    </w:p>
    <w:p w14:paraId="6F274BB4" w14:textId="77777777" w:rsidR="00500F8B" w:rsidRPr="00F1300C" w:rsidRDefault="00500F8B" w:rsidP="00334E96">
      <w:pPr>
        <w:pStyle w:val="Heading4"/>
        <w:rPr>
          <w:rFonts w:eastAsia="Calibri"/>
          <w:sz w:val="22"/>
        </w:rPr>
      </w:pPr>
      <w:r w:rsidRPr="00F1300C">
        <w:rPr>
          <w:rFonts w:eastAsia="Calibri"/>
          <w:sz w:val="22"/>
        </w:rPr>
        <w:t xml:space="preserve">Studies reporting log reductions of prion infectivity after processes </w:t>
      </w:r>
      <w:r w:rsidRPr="00F1300C">
        <w:rPr>
          <w:rFonts w:eastAsia="Calibri"/>
          <w:sz w:val="22"/>
          <w:u w:val="single"/>
        </w:rPr>
        <w:t>other than</w:t>
      </w:r>
      <w:r w:rsidRPr="00F1300C">
        <w:rPr>
          <w:rFonts w:eastAsia="Calibri"/>
          <w:sz w:val="22"/>
        </w:rPr>
        <w:t xml:space="preserve"> autoclaving</w:t>
      </w:r>
    </w:p>
    <w:p w14:paraId="5AB8BEA5" w14:textId="28D74FF4" w:rsidR="00B96A6E" w:rsidRDefault="00B96A6E" w:rsidP="00B96A6E">
      <w:pPr>
        <w:jc w:val="both"/>
        <w:rPr>
          <w:rFonts w:cs="Times New Roman"/>
          <w:lang w:val="en"/>
        </w:rPr>
      </w:pPr>
      <w:r>
        <w:rPr>
          <w:rFonts w:cs="Times New Roman"/>
          <w:lang w:val="en"/>
        </w:rPr>
        <w:t xml:space="preserve">Eleven studies </w:t>
      </w:r>
      <w:r w:rsidRPr="00C60029">
        <w:rPr>
          <w:rFonts w:cs="Times New Roman"/>
          <w:lang w:val="en"/>
        </w:rPr>
        <w:t xml:space="preserve">reported </w:t>
      </w:r>
      <w:r w:rsidRPr="00C60029">
        <w:rPr>
          <w:rFonts w:cs="Times New Roman"/>
        </w:rPr>
        <w:t xml:space="preserve">log reductions of prion infectivity </w:t>
      </w:r>
      <w:r w:rsidRPr="00C60029">
        <w:rPr>
          <w:rFonts w:cs="Times New Roman"/>
          <w:lang w:val="en"/>
        </w:rPr>
        <w:t>after</w:t>
      </w:r>
      <w:r>
        <w:rPr>
          <w:rFonts w:cs="Times New Roman"/>
          <w:lang w:val="en"/>
        </w:rPr>
        <w:t xml:space="preserve"> various decontamination processes, principally enzymatic detergents </w:t>
      </w:r>
      <w:r w:rsidR="00B252E4">
        <w:rPr>
          <w:rFonts w:cs="Times New Roman"/>
          <w:lang w:val="en"/>
        </w:rPr>
        <w:t xml:space="preserve">that did not use autoclaving </w:t>
      </w:r>
      <w:r>
        <w:rPr>
          <w:rFonts w:cs="Times New Roman"/>
          <w:lang w:val="en"/>
        </w:rPr>
        <w:t xml:space="preserve">(see </w:t>
      </w:r>
      <w:r w:rsidR="00366434">
        <w:rPr>
          <w:rFonts w:cs="Times New Roman"/>
          <w:lang w:val="en"/>
        </w:rPr>
        <w:fldChar w:fldCharType="begin"/>
      </w:r>
      <w:r w:rsidR="00366434">
        <w:rPr>
          <w:rFonts w:cs="Times New Roman"/>
          <w:lang w:val="en"/>
        </w:rPr>
        <w:instrText xml:space="preserve"> REF _Ref508886630 \h </w:instrText>
      </w:r>
      <w:r w:rsidR="00366434">
        <w:rPr>
          <w:rFonts w:cs="Times New Roman"/>
          <w:lang w:val="en"/>
        </w:rPr>
      </w:r>
      <w:r w:rsidR="00366434">
        <w:rPr>
          <w:rFonts w:cs="Times New Roman"/>
          <w:lang w:val="en"/>
        </w:rPr>
        <w:fldChar w:fldCharType="separate"/>
      </w:r>
      <w:r w:rsidR="00690541">
        <w:t xml:space="preserve">Table </w:t>
      </w:r>
      <w:r w:rsidR="00690541">
        <w:rPr>
          <w:noProof/>
        </w:rPr>
        <w:t>14</w:t>
      </w:r>
      <w:r w:rsidR="00366434">
        <w:rPr>
          <w:rFonts w:cs="Times New Roman"/>
          <w:lang w:val="en"/>
        </w:rPr>
        <w:fldChar w:fldCharType="end"/>
      </w:r>
      <w:r>
        <w:rPr>
          <w:rFonts w:cs="Times New Roman"/>
          <w:lang w:val="en"/>
        </w:rPr>
        <w:t xml:space="preserve">). In terms of prion strain, </w:t>
      </w:r>
      <w:r w:rsidR="00074D8B">
        <w:rPr>
          <w:rFonts w:cs="Times New Roman"/>
          <w:lang w:val="en"/>
        </w:rPr>
        <w:t>seven</w:t>
      </w:r>
      <w:r>
        <w:rPr>
          <w:rFonts w:cs="Times New Roman"/>
          <w:lang w:val="en"/>
        </w:rPr>
        <w:t xml:space="preserve"> studies used 10% or 20% brain homogenate of 263K hamster scrapie (Beekes</w:t>
      </w:r>
      <w:r w:rsidR="00F96352">
        <w:rPr>
          <w:rFonts w:cs="Times New Roman"/>
          <w:lang w:val="en"/>
        </w:rPr>
        <w:t xml:space="preserve"> </w:t>
      </w:r>
      <w:r w:rsidR="00B301D6" w:rsidRPr="00B301D6">
        <w:rPr>
          <w:rFonts w:cs="Times New Roman"/>
          <w:i/>
          <w:lang w:val="en"/>
        </w:rPr>
        <w:t>et al</w:t>
      </w:r>
      <w:r w:rsidR="00F96352">
        <w:rPr>
          <w:rFonts w:cs="Times New Roman"/>
          <w:lang w:val="en"/>
        </w:rPr>
        <w:t>, 2010,</w:t>
      </w:r>
      <w:r w:rsidR="00BB5588">
        <w:rPr>
          <w:rFonts w:cs="Times New Roman"/>
          <w:lang w:val="en"/>
        </w:rPr>
        <w:fldChar w:fldCharType="begin">
          <w:fldData xml:space="preserve">PEVuZE5vdGU+PENpdGU+PEF1dGhvcj5CZWVrZXM8L0F1dGhvcj48WWVhcj4yMDEwPC9ZZWFyPjxS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PEVuZE5vdGU+PENpdGU+PEF1dGhvcj5CZWVrZXM8L0F1dGhvcj48WWVhcj4yMDEwPC9ZZWFyPjxS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173</w:t>
      </w:r>
      <w:r w:rsidR="00BB5588">
        <w:rPr>
          <w:rFonts w:cs="Times New Roman"/>
          <w:lang w:val="en"/>
        </w:rPr>
        <w:fldChar w:fldCharType="end"/>
      </w:r>
      <w:r>
        <w:rPr>
          <w:rFonts w:cs="Times New Roman"/>
          <w:lang w:val="en"/>
        </w:rPr>
        <w:t xml:space="preserve"> </w:t>
      </w:r>
      <w:r w:rsidR="00F96352">
        <w:rPr>
          <w:rFonts w:cs="Times New Roman"/>
          <w:lang w:val="en"/>
        </w:rPr>
        <w:t xml:space="preserve"> </w:t>
      </w:r>
      <w:r>
        <w:rPr>
          <w:rFonts w:cs="Times New Roman"/>
          <w:lang w:val="en"/>
        </w:rPr>
        <w:t>Bellon</w:t>
      </w:r>
      <w:r w:rsidR="00F96352" w:rsidRPr="00F96352">
        <w:rPr>
          <w:rFonts w:cs="Times New Roman"/>
          <w:lang w:val="en"/>
        </w:rPr>
        <w:t xml:space="preserve"> </w:t>
      </w:r>
      <w:r w:rsidR="00B301D6" w:rsidRPr="00B301D6">
        <w:rPr>
          <w:rFonts w:cs="Times New Roman"/>
          <w:i/>
          <w:lang w:val="en"/>
        </w:rPr>
        <w:t>et al</w:t>
      </w:r>
      <w:r w:rsidR="00F96352">
        <w:rPr>
          <w:rFonts w:cs="Times New Roman"/>
          <w:lang w:val="en"/>
        </w:rPr>
        <w:t>, 2014</w:t>
      </w:r>
      <w:r>
        <w:rPr>
          <w:rFonts w:cs="Times New Roman"/>
          <w:lang w:val="en"/>
        </w:rPr>
        <w:t>,</w:t>
      </w:r>
      <w:r w:rsidR="00BB5588">
        <w:rPr>
          <w:rFonts w:cs="Times New Roman"/>
          <w:lang w:val="en"/>
        </w:rPr>
        <w:fldChar w:fldCharType="begin">
          <w:fldData xml:space="preserve">PEVuZE5vdGU+PENpdGU+PEF1dGhvcj5CZWxsb248L0F1dGhvcj48WWVhcj4yMDE0PC9ZZWFyPjxS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PEVuZE5vdGU+PENpdGU+PEF1dGhvcj5CZWxsb248L0F1dGhvcj48WWVhcj4yMDE0PC9ZZWFyPjxS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174</w:t>
      </w:r>
      <w:r w:rsidR="00BB5588">
        <w:rPr>
          <w:rFonts w:cs="Times New Roman"/>
          <w:lang w:val="en"/>
        </w:rPr>
        <w:fldChar w:fldCharType="end"/>
      </w:r>
      <w:r>
        <w:rPr>
          <w:rFonts w:cs="Times New Roman"/>
          <w:lang w:val="en"/>
        </w:rPr>
        <w:t xml:space="preserve"> Fichet</w:t>
      </w:r>
      <w:r w:rsidR="00F96352">
        <w:rPr>
          <w:rFonts w:cs="Times New Roman"/>
          <w:lang w:val="en"/>
        </w:rPr>
        <w:t xml:space="preserve"> </w:t>
      </w:r>
      <w:r w:rsidR="00B301D6" w:rsidRPr="00B301D6">
        <w:rPr>
          <w:rFonts w:cs="Times New Roman"/>
          <w:i/>
          <w:lang w:val="en"/>
        </w:rPr>
        <w:t>et al</w:t>
      </w:r>
      <w:r w:rsidR="00F96352">
        <w:rPr>
          <w:rFonts w:cs="Times New Roman"/>
          <w:lang w:val="en"/>
        </w:rPr>
        <w:t xml:space="preserve">, </w:t>
      </w:r>
      <w:r>
        <w:rPr>
          <w:rFonts w:cs="Times New Roman"/>
          <w:lang w:val="en"/>
        </w:rPr>
        <w:t xml:space="preserve"> 2007,</w:t>
      </w:r>
      <w:r w:rsidR="00BB5588">
        <w:rPr>
          <w:rFonts w:cs="Times New Roman"/>
          <w:lang w:val="en"/>
        </w:rPr>
        <w:fldChar w:fldCharType="begin"/>
      </w:r>
      <w:r w:rsidR="0076576E">
        <w:rPr>
          <w:rFonts w:cs="Times New Roman"/>
          <w:lang w:val="en"/>
        </w:rPr>
        <w:instrText xml:space="preserve"> ADDIN EN.CITE &lt;EndNote&gt;&lt;Cite&gt;&lt;Author&gt;Fichet&lt;/Author&gt;&lt;Year&gt;2007&lt;/Year&gt;&lt;RecNum&gt;9730&lt;/RecNum&gt;&lt;DisplayText&gt;&lt;style face="superscript"&gt;175&lt;/style&gt;&lt;/DisplayText&gt;&lt;record&gt;&lt;rec-number&gt;9730&lt;/rec-number&gt;&lt;foreign-keys&gt;&lt;key app="EN" db-id="vrp0pptazv05wtesfz5vrzsj2p0rv09ttsa9" timestamp="1511786612" guid="2017d090-d6d8-4f51-8492-062c2f8d6138"&gt;9730&lt;/key&gt;&lt;/foreign-keys&gt;&lt;ref-type name="Journal Article"&gt;17&lt;/ref-type&gt;&lt;contributors&gt;&lt;authors&gt;&lt;author&gt;Fichet, G.&lt;/author&gt;&lt;author&gt;Antloga, K.&lt;/author&gt;&lt;author&gt;Comoy, E.&lt;/author&gt;&lt;author&gt;Deslys, J. P.&lt;/author&gt;&lt;author&gt;McDonnell, G.&lt;/author&gt;&lt;/authors&gt;&lt;/contributors&gt;&lt;titles&gt;&lt;title&gt;Prion inactivation using a new gaseous hydrogen peroxide sterilisation process&lt;/title&gt;&lt;secondary-title&gt;Journal of Hospital Infection&lt;/secondary-title&gt;&lt;/titles&gt;&lt;periodical&gt;&lt;full-title&gt;Journal of Hospital Infection&lt;/full-title&gt;&lt;/periodical&gt;&lt;pages&gt;278-286&lt;/pages&gt;&lt;volume&gt;67&lt;/volume&gt;&lt;keywords&gt;&lt;keyword&gt;$$CC_5_instrument decontamination&lt;/keyword&gt;&lt;keyword&gt;$$CJD relevant&lt;/keyword&gt;&lt;keyword&gt;$$5_instrument decontamination&lt;/keyword&gt;&lt;keyword&gt;$$references&lt;/keyword&gt;&lt;/keywords&gt;&lt;dates&gt;&lt;year&gt;2007&lt;/year&gt;&lt;/dates&gt;&lt;urls&gt;&lt;/urls&gt;&lt;/record&gt;&lt;/Cite&gt;&lt;/EndNote&gt;</w:instrText>
      </w:r>
      <w:r w:rsidR="00BB5588">
        <w:rPr>
          <w:rFonts w:cs="Times New Roman"/>
          <w:lang w:val="en"/>
        </w:rPr>
        <w:fldChar w:fldCharType="separate"/>
      </w:r>
      <w:r w:rsidR="0076576E" w:rsidRPr="0076576E">
        <w:rPr>
          <w:rFonts w:cs="Times New Roman"/>
          <w:noProof/>
          <w:vertAlign w:val="superscript"/>
          <w:lang w:val="en"/>
        </w:rPr>
        <w:t>175</w:t>
      </w:r>
      <w:r w:rsidR="00BB5588">
        <w:rPr>
          <w:rFonts w:cs="Times New Roman"/>
          <w:lang w:val="en"/>
        </w:rPr>
        <w:fldChar w:fldCharType="end"/>
      </w:r>
      <w:r>
        <w:rPr>
          <w:rFonts w:cs="Times New Roman"/>
          <w:lang w:val="en"/>
        </w:rPr>
        <w:t xml:space="preserve"> Herve</w:t>
      </w:r>
      <w:r w:rsidR="00F96352" w:rsidRPr="00F96352">
        <w:rPr>
          <w:rFonts w:cs="Times New Roman"/>
          <w:lang w:val="en"/>
        </w:rPr>
        <w:t xml:space="preserve"> </w:t>
      </w:r>
      <w:r w:rsidR="00B301D6" w:rsidRPr="00B301D6">
        <w:rPr>
          <w:rFonts w:cs="Times New Roman"/>
          <w:i/>
          <w:lang w:val="en"/>
        </w:rPr>
        <w:t>et al</w:t>
      </w:r>
      <w:r w:rsidR="00F96352">
        <w:rPr>
          <w:rFonts w:cs="Times New Roman"/>
          <w:lang w:val="en"/>
        </w:rPr>
        <w:t xml:space="preserve">, </w:t>
      </w:r>
      <w:r>
        <w:rPr>
          <w:rFonts w:cs="Times New Roman"/>
          <w:lang w:val="en"/>
        </w:rPr>
        <w:t xml:space="preserve"> 2010a,</w:t>
      </w:r>
      <w:r w:rsidR="00BB5588">
        <w:rPr>
          <w:rFonts w:cs="Times New Roman"/>
          <w:lang w:val="en"/>
        </w:rPr>
        <w:fldChar w:fldCharType="begin">
          <w:fldData xml:space="preserve">PEVuZE5vdGU+PENpdGU+PEF1dGhvcj5IZXJ2ZTwvQXV0aG9yPjxZZWFyPjIwMTA8L1llYXI+PFJl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==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PEVuZE5vdGU+PENpdGU+PEF1dGhvcj5IZXJ2ZTwvQXV0aG9yPjxZZWFyPjIwMTA8L1llYXI+PFJl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==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176</w:t>
      </w:r>
      <w:r w:rsidR="00BB5588">
        <w:rPr>
          <w:rFonts w:cs="Times New Roman"/>
          <w:lang w:val="en"/>
        </w:rPr>
        <w:fldChar w:fldCharType="end"/>
      </w:r>
      <w:r>
        <w:rPr>
          <w:rFonts w:cs="Times New Roman"/>
          <w:lang w:val="en"/>
        </w:rPr>
        <w:t xml:space="preserve"> Lehmann</w:t>
      </w:r>
      <w:r w:rsidR="00F96352" w:rsidRPr="00F96352">
        <w:rPr>
          <w:rFonts w:cs="Times New Roman"/>
          <w:lang w:val="en"/>
        </w:rPr>
        <w:t xml:space="preserve"> </w:t>
      </w:r>
      <w:r w:rsidR="00B301D6" w:rsidRPr="00B301D6">
        <w:rPr>
          <w:rFonts w:cs="Times New Roman"/>
          <w:i/>
          <w:lang w:val="en"/>
        </w:rPr>
        <w:t>et al</w:t>
      </w:r>
      <w:r w:rsidR="00F96352">
        <w:rPr>
          <w:rFonts w:cs="Times New Roman"/>
          <w:lang w:val="en"/>
        </w:rPr>
        <w:t>, 2009</w:t>
      </w:r>
      <w:r>
        <w:rPr>
          <w:rFonts w:cs="Times New Roman"/>
          <w:lang w:val="en"/>
        </w:rPr>
        <w:t>,</w:t>
      </w:r>
      <w:r w:rsidR="00BB5588">
        <w:rPr>
          <w:rFonts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168</w:t>
      </w:r>
      <w:r w:rsidR="00BB5588">
        <w:rPr>
          <w:rFonts w:cs="Times New Roman"/>
          <w:lang w:val="en"/>
        </w:rPr>
        <w:fldChar w:fldCharType="end"/>
      </w:r>
      <w:r>
        <w:rPr>
          <w:rFonts w:cs="Times New Roman"/>
          <w:lang w:val="en"/>
        </w:rPr>
        <w:t xml:space="preserve"> Lemmer</w:t>
      </w:r>
      <w:r w:rsidR="00F96352" w:rsidRPr="00F96352">
        <w:rPr>
          <w:rFonts w:cs="Times New Roman"/>
          <w:lang w:val="en"/>
        </w:rPr>
        <w:t xml:space="preserve"> </w:t>
      </w:r>
      <w:r w:rsidR="00B301D6" w:rsidRPr="00B301D6">
        <w:rPr>
          <w:rFonts w:cs="Times New Roman"/>
          <w:i/>
          <w:lang w:val="en"/>
        </w:rPr>
        <w:t>et al</w:t>
      </w:r>
      <w:r w:rsidR="00F96352">
        <w:rPr>
          <w:rFonts w:cs="Times New Roman"/>
          <w:lang w:val="en"/>
        </w:rPr>
        <w:t>, 2008</w:t>
      </w:r>
      <w:r>
        <w:rPr>
          <w:rFonts w:cs="Times New Roman"/>
          <w:lang w:val="en"/>
        </w:rPr>
        <w:t>,</w:t>
      </w:r>
      <w:r w:rsidR="00BB5588">
        <w:rPr>
          <w:rFonts w:cs="Times New Roman"/>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169</w:t>
      </w:r>
      <w:r w:rsidR="00BB5588">
        <w:rPr>
          <w:rFonts w:cs="Times New Roman"/>
          <w:lang w:val="en"/>
        </w:rPr>
        <w:fldChar w:fldCharType="end"/>
      </w:r>
      <w:r>
        <w:rPr>
          <w:rFonts w:cs="Times New Roman"/>
          <w:lang w:val="en"/>
        </w:rPr>
        <w:t xml:space="preserve"> Rogez-Kreuz</w:t>
      </w:r>
      <w:r w:rsidR="00F96352" w:rsidRPr="00F96352">
        <w:rPr>
          <w:rFonts w:cs="Times New Roman"/>
          <w:lang w:val="en"/>
        </w:rPr>
        <w:t xml:space="preserve"> </w:t>
      </w:r>
      <w:r w:rsidR="00B301D6" w:rsidRPr="00B301D6">
        <w:rPr>
          <w:rFonts w:cs="Times New Roman"/>
          <w:i/>
          <w:lang w:val="en"/>
        </w:rPr>
        <w:t>et al</w:t>
      </w:r>
      <w:r w:rsidR="00F96352">
        <w:rPr>
          <w:rFonts w:cs="Times New Roman"/>
          <w:lang w:val="en"/>
        </w:rPr>
        <w:t>, 2009</w:t>
      </w:r>
      <w:r w:rsidR="00BB5588">
        <w:rPr>
          <w:rFonts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170</w:t>
      </w:r>
      <w:r w:rsidR="00BB5588">
        <w:rPr>
          <w:rFonts w:cs="Times New Roman"/>
          <w:lang w:val="en"/>
        </w:rPr>
        <w:fldChar w:fldCharType="end"/>
      </w:r>
      <w:r>
        <w:rPr>
          <w:rFonts w:cs="Times New Roman"/>
          <w:lang w:val="en"/>
        </w:rPr>
        <w:t>); three used vCJD (</w:t>
      </w:r>
      <w:r w:rsidR="005C6A8A">
        <w:rPr>
          <w:rFonts w:cs="Times New Roman"/>
          <w:lang w:val="en"/>
        </w:rPr>
        <w:t xml:space="preserve">Beekes </w:t>
      </w:r>
      <w:r w:rsidR="00B301D6" w:rsidRPr="00B301D6">
        <w:rPr>
          <w:rFonts w:cs="Times New Roman"/>
          <w:i/>
          <w:lang w:val="en"/>
        </w:rPr>
        <w:t>et al</w:t>
      </w:r>
      <w:r w:rsidR="005C6A8A">
        <w:rPr>
          <w:rFonts w:cs="Times New Roman"/>
          <w:lang w:val="en"/>
        </w:rPr>
        <w:t>, 2010,</w:t>
      </w:r>
      <w:r w:rsidR="00BB5588">
        <w:rPr>
          <w:rFonts w:cs="Times New Roman"/>
          <w:lang w:val="en"/>
        </w:rPr>
        <w:fldChar w:fldCharType="begin">
          <w:fldData xml:space="preserve">PEVuZE5vdGU+PENpdGU+PEF1dGhvcj5CZWVrZXM8L0F1dGhvcj48WWVhcj4yMDEwPC9ZZWFyPjxS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PEVuZE5vdGU+PENpdGU+PEF1dGhvcj5CZWVrZXM8L0F1dGhvcj48WWVhcj4yMDEwPC9ZZWFyPjxS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173</w:t>
      </w:r>
      <w:r w:rsidR="00BB5588">
        <w:rPr>
          <w:rFonts w:cs="Times New Roman"/>
          <w:lang w:val="en"/>
        </w:rPr>
        <w:fldChar w:fldCharType="end"/>
      </w:r>
      <w:r>
        <w:rPr>
          <w:rFonts w:cs="Times New Roman"/>
          <w:lang w:val="en"/>
        </w:rPr>
        <w:t xml:space="preserve">, </w:t>
      </w:r>
      <w:r w:rsidR="005C6A8A">
        <w:rPr>
          <w:rFonts w:cs="Times New Roman"/>
          <w:lang w:val="en"/>
        </w:rPr>
        <w:t>Bellon</w:t>
      </w:r>
      <w:r w:rsidR="005C6A8A" w:rsidRPr="00F96352">
        <w:rPr>
          <w:rFonts w:cs="Times New Roman"/>
          <w:lang w:val="en"/>
        </w:rPr>
        <w:t xml:space="preserve"> </w:t>
      </w:r>
      <w:r w:rsidR="00B301D6" w:rsidRPr="00B301D6">
        <w:rPr>
          <w:rFonts w:cs="Times New Roman"/>
          <w:i/>
          <w:lang w:val="en"/>
        </w:rPr>
        <w:t>et al</w:t>
      </w:r>
      <w:r w:rsidR="005C6A8A">
        <w:rPr>
          <w:rFonts w:cs="Times New Roman"/>
          <w:lang w:val="en"/>
        </w:rPr>
        <w:t>, 2014,</w:t>
      </w:r>
      <w:r w:rsidR="00BB5588">
        <w:rPr>
          <w:rFonts w:cs="Times New Roman"/>
          <w:lang w:val="en"/>
        </w:rPr>
        <w:fldChar w:fldCharType="begin">
          <w:fldData xml:space="preserve">PEVuZE5vdGU+PENpdGU+PEF1dGhvcj5CZWxsb248L0F1dGhvcj48WWVhcj4yMDE0PC9ZZWFyPjxS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PEVuZE5vdGU+PENpdGU+PEF1dGhvcj5CZWxsb248L0F1dGhvcj48WWVhcj4yMDE0PC9ZZWFyPjxS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174</w:t>
      </w:r>
      <w:r w:rsidR="00BB5588">
        <w:rPr>
          <w:rFonts w:cs="Times New Roman"/>
          <w:lang w:val="en"/>
        </w:rPr>
        <w:fldChar w:fldCharType="end"/>
      </w:r>
      <w:r>
        <w:rPr>
          <w:rFonts w:cs="Times New Roman"/>
          <w:lang w:val="en"/>
        </w:rPr>
        <w:t>, Belondrade</w:t>
      </w:r>
      <w:r w:rsidR="005C6A8A">
        <w:rPr>
          <w:rFonts w:cs="Times New Roman"/>
          <w:lang w:val="en"/>
        </w:rPr>
        <w:t xml:space="preserve"> </w:t>
      </w:r>
      <w:r w:rsidR="00B301D6" w:rsidRPr="00B301D6">
        <w:rPr>
          <w:rFonts w:cs="Times New Roman"/>
          <w:i/>
          <w:lang w:val="en"/>
        </w:rPr>
        <w:t>et al</w:t>
      </w:r>
      <w:r w:rsidR="005C6A8A">
        <w:rPr>
          <w:rFonts w:cs="Times New Roman"/>
          <w:lang w:val="en"/>
        </w:rPr>
        <w:t>,</w:t>
      </w:r>
      <w:r>
        <w:rPr>
          <w:rFonts w:cs="Times New Roman"/>
          <w:lang w:val="en"/>
        </w:rPr>
        <w:t xml:space="preserve"> 2016</w:t>
      </w:r>
      <w:r w:rsidR="00BB5588">
        <w:rPr>
          <w:rFonts w:cs="Times New Roman"/>
          <w:lang w:val="en"/>
        </w:rPr>
        <w:fldChar w:fldCharType="begin"/>
      </w:r>
      <w:r w:rsidR="0076576E">
        <w:rPr>
          <w:rFonts w:cs="Times New Roman"/>
          <w:lang w:val="en"/>
        </w:rPr>
        <w:instrText xml:space="preserve"> ADDIN EN.CITE &lt;EndNote&gt;&lt;Cite&gt;&lt;Author&gt;Belondrade&lt;/Author&gt;&lt;Year&gt;2016&lt;/Year&gt;&lt;RecNum&gt;10275&lt;/RecNum&gt;&lt;DisplayText&gt;&lt;style face="superscript"&gt;171&lt;/style&gt;&lt;/DisplayText&gt;&lt;record&gt;&lt;rec-number&gt;10275&lt;/rec-number&gt;&lt;foreign-keys&gt;&lt;key app="EN" db-id="vrp0pptazv05wtesfz5vrzsj2p0rv09ttsa9" timestamp="1521469700" guid="ea0094e7-3c92-4fa9-809d-d65e2d41a3e6"&gt;10275&lt;/key&gt;&lt;/foreign-keys&gt;&lt;ref-type name="Journal Article"&gt;17&lt;/ref-type&gt;&lt;contributors&gt;&lt;authors&gt;&lt;author&gt;Belondrade, Maxime&lt;/author&gt;&lt;author&gt;Nicot, Simon&lt;/author&gt;&lt;author&gt;Béringue, Vincent&lt;/author&gt;&lt;author&gt;Coste, Joliette&lt;/author&gt;&lt;author&gt;Lehmann, Sylvain&lt;/author&gt;&lt;author&gt;Bougard, Daisy&lt;/author&gt;&lt;/authors&gt;&lt;/contributors&gt;&lt;titles&gt;&lt;title&gt;Rapid and highly sensitive detection of variant Creutzfeldt-Jakob disease abnormal prion protein on steel surfaces by protein misfolding cyclic amplification: application to prion decontamination Studies&lt;/title&gt;&lt;secondary-title&gt;PloS one&lt;/secondary-title&gt;&lt;/titles&gt;&lt;periodical&gt;&lt;full-title&gt;PLoS ONE [Electronic Resource]&lt;/full-title&gt;&lt;abbr-1&gt;PLoS ONE&lt;/abbr-1&gt;&lt;/periodical&gt;&lt;pages&gt;e0146833&lt;/pages&gt;&lt;volume&gt;11&lt;/volume&gt;&lt;number&gt;1&lt;/number&gt;&lt;keywords&gt;&lt;keyword&gt;$$CC_5_instrument decontamination&lt;/keyword&gt;&lt;keyword&gt;$$5_instrument decontamination&lt;/keyword&gt;&lt;keyword&gt;$$Lesley google&lt;/keyword&gt;&lt;/keywords&gt;&lt;dates&gt;&lt;year&gt;2016&lt;/year&gt;&lt;/dates&gt;&lt;isbn&gt;1932-6203&lt;/isbn&gt;&lt;urls&gt;&lt;/urls&gt;&lt;/record&gt;&lt;/Cite&gt;&lt;/EndNote&gt;</w:instrText>
      </w:r>
      <w:r w:rsidR="00BB5588">
        <w:rPr>
          <w:rFonts w:cs="Times New Roman"/>
          <w:lang w:val="en"/>
        </w:rPr>
        <w:fldChar w:fldCharType="separate"/>
      </w:r>
      <w:r w:rsidR="0076576E" w:rsidRPr="0076576E">
        <w:rPr>
          <w:rFonts w:cs="Times New Roman"/>
          <w:noProof/>
          <w:vertAlign w:val="superscript"/>
          <w:lang w:val="en"/>
        </w:rPr>
        <w:t>171</w:t>
      </w:r>
      <w:r w:rsidR="00BB5588">
        <w:rPr>
          <w:rFonts w:cs="Times New Roman"/>
          <w:lang w:val="en"/>
        </w:rPr>
        <w:fldChar w:fldCharType="end"/>
      </w:r>
      <w:r>
        <w:rPr>
          <w:rFonts w:cs="Times New Roman"/>
          <w:lang w:val="en"/>
        </w:rPr>
        <w:t>); two used ME7 (Herve</w:t>
      </w:r>
      <w:r w:rsidR="005C6A8A">
        <w:rPr>
          <w:rFonts w:cs="Times New Roman"/>
          <w:lang w:val="en"/>
        </w:rPr>
        <w:t xml:space="preserve"> </w:t>
      </w:r>
      <w:r w:rsidR="00B301D6" w:rsidRPr="00B301D6">
        <w:rPr>
          <w:rFonts w:cs="Times New Roman"/>
          <w:i/>
          <w:lang w:val="en"/>
        </w:rPr>
        <w:t>et al</w:t>
      </w:r>
      <w:r w:rsidR="005C6A8A">
        <w:rPr>
          <w:rFonts w:cs="Times New Roman"/>
          <w:lang w:val="en"/>
        </w:rPr>
        <w:t>,</w:t>
      </w:r>
      <w:r>
        <w:rPr>
          <w:rFonts w:cs="Times New Roman"/>
          <w:lang w:val="en"/>
        </w:rPr>
        <w:t xml:space="preserve"> 2010b,</w:t>
      </w:r>
      <w:r w:rsidR="00BB5588">
        <w:rPr>
          <w:rFonts w:cs="Times New Roman"/>
          <w:lang w:val="en"/>
        </w:rPr>
        <w:fldChar w:fldCharType="begin"/>
      </w:r>
      <w:r w:rsidR="0076576E">
        <w:rPr>
          <w:rFonts w:cs="Times New Roman"/>
          <w:lang w:val="en"/>
        </w:rPr>
        <w:instrText xml:space="preserve"> ADDIN EN.CITE &lt;EndNote&gt;&lt;Cite&gt;&lt;Author&gt;Herve&lt;/Author&gt;&lt;Year&gt;2013&lt;/Year&gt;&lt;RecNum&gt;8158&lt;/RecNum&gt;&lt;DisplayText&gt;&lt;style face="superscript"&gt;177&lt;/style&gt;&lt;/DisplayText&gt;&lt;record&gt;&lt;rec-number&gt;8158&lt;/rec-number&gt;&lt;foreign-keys&gt;&lt;key app="EN" db-id="vrp0pptazv05wtesfz5vrzsj2p0rv09ttsa9" timestamp="1506588735" guid="7917bccb-14b0-47c5-8c45-64caf8bd4aab"&gt;8158&lt;/key&gt;&lt;/foreign-keys&gt;&lt;ref-type name="Journal Article"&gt;17&lt;/ref-type&gt;&lt;contributors&gt;&lt;authors&gt;&lt;author&gt;Herve, R.&lt;/author&gt;&lt;author&gt;Keevil, C. W.&lt;/author&gt;&lt;/authors&gt;&lt;/contributors&gt;&lt;titles&gt;&lt;title&gt;Current limitations about the cleaning of luminal endoscopes&lt;/title&gt;&lt;secondary-title&gt;Journal of Hospital Infection&lt;/secondary-title&gt;&lt;/titles&gt;&lt;periodical&gt;&lt;full-title&gt;Journal of Hospital Infection&lt;/full-title&gt;&lt;/periodical&gt;&lt;pages&gt;22-29&lt;/pages&gt;&lt;volume&gt;83&lt;/volume&gt;&lt;number&gt;1&lt;/number&gt;&lt;keywords&gt;&lt;keyword&gt;$$CJD relevant&lt;/keyword&gt;&lt;keyword&gt;$$5_instrument decontamination&lt;/keyword&gt;&lt;keyword&gt;$$5_protein&lt;/keyword&gt;&lt;/keywords&gt;&lt;dates&gt;&lt;year&gt;2013&lt;/year&gt;&lt;pub-dates&gt;&lt;date&gt;Jan&lt;/date&gt;&lt;/pub-dates&gt;&lt;/dates&gt;&lt;isbn&gt;0195-6701&lt;/isbn&gt;&lt;accession-num&gt;WOS:000312394600003&lt;/accession-num&gt;&lt;urls&gt;&lt;related-urls&gt;&lt;url&gt;&amp;lt;Go to ISI&amp;gt;://WOS:000312394600003&lt;/url&gt;&lt;/related-urls&gt;&lt;/urls&gt;&lt;electronic-resource-num&gt;10.1016/j.jhin.2012.08.008&lt;/electronic-resource-num&gt;&lt;/record&gt;&lt;/Cite&gt;&lt;/EndNote&gt;</w:instrText>
      </w:r>
      <w:r w:rsidR="00BB5588">
        <w:rPr>
          <w:rFonts w:cs="Times New Roman"/>
          <w:lang w:val="en"/>
        </w:rPr>
        <w:fldChar w:fldCharType="separate"/>
      </w:r>
      <w:r w:rsidR="0076576E" w:rsidRPr="0076576E">
        <w:rPr>
          <w:rFonts w:cs="Times New Roman"/>
          <w:noProof/>
          <w:vertAlign w:val="superscript"/>
          <w:lang w:val="en"/>
        </w:rPr>
        <w:t>177</w:t>
      </w:r>
      <w:r w:rsidR="00BB5588">
        <w:rPr>
          <w:rFonts w:cs="Times New Roman"/>
          <w:lang w:val="en"/>
        </w:rPr>
        <w:fldChar w:fldCharType="end"/>
      </w:r>
      <w:r>
        <w:rPr>
          <w:rFonts w:cs="Times New Roman"/>
          <w:lang w:val="en"/>
        </w:rPr>
        <w:t xml:space="preserve"> Howlin</w:t>
      </w:r>
      <w:r w:rsidR="005C6A8A">
        <w:rPr>
          <w:rFonts w:cs="Times New Roman"/>
          <w:lang w:val="en"/>
        </w:rPr>
        <w:t xml:space="preserve"> </w:t>
      </w:r>
      <w:r w:rsidR="00B301D6" w:rsidRPr="00B301D6">
        <w:rPr>
          <w:rFonts w:cs="Times New Roman"/>
          <w:i/>
          <w:lang w:val="en"/>
        </w:rPr>
        <w:t>et al</w:t>
      </w:r>
      <w:r w:rsidR="005C6A8A">
        <w:rPr>
          <w:rFonts w:cs="Times New Roman"/>
          <w:lang w:val="en"/>
        </w:rPr>
        <w:t xml:space="preserve">, </w:t>
      </w:r>
      <w:r w:rsidR="00BB5588">
        <w:rPr>
          <w:rFonts w:cs="Times New Roman"/>
          <w:lang w:val="e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178</w:t>
      </w:r>
      <w:r w:rsidR="00BB5588">
        <w:rPr>
          <w:rFonts w:cs="Times New Roman"/>
          <w:lang w:val="en"/>
        </w:rPr>
        <w:fldChar w:fldCharType="end"/>
      </w:r>
      <w:r>
        <w:rPr>
          <w:rFonts w:cs="Times New Roman"/>
          <w:lang w:val="en"/>
        </w:rPr>
        <w:t>); and the following prion strains were investigated in only a single study: RML (Edgeworth</w:t>
      </w:r>
      <w:r w:rsidR="005C6A8A">
        <w:rPr>
          <w:rFonts w:cs="Times New Roman"/>
          <w:lang w:val="en"/>
        </w:rPr>
        <w:t xml:space="preserve"> </w:t>
      </w:r>
      <w:r w:rsidR="00B301D6" w:rsidRPr="00B301D6">
        <w:rPr>
          <w:rFonts w:cs="Times New Roman"/>
          <w:i/>
          <w:lang w:val="en"/>
        </w:rPr>
        <w:t>et al</w:t>
      </w:r>
      <w:r w:rsidR="005C6A8A">
        <w:rPr>
          <w:rFonts w:cs="Times New Roman"/>
          <w:lang w:val="en"/>
        </w:rPr>
        <w:t>, 2011</w:t>
      </w:r>
      <w:r w:rsidR="00BB5588">
        <w:rPr>
          <w:rFonts w:cs="Times New Roman"/>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179</w:t>
      </w:r>
      <w:r w:rsidR="00BB5588">
        <w:rPr>
          <w:rFonts w:cs="Times New Roman"/>
          <w:lang w:val="en"/>
        </w:rPr>
        <w:fldChar w:fldCharType="end"/>
      </w:r>
      <w:r>
        <w:rPr>
          <w:rFonts w:cs="Times New Roman"/>
          <w:lang w:val="en"/>
        </w:rPr>
        <w:t>)</w:t>
      </w:r>
      <w:r w:rsidR="00366434">
        <w:rPr>
          <w:rFonts w:cs="Times New Roman"/>
          <w:lang w:val="en"/>
        </w:rPr>
        <w:t>;</w:t>
      </w:r>
      <w:r>
        <w:rPr>
          <w:rFonts w:cs="Times New Roman"/>
          <w:lang w:val="en"/>
        </w:rPr>
        <w:t xml:space="preserve"> BSE 6PB1 and TGB1 (</w:t>
      </w:r>
      <w:r w:rsidR="005C6A8A">
        <w:rPr>
          <w:rFonts w:cs="Times New Roman"/>
          <w:lang w:val="en"/>
        </w:rPr>
        <w:t xml:space="preserve">Fichet </w:t>
      </w:r>
      <w:r w:rsidR="00B301D6" w:rsidRPr="00B301D6">
        <w:rPr>
          <w:rFonts w:cs="Times New Roman"/>
          <w:i/>
          <w:lang w:val="en"/>
        </w:rPr>
        <w:t>et al</w:t>
      </w:r>
      <w:r w:rsidR="005C6A8A">
        <w:rPr>
          <w:rFonts w:cs="Times New Roman"/>
          <w:lang w:val="en"/>
        </w:rPr>
        <w:t>,  2007,</w:t>
      </w:r>
      <w:r w:rsidR="00BB5588">
        <w:rPr>
          <w:rFonts w:cs="Times New Roman"/>
          <w:lang w:val="en"/>
        </w:rPr>
        <w:fldChar w:fldCharType="begin"/>
      </w:r>
      <w:r w:rsidR="0076576E">
        <w:rPr>
          <w:rFonts w:cs="Times New Roman"/>
          <w:lang w:val="en"/>
        </w:rPr>
        <w:instrText xml:space="preserve"> ADDIN EN.CITE &lt;EndNote&gt;&lt;Cite&gt;&lt;Author&gt;Fichet&lt;/Author&gt;&lt;Year&gt;2007&lt;/Year&gt;&lt;RecNum&gt;9730&lt;/RecNum&gt;&lt;DisplayText&gt;&lt;style face="superscript"&gt;175&lt;/style&gt;&lt;/DisplayText&gt;&lt;record&gt;&lt;rec-number&gt;9730&lt;/rec-number&gt;&lt;foreign-keys&gt;&lt;key app="EN" db-id="vrp0pptazv05wtesfz5vrzsj2p0rv09ttsa9" timestamp="1511786612" guid="2017d090-d6d8-4f51-8492-062c2f8d6138"&gt;9730&lt;/key&gt;&lt;/foreign-keys&gt;&lt;ref-type name="Journal Article"&gt;17&lt;/ref-type&gt;&lt;contributors&gt;&lt;authors&gt;&lt;author&gt;Fichet, G.&lt;/author&gt;&lt;author&gt;Antloga, K.&lt;/author&gt;&lt;author&gt;Comoy, E.&lt;/author&gt;&lt;author&gt;Deslys, J. P.&lt;/author&gt;&lt;author&gt;McDonnell, G.&lt;/author&gt;&lt;/authors&gt;&lt;/contributors&gt;&lt;titles&gt;&lt;title&gt;Prion inactivation using a new gaseous hydrogen peroxide sterilisation process&lt;/title&gt;&lt;secondary-title&gt;Journal of Hospital Infection&lt;/secondary-title&gt;&lt;/titles&gt;&lt;periodical&gt;&lt;full-title&gt;Journal of Hospital Infection&lt;/full-title&gt;&lt;/periodical&gt;&lt;pages&gt;278-286&lt;/pages&gt;&lt;volume&gt;67&lt;/volume&gt;&lt;keywords&gt;&lt;keyword&gt;$$CC_5_instrument decontamination&lt;/keyword&gt;&lt;keyword&gt;$$CJD relevant&lt;/keyword&gt;&lt;keyword&gt;$$5_instrument decontamination&lt;/keyword&gt;&lt;keyword&gt;$$references&lt;/keyword&gt;&lt;/keywords&gt;&lt;dates&gt;&lt;year&gt;2007&lt;/year&gt;&lt;/dates&gt;&lt;urls&gt;&lt;/urls&gt;&lt;/record&gt;&lt;/Cite&gt;&lt;/EndNote&gt;</w:instrText>
      </w:r>
      <w:r w:rsidR="00BB5588">
        <w:rPr>
          <w:rFonts w:cs="Times New Roman"/>
          <w:lang w:val="en"/>
        </w:rPr>
        <w:fldChar w:fldCharType="separate"/>
      </w:r>
      <w:r w:rsidR="0076576E" w:rsidRPr="0076576E">
        <w:rPr>
          <w:rFonts w:cs="Times New Roman"/>
          <w:noProof/>
          <w:vertAlign w:val="superscript"/>
          <w:lang w:val="en"/>
        </w:rPr>
        <w:t>175</w:t>
      </w:r>
      <w:r w:rsidR="00BB5588">
        <w:rPr>
          <w:rFonts w:cs="Times New Roman"/>
          <w:lang w:val="en"/>
        </w:rPr>
        <w:fldChar w:fldCharType="end"/>
      </w:r>
      <w:r>
        <w:rPr>
          <w:rFonts w:cs="Times New Roman"/>
          <w:lang w:val="en"/>
        </w:rPr>
        <w:t>)</w:t>
      </w:r>
      <w:r w:rsidR="00366434">
        <w:rPr>
          <w:rFonts w:cs="Times New Roman"/>
          <w:lang w:val="en"/>
        </w:rPr>
        <w:t>;</w:t>
      </w:r>
      <w:r>
        <w:rPr>
          <w:rFonts w:cs="Times New Roman"/>
          <w:lang w:val="en"/>
        </w:rPr>
        <w:t xml:space="preserve"> M1000 (Lawson</w:t>
      </w:r>
      <w:r w:rsidR="005C6A8A">
        <w:rPr>
          <w:rFonts w:cs="Times New Roman"/>
          <w:lang w:val="en"/>
        </w:rPr>
        <w:t xml:space="preserve"> </w:t>
      </w:r>
      <w:r w:rsidR="00B301D6" w:rsidRPr="00B301D6">
        <w:rPr>
          <w:rFonts w:cs="Times New Roman"/>
          <w:i/>
          <w:lang w:val="en"/>
        </w:rPr>
        <w:t>et al</w:t>
      </w:r>
      <w:r w:rsidR="005C6A8A">
        <w:rPr>
          <w:rFonts w:cs="Times New Roman"/>
          <w:lang w:val="en"/>
        </w:rPr>
        <w:t>,</w:t>
      </w:r>
      <w:r>
        <w:rPr>
          <w:rFonts w:cs="Times New Roman"/>
          <w:lang w:val="en"/>
        </w:rPr>
        <w:t xml:space="preserve"> 2007</w:t>
      </w:r>
      <w:r w:rsidR="00BB5588">
        <w:rPr>
          <w:rFonts w:cs="Times New Roman"/>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172</w:t>
      </w:r>
      <w:r w:rsidR="00BB5588">
        <w:rPr>
          <w:rFonts w:cs="Times New Roman"/>
          <w:lang w:val="en"/>
        </w:rPr>
        <w:fldChar w:fldCharType="end"/>
      </w:r>
      <w:r>
        <w:rPr>
          <w:rFonts w:cs="Times New Roman"/>
          <w:lang w:val="en"/>
        </w:rPr>
        <w:t>)</w:t>
      </w:r>
      <w:r w:rsidR="00366434">
        <w:rPr>
          <w:rFonts w:cs="Times New Roman"/>
          <w:lang w:val="en"/>
        </w:rPr>
        <w:t>;</w:t>
      </w:r>
      <w:r>
        <w:rPr>
          <w:rFonts w:cs="Times New Roman"/>
          <w:lang w:val="en"/>
        </w:rPr>
        <w:t xml:space="preserve"> and 127S (</w:t>
      </w:r>
      <w:r w:rsidR="005C6A8A">
        <w:rPr>
          <w:rFonts w:cs="Times New Roman"/>
          <w:lang w:val="en"/>
        </w:rPr>
        <w:t xml:space="preserve">Belondrade </w:t>
      </w:r>
      <w:r w:rsidR="00B301D6" w:rsidRPr="00B301D6">
        <w:rPr>
          <w:rFonts w:cs="Times New Roman"/>
          <w:i/>
          <w:lang w:val="en"/>
        </w:rPr>
        <w:t>et al</w:t>
      </w:r>
      <w:r w:rsidR="005C6A8A">
        <w:rPr>
          <w:rFonts w:cs="Times New Roman"/>
          <w:lang w:val="en"/>
        </w:rPr>
        <w:t>, 2016</w:t>
      </w:r>
      <w:r w:rsidR="00BB5588">
        <w:rPr>
          <w:rFonts w:cs="Times New Roman"/>
          <w:lang w:val="en"/>
        </w:rPr>
        <w:fldChar w:fldCharType="begin"/>
      </w:r>
      <w:r w:rsidR="0076576E">
        <w:rPr>
          <w:rFonts w:cs="Times New Roman"/>
          <w:lang w:val="en"/>
        </w:rPr>
        <w:instrText xml:space="preserve"> ADDIN EN.CITE &lt;EndNote&gt;&lt;Cite&gt;&lt;Author&gt;Belondrade&lt;/Author&gt;&lt;Year&gt;2016&lt;/Year&gt;&lt;RecNum&gt;10275&lt;/RecNum&gt;&lt;DisplayText&gt;&lt;style face="superscript"&gt;171&lt;/style&gt;&lt;/DisplayText&gt;&lt;record&gt;&lt;rec-number&gt;10275&lt;/rec-number&gt;&lt;foreign-keys&gt;&lt;key app="EN" db-id="vrp0pptazv05wtesfz5vrzsj2p0rv09ttsa9" timestamp="1521469700" guid="ea0094e7-3c92-4fa9-809d-d65e2d41a3e6"&gt;10275&lt;/key&gt;&lt;/foreign-keys&gt;&lt;ref-type name="Journal Article"&gt;17&lt;/ref-type&gt;&lt;contributors&gt;&lt;authors&gt;&lt;author&gt;Belondrade, Maxime&lt;/author&gt;&lt;author&gt;Nicot, Simon&lt;/author&gt;&lt;author&gt;Béringue, Vincent&lt;/author&gt;&lt;author&gt;Coste, Joliette&lt;/author&gt;&lt;author&gt;Lehmann, Sylvain&lt;/author&gt;&lt;author&gt;Bougard, Daisy&lt;/author&gt;&lt;/authors&gt;&lt;/contributors&gt;&lt;titles&gt;&lt;title&gt;Rapid and highly sensitive detection of variant Creutzfeldt-Jakob disease abnormal prion protein on steel surfaces by protein misfolding cyclic amplification: application to prion decontamination Studies&lt;/title&gt;&lt;secondary-title&gt;PloS one&lt;/secondary-title&gt;&lt;/titles&gt;&lt;periodical&gt;&lt;full-title&gt;PLoS ONE [Electronic Resource]&lt;/full-title&gt;&lt;abbr-1&gt;PLoS ONE&lt;/abbr-1&gt;&lt;/periodical&gt;&lt;pages&gt;e0146833&lt;/pages&gt;&lt;volume&gt;11&lt;/volume&gt;&lt;number&gt;1&lt;/number&gt;&lt;keywords&gt;&lt;keyword&gt;$$CC_5_instrument decontamination&lt;/keyword&gt;&lt;keyword&gt;$$5_instrument decontamination&lt;/keyword&gt;&lt;keyword&gt;$$Lesley google&lt;/keyword&gt;&lt;/keywords&gt;&lt;dates&gt;&lt;year&gt;2016&lt;/year&gt;&lt;/dates&gt;&lt;isbn&gt;1932-6203&lt;/isbn&gt;&lt;urls&gt;&lt;/urls&gt;&lt;/record&gt;&lt;/Cite&gt;&lt;/EndNote&gt;</w:instrText>
      </w:r>
      <w:r w:rsidR="00BB5588">
        <w:rPr>
          <w:rFonts w:cs="Times New Roman"/>
          <w:lang w:val="en"/>
        </w:rPr>
        <w:fldChar w:fldCharType="separate"/>
      </w:r>
      <w:r w:rsidR="0076576E" w:rsidRPr="0076576E">
        <w:rPr>
          <w:rFonts w:cs="Times New Roman"/>
          <w:noProof/>
          <w:vertAlign w:val="superscript"/>
          <w:lang w:val="en"/>
        </w:rPr>
        <w:t>171</w:t>
      </w:r>
      <w:r w:rsidR="00BB5588">
        <w:rPr>
          <w:rFonts w:cs="Times New Roman"/>
          <w:lang w:val="en"/>
        </w:rPr>
        <w:fldChar w:fldCharType="end"/>
      </w:r>
      <w:r>
        <w:rPr>
          <w:rFonts w:cs="Times New Roman"/>
          <w:lang w:val="en"/>
        </w:rPr>
        <w:t>). Nine studies used steel wires contaminated with the prion; one study used steel tokens (</w:t>
      </w:r>
      <w:r w:rsidR="005C6A8A">
        <w:rPr>
          <w:rFonts w:cs="Times New Roman"/>
          <w:lang w:val="en"/>
        </w:rPr>
        <w:t xml:space="preserve">Herve </w:t>
      </w:r>
      <w:r w:rsidR="00B301D6" w:rsidRPr="00B301D6">
        <w:rPr>
          <w:rFonts w:cs="Times New Roman"/>
          <w:i/>
          <w:lang w:val="en"/>
        </w:rPr>
        <w:t>et al</w:t>
      </w:r>
      <w:r w:rsidR="005C6A8A">
        <w:rPr>
          <w:rFonts w:cs="Times New Roman"/>
          <w:lang w:val="en"/>
        </w:rPr>
        <w:t>, 2010b,</w:t>
      </w:r>
      <w:r w:rsidR="00BB5588">
        <w:rPr>
          <w:rFonts w:cs="Times New Roman"/>
          <w:lang w:val="en"/>
        </w:rPr>
        <w:fldChar w:fldCharType="begin"/>
      </w:r>
      <w:r w:rsidR="0076576E">
        <w:rPr>
          <w:rFonts w:cs="Times New Roman"/>
          <w:lang w:val="en"/>
        </w:rPr>
        <w:instrText xml:space="preserve"> ADDIN EN.CITE &lt;EndNote&gt;&lt;Cite&gt;&lt;Author&gt;Herve&lt;/Author&gt;&lt;Year&gt;2013&lt;/Year&gt;&lt;RecNum&gt;8158&lt;/RecNum&gt;&lt;DisplayText&gt;&lt;style face="superscript"&gt;177&lt;/style&gt;&lt;/DisplayText&gt;&lt;record&gt;&lt;rec-number&gt;8158&lt;/rec-number&gt;&lt;foreign-keys&gt;&lt;key app="EN" db-id="vrp0pptazv05wtesfz5vrzsj2p0rv09ttsa9" timestamp="1506588735" guid="7917bccb-14b0-47c5-8c45-64caf8bd4aab"&gt;8158&lt;/key&gt;&lt;/foreign-keys&gt;&lt;ref-type name="Journal Article"&gt;17&lt;/ref-type&gt;&lt;contributors&gt;&lt;authors&gt;&lt;author&gt;Herve, R.&lt;/author&gt;&lt;author&gt;Keevil, C. W.&lt;/author&gt;&lt;/authors&gt;&lt;/contributors&gt;&lt;titles&gt;&lt;title&gt;Current limitations about the cleaning of luminal endoscopes&lt;/title&gt;&lt;secondary-title&gt;Journal of Hospital Infection&lt;/secondary-title&gt;&lt;/titles&gt;&lt;periodical&gt;&lt;full-title&gt;Journal of Hospital Infection&lt;/full-title&gt;&lt;/periodical&gt;&lt;pages&gt;22-29&lt;/pages&gt;&lt;volume&gt;83&lt;/volume&gt;&lt;number&gt;1&lt;/number&gt;&lt;keywords&gt;&lt;keyword&gt;$$CJD relevant&lt;/keyword&gt;&lt;keyword&gt;$$5_instrument decontamination&lt;/keyword&gt;&lt;keyword&gt;$$5_protein&lt;/keyword&gt;&lt;/keywords&gt;&lt;dates&gt;&lt;year&gt;2013&lt;/year&gt;&lt;pub-dates&gt;&lt;date&gt;Jan&lt;/date&gt;&lt;/pub-dates&gt;&lt;/dates&gt;&lt;isbn&gt;0195-6701&lt;/isbn&gt;&lt;accession-num&gt;WOS:000312394600003&lt;/accession-num&gt;&lt;urls&gt;&lt;related-urls&gt;&lt;url&gt;&amp;lt;Go to ISI&amp;gt;://WOS:000312394600003&lt;/url&gt;&lt;/related-urls&gt;&lt;/urls&gt;&lt;electronic-resource-num&gt;10.1016/j.jhin.2012.08.008&lt;/electronic-resource-num&gt;&lt;/record&gt;&lt;/Cite&gt;&lt;/EndNote&gt;</w:instrText>
      </w:r>
      <w:r w:rsidR="00BB5588">
        <w:rPr>
          <w:rFonts w:cs="Times New Roman"/>
          <w:lang w:val="en"/>
        </w:rPr>
        <w:fldChar w:fldCharType="separate"/>
      </w:r>
      <w:r w:rsidR="0076576E" w:rsidRPr="0076576E">
        <w:rPr>
          <w:rFonts w:cs="Times New Roman"/>
          <w:noProof/>
          <w:vertAlign w:val="superscript"/>
          <w:lang w:val="en"/>
        </w:rPr>
        <w:t>177</w:t>
      </w:r>
      <w:r w:rsidR="00BB5588">
        <w:rPr>
          <w:rFonts w:cs="Times New Roman"/>
          <w:lang w:val="en"/>
        </w:rPr>
        <w:fldChar w:fldCharType="end"/>
      </w:r>
      <w:r>
        <w:rPr>
          <w:rFonts w:cs="Times New Roman"/>
          <w:lang w:val="en"/>
        </w:rPr>
        <w:t>) and one</w:t>
      </w:r>
      <w:r w:rsidR="00366434">
        <w:rPr>
          <w:rFonts w:cs="Times New Roman"/>
          <w:lang w:val="en"/>
        </w:rPr>
        <w:t>,</w:t>
      </w:r>
      <w:r>
        <w:rPr>
          <w:rFonts w:cs="Times New Roman"/>
          <w:lang w:val="en"/>
        </w:rPr>
        <w:t xml:space="preserve"> steel sheets (</w:t>
      </w:r>
      <w:r w:rsidR="005C6A8A">
        <w:rPr>
          <w:rFonts w:cs="Times New Roman"/>
          <w:lang w:val="en"/>
        </w:rPr>
        <w:t>Rogez-Kreuz</w:t>
      </w:r>
      <w:r w:rsidR="005C6A8A" w:rsidRPr="00F96352">
        <w:rPr>
          <w:rFonts w:cs="Times New Roman"/>
          <w:lang w:val="en"/>
        </w:rPr>
        <w:t xml:space="preserve"> </w:t>
      </w:r>
      <w:r w:rsidR="00B301D6" w:rsidRPr="00B301D6">
        <w:rPr>
          <w:rFonts w:cs="Times New Roman"/>
          <w:i/>
          <w:lang w:val="en"/>
        </w:rPr>
        <w:t>et al</w:t>
      </w:r>
      <w:r w:rsidR="005C6A8A">
        <w:rPr>
          <w:rFonts w:cs="Times New Roman"/>
          <w:lang w:val="en"/>
        </w:rPr>
        <w:t>, 2009</w:t>
      </w:r>
      <w:r w:rsidR="00BB5588">
        <w:rPr>
          <w:rFonts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170</w:t>
      </w:r>
      <w:r w:rsidR="00BB5588">
        <w:rPr>
          <w:rFonts w:cs="Times New Roman"/>
          <w:lang w:val="en"/>
        </w:rPr>
        <w:fldChar w:fldCharType="end"/>
      </w:r>
      <w:r>
        <w:rPr>
          <w:rFonts w:cs="Times New Roman"/>
          <w:lang w:val="en"/>
        </w:rPr>
        <w:t>).</w:t>
      </w:r>
    </w:p>
    <w:p w14:paraId="11395077" w14:textId="77777777" w:rsidR="004642FD" w:rsidRDefault="004642FD" w:rsidP="00B96A6E">
      <w:pPr>
        <w:jc w:val="both"/>
        <w:rPr>
          <w:rFonts w:cs="Times New Roman"/>
          <w:lang w:val="en"/>
        </w:rPr>
      </w:pPr>
    </w:p>
    <w:p w14:paraId="7C76ADC8" w14:textId="3CD94D5E" w:rsidR="00B96A6E" w:rsidRPr="00851AC2" w:rsidRDefault="00B96A6E" w:rsidP="006E1D8B">
      <w:pPr>
        <w:jc w:val="both"/>
      </w:pPr>
      <w:r w:rsidRPr="00874DF3">
        <w:rPr>
          <w:rFonts w:cs="Times New Roman"/>
          <w:lang w:val="en"/>
        </w:rPr>
        <w:t xml:space="preserve">The efficiency of </w:t>
      </w:r>
      <w:r>
        <w:rPr>
          <w:rFonts w:cs="Times New Roman"/>
          <w:lang w:val="en"/>
        </w:rPr>
        <w:t>a range of</w:t>
      </w:r>
      <w:r w:rsidRPr="00874DF3">
        <w:rPr>
          <w:rFonts w:cs="Times New Roman"/>
          <w:lang w:val="en"/>
        </w:rPr>
        <w:t xml:space="preserve"> decontaminants</w:t>
      </w:r>
      <w:r>
        <w:rPr>
          <w:rFonts w:cs="Times New Roman"/>
          <w:lang w:val="en"/>
        </w:rPr>
        <w:t xml:space="preserve"> was assessed</w:t>
      </w:r>
      <w:r w:rsidRPr="00874DF3">
        <w:rPr>
          <w:rFonts w:cs="Times New Roman"/>
          <w:lang w:val="en"/>
        </w:rPr>
        <w:t xml:space="preserve">. </w:t>
      </w:r>
      <w:r>
        <w:rPr>
          <w:rFonts w:cs="Times New Roman"/>
          <w:lang w:val="en"/>
        </w:rPr>
        <w:t xml:space="preserve">Selected results from these investigations are reported in </w:t>
      </w:r>
      <w:r w:rsidR="00366434">
        <w:rPr>
          <w:rFonts w:cs="Times New Roman"/>
          <w:lang w:val="en"/>
        </w:rPr>
        <w:fldChar w:fldCharType="begin"/>
      </w:r>
      <w:r w:rsidR="00366434">
        <w:rPr>
          <w:rFonts w:cs="Times New Roman"/>
          <w:lang w:val="en"/>
        </w:rPr>
        <w:instrText xml:space="preserve"> REF _Ref508886649 \h </w:instrText>
      </w:r>
      <w:r w:rsidR="006E1D8B">
        <w:rPr>
          <w:rFonts w:cs="Times New Roman"/>
          <w:lang w:val="en"/>
        </w:rPr>
        <w:instrText xml:space="preserve"> \* MERGEFORMAT </w:instrText>
      </w:r>
      <w:r w:rsidR="00366434">
        <w:rPr>
          <w:rFonts w:cs="Times New Roman"/>
          <w:lang w:val="en"/>
        </w:rPr>
      </w:r>
      <w:r w:rsidR="00366434">
        <w:rPr>
          <w:rFonts w:cs="Times New Roman"/>
          <w:lang w:val="en"/>
        </w:rPr>
        <w:fldChar w:fldCharType="separate"/>
      </w:r>
      <w:r w:rsidR="00690541">
        <w:rPr>
          <w:noProof/>
        </w:rPr>
        <w:t>Table</w:t>
      </w:r>
      <w:r w:rsidR="00690541">
        <w:t xml:space="preserve"> </w:t>
      </w:r>
      <w:r w:rsidR="00690541">
        <w:rPr>
          <w:noProof/>
        </w:rPr>
        <w:t>15</w:t>
      </w:r>
      <w:r w:rsidR="00366434">
        <w:rPr>
          <w:rFonts w:cs="Times New Roman"/>
          <w:lang w:val="en"/>
        </w:rPr>
        <w:fldChar w:fldCharType="end"/>
      </w:r>
      <w:r>
        <w:rPr>
          <w:rFonts w:cs="Times New Roman"/>
          <w:lang w:val="en"/>
        </w:rPr>
        <w:t xml:space="preserve">. It was reported by Edgeworth </w:t>
      </w:r>
      <w:r w:rsidR="00B301D6" w:rsidRPr="00B301D6">
        <w:rPr>
          <w:rFonts w:cs="Times New Roman"/>
          <w:i/>
          <w:lang w:val="en"/>
        </w:rPr>
        <w:t>et al</w:t>
      </w:r>
      <w:r>
        <w:rPr>
          <w:rFonts w:cs="Times New Roman"/>
          <w:lang w:val="en"/>
        </w:rPr>
        <w:t xml:space="preserve"> (2011)</w:t>
      </w:r>
      <w:r w:rsidR="00BB5588">
        <w:rPr>
          <w:rFonts w:cs="Times New Roman"/>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179</w:t>
      </w:r>
      <w:r w:rsidR="00BB5588">
        <w:rPr>
          <w:rFonts w:cs="Times New Roman"/>
          <w:lang w:val="en"/>
        </w:rPr>
        <w:fldChar w:fldCharType="end"/>
      </w:r>
      <w:r>
        <w:rPr>
          <w:rFonts w:cs="Times New Roman"/>
          <w:lang w:val="en"/>
        </w:rPr>
        <w:t xml:space="preserve"> that the following processes inactivated RML prions </w:t>
      </w:r>
      <w:r w:rsidRPr="00D04BED">
        <w:rPr>
          <w:rFonts w:cs="Times New Roman"/>
        </w:rPr>
        <w:t xml:space="preserve">below the detection limit of the </w:t>
      </w:r>
      <w:r w:rsidRPr="001E2E1B">
        <w:rPr>
          <w:rFonts w:cs="Times New Roman"/>
          <w:i/>
        </w:rPr>
        <w:t>in vitro</w:t>
      </w:r>
      <w:r w:rsidRPr="00D04BED">
        <w:rPr>
          <w:rFonts w:cs="Times New Roman"/>
        </w:rPr>
        <w:t xml:space="preserve"> standard steel-binding assay (</w:t>
      </w:r>
      <w:r w:rsidRPr="00E63A4C">
        <w:rPr>
          <w:rFonts w:cs="Times New Roman"/>
          <w:lang w:val="en"/>
        </w:rPr>
        <w:t xml:space="preserve">SSBA), </w:t>
      </w:r>
      <w:r>
        <w:rPr>
          <w:rFonts w:cs="Times New Roman"/>
          <w:lang w:val="en"/>
        </w:rPr>
        <w:t xml:space="preserve">stated to be </w:t>
      </w:r>
      <w:r w:rsidRPr="00E63A4C">
        <w:rPr>
          <w:rFonts w:cs="Times New Roman"/>
          <w:lang w:val="en"/>
        </w:rPr>
        <w:t>equivalent</w:t>
      </w:r>
      <w:r>
        <w:rPr>
          <w:rFonts w:cs="Times New Roman"/>
          <w:lang w:val="en"/>
        </w:rPr>
        <w:t xml:space="preserve"> to a</w:t>
      </w:r>
      <w:r w:rsidRPr="00E63A4C">
        <w:rPr>
          <w:rFonts w:cs="Times New Roman"/>
          <w:lang w:val="en"/>
        </w:rPr>
        <w:t xml:space="preserve"> reduction of 8 logs</w:t>
      </w:r>
      <w:r>
        <w:rPr>
          <w:rFonts w:cs="Times New Roman"/>
          <w:lang w:val="en"/>
        </w:rPr>
        <w:t xml:space="preserve">: Rely+On PI (DuPont), Prionzyme + 2 </w:t>
      </w:r>
      <w:r w:rsidR="00AD5FB4">
        <w:rPr>
          <w:rFonts w:cs="Times New Roman"/>
          <w:lang w:val="en"/>
        </w:rPr>
        <w:t>molar concentration (</w:t>
      </w:r>
      <w:r>
        <w:rPr>
          <w:rFonts w:cs="Times New Roman"/>
          <w:lang w:val="en"/>
        </w:rPr>
        <w:t>M</w:t>
      </w:r>
      <w:r w:rsidR="00AD5FB4">
        <w:rPr>
          <w:rFonts w:cs="Times New Roman"/>
          <w:lang w:val="en"/>
        </w:rPr>
        <w:t>)</w:t>
      </w:r>
      <w:r>
        <w:rPr>
          <w:rFonts w:cs="Times New Roman"/>
          <w:lang w:val="en"/>
        </w:rPr>
        <w:t xml:space="preserve"> NaOH, and 2 M NaOH</w:t>
      </w:r>
      <w:r w:rsidRPr="00E63A4C">
        <w:rPr>
          <w:rFonts w:cs="Times New Roman"/>
          <w:lang w:val="en"/>
        </w:rPr>
        <w:t>. It was noted</w:t>
      </w:r>
      <w:r>
        <w:rPr>
          <w:rFonts w:cs="Times New Roman"/>
          <w:lang w:val="en"/>
        </w:rPr>
        <w:t xml:space="preserve">, however, </w:t>
      </w:r>
      <w:r w:rsidRPr="00E63A4C">
        <w:rPr>
          <w:rFonts w:cs="Times New Roman"/>
          <w:lang w:val="en"/>
        </w:rPr>
        <w:t>that the decontaminating effect of Prionzyme (Genencor) was indistinguishable from that of the diluent in which the decontaminant was</w:t>
      </w:r>
      <w:r>
        <w:rPr>
          <w:rFonts w:cs="Times New Roman"/>
          <w:lang w:val="en"/>
        </w:rPr>
        <w:t xml:space="preserve"> prepared (2 M NaOH solution,</w:t>
      </w:r>
      <w:r w:rsidRPr="00E63A4C">
        <w:rPr>
          <w:rFonts w:cs="Times New Roman"/>
          <w:lang w:val="en"/>
        </w:rPr>
        <w:t xml:space="preserve"> </w:t>
      </w:r>
      <w:r>
        <w:rPr>
          <w:rFonts w:cs="Times New Roman"/>
          <w:lang w:val="en"/>
        </w:rPr>
        <w:t>following the</w:t>
      </w:r>
      <w:r w:rsidRPr="00E63A4C">
        <w:rPr>
          <w:rFonts w:cs="Times New Roman"/>
          <w:lang w:val="en"/>
        </w:rPr>
        <w:t xml:space="preserve"> manufacturer's instructions), i.e. treatment with 2 M NaOH alone also resulted in no detectable infectivity remaining on the steel surface</w:t>
      </w:r>
      <w:r>
        <w:rPr>
          <w:rFonts w:cs="Times New Roman"/>
          <w:lang w:val="en"/>
        </w:rPr>
        <w:t xml:space="preserve">. </w:t>
      </w:r>
      <w:r>
        <w:rPr>
          <w:rFonts w:cs="Times New Roman"/>
        </w:rPr>
        <w:t>The only process r</w:t>
      </w:r>
      <w:r w:rsidRPr="007219F3">
        <w:rPr>
          <w:rFonts w:cs="Times New Roman"/>
        </w:rPr>
        <w:t xml:space="preserve">eported to have produced a log reduction of </w:t>
      </w:r>
      <w:r w:rsidRPr="007219F3">
        <w:rPr>
          <w:rFonts w:cs="Times New Roman"/>
          <w:u w:val="single"/>
        </w:rPr>
        <w:t>&gt;</w:t>
      </w:r>
      <w:r w:rsidRPr="007219F3">
        <w:rPr>
          <w:rFonts w:cs="Times New Roman"/>
        </w:rPr>
        <w:t>5 and a transmission rate of 0% for the RML prion strain is Rely+On PI.</w:t>
      </w:r>
      <w:r>
        <w:rPr>
          <w:rFonts w:cs="Times New Roman"/>
        </w:rPr>
        <w:t xml:space="preserve"> </w:t>
      </w:r>
    </w:p>
    <w:p w14:paraId="5ED09209" w14:textId="77777777" w:rsidR="004642FD" w:rsidRPr="001B34F5" w:rsidRDefault="004642FD" w:rsidP="00B96A6E">
      <w:pPr>
        <w:jc w:val="both"/>
        <w:rPr>
          <w:rFonts w:cs="Times New Roman"/>
          <w:lang w:val="en"/>
        </w:rPr>
      </w:pPr>
    </w:p>
    <w:p w14:paraId="0BC8D1B0" w14:textId="6E94993F" w:rsidR="00500F8B" w:rsidRDefault="00B96A6E" w:rsidP="00074D8B">
      <w:pPr>
        <w:spacing w:after="160"/>
        <w:jc w:val="both"/>
        <w:rPr>
          <w:rFonts w:cs="Times New Roman"/>
        </w:rPr>
      </w:pPr>
      <w:r w:rsidRPr="007219F3">
        <w:rPr>
          <w:rFonts w:cs="Times New Roman"/>
        </w:rPr>
        <w:t xml:space="preserve">The only processes, or combination of processes, reported to have produced a log reduction of </w:t>
      </w:r>
      <w:r w:rsidRPr="007219F3">
        <w:rPr>
          <w:rFonts w:cs="Times New Roman"/>
          <w:u w:val="single"/>
        </w:rPr>
        <w:t>&gt;</w:t>
      </w:r>
      <w:r w:rsidRPr="007219F3">
        <w:rPr>
          <w:rFonts w:cs="Times New Roman"/>
        </w:rPr>
        <w:t>5 and a transmission rate of 0% for the 263K prion strain were</w:t>
      </w:r>
      <w:r>
        <w:rPr>
          <w:rFonts w:cs="Times New Roman"/>
        </w:rPr>
        <w:t>:</w:t>
      </w:r>
      <w:r w:rsidRPr="007219F3">
        <w:rPr>
          <w:rFonts w:cs="Times New Roman"/>
        </w:rPr>
        <w:t xml:space="preserve"> </w:t>
      </w:r>
      <w:r w:rsidRPr="00D073F8">
        <w:rPr>
          <w:rFonts w:cs="Times New Roman"/>
        </w:rPr>
        <w:t xml:space="preserve">SDS 0.2% / NaOH 0.3% in 20% or 30% </w:t>
      </w:r>
      <w:r w:rsidRPr="00D073F8">
        <w:rPr>
          <w:rFonts w:cs="Times New Roman"/>
          <w:i/>
        </w:rPr>
        <w:t>n</w:t>
      </w:r>
      <w:r w:rsidRPr="00D073F8">
        <w:rPr>
          <w:rFonts w:cs="Times New Roman"/>
        </w:rPr>
        <w:t>-propanol (</w:t>
      </w:r>
      <w:r w:rsidR="008004B8">
        <w:rPr>
          <w:rFonts w:cs="Times New Roman"/>
          <w:lang w:val="en"/>
        </w:rPr>
        <w:t xml:space="preserve">Beekes </w:t>
      </w:r>
      <w:r w:rsidR="00B301D6" w:rsidRPr="00B301D6">
        <w:rPr>
          <w:rFonts w:cs="Times New Roman"/>
          <w:i/>
          <w:lang w:val="en"/>
        </w:rPr>
        <w:t>et al</w:t>
      </w:r>
      <w:r w:rsidR="008004B8">
        <w:rPr>
          <w:rFonts w:cs="Times New Roman"/>
          <w:lang w:val="en"/>
        </w:rPr>
        <w:t>, 2010,</w:t>
      </w:r>
      <w:r w:rsidR="00BB5588">
        <w:rPr>
          <w:rFonts w:cs="Times New Roman"/>
          <w:lang w:val="en"/>
        </w:rPr>
        <w:fldChar w:fldCharType="begin">
          <w:fldData xml:space="preserve">PEVuZE5vdGU+PENpdGU+PEF1dGhvcj5CZWVrZXM8L0F1dGhvcj48WWVhcj4yMDEwPC9ZZWFyPjxS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PEVuZE5vdGU+PENpdGU+PEF1dGhvcj5CZWVrZXM8L0F1dGhvcj48WWVhcj4yMDEwPC9ZZWFyPjxS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173</w:t>
      </w:r>
      <w:r w:rsidR="00BB5588">
        <w:rPr>
          <w:rFonts w:cs="Times New Roman"/>
          <w:lang w:val="en"/>
        </w:rPr>
        <w:fldChar w:fldCharType="end"/>
      </w:r>
      <w:r w:rsidRPr="00D073F8">
        <w:rPr>
          <w:rFonts w:cs="Times New Roman"/>
        </w:rPr>
        <w:t>); NaOH 0.2 mol/L, at 15</w:t>
      </w:r>
      <w:r w:rsidRPr="00D073F8">
        <w:rPr>
          <w:rFonts w:cs="Times New Roman"/>
          <w:vertAlign w:val="superscript"/>
        </w:rPr>
        <w:t>°</w:t>
      </w:r>
      <w:r w:rsidRPr="00D073F8">
        <w:rPr>
          <w:rFonts w:cs="Times New Roman"/>
        </w:rPr>
        <w:t>C for 60 mins;</w:t>
      </w:r>
      <w:r w:rsidRPr="007219F3">
        <w:rPr>
          <w:rFonts w:cs="Times New Roman"/>
        </w:rPr>
        <w:t xml:space="preserve"> NaOH 0.45</w:t>
      </w:r>
      <w:r>
        <w:rPr>
          <w:rFonts w:cs="Times New Roman"/>
        </w:rPr>
        <w:t xml:space="preserve"> mol/L at </w:t>
      </w:r>
      <w:r w:rsidRPr="007219F3">
        <w:rPr>
          <w:rFonts w:cs="Times New Roman"/>
        </w:rPr>
        <w:t>15</w:t>
      </w:r>
      <w:r w:rsidRPr="007219F3">
        <w:rPr>
          <w:rFonts w:cs="Times New Roman"/>
          <w:vertAlign w:val="superscript"/>
        </w:rPr>
        <w:t>°</w:t>
      </w:r>
      <w:r>
        <w:rPr>
          <w:rFonts w:cs="Times New Roman"/>
        </w:rPr>
        <w:t xml:space="preserve">C for </w:t>
      </w:r>
      <w:r w:rsidRPr="007219F3">
        <w:rPr>
          <w:rFonts w:cs="Times New Roman"/>
        </w:rPr>
        <w:t>15 or 30</w:t>
      </w:r>
      <w:r>
        <w:rPr>
          <w:rFonts w:cs="Times New Roman"/>
        </w:rPr>
        <w:t xml:space="preserve"> mins</w:t>
      </w:r>
      <w:r w:rsidRPr="007219F3">
        <w:rPr>
          <w:rFonts w:cs="Times New Roman"/>
        </w:rPr>
        <w:t>; NaOH 0.</w:t>
      </w:r>
      <w:r>
        <w:rPr>
          <w:rFonts w:cs="Times New Roman"/>
        </w:rPr>
        <w:t>45 mol/L at</w:t>
      </w:r>
      <w:r w:rsidRPr="007219F3">
        <w:rPr>
          <w:rFonts w:cs="Times New Roman"/>
        </w:rPr>
        <w:t xml:space="preserve"> 25</w:t>
      </w:r>
      <w:r w:rsidRPr="007219F3">
        <w:rPr>
          <w:rFonts w:cs="Times New Roman"/>
          <w:vertAlign w:val="superscript"/>
        </w:rPr>
        <w:t xml:space="preserve"> °</w:t>
      </w:r>
      <w:r>
        <w:rPr>
          <w:rFonts w:cs="Times New Roman"/>
        </w:rPr>
        <w:t>C for 240 mins</w:t>
      </w:r>
      <w:r w:rsidRPr="007219F3">
        <w:rPr>
          <w:rFonts w:cs="Times New Roman"/>
        </w:rPr>
        <w:t>; NaOH 0.45</w:t>
      </w:r>
      <w:r>
        <w:rPr>
          <w:rFonts w:cs="Times New Roman"/>
        </w:rPr>
        <w:t xml:space="preserve"> mol/L at</w:t>
      </w:r>
      <w:r w:rsidRPr="007219F3">
        <w:rPr>
          <w:rFonts w:cs="Times New Roman"/>
        </w:rPr>
        <w:t xml:space="preserve"> 40</w:t>
      </w:r>
      <w:r w:rsidRPr="007219F3">
        <w:rPr>
          <w:rFonts w:cs="Times New Roman"/>
          <w:vertAlign w:val="superscript"/>
        </w:rPr>
        <w:t>°</w:t>
      </w:r>
      <w:r>
        <w:rPr>
          <w:rFonts w:cs="Times New Roman"/>
        </w:rPr>
        <w:t>C for 5 mins</w:t>
      </w:r>
      <w:r w:rsidRPr="007219F3">
        <w:rPr>
          <w:rFonts w:cs="Times New Roman"/>
        </w:rPr>
        <w:t>; NaOH 0.1</w:t>
      </w:r>
      <w:r>
        <w:rPr>
          <w:rFonts w:cs="Times New Roman"/>
        </w:rPr>
        <w:t xml:space="preserve"> mol/L at</w:t>
      </w:r>
      <w:r w:rsidRPr="007219F3">
        <w:rPr>
          <w:rFonts w:cs="Times New Roman"/>
        </w:rPr>
        <w:t xml:space="preserve"> 45</w:t>
      </w:r>
      <w:r w:rsidRPr="007219F3">
        <w:rPr>
          <w:rFonts w:cs="Times New Roman"/>
          <w:vertAlign w:val="superscript"/>
        </w:rPr>
        <w:t>°</w:t>
      </w:r>
      <w:r>
        <w:rPr>
          <w:rFonts w:cs="Times New Roman"/>
        </w:rPr>
        <w:t xml:space="preserve">C for </w:t>
      </w:r>
      <w:r w:rsidRPr="007219F3">
        <w:rPr>
          <w:rFonts w:cs="Times New Roman"/>
        </w:rPr>
        <w:t>5 or 15 mins</w:t>
      </w:r>
      <w:r>
        <w:rPr>
          <w:rFonts w:cs="Times New Roman"/>
        </w:rPr>
        <w:t xml:space="preserve"> (</w:t>
      </w:r>
      <w:r w:rsidR="008004B8">
        <w:rPr>
          <w:rFonts w:cs="Times New Roman"/>
          <w:lang w:val="en"/>
        </w:rPr>
        <w:t>Bellon</w:t>
      </w:r>
      <w:r w:rsidR="008004B8" w:rsidRPr="00F96352">
        <w:rPr>
          <w:rFonts w:cs="Times New Roman"/>
          <w:lang w:val="en"/>
        </w:rPr>
        <w:t xml:space="preserve"> </w:t>
      </w:r>
      <w:r w:rsidR="00B301D6" w:rsidRPr="00B301D6">
        <w:rPr>
          <w:rFonts w:cs="Times New Roman"/>
          <w:i/>
          <w:lang w:val="en"/>
        </w:rPr>
        <w:t>et al</w:t>
      </w:r>
      <w:r w:rsidR="008004B8">
        <w:rPr>
          <w:rFonts w:cs="Times New Roman"/>
          <w:lang w:val="en"/>
        </w:rPr>
        <w:t>, 2014,</w:t>
      </w:r>
      <w:r w:rsidR="00BB5588">
        <w:rPr>
          <w:rFonts w:cs="Times New Roman"/>
          <w:lang w:val="en"/>
        </w:rPr>
        <w:fldChar w:fldCharType="begin">
          <w:fldData xml:space="preserve">PEVuZE5vdGU+PENpdGU+PEF1dGhvcj5CZWxsb248L0F1dGhvcj48WWVhcj4yMDE0PC9ZZWFyPjxS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PEVuZE5vdGU+PENpdGU+PEF1dGhvcj5CZWxsb248L0F1dGhvcj48WWVhcj4yMDE0PC9ZZWFyPjxS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174</w:t>
      </w:r>
      <w:r w:rsidR="00BB5588">
        <w:rPr>
          <w:rFonts w:cs="Times New Roman"/>
          <w:lang w:val="en"/>
        </w:rPr>
        <w:fldChar w:fldCharType="end"/>
      </w:r>
      <w:r>
        <w:rPr>
          <w:rFonts w:cs="Times New Roman"/>
        </w:rPr>
        <w:t xml:space="preserve">); </w:t>
      </w:r>
      <w:r w:rsidRPr="007219F3">
        <w:rPr>
          <w:rFonts w:cs="Times New Roman"/>
        </w:rPr>
        <w:t>2mg/L gaseous H</w:t>
      </w:r>
      <w:r w:rsidRPr="007219F3">
        <w:rPr>
          <w:rFonts w:cs="Times New Roman"/>
          <w:vertAlign w:val="subscript"/>
        </w:rPr>
        <w:t>2</w:t>
      </w:r>
      <w:r w:rsidRPr="007219F3">
        <w:rPr>
          <w:rFonts w:cs="Times New Roman"/>
        </w:rPr>
        <w:t>O</w:t>
      </w:r>
      <w:r w:rsidRPr="007219F3">
        <w:rPr>
          <w:rFonts w:cs="Times New Roman"/>
          <w:vertAlign w:val="subscript"/>
        </w:rPr>
        <w:t>2</w:t>
      </w:r>
      <w:r>
        <w:rPr>
          <w:rFonts w:cs="Times New Roman"/>
          <w:vertAlign w:val="subscript"/>
        </w:rPr>
        <w:t xml:space="preserve"> </w:t>
      </w:r>
      <w:r w:rsidRPr="00C77242">
        <w:rPr>
          <w:rFonts w:cs="Times New Roman"/>
        </w:rPr>
        <w:t xml:space="preserve">at </w:t>
      </w:r>
      <w:r w:rsidRPr="007219F3">
        <w:rPr>
          <w:rFonts w:cs="Times New Roman"/>
        </w:rPr>
        <w:t>30</w:t>
      </w:r>
      <w:r w:rsidRPr="007219F3">
        <w:rPr>
          <w:rFonts w:cs="Times New Roman"/>
          <w:vertAlign w:val="superscript"/>
        </w:rPr>
        <w:t>°</w:t>
      </w:r>
      <w:r>
        <w:rPr>
          <w:rFonts w:cs="Times New Roman"/>
        </w:rPr>
        <w:t xml:space="preserve">C for </w:t>
      </w:r>
      <w:r w:rsidRPr="007219F3">
        <w:rPr>
          <w:rFonts w:cs="Times New Roman"/>
        </w:rPr>
        <w:t xml:space="preserve">3 or 6 </w:t>
      </w:r>
      <w:r>
        <w:rPr>
          <w:rFonts w:cs="Times New Roman"/>
        </w:rPr>
        <w:t>pulses (</w:t>
      </w:r>
      <w:r w:rsidR="008004B8">
        <w:rPr>
          <w:rFonts w:cs="Times New Roman"/>
          <w:lang w:val="en"/>
        </w:rPr>
        <w:t xml:space="preserve">Fichet </w:t>
      </w:r>
      <w:r w:rsidR="00B301D6" w:rsidRPr="00B301D6">
        <w:rPr>
          <w:rFonts w:cs="Times New Roman"/>
          <w:i/>
          <w:lang w:val="en"/>
        </w:rPr>
        <w:t>et al</w:t>
      </w:r>
      <w:r w:rsidR="008004B8">
        <w:rPr>
          <w:rFonts w:cs="Times New Roman"/>
          <w:lang w:val="en"/>
        </w:rPr>
        <w:t>,  2007,</w:t>
      </w:r>
      <w:r w:rsidR="00BB5588">
        <w:rPr>
          <w:rFonts w:cs="Times New Roman"/>
          <w:lang w:val="en"/>
        </w:rPr>
        <w:fldChar w:fldCharType="begin"/>
      </w:r>
      <w:r w:rsidR="0076576E">
        <w:rPr>
          <w:rFonts w:cs="Times New Roman"/>
          <w:lang w:val="en"/>
        </w:rPr>
        <w:instrText xml:space="preserve"> ADDIN EN.CITE &lt;EndNote&gt;&lt;Cite&gt;&lt;Author&gt;Fichet&lt;/Author&gt;&lt;Year&gt;2007&lt;/Year&gt;&lt;RecNum&gt;9730&lt;/RecNum&gt;&lt;DisplayText&gt;&lt;style face="superscript"&gt;175&lt;/style&gt;&lt;/DisplayText&gt;&lt;record&gt;&lt;rec-number&gt;9730&lt;/rec-number&gt;&lt;foreign-keys&gt;&lt;key app="EN" db-id="vrp0pptazv05wtesfz5vrzsj2p0rv09ttsa9" timestamp="1511786612" guid="2017d090-d6d8-4f51-8492-062c2f8d6138"&gt;9730&lt;/key&gt;&lt;/foreign-keys&gt;&lt;ref-type name="Journal Article"&gt;17&lt;/ref-type&gt;&lt;contributors&gt;&lt;authors&gt;&lt;author&gt;Fichet, G.&lt;/author&gt;&lt;author&gt;Antloga, K.&lt;/author&gt;&lt;author&gt;Comoy, E.&lt;/author&gt;&lt;author&gt;Deslys, J. P.&lt;/author&gt;&lt;author&gt;McDonnell, G.&lt;/author&gt;&lt;/authors&gt;&lt;/contributors&gt;&lt;titles&gt;&lt;title&gt;Prion inactivation using a new gaseous hydrogen peroxide sterilisation process&lt;/title&gt;&lt;secondary-title&gt;Journal of Hospital Infection&lt;/secondary-title&gt;&lt;/titles&gt;&lt;periodical&gt;&lt;full-title&gt;Journal of Hospital Infection&lt;/full-title&gt;&lt;/periodical&gt;&lt;pages&gt;278-286&lt;/pages&gt;&lt;volume&gt;67&lt;/volume&gt;&lt;keywords&gt;&lt;keyword&gt;$$CC_5_instrument decontamination&lt;/keyword&gt;&lt;keyword&gt;$$CJD relevant&lt;/keyword&gt;&lt;keyword&gt;$$5_instrument decontamination&lt;/keyword&gt;&lt;keyword&gt;$$references&lt;/keyword&gt;&lt;/keywords&gt;&lt;dates&gt;&lt;year&gt;2007&lt;/year&gt;&lt;/dates&gt;&lt;urls&gt;&lt;/urls&gt;&lt;/record&gt;&lt;/Cite&gt;&lt;/EndNote&gt;</w:instrText>
      </w:r>
      <w:r w:rsidR="00BB5588">
        <w:rPr>
          <w:rFonts w:cs="Times New Roman"/>
          <w:lang w:val="en"/>
        </w:rPr>
        <w:fldChar w:fldCharType="separate"/>
      </w:r>
      <w:r w:rsidR="0076576E" w:rsidRPr="0076576E">
        <w:rPr>
          <w:rFonts w:cs="Times New Roman"/>
          <w:noProof/>
          <w:vertAlign w:val="superscript"/>
          <w:lang w:val="en"/>
        </w:rPr>
        <w:t>175</w:t>
      </w:r>
      <w:r w:rsidR="00BB5588">
        <w:rPr>
          <w:rFonts w:cs="Times New Roman"/>
          <w:lang w:val="en"/>
        </w:rPr>
        <w:fldChar w:fldCharType="end"/>
      </w:r>
      <w:r>
        <w:rPr>
          <w:rFonts w:cs="Times New Roman"/>
        </w:rPr>
        <w:t xml:space="preserve">); </w:t>
      </w:r>
      <w:r w:rsidRPr="00D92703">
        <w:rPr>
          <w:rFonts w:cs="Times New Roman"/>
          <w:lang w:val="en"/>
        </w:rPr>
        <w:t>H</w:t>
      </w:r>
      <w:r w:rsidRPr="00E74579">
        <w:rPr>
          <w:rFonts w:cs="Times New Roman"/>
          <w:vertAlign w:val="subscript"/>
          <w:lang w:val="en"/>
        </w:rPr>
        <w:t>2</w:t>
      </w:r>
      <w:r w:rsidRPr="00D92703">
        <w:rPr>
          <w:rFonts w:cs="Times New Roman"/>
          <w:lang w:val="en"/>
        </w:rPr>
        <w:t>O</w:t>
      </w:r>
      <w:r w:rsidRPr="00E74579">
        <w:rPr>
          <w:rFonts w:cs="Times New Roman"/>
          <w:vertAlign w:val="subscript"/>
          <w:lang w:val="en"/>
        </w:rPr>
        <w:t>2</w:t>
      </w:r>
      <w:r w:rsidRPr="00D92703">
        <w:rPr>
          <w:rFonts w:cs="Times New Roman"/>
          <w:lang w:val="en"/>
        </w:rPr>
        <w:t xml:space="preserve"> for 30 min</w:t>
      </w:r>
      <w:r w:rsidR="00CA619B">
        <w:rPr>
          <w:rFonts w:cs="Times New Roman"/>
          <w:lang w:val="en"/>
        </w:rPr>
        <w:t>ute</w:t>
      </w:r>
      <w:r w:rsidRPr="00D92703">
        <w:rPr>
          <w:rFonts w:cs="Times New Roman"/>
          <w:lang w:val="en"/>
        </w:rPr>
        <w:t>s; AF (</w:t>
      </w:r>
      <w:r w:rsidRPr="00516758">
        <w:rPr>
          <w:rFonts w:cs="Times New Roman"/>
          <w:lang w:val="en"/>
        </w:rPr>
        <w:t>alkaline detergent, surfactants, chelatant</w:t>
      </w:r>
      <w:r w:rsidRPr="00D92703">
        <w:rPr>
          <w:rFonts w:cs="Times New Roman"/>
          <w:lang w:val="en"/>
        </w:rPr>
        <w:t>) for 10 minutes; and combinations of enzymatic detergents and disinfectants, Np-Dp- H2O2/Cu (for 10 min</w:t>
      </w:r>
      <w:r w:rsidR="00CA619B">
        <w:rPr>
          <w:rFonts w:cs="Times New Roman"/>
          <w:lang w:val="en"/>
        </w:rPr>
        <w:t>ute</w:t>
      </w:r>
      <w:r w:rsidRPr="00D92703">
        <w:rPr>
          <w:rFonts w:cs="Times New Roman"/>
          <w:lang w:val="en"/>
        </w:rPr>
        <w:t>s – 5 min</w:t>
      </w:r>
      <w:r w:rsidR="00CA619B">
        <w:rPr>
          <w:rFonts w:cs="Times New Roman"/>
          <w:lang w:val="en"/>
        </w:rPr>
        <w:t>ute</w:t>
      </w:r>
      <w:r w:rsidRPr="00D92703">
        <w:rPr>
          <w:rFonts w:cs="Times New Roman"/>
          <w:lang w:val="en"/>
        </w:rPr>
        <w:t>s – 15 min</w:t>
      </w:r>
      <w:r w:rsidR="00CA619B">
        <w:rPr>
          <w:rFonts w:cs="Times New Roman"/>
          <w:lang w:val="en"/>
        </w:rPr>
        <w:t>ute</w:t>
      </w:r>
      <w:r w:rsidRPr="00D92703">
        <w:rPr>
          <w:rFonts w:cs="Times New Roman"/>
          <w:lang w:val="en"/>
        </w:rPr>
        <w:t>s) (</w:t>
      </w:r>
      <w:r w:rsidR="008004B8">
        <w:rPr>
          <w:rFonts w:cs="Times New Roman"/>
          <w:lang w:val="en"/>
        </w:rPr>
        <w:t>Lehmann</w:t>
      </w:r>
      <w:r w:rsidR="008004B8" w:rsidRPr="00F96352">
        <w:rPr>
          <w:rFonts w:cs="Times New Roman"/>
          <w:lang w:val="en"/>
        </w:rPr>
        <w:t xml:space="preserve"> </w:t>
      </w:r>
      <w:r w:rsidR="00B301D6" w:rsidRPr="00B301D6">
        <w:rPr>
          <w:rFonts w:cs="Times New Roman"/>
          <w:i/>
          <w:lang w:val="en"/>
        </w:rPr>
        <w:t>et al</w:t>
      </w:r>
      <w:r w:rsidR="008004B8">
        <w:rPr>
          <w:rFonts w:cs="Times New Roman"/>
          <w:lang w:val="en"/>
        </w:rPr>
        <w:t>, 2009,</w:t>
      </w:r>
      <w:r w:rsidR="00BB5588">
        <w:rPr>
          <w:rFonts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168</w:t>
      </w:r>
      <w:r w:rsidR="00BB5588">
        <w:rPr>
          <w:rFonts w:cs="Times New Roman"/>
          <w:lang w:val="en"/>
        </w:rPr>
        <w:fldChar w:fldCharType="end"/>
      </w:r>
      <w:r w:rsidRPr="00D92703">
        <w:rPr>
          <w:rFonts w:cs="Times New Roman"/>
          <w:lang w:val="en"/>
        </w:rPr>
        <w:t>); the alkaline detergent B 1% for 10 min</w:t>
      </w:r>
      <w:r w:rsidR="00CA619B">
        <w:rPr>
          <w:rFonts w:cs="Times New Roman"/>
          <w:lang w:val="en"/>
        </w:rPr>
        <w:t>ute</w:t>
      </w:r>
      <w:r w:rsidRPr="00D92703">
        <w:rPr>
          <w:rFonts w:cs="Times New Roman"/>
          <w:lang w:val="en"/>
        </w:rPr>
        <w:t>s at 55°C; the Sterrad NX1 advanced cycle and Sterrad NX2 continuous advanced cycles (H</w:t>
      </w:r>
      <w:r w:rsidRPr="00E74579">
        <w:rPr>
          <w:rFonts w:cs="Times New Roman"/>
          <w:vertAlign w:val="subscript"/>
          <w:lang w:val="en"/>
        </w:rPr>
        <w:t>2</w:t>
      </w:r>
      <w:r w:rsidRPr="00D92703">
        <w:rPr>
          <w:rFonts w:cs="Times New Roman"/>
          <w:lang w:val="en"/>
        </w:rPr>
        <w:t>O</w:t>
      </w:r>
      <w:r w:rsidRPr="00E74579">
        <w:rPr>
          <w:rFonts w:cs="Times New Roman"/>
          <w:vertAlign w:val="subscript"/>
          <w:lang w:val="en"/>
        </w:rPr>
        <w:t>2</w:t>
      </w:r>
      <w:r w:rsidRPr="00D92703">
        <w:rPr>
          <w:rFonts w:cs="Times New Roman"/>
          <w:lang w:val="en"/>
        </w:rPr>
        <w:t xml:space="preserve"> and gas plasma); and the alkaline detergents A or B, 1% for 10 min</w:t>
      </w:r>
      <w:r w:rsidR="00CA619B">
        <w:rPr>
          <w:rFonts w:cs="Times New Roman"/>
          <w:lang w:val="en"/>
        </w:rPr>
        <w:t>ute</w:t>
      </w:r>
      <w:r w:rsidRPr="00D92703">
        <w:rPr>
          <w:rFonts w:cs="Times New Roman"/>
          <w:lang w:val="en"/>
        </w:rPr>
        <w:t>s at 55°C, in combination with the Sterrad NX1 advanced cycle (</w:t>
      </w:r>
      <w:r w:rsidR="008004B8">
        <w:rPr>
          <w:rFonts w:cs="Times New Roman"/>
          <w:lang w:val="en"/>
        </w:rPr>
        <w:t>Rogez-Kreuz</w:t>
      </w:r>
      <w:r w:rsidR="008004B8" w:rsidRPr="00F96352">
        <w:rPr>
          <w:rFonts w:cs="Times New Roman"/>
          <w:lang w:val="en"/>
        </w:rPr>
        <w:t xml:space="preserve"> </w:t>
      </w:r>
      <w:r w:rsidR="00B301D6" w:rsidRPr="00B301D6">
        <w:rPr>
          <w:rFonts w:cs="Times New Roman"/>
          <w:i/>
          <w:lang w:val="en"/>
        </w:rPr>
        <w:t>et al</w:t>
      </w:r>
      <w:r w:rsidR="008004B8">
        <w:rPr>
          <w:rFonts w:cs="Times New Roman"/>
          <w:lang w:val="en"/>
        </w:rPr>
        <w:t>, (2009)</w:t>
      </w:r>
      <w:r w:rsidR="00BB5588">
        <w:rPr>
          <w:rFonts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170</w:t>
      </w:r>
      <w:r w:rsidR="00BB5588">
        <w:rPr>
          <w:rFonts w:cs="Times New Roman"/>
          <w:lang w:val="en"/>
        </w:rPr>
        <w:fldChar w:fldCharType="end"/>
      </w:r>
      <w:r w:rsidRPr="00D92703">
        <w:rPr>
          <w:rFonts w:cs="Times New Roman"/>
          <w:lang w:val="en"/>
        </w:rPr>
        <w:t>)</w:t>
      </w:r>
      <w:r>
        <w:rPr>
          <w:rFonts w:cs="Times New Roman"/>
          <w:lang w:val="en"/>
        </w:rPr>
        <w:t>; and Cold Atmospheric Plasma (</w:t>
      </w:r>
      <w:r w:rsidR="008A2B7A">
        <w:rPr>
          <w:rFonts w:cs="Times New Roman"/>
          <w:lang w:val="en"/>
        </w:rPr>
        <w:t>Herve</w:t>
      </w:r>
      <w:r w:rsidR="008A2B7A" w:rsidRPr="00F96352">
        <w:rPr>
          <w:rFonts w:cs="Times New Roman"/>
          <w:lang w:val="en"/>
        </w:rPr>
        <w:t xml:space="preserve"> </w:t>
      </w:r>
      <w:r w:rsidR="00B301D6" w:rsidRPr="00B301D6">
        <w:rPr>
          <w:rFonts w:cs="Times New Roman"/>
          <w:i/>
          <w:lang w:val="en"/>
        </w:rPr>
        <w:t>et al</w:t>
      </w:r>
      <w:r w:rsidR="008A2B7A">
        <w:rPr>
          <w:rFonts w:cs="Times New Roman"/>
          <w:lang w:val="en"/>
        </w:rPr>
        <w:t>,  2010a,</w:t>
      </w:r>
      <w:r w:rsidR="00BB5588">
        <w:rPr>
          <w:rFonts w:cs="Times New Roman"/>
          <w:lang w:val="en"/>
        </w:rPr>
        <w:fldChar w:fldCharType="begin">
          <w:fldData xml:space="preserve">PEVuZE5vdGU+PENpdGU+PEF1dGhvcj5IZXJ2ZTwvQXV0aG9yPjxZZWFyPjIwMTA8L1llYXI+PFJl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==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PEVuZE5vdGU+PENpdGU+PEF1dGhvcj5IZXJ2ZTwvQXV0aG9yPjxZZWFyPjIwMTA8L1llYXI+PFJl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==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176</w:t>
      </w:r>
      <w:r w:rsidR="00BB5588">
        <w:rPr>
          <w:rFonts w:cs="Times New Roman"/>
          <w:lang w:val="en"/>
        </w:rPr>
        <w:fldChar w:fldCharType="end"/>
      </w:r>
      <w:r>
        <w:rPr>
          <w:rFonts w:cs="Times New Roman"/>
          <w:lang w:val="en"/>
        </w:rPr>
        <w:t>)</w:t>
      </w:r>
      <w:r w:rsidRPr="00D92703">
        <w:rPr>
          <w:rFonts w:cs="Times New Roman"/>
          <w:lang w:val="en"/>
        </w:rPr>
        <w:t xml:space="preserve">. According to </w:t>
      </w:r>
      <w:r w:rsidR="008004B8">
        <w:rPr>
          <w:rFonts w:cs="Times New Roman"/>
          <w:lang w:val="en"/>
        </w:rPr>
        <w:t>Rogez-Kreuz</w:t>
      </w:r>
      <w:r w:rsidR="008004B8" w:rsidRPr="00F96352">
        <w:rPr>
          <w:rFonts w:cs="Times New Roman"/>
          <w:lang w:val="en"/>
        </w:rPr>
        <w:t xml:space="preserve"> </w:t>
      </w:r>
      <w:r w:rsidR="00B301D6" w:rsidRPr="00B301D6">
        <w:rPr>
          <w:rFonts w:cs="Times New Roman"/>
          <w:i/>
          <w:lang w:val="en"/>
        </w:rPr>
        <w:t>et al</w:t>
      </w:r>
      <w:r w:rsidR="008004B8">
        <w:rPr>
          <w:rFonts w:cs="Times New Roman"/>
          <w:lang w:val="en"/>
        </w:rPr>
        <w:t>, (2009)</w:t>
      </w:r>
      <w:r w:rsidR="006B0011">
        <w:rPr>
          <w:rFonts w:cs="Times New Roman"/>
          <w:lang w:val="en"/>
        </w:rPr>
        <w:t>,</w:t>
      </w:r>
      <w:r w:rsidR="00BB5588">
        <w:rPr>
          <w:rFonts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170</w:t>
      </w:r>
      <w:r w:rsidR="00BB5588">
        <w:rPr>
          <w:rFonts w:cs="Times New Roman"/>
          <w:lang w:val="en"/>
        </w:rPr>
        <w:fldChar w:fldCharType="end"/>
      </w:r>
      <w:r w:rsidRPr="00D92703">
        <w:rPr>
          <w:rFonts w:cs="Times New Roman"/>
          <w:lang w:val="en"/>
        </w:rPr>
        <w:t xml:space="preserve"> no insoluble prion (PrPres) signal was detected for BSE 6PB1 or vCJD</w:t>
      </w:r>
      <w:r>
        <w:rPr>
          <w:rFonts w:cs="Times New Roman"/>
          <w:lang w:val="en"/>
        </w:rPr>
        <w:t xml:space="preserve"> “</w:t>
      </w:r>
      <w:r w:rsidRPr="00D92703">
        <w:rPr>
          <w:rFonts w:cs="Times New Roman"/>
          <w:lang w:val="en"/>
        </w:rPr>
        <w:t>after exposure to steam in eit</w:t>
      </w:r>
      <w:r>
        <w:rPr>
          <w:rFonts w:cs="Times New Roman"/>
          <w:lang w:val="en"/>
        </w:rPr>
        <w:t>her of the two Sterrad systems”</w:t>
      </w:r>
      <w:r w:rsidRPr="007219F3">
        <w:rPr>
          <w:rFonts w:cs="Times New Roman"/>
        </w:rPr>
        <w:t xml:space="preserve">. </w:t>
      </w:r>
      <w:r>
        <w:rPr>
          <w:rFonts w:cs="Times New Roman"/>
        </w:rPr>
        <w:t>The only process</w:t>
      </w:r>
      <w:r w:rsidRPr="007219F3">
        <w:rPr>
          <w:rFonts w:cs="Times New Roman"/>
        </w:rPr>
        <w:t xml:space="preserve"> reported to have produced a log reduction of </w:t>
      </w:r>
      <w:r w:rsidRPr="007219F3">
        <w:rPr>
          <w:rFonts w:cs="Times New Roman"/>
          <w:u w:val="single"/>
        </w:rPr>
        <w:t>&gt;</w:t>
      </w:r>
      <w:r w:rsidRPr="007219F3">
        <w:rPr>
          <w:rFonts w:cs="Times New Roman"/>
        </w:rPr>
        <w:t>5 and a transmission rate of 0% for the BSE prion strains 6PB1 and TGB1 were 2mg/L gaseous H</w:t>
      </w:r>
      <w:r w:rsidRPr="007219F3">
        <w:rPr>
          <w:rFonts w:cs="Times New Roman"/>
          <w:vertAlign w:val="subscript"/>
        </w:rPr>
        <w:t>2</w:t>
      </w:r>
      <w:r w:rsidRPr="007219F3">
        <w:rPr>
          <w:rFonts w:cs="Times New Roman"/>
        </w:rPr>
        <w:t>O</w:t>
      </w:r>
      <w:r>
        <w:rPr>
          <w:rFonts w:cs="Times New Roman"/>
          <w:vertAlign w:val="subscript"/>
        </w:rPr>
        <w:t xml:space="preserve">2 </w:t>
      </w:r>
      <w:r>
        <w:rPr>
          <w:rFonts w:cs="Times New Roman"/>
        </w:rPr>
        <w:t xml:space="preserve">at </w:t>
      </w:r>
      <w:r w:rsidRPr="007219F3">
        <w:rPr>
          <w:rFonts w:cs="Times New Roman"/>
        </w:rPr>
        <w:t>30</w:t>
      </w:r>
      <w:r w:rsidRPr="007219F3">
        <w:rPr>
          <w:rFonts w:cs="Times New Roman"/>
          <w:vertAlign w:val="superscript"/>
        </w:rPr>
        <w:t>°</w:t>
      </w:r>
      <w:r>
        <w:rPr>
          <w:rFonts w:cs="Times New Roman"/>
        </w:rPr>
        <w:t>C for 3 pulses (</w:t>
      </w:r>
      <w:r w:rsidR="008004B8">
        <w:rPr>
          <w:rFonts w:cs="Times New Roman"/>
          <w:lang w:val="en"/>
        </w:rPr>
        <w:t xml:space="preserve">Fichet </w:t>
      </w:r>
      <w:r w:rsidR="00B301D6" w:rsidRPr="00B301D6">
        <w:rPr>
          <w:rFonts w:cs="Times New Roman"/>
          <w:i/>
          <w:lang w:val="en"/>
        </w:rPr>
        <w:t>et al</w:t>
      </w:r>
      <w:r w:rsidR="008004B8">
        <w:rPr>
          <w:rFonts w:cs="Times New Roman"/>
          <w:lang w:val="en"/>
        </w:rPr>
        <w:t>, 2007,</w:t>
      </w:r>
      <w:r w:rsidR="00BB5588">
        <w:rPr>
          <w:rFonts w:cs="Times New Roman"/>
          <w:lang w:val="en"/>
        </w:rPr>
        <w:fldChar w:fldCharType="begin"/>
      </w:r>
      <w:r w:rsidR="0076576E">
        <w:rPr>
          <w:rFonts w:cs="Times New Roman"/>
          <w:lang w:val="en"/>
        </w:rPr>
        <w:instrText xml:space="preserve"> ADDIN EN.CITE &lt;EndNote&gt;&lt;Cite&gt;&lt;Author&gt;Fichet&lt;/Author&gt;&lt;Year&gt;2007&lt;/Year&gt;&lt;RecNum&gt;9730&lt;/RecNum&gt;&lt;DisplayText&gt;&lt;style face="superscript"&gt;175&lt;/style&gt;&lt;/DisplayText&gt;&lt;record&gt;&lt;rec-number&gt;9730&lt;/rec-number&gt;&lt;foreign-keys&gt;&lt;key app="EN" db-id="vrp0pptazv05wtesfz5vrzsj2p0rv09ttsa9" timestamp="1511786612" guid="2017d090-d6d8-4f51-8492-062c2f8d6138"&gt;9730&lt;/key&gt;&lt;/foreign-keys&gt;&lt;ref-type name="Journal Article"&gt;17&lt;/ref-type&gt;&lt;contributors&gt;&lt;authors&gt;&lt;author&gt;Fichet, G.&lt;/author&gt;&lt;author&gt;Antloga, K.&lt;/author&gt;&lt;author&gt;Comoy, E.&lt;/author&gt;&lt;author&gt;Deslys, J. P.&lt;/author&gt;&lt;author&gt;McDonnell, G.&lt;/author&gt;&lt;/authors&gt;&lt;/contributors&gt;&lt;titles&gt;&lt;title&gt;Prion inactivation using a new gaseous hydrogen peroxide sterilisation process&lt;/title&gt;&lt;secondary-title&gt;Journal of Hospital Infection&lt;/secondary-title&gt;&lt;/titles&gt;&lt;periodical&gt;&lt;full-title&gt;Journal of Hospital Infection&lt;/full-title&gt;&lt;/periodical&gt;&lt;pages&gt;278-286&lt;/pages&gt;&lt;volume&gt;67&lt;/volume&gt;&lt;keywords&gt;&lt;keyword&gt;$$CC_5_instrument decontamination&lt;/keyword&gt;&lt;keyword&gt;$$CJD relevant&lt;/keyword&gt;&lt;keyword&gt;$$5_instrument decontamination&lt;/keyword&gt;&lt;keyword&gt;$$references&lt;/keyword&gt;&lt;/keywords&gt;&lt;dates&gt;&lt;year&gt;2007&lt;/year&gt;&lt;/dates&gt;&lt;urls&gt;&lt;/urls&gt;&lt;/record&gt;&lt;/Cite&gt;&lt;/EndNote&gt;</w:instrText>
      </w:r>
      <w:r w:rsidR="00BB5588">
        <w:rPr>
          <w:rFonts w:cs="Times New Roman"/>
          <w:lang w:val="en"/>
        </w:rPr>
        <w:fldChar w:fldCharType="separate"/>
      </w:r>
      <w:r w:rsidR="0076576E" w:rsidRPr="0076576E">
        <w:rPr>
          <w:rFonts w:cs="Times New Roman"/>
          <w:noProof/>
          <w:vertAlign w:val="superscript"/>
          <w:lang w:val="en"/>
        </w:rPr>
        <w:t>175</w:t>
      </w:r>
      <w:r w:rsidR="00BB5588">
        <w:rPr>
          <w:rFonts w:cs="Times New Roman"/>
          <w:lang w:val="en"/>
        </w:rPr>
        <w:fldChar w:fldCharType="end"/>
      </w:r>
      <w:r>
        <w:rPr>
          <w:rFonts w:cs="Times New Roman"/>
        </w:rPr>
        <w:t>)</w:t>
      </w:r>
      <w:r w:rsidRPr="007219F3">
        <w:rPr>
          <w:rFonts w:cs="Times New Roman"/>
        </w:rPr>
        <w:t>. Non</w:t>
      </w:r>
      <w:r>
        <w:rPr>
          <w:rFonts w:cs="Times New Roman"/>
        </w:rPr>
        <w:t xml:space="preserve">e of the treatments for the ME7, </w:t>
      </w:r>
      <w:r w:rsidRPr="007219F3">
        <w:rPr>
          <w:rFonts w:cs="Times New Roman"/>
        </w:rPr>
        <w:t>vCJD</w:t>
      </w:r>
      <w:r>
        <w:rPr>
          <w:rFonts w:cs="Times New Roman"/>
        </w:rPr>
        <w:t>, 127S or M1000</w:t>
      </w:r>
      <w:r w:rsidRPr="007219F3">
        <w:rPr>
          <w:rFonts w:cs="Times New Roman"/>
        </w:rPr>
        <w:t xml:space="preserve"> prion strains reported a log reduction of at least 5 and a transmission rate of 0%</w:t>
      </w:r>
      <w:r>
        <w:rPr>
          <w:rFonts w:cs="Times New Roman"/>
        </w:rPr>
        <w:t xml:space="preserve"> (</w:t>
      </w:r>
      <w:r w:rsidR="008A2B7A">
        <w:rPr>
          <w:rFonts w:cs="Times New Roman"/>
          <w:lang w:val="en"/>
        </w:rPr>
        <w:t>Herve</w:t>
      </w:r>
      <w:r w:rsidR="008A2B7A" w:rsidRPr="00F96352">
        <w:rPr>
          <w:rFonts w:cs="Times New Roman"/>
          <w:lang w:val="en"/>
        </w:rPr>
        <w:t xml:space="preserve"> </w:t>
      </w:r>
      <w:r w:rsidR="00B301D6" w:rsidRPr="00B301D6">
        <w:rPr>
          <w:rFonts w:cs="Times New Roman"/>
          <w:i/>
          <w:lang w:val="en"/>
        </w:rPr>
        <w:t>et al</w:t>
      </w:r>
      <w:r w:rsidR="008A2B7A">
        <w:rPr>
          <w:rFonts w:cs="Times New Roman"/>
          <w:lang w:val="en"/>
        </w:rPr>
        <w:t>,  2010a,</w:t>
      </w:r>
      <w:r w:rsidR="00BB5588">
        <w:rPr>
          <w:rFonts w:cs="Times New Roman"/>
          <w:lang w:val="en"/>
        </w:rPr>
        <w:fldChar w:fldCharType="begin">
          <w:fldData xml:space="preserve">PEVuZE5vdGU+PENpdGU+PEF1dGhvcj5IZXJ2ZTwvQXV0aG9yPjxZZWFyPjIwMTA8L1llYXI+PFJl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==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PEVuZE5vdGU+PENpdGU+PEF1dGhvcj5IZXJ2ZTwvQXV0aG9yPjxZZWFyPjIwMTA8L1llYXI+PFJl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==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176</w:t>
      </w:r>
      <w:r w:rsidR="00BB5588">
        <w:rPr>
          <w:rFonts w:cs="Times New Roman"/>
          <w:lang w:val="en"/>
        </w:rPr>
        <w:fldChar w:fldCharType="end"/>
      </w:r>
      <w:r>
        <w:rPr>
          <w:rFonts w:cs="Times New Roman"/>
        </w:rPr>
        <w:t xml:space="preserve"> </w:t>
      </w:r>
      <w:r w:rsidR="008A2B7A">
        <w:rPr>
          <w:rFonts w:cs="Times New Roman"/>
          <w:lang w:val="en"/>
        </w:rPr>
        <w:t xml:space="preserve">Howlin </w:t>
      </w:r>
      <w:r w:rsidR="00B301D6" w:rsidRPr="00B301D6">
        <w:rPr>
          <w:rFonts w:cs="Times New Roman"/>
          <w:i/>
          <w:lang w:val="en"/>
        </w:rPr>
        <w:t>et al</w:t>
      </w:r>
      <w:r w:rsidR="008A2B7A">
        <w:rPr>
          <w:rFonts w:cs="Times New Roman"/>
          <w:lang w:val="en"/>
        </w:rPr>
        <w:t>,</w:t>
      </w:r>
      <w:r w:rsidR="00BB5588">
        <w:rPr>
          <w:rFonts w:cs="Times New Roman"/>
          <w:lang w:val="e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178</w:t>
      </w:r>
      <w:r w:rsidR="00BB5588">
        <w:rPr>
          <w:rFonts w:cs="Times New Roman"/>
          <w:lang w:val="en"/>
        </w:rPr>
        <w:fldChar w:fldCharType="end"/>
      </w:r>
      <w:r>
        <w:rPr>
          <w:rFonts w:cs="Times New Roman"/>
        </w:rPr>
        <w:t xml:space="preserve"> </w:t>
      </w:r>
      <w:r w:rsidR="008A2B7A">
        <w:rPr>
          <w:rFonts w:cs="Times New Roman"/>
          <w:lang w:val="en"/>
        </w:rPr>
        <w:t xml:space="preserve">Belondrade </w:t>
      </w:r>
      <w:r w:rsidR="00B301D6" w:rsidRPr="00B301D6">
        <w:rPr>
          <w:rFonts w:cs="Times New Roman"/>
          <w:i/>
          <w:lang w:val="en"/>
        </w:rPr>
        <w:t>et al</w:t>
      </w:r>
      <w:r w:rsidR="008A2B7A">
        <w:rPr>
          <w:rFonts w:cs="Times New Roman"/>
          <w:lang w:val="en"/>
        </w:rPr>
        <w:t>, 2016</w:t>
      </w:r>
      <w:r w:rsidR="006B0011">
        <w:rPr>
          <w:rFonts w:cs="Times New Roman"/>
          <w:lang w:val="en"/>
        </w:rPr>
        <w:t>,</w:t>
      </w:r>
      <w:r w:rsidR="00BB5588">
        <w:rPr>
          <w:rFonts w:cs="Times New Roman"/>
          <w:lang w:val="en"/>
        </w:rPr>
        <w:fldChar w:fldCharType="begin"/>
      </w:r>
      <w:r w:rsidR="0076576E">
        <w:rPr>
          <w:rFonts w:cs="Times New Roman"/>
          <w:lang w:val="en"/>
        </w:rPr>
        <w:instrText xml:space="preserve"> ADDIN EN.CITE &lt;EndNote&gt;&lt;Cite&gt;&lt;Author&gt;Belondrade&lt;/Author&gt;&lt;Year&gt;2016&lt;/Year&gt;&lt;RecNum&gt;10275&lt;/RecNum&gt;&lt;DisplayText&gt;&lt;style face="superscript"&gt;171&lt;/style&gt;&lt;/DisplayText&gt;&lt;record&gt;&lt;rec-number&gt;10275&lt;/rec-number&gt;&lt;foreign-keys&gt;&lt;key app="EN" db-id="vrp0pptazv05wtesfz5vrzsj2p0rv09ttsa9" timestamp="1521469700" guid="ea0094e7-3c92-4fa9-809d-d65e2d41a3e6"&gt;10275&lt;/key&gt;&lt;/foreign-keys&gt;&lt;ref-type name="Journal Article"&gt;17&lt;/ref-type&gt;&lt;contributors&gt;&lt;authors&gt;&lt;author&gt;Belondrade, Maxime&lt;/author&gt;&lt;author&gt;Nicot, Simon&lt;/author&gt;&lt;author&gt;Béringue, Vincent&lt;/author&gt;&lt;author&gt;Coste, Joliette&lt;/author&gt;&lt;author&gt;Lehmann, Sylvain&lt;/author&gt;&lt;author&gt;Bougard, Daisy&lt;/author&gt;&lt;/authors&gt;&lt;/contributors&gt;&lt;titles&gt;&lt;title&gt;Rapid and highly sensitive detection of variant Creutzfeldt-Jakob disease abnormal prion protein on steel surfaces by protein misfolding cyclic amplification: application to prion decontamination Studies&lt;/title&gt;&lt;secondary-title&gt;PloS one&lt;/secondary-title&gt;&lt;/titles&gt;&lt;periodical&gt;&lt;full-title&gt;PLoS ONE [Electronic Resource]&lt;/full-title&gt;&lt;abbr-1&gt;PLoS ONE&lt;/abbr-1&gt;&lt;/periodical&gt;&lt;pages&gt;e0146833&lt;/pages&gt;&lt;volume&gt;11&lt;/volume&gt;&lt;number&gt;1&lt;/number&gt;&lt;keywords&gt;&lt;keyword&gt;$$CC_5_instrument decontamination&lt;/keyword&gt;&lt;keyword&gt;$$5_instrument decontamination&lt;/keyword&gt;&lt;keyword&gt;$$Lesley google&lt;/keyword&gt;&lt;/keywords&gt;&lt;dates&gt;&lt;year&gt;2016&lt;/year&gt;&lt;/dates&gt;&lt;isbn&gt;1932-6203&lt;/isbn&gt;&lt;urls&gt;&lt;/urls&gt;&lt;/record&gt;&lt;/Cite&gt;&lt;/EndNote&gt;</w:instrText>
      </w:r>
      <w:r w:rsidR="00BB5588">
        <w:rPr>
          <w:rFonts w:cs="Times New Roman"/>
          <w:lang w:val="en"/>
        </w:rPr>
        <w:fldChar w:fldCharType="separate"/>
      </w:r>
      <w:r w:rsidR="0076576E" w:rsidRPr="0076576E">
        <w:rPr>
          <w:rFonts w:cs="Times New Roman"/>
          <w:noProof/>
          <w:vertAlign w:val="superscript"/>
          <w:lang w:val="en"/>
        </w:rPr>
        <w:t>171</w:t>
      </w:r>
      <w:r w:rsidR="00BB5588">
        <w:rPr>
          <w:rFonts w:cs="Times New Roman"/>
          <w:lang w:val="en"/>
        </w:rPr>
        <w:fldChar w:fldCharType="end"/>
      </w:r>
      <w:r>
        <w:rPr>
          <w:rFonts w:cs="Times New Roman"/>
        </w:rPr>
        <w:t xml:space="preserve"> </w:t>
      </w:r>
      <w:r w:rsidR="008A2B7A">
        <w:rPr>
          <w:rFonts w:cs="Times New Roman"/>
          <w:lang w:val="en"/>
        </w:rPr>
        <w:t xml:space="preserve">Lawson </w:t>
      </w:r>
      <w:r w:rsidR="00B301D6" w:rsidRPr="00B301D6">
        <w:rPr>
          <w:rFonts w:cs="Times New Roman"/>
          <w:i/>
          <w:lang w:val="en"/>
        </w:rPr>
        <w:t>et al</w:t>
      </w:r>
      <w:r w:rsidR="008A2B7A">
        <w:rPr>
          <w:rFonts w:cs="Times New Roman"/>
          <w:lang w:val="en"/>
        </w:rPr>
        <w:t>, 2007</w:t>
      </w:r>
      <w:r w:rsidR="00BB5588">
        <w:rPr>
          <w:rFonts w:cs="Times New Roman"/>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BB5588">
        <w:rPr>
          <w:rFonts w:cs="Times New Roman"/>
          <w:lang w:val="en"/>
        </w:rPr>
      </w:r>
      <w:r w:rsidR="00BB5588">
        <w:rPr>
          <w:rFonts w:cs="Times New Roman"/>
          <w:lang w:val="en"/>
        </w:rPr>
        <w:fldChar w:fldCharType="separate"/>
      </w:r>
      <w:r w:rsidR="0076576E" w:rsidRPr="0076576E">
        <w:rPr>
          <w:rFonts w:cs="Times New Roman"/>
          <w:noProof/>
          <w:vertAlign w:val="superscript"/>
          <w:lang w:val="en"/>
        </w:rPr>
        <w:t>172</w:t>
      </w:r>
      <w:r w:rsidR="00BB5588">
        <w:rPr>
          <w:rFonts w:cs="Times New Roman"/>
          <w:lang w:val="en"/>
        </w:rPr>
        <w:fldChar w:fldCharType="end"/>
      </w:r>
      <w:r>
        <w:rPr>
          <w:rFonts w:cs="Times New Roman"/>
        </w:rPr>
        <w:t>)</w:t>
      </w:r>
      <w:r w:rsidRPr="007219F3">
        <w:rPr>
          <w:rFonts w:cs="Times New Roman"/>
        </w:rPr>
        <w:t>.</w:t>
      </w:r>
    </w:p>
    <w:p w14:paraId="72E36F33" w14:textId="77777777" w:rsidR="00851AC2" w:rsidRPr="00500F8B" w:rsidRDefault="00851AC2" w:rsidP="00074D8B">
      <w:pPr>
        <w:spacing w:after="160"/>
        <w:jc w:val="both"/>
        <w:rPr>
          <w:rFonts w:eastAsia="Calibri" w:cs="Times New Roman"/>
        </w:rPr>
        <w:sectPr w:rsidR="00851AC2" w:rsidRPr="00500F8B">
          <w:pgSz w:w="11906" w:h="16838"/>
          <w:pgMar w:top="1440" w:right="1440" w:bottom="1440" w:left="1440" w:header="708" w:footer="708" w:gutter="0"/>
          <w:cols w:space="708"/>
          <w:docGrid w:linePitch="360"/>
        </w:sectPr>
      </w:pPr>
    </w:p>
    <w:p w14:paraId="63A0ACCF" w14:textId="1721553D" w:rsidR="00BD14CD" w:rsidRDefault="00BD14CD" w:rsidP="004642FD">
      <w:pPr>
        <w:pStyle w:val="Caption"/>
        <w:keepNext/>
        <w:spacing w:line="360" w:lineRule="auto"/>
      </w:pPr>
      <w:bookmarkStart w:id="67" w:name="_Ref508886630"/>
      <w:bookmarkStart w:id="68" w:name="_Toc525106701"/>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14</w:t>
      </w:r>
      <w:r w:rsidR="00F62DB8">
        <w:rPr>
          <w:noProof/>
        </w:rPr>
        <w:fldChar w:fldCharType="end"/>
      </w:r>
      <w:bookmarkEnd w:id="67"/>
      <w:r>
        <w:t>:</w:t>
      </w:r>
      <w:r w:rsidR="004642FD">
        <w:tab/>
      </w:r>
      <w:r w:rsidRPr="00513207">
        <w:t>Studies reporting log reductions in prion contamination on steel surfaces after decontamination processes other than autoclaving</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17"/>
        <w:gridCol w:w="992"/>
        <w:gridCol w:w="851"/>
        <w:gridCol w:w="4536"/>
        <w:gridCol w:w="1843"/>
      </w:tblGrid>
      <w:tr w:rsidR="00B96A6E" w:rsidRPr="00DC46B1" w14:paraId="46D42355" w14:textId="77777777" w:rsidTr="00931EC4">
        <w:trPr>
          <w:trHeight w:val="470"/>
        </w:trPr>
        <w:tc>
          <w:tcPr>
            <w:tcW w:w="1668" w:type="dxa"/>
          </w:tcPr>
          <w:p w14:paraId="6B002E04" w14:textId="77777777" w:rsidR="00B96A6E" w:rsidRPr="00DC46B1" w:rsidRDefault="00B96A6E" w:rsidP="004642FD">
            <w:pPr>
              <w:spacing w:line="240" w:lineRule="auto"/>
              <w:rPr>
                <w:rFonts w:cs="Times New Roman"/>
                <w:sz w:val="20"/>
                <w:szCs w:val="20"/>
              </w:rPr>
            </w:pPr>
            <w:r w:rsidRPr="00DC46B1">
              <w:rPr>
                <w:rFonts w:cs="Times New Roman"/>
                <w:sz w:val="20"/>
                <w:szCs w:val="20"/>
              </w:rPr>
              <w:t>Study</w:t>
            </w:r>
          </w:p>
        </w:tc>
        <w:tc>
          <w:tcPr>
            <w:tcW w:w="1417" w:type="dxa"/>
          </w:tcPr>
          <w:p w14:paraId="00F24279" w14:textId="77777777" w:rsidR="00B96A6E" w:rsidRDefault="00B96A6E" w:rsidP="004642FD">
            <w:pPr>
              <w:spacing w:line="240" w:lineRule="auto"/>
              <w:rPr>
                <w:rFonts w:cs="Times New Roman"/>
                <w:sz w:val="20"/>
                <w:szCs w:val="20"/>
              </w:rPr>
            </w:pPr>
            <w:r w:rsidRPr="00DC46B1">
              <w:rPr>
                <w:rFonts w:cs="Times New Roman"/>
                <w:sz w:val="20"/>
                <w:szCs w:val="20"/>
              </w:rPr>
              <w:t>Prion strain</w:t>
            </w:r>
          </w:p>
          <w:p w14:paraId="68ECC88A" w14:textId="77777777" w:rsidR="00B96A6E" w:rsidRPr="00DC46B1" w:rsidRDefault="00B96A6E" w:rsidP="004642FD">
            <w:pPr>
              <w:spacing w:line="240" w:lineRule="auto"/>
              <w:rPr>
                <w:rFonts w:cs="Times New Roman"/>
                <w:sz w:val="20"/>
                <w:szCs w:val="20"/>
              </w:rPr>
            </w:pPr>
          </w:p>
        </w:tc>
        <w:tc>
          <w:tcPr>
            <w:tcW w:w="992" w:type="dxa"/>
          </w:tcPr>
          <w:p w14:paraId="5ED632E5" w14:textId="77777777" w:rsidR="00B96A6E" w:rsidRDefault="00B96A6E" w:rsidP="004642FD">
            <w:pPr>
              <w:spacing w:line="240" w:lineRule="auto"/>
              <w:rPr>
                <w:rFonts w:cs="Times New Roman"/>
                <w:sz w:val="20"/>
                <w:szCs w:val="20"/>
              </w:rPr>
            </w:pPr>
            <w:r w:rsidRPr="00DC46B1">
              <w:rPr>
                <w:rFonts w:cs="Times New Roman"/>
                <w:sz w:val="20"/>
                <w:szCs w:val="20"/>
              </w:rPr>
              <w:t>Source material</w:t>
            </w:r>
          </w:p>
          <w:p w14:paraId="5A6B5B8C" w14:textId="77777777" w:rsidR="00B96A6E" w:rsidRPr="00DC46B1" w:rsidRDefault="00B96A6E" w:rsidP="004642FD">
            <w:pPr>
              <w:spacing w:line="240" w:lineRule="auto"/>
              <w:rPr>
                <w:rFonts w:cs="Times New Roman"/>
                <w:sz w:val="20"/>
                <w:szCs w:val="20"/>
              </w:rPr>
            </w:pPr>
            <w:r>
              <w:rPr>
                <w:rFonts w:cs="Times New Roman"/>
                <w:sz w:val="20"/>
                <w:szCs w:val="20"/>
              </w:rPr>
              <w:t>(% w/v)</w:t>
            </w:r>
          </w:p>
        </w:tc>
        <w:tc>
          <w:tcPr>
            <w:tcW w:w="851" w:type="dxa"/>
          </w:tcPr>
          <w:p w14:paraId="63A3FA53" w14:textId="77777777" w:rsidR="00B96A6E" w:rsidRPr="00DC46B1" w:rsidRDefault="00B96A6E" w:rsidP="004642FD">
            <w:pPr>
              <w:spacing w:line="240" w:lineRule="auto"/>
              <w:rPr>
                <w:rFonts w:cs="Times New Roman"/>
                <w:sz w:val="20"/>
                <w:szCs w:val="20"/>
              </w:rPr>
            </w:pPr>
            <w:r w:rsidRPr="00DC46B1">
              <w:rPr>
                <w:rFonts w:cs="Times New Roman"/>
                <w:sz w:val="20"/>
                <w:szCs w:val="20"/>
              </w:rPr>
              <w:t>Steel</w:t>
            </w:r>
          </w:p>
        </w:tc>
        <w:tc>
          <w:tcPr>
            <w:tcW w:w="4536" w:type="dxa"/>
          </w:tcPr>
          <w:p w14:paraId="24C734A5" w14:textId="77777777" w:rsidR="00B96A6E" w:rsidRPr="00DC46B1" w:rsidRDefault="00B96A6E" w:rsidP="004642FD">
            <w:pPr>
              <w:spacing w:line="240" w:lineRule="auto"/>
              <w:jc w:val="center"/>
              <w:rPr>
                <w:rFonts w:cs="Times New Roman"/>
                <w:sz w:val="20"/>
                <w:szCs w:val="20"/>
              </w:rPr>
            </w:pPr>
            <w:r w:rsidRPr="00DC46B1">
              <w:rPr>
                <w:rFonts w:cs="Times New Roman"/>
                <w:sz w:val="20"/>
                <w:szCs w:val="20"/>
              </w:rPr>
              <w:t>Decontamination methods</w:t>
            </w:r>
            <w:r>
              <w:rPr>
                <w:rFonts w:cs="Times New Roman"/>
                <w:sz w:val="20"/>
                <w:szCs w:val="20"/>
              </w:rPr>
              <w:t xml:space="preserve"> </w:t>
            </w:r>
            <w:r w:rsidRPr="00FD7F5F">
              <w:rPr>
                <w:rFonts w:cs="Times New Roman"/>
                <w:sz w:val="20"/>
                <w:szCs w:val="20"/>
                <w:u w:val="single"/>
              </w:rPr>
              <w:t>other than autoclaving</w:t>
            </w:r>
          </w:p>
        </w:tc>
        <w:tc>
          <w:tcPr>
            <w:tcW w:w="1843" w:type="dxa"/>
          </w:tcPr>
          <w:p w14:paraId="093B6667" w14:textId="77777777" w:rsidR="00B96A6E" w:rsidRPr="00DC46B1" w:rsidRDefault="00B96A6E" w:rsidP="004642FD">
            <w:pPr>
              <w:spacing w:line="240" w:lineRule="auto"/>
              <w:rPr>
                <w:rFonts w:cs="Times New Roman"/>
                <w:sz w:val="20"/>
                <w:szCs w:val="20"/>
              </w:rPr>
            </w:pPr>
            <w:r w:rsidRPr="00DC46B1">
              <w:rPr>
                <w:rFonts w:cs="Times New Roman"/>
                <w:sz w:val="20"/>
                <w:szCs w:val="20"/>
              </w:rPr>
              <w:t>Assay used</w:t>
            </w:r>
          </w:p>
        </w:tc>
      </w:tr>
      <w:tr w:rsidR="00B96A6E" w:rsidRPr="00DC46B1" w14:paraId="57BEC9A6" w14:textId="77777777" w:rsidTr="00931EC4">
        <w:tc>
          <w:tcPr>
            <w:tcW w:w="1668" w:type="dxa"/>
          </w:tcPr>
          <w:p w14:paraId="535C4A45" w14:textId="1840DF3C" w:rsidR="00B96A6E" w:rsidRPr="00463842" w:rsidRDefault="00463842" w:rsidP="0076576E">
            <w:pPr>
              <w:spacing w:line="240" w:lineRule="auto"/>
              <w:rPr>
                <w:rFonts w:cs="Times New Roman"/>
                <w:sz w:val="20"/>
                <w:szCs w:val="20"/>
              </w:rPr>
            </w:pPr>
            <w:r w:rsidRPr="00B252E4">
              <w:rPr>
                <w:rFonts w:cs="Times New Roman"/>
                <w:sz w:val="20"/>
                <w:szCs w:val="20"/>
                <w:lang w:val="en"/>
              </w:rPr>
              <w:t xml:space="preserve">Beekes </w:t>
            </w:r>
            <w:r w:rsidR="00B301D6" w:rsidRPr="00B301D6">
              <w:rPr>
                <w:rFonts w:cs="Times New Roman"/>
                <w:i/>
                <w:sz w:val="20"/>
                <w:szCs w:val="20"/>
                <w:lang w:val="en"/>
              </w:rPr>
              <w:t>et al</w:t>
            </w:r>
            <w:r w:rsidRPr="00B252E4">
              <w:rPr>
                <w:rFonts w:cs="Times New Roman"/>
                <w:sz w:val="20"/>
                <w:szCs w:val="20"/>
                <w:lang w:val="en"/>
              </w:rPr>
              <w:t>, 2010,</w:t>
            </w:r>
            <w:r w:rsidR="00BB5588">
              <w:rPr>
                <w:rFonts w:cs="Times New Roman"/>
                <w:sz w:val="20"/>
                <w:szCs w:val="20"/>
                <w:lang w:val="en"/>
              </w:rPr>
              <w:fldChar w:fldCharType="begin">
                <w:fldData xml:space="preserve">PEVuZE5vdGU+PENpdGU+PEF1dGhvcj5CZWVrZXM8L0F1dGhvcj48WWVhcj4yMDEwPC9ZZWFyPjxS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PEVuZE5vdGU+PENpdGU+PEF1dGhvcj5CZWVrZXM8L0F1dGhvcj48WWVhcj4yMDEwPC9ZZWFyPjxS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00BB5588">
              <w:rPr>
                <w:rFonts w:cs="Times New Roman"/>
                <w:sz w:val="20"/>
                <w:szCs w:val="20"/>
                <w:lang w:val="en"/>
              </w:rPr>
            </w:r>
            <w:r w:rsidR="00BB5588">
              <w:rPr>
                <w:rFonts w:cs="Times New Roman"/>
                <w:sz w:val="20"/>
                <w:szCs w:val="20"/>
                <w:lang w:val="en"/>
              </w:rPr>
              <w:fldChar w:fldCharType="separate"/>
            </w:r>
            <w:r w:rsidR="0076576E" w:rsidRPr="0076576E">
              <w:rPr>
                <w:rFonts w:cs="Times New Roman"/>
                <w:noProof/>
                <w:sz w:val="20"/>
                <w:szCs w:val="20"/>
                <w:vertAlign w:val="superscript"/>
                <w:lang w:val="en"/>
              </w:rPr>
              <w:t>173</w:t>
            </w:r>
            <w:r w:rsidR="00BB5588">
              <w:rPr>
                <w:rFonts w:cs="Times New Roman"/>
                <w:sz w:val="20"/>
                <w:szCs w:val="20"/>
                <w:lang w:val="en"/>
              </w:rPr>
              <w:fldChar w:fldCharType="end"/>
            </w:r>
          </w:p>
        </w:tc>
        <w:tc>
          <w:tcPr>
            <w:tcW w:w="1417" w:type="dxa"/>
          </w:tcPr>
          <w:p w14:paraId="169A2378" w14:textId="77777777" w:rsidR="00B96A6E" w:rsidRDefault="00B96A6E" w:rsidP="004642FD">
            <w:pPr>
              <w:spacing w:line="240" w:lineRule="auto"/>
              <w:rPr>
                <w:rFonts w:cs="Times New Roman"/>
                <w:sz w:val="20"/>
                <w:szCs w:val="20"/>
              </w:rPr>
            </w:pPr>
            <w:r>
              <w:rPr>
                <w:rFonts w:cs="Times New Roman"/>
                <w:sz w:val="20"/>
                <w:szCs w:val="20"/>
              </w:rPr>
              <w:t>263K scrapie,</w:t>
            </w:r>
          </w:p>
          <w:p w14:paraId="324F6360" w14:textId="77777777" w:rsidR="00B96A6E" w:rsidRDefault="00B96A6E" w:rsidP="004642FD">
            <w:pPr>
              <w:spacing w:line="240" w:lineRule="auto"/>
              <w:rPr>
                <w:rFonts w:cs="Times New Roman"/>
                <w:sz w:val="20"/>
                <w:szCs w:val="20"/>
              </w:rPr>
            </w:pPr>
            <w:r>
              <w:rPr>
                <w:rFonts w:cs="Times New Roman"/>
                <w:sz w:val="20"/>
                <w:szCs w:val="20"/>
              </w:rPr>
              <w:t>vCJD(MM1), sCJD</w:t>
            </w:r>
          </w:p>
          <w:p w14:paraId="2AA416DE" w14:textId="77777777" w:rsidR="00B96A6E" w:rsidRDefault="00B96A6E" w:rsidP="004642FD">
            <w:pPr>
              <w:spacing w:line="240" w:lineRule="auto"/>
              <w:rPr>
                <w:rFonts w:cs="Times New Roman"/>
                <w:sz w:val="20"/>
                <w:szCs w:val="20"/>
              </w:rPr>
            </w:pPr>
          </w:p>
        </w:tc>
        <w:tc>
          <w:tcPr>
            <w:tcW w:w="992" w:type="dxa"/>
          </w:tcPr>
          <w:p w14:paraId="740E16F1" w14:textId="77777777" w:rsidR="00B96A6E" w:rsidRDefault="00B96A6E" w:rsidP="004642FD">
            <w:pPr>
              <w:spacing w:line="240" w:lineRule="auto"/>
              <w:rPr>
                <w:rFonts w:cs="Times New Roman"/>
                <w:sz w:val="20"/>
                <w:szCs w:val="20"/>
              </w:rPr>
            </w:pPr>
            <w:r>
              <w:rPr>
                <w:rFonts w:cs="Times New Roman"/>
                <w:sz w:val="20"/>
                <w:szCs w:val="20"/>
              </w:rPr>
              <w:t>BH</w:t>
            </w:r>
          </w:p>
          <w:p w14:paraId="5B9302A7" w14:textId="77777777" w:rsidR="00B96A6E" w:rsidRDefault="00B96A6E" w:rsidP="004642FD">
            <w:pPr>
              <w:spacing w:line="240" w:lineRule="auto"/>
              <w:rPr>
                <w:rFonts w:cs="Times New Roman"/>
                <w:sz w:val="20"/>
                <w:szCs w:val="20"/>
              </w:rPr>
            </w:pPr>
            <w:r>
              <w:rPr>
                <w:rFonts w:cs="Times New Roman"/>
                <w:sz w:val="20"/>
                <w:szCs w:val="20"/>
              </w:rPr>
              <w:t>(10%)</w:t>
            </w:r>
          </w:p>
        </w:tc>
        <w:tc>
          <w:tcPr>
            <w:tcW w:w="851" w:type="dxa"/>
          </w:tcPr>
          <w:p w14:paraId="31D9981C" w14:textId="77777777" w:rsidR="00B96A6E" w:rsidRDefault="00B96A6E" w:rsidP="004642FD">
            <w:pPr>
              <w:spacing w:line="240" w:lineRule="auto"/>
              <w:rPr>
                <w:rFonts w:cs="Times New Roman"/>
                <w:sz w:val="20"/>
                <w:szCs w:val="20"/>
              </w:rPr>
            </w:pPr>
            <w:r>
              <w:rPr>
                <w:rFonts w:cs="Times New Roman"/>
                <w:sz w:val="20"/>
                <w:szCs w:val="20"/>
              </w:rPr>
              <w:t>Wires</w:t>
            </w:r>
          </w:p>
        </w:tc>
        <w:tc>
          <w:tcPr>
            <w:tcW w:w="4536" w:type="dxa"/>
          </w:tcPr>
          <w:p w14:paraId="03AD430A" w14:textId="77777777" w:rsidR="00B96A6E" w:rsidRDefault="00B96A6E" w:rsidP="004642FD">
            <w:pPr>
              <w:spacing w:line="240" w:lineRule="auto"/>
              <w:rPr>
                <w:rFonts w:cs="Times New Roman"/>
                <w:sz w:val="20"/>
                <w:szCs w:val="20"/>
              </w:rPr>
            </w:pPr>
            <w:r>
              <w:rPr>
                <w:rFonts w:cs="Times New Roman"/>
                <w:sz w:val="20"/>
                <w:szCs w:val="20"/>
              </w:rPr>
              <w:t xml:space="preserve">SDS 0.2% / NaOH 0.3% in 20% or 30% </w:t>
            </w:r>
            <w:r w:rsidRPr="00C506B5">
              <w:rPr>
                <w:rFonts w:cs="Times New Roman"/>
                <w:i/>
                <w:sz w:val="20"/>
                <w:szCs w:val="20"/>
              </w:rPr>
              <w:t>n</w:t>
            </w:r>
            <w:r>
              <w:rPr>
                <w:rFonts w:cs="Times New Roman"/>
                <w:sz w:val="20"/>
                <w:szCs w:val="20"/>
              </w:rPr>
              <w:t>-propanol</w:t>
            </w:r>
          </w:p>
        </w:tc>
        <w:tc>
          <w:tcPr>
            <w:tcW w:w="1843" w:type="dxa"/>
          </w:tcPr>
          <w:p w14:paraId="28F19A72" w14:textId="77777777" w:rsidR="00B96A6E" w:rsidRDefault="00B96A6E" w:rsidP="004642FD">
            <w:pPr>
              <w:spacing w:line="240" w:lineRule="auto"/>
              <w:rPr>
                <w:rFonts w:cs="Times New Roman"/>
                <w:sz w:val="20"/>
                <w:szCs w:val="20"/>
              </w:rPr>
            </w:pPr>
            <w:r>
              <w:rPr>
                <w:rFonts w:cs="Times New Roman"/>
                <w:sz w:val="20"/>
                <w:szCs w:val="20"/>
              </w:rPr>
              <w:t>Hamsters, WB</w:t>
            </w:r>
          </w:p>
        </w:tc>
      </w:tr>
      <w:tr w:rsidR="00B96A6E" w:rsidRPr="00DC46B1" w14:paraId="0327DC91" w14:textId="77777777" w:rsidTr="00931EC4">
        <w:tc>
          <w:tcPr>
            <w:tcW w:w="1668" w:type="dxa"/>
          </w:tcPr>
          <w:p w14:paraId="4D4AD506" w14:textId="2A44D6A7" w:rsidR="00B96A6E" w:rsidRPr="00463842" w:rsidRDefault="00463842" w:rsidP="0076576E">
            <w:pPr>
              <w:spacing w:line="240" w:lineRule="auto"/>
              <w:rPr>
                <w:rFonts w:cs="Times New Roman"/>
                <w:sz w:val="20"/>
                <w:szCs w:val="20"/>
              </w:rPr>
            </w:pPr>
            <w:r w:rsidRPr="00B252E4">
              <w:rPr>
                <w:rFonts w:cs="Times New Roman"/>
                <w:sz w:val="20"/>
                <w:szCs w:val="20"/>
                <w:lang w:val="en"/>
              </w:rPr>
              <w:t xml:space="preserve">Bellon </w:t>
            </w:r>
            <w:r w:rsidR="00B301D6" w:rsidRPr="00B301D6">
              <w:rPr>
                <w:rFonts w:cs="Times New Roman"/>
                <w:i/>
                <w:sz w:val="20"/>
                <w:szCs w:val="20"/>
                <w:lang w:val="en"/>
              </w:rPr>
              <w:t>et al</w:t>
            </w:r>
            <w:r w:rsidRPr="00B252E4">
              <w:rPr>
                <w:rFonts w:cs="Times New Roman"/>
                <w:sz w:val="20"/>
                <w:szCs w:val="20"/>
                <w:lang w:val="en"/>
              </w:rPr>
              <w:t>, 2014,</w:t>
            </w:r>
            <w:r w:rsidR="00BB5588">
              <w:rPr>
                <w:rFonts w:cs="Times New Roman"/>
                <w:sz w:val="20"/>
                <w:szCs w:val="20"/>
                <w:lang w:val="en"/>
              </w:rPr>
              <w:fldChar w:fldCharType="begin">
                <w:fldData xml:space="preserve">PEVuZE5vdGU+PENpdGU+PEF1dGhvcj5CZWxsb248L0F1dGhvcj48WWVhcj4yMDE0PC9ZZWFyPjxS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PEVuZE5vdGU+PENpdGU+PEF1dGhvcj5CZWxsb248L0F1dGhvcj48WWVhcj4yMDE0PC9ZZWFyPjxS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00BB5588">
              <w:rPr>
                <w:rFonts w:cs="Times New Roman"/>
                <w:sz w:val="20"/>
                <w:szCs w:val="20"/>
                <w:lang w:val="en"/>
              </w:rPr>
            </w:r>
            <w:r w:rsidR="00BB5588">
              <w:rPr>
                <w:rFonts w:cs="Times New Roman"/>
                <w:sz w:val="20"/>
                <w:szCs w:val="20"/>
                <w:lang w:val="en"/>
              </w:rPr>
              <w:fldChar w:fldCharType="separate"/>
            </w:r>
            <w:r w:rsidR="0076576E" w:rsidRPr="0076576E">
              <w:rPr>
                <w:rFonts w:cs="Times New Roman"/>
                <w:noProof/>
                <w:sz w:val="20"/>
                <w:szCs w:val="20"/>
                <w:vertAlign w:val="superscript"/>
                <w:lang w:val="en"/>
              </w:rPr>
              <w:t>174</w:t>
            </w:r>
            <w:r w:rsidR="00BB5588">
              <w:rPr>
                <w:rFonts w:cs="Times New Roman"/>
                <w:sz w:val="20"/>
                <w:szCs w:val="20"/>
                <w:lang w:val="en"/>
              </w:rPr>
              <w:fldChar w:fldCharType="end"/>
            </w:r>
          </w:p>
        </w:tc>
        <w:tc>
          <w:tcPr>
            <w:tcW w:w="1417" w:type="dxa"/>
          </w:tcPr>
          <w:p w14:paraId="4ADB1A5A" w14:textId="77777777" w:rsidR="00B96A6E" w:rsidRDefault="00B96A6E" w:rsidP="004642FD">
            <w:pPr>
              <w:spacing w:line="240" w:lineRule="auto"/>
              <w:rPr>
                <w:rFonts w:cs="Times New Roman"/>
                <w:sz w:val="20"/>
                <w:szCs w:val="20"/>
              </w:rPr>
            </w:pPr>
            <w:r>
              <w:rPr>
                <w:rFonts w:cs="Times New Roman"/>
                <w:sz w:val="20"/>
                <w:szCs w:val="20"/>
              </w:rPr>
              <w:t xml:space="preserve">263K,  </w:t>
            </w:r>
          </w:p>
          <w:p w14:paraId="528EB9FF" w14:textId="77777777" w:rsidR="00B96A6E" w:rsidRPr="00DC46B1" w:rsidRDefault="00B96A6E" w:rsidP="004642FD">
            <w:pPr>
              <w:spacing w:line="240" w:lineRule="auto"/>
              <w:rPr>
                <w:rFonts w:cs="Times New Roman"/>
                <w:sz w:val="20"/>
                <w:szCs w:val="20"/>
              </w:rPr>
            </w:pPr>
            <w:r>
              <w:rPr>
                <w:rFonts w:cs="Times New Roman"/>
                <w:sz w:val="20"/>
                <w:szCs w:val="20"/>
              </w:rPr>
              <w:t>vCJD (mouse adapted)</w:t>
            </w:r>
          </w:p>
        </w:tc>
        <w:tc>
          <w:tcPr>
            <w:tcW w:w="992" w:type="dxa"/>
          </w:tcPr>
          <w:p w14:paraId="48825A88" w14:textId="77777777" w:rsidR="00B96A6E" w:rsidRDefault="00B96A6E" w:rsidP="004642FD">
            <w:pPr>
              <w:spacing w:line="240" w:lineRule="auto"/>
              <w:rPr>
                <w:rFonts w:cs="Times New Roman"/>
                <w:sz w:val="20"/>
                <w:szCs w:val="20"/>
              </w:rPr>
            </w:pPr>
            <w:r>
              <w:rPr>
                <w:rFonts w:cs="Times New Roman"/>
                <w:sz w:val="20"/>
                <w:szCs w:val="20"/>
              </w:rPr>
              <w:t>BH</w:t>
            </w:r>
          </w:p>
          <w:p w14:paraId="4BD7E6A7" w14:textId="77777777" w:rsidR="00B96A6E" w:rsidRPr="00DC46B1" w:rsidRDefault="00B96A6E" w:rsidP="004642FD">
            <w:pPr>
              <w:spacing w:line="240" w:lineRule="auto"/>
              <w:rPr>
                <w:rFonts w:cs="Times New Roman"/>
                <w:sz w:val="20"/>
                <w:szCs w:val="20"/>
              </w:rPr>
            </w:pPr>
            <w:r>
              <w:rPr>
                <w:rFonts w:cs="Times New Roman"/>
                <w:sz w:val="20"/>
                <w:szCs w:val="20"/>
              </w:rPr>
              <w:t>(20%)</w:t>
            </w:r>
          </w:p>
        </w:tc>
        <w:tc>
          <w:tcPr>
            <w:tcW w:w="851" w:type="dxa"/>
          </w:tcPr>
          <w:p w14:paraId="34B866F1" w14:textId="77777777" w:rsidR="00B96A6E" w:rsidRPr="00DC46B1" w:rsidRDefault="00B96A6E" w:rsidP="004642FD">
            <w:pPr>
              <w:spacing w:line="240" w:lineRule="auto"/>
              <w:rPr>
                <w:rFonts w:cs="Times New Roman"/>
                <w:sz w:val="20"/>
                <w:szCs w:val="20"/>
              </w:rPr>
            </w:pPr>
            <w:r>
              <w:rPr>
                <w:rFonts w:cs="Times New Roman"/>
                <w:sz w:val="20"/>
                <w:szCs w:val="20"/>
              </w:rPr>
              <w:t>Wires</w:t>
            </w:r>
          </w:p>
        </w:tc>
        <w:tc>
          <w:tcPr>
            <w:tcW w:w="4536" w:type="dxa"/>
          </w:tcPr>
          <w:p w14:paraId="2151EFF6" w14:textId="77777777" w:rsidR="00B96A6E" w:rsidRPr="00DC46B1" w:rsidRDefault="00B96A6E" w:rsidP="004642FD">
            <w:pPr>
              <w:spacing w:line="240" w:lineRule="auto"/>
              <w:rPr>
                <w:rFonts w:cs="Times New Roman"/>
                <w:sz w:val="20"/>
                <w:szCs w:val="20"/>
              </w:rPr>
            </w:pPr>
            <w:r>
              <w:rPr>
                <w:rFonts w:cs="Times New Roman"/>
                <w:sz w:val="20"/>
                <w:szCs w:val="20"/>
              </w:rPr>
              <w:t>NaOH 0.1-0.45 mol/L, 4</w:t>
            </w:r>
            <w:r>
              <w:rPr>
                <w:rFonts w:cs="Times New Roman"/>
                <w:sz w:val="20"/>
                <w:szCs w:val="20"/>
                <w:vertAlign w:val="superscript"/>
              </w:rPr>
              <w:t>°</w:t>
            </w:r>
            <w:r>
              <w:rPr>
                <w:rFonts w:cs="Times New Roman"/>
                <w:sz w:val="20"/>
                <w:szCs w:val="20"/>
              </w:rPr>
              <w:t>C-45</w:t>
            </w:r>
            <w:r>
              <w:rPr>
                <w:rFonts w:cs="Times New Roman"/>
                <w:sz w:val="20"/>
                <w:szCs w:val="20"/>
                <w:vertAlign w:val="superscript"/>
              </w:rPr>
              <w:t>°</w:t>
            </w:r>
            <w:r>
              <w:rPr>
                <w:rFonts w:cs="Times New Roman"/>
                <w:sz w:val="20"/>
                <w:szCs w:val="20"/>
              </w:rPr>
              <w:t>C (5-240 mins)</w:t>
            </w:r>
          </w:p>
        </w:tc>
        <w:tc>
          <w:tcPr>
            <w:tcW w:w="1843" w:type="dxa"/>
          </w:tcPr>
          <w:p w14:paraId="5F6F83FC" w14:textId="77777777" w:rsidR="00B96A6E" w:rsidRDefault="00B96A6E" w:rsidP="004642FD">
            <w:pPr>
              <w:spacing w:line="240" w:lineRule="auto"/>
              <w:rPr>
                <w:rFonts w:cs="Times New Roman"/>
                <w:sz w:val="20"/>
                <w:szCs w:val="20"/>
              </w:rPr>
            </w:pPr>
            <w:r>
              <w:rPr>
                <w:rFonts w:cs="Times New Roman"/>
                <w:sz w:val="20"/>
                <w:szCs w:val="20"/>
              </w:rPr>
              <w:t>Hamsters</w:t>
            </w:r>
          </w:p>
          <w:p w14:paraId="54274FA9" w14:textId="77777777" w:rsidR="00B96A6E" w:rsidRPr="00DC46B1" w:rsidRDefault="00B96A6E" w:rsidP="004642FD">
            <w:pPr>
              <w:spacing w:line="240" w:lineRule="auto"/>
              <w:rPr>
                <w:rFonts w:cs="Times New Roman"/>
                <w:sz w:val="20"/>
                <w:szCs w:val="20"/>
              </w:rPr>
            </w:pPr>
            <w:r>
              <w:rPr>
                <w:rFonts w:cs="Times New Roman"/>
                <w:sz w:val="20"/>
                <w:szCs w:val="20"/>
              </w:rPr>
              <w:t>WB</w:t>
            </w:r>
          </w:p>
        </w:tc>
      </w:tr>
      <w:tr w:rsidR="00B96A6E" w:rsidRPr="00DC46B1" w14:paraId="2222D3C4" w14:textId="77777777" w:rsidTr="00931EC4">
        <w:tc>
          <w:tcPr>
            <w:tcW w:w="1668" w:type="dxa"/>
          </w:tcPr>
          <w:p w14:paraId="2B4555CF" w14:textId="6EDBFAEE" w:rsidR="00B96A6E" w:rsidRPr="00463842" w:rsidRDefault="00463842" w:rsidP="0076576E">
            <w:pPr>
              <w:spacing w:line="240" w:lineRule="auto"/>
              <w:rPr>
                <w:rFonts w:cs="Times New Roman"/>
                <w:sz w:val="20"/>
                <w:szCs w:val="20"/>
              </w:rPr>
            </w:pPr>
            <w:r w:rsidRPr="00B252E4">
              <w:rPr>
                <w:rFonts w:cs="Times New Roman"/>
                <w:sz w:val="20"/>
                <w:szCs w:val="20"/>
                <w:lang w:val="en"/>
              </w:rPr>
              <w:t xml:space="preserve">Belondrade </w:t>
            </w:r>
            <w:r w:rsidR="00B301D6" w:rsidRPr="00B301D6">
              <w:rPr>
                <w:rFonts w:cs="Times New Roman"/>
                <w:i/>
                <w:sz w:val="20"/>
                <w:szCs w:val="20"/>
                <w:lang w:val="en"/>
              </w:rPr>
              <w:t>et al</w:t>
            </w:r>
            <w:r w:rsidRPr="00B252E4">
              <w:rPr>
                <w:rFonts w:cs="Times New Roman"/>
                <w:sz w:val="20"/>
                <w:szCs w:val="20"/>
                <w:lang w:val="en"/>
              </w:rPr>
              <w:t>, 2016</w:t>
            </w:r>
            <w:r w:rsidR="00BB5588">
              <w:rPr>
                <w:rFonts w:cs="Times New Roman"/>
                <w:sz w:val="20"/>
                <w:szCs w:val="20"/>
                <w:lang w:val="en"/>
              </w:rPr>
              <w:fldChar w:fldCharType="begin"/>
            </w:r>
            <w:r w:rsidR="0076576E">
              <w:rPr>
                <w:rFonts w:cs="Times New Roman"/>
                <w:sz w:val="20"/>
                <w:szCs w:val="20"/>
                <w:lang w:val="en"/>
              </w:rPr>
              <w:instrText xml:space="preserve"> ADDIN EN.CITE &lt;EndNote&gt;&lt;Cite&gt;&lt;Author&gt;Belondrade&lt;/Author&gt;&lt;Year&gt;2016&lt;/Year&gt;&lt;RecNum&gt;10275&lt;/RecNum&gt;&lt;DisplayText&gt;&lt;style face="superscript"&gt;171&lt;/style&gt;&lt;/DisplayText&gt;&lt;record&gt;&lt;rec-number&gt;10275&lt;/rec-number&gt;&lt;foreign-keys&gt;&lt;key app="EN" db-id="vrp0pptazv05wtesfz5vrzsj2p0rv09ttsa9" timestamp="1521469700" guid="ea0094e7-3c92-4fa9-809d-d65e2d41a3e6"&gt;10275&lt;/key&gt;&lt;/foreign-keys&gt;&lt;ref-type name="Journal Article"&gt;17&lt;/ref-type&gt;&lt;contributors&gt;&lt;authors&gt;&lt;author&gt;Belondrade, Maxime&lt;/author&gt;&lt;author&gt;Nicot, Simon&lt;/author&gt;&lt;author&gt;Béringue, Vincent&lt;/author&gt;&lt;author&gt;Coste, Joliette&lt;/author&gt;&lt;author&gt;Lehmann, Sylvain&lt;/author&gt;&lt;author&gt;Bougard, Daisy&lt;/author&gt;&lt;/authors&gt;&lt;/contributors&gt;&lt;titles&gt;&lt;title&gt;Rapid and highly sensitive detection of variant Creutzfeldt-Jakob disease abnormal prion protein on steel surfaces by protein misfolding cyclic amplification: application to prion decontamination Studies&lt;/title&gt;&lt;secondary-title&gt;PloS one&lt;/secondary-title&gt;&lt;/titles&gt;&lt;periodical&gt;&lt;full-title&gt;PLoS ONE [Electronic Resource]&lt;/full-title&gt;&lt;abbr-1&gt;PLoS ONE&lt;/abbr-1&gt;&lt;/periodical&gt;&lt;pages&gt;e0146833&lt;/pages&gt;&lt;volume&gt;11&lt;/volume&gt;&lt;number&gt;1&lt;/number&gt;&lt;keywords&gt;&lt;keyword&gt;$$CC_5_instrument decontamination&lt;/keyword&gt;&lt;keyword&gt;$$5_instrument decontamination&lt;/keyword&gt;&lt;keyword&gt;$$Lesley google&lt;/keyword&gt;&lt;/keywords&gt;&lt;dates&gt;&lt;year&gt;2016&lt;/year&gt;&lt;/dates&gt;&lt;isbn&gt;1932-6203&lt;/isbn&gt;&lt;urls&gt;&lt;/urls&gt;&lt;/record&gt;&lt;/Cite&gt;&lt;/EndNote&gt;</w:instrText>
            </w:r>
            <w:r w:rsidR="00BB5588">
              <w:rPr>
                <w:rFonts w:cs="Times New Roman"/>
                <w:sz w:val="20"/>
                <w:szCs w:val="20"/>
                <w:lang w:val="en"/>
              </w:rPr>
              <w:fldChar w:fldCharType="separate"/>
            </w:r>
            <w:r w:rsidR="0076576E" w:rsidRPr="0076576E">
              <w:rPr>
                <w:rFonts w:cs="Times New Roman"/>
                <w:noProof/>
                <w:sz w:val="20"/>
                <w:szCs w:val="20"/>
                <w:vertAlign w:val="superscript"/>
                <w:lang w:val="en"/>
              </w:rPr>
              <w:t>171</w:t>
            </w:r>
            <w:r w:rsidR="00BB5588">
              <w:rPr>
                <w:rFonts w:cs="Times New Roman"/>
                <w:sz w:val="20"/>
                <w:szCs w:val="20"/>
                <w:lang w:val="en"/>
              </w:rPr>
              <w:fldChar w:fldCharType="end"/>
            </w:r>
          </w:p>
        </w:tc>
        <w:tc>
          <w:tcPr>
            <w:tcW w:w="1417" w:type="dxa"/>
          </w:tcPr>
          <w:p w14:paraId="1DF9A358" w14:textId="77777777" w:rsidR="00B96A6E" w:rsidRDefault="00B96A6E" w:rsidP="004642FD">
            <w:pPr>
              <w:spacing w:line="240" w:lineRule="auto"/>
              <w:rPr>
                <w:rFonts w:cs="Times New Roman"/>
                <w:sz w:val="20"/>
                <w:szCs w:val="20"/>
              </w:rPr>
            </w:pPr>
            <w:r>
              <w:rPr>
                <w:rFonts w:cs="Times New Roman"/>
                <w:sz w:val="20"/>
                <w:szCs w:val="20"/>
              </w:rPr>
              <w:t>127S scrapie,</w:t>
            </w:r>
          </w:p>
          <w:p w14:paraId="0CFC39D8" w14:textId="77777777" w:rsidR="00B96A6E" w:rsidRPr="00DC46B1" w:rsidRDefault="00B96A6E" w:rsidP="004642FD">
            <w:pPr>
              <w:spacing w:line="240" w:lineRule="auto"/>
              <w:rPr>
                <w:rFonts w:cs="Times New Roman"/>
                <w:sz w:val="20"/>
                <w:szCs w:val="20"/>
              </w:rPr>
            </w:pPr>
            <w:r>
              <w:rPr>
                <w:rFonts w:cs="Times New Roman"/>
                <w:sz w:val="20"/>
                <w:szCs w:val="20"/>
              </w:rPr>
              <w:t>vCJD</w:t>
            </w:r>
          </w:p>
        </w:tc>
        <w:tc>
          <w:tcPr>
            <w:tcW w:w="992" w:type="dxa"/>
          </w:tcPr>
          <w:p w14:paraId="4343C2E6" w14:textId="77777777" w:rsidR="00B96A6E" w:rsidRDefault="00B96A6E" w:rsidP="004642FD">
            <w:pPr>
              <w:spacing w:line="240" w:lineRule="auto"/>
              <w:rPr>
                <w:rFonts w:cs="Times New Roman"/>
                <w:sz w:val="20"/>
                <w:szCs w:val="20"/>
              </w:rPr>
            </w:pPr>
            <w:r>
              <w:rPr>
                <w:rFonts w:cs="Times New Roman"/>
                <w:sz w:val="20"/>
                <w:szCs w:val="20"/>
              </w:rPr>
              <w:t>BH</w:t>
            </w:r>
          </w:p>
          <w:p w14:paraId="1998CA92" w14:textId="77777777" w:rsidR="00B96A6E" w:rsidRDefault="00B96A6E" w:rsidP="004642FD">
            <w:pPr>
              <w:spacing w:line="240" w:lineRule="auto"/>
              <w:rPr>
                <w:rFonts w:cs="Times New Roman"/>
                <w:sz w:val="20"/>
                <w:szCs w:val="20"/>
              </w:rPr>
            </w:pPr>
            <w:r>
              <w:rPr>
                <w:rFonts w:cs="Times New Roman"/>
                <w:sz w:val="20"/>
                <w:szCs w:val="20"/>
              </w:rPr>
              <w:t>(10%)</w:t>
            </w:r>
          </w:p>
          <w:p w14:paraId="15A014CA" w14:textId="77777777" w:rsidR="00B96A6E" w:rsidRPr="00DC46B1" w:rsidRDefault="00B96A6E" w:rsidP="004642FD">
            <w:pPr>
              <w:spacing w:line="240" w:lineRule="auto"/>
              <w:rPr>
                <w:rFonts w:cs="Times New Roman"/>
                <w:sz w:val="20"/>
                <w:szCs w:val="20"/>
              </w:rPr>
            </w:pPr>
          </w:p>
        </w:tc>
        <w:tc>
          <w:tcPr>
            <w:tcW w:w="851" w:type="dxa"/>
          </w:tcPr>
          <w:p w14:paraId="394A4361" w14:textId="77777777" w:rsidR="00B96A6E" w:rsidRPr="00DC46B1" w:rsidRDefault="00B96A6E" w:rsidP="004642FD">
            <w:pPr>
              <w:spacing w:line="240" w:lineRule="auto"/>
              <w:rPr>
                <w:rFonts w:cs="Times New Roman"/>
                <w:sz w:val="20"/>
                <w:szCs w:val="20"/>
              </w:rPr>
            </w:pPr>
            <w:r>
              <w:rPr>
                <w:rFonts w:cs="Times New Roman"/>
                <w:sz w:val="20"/>
                <w:szCs w:val="20"/>
              </w:rPr>
              <w:t>Wires</w:t>
            </w:r>
          </w:p>
        </w:tc>
        <w:tc>
          <w:tcPr>
            <w:tcW w:w="4536" w:type="dxa"/>
          </w:tcPr>
          <w:p w14:paraId="7107AA57"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NaOH 0.1N (15 mins)</w:t>
            </w:r>
          </w:p>
          <w:p w14:paraId="4E1EBE18"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NaOH 1N (60mins)</w:t>
            </w:r>
          </w:p>
          <w:p w14:paraId="0C6F8D8B"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NaOCl 0.2% (15 mins)</w:t>
            </w:r>
          </w:p>
          <w:p w14:paraId="2E95B369"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NaOCl 2% (15 mins)</w:t>
            </w:r>
          </w:p>
          <w:p w14:paraId="4010998A"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SDS 0.2% / NaOH 0.3% (10mins)</w:t>
            </w:r>
          </w:p>
        </w:tc>
        <w:tc>
          <w:tcPr>
            <w:tcW w:w="1843" w:type="dxa"/>
          </w:tcPr>
          <w:p w14:paraId="57DF072B" w14:textId="77777777" w:rsidR="00B96A6E" w:rsidRPr="00DC46B1" w:rsidRDefault="00B96A6E" w:rsidP="004642FD">
            <w:pPr>
              <w:spacing w:line="240" w:lineRule="auto"/>
              <w:rPr>
                <w:rFonts w:cs="Times New Roman"/>
                <w:sz w:val="20"/>
                <w:szCs w:val="20"/>
              </w:rPr>
            </w:pPr>
            <w:r>
              <w:rPr>
                <w:rFonts w:cs="Times New Roman"/>
                <w:sz w:val="20"/>
                <w:szCs w:val="20"/>
              </w:rPr>
              <w:t>Surf-PCMA</w:t>
            </w:r>
          </w:p>
        </w:tc>
      </w:tr>
      <w:tr w:rsidR="00B96A6E" w:rsidRPr="00DC46B1" w14:paraId="782D23DC" w14:textId="77777777" w:rsidTr="00931EC4">
        <w:tc>
          <w:tcPr>
            <w:tcW w:w="1668" w:type="dxa"/>
          </w:tcPr>
          <w:p w14:paraId="2D22C332" w14:textId="4D1A88E1" w:rsidR="00B96A6E" w:rsidRPr="007F7329" w:rsidRDefault="00463842" w:rsidP="0076576E">
            <w:pPr>
              <w:spacing w:line="240" w:lineRule="auto"/>
              <w:rPr>
                <w:rFonts w:cs="Times New Roman"/>
                <w:sz w:val="20"/>
                <w:szCs w:val="20"/>
              </w:rPr>
            </w:pPr>
            <w:r w:rsidRPr="00B252E4">
              <w:rPr>
                <w:rFonts w:cs="Times New Roman"/>
                <w:sz w:val="20"/>
                <w:szCs w:val="20"/>
                <w:lang w:val="en"/>
              </w:rPr>
              <w:t xml:space="preserve">Edgeworth </w:t>
            </w:r>
            <w:r w:rsidR="00B301D6" w:rsidRPr="00B301D6">
              <w:rPr>
                <w:rFonts w:cs="Times New Roman"/>
                <w:i/>
                <w:sz w:val="20"/>
                <w:szCs w:val="20"/>
                <w:lang w:val="en"/>
              </w:rPr>
              <w:t>et al</w:t>
            </w:r>
            <w:r w:rsidRPr="00B252E4">
              <w:rPr>
                <w:rFonts w:cs="Times New Roman"/>
                <w:sz w:val="20"/>
                <w:szCs w:val="20"/>
                <w:lang w:val="en"/>
              </w:rPr>
              <w:t>, 2011</w:t>
            </w:r>
            <w:r w:rsidR="00BB5588">
              <w:rPr>
                <w:rFonts w:cs="Times New Roman"/>
                <w:sz w:val="20"/>
                <w:szCs w:val="20"/>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00BB5588">
              <w:rPr>
                <w:rFonts w:cs="Times New Roman"/>
                <w:sz w:val="20"/>
                <w:szCs w:val="20"/>
                <w:lang w:val="en"/>
              </w:rPr>
            </w:r>
            <w:r w:rsidR="00BB5588">
              <w:rPr>
                <w:rFonts w:cs="Times New Roman"/>
                <w:sz w:val="20"/>
                <w:szCs w:val="20"/>
                <w:lang w:val="en"/>
              </w:rPr>
              <w:fldChar w:fldCharType="separate"/>
            </w:r>
            <w:r w:rsidR="0076576E" w:rsidRPr="0076576E">
              <w:rPr>
                <w:rFonts w:cs="Times New Roman"/>
                <w:noProof/>
                <w:sz w:val="20"/>
                <w:szCs w:val="20"/>
                <w:vertAlign w:val="superscript"/>
                <w:lang w:val="en"/>
              </w:rPr>
              <w:t>179</w:t>
            </w:r>
            <w:r w:rsidR="00BB5588">
              <w:rPr>
                <w:rFonts w:cs="Times New Roman"/>
                <w:sz w:val="20"/>
                <w:szCs w:val="20"/>
                <w:lang w:val="en"/>
              </w:rPr>
              <w:fldChar w:fldCharType="end"/>
            </w:r>
          </w:p>
        </w:tc>
        <w:tc>
          <w:tcPr>
            <w:tcW w:w="1417" w:type="dxa"/>
          </w:tcPr>
          <w:p w14:paraId="29A72976" w14:textId="77777777" w:rsidR="00B96A6E" w:rsidRDefault="00B96A6E" w:rsidP="004642FD">
            <w:pPr>
              <w:spacing w:line="240" w:lineRule="auto"/>
              <w:rPr>
                <w:rFonts w:cs="Times New Roman"/>
                <w:sz w:val="20"/>
                <w:szCs w:val="20"/>
              </w:rPr>
            </w:pPr>
            <w:r>
              <w:rPr>
                <w:rFonts w:cs="Times New Roman"/>
                <w:sz w:val="20"/>
                <w:szCs w:val="20"/>
              </w:rPr>
              <w:t>RML</w:t>
            </w:r>
          </w:p>
        </w:tc>
        <w:tc>
          <w:tcPr>
            <w:tcW w:w="992" w:type="dxa"/>
          </w:tcPr>
          <w:p w14:paraId="0CEE549C" w14:textId="77777777" w:rsidR="00B96A6E" w:rsidRDefault="00B96A6E" w:rsidP="004642FD">
            <w:pPr>
              <w:spacing w:line="240" w:lineRule="auto"/>
              <w:rPr>
                <w:rFonts w:cs="Times New Roman"/>
                <w:sz w:val="20"/>
                <w:szCs w:val="20"/>
              </w:rPr>
            </w:pPr>
            <w:r>
              <w:rPr>
                <w:rFonts w:cs="Times New Roman"/>
                <w:sz w:val="20"/>
                <w:szCs w:val="20"/>
              </w:rPr>
              <w:t>BH</w:t>
            </w:r>
          </w:p>
          <w:p w14:paraId="2E3095C0" w14:textId="77777777" w:rsidR="00B96A6E" w:rsidRDefault="00B96A6E" w:rsidP="004642FD">
            <w:pPr>
              <w:spacing w:line="240" w:lineRule="auto"/>
              <w:rPr>
                <w:rFonts w:cs="Times New Roman"/>
                <w:sz w:val="20"/>
                <w:szCs w:val="20"/>
              </w:rPr>
            </w:pPr>
            <w:r w:rsidRPr="00CC6538">
              <w:rPr>
                <w:rFonts w:cs="Times New Roman"/>
                <w:sz w:val="20"/>
                <w:szCs w:val="20"/>
              </w:rPr>
              <w:t>(10%)</w:t>
            </w:r>
          </w:p>
        </w:tc>
        <w:tc>
          <w:tcPr>
            <w:tcW w:w="851" w:type="dxa"/>
          </w:tcPr>
          <w:p w14:paraId="18EDBF9E" w14:textId="77777777" w:rsidR="00B96A6E" w:rsidRDefault="00B96A6E" w:rsidP="004642FD">
            <w:pPr>
              <w:spacing w:line="240" w:lineRule="auto"/>
              <w:rPr>
                <w:rFonts w:cs="Times New Roman"/>
                <w:sz w:val="20"/>
                <w:szCs w:val="20"/>
              </w:rPr>
            </w:pPr>
            <w:r>
              <w:rPr>
                <w:rFonts w:cs="Times New Roman"/>
                <w:sz w:val="20"/>
                <w:szCs w:val="20"/>
              </w:rPr>
              <w:t>Wires</w:t>
            </w:r>
          </w:p>
        </w:tc>
        <w:tc>
          <w:tcPr>
            <w:tcW w:w="4536" w:type="dxa"/>
          </w:tcPr>
          <w:p w14:paraId="73DCD435" w14:textId="77777777" w:rsidR="00B96A6E" w:rsidRDefault="00B96A6E" w:rsidP="004642FD">
            <w:pPr>
              <w:spacing w:line="240" w:lineRule="auto"/>
              <w:rPr>
                <w:rFonts w:cs="Times New Roman"/>
                <w:sz w:val="20"/>
                <w:szCs w:val="20"/>
              </w:rPr>
            </w:pPr>
            <w:r>
              <w:rPr>
                <w:rFonts w:cs="Times New Roman"/>
                <w:sz w:val="20"/>
                <w:szCs w:val="20"/>
              </w:rPr>
              <w:t xml:space="preserve">Rely+On </w:t>
            </w:r>
          </w:p>
          <w:p w14:paraId="79C5DDDA" w14:textId="77777777" w:rsidR="00B96A6E" w:rsidRDefault="00B96A6E" w:rsidP="004642FD">
            <w:pPr>
              <w:spacing w:line="240" w:lineRule="auto"/>
              <w:rPr>
                <w:rFonts w:cs="Times New Roman"/>
                <w:sz w:val="20"/>
                <w:szCs w:val="20"/>
              </w:rPr>
            </w:pPr>
            <w:r>
              <w:rPr>
                <w:rFonts w:cs="Times New Roman"/>
                <w:sz w:val="20"/>
                <w:szCs w:val="20"/>
              </w:rPr>
              <w:t>Prionzyme</w:t>
            </w:r>
          </w:p>
          <w:p w14:paraId="36DCE3EA" w14:textId="77777777" w:rsidR="00B96A6E" w:rsidRDefault="00B96A6E" w:rsidP="004642FD">
            <w:pPr>
              <w:spacing w:line="240" w:lineRule="auto"/>
              <w:rPr>
                <w:rFonts w:cs="Times New Roman"/>
                <w:sz w:val="20"/>
                <w:szCs w:val="20"/>
              </w:rPr>
            </w:pPr>
            <w:r>
              <w:rPr>
                <w:rFonts w:cs="Times New Roman"/>
                <w:sz w:val="20"/>
                <w:szCs w:val="20"/>
              </w:rPr>
              <w:t>HAMO100 PID 0.8% and 1.6%</w:t>
            </w:r>
          </w:p>
          <w:p w14:paraId="53205B41" w14:textId="77777777" w:rsidR="00B96A6E" w:rsidRDefault="00B96A6E" w:rsidP="004642FD">
            <w:pPr>
              <w:spacing w:line="240" w:lineRule="auto"/>
              <w:rPr>
                <w:rFonts w:cs="Times New Roman"/>
                <w:sz w:val="20"/>
                <w:szCs w:val="20"/>
              </w:rPr>
            </w:pPr>
            <w:r>
              <w:rPr>
                <w:rFonts w:cs="Times New Roman"/>
                <w:sz w:val="20"/>
                <w:szCs w:val="20"/>
              </w:rPr>
              <w:t>2 M NaOH</w:t>
            </w:r>
          </w:p>
          <w:p w14:paraId="1B599EE3" w14:textId="77777777" w:rsidR="00B96A6E" w:rsidRDefault="00B96A6E" w:rsidP="004642FD">
            <w:pPr>
              <w:spacing w:line="240" w:lineRule="auto"/>
              <w:rPr>
                <w:rFonts w:cs="Times New Roman"/>
                <w:sz w:val="20"/>
                <w:szCs w:val="20"/>
              </w:rPr>
            </w:pPr>
            <w:r>
              <w:rPr>
                <w:rFonts w:cs="Times New Roman"/>
                <w:sz w:val="20"/>
                <w:szCs w:val="20"/>
              </w:rPr>
              <w:t>NaOCl 20%</w:t>
            </w:r>
          </w:p>
        </w:tc>
        <w:tc>
          <w:tcPr>
            <w:tcW w:w="1843" w:type="dxa"/>
          </w:tcPr>
          <w:p w14:paraId="58312EE0" w14:textId="77777777" w:rsidR="00B96A6E" w:rsidRDefault="00B96A6E" w:rsidP="004642FD">
            <w:pPr>
              <w:spacing w:line="240" w:lineRule="auto"/>
              <w:rPr>
                <w:rFonts w:cs="Times New Roman"/>
                <w:sz w:val="20"/>
                <w:szCs w:val="20"/>
              </w:rPr>
            </w:pPr>
            <w:r>
              <w:rPr>
                <w:rFonts w:cs="Times New Roman"/>
                <w:sz w:val="20"/>
                <w:szCs w:val="20"/>
              </w:rPr>
              <w:t xml:space="preserve">Tga20 mice, </w:t>
            </w:r>
          </w:p>
          <w:p w14:paraId="71E01AFE" w14:textId="77777777" w:rsidR="00B96A6E" w:rsidRDefault="00B96A6E" w:rsidP="004642FD">
            <w:pPr>
              <w:spacing w:line="240" w:lineRule="auto"/>
              <w:rPr>
                <w:rFonts w:cs="Times New Roman"/>
                <w:sz w:val="20"/>
                <w:szCs w:val="20"/>
              </w:rPr>
            </w:pPr>
            <w:r>
              <w:rPr>
                <w:rFonts w:cs="Times New Roman"/>
                <w:sz w:val="20"/>
                <w:szCs w:val="20"/>
              </w:rPr>
              <w:t xml:space="preserve">Tg20 mice </w:t>
            </w:r>
          </w:p>
          <w:p w14:paraId="3D787763" w14:textId="77777777" w:rsidR="00B96A6E" w:rsidRDefault="00B96A6E" w:rsidP="004642FD">
            <w:pPr>
              <w:spacing w:line="240" w:lineRule="auto"/>
              <w:rPr>
                <w:rFonts w:cs="Times New Roman"/>
                <w:sz w:val="20"/>
                <w:szCs w:val="20"/>
              </w:rPr>
            </w:pPr>
          </w:p>
          <w:p w14:paraId="5188E735" w14:textId="77777777" w:rsidR="00B96A6E" w:rsidRDefault="00B96A6E" w:rsidP="004642FD">
            <w:pPr>
              <w:spacing w:line="240" w:lineRule="auto"/>
              <w:rPr>
                <w:rFonts w:cs="Times New Roman"/>
                <w:sz w:val="20"/>
                <w:szCs w:val="20"/>
              </w:rPr>
            </w:pPr>
            <w:r>
              <w:rPr>
                <w:rFonts w:cs="Times New Roman"/>
                <w:sz w:val="20"/>
                <w:szCs w:val="20"/>
              </w:rPr>
              <w:t xml:space="preserve">SSBA </w:t>
            </w:r>
          </w:p>
          <w:p w14:paraId="0C1AB8B8" w14:textId="77777777" w:rsidR="00B96A6E" w:rsidRDefault="00B96A6E" w:rsidP="004642FD">
            <w:pPr>
              <w:spacing w:line="240" w:lineRule="auto"/>
              <w:rPr>
                <w:rFonts w:cs="Times New Roman"/>
                <w:sz w:val="20"/>
                <w:szCs w:val="20"/>
              </w:rPr>
            </w:pPr>
          </w:p>
        </w:tc>
      </w:tr>
      <w:tr w:rsidR="00B96A6E" w:rsidRPr="00DC46B1" w14:paraId="5F2E5562" w14:textId="77777777" w:rsidTr="00931EC4">
        <w:tc>
          <w:tcPr>
            <w:tcW w:w="1668" w:type="dxa"/>
          </w:tcPr>
          <w:p w14:paraId="76C5B7E3" w14:textId="2CEDCC1D" w:rsidR="00B96A6E" w:rsidRPr="00463842" w:rsidRDefault="00463842" w:rsidP="0076576E">
            <w:pPr>
              <w:spacing w:line="240" w:lineRule="auto"/>
              <w:rPr>
                <w:rFonts w:cs="Times New Roman"/>
                <w:sz w:val="20"/>
                <w:szCs w:val="20"/>
              </w:rPr>
            </w:pPr>
            <w:r w:rsidRPr="00B252E4">
              <w:rPr>
                <w:rFonts w:cs="Times New Roman"/>
                <w:sz w:val="20"/>
                <w:szCs w:val="20"/>
                <w:lang w:val="en"/>
              </w:rPr>
              <w:t xml:space="preserve">Fichet </w:t>
            </w:r>
            <w:r w:rsidR="00B301D6" w:rsidRPr="00B301D6">
              <w:rPr>
                <w:rFonts w:cs="Times New Roman"/>
                <w:i/>
                <w:sz w:val="20"/>
                <w:szCs w:val="20"/>
                <w:lang w:val="en"/>
              </w:rPr>
              <w:t>et al</w:t>
            </w:r>
            <w:r w:rsidRPr="00B252E4">
              <w:rPr>
                <w:rFonts w:cs="Times New Roman"/>
                <w:sz w:val="20"/>
                <w:szCs w:val="20"/>
                <w:lang w:val="en"/>
              </w:rPr>
              <w:t>,  2007,</w:t>
            </w:r>
            <w:r w:rsidR="00BB5588">
              <w:rPr>
                <w:rFonts w:cs="Times New Roman"/>
                <w:sz w:val="20"/>
                <w:szCs w:val="20"/>
                <w:lang w:val="en"/>
              </w:rPr>
              <w:fldChar w:fldCharType="begin"/>
            </w:r>
            <w:r w:rsidR="0076576E">
              <w:rPr>
                <w:rFonts w:cs="Times New Roman"/>
                <w:sz w:val="20"/>
                <w:szCs w:val="20"/>
                <w:lang w:val="en"/>
              </w:rPr>
              <w:instrText xml:space="preserve"> ADDIN EN.CITE &lt;EndNote&gt;&lt;Cite&gt;&lt;Author&gt;Fichet&lt;/Author&gt;&lt;Year&gt;2007&lt;/Year&gt;&lt;RecNum&gt;9730&lt;/RecNum&gt;&lt;DisplayText&gt;&lt;style face="superscript"&gt;175&lt;/style&gt;&lt;/DisplayText&gt;&lt;record&gt;&lt;rec-number&gt;9730&lt;/rec-number&gt;&lt;foreign-keys&gt;&lt;key app="EN" db-id="vrp0pptazv05wtesfz5vrzsj2p0rv09ttsa9" timestamp="1511786612" guid="2017d090-d6d8-4f51-8492-062c2f8d6138"&gt;9730&lt;/key&gt;&lt;/foreign-keys&gt;&lt;ref-type name="Journal Article"&gt;17&lt;/ref-type&gt;&lt;contributors&gt;&lt;authors&gt;&lt;author&gt;Fichet, G.&lt;/author&gt;&lt;author&gt;Antloga, K.&lt;/author&gt;&lt;author&gt;Comoy, E.&lt;/author&gt;&lt;author&gt;Deslys, J. P.&lt;/author&gt;&lt;author&gt;McDonnell, G.&lt;/author&gt;&lt;/authors&gt;&lt;/contributors&gt;&lt;titles&gt;&lt;title&gt;Prion inactivation using a new gaseous hydrogen peroxide sterilisation process&lt;/title&gt;&lt;secondary-title&gt;Journal of Hospital Infection&lt;/secondary-title&gt;&lt;/titles&gt;&lt;periodical&gt;&lt;full-title&gt;Journal of Hospital Infection&lt;/full-title&gt;&lt;/periodical&gt;&lt;pages&gt;278-286&lt;/pages&gt;&lt;volume&gt;67&lt;/volume&gt;&lt;keywords&gt;&lt;keyword&gt;$$CC_5_instrument decontamination&lt;/keyword&gt;&lt;keyword&gt;$$CJD relevant&lt;/keyword&gt;&lt;keyword&gt;$$5_instrument decontamination&lt;/keyword&gt;&lt;keyword&gt;$$references&lt;/keyword&gt;&lt;/keywords&gt;&lt;dates&gt;&lt;year&gt;2007&lt;/year&gt;&lt;/dates&gt;&lt;urls&gt;&lt;/urls&gt;&lt;/record&gt;&lt;/Cite&gt;&lt;/EndNote&gt;</w:instrText>
            </w:r>
            <w:r w:rsidR="00BB5588">
              <w:rPr>
                <w:rFonts w:cs="Times New Roman"/>
                <w:sz w:val="20"/>
                <w:szCs w:val="20"/>
                <w:lang w:val="en"/>
              </w:rPr>
              <w:fldChar w:fldCharType="separate"/>
            </w:r>
            <w:r w:rsidR="0076576E" w:rsidRPr="0076576E">
              <w:rPr>
                <w:rFonts w:cs="Times New Roman"/>
                <w:noProof/>
                <w:sz w:val="20"/>
                <w:szCs w:val="20"/>
                <w:vertAlign w:val="superscript"/>
                <w:lang w:val="en"/>
              </w:rPr>
              <w:t>175</w:t>
            </w:r>
            <w:r w:rsidR="00BB5588">
              <w:rPr>
                <w:rFonts w:cs="Times New Roman"/>
                <w:sz w:val="20"/>
                <w:szCs w:val="20"/>
                <w:lang w:val="en"/>
              </w:rPr>
              <w:fldChar w:fldCharType="end"/>
            </w:r>
          </w:p>
        </w:tc>
        <w:tc>
          <w:tcPr>
            <w:tcW w:w="1417" w:type="dxa"/>
          </w:tcPr>
          <w:p w14:paraId="1A2C812B" w14:textId="77777777" w:rsidR="00B96A6E" w:rsidRPr="00F1300C" w:rsidRDefault="00B96A6E" w:rsidP="004642FD">
            <w:pPr>
              <w:spacing w:line="240" w:lineRule="auto"/>
              <w:rPr>
                <w:rFonts w:cs="Times New Roman"/>
                <w:sz w:val="20"/>
                <w:szCs w:val="20"/>
              </w:rPr>
            </w:pPr>
            <w:r w:rsidRPr="00F1300C">
              <w:rPr>
                <w:rFonts w:cs="Times New Roman"/>
                <w:sz w:val="20"/>
                <w:szCs w:val="20"/>
              </w:rPr>
              <w:t>263K scrapie,</w:t>
            </w:r>
          </w:p>
          <w:p w14:paraId="38641248" w14:textId="77777777" w:rsidR="00B96A6E" w:rsidRPr="00F1300C" w:rsidRDefault="00B96A6E" w:rsidP="004642FD">
            <w:pPr>
              <w:spacing w:line="240" w:lineRule="auto"/>
              <w:rPr>
                <w:rFonts w:cs="Times New Roman"/>
                <w:sz w:val="20"/>
                <w:szCs w:val="20"/>
              </w:rPr>
            </w:pPr>
            <w:r w:rsidRPr="00F1300C">
              <w:rPr>
                <w:rFonts w:cs="Times New Roman"/>
                <w:sz w:val="20"/>
                <w:szCs w:val="20"/>
              </w:rPr>
              <w:t>6PB1 BSE,</w:t>
            </w:r>
          </w:p>
          <w:p w14:paraId="721E2ED1" w14:textId="77777777" w:rsidR="00B96A6E" w:rsidRPr="00F1300C" w:rsidRDefault="00B96A6E" w:rsidP="004642FD">
            <w:pPr>
              <w:spacing w:line="240" w:lineRule="auto"/>
              <w:rPr>
                <w:rFonts w:cs="Times New Roman"/>
                <w:sz w:val="20"/>
                <w:szCs w:val="20"/>
              </w:rPr>
            </w:pPr>
            <w:r w:rsidRPr="00F1300C">
              <w:rPr>
                <w:rFonts w:cs="Times New Roman"/>
                <w:sz w:val="20"/>
                <w:szCs w:val="20"/>
              </w:rPr>
              <w:t>TGB1 BSE</w:t>
            </w:r>
          </w:p>
        </w:tc>
        <w:tc>
          <w:tcPr>
            <w:tcW w:w="992" w:type="dxa"/>
          </w:tcPr>
          <w:p w14:paraId="0AF6FFE4" w14:textId="77777777" w:rsidR="00B96A6E" w:rsidRDefault="00B96A6E" w:rsidP="004642FD">
            <w:pPr>
              <w:spacing w:line="240" w:lineRule="auto"/>
              <w:rPr>
                <w:rFonts w:cs="Times New Roman"/>
                <w:sz w:val="20"/>
                <w:szCs w:val="20"/>
              </w:rPr>
            </w:pPr>
            <w:r>
              <w:rPr>
                <w:rFonts w:cs="Times New Roman"/>
                <w:sz w:val="20"/>
                <w:szCs w:val="20"/>
              </w:rPr>
              <w:t>BH (10%)</w:t>
            </w:r>
          </w:p>
        </w:tc>
        <w:tc>
          <w:tcPr>
            <w:tcW w:w="851" w:type="dxa"/>
          </w:tcPr>
          <w:p w14:paraId="40C379F6" w14:textId="77777777" w:rsidR="00B96A6E" w:rsidRDefault="00B96A6E" w:rsidP="004642FD">
            <w:pPr>
              <w:spacing w:line="240" w:lineRule="auto"/>
              <w:rPr>
                <w:rFonts w:cs="Times New Roman"/>
                <w:sz w:val="20"/>
                <w:szCs w:val="20"/>
              </w:rPr>
            </w:pPr>
            <w:r>
              <w:rPr>
                <w:rFonts w:cs="Times New Roman"/>
                <w:sz w:val="20"/>
                <w:szCs w:val="20"/>
              </w:rPr>
              <w:t>Wires</w:t>
            </w:r>
          </w:p>
        </w:tc>
        <w:tc>
          <w:tcPr>
            <w:tcW w:w="4536" w:type="dxa"/>
          </w:tcPr>
          <w:p w14:paraId="262AABAF"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6% liquid 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 xml:space="preserve">2, </w:t>
            </w:r>
            <w:r w:rsidRPr="001D1C67">
              <w:rPr>
                <w:rFonts w:cs="Times New Roman"/>
                <w:sz w:val="20"/>
                <w:szCs w:val="20"/>
                <w:lang w:val="pt-PT"/>
              </w:rPr>
              <w:t>20</w:t>
            </w:r>
            <w:r w:rsidRPr="001D1C67">
              <w:rPr>
                <w:rFonts w:cs="Times New Roman"/>
                <w:sz w:val="20"/>
                <w:szCs w:val="20"/>
                <w:vertAlign w:val="superscript"/>
                <w:lang w:val="pt-PT"/>
              </w:rPr>
              <w:t>°</w:t>
            </w:r>
            <w:r w:rsidRPr="001D1C67">
              <w:rPr>
                <w:rFonts w:cs="Times New Roman"/>
                <w:sz w:val="20"/>
                <w:szCs w:val="20"/>
                <w:lang w:val="pt-PT"/>
              </w:rPr>
              <w:t>C (60 mins)</w:t>
            </w:r>
          </w:p>
          <w:p w14:paraId="4E091FD5"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2mg/L gaseous 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 xml:space="preserve">2, </w:t>
            </w:r>
            <w:r w:rsidRPr="001D1C67">
              <w:rPr>
                <w:rFonts w:cs="Times New Roman"/>
                <w:sz w:val="20"/>
                <w:szCs w:val="20"/>
                <w:lang w:val="pt-PT"/>
              </w:rPr>
              <w:t>30</w:t>
            </w:r>
            <w:r w:rsidRPr="001D1C67">
              <w:rPr>
                <w:rFonts w:cs="Times New Roman"/>
                <w:sz w:val="20"/>
                <w:szCs w:val="20"/>
                <w:vertAlign w:val="superscript"/>
                <w:lang w:val="pt-PT"/>
              </w:rPr>
              <w:t>°</w:t>
            </w:r>
            <w:r w:rsidRPr="001D1C67">
              <w:rPr>
                <w:rFonts w:cs="Times New Roman"/>
                <w:sz w:val="20"/>
                <w:szCs w:val="20"/>
                <w:lang w:val="pt-PT"/>
              </w:rPr>
              <w:t>C (3 pulses)</w:t>
            </w:r>
          </w:p>
          <w:p w14:paraId="4F16FE40"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2mg/L gaseous 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 xml:space="preserve">2, </w:t>
            </w:r>
            <w:r w:rsidRPr="001D1C67">
              <w:rPr>
                <w:rFonts w:cs="Times New Roman"/>
                <w:sz w:val="20"/>
                <w:szCs w:val="20"/>
                <w:lang w:val="pt-PT"/>
              </w:rPr>
              <w:t>30</w:t>
            </w:r>
            <w:r w:rsidRPr="001D1C67">
              <w:rPr>
                <w:rFonts w:cs="Times New Roman"/>
                <w:sz w:val="20"/>
                <w:szCs w:val="20"/>
                <w:vertAlign w:val="superscript"/>
                <w:lang w:val="pt-PT"/>
              </w:rPr>
              <w:t>°</w:t>
            </w:r>
            <w:r w:rsidRPr="001D1C67">
              <w:rPr>
                <w:rFonts w:cs="Times New Roman"/>
                <w:sz w:val="20"/>
                <w:szCs w:val="20"/>
                <w:lang w:val="pt-PT"/>
              </w:rPr>
              <w:t>C (6 pulses)</w:t>
            </w:r>
          </w:p>
        </w:tc>
        <w:tc>
          <w:tcPr>
            <w:tcW w:w="1843" w:type="dxa"/>
          </w:tcPr>
          <w:p w14:paraId="4024CF37" w14:textId="77777777" w:rsidR="00B96A6E" w:rsidRDefault="00B96A6E" w:rsidP="004642FD">
            <w:pPr>
              <w:spacing w:line="240" w:lineRule="auto"/>
              <w:rPr>
                <w:rFonts w:cs="Times New Roman"/>
                <w:sz w:val="20"/>
                <w:szCs w:val="20"/>
              </w:rPr>
            </w:pPr>
            <w:r>
              <w:rPr>
                <w:rFonts w:cs="Times New Roman"/>
                <w:sz w:val="20"/>
                <w:szCs w:val="20"/>
              </w:rPr>
              <w:t>Animal, WB</w:t>
            </w:r>
          </w:p>
        </w:tc>
      </w:tr>
      <w:tr w:rsidR="00B96A6E" w:rsidRPr="00DC46B1" w14:paraId="357593FD" w14:textId="77777777" w:rsidTr="00931EC4">
        <w:tc>
          <w:tcPr>
            <w:tcW w:w="1668" w:type="dxa"/>
          </w:tcPr>
          <w:p w14:paraId="0F8E79BB" w14:textId="252F0F51" w:rsidR="00B96A6E" w:rsidRPr="00463842" w:rsidRDefault="00B96A6E" w:rsidP="0076576E">
            <w:pPr>
              <w:spacing w:line="240" w:lineRule="auto"/>
              <w:rPr>
                <w:rFonts w:cs="Times New Roman"/>
                <w:sz w:val="20"/>
                <w:szCs w:val="20"/>
              </w:rPr>
            </w:pPr>
            <w:r w:rsidRPr="00463842">
              <w:rPr>
                <w:rFonts w:cs="Times New Roman"/>
                <w:sz w:val="20"/>
                <w:szCs w:val="20"/>
              </w:rPr>
              <w:t>*</w:t>
            </w:r>
            <w:r w:rsidR="00463842" w:rsidRPr="00B252E4">
              <w:rPr>
                <w:rFonts w:cs="Times New Roman"/>
                <w:sz w:val="20"/>
                <w:szCs w:val="20"/>
                <w:lang w:val="en"/>
              </w:rPr>
              <w:t xml:space="preserve"> Herve </w:t>
            </w:r>
            <w:r w:rsidR="00B301D6" w:rsidRPr="00B301D6">
              <w:rPr>
                <w:rFonts w:cs="Times New Roman"/>
                <w:i/>
                <w:sz w:val="20"/>
                <w:szCs w:val="20"/>
                <w:lang w:val="en"/>
              </w:rPr>
              <w:t>et al</w:t>
            </w:r>
            <w:r w:rsidR="00463842" w:rsidRPr="00B252E4">
              <w:rPr>
                <w:rFonts w:cs="Times New Roman"/>
                <w:sz w:val="20"/>
                <w:szCs w:val="20"/>
                <w:lang w:val="en"/>
              </w:rPr>
              <w:t>,  2010a,</w:t>
            </w:r>
            <w:r w:rsidR="00BB5588">
              <w:rPr>
                <w:rFonts w:cs="Times New Roman"/>
                <w:sz w:val="20"/>
                <w:szCs w:val="20"/>
                <w:lang w:val="en"/>
              </w:rPr>
              <w:fldChar w:fldCharType="begin">
                <w:fldData xml:space="preserve">PEVuZE5vdGU+PENpdGU+PEF1dGhvcj5IZXJ2ZTwvQXV0aG9yPjxZZWFyPjIwMTA8L1llYXI+PFJl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==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PEVuZE5vdGU+PENpdGU+PEF1dGhvcj5IZXJ2ZTwvQXV0aG9yPjxZZWFyPjIwMTA8L1llYXI+PFJl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==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00BB5588">
              <w:rPr>
                <w:rFonts w:cs="Times New Roman"/>
                <w:sz w:val="20"/>
                <w:szCs w:val="20"/>
                <w:lang w:val="en"/>
              </w:rPr>
            </w:r>
            <w:r w:rsidR="00BB5588">
              <w:rPr>
                <w:rFonts w:cs="Times New Roman"/>
                <w:sz w:val="20"/>
                <w:szCs w:val="20"/>
                <w:lang w:val="en"/>
              </w:rPr>
              <w:fldChar w:fldCharType="separate"/>
            </w:r>
            <w:r w:rsidR="0076576E" w:rsidRPr="0076576E">
              <w:rPr>
                <w:rFonts w:cs="Times New Roman"/>
                <w:noProof/>
                <w:sz w:val="20"/>
                <w:szCs w:val="20"/>
                <w:vertAlign w:val="superscript"/>
                <w:lang w:val="en"/>
              </w:rPr>
              <w:t>176</w:t>
            </w:r>
            <w:r w:rsidR="00BB5588">
              <w:rPr>
                <w:rFonts w:cs="Times New Roman"/>
                <w:sz w:val="20"/>
                <w:szCs w:val="20"/>
                <w:lang w:val="en"/>
              </w:rPr>
              <w:fldChar w:fldCharType="end"/>
            </w:r>
          </w:p>
        </w:tc>
        <w:tc>
          <w:tcPr>
            <w:tcW w:w="1417" w:type="dxa"/>
          </w:tcPr>
          <w:p w14:paraId="67E0A857" w14:textId="77777777" w:rsidR="00B96A6E" w:rsidRDefault="00B96A6E" w:rsidP="004642FD">
            <w:pPr>
              <w:spacing w:line="240" w:lineRule="auto"/>
              <w:rPr>
                <w:rFonts w:cs="Times New Roman"/>
                <w:sz w:val="20"/>
                <w:szCs w:val="20"/>
              </w:rPr>
            </w:pPr>
            <w:r>
              <w:rPr>
                <w:rFonts w:cs="Times New Roman"/>
                <w:sz w:val="20"/>
                <w:szCs w:val="20"/>
              </w:rPr>
              <w:t>263K scrapie</w:t>
            </w:r>
          </w:p>
        </w:tc>
        <w:tc>
          <w:tcPr>
            <w:tcW w:w="992" w:type="dxa"/>
          </w:tcPr>
          <w:p w14:paraId="30A6EE4B" w14:textId="77777777" w:rsidR="00B96A6E" w:rsidRDefault="00B96A6E" w:rsidP="004642FD">
            <w:pPr>
              <w:spacing w:line="240" w:lineRule="auto"/>
              <w:rPr>
                <w:rFonts w:cs="Times New Roman"/>
                <w:sz w:val="20"/>
                <w:szCs w:val="20"/>
              </w:rPr>
            </w:pPr>
            <w:r>
              <w:rPr>
                <w:rFonts w:cs="Times New Roman"/>
                <w:sz w:val="20"/>
                <w:szCs w:val="20"/>
              </w:rPr>
              <w:t>NR</w:t>
            </w:r>
          </w:p>
        </w:tc>
        <w:tc>
          <w:tcPr>
            <w:tcW w:w="851" w:type="dxa"/>
          </w:tcPr>
          <w:p w14:paraId="0F10812D" w14:textId="77777777" w:rsidR="00B96A6E" w:rsidRDefault="00B96A6E" w:rsidP="004642FD">
            <w:pPr>
              <w:spacing w:line="240" w:lineRule="auto"/>
              <w:rPr>
                <w:rFonts w:cs="Times New Roman"/>
                <w:sz w:val="20"/>
                <w:szCs w:val="20"/>
              </w:rPr>
            </w:pPr>
            <w:r>
              <w:rPr>
                <w:rFonts w:cs="Times New Roman"/>
                <w:sz w:val="20"/>
                <w:szCs w:val="20"/>
              </w:rPr>
              <w:t>Wires</w:t>
            </w:r>
          </w:p>
        </w:tc>
        <w:tc>
          <w:tcPr>
            <w:tcW w:w="4536" w:type="dxa"/>
          </w:tcPr>
          <w:p w14:paraId="07384B3B" w14:textId="77777777" w:rsidR="00B96A6E" w:rsidRDefault="00B96A6E" w:rsidP="004642FD">
            <w:pPr>
              <w:spacing w:line="240" w:lineRule="auto"/>
              <w:rPr>
                <w:rFonts w:cs="Times New Roman"/>
                <w:sz w:val="20"/>
                <w:szCs w:val="20"/>
              </w:rPr>
            </w:pPr>
            <w:r>
              <w:rPr>
                <w:rFonts w:cs="Times New Roman"/>
                <w:sz w:val="20"/>
                <w:szCs w:val="20"/>
              </w:rPr>
              <w:t>Cold Atmospheric Plasma (CAP)</w:t>
            </w:r>
          </w:p>
        </w:tc>
        <w:tc>
          <w:tcPr>
            <w:tcW w:w="1843" w:type="dxa"/>
          </w:tcPr>
          <w:p w14:paraId="15AACC89" w14:textId="77777777" w:rsidR="00B96A6E" w:rsidRDefault="00B96A6E" w:rsidP="004642FD">
            <w:pPr>
              <w:spacing w:line="240" w:lineRule="auto"/>
              <w:rPr>
                <w:rFonts w:cs="Times New Roman"/>
                <w:sz w:val="20"/>
                <w:szCs w:val="20"/>
              </w:rPr>
            </w:pPr>
            <w:r>
              <w:rPr>
                <w:rFonts w:cs="Times New Roman"/>
                <w:sz w:val="20"/>
                <w:szCs w:val="20"/>
              </w:rPr>
              <w:t>Animal</w:t>
            </w:r>
          </w:p>
          <w:p w14:paraId="54755CCA" w14:textId="77777777" w:rsidR="00B96A6E" w:rsidRDefault="00B96A6E" w:rsidP="004642FD">
            <w:pPr>
              <w:spacing w:line="240" w:lineRule="auto"/>
              <w:rPr>
                <w:rFonts w:cs="Times New Roman"/>
                <w:sz w:val="20"/>
                <w:szCs w:val="20"/>
              </w:rPr>
            </w:pPr>
          </w:p>
        </w:tc>
      </w:tr>
      <w:tr w:rsidR="00B96A6E" w:rsidRPr="00DC46B1" w14:paraId="315648FD" w14:textId="77777777" w:rsidTr="00931EC4">
        <w:tc>
          <w:tcPr>
            <w:tcW w:w="1668" w:type="dxa"/>
          </w:tcPr>
          <w:p w14:paraId="7ABB2C3F" w14:textId="7951C68F" w:rsidR="00B96A6E" w:rsidRPr="00463842" w:rsidRDefault="00463842" w:rsidP="0076576E">
            <w:pPr>
              <w:spacing w:line="240" w:lineRule="auto"/>
              <w:rPr>
                <w:rFonts w:cs="Times New Roman"/>
                <w:sz w:val="20"/>
                <w:szCs w:val="20"/>
              </w:rPr>
            </w:pPr>
            <w:r w:rsidRPr="00B252E4">
              <w:rPr>
                <w:rFonts w:cs="Times New Roman"/>
                <w:sz w:val="20"/>
                <w:szCs w:val="20"/>
                <w:lang w:val="en"/>
              </w:rPr>
              <w:t xml:space="preserve">Herve </w:t>
            </w:r>
            <w:r w:rsidR="00B301D6" w:rsidRPr="00B301D6">
              <w:rPr>
                <w:rFonts w:cs="Times New Roman"/>
                <w:i/>
                <w:sz w:val="20"/>
                <w:szCs w:val="20"/>
                <w:lang w:val="en"/>
              </w:rPr>
              <w:t>et al</w:t>
            </w:r>
            <w:r w:rsidRPr="00B252E4">
              <w:rPr>
                <w:rFonts w:cs="Times New Roman"/>
                <w:sz w:val="20"/>
                <w:szCs w:val="20"/>
                <w:lang w:val="en"/>
              </w:rPr>
              <w:t>, 2010b,</w:t>
            </w:r>
            <w:r w:rsidR="00BB5588">
              <w:rPr>
                <w:rFonts w:cs="Times New Roman"/>
                <w:sz w:val="20"/>
                <w:szCs w:val="20"/>
                <w:lang w:val="en"/>
              </w:rPr>
              <w:fldChar w:fldCharType="begin"/>
            </w:r>
            <w:r w:rsidR="0076576E">
              <w:rPr>
                <w:rFonts w:cs="Times New Roman"/>
                <w:sz w:val="20"/>
                <w:szCs w:val="20"/>
                <w:lang w:val="en"/>
              </w:rPr>
              <w:instrText xml:space="preserve"> ADDIN EN.CITE &lt;EndNote&gt;&lt;Cite&gt;&lt;Author&gt;Herve&lt;/Author&gt;&lt;Year&gt;2013&lt;/Year&gt;&lt;RecNum&gt;8158&lt;/RecNum&gt;&lt;DisplayText&gt;&lt;style face="superscript"&gt;177&lt;/style&gt;&lt;/DisplayText&gt;&lt;record&gt;&lt;rec-number&gt;8158&lt;/rec-number&gt;&lt;foreign-keys&gt;&lt;key app="EN" db-id="vrp0pptazv05wtesfz5vrzsj2p0rv09ttsa9" timestamp="1506588735" guid="7917bccb-14b0-47c5-8c45-64caf8bd4aab"&gt;8158&lt;/key&gt;&lt;/foreign-keys&gt;&lt;ref-type name="Journal Article"&gt;17&lt;/ref-type&gt;&lt;contributors&gt;&lt;authors&gt;&lt;author&gt;Herve, R.&lt;/author&gt;&lt;author&gt;Keevil, C. W.&lt;/author&gt;&lt;/authors&gt;&lt;/contributors&gt;&lt;titles&gt;&lt;title&gt;Current limitations about the cleaning of luminal endoscopes&lt;/title&gt;&lt;secondary-title&gt;Journal of Hospital Infection&lt;/secondary-title&gt;&lt;/titles&gt;&lt;periodical&gt;&lt;full-title&gt;Journal of Hospital Infection&lt;/full-title&gt;&lt;/periodical&gt;&lt;pages&gt;22-29&lt;/pages&gt;&lt;volume&gt;83&lt;/volume&gt;&lt;number&gt;1&lt;/number&gt;&lt;keywords&gt;&lt;keyword&gt;$$CJD relevant&lt;/keyword&gt;&lt;keyword&gt;$$5_instrument decontamination&lt;/keyword&gt;&lt;keyword&gt;$$5_protein&lt;/keyword&gt;&lt;/keywords&gt;&lt;dates&gt;&lt;year&gt;2013&lt;/year&gt;&lt;pub-dates&gt;&lt;date&gt;Jan&lt;/date&gt;&lt;/pub-dates&gt;&lt;/dates&gt;&lt;isbn&gt;0195-6701&lt;/isbn&gt;&lt;accession-num&gt;WOS:000312394600003&lt;/accession-num&gt;&lt;urls&gt;&lt;related-urls&gt;&lt;url&gt;&amp;lt;Go to ISI&amp;gt;://WOS:000312394600003&lt;/url&gt;&lt;/related-urls&gt;&lt;/urls&gt;&lt;electronic-resource-num&gt;10.1016/j.jhin.2012.08.008&lt;/electronic-resource-num&gt;&lt;/record&gt;&lt;/Cite&gt;&lt;/EndNote&gt;</w:instrText>
            </w:r>
            <w:r w:rsidR="00BB5588">
              <w:rPr>
                <w:rFonts w:cs="Times New Roman"/>
                <w:sz w:val="20"/>
                <w:szCs w:val="20"/>
                <w:lang w:val="en"/>
              </w:rPr>
              <w:fldChar w:fldCharType="separate"/>
            </w:r>
            <w:r w:rsidR="0076576E" w:rsidRPr="0076576E">
              <w:rPr>
                <w:rFonts w:cs="Times New Roman"/>
                <w:noProof/>
                <w:sz w:val="20"/>
                <w:szCs w:val="20"/>
                <w:vertAlign w:val="superscript"/>
                <w:lang w:val="en"/>
              </w:rPr>
              <w:t>177</w:t>
            </w:r>
            <w:r w:rsidR="00BB5588">
              <w:rPr>
                <w:rFonts w:cs="Times New Roman"/>
                <w:sz w:val="20"/>
                <w:szCs w:val="20"/>
                <w:lang w:val="en"/>
              </w:rPr>
              <w:fldChar w:fldCharType="end"/>
            </w:r>
          </w:p>
        </w:tc>
        <w:tc>
          <w:tcPr>
            <w:tcW w:w="1417" w:type="dxa"/>
          </w:tcPr>
          <w:p w14:paraId="799D56D5" w14:textId="77777777" w:rsidR="00B96A6E" w:rsidRPr="00DC46B1" w:rsidRDefault="00B96A6E" w:rsidP="004642FD">
            <w:pPr>
              <w:spacing w:line="240" w:lineRule="auto"/>
              <w:rPr>
                <w:rFonts w:cs="Times New Roman"/>
                <w:sz w:val="20"/>
                <w:szCs w:val="20"/>
              </w:rPr>
            </w:pPr>
            <w:r>
              <w:rPr>
                <w:rFonts w:cs="Times New Roman"/>
                <w:sz w:val="20"/>
                <w:szCs w:val="20"/>
              </w:rPr>
              <w:t>ME7</w:t>
            </w:r>
          </w:p>
        </w:tc>
        <w:tc>
          <w:tcPr>
            <w:tcW w:w="992" w:type="dxa"/>
          </w:tcPr>
          <w:p w14:paraId="24192370" w14:textId="77777777" w:rsidR="00B96A6E" w:rsidRDefault="00B96A6E" w:rsidP="004642FD">
            <w:pPr>
              <w:spacing w:line="240" w:lineRule="auto"/>
              <w:rPr>
                <w:rFonts w:cs="Times New Roman"/>
                <w:sz w:val="20"/>
                <w:szCs w:val="20"/>
              </w:rPr>
            </w:pPr>
            <w:r>
              <w:rPr>
                <w:rFonts w:cs="Times New Roman"/>
                <w:sz w:val="20"/>
                <w:szCs w:val="20"/>
              </w:rPr>
              <w:t>BH</w:t>
            </w:r>
          </w:p>
          <w:p w14:paraId="7371557A" w14:textId="77777777" w:rsidR="00B96A6E" w:rsidRPr="00DC46B1" w:rsidRDefault="00B96A6E" w:rsidP="004642FD">
            <w:pPr>
              <w:spacing w:line="240" w:lineRule="auto"/>
              <w:rPr>
                <w:rFonts w:cs="Times New Roman"/>
                <w:sz w:val="20"/>
                <w:szCs w:val="20"/>
              </w:rPr>
            </w:pPr>
            <w:r>
              <w:rPr>
                <w:rFonts w:cs="Times New Roman"/>
                <w:sz w:val="20"/>
                <w:szCs w:val="20"/>
              </w:rPr>
              <w:t>(NR)</w:t>
            </w:r>
          </w:p>
        </w:tc>
        <w:tc>
          <w:tcPr>
            <w:tcW w:w="851" w:type="dxa"/>
          </w:tcPr>
          <w:p w14:paraId="5DE928B2" w14:textId="77777777" w:rsidR="00B96A6E" w:rsidRPr="00DC46B1" w:rsidRDefault="00B96A6E" w:rsidP="004642FD">
            <w:pPr>
              <w:spacing w:line="240" w:lineRule="auto"/>
              <w:rPr>
                <w:rFonts w:cs="Times New Roman"/>
                <w:sz w:val="20"/>
                <w:szCs w:val="20"/>
              </w:rPr>
            </w:pPr>
            <w:r>
              <w:rPr>
                <w:rFonts w:cs="Times New Roman"/>
                <w:sz w:val="20"/>
                <w:szCs w:val="20"/>
              </w:rPr>
              <w:t>Tokens</w:t>
            </w:r>
          </w:p>
        </w:tc>
        <w:tc>
          <w:tcPr>
            <w:tcW w:w="4536" w:type="dxa"/>
          </w:tcPr>
          <w:p w14:paraId="54CB2CC6" w14:textId="77777777" w:rsidR="00B96A6E" w:rsidRPr="00DC46B1" w:rsidRDefault="00B96A6E" w:rsidP="004642FD">
            <w:pPr>
              <w:spacing w:line="240" w:lineRule="auto"/>
              <w:rPr>
                <w:rFonts w:cs="Times New Roman"/>
                <w:sz w:val="20"/>
                <w:szCs w:val="20"/>
              </w:rPr>
            </w:pPr>
            <w:r>
              <w:rPr>
                <w:rFonts w:cs="Times New Roman"/>
                <w:sz w:val="20"/>
                <w:szCs w:val="20"/>
              </w:rPr>
              <w:t>Four unspecified enzyme cleaning products, commonly used in UK SSDs (43</w:t>
            </w:r>
            <w:r>
              <w:rPr>
                <w:rFonts w:cs="Times New Roman"/>
                <w:sz w:val="20"/>
                <w:szCs w:val="20"/>
                <w:vertAlign w:val="superscript"/>
              </w:rPr>
              <w:t>°</w:t>
            </w:r>
            <w:r>
              <w:rPr>
                <w:rFonts w:cs="Times New Roman"/>
                <w:sz w:val="20"/>
                <w:szCs w:val="20"/>
              </w:rPr>
              <w:t>C or 50</w:t>
            </w:r>
            <w:r>
              <w:rPr>
                <w:rFonts w:cs="Times New Roman"/>
                <w:sz w:val="20"/>
                <w:szCs w:val="20"/>
                <w:vertAlign w:val="superscript"/>
              </w:rPr>
              <w:t>°</w:t>
            </w:r>
            <w:r>
              <w:rPr>
                <w:rFonts w:cs="Times New Roman"/>
                <w:sz w:val="20"/>
                <w:szCs w:val="20"/>
              </w:rPr>
              <w:t>C for 5 mins)</w:t>
            </w:r>
          </w:p>
        </w:tc>
        <w:tc>
          <w:tcPr>
            <w:tcW w:w="1843" w:type="dxa"/>
          </w:tcPr>
          <w:p w14:paraId="1181884A" w14:textId="77777777" w:rsidR="00B96A6E" w:rsidRPr="00DC46B1" w:rsidRDefault="00B96A6E" w:rsidP="004642FD">
            <w:pPr>
              <w:spacing w:line="240" w:lineRule="auto"/>
              <w:rPr>
                <w:rFonts w:cs="Times New Roman"/>
                <w:sz w:val="20"/>
                <w:szCs w:val="20"/>
              </w:rPr>
            </w:pPr>
            <w:r>
              <w:rPr>
                <w:rFonts w:cs="Times New Roman"/>
                <w:sz w:val="20"/>
                <w:szCs w:val="20"/>
              </w:rPr>
              <w:t>EDIC/EF and WB</w:t>
            </w:r>
          </w:p>
        </w:tc>
      </w:tr>
      <w:tr w:rsidR="00B96A6E" w:rsidRPr="00DC46B1" w14:paraId="1508F372" w14:textId="77777777" w:rsidTr="00931EC4">
        <w:tc>
          <w:tcPr>
            <w:tcW w:w="1668" w:type="dxa"/>
          </w:tcPr>
          <w:p w14:paraId="563ADE09" w14:textId="0B3C7AFA" w:rsidR="00B96A6E" w:rsidRPr="00463842" w:rsidRDefault="00463842" w:rsidP="0076576E">
            <w:pPr>
              <w:spacing w:line="240" w:lineRule="auto"/>
              <w:rPr>
                <w:rFonts w:cs="Times New Roman"/>
                <w:sz w:val="20"/>
                <w:szCs w:val="20"/>
              </w:rPr>
            </w:pPr>
            <w:r w:rsidRPr="00B252E4">
              <w:rPr>
                <w:rFonts w:cs="Times New Roman"/>
                <w:sz w:val="20"/>
                <w:szCs w:val="20"/>
                <w:lang w:val="en"/>
              </w:rPr>
              <w:t xml:space="preserve">Howlin </w:t>
            </w:r>
            <w:r w:rsidR="00B301D6" w:rsidRPr="00B301D6">
              <w:rPr>
                <w:rFonts w:cs="Times New Roman"/>
                <w:i/>
                <w:sz w:val="20"/>
                <w:szCs w:val="20"/>
                <w:lang w:val="en"/>
              </w:rPr>
              <w:t>et al</w:t>
            </w:r>
            <w:r w:rsidRPr="00B252E4">
              <w:rPr>
                <w:rFonts w:cs="Times New Roman"/>
                <w:sz w:val="20"/>
                <w:szCs w:val="20"/>
                <w:lang w:val="en"/>
              </w:rPr>
              <w:t xml:space="preserve">, </w:t>
            </w:r>
            <w:r w:rsidR="00BB5588">
              <w:rPr>
                <w:rFonts w:cs="Times New Roman"/>
                <w:sz w:val="20"/>
                <w:szCs w:val="20"/>
                <w:lang w:val="e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00BB5588">
              <w:rPr>
                <w:rFonts w:cs="Times New Roman"/>
                <w:sz w:val="20"/>
                <w:szCs w:val="20"/>
                <w:lang w:val="en"/>
              </w:rPr>
            </w:r>
            <w:r w:rsidR="00BB5588">
              <w:rPr>
                <w:rFonts w:cs="Times New Roman"/>
                <w:sz w:val="20"/>
                <w:szCs w:val="20"/>
                <w:lang w:val="en"/>
              </w:rPr>
              <w:fldChar w:fldCharType="separate"/>
            </w:r>
            <w:r w:rsidR="0076576E" w:rsidRPr="0076576E">
              <w:rPr>
                <w:rFonts w:cs="Times New Roman"/>
                <w:noProof/>
                <w:sz w:val="20"/>
                <w:szCs w:val="20"/>
                <w:vertAlign w:val="superscript"/>
                <w:lang w:val="en"/>
              </w:rPr>
              <w:t>178</w:t>
            </w:r>
            <w:r w:rsidR="00BB5588">
              <w:rPr>
                <w:rFonts w:cs="Times New Roman"/>
                <w:sz w:val="20"/>
                <w:szCs w:val="20"/>
                <w:lang w:val="en"/>
              </w:rPr>
              <w:fldChar w:fldCharType="end"/>
            </w:r>
          </w:p>
        </w:tc>
        <w:tc>
          <w:tcPr>
            <w:tcW w:w="1417" w:type="dxa"/>
          </w:tcPr>
          <w:p w14:paraId="2B64EE17" w14:textId="77777777" w:rsidR="00B96A6E" w:rsidRPr="00DC46B1" w:rsidRDefault="00B96A6E" w:rsidP="004642FD">
            <w:pPr>
              <w:spacing w:line="240" w:lineRule="auto"/>
              <w:rPr>
                <w:rFonts w:cs="Times New Roman"/>
                <w:sz w:val="20"/>
                <w:szCs w:val="20"/>
              </w:rPr>
            </w:pPr>
            <w:r>
              <w:rPr>
                <w:rFonts w:cs="Times New Roman"/>
                <w:sz w:val="20"/>
                <w:szCs w:val="20"/>
              </w:rPr>
              <w:t>ME7</w:t>
            </w:r>
          </w:p>
        </w:tc>
        <w:tc>
          <w:tcPr>
            <w:tcW w:w="992" w:type="dxa"/>
          </w:tcPr>
          <w:p w14:paraId="5A0EB4A2" w14:textId="77777777" w:rsidR="00B96A6E" w:rsidRDefault="00B96A6E" w:rsidP="004642FD">
            <w:pPr>
              <w:spacing w:line="240" w:lineRule="auto"/>
              <w:rPr>
                <w:rFonts w:cs="Times New Roman"/>
                <w:sz w:val="20"/>
                <w:szCs w:val="20"/>
              </w:rPr>
            </w:pPr>
            <w:r>
              <w:rPr>
                <w:rFonts w:cs="Times New Roman"/>
                <w:sz w:val="20"/>
                <w:szCs w:val="20"/>
              </w:rPr>
              <w:t>BH</w:t>
            </w:r>
          </w:p>
          <w:p w14:paraId="0134813F" w14:textId="77777777" w:rsidR="00B96A6E" w:rsidRPr="00DC46B1" w:rsidRDefault="00B96A6E" w:rsidP="004642FD">
            <w:pPr>
              <w:spacing w:line="240" w:lineRule="auto"/>
              <w:rPr>
                <w:rFonts w:cs="Times New Roman"/>
                <w:sz w:val="20"/>
                <w:szCs w:val="20"/>
              </w:rPr>
            </w:pPr>
            <w:r>
              <w:rPr>
                <w:rFonts w:cs="Times New Roman"/>
                <w:sz w:val="20"/>
                <w:szCs w:val="20"/>
              </w:rPr>
              <w:t>(10%)</w:t>
            </w:r>
          </w:p>
        </w:tc>
        <w:tc>
          <w:tcPr>
            <w:tcW w:w="851" w:type="dxa"/>
          </w:tcPr>
          <w:p w14:paraId="564F11EC" w14:textId="77777777" w:rsidR="00B96A6E" w:rsidRPr="00DC46B1" w:rsidRDefault="00B96A6E" w:rsidP="004642FD">
            <w:pPr>
              <w:spacing w:line="240" w:lineRule="auto"/>
              <w:rPr>
                <w:rFonts w:cs="Times New Roman"/>
                <w:sz w:val="20"/>
                <w:szCs w:val="20"/>
              </w:rPr>
            </w:pPr>
            <w:r>
              <w:rPr>
                <w:rFonts w:cs="Times New Roman"/>
                <w:sz w:val="20"/>
                <w:szCs w:val="20"/>
              </w:rPr>
              <w:t>Wires</w:t>
            </w:r>
          </w:p>
        </w:tc>
        <w:tc>
          <w:tcPr>
            <w:tcW w:w="4536" w:type="dxa"/>
          </w:tcPr>
          <w:p w14:paraId="326F61E1" w14:textId="77777777" w:rsidR="00B96A6E" w:rsidRPr="00DC46B1" w:rsidRDefault="00B96A6E" w:rsidP="004642FD">
            <w:pPr>
              <w:spacing w:line="240" w:lineRule="auto"/>
              <w:rPr>
                <w:rFonts w:cs="Times New Roman"/>
                <w:sz w:val="20"/>
                <w:szCs w:val="20"/>
              </w:rPr>
            </w:pPr>
            <w:r>
              <w:rPr>
                <w:rFonts w:cs="Times New Roman"/>
                <w:sz w:val="20"/>
                <w:szCs w:val="20"/>
              </w:rPr>
              <w:t>Pre-soak, plus unspecified enzyme pre-treatment [containing proteases], plus alkaline detergent [includes potassium hydroxide] (HAMO100)</w:t>
            </w:r>
          </w:p>
        </w:tc>
        <w:tc>
          <w:tcPr>
            <w:tcW w:w="1843" w:type="dxa"/>
          </w:tcPr>
          <w:p w14:paraId="760ABD31" w14:textId="77777777" w:rsidR="00B96A6E" w:rsidRPr="00DC46B1" w:rsidRDefault="00B96A6E" w:rsidP="004642FD">
            <w:pPr>
              <w:spacing w:line="240" w:lineRule="auto"/>
              <w:rPr>
                <w:rFonts w:cs="Times New Roman"/>
                <w:sz w:val="20"/>
                <w:szCs w:val="20"/>
              </w:rPr>
            </w:pPr>
            <w:r>
              <w:rPr>
                <w:rFonts w:cs="Times New Roman"/>
                <w:sz w:val="20"/>
                <w:szCs w:val="20"/>
              </w:rPr>
              <w:t>EDIC/EF and WB</w:t>
            </w:r>
          </w:p>
        </w:tc>
      </w:tr>
      <w:tr w:rsidR="00B96A6E" w:rsidRPr="00DC46B1" w14:paraId="403F08D4" w14:textId="77777777" w:rsidTr="00931EC4">
        <w:tc>
          <w:tcPr>
            <w:tcW w:w="1668" w:type="dxa"/>
          </w:tcPr>
          <w:p w14:paraId="13700C72" w14:textId="01CCA85D" w:rsidR="00B96A6E" w:rsidRPr="00463842" w:rsidRDefault="00463842" w:rsidP="0076576E">
            <w:pPr>
              <w:spacing w:line="240" w:lineRule="auto"/>
              <w:rPr>
                <w:rFonts w:cs="Times New Roman"/>
                <w:sz w:val="20"/>
                <w:szCs w:val="20"/>
              </w:rPr>
            </w:pPr>
            <w:r w:rsidRPr="00B252E4">
              <w:rPr>
                <w:rFonts w:cs="Times New Roman"/>
                <w:sz w:val="20"/>
                <w:szCs w:val="20"/>
                <w:lang w:val="en"/>
              </w:rPr>
              <w:t xml:space="preserve">Lawson </w:t>
            </w:r>
            <w:r w:rsidR="00B301D6" w:rsidRPr="00B301D6">
              <w:rPr>
                <w:rFonts w:cs="Times New Roman"/>
                <w:i/>
                <w:sz w:val="20"/>
                <w:szCs w:val="20"/>
                <w:lang w:val="en"/>
              </w:rPr>
              <w:t>et al</w:t>
            </w:r>
            <w:r w:rsidRPr="00B252E4">
              <w:rPr>
                <w:rFonts w:cs="Times New Roman"/>
                <w:sz w:val="20"/>
                <w:szCs w:val="20"/>
                <w:lang w:val="en"/>
              </w:rPr>
              <w:t>, 2007</w:t>
            </w:r>
            <w:r w:rsidR="00BB5588">
              <w:rPr>
                <w:rFonts w:cs="Times New Roman"/>
                <w:sz w:val="20"/>
                <w:szCs w:val="20"/>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00BB5588">
              <w:rPr>
                <w:rFonts w:cs="Times New Roman"/>
                <w:sz w:val="20"/>
                <w:szCs w:val="20"/>
                <w:lang w:val="en"/>
              </w:rPr>
            </w:r>
            <w:r w:rsidR="00BB5588">
              <w:rPr>
                <w:rFonts w:cs="Times New Roman"/>
                <w:sz w:val="20"/>
                <w:szCs w:val="20"/>
                <w:lang w:val="en"/>
              </w:rPr>
              <w:fldChar w:fldCharType="separate"/>
            </w:r>
            <w:r w:rsidR="0076576E" w:rsidRPr="0076576E">
              <w:rPr>
                <w:rFonts w:cs="Times New Roman"/>
                <w:noProof/>
                <w:sz w:val="20"/>
                <w:szCs w:val="20"/>
                <w:vertAlign w:val="superscript"/>
                <w:lang w:val="en"/>
              </w:rPr>
              <w:t>172</w:t>
            </w:r>
            <w:r w:rsidR="00BB5588">
              <w:rPr>
                <w:rFonts w:cs="Times New Roman"/>
                <w:sz w:val="20"/>
                <w:szCs w:val="20"/>
                <w:lang w:val="en"/>
              </w:rPr>
              <w:fldChar w:fldCharType="end"/>
            </w:r>
          </w:p>
        </w:tc>
        <w:tc>
          <w:tcPr>
            <w:tcW w:w="1417" w:type="dxa"/>
          </w:tcPr>
          <w:p w14:paraId="4C9A3573" w14:textId="77777777" w:rsidR="00B96A6E" w:rsidRPr="00DC46B1" w:rsidRDefault="00B96A6E" w:rsidP="004642FD">
            <w:pPr>
              <w:spacing w:line="240" w:lineRule="auto"/>
              <w:rPr>
                <w:rFonts w:cs="Times New Roman"/>
                <w:sz w:val="20"/>
                <w:szCs w:val="20"/>
              </w:rPr>
            </w:pPr>
            <w:r>
              <w:rPr>
                <w:rFonts w:cs="Times New Roman"/>
                <w:sz w:val="20"/>
                <w:szCs w:val="20"/>
              </w:rPr>
              <w:t>M1000</w:t>
            </w:r>
          </w:p>
        </w:tc>
        <w:tc>
          <w:tcPr>
            <w:tcW w:w="992" w:type="dxa"/>
          </w:tcPr>
          <w:p w14:paraId="530153EB" w14:textId="77777777" w:rsidR="00B96A6E" w:rsidRDefault="00B96A6E" w:rsidP="004642FD">
            <w:pPr>
              <w:spacing w:line="240" w:lineRule="auto"/>
              <w:rPr>
                <w:rFonts w:cs="Times New Roman"/>
                <w:sz w:val="20"/>
                <w:szCs w:val="20"/>
              </w:rPr>
            </w:pPr>
            <w:r>
              <w:rPr>
                <w:rFonts w:cs="Times New Roman"/>
                <w:sz w:val="20"/>
                <w:szCs w:val="20"/>
              </w:rPr>
              <w:t>BH</w:t>
            </w:r>
          </w:p>
          <w:p w14:paraId="74FD41B9" w14:textId="77777777" w:rsidR="00B96A6E" w:rsidRPr="00DC46B1" w:rsidRDefault="00B96A6E" w:rsidP="004642FD">
            <w:pPr>
              <w:spacing w:line="240" w:lineRule="auto"/>
              <w:rPr>
                <w:rFonts w:cs="Times New Roman"/>
                <w:sz w:val="20"/>
                <w:szCs w:val="20"/>
              </w:rPr>
            </w:pPr>
            <w:r>
              <w:rPr>
                <w:rFonts w:cs="Times New Roman"/>
                <w:sz w:val="20"/>
                <w:szCs w:val="20"/>
              </w:rPr>
              <w:t>(10%)</w:t>
            </w:r>
          </w:p>
        </w:tc>
        <w:tc>
          <w:tcPr>
            <w:tcW w:w="851" w:type="dxa"/>
          </w:tcPr>
          <w:p w14:paraId="32CF50DE" w14:textId="77777777" w:rsidR="00B96A6E" w:rsidRPr="00DC46B1" w:rsidRDefault="00B96A6E" w:rsidP="004642FD">
            <w:pPr>
              <w:spacing w:line="240" w:lineRule="auto"/>
              <w:rPr>
                <w:rFonts w:cs="Times New Roman"/>
                <w:sz w:val="20"/>
                <w:szCs w:val="20"/>
              </w:rPr>
            </w:pPr>
            <w:r>
              <w:rPr>
                <w:rFonts w:cs="Times New Roman"/>
                <w:sz w:val="20"/>
                <w:szCs w:val="20"/>
              </w:rPr>
              <w:t>Wires</w:t>
            </w:r>
          </w:p>
        </w:tc>
        <w:tc>
          <w:tcPr>
            <w:tcW w:w="4536" w:type="dxa"/>
          </w:tcPr>
          <w:p w14:paraId="565E1576" w14:textId="77777777" w:rsidR="00B96A6E" w:rsidRDefault="00B96A6E" w:rsidP="004642FD">
            <w:pPr>
              <w:spacing w:line="240" w:lineRule="auto"/>
              <w:rPr>
                <w:rFonts w:cs="Times New Roman"/>
                <w:sz w:val="20"/>
                <w:szCs w:val="20"/>
              </w:rPr>
            </w:pPr>
            <w:r>
              <w:rPr>
                <w:rFonts w:cs="Times New Roman"/>
                <w:sz w:val="20"/>
                <w:szCs w:val="20"/>
              </w:rPr>
              <w:t>RMEC A (Enzymatic detergent)</w:t>
            </w:r>
          </w:p>
          <w:p w14:paraId="726A2E46" w14:textId="77777777" w:rsidR="00B96A6E" w:rsidRDefault="00B96A6E" w:rsidP="004642FD">
            <w:pPr>
              <w:spacing w:line="240" w:lineRule="auto"/>
              <w:rPr>
                <w:rFonts w:cs="Times New Roman"/>
                <w:sz w:val="20"/>
                <w:szCs w:val="20"/>
              </w:rPr>
            </w:pPr>
            <w:r>
              <w:rPr>
                <w:rFonts w:cs="Times New Roman"/>
                <w:sz w:val="20"/>
                <w:szCs w:val="20"/>
              </w:rPr>
              <w:t>RMEC B (Enzymatic detergent)</w:t>
            </w:r>
          </w:p>
          <w:p w14:paraId="6E7E2E89" w14:textId="77777777" w:rsidR="00B96A6E" w:rsidRPr="00DC46B1" w:rsidRDefault="00B96A6E" w:rsidP="004642FD">
            <w:pPr>
              <w:spacing w:line="240" w:lineRule="auto"/>
              <w:rPr>
                <w:rFonts w:cs="Times New Roman"/>
                <w:sz w:val="20"/>
                <w:szCs w:val="20"/>
              </w:rPr>
            </w:pPr>
            <w:r>
              <w:rPr>
                <w:rFonts w:cs="Times New Roman"/>
                <w:sz w:val="20"/>
                <w:szCs w:val="20"/>
              </w:rPr>
              <w:t>NaOH 1M - 60mins</w:t>
            </w:r>
          </w:p>
        </w:tc>
        <w:tc>
          <w:tcPr>
            <w:tcW w:w="1843" w:type="dxa"/>
          </w:tcPr>
          <w:p w14:paraId="79CC2864" w14:textId="77777777" w:rsidR="00B96A6E" w:rsidRDefault="00B96A6E" w:rsidP="004642FD">
            <w:pPr>
              <w:spacing w:line="240" w:lineRule="auto"/>
              <w:rPr>
                <w:rFonts w:cs="Times New Roman"/>
                <w:sz w:val="20"/>
                <w:szCs w:val="20"/>
              </w:rPr>
            </w:pPr>
            <w:r>
              <w:rPr>
                <w:rFonts w:cs="Times New Roman"/>
                <w:sz w:val="20"/>
                <w:szCs w:val="20"/>
              </w:rPr>
              <w:t>Tga20 mice</w:t>
            </w:r>
          </w:p>
          <w:p w14:paraId="28367074" w14:textId="77777777" w:rsidR="00B96A6E" w:rsidRDefault="00B96A6E" w:rsidP="004642FD">
            <w:pPr>
              <w:spacing w:line="240" w:lineRule="auto"/>
              <w:rPr>
                <w:rFonts w:cs="Times New Roman"/>
                <w:sz w:val="20"/>
                <w:szCs w:val="20"/>
              </w:rPr>
            </w:pPr>
          </w:p>
          <w:p w14:paraId="4B84C9D0" w14:textId="77777777" w:rsidR="00B96A6E" w:rsidRPr="00DC46B1" w:rsidRDefault="00B96A6E" w:rsidP="004642FD">
            <w:pPr>
              <w:spacing w:line="240" w:lineRule="auto"/>
              <w:rPr>
                <w:rFonts w:cs="Times New Roman"/>
                <w:sz w:val="20"/>
                <w:szCs w:val="20"/>
              </w:rPr>
            </w:pPr>
            <w:r>
              <w:rPr>
                <w:rFonts w:cs="Times New Roman"/>
                <w:sz w:val="20"/>
                <w:szCs w:val="20"/>
              </w:rPr>
              <w:t>WB</w:t>
            </w:r>
          </w:p>
        </w:tc>
      </w:tr>
      <w:tr w:rsidR="00B96A6E" w:rsidRPr="00DC46B1" w14:paraId="7AF73503" w14:textId="77777777" w:rsidTr="00931EC4">
        <w:tc>
          <w:tcPr>
            <w:tcW w:w="1668" w:type="dxa"/>
          </w:tcPr>
          <w:p w14:paraId="4D4285CE" w14:textId="235CC97F" w:rsidR="00B96A6E" w:rsidRPr="00463842" w:rsidRDefault="00463842" w:rsidP="0076576E">
            <w:pPr>
              <w:spacing w:line="240" w:lineRule="auto"/>
              <w:rPr>
                <w:rFonts w:cs="Times New Roman"/>
                <w:sz w:val="20"/>
                <w:szCs w:val="20"/>
              </w:rPr>
            </w:pPr>
            <w:r w:rsidRPr="00B252E4">
              <w:rPr>
                <w:rFonts w:cs="Times New Roman"/>
                <w:sz w:val="20"/>
                <w:szCs w:val="20"/>
                <w:lang w:val="en"/>
              </w:rPr>
              <w:t xml:space="preserve">Lehmann </w:t>
            </w:r>
            <w:r w:rsidR="00B301D6" w:rsidRPr="00B301D6">
              <w:rPr>
                <w:rFonts w:cs="Times New Roman"/>
                <w:i/>
                <w:sz w:val="20"/>
                <w:szCs w:val="20"/>
                <w:lang w:val="en"/>
              </w:rPr>
              <w:t>et al</w:t>
            </w:r>
            <w:r w:rsidRPr="00B252E4">
              <w:rPr>
                <w:rFonts w:cs="Times New Roman"/>
                <w:sz w:val="20"/>
                <w:szCs w:val="20"/>
                <w:lang w:val="en"/>
              </w:rPr>
              <w:t>, 2009,</w:t>
            </w:r>
            <w:r w:rsidR="00BB5588">
              <w:rPr>
                <w:rFonts w:cs="Times New Roman"/>
                <w:sz w:val="20"/>
                <w:szCs w:val="20"/>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00BB5588">
              <w:rPr>
                <w:rFonts w:cs="Times New Roman"/>
                <w:sz w:val="20"/>
                <w:szCs w:val="20"/>
                <w:lang w:val="en"/>
              </w:rPr>
            </w:r>
            <w:r w:rsidR="00BB5588">
              <w:rPr>
                <w:rFonts w:cs="Times New Roman"/>
                <w:sz w:val="20"/>
                <w:szCs w:val="20"/>
                <w:lang w:val="en"/>
              </w:rPr>
              <w:fldChar w:fldCharType="separate"/>
            </w:r>
            <w:r w:rsidR="0076576E" w:rsidRPr="0076576E">
              <w:rPr>
                <w:rFonts w:cs="Times New Roman"/>
                <w:noProof/>
                <w:sz w:val="20"/>
                <w:szCs w:val="20"/>
                <w:vertAlign w:val="superscript"/>
                <w:lang w:val="en"/>
              </w:rPr>
              <w:t>168</w:t>
            </w:r>
            <w:r w:rsidR="00BB5588">
              <w:rPr>
                <w:rFonts w:cs="Times New Roman"/>
                <w:sz w:val="20"/>
                <w:szCs w:val="20"/>
                <w:lang w:val="en"/>
              </w:rPr>
              <w:fldChar w:fldCharType="end"/>
            </w:r>
          </w:p>
        </w:tc>
        <w:tc>
          <w:tcPr>
            <w:tcW w:w="1417" w:type="dxa"/>
          </w:tcPr>
          <w:p w14:paraId="0C14130B" w14:textId="77777777" w:rsidR="00B96A6E" w:rsidRPr="00DC46B1" w:rsidRDefault="00B96A6E" w:rsidP="004642FD">
            <w:pPr>
              <w:spacing w:line="240" w:lineRule="auto"/>
              <w:rPr>
                <w:rFonts w:cs="Times New Roman"/>
                <w:sz w:val="20"/>
                <w:szCs w:val="20"/>
              </w:rPr>
            </w:pPr>
            <w:r>
              <w:rPr>
                <w:rFonts w:cs="Times New Roman"/>
                <w:sz w:val="20"/>
                <w:szCs w:val="20"/>
              </w:rPr>
              <w:t>263K scrapie</w:t>
            </w:r>
          </w:p>
        </w:tc>
        <w:tc>
          <w:tcPr>
            <w:tcW w:w="992" w:type="dxa"/>
          </w:tcPr>
          <w:p w14:paraId="792B535A" w14:textId="77777777" w:rsidR="00B96A6E" w:rsidRDefault="00B96A6E" w:rsidP="004642FD">
            <w:pPr>
              <w:spacing w:line="240" w:lineRule="auto"/>
              <w:rPr>
                <w:rFonts w:cs="Times New Roman"/>
                <w:sz w:val="20"/>
                <w:szCs w:val="20"/>
              </w:rPr>
            </w:pPr>
            <w:r>
              <w:rPr>
                <w:rFonts w:cs="Times New Roman"/>
                <w:sz w:val="20"/>
                <w:szCs w:val="20"/>
              </w:rPr>
              <w:t>BH</w:t>
            </w:r>
          </w:p>
          <w:p w14:paraId="0E29930B" w14:textId="77777777" w:rsidR="00B96A6E" w:rsidRPr="00DC46B1" w:rsidRDefault="00B96A6E" w:rsidP="004642FD">
            <w:pPr>
              <w:spacing w:line="240" w:lineRule="auto"/>
              <w:rPr>
                <w:rFonts w:cs="Times New Roman"/>
                <w:sz w:val="20"/>
                <w:szCs w:val="20"/>
              </w:rPr>
            </w:pPr>
            <w:r>
              <w:rPr>
                <w:rFonts w:cs="Times New Roman"/>
                <w:sz w:val="20"/>
                <w:szCs w:val="20"/>
              </w:rPr>
              <w:t>(10%)</w:t>
            </w:r>
          </w:p>
        </w:tc>
        <w:tc>
          <w:tcPr>
            <w:tcW w:w="851" w:type="dxa"/>
          </w:tcPr>
          <w:p w14:paraId="6BFABD53" w14:textId="77777777" w:rsidR="00B96A6E" w:rsidRPr="00DC46B1" w:rsidRDefault="00B96A6E" w:rsidP="004642FD">
            <w:pPr>
              <w:spacing w:line="240" w:lineRule="auto"/>
              <w:rPr>
                <w:rFonts w:cs="Times New Roman"/>
                <w:sz w:val="20"/>
                <w:szCs w:val="20"/>
              </w:rPr>
            </w:pPr>
            <w:r>
              <w:rPr>
                <w:rFonts w:cs="Times New Roman"/>
                <w:sz w:val="20"/>
                <w:szCs w:val="20"/>
              </w:rPr>
              <w:t>Wires</w:t>
            </w:r>
          </w:p>
        </w:tc>
        <w:tc>
          <w:tcPr>
            <w:tcW w:w="4536" w:type="dxa"/>
          </w:tcPr>
          <w:p w14:paraId="0D3DF910"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2</w:t>
            </w:r>
            <w:r w:rsidRPr="001D1C67">
              <w:rPr>
                <w:rFonts w:cs="Times New Roman"/>
                <w:sz w:val="20"/>
                <w:szCs w:val="20"/>
                <w:lang w:val="pt-PT"/>
              </w:rPr>
              <w:t xml:space="preserve"> (30 mins)</w:t>
            </w:r>
          </w:p>
          <w:p w14:paraId="1D88A179"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AF (10 mins)</w:t>
            </w:r>
          </w:p>
          <w:p w14:paraId="1DA75D73"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Np-Np- 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2</w:t>
            </w:r>
            <w:r w:rsidRPr="001D1C67">
              <w:rPr>
                <w:rFonts w:cs="Times New Roman"/>
                <w:sz w:val="20"/>
                <w:szCs w:val="20"/>
                <w:lang w:val="pt-PT"/>
              </w:rPr>
              <w:t>/Cu (10 mins – 5 mins – 15 mins)</w:t>
            </w:r>
          </w:p>
          <w:p w14:paraId="38B8CAFC"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Dp-Dp- 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2</w:t>
            </w:r>
            <w:r w:rsidRPr="001D1C67">
              <w:rPr>
                <w:rFonts w:cs="Times New Roman"/>
                <w:sz w:val="20"/>
                <w:szCs w:val="20"/>
                <w:lang w:val="pt-PT"/>
              </w:rPr>
              <w:t>/Cu (10 mins – 5 mins – 15 mins)</w:t>
            </w:r>
          </w:p>
          <w:p w14:paraId="245006F5"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Np-Dp- 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2</w:t>
            </w:r>
            <w:r w:rsidRPr="001D1C67">
              <w:rPr>
                <w:rFonts w:cs="Times New Roman"/>
                <w:sz w:val="20"/>
                <w:szCs w:val="20"/>
                <w:lang w:val="pt-PT"/>
              </w:rPr>
              <w:t>/Cu (10 mins – 5 mins – 15 mins)</w:t>
            </w:r>
          </w:p>
          <w:p w14:paraId="2D279D94" w14:textId="77777777" w:rsidR="00B96A6E" w:rsidRPr="00F1300C" w:rsidRDefault="00B96A6E" w:rsidP="004642FD">
            <w:pPr>
              <w:spacing w:line="240" w:lineRule="auto"/>
              <w:rPr>
                <w:rFonts w:cs="Times New Roman"/>
                <w:sz w:val="20"/>
                <w:szCs w:val="20"/>
              </w:rPr>
            </w:pPr>
            <w:r w:rsidRPr="00F1300C">
              <w:rPr>
                <w:rFonts w:cs="Times New Roman"/>
                <w:sz w:val="20"/>
                <w:szCs w:val="20"/>
              </w:rPr>
              <w:t>Nmp-Nmp- PAA/Cu (10 mins – 5 mins – 15 mins, 40</w:t>
            </w:r>
            <w:r w:rsidRPr="00F1300C">
              <w:rPr>
                <w:rFonts w:cs="Times New Roman"/>
                <w:sz w:val="20"/>
                <w:szCs w:val="20"/>
                <w:vertAlign w:val="superscript"/>
              </w:rPr>
              <w:t>°</w:t>
            </w:r>
            <w:r w:rsidRPr="00F1300C">
              <w:rPr>
                <w:rFonts w:cs="Times New Roman"/>
                <w:sz w:val="20"/>
                <w:szCs w:val="20"/>
              </w:rPr>
              <w:t>C)</w:t>
            </w:r>
          </w:p>
        </w:tc>
        <w:tc>
          <w:tcPr>
            <w:tcW w:w="1843" w:type="dxa"/>
          </w:tcPr>
          <w:p w14:paraId="63D4EF8F" w14:textId="77777777" w:rsidR="00B96A6E" w:rsidRPr="00DC46B1" w:rsidRDefault="00B96A6E" w:rsidP="004642FD">
            <w:pPr>
              <w:spacing w:line="240" w:lineRule="auto"/>
              <w:rPr>
                <w:rFonts w:cs="Times New Roman"/>
                <w:sz w:val="20"/>
                <w:szCs w:val="20"/>
              </w:rPr>
            </w:pPr>
            <w:r>
              <w:rPr>
                <w:rFonts w:cs="Times New Roman"/>
                <w:sz w:val="20"/>
                <w:szCs w:val="20"/>
              </w:rPr>
              <w:t>Hamsters</w:t>
            </w:r>
          </w:p>
        </w:tc>
      </w:tr>
      <w:tr w:rsidR="00B96A6E" w:rsidRPr="00DC46B1" w14:paraId="626BF0EB" w14:textId="77777777" w:rsidTr="00931EC4">
        <w:tc>
          <w:tcPr>
            <w:tcW w:w="1668" w:type="dxa"/>
          </w:tcPr>
          <w:p w14:paraId="78B99BCA" w14:textId="244179F2" w:rsidR="00B96A6E" w:rsidRPr="00463842" w:rsidRDefault="00463842" w:rsidP="0076576E">
            <w:pPr>
              <w:spacing w:line="240" w:lineRule="auto"/>
              <w:rPr>
                <w:rFonts w:cs="Times New Roman"/>
                <w:sz w:val="20"/>
                <w:szCs w:val="20"/>
              </w:rPr>
            </w:pPr>
            <w:r w:rsidRPr="00B252E4">
              <w:rPr>
                <w:rFonts w:cs="Times New Roman"/>
                <w:sz w:val="20"/>
                <w:szCs w:val="20"/>
                <w:lang w:val="en"/>
              </w:rPr>
              <w:t xml:space="preserve">Lemmer </w:t>
            </w:r>
            <w:r w:rsidR="00B301D6" w:rsidRPr="00B301D6">
              <w:rPr>
                <w:rFonts w:cs="Times New Roman"/>
                <w:i/>
                <w:sz w:val="20"/>
                <w:szCs w:val="20"/>
                <w:lang w:val="en"/>
              </w:rPr>
              <w:t>et al</w:t>
            </w:r>
            <w:r w:rsidRPr="00B252E4">
              <w:rPr>
                <w:rFonts w:cs="Times New Roman"/>
                <w:sz w:val="20"/>
                <w:szCs w:val="20"/>
                <w:lang w:val="en"/>
              </w:rPr>
              <w:t>, 2008,</w:t>
            </w:r>
            <w:r w:rsidR="00BB5588">
              <w:rPr>
                <w:rFonts w:cs="Times New Roman"/>
                <w:sz w:val="20"/>
                <w:szCs w:val="20"/>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00BB5588">
              <w:rPr>
                <w:rFonts w:cs="Times New Roman"/>
                <w:sz w:val="20"/>
                <w:szCs w:val="20"/>
                <w:lang w:val="en"/>
              </w:rPr>
            </w:r>
            <w:r w:rsidR="00BB5588">
              <w:rPr>
                <w:rFonts w:cs="Times New Roman"/>
                <w:sz w:val="20"/>
                <w:szCs w:val="20"/>
                <w:lang w:val="en"/>
              </w:rPr>
              <w:fldChar w:fldCharType="separate"/>
            </w:r>
            <w:r w:rsidR="0076576E" w:rsidRPr="0076576E">
              <w:rPr>
                <w:rFonts w:cs="Times New Roman"/>
                <w:noProof/>
                <w:sz w:val="20"/>
                <w:szCs w:val="20"/>
                <w:vertAlign w:val="superscript"/>
                <w:lang w:val="en"/>
              </w:rPr>
              <w:t>169</w:t>
            </w:r>
            <w:r w:rsidR="00BB5588">
              <w:rPr>
                <w:rFonts w:cs="Times New Roman"/>
                <w:sz w:val="20"/>
                <w:szCs w:val="20"/>
                <w:lang w:val="en"/>
              </w:rPr>
              <w:fldChar w:fldCharType="end"/>
            </w:r>
          </w:p>
        </w:tc>
        <w:tc>
          <w:tcPr>
            <w:tcW w:w="1417" w:type="dxa"/>
          </w:tcPr>
          <w:p w14:paraId="039A7D36" w14:textId="77777777" w:rsidR="00B96A6E" w:rsidRDefault="00B96A6E" w:rsidP="004642FD">
            <w:pPr>
              <w:spacing w:line="240" w:lineRule="auto"/>
              <w:rPr>
                <w:rFonts w:cs="Times New Roman"/>
                <w:sz w:val="20"/>
                <w:szCs w:val="20"/>
              </w:rPr>
            </w:pPr>
            <w:r>
              <w:rPr>
                <w:rFonts w:cs="Times New Roman"/>
                <w:sz w:val="20"/>
                <w:szCs w:val="20"/>
              </w:rPr>
              <w:t>263K scrapie</w:t>
            </w:r>
          </w:p>
        </w:tc>
        <w:tc>
          <w:tcPr>
            <w:tcW w:w="992" w:type="dxa"/>
          </w:tcPr>
          <w:p w14:paraId="58C23896" w14:textId="77777777" w:rsidR="00B96A6E" w:rsidRDefault="00B96A6E" w:rsidP="004642FD">
            <w:pPr>
              <w:spacing w:line="240" w:lineRule="auto"/>
              <w:rPr>
                <w:rFonts w:cs="Times New Roman"/>
                <w:sz w:val="20"/>
                <w:szCs w:val="20"/>
              </w:rPr>
            </w:pPr>
            <w:r>
              <w:rPr>
                <w:rFonts w:cs="Times New Roman"/>
                <w:sz w:val="20"/>
                <w:szCs w:val="20"/>
              </w:rPr>
              <w:t>BH</w:t>
            </w:r>
          </w:p>
          <w:p w14:paraId="2E01C6A2" w14:textId="77777777" w:rsidR="00B96A6E" w:rsidRDefault="00B96A6E" w:rsidP="004642FD">
            <w:pPr>
              <w:spacing w:line="240" w:lineRule="auto"/>
              <w:rPr>
                <w:rFonts w:cs="Times New Roman"/>
                <w:sz w:val="20"/>
                <w:szCs w:val="20"/>
              </w:rPr>
            </w:pPr>
            <w:r>
              <w:rPr>
                <w:rFonts w:cs="Times New Roman"/>
                <w:sz w:val="20"/>
                <w:szCs w:val="20"/>
              </w:rPr>
              <w:t>(10%)</w:t>
            </w:r>
          </w:p>
        </w:tc>
        <w:tc>
          <w:tcPr>
            <w:tcW w:w="851" w:type="dxa"/>
          </w:tcPr>
          <w:p w14:paraId="152DFD29" w14:textId="77777777" w:rsidR="00B96A6E" w:rsidRDefault="00B96A6E" w:rsidP="004642FD">
            <w:pPr>
              <w:spacing w:line="240" w:lineRule="auto"/>
              <w:rPr>
                <w:rFonts w:cs="Times New Roman"/>
                <w:sz w:val="20"/>
                <w:szCs w:val="20"/>
              </w:rPr>
            </w:pPr>
            <w:r>
              <w:rPr>
                <w:rFonts w:cs="Times New Roman"/>
                <w:sz w:val="20"/>
                <w:szCs w:val="20"/>
              </w:rPr>
              <w:t>Wires</w:t>
            </w:r>
          </w:p>
        </w:tc>
        <w:tc>
          <w:tcPr>
            <w:tcW w:w="4536" w:type="dxa"/>
          </w:tcPr>
          <w:p w14:paraId="2055CC3D" w14:textId="77777777" w:rsidR="00B96A6E" w:rsidRDefault="00B96A6E" w:rsidP="004642FD">
            <w:pPr>
              <w:spacing w:line="240" w:lineRule="auto"/>
              <w:rPr>
                <w:rFonts w:cs="Times New Roman"/>
                <w:sz w:val="20"/>
                <w:szCs w:val="20"/>
              </w:rPr>
            </w:pPr>
            <w:r>
              <w:rPr>
                <w:rFonts w:cs="Times New Roman"/>
                <w:sz w:val="20"/>
                <w:szCs w:val="20"/>
              </w:rPr>
              <w:t>NaOH 1.0 M (60 mins 23</w:t>
            </w:r>
            <w:r>
              <w:rPr>
                <w:rFonts w:cs="Times New Roman"/>
                <w:sz w:val="20"/>
                <w:szCs w:val="20"/>
                <w:vertAlign w:val="superscript"/>
              </w:rPr>
              <w:t>°</w:t>
            </w:r>
            <w:r>
              <w:rPr>
                <w:rFonts w:cs="Times New Roman"/>
                <w:sz w:val="20"/>
                <w:szCs w:val="20"/>
              </w:rPr>
              <w:t>C)</w:t>
            </w:r>
          </w:p>
          <w:p w14:paraId="1688F86F" w14:textId="77777777" w:rsidR="00B96A6E" w:rsidRDefault="00B96A6E" w:rsidP="004642FD">
            <w:pPr>
              <w:spacing w:line="240" w:lineRule="auto"/>
              <w:rPr>
                <w:rFonts w:cs="Times New Roman"/>
                <w:sz w:val="20"/>
                <w:szCs w:val="20"/>
              </w:rPr>
            </w:pPr>
            <w:r>
              <w:rPr>
                <w:rFonts w:cs="Times New Roman"/>
                <w:sz w:val="20"/>
                <w:szCs w:val="20"/>
              </w:rPr>
              <w:t>NaOCl  2.5% (60 mins 23</w:t>
            </w:r>
            <w:r>
              <w:rPr>
                <w:rFonts w:cs="Times New Roman"/>
                <w:sz w:val="20"/>
                <w:szCs w:val="20"/>
                <w:vertAlign w:val="superscript"/>
              </w:rPr>
              <w:t>°</w:t>
            </w:r>
            <w:r>
              <w:rPr>
                <w:rFonts w:cs="Times New Roman"/>
                <w:sz w:val="20"/>
                <w:szCs w:val="20"/>
              </w:rPr>
              <w:t>C)</w:t>
            </w:r>
          </w:p>
          <w:p w14:paraId="1FAF7D9D" w14:textId="77777777" w:rsidR="00B96A6E" w:rsidRDefault="00B96A6E" w:rsidP="004642FD">
            <w:pPr>
              <w:spacing w:line="240" w:lineRule="auto"/>
              <w:rPr>
                <w:rFonts w:cs="Times New Roman"/>
                <w:sz w:val="20"/>
                <w:szCs w:val="20"/>
              </w:rPr>
            </w:pPr>
            <w:r>
              <w:rPr>
                <w:rFonts w:cs="Times New Roman"/>
                <w:sz w:val="20"/>
                <w:szCs w:val="20"/>
              </w:rPr>
              <w:t>Alkaline cleaner 0.5% and 1% (5/10 mins 55</w:t>
            </w:r>
            <w:r>
              <w:rPr>
                <w:rFonts w:cs="Times New Roman"/>
                <w:sz w:val="20"/>
                <w:szCs w:val="20"/>
                <w:vertAlign w:val="superscript"/>
              </w:rPr>
              <w:t>°</w:t>
            </w:r>
            <w:r>
              <w:rPr>
                <w:rFonts w:cs="Times New Roman"/>
                <w:sz w:val="20"/>
                <w:szCs w:val="20"/>
              </w:rPr>
              <w:t>C)</w:t>
            </w:r>
          </w:p>
          <w:p w14:paraId="2A72A7DC" w14:textId="77777777" w:rsidR="00B96A6E" w:rsidRDefault="00B96A6E" w:rsidP="004642FD">
            <w:pPr>
              <w:spacing w:line="240" w:lineRule="auto"/>
              <w:rPr>
                <w:rFonts w:cs="Times New Roman"/>
                <w:sz w:val="20"/>
                <w:szCs w:val="20"/>
              </w:rPr>
            </w:pPr>
            <w:r>
              <w:rPr>
                <w:rFonts w:cs="Times New Roman"/>
                <w:sz w:val="20"/>
                <w:szCs w:val="20"/>
              </w:rPr>
              <w:t>SDS 0.2% /NaOH 0.3% (5/10 mins 23</w:t>
            </w:r>
            <w:r>
              <w:rPr>
                <w:rFonts w:cs="Times New Roman"/>
                <w:sz w:val="20"/>
                <w:szCs w:val="20"/>
                <w:vertAlign w:val="superscript"/>
              </w:rPr>
              <w:t>°</w:t>
            </w:r>
            <w:r>
              <w:rPr>
                <w:rFonts w:cs="Times New Roman"/>
                <w:sz w:val="20"/>
                <w:szCs w:val="20"/>
              </w:rPr>
              <w:t>C)</w:t>
            </w:r>
          </w:p>
          <w:p w14:paraId="0B9E62C4" w14:textId="77777777" w:rsidR="00B96A6E" w:rsidRDefault="00B96A6E" w:rsidP="004642FD">
            <w:pPr>
              <w:spacing w:line="240" w:lineRule="auto"/>
              <w:rPr>
                <w:rFonts w:cs="Times New Roman"/>
                <w:sz w:val="20"/>
                <w:szCs w:val="20"/>
              </w:rPr>
            </w:pPr>
            <w:r>
              <w:rPr>
                <w:rFonts w:cs="Times New Roman"/>
                <w:sz w:val="20"/>
                <w:szCs w:val="20"/>
              </w:rPr>
              <w:t>Disinfectant with PAA 0.2% / NaOH 0.075-0.225% (120 mins 23</w:t>
            </w:r>
            <w:r>
              <w:rPr>
                <w:rFonts w:cs="Times New Roman"/>
                <w:sz w:val="20"/>
                <w:szCs w:val="20"/>
                <w:vertAlign w:val="superscript"/>
              </w:rPr>
              <w:t>°</w:t>
            </w:r>
            <w:r>
              <w:rPr>
                <w:rFonts w:cs="Times New Roman"/>
                <w:sz w:val="20"/>
                <w:szCs w:val="20"/>
              </w:rPr>
              <w:t>C)</w:t>
            </w:r>
          </w:p>
        </w:tc>
        <w:tc>
          <w:tcPr>
            <w:tcW w:w="1843" w:type="dxa"/>
          </w:tcPr>
          <w:p w14:paraId="563FA363" w14:textId="77777777" w:rsidR="00B96A6E" w:rsidRDefault="00B96A6E" w:rsidP="004642FD">
            <w:pPr>
              <w:spacing w:line="240" w:lineRule="auto"/>
              <w:rPr>
                <w:rFonts w:cs="Times New Roman"/>
                <w:sz w:val="20"/>
                <w:szCs w:val="20"/>
              </w:rPr>
            </w:pPr>
            <w:r>
              <w:rPr>
                <w:rFonts w:cs="Times New Roman"/>
                <w:sz w:val="20"/>
                <w:szCs w:val="20"/>
              </w:rPr>
              <w:t>Hamsters</w:t>
            </w:r>
          </w:p>
        </w:tc>
      </w:tr>
      <w:tr w:rsidR="00B96A6E" w:rsidRPr="00DC46B1" w14:paraId="4FA0B97B" w14:textId="77777777" w:rsidTr="00931EC4">
        <w:tc>
          <w:tcPr>
            <w:tcW w:w="1668" w:type="dxa"/>
          </w:tcPr>
          <w:p w14:paraId="62064D0C" w14:textId="2D92049E" w:rsidR="00B96A6E" w:rsidRPr="00463842" w:rsidRDefault="00463842" w:rsidP="0076576E">
            <w:pPr>
              <w:spacing w:line="240" w:lineRule="auto"/>
              <w:rPr>
                <w:rFonts w:cs="Times New Roman"/>
                <w:sz w:val="20"/>
                <w:szCs w:val="20"/>
              </w:rPr>
            </w:pPr>
            <w:r w:rsidRPr="00B252E4">
              <w:rPr>
                <w:rFonts w:cs="Times New Roman"/>
                <w:sz w:val="20"/>
                <w:szCs w:val="20"/>
                <w:lang w:val="en"/>
              </w:rPr>
              <w:t xml:space="preserve">Rogez-Kreuz </w:t>
            </w:r>
            <w:r w:rsidR="00B301D6" w:rsidRPr="00B301D6">
              <w:rPr>
                <w:rFonts w:cs="Times New Roman"/>
                <w:i/>
                <w:sz w:val="20"/>
                <w:szCs w:val="20"/>
                <w:lang w:val="en"/>
              </w:rPr>
              <w:t>et al</w:t>
            </w:r>
            <w:r w:rsidRPr="00B252E4">
              <w:rPr>
                <w:rFonts w:cs="Times New Roman"/>
                <w:sz w:val="20"/>
                <w:szCs w:val="20"/>
                <w:lang w:val="en"/>
              </w:rPr>
              <w:t>, 2009</w:t>
            </w:r>
            <w:r w:rsidR="00BB5588">
              <w:rPr>
                <w:rFonts w:cs="Times New Roman"/>
                <w:sz w:val="20"/>
                <w:szCs w:val="20"/>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sidR="00BB5588">
              <w:rPr>
                <w:rFonts w:cs="Times New Roman"/>
                <w:sz w:val="20"/>
                <w:szCs w:val="20"/>
                <w:lang w:val="en"/>
              </w:rPr>
            </w:r>
            <w:r w:rsidR="00BB5588">
              <w:rPr>
                <w:rFonts w:cs="Times New Roman"/>
                <w:sz w:val="20"/>
                <w:szCs w:val="20"/>
                <w:lang w:val="en"/>
              </w:rPr>
              <w:fldChar w:fldCharType="separate"/>
            </w:r>
            <w:r w:rsidR="0076576E" w:rsidRPr="0076576E">
              <w:rPr>
                <w:rFonts w:cs="Times New Roman"/>
                <w:noProof/>
                <w:sz w:val="20"/>
                <w:szCs w:val="20"/>
                <w:vertAlign w:val="superscript"/>
                <w:lang w:val="en"/>
              </w:rPr>
              <w:t>170</w:t>
            </w:r>
            <w:r w:rsidR="00BB5588">
              <w:rPr>
                <w:rFonts w:cs="Times New Roman"/>
                <w:sz w:val="20"/>
                <w:szCs w:val="20"/>
                <w:lang w:val="en"/>
              </w:rPr>
              <w:fldChar w:fldCharType="end"/>
            </w:r>
          </w:p>
        </w:tc>
        <w:tc>
          <w:tcPr>
            <w:tcW w:w="1417" w:type="dxa"/>
          </w:tcPr>
          <w:p w14:paraId="26C6B1DB" w14:textId="77777777" w:rsidR="00B96A6E" w:rsidRPr="001D1C67" w:rsidRDefault="00B96A6E" w:rsidP="004642FD">
            <w:pPr>
              <w:spacing w:line="240" w:lineRule="auto"/>
              <w:rPr>
                <w:rFonts w:cs="Times New Roman"/>
                <w:sz w:val="20"/>
                <w:szCs w:val="20"/>
                <w:lang w:val="nl-NL"/>
              </w:rPr>
            </w:pPr>
            <w:r w:rsidRPr="001D1C67">
              <w:rPr>
                <w:rFonts w:cs="Times New Roman"/>
                <w:sz w:val="20"/>
                <w:szCs w:val="20"/>
                <w:lang w:val="nl-NL"/>
              </w:rPr>
              <w:t xml:space="preserve">263K scrapie, vCJD†, </w:t>
            </w:r>
          </w:p>
          <w:p w14:paraId="2FA1F900" w14:textId="77777777" w:rsidR="00B96A6E" w:rsidRPr="001D1C67" w:rsidRDefault="00B96A6E" w:rsidP="004642FD">
            <w:pPr>
              <w:spacing w:line="240" w:lineRule="auto"/>
              <w:rPr>
                <w:rFonts w:cs="Times New Roman"/>
                <w:sz w:val="20"/>
                <w:szCs w:val="20"/>
                <w:lang w:val="nl-NL"/>
              </w:rPr>
            </w:pPr>
            <w:r w:rsidRPr="001D1C67">
              <w:rPr>
                <w:rFonts w:cs="Times New Roman"/>
                <w:sz w:val="20"/>
                <w:szCs w:val="20"/>
                <w:lang w:val="nl-NL"/>
              </w:rPr>
              <w:t>BSE 6PB1†</w:t>
            </w:r>
          </w:p>
        </w:tc>
        <w:tc>
          <w:tcPr>
            <w:tcW w:w="992" w:type="dxa"/>
          </w:tcPr>
          <w:p w14:paraId="73DA31B0" w14:textId="77777777" w:rsidR="00B96A6E" w:rsidRDefault="00B96A6E" w:rsidP="004642FD">
            <w:pPr>
              <w:spacing w:line="240" w:lineRule="auto"/>
              <w:rPr>
                <w:rFonts w:cs="Times New Roman"/>
                <w:sz w:val="20"/>
                <w:szCs w:val="20"/>
              </w:rPr>
            </w:pPr>
            <w:r>
              <w:rPr>
                <w:rFonts w:cs="Times New Roman"/>
                <w:sz w:val="20"/>
                <w:szCs w:val="20"/>
              </w:rPr>
              <w:t>BH</w:t>
            </w:r>
          </w:p>
          <w:p w14:paraId="14B13217" w14:textId="77777777" w:rsidR="00B96A6E" w:rsidRDefault="00B96A6E" w:rsidP="004642FD">
            <w:pPr>
              <w:spacing w:line="240" w:lineRule="auto"/>
              <w:rPr>
                <w:rFonts w:cs="Times New Roman"/>
                <w:sz w:val="20"/>
                <w:szCs w:val="20"/>
              </w:rPr>
            </w:pPr>
            <w:r>
              <w:rPr>
                <w:rFonts w:cs="Times New Roman"/>
                <w:sz w:val="20"/>
                <w:szCs w:val="20"/>
              </w:rPr>
              <w:t>(10% or 20%)</w:t>
            </w:r>
          </w:p>
        </w:tc>
        <w:tc>
          <w:tcPr>
            <w:tcW w:w="851" w:type="dxa"/>
          </w:tcPr>
          <w:p w14:paraId="6CDB4749" w14:textId="77777777" w:rsidR="00B96A6E" w:rsidRDefault="00B96A6E" w:rsidP="004642FD">
            <w:pPr>
              <w:spacing w:line="240" w:lineRule="auto"/>
              <w:rPr>
                <w:rFonts w:cs="Times New Roman"/>
                <w:sz w:val="20"/>
                <w:szCs w:val="20"/>
              </w:rPr>
            </w:pPr>
            <w:r>
              <w:rPr>
                <w:rFonts w:cs="Times New Roman"/>
                <w:sz w:val="20"/>
                <w:szCs w:val="20"/>
              </w:rPr>
              <w:t xml:space="preserve">Wires, sheets† </w:t>
            </w:r>
          </w:p>
        </w:tc>
        <w:tc>
          <w:tcPr>
            <w:tcW w:w="4536" w:type="dxa"/>
          </w:tcPr>
          <w:p w14:paraId="334ABECC"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NaOH 1N (60mins)</w:t>
            </w:r>
          </w:p>
          <w:p w14:paraId="55865493" w14:textId="77777777" w:rsidR="00B96A6E" w:rsidRPr="001D1C67" w:rsidRDefault="00B96A6E" w:rsidP="004642FD">
            <w:pPr>
              <w:spacing w:line="240" w:lineRule="auto"/>
              <w:rPr>
                <w:rFonts w:cs="Times New Roman"/>
                <w:sz w:val="20"/>
                <w:szCs w:val="20"/>
                <w:lang w:val="pt-PT"/>
              </w:rPr>
            </w:pPr>
            <w:r w:rsidRPr="001D1C67">
              <w:rPr>
                <w:rFonts w:cs="Times New Roman"/>
                <w:sz w:val="20"/>
                <w:szCs w:val="20"/>
                <w:lang w:val="pt-PT"/>
              </w:rPr>
              <w:t>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2</w:t>
            </w:r>
            <w:r w:rsidRPr="001D1C67">
              <w:rPr>
                <w:rFonts w:cs="Times New Roman"/>
                <w:sz w:val="20"/>
                <w:szCs w:val="20"/>
                <w:lang w:val="pt-PT"/>
              </w:rPr>
              <w:t xml:space="preserve"> (10 mins, 20 mins)</w:t>
            </w:r>
          </w:p>
          <w:p w14:paraId="1D677BA6" w14:textId="77777777" w:rsidR="00B96A6E" w:rsidRDefault="00B96A6E" w:rsidP="004642FD">
            <w:pPr>
              <w:spacing w:line="240" w:lineRule="auto"/>
              <w:rPr>
                <w:rFonts w:cs="Times New Roman"/>
                <w:sz w:val="20"/>
                <w:szCs w:val="20"/>
              </w:rPr>
            </w:pPr>
            <w:r>
              <w:rPr>
                <w:rFonts w:cs="Times New Roman"/>
                <w:sz w:val="20"/>
                <w:szCs w:val="20"/>
              </w:rPr>
              <w:t>Enzymatic detergent 2% (10 mins, 37</w:t>
            </w:r>
            <w:r>
              <w:rPr>
                <w:rFonts w:cs="Times New Roman"/>
                <w:sz w:val="20"/>
                <w:szCs w:val="20"/>
                <w:vertAlign w:val="superscript"/>
              </w:rPr>
              <w:t>°</w:t>
            </w:r>
            <w:r>
              <w:rPr>
                <w:rFonts w:cs="Times New Roman"/>
                <w:sz w:val="20"/>
                <w:szCs w:val="20"/>
              </w:rPr>
              <w:t>C)</w:t>
            </w:r>
          </w:p>
          <w:p w14:paraId="25FF4687" w14:textId="77777777" w:rsidR="00B96A6E" w:rsidRDefault="00B96A6E" w:rsidP="004642FD">
            <w:pPr>
              <w:spacing w:line="240" w:lineRule="auto"/>
              <w:rPr>
                <w:rFonts w:cs="Times New Roman"/>
                <w:sz w:val="20"/>
                <w:szCs w:val="20"/>
              </w:rPr>
            </w:pPr>
            <w:r>
              <w:rPr>
                <w:rFonts w:cs="Times New Roman"/>
                <w:sz w:val="20"/>
                <w:szCs w:val="20"/>
              </w:rPr>
              <w:t>Alkaline detergents A 1% (10 mins 70</w:t>
            </w:r>
            <w:r>
              <w:rPr>
                <w:rFonts w:cs="Times New Roman"/>
                <w:sz w:val="20"/>
                <w:szCs w:val="20"/>
                <w:vertAlign w:val="superscript"/>
              </w:rPr>
              <w:t>°</w:t>
            </w:r>
            <w:r>
              <w:rPr>
                <w:rFonts w:cs="Times New Roman"/>
                <w:sz w:val="20"/>
                <w:szCs w:val="20"/>
              </w:rPr>
              <w:t>C)</w:t>
            </w:r>
          </w:p>
          <w:p w14:paraId="4D417DDC" w14:textId="77777777" w:rsidR="00B96A6E" w:rsidRDefault="00B96A6E" w:rsidP="004642FD">
            <w:pPr>
              <w:spacing w:line="240" w:lineRule="auto"/>
              <w:rPr>
                <w:rFonts w:cs="Times New Roman"/>
                <w:sz w:val="20"/>
                <w:szCs w:val="20"/>
              </w:rPr>
            </w:pPr>
            <w:r>
              <w:rPr>
                <w:rFonts w:cs="Times New Roman"/>
                <w:sz w:val="20"/>
                <w:szCs w:val="20"/>
              </w:rPr>
              <w:t>Alkaline detergents B 1% (10 mins 55</w:t>
            </w:r>
            <w:r>
              <w:rPr>
                <w:rFonts w:cs="Times New Roman"/>
                <w:sz w:val="20"/>
                <w:szCs w:val="20"/>
                <w:vertAlign w:val="superscript"/>
              </w:rPr>
              <w:t>°</w:t>
            </w:r>
            <w:r>
              <w:rPr>
                <w:rFonts w:cs="Times New Roman"/>
                <w:sz w:val="20"/>
                <w:szCs w:val="20"/>
              </w:rPr>
              <w:t>C)</w:t>
            </w:r>
          </w:p>
        </w:tc>
        <w:tc>
          <w:tcPr>
            <w:tcW w:w="1843" w:type="dxa"/>
          </w:tcPr>
          <w:p w14:paraId="64865270" w14:textId="4E24FF0D" w:rsidR="00B96A6E" w:rsidRDefault="00B96A6E" w:rsidP="004642FD">
            <w:pPr>
              <w:spacing w:line="240" w:lineRule="auto"/>
              <w:rPr>
                <w:rFonts w:cs="Times New Roman"/>
                <w:sz w:val="20"/>
                <w:szCs w:val="20"/>
              </w:rPr>
            </w:pPr>
            <w:r>
              <w:rPr>
                <w:rFonts w:cs="Times New Roman"/>
                <w:sz w:val="20"/>
                <w:szCs w:val="20"/>
              </w:rPr>
              <w:t>Hamsters</w:t>
            </w:r>
          </w:p>
          <w:p w14:paraId="101573A6" w14:textId="77777777" w:rsidR="00B96A6E" w:rsidRDefault="00B96A6E" w:rsidP="004642FD">
            <w:pPr>
              <w:spacing w:line="240" w:lineRule="auto"/>
              <w:rPr>
                <w:rFonts w:cs="Times New Roman"/>
                <w:sz w:val="20"/>
                <w:szCs w:val="20"/>
              </w:rPr>
            </w:pPr>
          </w:p>
          <w:p w14:paraId="22025C6E" w14:textId="7C5982BD" w:rsidR="00B96A6E" w:rsidRDefault="00B96A6E" w:rsidP="004642FD">
            <w:pPr>
              <w:spacing w:line="240" w:lineRule="auto"/>
              <w:rPr>
                <w:rFonts w:cs="Times New Roman"/>
                <w:sz w:val="20"/>
                <w:szCs w:val="20"/>
              </w:rPr>
            </w:pPr>
            <w:r>
              <w:rPr>
                <w:rFonts w:cs="Times New Roman"/>
                <w:sz w:val="20"/>
                <w:szCs w:val="20"/>
              </w:rPr>
              <w:t>WB</w:t>
            </w:r>
          </w:p>
        </w:tc>
      </w:tr>
    </w:tbl>
    <w:p w14:paraId="0A911B18" w14:textId="77777777" w:rsidR="00BD14CD" w:rsidRPr="00BD14CD" w:rsidRDefault="00BD14CD" w:rsidP="004642FD">
      <w:pPr>
        <w:spacing w:line="240" w:lineRule="auto"/>
        <w:rPr>
          <w:rFonts w:eastAsia="Calibri" w:cs="Times New Roman"/>
          <w:sz w:val="16"/>
          <w:szCs w:val="16"/>
        </w:rPr>
      </w:pPr>
      <w:r w:rsidRPr="00BD14CD">
        <w:rPr>
          <w:rFonts w:eastAsia="Calibri" w:cs="Times New Roman"/>
          <w:sz w:val="16"/>
          <w:szCs w:val="16"/>
        </w:rPr>
        <w:t xml:space="preserve">BH: Brain homogenate; PMCA: protein misfolding cyclic amplification; NaOH: Sodium Hydroxide; NaOCI: Sodium Hypochlorite; SDS: Sodium dodecyl sulfate; RT: Room temperature; SSBA: Standard Steel Binding Assay; RMEC: Rapid Multi Enzyme Cleaner trial formulation; w/v: weight/volume; </w:t>
      </w:r>
      <w:r w:rsidRPr="00BD14CD">
        <w:rPr>
          <w:rFonts w:eastAsia="Calibri" w:cs="Times New Roman"/>
          <w:sz w:val="16"/>
          <w:szCs w:val="16"/>
          <w:lang w:val="en"/>
        </w:rPr>
        <w:t xml:space="preserve">AF (alkaline detergent, surfactants, chelatant); </w:t>
      </w:r>
      <w:r w:rsidRPr="00BD14CD">
        <w:rPr>
          <w:rFonts w:eastAsia="Calibri" w:cs="Times New Roman"/>
          <w:sz w:val="16"/>
          <w:szCs w:val="16"/>
        </w:rPr>
        <w:t>H</w:t>
      </w:r>
      <w:r w:rsidRPr="00BD14CD">
        <w:rPr>
          <w:rFonts w:eastAsia="Calibri" w:cs="Times New Roman"/>
          <w:sz w:val="16"/>
          <w:szCs w:val="16"/>
          <w:vertAlign w:val="subscript"/>
        </w:rPr>
        <w:t>2</w:t>
      </w:r>
      <w:r w:rsidRPr="00BD14CD">
        <w:rPr>
          <w:rFonts w:eastAsia="Calibri" w:cs="Times New Roman"/>
          <w:sz w:val="16"/>
          <w:szCs w:val="16"/>
        </w:rPr>
        <w:t>O</w:t>
      </w:r>
      <w:r w:rsidRPr="00BD14CD">
        <w:rPr>
          <w:rFonts w:eastAsia="Calibri" w:cs="Times New Roman"/>
          <w:sz w:val="16"/>
          <w:szCs w:val="16"/>
          <w:vertAlign w:val="subscript"/>
        </w:rPr>
        <w:t xml:space="preserve">2: </w:t>
      </w:r>
      <w:r w:rsidRPr="00BD14CD">
        <w:rPr>
          <w:rFonts w:eastAsia="Calibri" w:cs="Times New Roman"/>
          <w:sz w:val="16"/>
          <w:szCs w:val="16"/>
        </w:rPr>
        <w:t>Hydrogen peroxide; EDIC/EF: Episcopic Differential Interference Contrast/Epifluorescence; WB: Western blot; SSDs: Sterile Service Departments; NR: Not reported</w:t>
      </w:r>
    </w:p>
    <w:p w14:paraId="7BC92156" w14:textId="77777777" w:rsidR="00BD14CD" w:rsidRPr="00BD14CD" w:rsidRDefault="00BD14CD" w:rsidP="004642FD">
      <w:pPr>
        <w:spacing w:line="240" w:lineRule="auto"/>
        <w:rPr>
          <w:rFonts w:eastAsia="Calibri" w:cs="Times New Roman"/>
          <w:sz w:val="16"/>
          <w:szCs w:val="16"/>
        </w:rPr>
      </w:pPr>
      <w:r w:rsidRPr="00BD14CD">
        <w:rPr>
          <w:rFonts w:eastAsia="Calibri" w:cs="Times New Roman"/>
          <w:sz w:val="16"/>
          <w:szCs w:val="16"/>
        </w:rPr>
        <w:t>†In vitro only</w:t>
      </w:r>
    </w:p>
    <w:p w14:paraId="6E10D43B" w14:textId="77777777" w:rsidR="00BD14CD" w:rsidRPr="00BD14CD" w:rsidRDefault="00BD14CD" w:rsidP="00BD14CD">
      <w:pPr>
        <w:spacing w:after="200" w:line="276" w:lineRule="auto"/>
        <w:rPr>
          <w:rFonts w:eastAsia="Calibri" w:cs="Times New Roman"/>
          <w:sz w:val="16"/>
          <w:szCs w:val="16"/>
        </w:rPr>
      </w:pPr>
    </w:p>
    <w:p w14:paraId="60B74480" w14:textId="77777777" w:rsidR="004642FD" w:rsidRDefault="004642FD">
      <w:pPr>
        <w:spacing w:after="160" w:line="259" w:lineRule="auto"/>
        <w:rPr>
          <w:b/>
          <w:iCs/>
          <w:szCs w:val="18"/>
        </w:rPr>
      </w:pPr>
      <w:bookmarkStart w:id="69" w:name="_Ref508886649"/>
      <w:r>
        <w:br w:type="page"/>
      </w:r>
    </w:p>
    <w:p w14:paraId="47434369" w14:textId="50EE0D0C" w:rsidR="00BD14CD" w:rsidRDefault="00BD14CD" w:rsidP="004642FD">
      <w:pPr>
        <w:pStyle w:val="Caption"/>
        <w:keepNext/>
        <w:spacing w:line="360" w:lineRule="auto"/>
      </w:pPr>
      <w:bookmarkStart w:id="70" w:name="_Toc525106702"/>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15</w:t>
      </w:r>
      <w:r w:rsidR="00F62DB8">
        <w:rPr>
          <w:noProof/>
        </w:rPr>
        <w:fldChar w:fldCharType="end"/>
      </w:r>
      <w:bookmarkEnd w:id="69"/>
      <w:r>
        <w:t>:</w:t>
      </w:r>
      <w:r w:rsidR="004642FD">
        <w:tab/>
      </w:r>
      <w:r w:rsidRPr="001044F2">
        <w:t>Results of studies reporting log reductions in prion contamination on steel surfaces by processes other than autoclaving</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134"/>
        <w:gridCol w:w="3969"/>
        <w:gridCol w:w="1417"/>
        <w:gridCol w:w="1418"/>
        <w:gridCol w:w="1701"/>
        <w:gridCol w:w="2615"/>
      </w:tblGrid>
      <w:tr w:rsidR="0005344C" w:rsidRPr="00A81FA5" w14:paraId="5C147373" w14:textId="77777777" w:rsidTr="00931EC4">
        <w:trPr>
          <w:trHeight w:val="470"/>
          <w:tblHeader/>
        </w:trPr>
        <w:tc>
          <w:tcPr>
            <w:tcW w:w="1733" w:type="dxa"/>
          </w:tcPr>
          <w:p w14:paraId="7E94B3F1" w14:textId="77777777" w:rsidR="0005344C" w:rsidRPr="00A81FA5" w:rsidRDefault="0005344C" w:rsidP="004642FD">
            <w:pPr>
              <w:spacing w:line="240" w:lineRule="auto"/>
              <w:rPr>
                <w:rFonts w:cs="Times New Roman"/>
                <w:b/>
                <w:sz w:val="20"/>
                <w:szCs w:val="20"/>
              </w:rPr>
            </w:pPr>
            <w:r w:rsidRPr="00A81FA5">
              <w:rPr>
                <w:rFonts w:cs="Times New Roman"/>
                <w:b/>
                <w:sz w:val="20"/>
                <w:szCs w:val="20"/>
              </w:rPr>
              <w:t>Study</w:t>
            </w:r>
          </w:p>
        </w:tc>
        <w:tc>
          <w:tcPr>
            <w:tcW w:w="1134" w:type="dxa"/>
          </w:tcPr>
          <w:p w14:paraId="29C8128C" w14:textId="77777777" w:rsidR="0005344C" w:rsidRPr="00A81FA5" w:rsidRDefault="0005344C" w:rsidP="004642FD">
            <w:pPr>
              <w:spacing w:line="240" w:lineRule="auto"/>
              <w:rPr>
                <w:rFonts w:cs="Times New Roman"/>
                <w:b/>
                <w:sz w:val="20"/>
                <w:szCs w:val="20"/>
              </w:rPr>
            </w:pPr>
            <w:r w:rsidRPr="00A81FA5">
              <w:rPr>
                <w:rFonts w:cs="Times New Roman"/>
                <w:b/>
                <w:sz w:val="20"/>
                <w:szCs w:val="20"/>
              </w:rPr>
              <w:t>Prion strain</w:t>
            </w:r>
          </w:p>
        </w:tc>
        <w:tc>
          <w:tcPr>
            <w:tcW w:w="3969" w:type="dxa"/>
          </w:tcPr>
          <w:p w14:paraId="7B7C5135" w14:textId="77777777" w:rsidR="0005344C" w:rsidRPr="00A81FA5" w:rsidRDefault="0005344C" w:rsidP="004642FD">
            <w:pPr>
              <w:spacing w:line="240" w:lineRule="auto"/>
              <w:jc w:val="center"/>
              <w:rPr>
                <w:rFonts w:cs="Times New Roman"/>
                <w:b/>
                <w:sz w:val="20"/>
                <w:szCs w:val="20"/>
              </w:rPr>
            </w:pPr>
            <w:r w:rsidRPr="00A81FA5">
              <w:rPr>
                <w:rFonts w:cs="Times New Roman"/>
                <w:b/>
                <w:sz w:val="20"/>
                <w:szCs w:val="20"/>
              </w:rPr>
              <w:t>Decontamination methods</w:t>
            </w:r>
          </w:p>
        </w:tc>
        <w:tc>
          <w:tcPr>
            <w:tcW w:w="1417" w:type="dxa"/>
          </w:tcPr>
          <w:p w14:paraId="6B4461FA" w14:textId="77777777" w:rsidR="0005344C" w:rsidRPr="00A81FA5" w:rsidRDefault="0005344C" w:rsidP="004642FD">
            <w:pPr>
              <w:spacing w:line="240" w:lineRule="auto"/>
              <w:rPr>
                <w:rFonts w:cs="Times New Roman"/>
                <w:b/>
                <w:sz w:val="20"/>
                <w:szCs w:val="20"/>
              </w:rPr>
            </w:pPr>
            <w:r w:rsidRPr="00A81FA5">
              <w:rPr>
                <w:rFonts w:cs="Times New Roman"/>
                <w:b/>
                <w:sz w:val="20"/>
                <w:szCs w:val="20"/>
              </w:rPr>
              <w:t>Log reduction</w:t>
            </w:r>
          </w:p>
        </w:tc>
        <w:tc>
          <w:tcPr>
            <w:tcW w:w="1418" w:type="dxa"/>
          </w:tcPr>
          <w:p w14:paraId="396F9A19" w14:textId="77777777" w:rsidR="0005344C" w:rsidRPr="00A81FA5" w:rsidRDefault="0005344C" w:rsidP="004642FD">
            <w:pPr>
              <w:spacing w:line="240" w:lineRule="auto"/>
              <w:rPr>
                <w:rFonts w:cs="Times New Roman"/>
                <w:b/>
                <w:sz w:val="20"/>
                <w:szCs w:val="20"/>
              </w:rPr>
            </w:pPr>
            <w:r w:rsidRPr="00A81FA5">
              <w:rPr>
                <w:rFonts w:cs="Times New Roman"/>
                <w:b/>
                <w:sz w:val="20"/>
                <w:szCs w:val="20"/>
              </w:rPr>
              <w:t>Transmission rate</w:t>
            </w:r>
          </w:p>
        </w:tc>
        <w:tc>
          <w:tcPr>
            <w:tcW w:w="1701" w:type="dxa"/>
          </w:tcPr>
          <w:p w14:paraId="097788AD" w14:textId="77777777" w:rsidR="0005344C" w:rsidRPr="00A81FA5" w:rsidRDefault="0005344C" w:rsidP="004642FD">
            <w:pPr>
              <w:spacing w:line="240" w:lineRule="auto"/>
              <w:rPr>
                <w:rFonts w:cs="Times New Roman"/>
                <w:b/>
                <w:sz w:val="20"/>
                <w:szCs w:val="20"/>
              </w:rPr>
            </w:pPr>
            <w:r w:rsidRPr="00A81FA5">
              <w:rPr>
                <w:rFonts w:cs="Times New Roman"/>
                <w:b/>
                <w:sz w:val="20"/>
                <w:szCs w:val="20"/>
              </w:rPr>
              <w:t>Incubation period days (SD)</w:t>
            </w:r>
          </w:p>
        </w:tc>
        <w:tc>
          <w:tcPr>
            <w:tcW w:w="2615" w:type="dxa"/>
          </w:tcPr>
          <w:p w14:paraId="49C31549" w14:textId="77777777" w:rsidR="0005344C" w:rsidRPr="00A81FA5" w:rsidRDefault="0005344C" w:rsidP="004642FD">
            <w:pPr>
              <w:spacing w:line="240" w:lineRule="auto"/>
              <w:rPr>
                <w:rFonts w:cs="Times New Roman"/>
                <w:b/>
                <w:sz w:val="20"/>
                <w:szCs w:val="20"/>
              </w:rPr>
            </w:pPr>
            <w:r w:rsidRPr="00A81FA5">
              <w:rPr>
                <w:rFonts w:cs="Times New Roman"/>
                <w:b/>
                <w:sz w:val="20"/>
                <w:szCs w:val="20"/>
              </w:rPr>
              <w:t>Other (e.g. TICU</w:t>
            </w:r>
            <w:r w:rsidRPr="00A81FA5">
              <w:rPr>
                <w:rFonts w:cs="Times New Roman"/>
                <w:b/>
                <w:sz w:val="20"/>
                <w:szCs w:val="20"/>
                <w:vertAlign w:val="subscript"/>
              </w:rPr>
              <w:t>w</w:t>
            </w:r>
            <w:r w:rsidRPr="00A278A2">
              <w:rPr>
                <w:rFonts w:cs="Times New Roman"/>
                <w:b/>
                <w:sz w:val="20"/>
                <w:szCs w:val="20"/>
              </w:rPr>
              <w:t>)</w:t>
            </w:r>
          </w:p>
        </w:tc>
      </w:tr>
      <w:tr w:rsidR="00B252E4" w:rsidRPr="00971F99" w14:paraId="4FA7BB52" w14:textId="77777777" w:rsidTr="00931EC4">
        <w:tc>
          <w:tcPr>
            <w:tcW w:w="1733" w:type="dxa"/>
            <w:vMerge w:val="restart"/>
          </w:tcPr>
          <w:p w14:paraId="179DEC21" w14:textId="593573E1" w:rsidR="00B252E4" w:rsidRPr="00635EC5" w:rsidRDefault="00B252E4" w:rsidP="0076576E">
            <w:pPr>
              <w:spacing w:line="240" w:lineRule="auto"/>
              <w:rPr>
                <w:rFonts w:cs="Times New Roman"/>
                <w:sz w:val="20"/>
                <w:szCs w:val="20"/>
              </w:rPr>
            </w:pPr>
            <w:r w:rsidRPr="007E546A">
              <w:rPr>
                <w:rFonts w:cs="Times New Roman"/>
                <w:sz w:val="20"/>
                <w:szCs w:val="20"/>
                <w:lang w:val="en"/>
              </w:rPr>
              <w:t xml:space="preserve">Beekes </w:t>
            </w:r>
            <w:r w:rsidR="00B301D6" w:rsidRPr="00B301D6">
              <w:rPr>
                <w:rFonts w:cs="Times New Roman"/>
                <w:i/>
                <w:sz w:val="20"/>
                <w:szCs w:val="20"/>
                <w:lang w:val="en"/>
              </w:rPr>
              <w:t>et al</w:t>
            </w:r>
            <w:r w:rsidRPr="007E546A">
              <w:rPr>
                <w:rFonts w:cs="Times New Roman"/>
                <w:sz w:val="20"/>
                <w:szCs w:val="20"/>
                <w:lang w:val="en"/>
              </w:rPr>
              <w:t>, 2010,</w:t>
            </w:r>
            <w:r>
              <w:rPr>
                <w:rFonts w:cs="Times New Roman"/>
                <w:sz w:val="20"/>
                <w:szCs w:val="20"/>
                <w:lang w:val="en"/>
              </w:rPr>
              <w:fldChar w:fldCharType="begin">
                <w:fldData xml:space="preserve">PEVuZE5vdGU+PENpdGU+PEF1dGhvcj5CZWVrZXM8L0F1dGhvcj48WWVhcj4yMDEwPC9ZZWFyPjxS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PEVuZE5vdGU+PENpdGU+PEF1dGhvcj5CZWVrZXM8L0F1dGhvcj48WWVhcj4yMDEwPC9ZZWFyPjxS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Pr>
                <w:rFonts w:cs="Times New Roman"/>
                <w:sz w:val="20"/>
                <w:szCs w:val="20"/>
                <w:lang w:val="en"/>
              </w:rPr>
            </w:r>
            <w:r>
              <w:rPr>
                <w:rFonts w:cs="Times New Roman"/>
                <w:sz w:val="20"/>
                <w:szCs w:val="20"/>
                <w:lang w:val="en"/>
              </w:rPr>
              <w:fldChar w:fldCharType="separate"/>
            </w:r>
            <w:r w:rsidR="0076576E" w:rsidRPr="0076576E">
              <w:rPr>
                <w:rFonts w:cs="Times New Roman"/>
                <w:noProof/>
                <w:sz w:val="20"/>
                <w:szCs w:val="20"/>
                <w:vertAlign w:val="superscript"/>
                <w:lang w:val="en"/>
              </w:rPr>
              <w:t>173</w:t>
            </w:r>
            <w:r>
              <w:rPr>
                <w:rFonts w:cs="Times New Roman"/>
                <w:sz w:val="20"/>
                <w:szCs w:val="20"/>
                <w:lang w:val="en"/>
              </w:rPr>
              <w:fldChar w:fldCharType="end"/>
            </w:r>
          </w:p>
        </w:tc>
        <w:tc>
          <w:tcPr>
            <w:tcW w:w="1134" w:type="dxa"/>
            <w:vMerge w:val="restart"/>
          </w:tcPr>
          <w:p w14:paraId="2078704D" w14:textId="77777777" w:rsidR="00B252E4" w:rsidRPr="00635EC5" w:rsidRDefault="00B252E4" w:rsidP="00B252E4">
            <w:pPr>
              <w:spacing w:line="240" w:lineRule="auto"/>
              <w:rPr>
                <w:rFonts w:cs="Times New Roman"/>
                <w:sz w:val="20"/>
                <w:szCs w:val="20"/>
              </w:rPr>
            </w:pPr>
            <w:r>
              <w:rPr>
                <w:rFonts w:cs="Times New Roman"/>
                <w:sz w:val="20"/>
                <w:szCs w:val="20"/>
              </w:rPr>
              <w:t>263K</w:t>
            </w:r>
          </w:p>
        </w:tc>
        <w:tc>
          <w:tcPr>
            <w:tcW w:w="3969" w:type="dxa"/>
          </w:tcPr>
          <w:p w14:paraId="47790A4C" w14:textId="77777777" w:rsidR="00B252E4" w:rsidRPr="00635EC5" w:rsidRDefault="00B252E4" w:rsidP="00B252E4">
            <w:pPr>
              <w:spacing w:line="240" w:lineRule="auto"/>
              <w:rPr>
                <w:rFonts w:cs="Times New Roman"/>
                <w:sz w:val="20"/>
                <w:szCs w:val="20"/>
              </w:rPr>
            </w:pPr>
            <w:r>
              <w:rPr>
                <w:rFonts w:cs="Times New Roman"/>
                <w:sz w:val="20"/>
                <w:szCs w:val="20"/>
              </w:rPr>
              <w:t xml:space="preserve">SDS 0.2% / NaOH 0.3% in 20% </w:t>
            </w:r>
            <w:r w:rsidRPr="00C506B5">
              <w:rPr>
                <w:rFonts w:cs="Times New Roman"/>
                <w:i/>
                <w:sz w:val="20"/>
                <w:szCs w:val="20"/>
              </w:rPr>
              <w:t>n</w:t>
            </w:r>
            <w:r>
              <w:rPr>
                <w:rFonts w:cs="Times New Roman"/>
                <w:sz w:val="20"/>
                <w:szCs w:val="20"/>
              </w:rPr>
              <w:t>-propanol</w:t>
            </w:r>
          </w:p>
        </w:tc>
        <w:tc>
          <w:tcPr>
            <w:tcW w:w="1417" w:type="dxa"/>
          </w:tcPr>
          <w:p w14:paraId="098CD4AA" w14:textId="77777777" w:rsidR="00B252E4" w:rsidRPr="00635EC5" w:rsidRDefault="00B252E4" w:rsidP="00B252E4">
            <w:pPr>
              <w:spacing w:line="240" w:lineRule="auto"/>
              <w:rPr>
                <w:rFonts w:cs="Times New Roman"/>
                <w:sz w:val="20"/>
                <w:szCs w:val="20"/>
                <w:u w:val="single"/>
              </w:rPr>
            </w:pPr>
            <w:r w:rsidRPr="00A81FA5">
              <w:rPr>
                <w:rFonts w:cs="Times New Roman"/>
                <w:sz w:val="20"/>
                <w:szCs w:val="20"/>
                <w:u w:val="single"/>
              </w:rPr>
              <w:t>&gt;</w:t>
            </w:r>
            <w:r>
              <w:rPr>
                <w:rFonts w:cs="Times New Roman"/>
                <w:sz w:val="20"/>
                <w:szCs w:val="20"/>
              </w:rPr>
              <w:t>5.5</w:t>
            </w:r>
          </w:p>
        </w:tc>
        <w:tc>
          <w:tcPr>
            <w:tcW w:w="1418" w:type="dxa"/>
          </w:tcPr>
          <w:p w14:paraId="7AC72312" w14:textId="77777777" w:rsidR="00B252E4" w:rsidRPr="00635EC5" w:rsidRDefault="00B252E4" w:rsidP="00B252E4">
            <w:pPr>
              <w:spacing w:line="240" w:lineRule="auto"/>
              <w:rPr>
                <w:rFonts w:cs="Times New Roman"/>
                <w:sz w:val="20"/>
                <w:szCs w:val="20"/>
              </w:rPr>
            </w:pPr>
            <w:r>
              <w:rPr>
                <w:rFonts w:cs="Times New Roman"/>
                <w:sz w:val="20"/>
                <w:szCs w:val="20"/>
              </w:rPr>
              <w:t>0/10</w:t>
            </w:r>
          </w:p>
        </w:tc>
        <w:tc>
          <w:tcPr>
            <w:tcW w:w="1701" w:type="dxa"/>
          </w:tcPr>
          <w:p w14:paraId="449954E9" w14:textId="77777777" w:rsidR="00B252E4" w:rsidRDefault="00B252E4" w:rsidP="00B252E4">
            <w:pPr>
              <w:spacing w:line="240" w:lineRule="auto"/>
              <w:rPr>
                <w:rFonts w:cs="Times New Roman"/>
                <w:sz w:val="20"/>
                <w:szCs w:val="20"/>
              </w:rPr>
            </w:pPr>
            <w:r>
              <w:rPr>
                <w:rFonts w:cs="Times New Roman"/>
                <w:sz w:val="20"/>
                <w:szCs w:val="20"/>
              </w:rPr>
              <w:t>503</w:t>
            </w:r>
          </w:p>
        </w:tc>
        <w:tc>
          <w:tcPr>
            <w:tcW w:w="2615" w:type="dxa"/>
          </w:tcPr>
          <w:p w14:paraId="495B53B9" w14:textId="00BB9B22" w:rsidR="00B252E4" w:rsidRPr="00635EC5" w:rsidRDefault="00B252E4" w:rsidP="00B252E4">
            <w:pPr>
              <w:spacing w:line="240" w:lineRule="auto"/>
              <w:rPr>
                <w:rFonts w:cs="Times New Roman"/>
                <w:sz w:val="20"/>
                <w:szCs w:val="20"/>
              </w:rPr>
            </w:pPr>
          </w:p>
        </w:tc>
      </w:tr>
      <w:tr w:rsidR="00B252E4" w:rsidRPr="00971F99" w14:paraId="3A1E926D" w14:textId="77777777" w:rsidTr="00931EC4">
        <w:tc>
          <w:tcPr>
            <w:tcW w:w="1733" w:type="dxa"/>
            <w:vMerge/>
          </w:tcPr>
          <w:p w14:paraId="70CA0DD4" w14:textId="77777777" w:rsidR="00B252E4" w:rsidRPr="00635EC5" w:rsidRDefault="00B252E4" w:rsidP="00B252E4">
            <w:pPr>
              <w:spacing w:line="240" w:lineRule="auto"/>
              <w:rPr>
                <w:rFonts w:cs="Times New Roman"/>
                <w:sz w:val="20"/>
                <w:szCs w:val="20"/>
              </w:rPr>
            </w:pPr>
          </w:p>
        </w:tc>
        <w:tc>
          <w:tcPr>
            <w:tcW w:w="1134" w:type="dxa"/>
            <w:vMerge/>
          </w:tcPr>
          <w:p w14:paraId="12818471" w14:textId="77777777" w:rsidR="00B252E4" w:rsidRPr="00635EC5" w:rsidRDefault="00B252E4" w:rsidP="00B252E4">
            <w:pPr>
              <w:spacing w:line="240" w:lineRule="auto"/>
              <w:rPr>
                <w:rFonts w:cs="Times New Roman"/>
                <w:sz w:val="20"/>
                <w:szCs w:val="20"/>
              </w:rPr>
            </w:pPr>
          </w:p>
        </w:tc>
        <w:tc>
          <w:tcPr>
            <w:tcW w:w="3969" w:type="dxa"/>
          </w:tcPr>
          <w:p w14:paraId="0DC29149" w14:textId="77777777" w:rsidR="00B252E4" w:rsidRPr="00635EC5" w:rsidRDefault="00B252E4" w:rsidP="00B252E4">
            <w:pPr>
              <w:spacing w:line="240" w:lineRule="auto"/>
              <w:rPr>
                <w:rFonts w:cs="Times New Roman"/>
                <w:sz w:val="20"/>
                <w:szCs w:val="20"/>
              </w:rPr>
            </w:pPr>
            <w:r>
              <w:rPr>
                <w:rFonts w:cs="Times New Roman"/>
                <w:sz w:val="20"/>
                <w:szCs w:val="20"/>
              </w:rPr>
              <w:t xml:space="preserve">SDS 0.2% / NaOH 0.3% in 30% </w:t>
            </w:r>
            <w:r w:rsidRPr="00C506B5">
              <w:rPr>
                <w:rFonts w:cs="Times New Roman"/>
                <w:i/>
                <w:sz w:val="20"/>
                <w:szCs w:val="20"/>
              </w:rPr>
              <w:t>n</w:t>
            </w:r>
            <w:r>
              <w:rPr>
                <w:rFonts w:cs="Times New Roman"/>
                <w:sz w:val="20"/>
                <w:szCs w:val="20"/>
              </w:rPr>
              <w:t>-propanol</w:t>
            </w:r>
          </w:p>
        </w:tc>
        <w:tc>
          <w:tcPr>
            <w:tcW w:w="1417" w:type="dxa"/>
          </w:tcPr>
          <w:p w14:paraId="7C4C53C4" w14:textId="77777777" w:rsidR="00B252E4" w:rsidRPr="00635EC5" w:rsidRDefault="00B252E4" w:rsidP="00B252E4">
            <w:pPr>
              <w:spacing w:line="240" w:lineRule="auto"/>
              <w:rPr>
                <w:rFonts w:cs="Times New Roman"/>
                <w:sz w:val="20"/>
                <w:szCs w:val="20"/>
                <w:u w:val="single"/>
              </w:rPr>
            </w:pPr>
            <w:r w:rsidRPr="00A81FA5">
              <w:rPr>
                <w:rFonts w:cs="Times New Roman"/>
                <w:sz w:val="20"/>
                <w:szCs w:val="20"/>
                <w:u w:val="single"/>
              </w:rPr>
              <w:t>&gt;</w:t>
            </w:r>
            <w:r>
              <w:rPr>
                <w:rFonts w:cs="Times New Roman"/>
                <w:sz w:val="20"/>
                <w:szCs w:val="20"/>
              </w:rPr>
              <w:t>5.5</w:t>
            </w:r>
          </w:p>
        </w:tc>
        <w:tc>
          <w:tcPr>
            <w:tcW w:w="1418" w:type="dxa"/>
          </w:tcPr>
          <w:p w14:paraId="17367387" w14:textId="77777777" w:rsidR="00B252E4" w:rsidRPr="00635EC5" w:rsidRDefault="00B252E4" w:rsidP="00B252E4">
            <w:pPr>
              <w:spacing w:line="240" w:lineRule="auto"/>
              <w:rPr>
                <w:rFonts w:cs="Times New Roman"/>
                <w:sz w:val="20"/>
                <w:szCs w:val="20"/>
              </w:rPr>
            </w:pPr>
            <w:r>
              <w:rPr>
                <w:rFonts w:cs="Times New Roman"/>
                <w:sz w:val="20"/>
                <w:szCs w:val="20"/>
              </w:rPr>
              <w:t>0/9</w:t>
            </w:r>
          </w:p>
        </w:tc>
        <w:tc>
          <w:tcPr>
            <w:tcW w:w="1701" w:type="dxa"/>
          </w:tcPr>
          <w:p w14:paraId="1EFAB61F" w14:textId="77777777" w:rsidR="00B252E4" w:rsidRDefault="00B252E4" w:rsidP="00B252E4">
            <w:pPr>
              <w:spacing w:line="240" w:lineRule="auto"/>
              <w:rPr>
                <w:rFonts w:cs="Times New Roman"/>
                <w:sz w:val="20"/>
                <w:szCs w:val="20"/>
              </w:rPr>
            </w:pPr>
            <w:r>
              <w:rPr>
                <w:rFonts w:cs="Times New Roman"/>
                <w:sz w:val="20"/>
                <w:szCs w:val="20"/>
              </w:rPr>
              <w:t>503</w:t>
            </w:r>
          </w:p>
        </w:tc>
        <w:tc>
          <w:tcPr>
            <w:tcW w:w="2615" w:type="dxa"/>
          </w:tcPr>
          <w:p w14:paraId="13297FF5" w14:textId="383B1821" w:rsidR="00B252E4" w:rsidRPr="00635EC5" w:rsidRDefault="00B252E4" w:rsidP="00B252E4">
            <w:pPr>
              <w:spacing w:line="240" w:lineRule="auto"/>
              <w:rPr>
                <w:rFonts w:cs="Times New Roman"/>
                <w:sz w:val="20"/>
                <w:szCs w:val="20"/>
              </w:rPr>
            </w:pPr>
          </w:p>
        </w:tc>
      </w:tr>
      <w:tr w:rsidR="00B252E4" w:rsidRPr="00971F99" w14:paraId="1F57C570" w14:textId="77777777" w:rsidTr="00931EC4">
        <w:tc>
          <w:tcPr>
            <w:tcW w:w="1733" w:type="dxa"/>
            <w:vMerge/>
          </w:tcPr>
          <w:p w14:paraId="41E430D2" w14:textId="77777777" w:rsidR="00B252E4" w:rsidRPr="00635EC5" w:rsidRDefault="00B252E4" w:rsidP="00B252E4">
            <w:pPr>
              <w:spacing w:line="240" w:lineRule="auto"/>
              <w:rPr>
                <w:rFonts w:cs="Times New Roman"/>
                <w:sz w:val="20"/>
                <w:szCs w:val="20"/>
              </w:rPr>
            </w:pPr>
          </w:p>
        </w:tc>
        <w:tc>
          <w:tcPr>
            <w:tcW w:w="1134" w:type="dxa"/>
          </w:tcPr>
          <w:p w14:paraId="6A31BE3B" w14:textId="77777777" w:rsidR="00B252E4" w:rsidRPr="00635EC5" w:rsidRDefault="00B252E4" w:rsidP="00B252E4">
            <w:pPr>
              <w:spacing w:line="240" w:lineRule="auto"/>
              <w:rPr>
                <w:rFonts w:cs="Times New Roman"/>
                <w:sz w:val="20"/>
                <w:szCs w:val="20"/>
              </w:rPr>
            </w:pPr>
            <w:r>
              <w:rPr>
                <w:rFonts w:cs="Times New Roman"/>
                <w:sz w:val="20"/>
                <w:szCs w:val="20"/>
              </w:rPr>
              <w:t>vCJD</w:t>
            </w:r>
          </w:p>
        </w:tc>
        <w:tc>
          <w:tcPr>
            <w:tcW w:w="3969" w:type="dxa"/>
          </w:tcPr>
          <w:p w14:paraId="115BC463" w14:textId="77777777" w:rsidR="00B252E4" w:rsidRDefault="00B252E4" w:rsidP="00B252E4">
            <w:pPr>
              <w:spacing w:line="240" w:lineRule="auto"/>
            </w:pPr>
            <w:r w:rsidRPr="00AE6A8A">
              <w:rPr>
                <w:rFonts w:cs="Times New Roman"/>
                <w:sz w:val="20"/>
                <w:szCs w:val="20"/>
              </w:rPr>
              <w:t xml:space="preserve">SDS 0.2% / NaOH 0.3% in 20% </w:t>
            </w:r>
            <w:r w:rsidRPr="00AE6A8A">
              <w:rPr>
                <w:rFonts w:cs="Times New Roman"/>
                <w:i/>
                <w:sz w:val="20"/>
                <w:szCs w:val="20"/>
              </w:rPr>
              <w:t>n</w:t>
            </w:r>
            <w:r w:rsidRPr="00AE6A8A">
              <w:rPr>
                <w:rFonts w:cs="Times New Roman"/>
                <w:sz w:val="20"/>
                <w:szCs w:val="20"/>
              </w:rPr>
              <w:t>-propanol</w:t>
            </w:r>
          </w:p>
        </w:tc>
        <w:tc>
          <w:tcPr>
            <w:tcW w:w="1417" w:type="dxa"/>
          </w:tcPr>
          <w:p w14:paraId="0889D379" w14:textId="77777777" w:rsidR="00B252E4" w:rsidRPr="00182380" w:rsidRDefault="00B252E4" w:rsidP="00B252E4">
            <w:pPr>
              <w:spacing w:line="240" w:lineRule="auto"/>
              <w:rPr>
                <w:rFonts w:cs="Times New Roman"/>
                <w:sz w:val="20"/>
                <w:szCs w:val="20"/>
              </w:rPr>
            </w:pPr>
            <w:r w:rsidRPr="00182380">
              <w:rPr>
                <w:rFonts w:cs="Times New Roman"/>
                <w:sz w:val="20"/>
                <w:szCs w:val="20"/>
              </w:rPr>
              <w:t>3.3</w:t>
            </w:r>
          </w:p>
        </w:tc>
        <w:tc>
          <w:tcPr>
            <w:tcW w:w="1418" w:type="dxa"/>
          </w:tcPr>
          <w:p w14:paraId="2A8283B4" w14:textId="358C9512" w:rsidR="00B252E4" w:rsidRPr="00635EC5" w:rsidRDefault="00B252E4" w:rsidP="00B252E4">
            <w:pPr>
              <w:spacing w:line="240" w:lineRule="auto"/>
              <w:rPr>
                <w:rFonts w:cs="Times New Roman"/>
                <w:sz w:val="20"/>
                <w:szCs w:val="20"/>
              </w:rPr>
            </w:pPr>
            <w:r>
              <w:rPr>
                <w:rFonts w:cs="Times New Roman"/>
                <w:sz w:val="20"/>
                <w:szCs w:val="20"/>
              </w:rPr>
              <w:t>NR</w:t>
            </w:r>
          </w:p>
        </w:tc>
        <w:tc>
          <w:tcPr>
            <w:tcW w:w="1701" w:type="dxa"/>
          </w:tcPr>
          <w:p w14:paraId="6C035373" w14:textId="7F0143DD"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56A5526B" w14:textId="455048BA" w:rsidR="00B252E4" w:rsidRPr="00635EC5" w:rsidRDefault="00B252E4" w:rsidP="00B252E4">
            <w:pPr>
              <w:spacing w:line="240" w:lineRule="auto"/>
              <w:rPr>
                <w:rFonts w:cs="Times New Roman"/>
                <w:sz w:val="20"/>
                <w:szCs w:val="20"/>
              </w:rPr>
            </w:pPr>
          </w:p>
        </w:tc>
      </w:tr>
      <w:tr w:rsidR="00B252E4" w:rsidRPr="00971F99" w14:paraId="1AEE2C2C" w14:textId="77777777" w:rsidTr="00931EC4">
        <w:tc>
          <w:tcPr>
            <w:tcW w:w="1733" w:type="dxa"/>
            <w:vMerge/>
          </w:tcPr>
          <w:p w14:paraId="053E291E" w14:textId="77777777" w:rsidR="00B252E4" w:rsidRPr="00635EC5" w:rsidRDefault="00B252E4" w:rsidP="00B252E4">
            <w:pPr>
              <w:spacing w:line="240" w:lineRule="auto"/>
              <w:rPr>
                <w:rFonts w:cs="Times New Roman"/>
                <w:sz w:val="20"/>
                <w:szCs w:val="20"/>
              </w:rPr>
            </w:pPr>
          </w:p>
        </w:tc>
        <w:tc>
          <w:tcPr>
            <w:tcW w:w="1134" w:type="dxa"/>
          </w:tcPr>
          <w:p w14:paraId="3CBC05B1" w14:textId="77777777" w:rsidR="00B252E4" w:rsidRPr="00635EC5" w:rsidRDefault="00B252E4" w:rsidP="00B252E4">
            <w:pPr>
              <w:spacing w:line="240" w:lineRule="auto"/>
              <w:rPr>
                <w:rFonts w:cs="Times New Roman"/>
                <w:sz w:val="20"/>
                <w:szCs w:val="20"/>
              </w:rPr>
            </w:pPr>
            <w:r>
              <w:rPr>
                <w:rFonts w:cs="Times New Roman"/>
                <w:sz w:val="20"/>
                <w:szCs w:val="20"/>
              </w:rPr>
              <w:t>sCJD</w:t>
            </w:r>
          </w:p>
        </w:tc>
        <w:tc>
          <w:tcPr>
            <w:tcW w:w="3969" w:type="dxa"/>
          </w:tcPr>
          <w:p w14:paraId="14332E12" w14:textId="77777777" w:rsidR="00B252E4" w:rsidRDefault="00B252E4" w:rsidP="00B252E4">
            <w:pPr>
              <w:spacing w:line="240" w:lineRule="auto"/>
            </w:pPr>
            <w:r w:rsidRPr="00AE6A8A">
              <w:rPr>
                <w:rFonts w:cs="Times New Roman"/>
                <w:sz w:val="20"/>
                <w:szCs w:val="20"/>
              </w:rPr>
              <w:t xml:space="preserve">SDS 0.2% / NaOH 0.3% in 20% </w:t>
            </w:r>
            <w:r w:rsidRPr="00AE6A8A">
              <w:rPr>
                <w:rFonts w:cs="Times New Roman"/>
                <w:i/>
                <w:sz w:val="20"/>
                <w:szCs w:val="20"/>
              </w:rPr>
              <w:t>n</w:t>
            </w:r>
            <w:r w:rsidRPr="00AE6A8A">
              <w:rPr>
                <w:rFonts w:cs="Times New Roman"/>
                <w:sz w:val="20"/>
                <w:szCs w:val="20"/>
              </w:rPr>
              <w:t>-propanol</w:t>
            </w:r>
          </w:p>
        </w:tc>
        <w:tc>
          <w:tcPr>
            <w:tcW w:w="1417" w:type="dxa"/>
          </w:tcPr>
          <w:p w14:paraId="0A7B290E" w14:textId="77777777" w:rsidR="00B252E4" w:rsidRPr="00182380" w:rsidRDefault="00B252E4" w:rsidP="00B252E4">
            <w:pPr>
              <w:spacing w:line="240" w:lineRule="auto"/>
              <w:rPr>
                <w:rFonts w:cs="Times New Roman"/>
                <w:sz w:val="20"/>
                <w:szCs w:val="20"/>
              </w:rPr>
            </w:pPr>
            <w:r w:rsidRPr="00182380">
              <w:rPr>
                <w:rFonts w:cs="Times New Roman"/>
                <w:sz w:val="20"/>
                <w:szCs w:val="20"/>
              </w:rPr>
              <w:t>3.3</w:t>
            </w:r>
          </w:p>
        </w:tc>
        <w:tc>
          <w:tcPr>
            <w:tcW w:w="1418" w:type="dxa"/>
          </w:tcPr>
          <w:p w14:paraId="31E2C0A0" w14:textId="56C86B2A" w:rsidR="00B252E4" w:rsidRPr="00635EC5" w:rsidRDefault="00B252E4" w:rsidP="00B252E4">
            <w:pPr>
              <w:spacing w:line="240" w:lineRule="auto"/>
              <w:rPr>
                <w:rFonts w:cs="Times New Roman"/>
                <w:sz w:val="20"/>
                <w:szCs w:val="20"/>
              </w:rPr>
            </w:pPr>
            <w:r>
              <w:rPr>
                <w:rFonts w:cs="Times New Roman"/>
                <w:sz w:val="20"/>
                <w:szCs w:val="20"/>
              </w:rPr>
              <w:t>NR</w:t>
            </w:r>
          </w:p>
        </w:tc>
        <w:tc>
          <w:tcPr>
            <w:tcW w:w="1701" w:type="dxa"/>
          </w:tcPr>
          <w:p w14:paraId="630478FD" w14:textId="6E9566CD"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3DA26AF6" w14:textId="3402E6A8" w:rsidR="00B252E4" w:rsidRPr="00635EC5" w:rsidRDefault="00B252E4" w:rsidP="00B252E4">
            <w:pPr>
              <w:spacing w:line="240" w:lineRule="auto"/>
              <w:rPr>
                <w:rFonts w:cs="Times New Roman"/>
                <w:sz w:val="20"/>
                <w:szCs w:val="20"/>
              </w:rPr>
            </w:pPr>
          </w:p>
        </w:tc>
      </w:tr>
      <w:tr w:rsidR="00B252E4" w:rsidRPr="00971F99" w14:paraId="1D6A45F0" w14:textId="77777777" w:rsidTr="00931EC4">
        <w:tc>
          <w:tcPr>
            <w:tcW w:w="1733" w:type="dxa"/>
            <w:vMerge w:val="restart"/>
          </w:tcPr>
          <w:p w14:paraId="3E214E6E" w14:textId="36FEC79B" w:rsidR="00B252E4" w:rsidRPr="00635EC5" w:rsidRDefault="00B252E4" w:rsidP="0076576E">
            <w:pPr>
              <w:spacing w:line="240" w:lineRule="auto"/>
              <w:rPr>
                <w:rFonts w:cs="Times New Roman"/>
                <w:sz w:val="20"/>
                <w:szCs w:val="20"/>
              </w:rPr>
            </w:pPr>
            <w:r w:rsidRPr="007E546A">
              <w:rPr>
                <w:rFonts w:cs="Times New Roman"/>
                <w:sz w:val="20"/>
                <w:szCs w:val="20"/>
                <w:lang w:val="en"/>
              </w:rPr>
              <w:t xml:space="preserve">Bellon </w:t>
            </w:r>
            <w:r w:rsidR="00B301D6" w:rsidRPr="00B301D6">
              <w:rPr>
                <w:rFonts w:cs="Times New Roman"/>
                <w:i/>
                <w:sz w:val="20"/>
                <w:szCs w:val="20"/>
                <w:lang w:val="en"/>
              </w:rPr>
              <w:t>et al</w:t>
            </w:r>
            <w:r w:rsidRPr="007E546A">
              <w:rPr>
                <w:rFonts w:cs="Times New Roman"/>
                <w:sz w:val="20"/>
                <w:szCs w:val="20"/>
                <w:lang w:val="en"/>
              </w:rPr>
              <w:t>, 2014,</w:t>
            </w:r>
            <w:r>
              <w:rPr>
                <w:rFonts w:cs="Times New Roman"/>
                <w:sz w:val="20"/>
                <w:szCs w:val="20"/>
                <w:lang w:val="en"/>
              </w:rPr>
              <w:fldChar w:fldCharType="begin">
                <w:fldData xml:space="preserve">PEVuZE5vdGU+PENpdGU+PEF1dGhvcj5CZWxsb248L0F1dGhvcj48WWVhcj4yMDE0PC9ZZWFyPjxS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PEVuZE5vdGU+PENpdGU+PEF1dGhvcj5CZWxsb248L0F1dGhvcj48WWVhcj4yMDE0PC9ZZWFyPjxS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Pr>
                <w:rFonts w:cs="Times New Roman"/>
                <w:sz w:val="20"/>
                <w:szCs w:val="20"/>
                <w:lang w:val="en"/>
              </w:rPr>
            </w:r>
            <w:r>
              <w:rPr>
                <w:rFonts w:cs="Times New Roman"/>
                <w:sz w:val="20"/>
                <w:szCs w:val="20"/>
                <w:lang w:val="en"/>
              </w:rPr>
              <w:fldChar w:fldCharType="separate"/>
            </w:r>
            <w:r w:rsidR="0076576E" w:rsidRPr="0076576E">
              <w:rPr>
                <w:rFonts w:cs="Times New Roman"/>
                <w:noProof/>
                <w:sz w:val="20"/>
                <w:szCs w:val="20"/>
                <w:vertAlign w:val="superscript"/>
                <w:lang w:val="en"/>
              </w:rPr>
              <w:t>174</w:t>
            </w:r>
            <w:r>
              <w:rPr>
                <w:rFonts w:cs="Times New Roman"/>
                <w:sz w:val="20"/>
                <w:szCs w:val="20"/>
                <w:lang w:val="en"/>
              </w:rPr>
              <w:fldChar w:fldCharType="end"/>
            </w:r>
          </w:p>
        </w:tc>
        <w:tc>
          <w:tcPr>
            <w:tcW w:w="1134" w:type="dxa"/>
          </w:tcPr>
          <w:p w14:paraId="1ECA9F84" w14:textId="77777777" w:rsidR="00B252E4" w:rsidRPr="00635EC5" w:rsidRDefault="00B252E4" w:rsidP="00B252E4">
            <w:pPr>
              <w:spacing w:line="240" w:lineRule="auto"/>
              <w:rPr>
                <w:rFonts w:cs="Times New Roman"/>
                <w:sz w:val="20"/>
                <w:szCs w:val="20"/>
              </w:rPr>
            </w:pPr>
            <w:r w:rsidRPr="00635EC5">
              <w:rPr>
                <w:rFonts w:cs="Times New Roman"/>
                <w:sz w:val="20"/>
                <w:szCs w:val="20"/>
              </w:rPr>
              <w:t>vCJD</w:t>
            </w:r>
          </w:p>
        </w:tc>
        <w:tc>
          <w:tcPr>
            <w:tcW w:w="3969" w:type="dxa"/>
          </w:tcPr>
          <w:p w14:paraId="5E563E5A" w14:textId="77777777" w:rsidR="00B252E4" w:rsidRPr="00635EC5" w:rsidRDefault="00B252E4" w:rsidP="00B252E4">
            <w:pPr>
              <w:spacing w:line="240" w:lineRule="auto"/>
              <w:rPr>
                <w:rFonts w:cs="Times New Roman"/>
                <w:sz w:val="20"/>
                <w:szCs w:val="20"/>
              </w:rPr>
            </w:pPr>
            <w:r w:rsidRPr="00635EC5">
              <w:rPr>
                <w:rFonts w:cs="Times New Roman"/>
                <w:sz w:val="20"/>
                <w:szCs w:val="20"/>
              </w:rPr>
              <w:t>NaOH</w:t>
            </w:r>
            <w:r>
              <w:rPr>
                <w:rFonts w:cs="Times New Roman"/>
                <w:sz w:val="20"/>
                <w:szCs w:val="20"/>
              </w:rPr>
              <w:t xml:space="preserve"> 0.1-0</w:t>
            </w:r>
            <w:r w:rsidRPr="00635EC5">
              <w:rPr>
                <w:rFonts w:cs="Times New Roman"/>
                <w:sz w:val="20"/>
                <w:szCs w:val="20"/>
              </w:rPr>
              <w:t>45 mol/L, 25</w:t>
            </w:r>
            <w:r w:rsidRPr="00635EC5">
              <w:rPr>
                <w:rFonts w:cs="Times New Roman"/>
                <w:sz w:val="20"/>
                <w:szCs w:val="20"/>
                <w:vertAlign w:val="superscript"/>
              </w:rPr>
              <w:t>°</w:t>
            </w:r>
            <w:r w:rsidRPr="00635EC5">
              <w:rPr>
                <w:rFonts w:cs="Times New Roman"/>
                <w:sz w:val="20"/>
                <w:szCs w:val="20"/>
              </w:rPr>
              <w:t>C-45</w:t>
            </w:r>
            <w:r w:rsidRPr="00635EC5">
              <w:rPr>
                <w:rFonts w:cs="Times New Roman"/>
                <w:sz w:val="20"/>
                <w:szCs w:val="20"/>
                <w:vertAlign w:val="superscript"/>
              </w:rPr>
              <w:t>°</w:t>
            </w:r>
            <w:r w:rsidRPr="00635EC5">
              <w:rPr>
                <w:rFonts w:cs="Times New Roman"/>
                <w:sz w:val="20"/>
                <w:szCs w:val="20"/>
              </w:rPr>
              <w:t>C (5-240 mins)</w:t>
            </w:r>
          </w:p>
        </w:tc>
        <w:tc>
          <w:tcPr>
            <w:tcW w:w="1417" w:type="dxa"/>
          </w:tcPr>
          <w:p w14:paraId="2DA2F3C3" w14:textId="77777777" w:rsidR="00B252E4" w:rsidRPr="00635EC5" w:rsidRDefault="00B252E4" w:rsidP="00B252E4">
            <w:pPr>
              <w:spacing w:line="240" w:lineRule="auto"/>
              <w:rPr>
                <w:rFonts w:cs="Times New Roman"/>
                <w:sz w:val="20"/>
                <w:szCs w:val="20"/>
              </w:rPr>
            </w:pPr>
            <w:r w:rsidRPr="00635EC5">
              <w:rPr>
                <w:rFonts w:cs="Times New Roman"/>
                <w:sz w:val="20"/>
                <w:szCs w:val="20"/>
                <w:u w:val="single"/>
              </w:rPr>
              <w:t>&gt;</w:t>
            </w:r>
            <w:r w:rsidRPr="00635EC5">
              <w:rPr>
                <w:rFonts w:cs="Times New Roman"/>
                <w:sz w:val="20"/>
                <w:szCs w:val="20"/>
              </w:rPr>
              <w:t>3.8</w:t>
            </w:r>
          </w:p>
        </w:tc>
        <w:tc>
          <w:tcPr>
            <w:tcW w:w="1418" w:type="dxa"/>
          </w:tcPr>
          <w:p w14:paraId="5F6E5D59" w14:textId="77777777" w:rsidR="00B252E4" w:rsidRPr="00635EC5" w:rsidRDefault="00B252E4" w:rsidP="00B252E4">
            <w:pPr>
              <w:spacing w:line="240" w:lineRule="auto"/>
              <w:rPr>
                <w:rFonts w:cs="Times New Roman"/>
                <w:sz w:val="20"/>
                <w:szCs w:val="20"/>
              </w:rPr>
            </w:pPr>
            <w:r w:rsidRPr="00635EC5">
              <w:rPr>
                <w:rFonts w:cs="Times New Roman"/>
                <w:sz w:val="20"/>
                <w:szCs w:val="20"/>
              </w:rPr>
              <w:t>0/8</w:t>
            </w:r>
          </w:p>
        </w:tc>
        <w:tc>
          <w:tcPr>
            <w:tcW w:w="1701" w:type="dxa"/>
          </w:tcPr>
          <w:p w14:paraId="2800138C" w14:textId="0C4BE472" w:rsidR="00B252E4" w:rsidRPr="00635EC5" w:rsidRDefault="00B252E4" w:rsidP="00B252E4">
            <w:pPr>
              <w:spacing w:line="240" w:lineRule="auto"/>
              <w:rPr>
                <w:rFonts w:cs="Times New Roman"/>
                <w:sz w:val="20"/>
                <w:szCs w:val="20"/>
              </w:rPr>
            </w:pPr>
            <w:r>
              <w:rPr>
                <w:rFonts w:cs="Times New Roman"/>
                <w:sz w:val="20"/>
                <w:szCs w:val="20"/>
              </w:rPr>
              <w:t>NR</w:t>
            </w:r>
          </w:p>
        </w:tc>
        <w:tc>
          <w:tcPr>
            <w:tcW w:w="2615" w:type="dxa"/>
          </w:tcPr>
          <w:p w14:paraId="25FAB123" w14:textId="6E5781C3" w:rsidR="00B252E4" w:rsidRPr="00635EC5" w:rsidRDefault="00B252E4" w:rsidP="00B252E4">
            <w:pPr>
              <w:spacing w:line="240" w:lineRule="auto"/>
              <w:rPr>
                <w:rFonts w:cs="Times New Roman"/>
                <w:sz w:val="20"/>
                <w:szCs w:val="20"/>
              </w:rPr>
            </w:pPr>
          </w:p>
        </w:tc>
      </w:tr>
      <w:tr w:rsidR="00B252E4" w:rsidRPr="00CD3FFA" w14:paraId="0E2BF440" w14:textId="77777777" w:rsidTr="00931EC4">
        <w:tc>
          <w:tcPr>
            <w:tcW w:w="1733" w:type="dxa"/>
            <w:vMerge/>
          </w:tcPr>
          <w:p w14:paraId="1109C0D6" w14:textId="77777777" w:rsidR="00B252E4" w:rsidRPr="00CD3FFA" w:rsidRDefault="00B252E4" w:rsidP="00B252E4">
            <w:pPr>
              <w:spacing w:line="240" w:lineRule="auto"/>
              <w:rPr>
                <w:rFonts w:cs="Times New Roman"/>
                <w:sz w:val="20"/>
                <w:szCs w:val="20"/>
              </w:rPr>
            </w:pPr>
          </w:p>
        </w:tc>
        <w:tc>
          <w:tcPr>
            <w:tcW w:w="1134" w:type="dxa"/>
            <w:vMerge w:val="restart"/>
          </w:tcPr>
          <w:p w14:paraId="3E379182" w14:textId="77777777" w:rsidR="00B252E4" w:rsidRPr="00CD3FFA" w:rsidRDefault="00B252E4" w:rsidP="00B252E4">
            <w:pPr>
              <w:spacing w:line="240" w:lineRule="auto"/>
              <w:rPr>
                <w:rFonts w:cs="Times New Roman"/>
                <w:sz w:val="20"/>
                <w:szCs w:val="20"/>
              </w:rPr>
            </w:pPr>
            <w:r w:rsidRPr="00CD3FFA">
              <w:rPr>
                <w:rFonts w:cs="Times New Roman"/>
                <w:sz w:val="20"/>
                <w:szCs w:val="20"/>
              </w:rPr>
              <w:t>263K</w:t>
            </w:r>
          </w:p>
        </w:tc>
        <w:tc>
          <w:tcPr>
            <w:tcW w:w="3969" w:type="dxa"/>
          </w:tcPr>
          <w:p w14:paraId="74D5F1CE" w14:textId="77777777" w:rsidR="00B252E4" w:rsidRDefault="00B252E4" w:rsidP="00B252E4">
            <w:pPr>
              <w:spacing w:line="240" w:lineRule="auto"/>
            </w:pPr>
            <w:r w:rsidRPr="0075298E">
              <w:rPr>
                <w:rFonts w:cs="Times New Roman"/>
                <w:sz w:val="20"/>
                <w:szCs w:val="20"/>
              </w:rPr>
              <w:t xml:space="preserve">NaOH 0.45 mol/L, </w:t>
            </w:r>
            <w:r>
              <w:rPr>
                <w:rFonts w:cs="Times New Roman"/>
                <w:sz w:val="20"/>
                <w:szCs w:val="20"/>
              </w:rPr>
              <w:t>4</w:t>
            </w:r>
            <w:r w:rsidRPr="0075298E">
              <w:rPr>
                <w:rFonts w:cs="Times New Roman"/>
                <w:sz w:val="20"/>
                <w:szCs w:val="20"/>
                <w:vertAlign w:val="superscript"/>
              </w:rPr>
              <w:t>°</w:t>
            </w:r>
            <w:r w:rsidRPr="0075298E">
              <w:rPr>
                <w:rFonts w:cs="Times New Roman"/>
                <w:sz w:val="20"/>
                <w:szCs w:val="20"/>
              </w:rPr>
              <w:t>C (</w:t>
            </w:r>
            <w:r>
              <w:rPr>
                <w:rFonts w:cs="Times New Roman"/>
                <w:sz w:val="20"/>
                <w:szCs w:val="20"/>
              </w:rPr>
              <w:t>60</w:t>
            </w:r>
            <w:r w:rsidRPr="0075298E">
              <w:rPr>
                <w:rFonts w:cs="Times New Roman"/>
                <w:sz w:val="20"/>
                <w:szCs w:val="20"/>
              </w:rPr>
              <w:t xml:space="preserve"> mins)</w:t>
            </w:r>
          </w:p>
        </w:tc>
        <w:tc>
          <w:tcPr>
            <w:tcW w:w="1417" w:type="dxa"/>
          </w:tcPr>
          <w:p w14:paraId="4EAA53E9" w14:textId="77777777" w:rsidR="00B252E4" w:rsidRPr="00CD3FFA" w:rsidRDefault="00B252E4" w:rsidP="00B252E4">
            <w:pPr>
              <w:spacing w:line="240" w:lineRule="auto"/>
              <w:rPr>
                <w:rFonts w:cs="Times New Roman"/>
                <w:sz w:val="20"/>
                <w:szCs w:val="20"/>
              </w:rPr>
            </w:pPr>
            <w:r>
              <w:rPr>
                <w:rFonts w:cs="Times New Roman"/>
                <w:sz w:val="20"/>
                <w:szCs w:val="20"/>
              </w:rPr>
              <w:t>4.9</w:t>
            </w:r>
          </w:p>
        </w:tc>
        <w:tc>
          <w:tcPr>
            <w:tcW w:w="1418" w:type="dxa"/>
          </w:tcPr>
          <w:p w14:paraId="7761F705" w14:textId="77777777" w:rsidR="00B252E4" w:rsidRPr="00CD3FFA" w:rsidRDefault="00B252E4" w:rsidP="00B252E4">
            <w:pPr>
              <w:spacing w:line="240" w:lineRule="auto"/>
              <w:rPr>
                <w:rFonts w:cs="Times New Roman"/>
                <w:sz w:val="20"/>
                <w:szCs w:val="20"/>
              </w:rPr>
            </w:pPr>
            <w:r>
              <w:rPr>
                <w:rFonts w:cs="Times New Roman"/>
                <w:sz w:val="20"/>
                <w:szCs w:val="20"/>
              </w:rPr>
              <w:t>2/8</w:t>
            </w:r>
          </w:p>
        </w:tc>
        <w:tc>
          <w:tcPr>
            <w:tcW w:w="1701" w:type="dxa"/>
          </w:tcPr>
          <w:p w14:paraId="044E71CE" w14:textId="77777777" w:rsidR="00B252E4" w:rsidRPr="00CD3FFA" w:rsidRDefault="00B252E4" w:rsidP="00B252E4">
            <w:pPr>
              <w:spacing w:line="240" w:lineRule="auto"/>
              <w:rPr>
                <w:rFonts w:cs="Times New Roman"/>
                <w:sz w:val="20"/>
                <w:szCs w:val="20"/>
              </w:rPr>
            </w:pPr>
            <w:r>
              <w:rPr>
                <w:rFonts w:cs="Times New Roman"/>
                <w:sz w:val="20"/>
                <w:szCs w:val="20"/>
              </w:rPr>
              <w:t>441</w:t>
            </w:r>
          </w:p>
        </w:tc>
        <w:tc>
          <w:tcPr>
            <w:tcW w:w="2615" w:type="dxa"/>
          </w:tcPr>
          <w:p w14:paraId="5070B065" w14:textId="36BE98EC" w:rsidR="00B252E4" w:rsidRPr="00CD3FFA" w:rsidRDefault="00B252E4" w:rsidP="00B252E4">
            <w:pPr>
              <w:spacing w:line="240" w:lineRule="auto"/>
              <w:rPr>
                <w:rFonts w:cs="Times New Roman"/>
                <w:sz w:val="20"/>
                <w:szCs w:val="20"/>
              </w:rPr>
            </w:pPr>
          </w:p>
        </w:tc>
      </w:tr>
      <w:tr w:rsidR="00B252E4" w:rsidRPr="00CD3FFA" w14:paraId="67E5BB21" w14:textId="77777777" w:rsidTr="00931EC4">
        <w:tc>
          <w:tcPr>
            <w:tcW w:w="1733" w:type="dxa"/>
            <w:vMerge/>
          </w:tcPr>
          <w:p w14:paraId="474601C2" w14:textId="77777777" w:rsidR="00B252E4" w:rsidRPr="00CD3FFA" w:rsidRDefault="00B252E4" w:rsidP="00B252E4">
            <w:pPr>
              <w:spacing w:line="240" w:lineRule="auto"/>
              <w:rPr>
                <w:rFonts w:cs="Times New Roman"/>
                <w:sz w:val="20"/>
                <w:szCs w:val="20"/>
              </w:rPr>
            </w:pPr>
          </w:p>
        </w:tc>
        <w:tc>
          <w:tcPr>
            <w:tcW w:w="1134" w:type="dxa"/>
            <w:vMerge/>
          </w:tcPr>
          <w:p w14:paraId="63BE4664" w14:textId="77777777" w:rsidR="00B252E4" w:rsidRPr="00CD3FFA" w:rsidRDefault="00B252E4" w:rsidP="00B252E4">
            <w:pPr>
              <w:spacing w:line="240" w:lineRule="auto"/>
              <w:rPr>
                <w:rFonts w:cs="Times New Roman"/>
                <w:sz w:val="20"/>
                <w:szCs w:val="20"/>
              </w:rPr>
            </w:pPr>
          </w:p>
        </w:tc>
        <w:tc>
          <w:tcPr>
            <w:tcW w:w="3969" w:type="dxa"/>
          </w:tcPr>
          <w:p w14:paraId="159F5F25" w14:textId="77777777" w:rsidR="00B252E4" w:rsidRDefault="00B252E4" w:rsidP="00B252E4">
            <w:pPr>
              <w:spacing w:line="240" w:lineRule="auto"/>
            </w:pPr>
            <w:r w:rsidRPr="0075298E">
              <w:rPr>
                <w:rFonts w:cs="Times New Roman"/>
                <w:sz w:val="20"/>
                <w:szCs w:val="20"/>
              </w:rPr>
              <w:t>NaOH</w:t>
            </w:r>
            <w:r>
              <w:rPr>
                <w:rFonts w:cs="Times New Roman"/>
                <w:sz w:val="20"/>
                <w:szCs w:val="20"/>
              </w:rPr>
              <w:t xml:space="preserve"> 0.2</w:t>
            </w:r>
            <w:r w:rsidRPr="0075298E">
              <w:rPr>
                <w:rFonts w:cs="Times New Roman"/>
                <w:sz w:val="20"/>
                <w:szCs w:val="20"/>
              </w:rPr>
              <w:t xml:space="preserve"> mol/L, </w:t>
            </w:r>
            <w:r>
              <w:rPr>
                <w:rFonts w:cs="Times New Roman"/>
                <w:sz w:val="20"/>
                <w:szCs w:val="20"/>
              </w:rPr>
              <w:t>15</w:t>
            </w:r>
            <w:r w:rsidRPr="0075298E">
              <w:rPr>
                <w:rFonts w:cs="Times New Roman"/>
                <w:sz w:val="20"/>
                <w:szCs w:val="20"/>
                <w:vertAlign w:val="superscript"/>
              </w:rPr>
              <w:t>°</w:t>
            </w:r>
            <w:r w:rsidRPr="0075298E">
              <w:rPr>
                <w:rFonts w:cs="Times New Roman"/>
                <w:sz w:val="20"/>
                <w:szCs w:val="20"/>
              </w:rPr>
              <w:t>C (</w:t>
            </w:r>
            <w:r>
              <w:rPr>
                <w:rFonts w:cs="Times New Roman"/>
                <w:sz w:val="20"/>
                <w:szCs w:val="20"/>
              </w:rPr>
              <w:t>1</w:t>
            </w:r>
            <w:r w:rsidRPr="0075298E">
              <w:rPr>
                <w:rFonts w:cs="Times New Roman"/>
                <w:sz w:val="20"/>
                <w:szCs w:val="20"/>
              </w:rPr>
              <w:t>5 mins)</w:t>
            </w:r>
          </w:p>
        </w:tc>
        <w:tc>
          <w:tcPr>
            <w:tcW w:w="1417" w:type="dxa"/>
          </w:tcPr>
          <w:p w14:paraId="1E11C8BD" w14:textId="77777777" w:rsidR="00B252E4" w:rsidRPr="00CD3FFA" w:rsidRDefault="00B252E4" w:rsidP="00B252E4">
            <w:pPr>
              <w:spacing w:line="240" w:lineRule="auto"/>
              <w:rPr>
                <w:rFonts w:cs="Times New Roman"/>
                <w:sz w:val="20"/>
                <w:szCs w:val="20"/>
              </w:rPr>
            </w:pPr>
            <w:r>
              <w:rPr>
                <w:rFonts w:cs="Times New Roman"/>
                <w:sz w:val="20"/>
                <w:szCs w:val="20"/>
              </w:rPr>
              <w:t>5</w:t>
            </w:r>
          </w:p>
        </w:tc>
        <w:tc>
          <w:tcPr>
            <w:tcW w:w="1418" w:type="dxa"/>
          </w:tcPr>
          <w:p w14:paraId="2B4EBA47" w14:textId="77777777" w:rsidR="00B252E4" w:rsidRPr="00CD3FFA" w:rsidRDefault="00B252E4" w:rsidP="00B252E4">
            <w:pPr>
              <w:spacing w:line="240" w:lineRule="auto"/>
              <w:rPr>
                <w:rFonts w:cs="Times New Roman"/>
                <w:sz w:val="20"/>
                <w:szCs w:val="20"/>
              </w:rPr>
            </w:pPr>
            <w:r>
              <w:rPr>
                <w:rFonts w:cs="Times New Roman"/>
                <w:sz w:val="20"/>
                <w:szCs w:val="20"/>
              </w:rPr>
              <w:t>1/5</w:t>
            </w:r>
          </w:p>
        </w:tc>
        <w:tc>
          <w:tcPr>
            <w:tcW w:w="1701" w:type="dxa"/>
          </w:tcPr>
          <w:p w14:paraId="064CF171" w14:textId="77777777" w:rsidR="00B252E4" w:rsidRPr="00CD3FFA" w:rsidRDefault="00B252E4" w:rsidP="00B252E4">
            <w:pPr>
              <w:spacing w:line="240" w:lineRule="auto"/>
              <w:rPr>
                <w:rFonts w:cs="Times New Roman"/>
                <w:sz w:val="20"/>
                <w:szCs w:val="20"/>
              </w:rPr>
            </w:pPr>
            <w:r>
              <w:rPr>
                <w:rFonts w:cs="Times New Roman"/>
                <w:sz w:val="20"/>
                <w:szCs w:val="20"/>
              </w:rPr>
              <w:t>237</w:t>
            </w:r>
          </w:p>
        </w:tc>
        <w:tc>
          <w:tcPr>
            <w:tcW w:w="2615" w:type="dxa"/>
          </w:tcPr>
          <w:p w14:paraId="50D71FA4" w14:textId="48FD581F" w:rsidR="00B252E4" w:rsidRPr="00CD3FFA" w:rsidRDefault="00B252E4" w:rsidP="00B252E4">
            <w:pPr>
              <w:spacing w:line="240" w:lineRule="auto"/>
              <w:rPr>
                <w:rFonts w:cs="Times New Roman"/>
                <w:sz w:val="20"/>
                <w:szCs w:val="20"/>
              </w:rPr>
            </w:pPr>
          </w:p>
        </w:tc>
      </w:tr>
      <w:tr w:rsidR="00B252E4" w:rsidRPr="00CD3FFA" w14:paraId="78705CCE" w14:textId="77777777" w:rsidTr="00931EC4">
        <w:tc>
          <w:tcPr>
            <w:tcW w:w="1733" w:type="dxa"/>
            <w:vMerge/>
          </w:tcPr>
          <w:p w14:paraId="7348D80C" w14:textId="77777777" w:rsidR="00B252E4" w:rsidRPr="00CD3FFA" w:rsidRDefault="00B252E4" w:rsidP="00B252E4">
            <w:pPr>
              <w:spacing w:line="240" w:lineRule="auto"/>
              <w:rPr>
                <w:rFonts w:cs="Times New Roman"/>
                <w:sz w:val="20"/>
                <w:szCs w:val="20"/>
              </w:rPr>
            </w:pPr>
          </w:p>
        </w:tc>
        <w:tc>
          <w:tcPr>
            <w:tcW w:w="1134" w:type="dxa"/>
            <w:vMerge/>
          </w:tcPr>
          <w:p w14:paraId="4C953640" w14:textId="77777777" w:rsidR="00B252E4" w:rsidRPr="00CD3FFA" w:rsidRDefault="00B252E4" w:rsidP="00B252E4">
            <w:pPr>
              <w:spacing w:line="240" w:lineRule="auto"/>
              <w:rPr>
                <w:rFonts w:cs="Times New Roman"/>
                <w:sz w:val="20"/>
                <w:szCs w:val="20"/>
              </w:rPr>
            </w:pPr>
          </w:p>
        </w:tc>
        <w:tc>
          <w:tcPr>
            <w:tcW w:w="3969" w:type="dxa"/>
          </w:tcPr>
          <w:p w14:paraId="134F12B0" w14:textId="77777777" w:rsidR="00B252E4" w:rsidRDefault="00B252E4" w:rsidP="00B252E4">
            <w:pPr>
              <w:spacing w:line="240" w:lineRule="auto"/>
            </w:pPr>
            <w:r w:rsidRPr="0075298E">
              <w:rPr>
                <w:rFonts w:cs="Times New Roman"/>
                <w:sz w:val="20"/>
                <w:szCs w:val="20"/>
              </w:rPr>
              <w:t>NaOH</w:t>
            </w:r>
            <w:r>
              <w:rPr>
                <w:rFonts w:cs="Times New Roman"/>
                <w:sz w:val="20"/>
                <w:szCs w:val="20"/>
              </w:rPr>
              <w:t xml:space="preserve"> 0.2</w:t>
            </w:r>
            <w:r w:rsidRPr="0075298E">
              <w:rPr>
                <w:rFonts w:cs="Times New Roman"/>
                <w:sz w:val="20"/>
                <w:szCs w:val="20"/>
              </w:rPr>
              <w:t xml:space="preserve"> mol/L, </w:t>
            </w:r>
            <w:r>
              <w:rPr>
                <w:rFonts w:cs="Times New Roman"/>
                <w:sz w:val="20"/>
                <w:szCs w:val="20"/>
              </w:rPr>
              <w:t>15</w:t>
            </w:r>
            <w:r w:rsidRPr="0075298E">
              <w:rPr>
                <w:rFonts w:cs="Times New Roman"/>
                <w:sz w:val="20"/>
                <w:szCs w:val="20"/>
                <w:vertAlign w:val="superscript"/>
              </w:rPr>
              <w:t>°</w:t>
            </w:r>
            <w:r w:rsidRPr="0075298E">
              <w:rPr>
                <w:rFonts w:cs="Times New Roman"/>
                <w:sz w:val="20"/>
                <w:szCs w:val="20"/>
              </w:rPr>
              <w:t>C (</w:t>
            </w:r>
            <w:r>
              <w:rPr>
                <w:rFonts w:cs="Times New Roman"/>
                <w:sz w:val="20"/>
                <w:szCs w:val="20"/>
              </w:rPr>
              <w:t>60</w:t>
            </w:r>
            <w:r w:rsidRPr="0075298E">
              <w:rPr>
                <w:rFonts w:cs="Times New Roman"/>
                <w:sz w:val="20"/>
                <w:szCs w:val="20"/>
              </w:rPr>
              <w:t xml:space="preserve"> mins)</w:t>
            </w:r>
          </w:p>
        </w:tc>
        <w:tc>
          <w:tcPr>
            <w:tcW w:w="1417" w:type="dxa"/>
          </w:tcPr>
          <w:p w14:paraId="5B8CB0D1" w14:textId="77777777" w:rsidR="00B252E4" w:rsidRPr="00CD3FFA" w:rsidRDefault="00B252E4" w:rsidP="00B252E4">
            <w:pPr>
              <w:spacing w:line="240" w:lineRule="auto"/>
              <w:rPr>
                <w:rFonts w:cs="Times New Roman"/>
                <w:sz w:val="20"/>
                <w:szCs w:val="20"/>
              </w:rPr>
            </w:pPr>
            <w:r w:rsidRPr="00A81FA5">
              <w:rPr>
                <w:rFonts w:cs="Times New Roman"/>
                <w:sz w:val="20"/>
                <w:szCs w:val="20"/>
                <w:u w:val="single"/>
              </w:rPr>
              <w:t>&gt;</w:t>
            </w:r>
            <w:r>
              <w:rPr>
                <w:rFonts w:cs="Times New Roman"/>
                <w:sz w:val="20"/>
                <w:szCs w:val="20"/>
              </w:rPr>
              <w:t>5</w:t>
            </w:r>
          </w:p>
        </w:tc>
        <w:tc>
          <w:tcPr>
            <w:tcW w:w="1418" w:type="dxa"/>
          </w:tcPr>
          <w:p w14:paraId="3F683BAF" w14:textId="77777777" w:rsidR="00B252E4" w:rsidRPr="00CD3FFA" w:rsidRDefault="00B252E4" w:rsidP="00B252E4">
            <w:pPr>
              <w:spacing w:line="240" w:lineRule="auto"/>
              <w:rPr>
                <w:rFonts w:cs="Times New Roman"/>
                <w:sz w:val="20"/>
                <w:szCs w:val="20"/>
              </w:rPr>
            </w:pPr>
            <w:r>
              <w:rPr>
                <w:rFonts w:cs="Times New Roman"/>
                <w:sz w:val="20"/>
                <w:szCs w:val="20"/>
              </w:rPr>
              <w:t>0/8</w:t>
            </w:r>
          </w:p>
        </w:tc>
        <w:tc>
          <w:tcPr>
            <w:tcW w:w="1701" w:type="dxa"/>
          </w:tcPr>
          <w:p w14:paraId="1CC688C9" w14:textId="408621C2" w:rsidR="00B252E4" w:rsidRPr="00CD3FFA" w:rsidRDefault="00B252E4" w:rsidP="00B252E4">
            <w:pPr>
              <w:spacing w:line="240" w:lineRule="auto"/>
              <w:rPr>
                <w:rFonts w:cs="Times New Roman"/>
                <w:sz w:val="20"/>
                <w:szCs w:val="20"/>
              </w:rPr>
            </w:pPr>
            <w:r>
              <w:rPr>
                <w:rFonts w:cs="Times New Roman"/>
                <w:sz w:val="20"/>
                <w:szCs w:val="20"/>
              </w:rPr>
              <w:t>NR</w:t>
            </w:r>
          </w:p>
        </w:tc>
        <w:tc>
          <w:tcPr>
            <w:tcW w:w="2615" w:type="dxa"/>
          </w:tcPr>
          <w:p w14:paraId="077A4331" w14:textId="3A2A748E" w:rsidR="00B252E4" w:rsidRPr="00CD3FFA" w:rsidRDefault="00B252E4" w:rsidP="00B252E4">
            <w:pPr>
              <w:spacing w:line="240" w:lineRule="auto"/>
              <w:rPr>
                <w:rFonts w:cs="Times New Roman"/>
                <w:sz w:val="20"/>
                <w:szCs w:val="20"/>
              </w:rPr>
            </w:pPr>
          </w:p>
        </w:tc>
      </w:tr>
      <w:tr w:rsidR="00B252E4" w:rsidRPr="00CD3FFA" w14:paraId="4BEAB3FD" w14:textId="77777777" w:rsidTr="00931EC4">
        <w:tc>
          <w:tcPr>
            <w:tcW w:w="1733" w:type="dxa"/>
            <w:vMerge/>
          </w:tcPr>
          <w:p w14:paraId="09A538E9" w14:textId="77777777" w:rsidR="00B252E4" w:rsidRPr="00CD3FFA" w:rsidRDefault="00B252E4" w:rsidP="00B252E4">
            <w:pPr>
              <w:spacing w:line="240" w:lineRule="auto"/>
              <w:rPr>
                <w:rFonts w:cs="Times New Roman"/>
                <w:sz w:val="20"/>
                <w:szCs w:val="20"/>
              </w:rPr>
            </w:pPr>
          </w:p>
        </w:tc>
        <w:tc>
          <w:tcPr>
            <w:tcW w:w="1134" w:type="dxa"/>
            <w:vMerge/>
          </w:tcPr>
          <w:p w14:paraId="2284EFAE" w14:textId="77777777" w:rsidR="00B252E4" w:rsidRPr="00CD3FFA" w:rsidRDefault="00B252E4" w:rsidP="00B252E4">
            <w:pPr>
              <w:spacing w:line="240" w:lineRule="auto"/>
              <w:rPr>
                <w:rFonts w:cs="Times New Roman"/>
                <w:sz w:val="20"/>
                <w:szCs w:val="20"/>
              </w:rPr>
            </w:pPr>
          </w:p>
        </w:tc>
        <w:tc>
          <w:tcPr>
            <w:tcW w:w="3969" w:type="dxa"/>
          </w:tcPr>
          <w:p w14:paraId="60EBA00E" w14:textId="77777777" w:rsidR="00B252E4" w:rsidRDefault="00B252E4" w:rsidP="00B252E4">
            <w:pPr>
              <w:spacing w:line="240" w:lineRule="auto"/>
            </w:pPr>
            <w:r w:rsidRPr="0085162C">
              <w:rPr>
                <w:rFonts w:cs="Times New Roman"/>
                <w:sz w:val="20"/>
                <w:szCs w:val="20"/>
              </w:rPr>
              <w:t>NaOH</w:t>
            </w:r>
            <w:r>
              <w:rPr>
                <w:rFonts w:cs="Times New Roman"/>
                <w:sz w:val="20"/>
                <w:szCs w:val="20"/>
              </w:rPr>
              <w:t xml:space="preserve"> 0.45</w:t>
            </w:r>
            <w:r w:rsidRPr="0085162C">
              <w:rPr>
                <w:rFonts w:cs="Times New Roman"/>
                <w:sz w:val="20"/>
                <w:szCs w:val="20"/>
              </w:rPr>
              <w:t xml:space="preserve"> mol/L, 15</w:t>
            </w:r>
            <w:r w:rsidRPr="0085162C">
              <w:rPr>
                <w:rFonts w:cs="Times New Roman"/>
                <w:sz w:val="20"/>
                <w:szCs w:val="20"/>
                <w:vertAlign w:val="superscript"/>
              </w:rPr>
              <w:t>°</w:t>
            </w:r>
            <w:r w:rsidRPr="0085162C">
              <w:rPr>
                <w:rFonts w:cs="Times New Roman"/>
                <w:sz w:val="20"/>
                <w:szCs w:val="20"/>
              </w:rPr>
              <w:t>C (</w:t>
            </w:r>
            <w:r>
              <w:rPr>
                <w:rFonts w:cs="Times New Roman"/>
                <w:sz w:val="20"/>
                <w:szCs w:val="20"/>
              </w:rPr>
              <w:t>30</w:t>
            </w:r>
            <w:r w:rsidRPr="0085162C">
              <w:rPr>
                <w:rFonts w:cs="Times New Roman"/>
                <w:sz w:val="20"/>
                <w:szCs w:val="20"/>
              </w:rPr>
              <w:t xml:space="preserve"> mins)</w:t>
            </w:r>
          </w:p>
        </w:tc>
        <w:tc>
          <w:tcPr>
            <w:tcW w:w="1417" w:type="dxa"/>
          </w:tcPr>
          <w:p w14:paraId="4A681B9E" w14:textId="77777777" w:rsidR="00B252E4" w:rsidRPr="00CD3FFA" w:rsidRDefault="00B252E4" w:rsidP="00B252E4">
            <w:pPr>
              <w:spacing w:line="240" w:lineRule="auto"/>
              <w:rPr>
                <w:rFonts w:cs="Times New Roman"/>
                <w:sz w:val="20"/>
                <w:szCs w:val="20"/>
              </w:rPr>
            </w:pPr>
            <w:r w:rsidRPr="00A81FA5">
              <w:rPr>
                <w:rFonts w:cs="Times New Roman"/>
                <w:sz w:val="20"/>
                <w:szCs w:val="20"/>
                <w:u w:val="single"/>
              </w:rPr>
              <w:t>&gt;</w:t>
            </w:r>
            <w:r>
              <w:rPr>
                <w:rFonts w:cs="Times New Roman"/>
                <w:sz w:val="20"/>
                <w:szCs w:val="20"/>
              </w:rPr>
              <w:t>5.2</w:t>
            </w:r>
          </w:p>
        </w:tc>
        <w:tc>
          <w:tcPr>
            <w:tcW w:w="1418" w:type="dxa"/>
          </w:tcPr>
          <w:p w14:paraId="16F850C5" w14:textId="77777777" w:rsidR="00B252E4" w:rsidRPr="00CD3FFA" w:rsidRDefault="00B252E4" w:rsidP="00B252E4">
            <w:pPr>
              <w:spacing w:line="240" w:lineRule="auto"/>
              <w:rPr>
                <w:rFonts w:cs="Times New Roman"/>
                <w:sz w:val="20"/>
                <w:szCs w:val="20"/>
              </w:rPr>
            </w:pPr>
            <w:r>
              <w:rPr>
                <w:rFonts w:cs="Times New Roman"/>
                <w:sz w:val="20"/>
                <w:szCs w:val="20"/>
              </w:rPr>
              <w:t>0/8</w:t>
            </w:r>
          </w:p>
        </w:tc>
        <w:tc>
          <w:tcPr>
            <w:tcW w:w="1701" w:type="dxa"/>
          </w:tcPr>
          <w:p w14:paraId="4F3F5D46" w14:textId="3F6D8035" w:rsidR="00B252E4" w:rsidRPr="00CD3FFA" w:rsidRDefault="00B252E4" w:rsidP="00B252E4">
            <w:pPr>
              <w:spacing w:line="240" w:lineRule="auto"/>
              <w:rPr>
                <w:rFonts w:cs="Times New Roman"/>
                <w:sz w:val="20"/>
                <w:szCs w:val="20"/>
              </w:rPr>
            </w:pPr>
            <w:r>
              <w:rPr>
                <w:rFonts w:cs="Times New Roman"/>
                <w:sz w:val="20"/>
                <w:szCs w:val="20"/>
              </w:rPr>
              <w:t>NR</w:t>
            </w:r>
          </w:p>
        </w:tc>
        <w:tc>
          <w:tcPr>
            <w:tcW w:w="2615" w:type="dxa"/>
          </w:tcPr>
          <w:p w14:paraId="4CEA19C0" w14:textId="14263202" w:rsidR="00B252E4" w:rsidRPr="00CD3FFA" w:rsidRDefault="00B252E4" w:rsidP="00B252E4">
            <w:pPr>
              <w:spacing w:line="240" w:lineRule="auto"/>
              <w:rPr>
                <w:rFonts w:cs="Times New Roman"/>
                <w:sz w:val="20"/>
                <w:szCs w:val="20"/>
              </w:rPr>
            </w:pPr>
          </w:p>
        </w:tc>
      </w:tr>
      <w:tr w:rsidR="00B252E4" w:rsidRPr="00971F99" w14:paraId="6BB2DA47" w14:textId="77777777" w:rsidTr="00931EC4">
        <w:tc>
          <w:tcPr>
            <w:tcW w:w="1733" w:type="dxa"/>
            <w:vMerge/>
          </w:tcPr>
          <w:p w14:paraId="0607D791" w14:textId="77777777" w:rsidR="00B252E4" w:rsidRPr="00CD3FFA" w:rsidRDefault="00B252E4" w:rsidP="00B252E4">
            <w:pPr>
              <w:spacing w:line="240" w:lineRule="auto"/>
              <w:rPr>
                <w:rFonts w:cs="Times New Roman"/>
                <w:sz w:val="20"/>
                <w:szCs w:val="20"/>
              </w:rPr>
            </w:pPr>
          </w:p>
        </w:tc>
        <w:tc>
          <w:tcPr>
            <w:tcW w:w="1134" w:type="dxa"/>
            <w:vMerge/>
          </w:tcPr>
          <w:p w14:paraId="75E5834E" w14:textId="77777777" w:rsidR="00B252E4" w:rsidRPr="00CD3FFA" w:rsidRDefault="00B252E4" w:rsidP="00B252E4">
            <w:pPr>
              <w:spacing w:line="240" w:lineRule="auto"/>
              <w:rPr>
                <w:rFonts w:cs="Times New Roman"/>
                <w:sz w:val="20"/>
                <w:szCs w:val="20"/>
              </w:rPr>
            </w:pPr>
          </w:p>
        </w:tc>
        <w:tc>
          <w:tcPr>
            <w:tcW w:w="3969" w:type="dxa"/>
          </w:tcPr>
          <w:p w14:paraId="00EB38EE" w14:textId="77777777" w:rsidR="00B252E4" w:rsidRDefault="00B252E4" w:rsidP="00B252E4">
            <w:pPr>
              <w:spacing w:line="240" w:lineRule="auto"/>
            </w:pPr>
            <w:r w:rsidRPr="0085162C">
              <w:rPr>
                <w:rFonts w:cs="Times New Roman"/>
                <w:sz w:val="20"/>
                <w:szCs w:val="20"/>
              </w:rPr>
              <w:t>NaOH</w:t>
            </w:r>
            <w:r>
              <w:rPr>
                <w:rFonts w:cs="Times New Roman"/>
                <w:sz w:val="20"/>
                <w:szCs w:val="20"/>
              </w:rPr>
              <w:t xml:space="preserve"> 0.45</w:t>
            </w:r>
            <w:r w:rsidRPr="0085162C">
              <w:rPr>
                <w:rFonts w:cs="Times New Roman"/>
                <w:sz w:val="20"/>
                <w:szCs w:val="20"/>
              </w:rPr>
              <w:t xml:space="preserve"> mol/L, 15</w:t>
            </w:r>
            <w:r w:rsidRPr="0085162C">
              <w:rPr>
                <w:rFonts w:cs="Times New Roman"/>
                <w:sz w:val="20"/>
                <w:szCs w:val="20"/>
                <w:vertAlign w:val="superscript"/>
              </w:rPr>
              <w:t>°</w:t>
            </w:r>
            <w:r w:rsidRPr="0085162C">
              <w:rPr>
                <w:rFonts w:cs="Times New Roman"/>
                <w:sz w:val="20"/>
                <w:szCs w:val="20"/>
              </w:rPr>
              <w:t>C (</w:t>
            </w:r>
            <w:r>
              <w:rPr>
                <w:rFonts w:cs="Times New Roman"/>
                <w:sz w:val="20"/>
                <w:szCs w:val="20"/>
              </w:rPr>
              <w:t>60</w:t>
            </w:r>
            <w:r w:rsidRPr="0085162C">
              <w:rPr>
                <w:rFonts w:cs="Times New Roman"/>
                <w:sz w:val="20"/>
                <w:szCs w:val="20"/>
              </w:rPr>
              <w:t xml:space="preserve"> mins)</w:t>
            </w:r>
          </w:p>
        </w:tc>
        <w:tc>
          <w:tcPr>
            <w:tcW w:w="1417" w:type="dxa"/>
          </w:tcPr>
          <w:p w14:paraId="5AF3C406" w14:textId="77777777" w:rsidR="00B252E4" w:rsidRPr="00CD3FFA" w:rsidRDefault="00B252E4" w:rsidP="00B252E4">
            <w:pPr>
              <w:spacing w:line="240" w:lineRule="auto"/>
              <w:rPr>
                <w:rFonts w:cs="Times New Roman"/>
                <w:sz w:val="20"/>
                <w:szCs w:val="20"/>
              </w:rPr>
            </w:pPr>
            <w:r w:rsidRPr="00A81FA5">
              <w:rPr>
                <w:rFonts w:cs="Times New Roman"/>
                <w:sz w:val="20"/>
                <w:szCs w:val="20"/>
                <w:u w:val="single"/>
              </w:rPr>
              <w:t>&gt;</w:t>
            </w:r>
            <w:r>
              <w:rPr>
                <w:rFonts w:cs="Times New Roman"/>
                <w:sz w:val="20"/>
                <w:szCs w:val="20"/>
              </w:rPr>
              <w:t>5.2</w:t>
            </w:r>
          </w:p>
        </w:tc>
        <w:tc>
          <w:tcPr>
            <w:tcW w:w="1418" w:type="dxa"/>
          </w:tcPr>
          <w:p w14:paraId="54B3F18C" w14:textId="77777777" w:rsidR="00B252E4" w:rsidRPr="00CD3FFA" w:rsidRDefault="00B252E4" w:rsidP="00B252E4">
            <w:pPr>
              <w:spacing w:line="240" w:lineRule="auto"/>
              <w:rPr>
                <w:rFonts w:cs="Times New Roman"/>
                <w:sz w:val="20"/>
                <w:szCs w:val="20"/>
              </w:rPr>
            </w:pPr>
            <w:r>
              <w:rPr>
                <w:rFonts w:cs="Times New Roman"/>
                <w:sz w:val="20"/>
                <w:szCs w:val="20"/>
              </w:rPr>
              <w:t>0/8</w:t>
            </w:r>
          </w:p>
        </w:tc>
        <w:tc>
          <w:tcPr>
            <w:tcW w:w="1701" w:type="dxa"/>
          </w:tcPr>
          <w:p w14:paraId="16466539" w14:textId="442DA444" w:rsidR="00B252E4" w:rsidRPr="00CD3FFA" w:rsidRDefault="00B252E4" w:rsidP="00B252E4">
            <w:pPr>
              <w:spacing w:line="240" w:lineRule="auto"/>
              <w:rPr>
                <w:rFonts w:cs="Times New Roman"/>
                <w:sz w:val="20"/>
                <w:szCs w:val="20"/>
              </w:rPr>
            </w:pPr>
            <w:r>
              <w:rPr>
                <w:rFonts w:cs="Times New Roman"/>
                <w:sz w:val="20"/>
                <w:szCs w:val="20"/>
              </w:rPr>
              <w:t>NR</w:t>
            </w:r>
          </w:p>
        </w:tc>
        <w:tc>
          <w:tcPr>
            <w:tcW w:w="2615" w:type="dxa"/>
          </w:tcPr>
          <w:p w14:paraId="25A5FB9F" w14:textId="18593837" w:rsidR="00B252E4" w:rsidRPr="00CD3FFA" w:rsidRDefault="00B252E4" w:rsidP="00B252E4">
            <w:pPr>
              <w:spacing w:line="240" w:lineRule="auto"/>
              <w:rPr>
                <w:rFonts w:cs="Times New Roman"/>
                <w:sz w:val="20"/>
                <w:szCs w:val="20"/>
              </w:rPr>
            </w:pPr>
          </w:p>
        </w:tc>
      </w:tr>
      <w:tr w:rsidR="00B252E4" w:rsidRPr="00971F99" w14:paraId="73085DB2" w14:textId="77777777" w:rsidTr="00931EC4">
        <w:tc>
          <w:tcPr>
            <w:tcW w:w="1733" w:type="dxa"/>
            <w:vMerge/>
          </w:tcPr>
          <w:p w14:paraId="476CB5A0" w14:textId="77777777" w:rsidR="00B252E4" w:rsidRPr="00CD3FFA" w:rsidRDefault="00B252E4" w:rsidP="00B252E4">
            <w:pPr>
              <w:spacing w:line="240" w:lineRule="auto"/>
              <w:rPr>
                <w:rFonts w:cs="Times New Roman"/>
                <w:sz w:val="20"/>
                <w:szCs w:val="20"/>
              </w:rPr>
            </w:pPr>
          </w:p>
        </w:tc>
        <w:tc>
          <w:tcPr>
            <w:tcW w:w="1134" w:type="dxa"/>
            <w:vMerge/>
          </w:tcPr>
          <w:p w14:paraId="3080A141" w14:textId="77777777" w:rsidR="00B252E4" w:rsidRPr="00CD3FFA" w:rsidRDefault="00B252E4" w:rsidP="00B252E4">
            <w:pPr>
              <w:spacing w:line="240" w:lineRule="auto"/>
              <w:rPr>
                <w:rFonts w:cs="Times New Roman"/>
                <w:sz w:val="20"/>
                <w:szCs w:val="20"/>
              </w:rPr>
            </w:pPr>
          </w:p>
        </w:tc>
        <w:tc>
          <w:tcPr>
            <w:tcW w:w="3969" w:type="dxa"/>
          </w:tcPr>
          <w:p w14:paraId="51B70431" w14:textId="77777777" w:rsidR="00B252E4" w:rsidRDefault="00B252E4" w:rsidP="00B252E4">
            <w:pPr>
              <w:spacing w:line="240" w:lineRule="auto"/>
            </w:pPr>
            <w:r w:rsidRPr="0075298E">
              <w:rPr>
                <w:rFonts w:cs="Times New Roman"/>
                <w:sz w:val="20"/>
                <w:szCs w:val="20"/>
              </w:rPr>
              <w:t>NaOH</w:t>
            </w:r>
            <w:r>
              <w:rPr>
                <w:rFonts w:cs="Times New Roman"/>
                <w:sz w:val="20"/>
                <w:szCs w:val="20"/>
              </w:rPr>
              <w:t xml:space="preserve"> 0.1</w:t>
            </w:r>
            <w:r w:rsidRPr="0075298E">
              <w:rPr>
                <w:rFonts w:cs="Times New Roman"/>
                <w:sz w:val="20"/>
                <w:szCs w:val="20"/>
              </w:rPr>
              <w:t>5 mol/L, 25</w:t>
            </w:r>
            <w:r w:rsidRPr="0075298E">
              <w:rPr>
                <w:rFonts w:cs="Times New Roman"/>
                <w:sz w:val="20"/>
                <w:szCs w:val="20"/>
                <w:vertAlign w:val="superscript"/>
              </w:rPr>
              <w:t xml:space="preserve"> °</w:t>
            </w:r>
            <w:r w:rsidRPr="0075298E">
              <w:rPr>
                <w:rFonts w:cs="Times New Roman"/>
                <w:sz w:val="20"/>
                <w:szCs w:val="20"/>
              </w:rPr>
              <w:t>C (</w:t>
            </w:r>
            <w:r>
              <w:rPr>
                <w:rFonts w:cs="Times New Roman"/>
                <w:sz w:val="20"/>
                <w:szCs w:val="20"/>
              </w:rPr>
              <w:t xml:space="preserve">60 </w:t>
            </w:r>
            <w:r w:rsidRPr="0075298E">
              <w:rPr>
                <w:rFonts w:cs="Times New Roman"/>
                <w:sz w:val="20"/>
                <w:szCs w:val="20"/>
              </w:rPr>
              <w:t>mins)</w:t>
            </w:r>
          </w:p>
        </w:tc>
        <w:tc>
          <w:tcPr>
            <w:tcW w:w="1417" w:type="dxa"/>
          </w:tcPr>
          <w:p w14:paraId="7528B3E0" w14:textId="77777777" w:rsidR="00B252E4" w:rsidRPr="00CD3FFA" w:rsidRDefault="00B252E4" w:rsidP="00B252E4">
            <w:pPr>
              <w:spacing w:line="240" w:lineRule="auto"/>
              <w:rPr>
                <w:rFonts w:cs="Times New Roman"/>
                <w:sz w:val="20"/>
                <w:szCs w:val="20"/>
              </w:rPr>
            </w:pPr>
            <w:r>
              <w:rPr>
                <w:rFonts w:cs="Times New Roman"/>
                <w:sz w:val="20"/>
                <w:szCs w:val="20"/>
              </w:rPr>
              <w:t>4.1</w:t>
            </w:r>
          </w:p>
        </w:tc>
        <w:tc>
          <w:tcPr>
            <w:tcW w:w="1418" w:type="dxa"/>
          </w:tcPr>
          <w:p w14:paraId="35897DAE" w14:textId="77777777" w:rsidR="00B252E4" w:rsidRPr="00CD3FFA" w:rsidRDefault="00B252E4" w:rsidP="00B252E4">
            <w:pPr>
              <w:spacing w:line="240" w:lineRule="auto"/>
              <w:rPr>
                <w:rFonts w:cs="Times New Roman"/>
                <w:sz w:val="20"/>
                <w:szCs w:val="20"/>
              </w:rPr>
            </w:pPr>
            <w:r>
              <w:rPr>
                <w:rFonts w:cs="Times New Roman"/>
                <w:sz w:val="20"/>
                <w:szCs w:val="20"/>
              </w:rPr>
              <w:t>5/9</w:t>
            </w:r>
          </w:p>
        </w:tc>
        <w:tc>
          <w:tcPr>
            <w:tcW w:w="1701" w:type="dxa"/>
          </w:tcPr>
          <w:p w14:paraId="76A745DD" w14:textId="77777777" w:rsidR="00B252E4" w:rsidRPr="00CD3FFA" w:rsidRDefault="00B252E4" w:rsidP="00B252E4">
            <w:pPr>
              <w:spacing w:line="240" w:lineRule="auto"/>
              <w:rPr>
                <w:rFonts w:cs="Times New Roman"/>
                <w:sz w:val="20"/>
                <w:szCs w:val="20"/>
              </w:rPr>
            </w:pPr>
            <w:r>
              <w:rPr>
                <w:rFonts w:cs="Times New Roman"/>
                <w:sz w:val="20"/>
                <w:szCs w:val="20"/>
              </w:rPr>
              <w:t>215</w:t>
            </w:r>
          </w:p>
        </w:tc>
        <w:tc>
          <w:tcPr>
            <w:tcW w:w="2615" w:type="dxa"/>
          </w:tcPr>
          <w:p w14:paraId="0A301E55" w14:textId="31CE6661" w:rsidR="00B252E4" w:rsidRPr="00CD3FFA" w:rsidRDefault="00B252E4" w:rsidP="00B252E4">
            <w:pPr>
              <w:spacing w:line="240" w:lineRule="auto"/>
              <w:rPr>
                <w:rFonts w:cs="Times New Roman"/>
                <w:sz w:val="20"/>
                <w:szCs w:val="20"/>
              </w:rPr>
            </w:pPr>
          </w:p>
        </w:tc>
      </w:tr>
      <w:tr w:rsidR="00B252E4" w:rsidRPr="00971F99" w14:paraId="2D5BB3B7" w14:textId="77777777" w:rsidTr="00931EC4">
        <w:tc>
          <w:tcPr>
            <w:tcW w:w="1733" w:type="dxa"/>
            <w:vMerge/>
          </w:tcPr>
          <w:p w14:paraId="22FF660F" w14:textId="77777777" w:rsidR="00B252E4" w:rsidRPr="00CD3FFA" w:rsidRDefault="00B252E4" w:rsidP="00B252E4">
            <w:pPr>
              <w:spacing w:line="240" w:lineRule="auto"/>
              <w:rPr>
                <w:rFonts w:cs="Times New Roman"/>
                <w:sz w:val="20"/>
                <w:szCs w:val="20"/>
              </w:rPr>
            </w:pPr>
          </w:p>
        </w:tc>
        <w:tc>
          <w:tcPr>
            <w:tcW w:w="1134" w:type="dxa"/>
            <w:vMerge/>
          </w:tcPr>
          <w:p w14:paraId="3AFB129C" w14:textId="77777777" w:rsidR="00B252E4" w:rsidRPr="00CD3FFA" w:rsidRDefault="00B252E4" w:rsidP="00B252E4">
            <w:pPr>
              <w:spacing w:line="240" w:lineRule="auto"/>
              <w:rPr>
                <w:rFonts w:cs="Times New Roman"/>
                <w:sz w:val="20"/>
                <w:szCs w:val="20"/>
              </w:rPr>
            </w:pPr>
          </w:p>
        </w:tc>
        <w:tc>
          <w:tcPr>
            <w:tcW w:w="3969" w:type="dxa"/>
          </w:tcPr>
          <w:p w14:paraId="4D05B740" w14:textId="77777777" w:rsidR="00B252E4" w:rsidRDefault="00B252E4" w:rsidP="00B252E4">
            <w:pPr>
              <w:spacing w:line="240" w:lineRule="auto"/>
            </w:pPr>
            <w:r w:rsidRPr="0075298E">
              <w:rPr>
                <w:rFonts w:cs="Times New Roman"/>
                <w:sz w:val="20"/>
                <w:szCs w:val="20"/>
              </w:rPr>
              <w:t>NaOH 0.45 mol/L, 25</w:t>
            </w:r>
            <w:r w:rsidRPr="0075298E">
              <w:rPr>
                <w:rFonts w:cs="Times New Roman"/>
                <w:sz w:val="20"/>
                <w:szCs w:val="20"/>
                <w:vertAlign w:val="superscript"/>
              </w:rPr>
              <w:t xml:space="preserve"> °</w:t>
            </w:r>
            <w:r w:rsidRPr="0075298E">
              <w:rPr>
                <w:rFonts w:cs="Times New Roman"/>
                <w:sz w:val="20"/>
                <w:szCs w:val="20"/>
              </w:rPr>
              <w:t>C (</w:t>
            </w:r>
            <w:r>
              <w:rPr>
                <w:rFonts w:cs="Times New Roman"/>
                <w:sz w:val="20"/>
                <w:szCs w:val="20"/>
              </w:rPr>
              <w:t>60</w:t>
            </w:r>
            <w:r w:rsidRPr="0075298E">
              <w:rPr>
                <w:rFonts w:cs="Times New Roman"/>
                <w:sz w:val="20"/>
                <w:szCs w:val="20"/>
              </w:rPr>
              <w:t xml:space="preserve"> mins)</w:t>
            </w:r>
          </w:p>
        </w:tc>
        <w:tc>
          <w:tcPr>
            <w:tcW w:w="1417" w:type="dxa"/>
          </w:tcPr>
          <w:p w14:paraId="6F53DE26" w14:textId="77777777" w:rsidR="00B252E4" w:rsidRPr="00CD3FFA" w:rsidRDefault="00B252E4" w:rsidP="00B252E4">
            <w:pPr>
              <w:spacing w:line="240" w:lineRule="auto"/>
              <w:rPr>
                <w:rFonts w:cs="Times New Roman"/>
                <w:sz w:val="20"/>
                <w:szCs w:val="20"/>
              </w:rPr>
            </w:pPr>
            <w:r>
              <w:rPr>
                <w:rFonts w:cs="Times New Roman"/>
                <w:sz w:val="20"/>
                <w:szCs w:val="20"/>
              </w:rPr>
              <w:t>4.7</w:t>
            </w:r>
          </w:p>
        </w:tc>
        <w:tc>
          <w:tcPr>
            <w:tcW w:w="1418" w:type="dxa"/>
          </w:tcPr>
          <w:p w14:paraId="7F7E5814" w14:textId="77777777" w:rsidR="00B252E4" w:rsidRPr="00CD3FFA" w:rsidRDefault="00B252E4" w:rsidP="00B252E4">
            <w:pPr>
              <w:spacing w:line="240" w:lineRule="auto"/>
              <w:rPr>
                <w:rFonts w:cs="Times New Roman"/>
                <w:sz w:val="20"/>
                <w:szCs w:val="20"/>
              </w:rPr>
            </w:pPr>
            <w:r>
              <w:rPr>
                <w:rFonts w:cs="Times New Roman"/>
                <w:sz w:val="20"/>
                <w:szCs w:val="20"/>
              </w:rPr>
              <w:t>3/10</w:t>
            </w:r>
          </w:p>
        </w:tc>
        <w:tc>
          <w:tcPr>
            <w:tcW w:w="1701" w:type="dxa"/>
          </w:tcPr>
          <w:p w14:paraId="2D05F645" w14:textId="77777777" w:rsidR="00B252E4" w:rsidRPr="00CD3FFA" w:rsidRDefault="00B252E4" w:rsidP="00B252E4">
            <w:pPr>
              <w:spacing w:line="240" w:lineRule="auto"/>
              <w:rPr>
                <w:rFonts w:cs="Times New Roman"/>
                <w:sz w:val="20"/>
                <w:szCs w:val="20"/>
              </w:rPr>
            </w:pPr>
            <w:r>
              <w:rPr>
                <w:rFonts w:cs="Times New Roman"/>
                <w:sz w:val="20"/>
                <w:szCs w:val="20"/>
              </w:rPr>
              <w:t>382</w:t>
            </w:r>
          </w:p>
        </w:tc>
        <w:tc>
          <w:tcPr>
            <w:tcW w:w="2615" w:type="dxa"/>
          </w:tcPr>
          <w:p w14:paraId="58C58A69" w14:textId="1A7E4489" w:rsidR="00B252E4" w:rsidRPr="00CD3FFA" w:rsidRDefault="00B252E4" w:rsidP="00B252E4">
            <w:pPr>
              <w:spacing w:line="240" w:lineRule="auto"/>
              <w:rPr>
                <w:rFonts w:cs="Times New Roman"/>
                <w:sz w:val="20"/>
                <w:szCs w:val="20"/>
              </w:rPr>
            </w:pPr>
          </w:p>
        </w:tc>
      </w:tr>
      <w:tr w:rsidR="00B252E4" w:rsidRPr="00971F99" w14:paraId="65E2EF6E" w14:textId="77777777" w:rsidTr="00931EC4">
        <w:tc>
          <w:tcPr>
            <w:tcW w:w="1733" w:type="dxa"/>
            <w:vMerge/>
          </w:tcPr>
          <w:p w14:paraId="320A3797" w14:textId="77777777" w:rsidR="00B252E4" w:rsidRPr="00CD3FFA" w:rsidRDefault="00B252E4" w:rsidP="00B252E4">
            <w:pPr>
              <w:spacing w:line="240" w:lineRule="auto"/>
              <w:rPr>
                <w:rFonts w:cs="Times New Roman"/>
                <w:sz w:val="20"/>
                <w:szCs w:val="20"/>
              </w:rPr>
            </w:pPr>
          </w:p>
        </w:tc>
        <w:tc>
          <w:tcPr>
            <w:tcW w:w="1134" w:type="dxa"/>
            <w:vMerge/>
          </w:tcPr>
          <w:p w14:paraId="4D0379F7" w14:textId="77777777" w:rsidR="00B252E4" w:rsidRPr="00CD3FFA" w:rsidRDefault="00B252E4" w:rsidP="00B252E4">
            <w:pPr>
              <w:spacing w:line="240" w:lineRule="auto"/>
              <w:rPr>
                <w:rFonts w:cs="Times New Roman"/>
                <w:sz w:val="20"/>
                <w:szCs w:val="20"/>
              </w:rPr>
            </w:pPr>
          </w:p>
        </w:tc>
        <w:tc>
          <w:tcPr>
            <w:tcW w:w="3969" w:type="dxa"/>
          </w:tcPr>
          <w:p w14:paraId="196AD7F8" w14:textId="77777777" w:rsidR="00B252E4" w:rsidRDefault="00B252E4" w:rsidP="00B252E4">
            <w:pPr>
              <w:spacing w:line="240" w:lineRule="auto"/>
            </w:pPr>
            <w:r w:rsidRPr="0075298E">
              <w:rPr>
                <w:rFonts w:cs="Times New Roman"/>
                <w:sz w:val="20"/>
                <w:szCs w:val="20"/>
              </w:rPr>
              <w:t>NaOH</w:t>
            </w:r>
            <w:r>
              <w:rPr>
                <w:rFonts w:cs="Times New Roman"/>
                <w:sz w:val="20"/>
                <w:szCs w:val="20"/>
              </w:rPr>
              <w:t xml:space="preserve"> 0.</w:t>
            </w:r>
            <w:r w:rsidRPr="0075298E">
              <w:rPr>
                <w:rFonts w:cs="Times New Roman"/>
                <w:sz w:val="20"/>
                <w:szCs w:val="20"/>
              </w:rPr>
              <w:t>45 mol/L, 25</w:t>
            </w:r>
            <w:r w:rsidRPr="0075298E">
              <w:rPr>
                <w:rFonts w:cs="Times New Roman"/>
                <w:sz w:val="20"/>
                <w:szCs w:val="20"/>
                <w:vertAlign w:val="superscript"/>
              </w:rPr>
              <w:t xml:space="preserve"> °</w:t>
            </w:r>
            <w:r w:rsidRPr="0075298E">
              <w:rPr>
                <w:rFonts w:cs="Times New Roman"/>
                <w:sz w:val="20"/>
                <w:szCs w:val="20"/>
              </w:rPr>
              <w:t>C (240 mins)</w:t>
            </w:r>
          </w:p>
        </w:tc>
        <w:tc>
          <w:tcPr>
            <w:tcW w:w="1417" w:type="dxa"/>
          </w:tcPr>
          <w:p w14:paraId="32EBF367" w14:textId="77777777" w:rsidR="00B252E4" w:rsidRPr="00CD3FFA" w:rsidRDefault="00B252E4" w:rsidP="00B252E4">
            <w:pPr>
              <w:spacing w:line="240" w:lineRule="auto"/>
              <w:rPr>
                <w:rFonts w:cs="Times New Roman"/>
                <w:sz w:val="20"/>
                <w:szCs w:val="20"/>
              </w:rPr>
            </w:pPr>
            <w:r w:rsidRPr="00A81FA5">
              <w:rPr>
                <w:rFonts w:cs="Times New Roman"/>
                <w:sz w:val="20"/>
                <w:szCs w:val="20"/>
                <w:u w:val="single"/>
              </w:rPr>
              <w:t>&gt;</w:t>
            </w:r>
            <w:r>
              <w:rPr>
                <w:rFonts w:cs="Times New Roman"/>
                <w:sz w:val="20"/>
                <w:szCs w:val="20"/>
              </w:rPr>
              <w:t>5.4</w:t>
            </w:r>
          </w:p>
        </w:tc>
        <w:tc>
          <w:tcPr>
            <w:tcW w:w="1418" w:type="dxa"/>
          </w:tcPr>
          <w:p w14:paraId="20E573A3" w14:textId="77777777" w:rsidR="00B252E4" w:rsidRPr="00CD3FFA" w:rsidRDefault="00B252E4" w:rsidP="00B252E4">
            <w:pPr>
              <w:spacing w:line="240" w:lineRule="auto"/>
              <w:rPr>
                <w:rFonts w:cs="Times New Roman"/>
                <w:sz w:val="20"/>
                <w:szCs w:val="20"/>
              </w:rPr>
            </w:pPr>
            <w:r>
              <w:rPr>
                <w:rFonts w:cs="Times New Roman"/>
                <w:sz w:val="20"/>
                <w:szCs w:val="20"/>
              </w:rPr>
              <w:t>0/8</w:t>
            </w:r>
          </w:p>
        </w:tc>
        <w:tc>
          <w:tcPr>
            <w:tcW w:w="1701" w:type="dxa"/>
          </w:tcPr>
          <w:p w14:paraId="1D91F70E" w14:textId="34A4CCD9" w:rsidR="00B252E4" w:rsidRPr="00CD3FFA" w:rsidRDefault="00B252E4" w:rsidP="00B252E4">
            <w:pPr>
              <w:spacing w:line="240" w:lineRule="auto"/>
              <w:rPr>
                <w:rFonts w:cs="Times New Roman"/>
                <w:sz w:val="20"/>
                <w:szCs w:val="20"/>
              </w:rPr>
            </w:pPr>
            <w:r>
              <w:rPr>
                <w:rFonts w:cs="Times New Roman"/>
                <w:sz w:val="20"/>
                <w:szCs w:val="20"/>
              </w:rPr>
              <w:t>NR</w:t>
            </w:r>
          </w:p>
        </w:tc>
        <w:tc>
          <w:tcPr>
            <w:tcW w:w="2615" w:type="dxa"/>
          </w:tcPr>
          <w:p w14:paraId="03BF8877" w14:textId="79180126" w:rsidR="00B252E4" w:rsidRPr="00CD3FFA" w:rsidRDefault="00B252E4" w:rsidP="00B252E4">
            <w:pPr>
              <w:spacing w:line="240" w:lineRule="auto"/>
              <w:rPr>
                <w:rFonts w:cs="Times New Roman"/>
                <w:sz w:val="20"/>
                <w:szCs w:val="20"/>
              </w:rPr>
            </w:pPr>
          </w:p>
        </w:tc>
      </w:tr>
      <w:tr w:rsidR="00B252E4" w:rsidRPr="00971F99" w14:paraId="789E9BB1" w14:textId="77777777" w:rsidTr="00931EC4">
        <w:tc>
          <w:tcPr>
            <w:tcW w:w="1733" w:type="dxa"/>
            <w:vMerge/>
          </w:tcPr>
          <w:p w14:paraId="4E0843A0" w14:textId="77777777" w:rsidR="00B252E4" w:rsidRPr="00CD3FFA" w:rsidRDefault="00B252E4" w:rsidP="00B252E4">
            <w:pPr>
              <w:spacing w:line="240" w:lineRule="auto"/>
              <w:rPr>
                <w:rFonts w:cs="Times New Roman"/>
                <w:sz w:val="20"/>
                <w:szCs w:val="20"/>
              </w:rPr>
            </w:pPr>
          </w:p>
        </w:tc>
        <w:tc>
          <w:tcPr>
            <w:tcW w:w="1134" w:type="dxa"/>
            <w:vMerge/>
          </w:tcPr>
          <w:p w14:paraId="2E1723D9" w14:textId="77777777" w:rsidR="00B252E4" w:rsidRPr="00CD3FFA" w:rsidRDefault="00B252E4" w:rsidP="00B252E4">
            <w:pPr>
              <w:spacing w:line="240" w:lineRule="auto"/>
              <w:rPr>
                <w:rFonts w:cs="Times New Roman"/>
                <w:sz w:val="20"/>
                <w:szCs w:val="20"/>
              </w:rPr>
            </w:pPr>
          </w:p>
        </w:tc>
        <w:tc>
          <w:tcPr>
            <w:tcW w:w="3969" w:type="dxa"/>
          </w:tcPr>
          <w:p w14:paraId="48C703B0" w14:textId="77777777" w:rsidR="00B252E4" w:rsidRDefault="00B252E4" w:rsidP="00B252E4">
            <w:pPr>
              <w:spacing w:line="240" w:lineRule="auto"/>
            </w:pPr>
            <w:r w:rsidRPr="0075298E">
              <w:rPr>
                <w:rFonts w:cs="Times New Roman"/>
                <w:sz w:val="20"/>
                <w:szCs w:val="20"/>
              </w:rPr>
              <w:t>NaOH</w:t>
            </w:r>
            <w:r>
              <w:rPr>
                <w:rFonts w:cs="Times New Roman"/>
                <w:sz w:val="20"/>
                <w:szCs w:val="20"/>
              </w:rPr>
              <w:t xml:space="preserve"> 0.45</w:t>
            </w:r>
            <w:r w:rsidRPr="0075298E">
              <w:rPr>
                <w:rFonts w:cs="Times New Roman"/>
                <w:sz w:val="20"/>
                <w:szCs w:val="20"/>
              </w:rPr>
              <w:t xml:space="preserve"> mol/L, </w:t>
            </w:r>
            <w:r>
              <w:rPr>
                <w:rFonts w:cs="Times New Roman"/>
                <w:sz w:val="20"/>
                <w:szCs w:val="20"/>
              </w:rPr>
              <w:t>40</w:t>
            </w:r>
            <w:r w:rsidRPr="0075298E">
              <w:rPr>
                <w:rFonts w:cs="Times New Roman"/>
                <w:sz w:val="20"/>
                <w:szCs w:val="20"/>
                <w:vertAlign w:val="superscript"/>
              </w:rPr>
              <w:t>°</w:t>
            </w:r>
            <w:r w:rsidRPr="0075298E">
              <w:rPr>
                <w:rFonts w:cs="Times New Roman"/>
                <w:sz w:val="20"/>
                <w:szCs w:val="20"/>
              </w:rPr>
              <w:t>C (5 mins)</w:t>
            </w:r>
          </w:p>
        </w:tc>
        <w:tc>
          <w:tcPr>
            <w:tcW w:w="1417" w:type="dxa"/>
          </w:tcPr>
          <w:p w14:paraId="15E55833" w14:textId="77777777" w:rsidR="00B252E4" w:rsidRPr="00CD3FFA" w:rsidRDefault="00B252E4" w:rsidP="00B252E4">
            <w:pPr>
              <w:spacing w:line="240" w:lineRule="auto"/>
              <w:rPr>
                <w:rFonts w:cs="Times New Roman"/>
                <w:sz w:val="20"/>
                <w:szCs w:val="20"/>
              </w:rPr>
            </w:pPr>
            <w:r w:rsidRPr="00A81FA5">
              <w:rPr>
                <w:rFonts w:cs="Times New Roman"/>
                <w:sz w:val="20"/>
                <w:szCs w:val="20"/>
                <w:u w:val="single"/>
              </w:rPr>
              <w:t>&gt;</w:t>
            </w:r>
            <w:r>
              <w:rPr>
                <w:rFonts w:cs="Times New Roman"/>
                <w:sz w:val="20"/>
                <w:szCs w:val="20"/>
              </w:rPr>
              <w:t>5.3</w:t>
            </w:r>
          </w:p>
        </w:tc>
        <w:tc>
          <w:tcPr>
            <w:tcW w:w="1418" w:type="dxa"/>
          </w:tcPr>
          <w:p w14:paraId="1A75472A" w14:textId="77777777" w:rsidR="00B252E4" w:rsidRPr="00CD3FFA" w:rsidRDefault="00B252E4" w:rsidP="00B252E4">
            <w:pPr>
              <w:spacing w:line="240" w:lineRule="auto"/>
              <w:rPr>
                <w:rFonts w:cs="Times New Roman"/>
                <w:sz w:val="20"/>
                <w:szCs w:val="20"/>
              </w:rPr>
            </w:pPr>
            <w:r>
              <w:rPr>
                <w:rFonts w:cs="Times New Roman"/>
                <w:sz w:val="20"/>
                <w:szCs w:val="20"/>
              </w:rPr>
              <w:t>0/8</w:t>
            </w:r>
          </w:p>
        </w:tc>
        <w:tc>
          <w:tcPr>
            <w:tcW w:w="1701" w:type="dxa"/>
          </w:tcPr>
          <w:p w14:paraId="2037D74C" w14:textId="3EB38871" w:rsidR="00B252E4" w:rsidRPr="00CD3FFA" w:rsidRDefault="00B252E4" w:rsidP="00B252E4">
            <w:pPr>
              <w:spacing w:line="240" w:lineRule="auto"/>
              <w:rPr>
                <w:rFonts w:cs="Times New Roman"/>
                <w:sz w:val="20"/>
                <w:szCs w:val="20"/>
              </w:rPr>
            </w:pPr>
            <w:r>
              <w:rPr>
                <w:rFonts w:cs="Times New Roman"/>
                <w:sz w:val="20"/>
                <w:szCs w:val="20"/>
              </w:rPr>
              <w:t>NR</w:t>
            </w:r>
          </w:p>
        </w:tc>
        <w:tc>
          <w:tcPr>
            <w:tcW w:w="2615" w:type="dxa"/>
          </w:tcPr>
          <w:p w14:paraId="194B4B90" w14:textId="28F116A7" w:rsidR="00B252E4" w:rsidRPr="00CD3FFA" w:rsidRDefault="00B252E4" w:rsidP="00B252E4">
            <w:pPr>
              <w:spacing w:line="240" w:lineRule="auto"/>
              <w:rPr>
                <w:rFonts w:cs="Times New Roman"/>
                <w:sz w:val="20"/>
                <w:szCs w:val="20"/>
              </w:rPr>
            </w:pPr>
          </w:p>
        </w:tc>
      </w:tr>
      <w:tr w:rsidR="00B252E4" w:rsidRPr="00971F99" w14:paraId="2E6B6E32" w14:textId="77777777" w:rsidTr="00931EC4">
        <w:tc>
          <w:tcPr>
            <w:tcW w:w="1733" w:type="dxa"/>
            <w:vMerge/>
          </w:tcPr>
          <w:p w14:paraId="77C7C0F8" w14:textId="77777777" w:rsidR="00B252E4" w:rsidRPr="00CD3FFA" w:rsidRDefault="00B252E4" w:rsidP="00B252E4">
            <w:pPr>
              <w:spacing w:line="240" w:lineRule="auto"/>
              <w:rPr>
                <w:rFonts w:cs="Times New Roman"/>
                <w:sz w:val="20"/>
                <w:szCs w:val="20"/>
              </w:rPr>
            </w:pPr>
          </w:p>
        </w:tc>
        <w:tc>
          <w:tcPr>
            <w:tcW w:w="1134" w:type="dxa"/>
            <w:vMerge/>
          </w:tcPr>
          <w:p w14:paraId="4542EB0C" w14:textId="77777777" w:rsidR="00B252E4" w:rsidRPr="00CD3FFA" w:rsidRDefault="00B252E4" w:rsidP="00B252E4">
            <w:pPr>
              <w:spacing w:line="240" w:lineRule="auto"/>
              <w:rPr>
                <w:rFonts w:cs="Times New Roman"/>
                <w:sz w:val="20"/>
                <w:szCs w:val="20"/>
              </w:rPr>
            </w:pPr>
          </w:p>
        </w:tc>
        <w:tc>
          <w:tcPr>
            <w:tcW w:w="3969" w:type="dxa"/>
          </w:tcPr>
          <w:p w14:paraId="333FF610" w14:textId="77777777" w:rsidR="00B252E4" w:rsidRDefault="00B252E4" w:rsidP="00B252E4">
            <w:pPr>
              <w:spacing w:line="240" w:lineRule="auto"/>
            </w:pPr>
            <w:r w:rsidRPr="0075298E">
              <w:rPr>
                <w:rFonts w:cs="Times New Roman"/>
                <w:sz w:val="20"/>
                <w:szCs w:val="20"/>
              </w:rPr>
              <w:t>NaOH</w:t>
            </w:r>
            <w:r>
              <w:rPr>
                <w:rFonts w:cs="Times New Roman"/>
                <w:sz w:val="20"/>
                <w:szCs w:val="20"/>
              </w:rPr>
              <w:t xml:space="preserve"> 0.45</w:t>
            </w:r>
            <w:r w:rsidRPr="0075298E">
              <w:rPr>
                <w:rFonts w:cs="Times New Roman"/>
                <w:sz w:val="20"/>
                <w:szCs w:val="20"/>
              </w:rPr>
              <w:t xml:space="preserve"> mol/L, </w:t>
            </w:r>
            <w:r>
              <w:rPr>
                <w:rFonts w:cs="Times New Roman"/>
                <w:sz w:val="20"/>
                <w:szCs w:val="20"/>
              </w:rPr>
              <w:t>40</w:t>
            </w:r>
            <w:r w:rsidRPr="0075298E">
              <w:rPr>
                <w:rFonts w:cs="Times New Roman"/>
                <w:sz w:val="20"/>
                <w:szCs w:val="20"/>
                <w:vertAlign w:val="superscript"/>
              </w:rPr>
              <w:t>°</w:t>
            </w:r>
            <w:r w:rsidRPr="0075298E">
              <w:rPr>
                <w:rFonts w:cs="Times New Roman"/>
                <w:sz w:val="20"/>
                <w:szCs w:val="20"/>
              </w:rPr>
              <w:t>C (</w:t>
            </w:r>
            <w:r>
              <w:rPr>
                <w:rFonts w:cs="Times New Roman"/>
                <w:sz w:val="20"/>
                <w:szCs w:val="20"/>
              </w:rPr>
              <w:t>15</w:t>
            </w:r>
            <w:r w:rsidRPr="0075298E">
              <w:rPr>
                <w:rFonts w:cs="Times New Roman"/>
                <w:sz w:val="20"/>
                <w:szCs w:val="20"/>
              </w:rPr>
              <w:t xml:space="preserve"> mins)</w:t>
            </w:r>
          </w:p>
        </w:tc>
        <w:tc>
          <w:tcPr>
            <w:tcW w:w="1417" w:type="dxa"/>
          </w:tcPr>
          <w:p w14:paraId="37CFA153" w14:textId="77777777" w:rsidR="00B252E4" w:rsidRPr="00CD3FFA" w:rsidRDefault="00B252E4" w:rsidP="00B252E4">
            <w:pPr>
              <w:spacing w:line="240" w:lineRule="auto"/>
              <w:rPr>
                <w:rFonts w:cs="Times New Roman"/>
                <w:sz w:val="20"/>
                <w:szCs w:val="20"/>
              </w:rPr>
            </w:pPr>
            <w:r>
              <w:rPr>
                <w:rFonts w:cs="Times New Roman"/>
                <w:sz w:val="20"/>
                <w:szCs w:val="20"/>
              </w:rPr>
              <w:t>5.1</w:t>
            </w:r>
          </w:p>
        </w:tc>
        <w:tc>
          <w:tcPr>
            <w:tcW w:w="1418" w:type="dxa"/>
          </w:tcPr>
          <w:p w14:paraId="336CBB01" w14:textId="77777777" w:rsidR="00B252E4" w:rsidRPr="00CD3FFA" w:rsidRDefault="00B252E4" w:rsidP="00B252E4">
            <w:pPr>
              <w:spacing w:line="240" w:lineRule="auto"/>
              <w:rPr>
                <w:rFonts w:cs="Times New Roman"/>
                <w:sz w:val="20"/>
                <w:szCs w:val="20"/>
              </w:rPr>
            </w:pPr>
            <w:r>
              <w:rPr>
                <w:rFonts w:cs="Times New Roman"/>
                <w:sz w:val="20"/>
                <w:szCs w:val="20"/>
              </w:rPr>
              <w:t>1/6</w:t>
            </w:r>
          </w:p>
        </w:tc>
        <w:tc>
          <w:tcPr>
            <w:tcW w:w="1701" w:type="dxa"/>
          </w:tcPr>
          <w:p w14:paraId="6D4EE4A3" w14:textId="77777777" w:rsidR="00B252E4" w:rsidRPr="00CD3FFA" w:rsidRDefault="00B252E4" w:rsidP="00B252E4">
            <w:pPr>
              <w:spacing w:line="240" w:lineRule="auto"/>
              <w:rPr>
                <w:rFonts w:cs="Times New Roman"/>
                <w:sz w:val="20"/>
                <w:szCs w:val="20"/>
              </w:rPr>
            </w:pPr>
            <w:r>
              <w:rPr>
                <w:rFonts w:cs="Times New Roman"/>
                <w:sz w:val="20"/>
                <w:szCs w:val="20"/>
              </w:rPr>
              <w:t>364</w:t>
            </w:r>
          </w:p>
        </w:tc>
        <w:tc>
          <w:tcPr>
            <w:tcW w:w="2615" w:type="dxa"/>
          </w:tcPr>
          <w:p w14:paraId="06A621CD" w14:textId="1FBCE02A" w:rsidR="00B252E4" w:rsidRPr="00CD3FFA" w:rsidRDefault="00B252E4" w:rsidP="00B252E4">
            <w:pPr>
              <w:spacing w:line="240" w:lineRule="auto"/>
              <w:rPr>
                <w:rFonts w:cs="Times New Roman"/>
                <w:sz w:val="20"/>
                <w:szCs w:val="20"/>
              </w:rPr>
            </w:pPr>
          </w:p>
        </w:tc>
      </w:tr>
      <w:tr w:rsidR="00B252E4" w:rsidRPr="00971F99" w14:paraId="44995D31" w14:textId="77777777" w:rsidTr="00931EC4">
        <w:tc>
          <w:tcPr>
            <w:tcW w:w="1733" w:type="dxa"/>
            <w:vMerge/>
          </w:tcPr>
          <w:p w14:paraId="6A6F3AE5" w14:textId="77777777" w:rsidR="00B252E4" w:rsidRPr="00CD3FFA" w:rsidRDefault="00B252E4" w:rsidP="00B252E4">
            <w:pPr>
              <w:spacing w:line="240" w:lineRule="auto"/>
              <w:rPr>
                <w:rFonts w:cs="Times New Roman"/>
                <w:sz w:val="20"/>
                <w:szCs w:val="20"/>
              </w:rPr>
            </w:pPr>
          </w:p>
        </w:tc>
        <w:tc>
          <w:tcPr>
            <w:tcW w:w="1134" w:type="dxa"/>
            <w:vMerge/>
          </w:tcPr>
          <w:p w14:paraId="48334F03" w14:textId="77777777" w:rsidR="00B252E4" w:rsidRPr="00CD3FFA" w:rsidRDefault="00B252E4" w:rsidP="00B252E4">
            <w:pPr>
              <w:spacing w:line="240" w:lineRule="auto"/>
              <w:rPr>
                <w:rFonts w:cs="Times New Roman"/>
                <w:sz w:val="20"/>
                <w:szCs w:val="20"/>
              </w:rPr>
            </w:pPr>
          </w:p>
        </w:tc>
        <w:tc>
          <w:tcPr>
            <w:tcW w:w="3969" w:type="dxa"/>
          </w:tcPr>
          <w:p w14:paraId="736B0E89" w14:textId="77777777" w:rsidR="00B252E4" w:rsidRDefault="00B252E4" w:rsidP="00B252E4">
            <w:pPr>
              <w:spacing w:line="240" w:lineRule="auto"/>
            </w:pPr>
            <w:r w:rsidRPr="0085162C">
              <w:rPr>
                <w:rFonts w:cs="Times New Roman"/>
                <w:sz w:val="20"/>
                <w:szCs w:val="20"/>
              </w:rPr>
              <w:t>NaOH</w:t>
            </w:r>
            <w:r>
              <w:rPr>
                <w:rFonts w:cs="Times New Roman"/>
                <w:sz w:val="20"/>
                <w:szCs w:val="20"/>
              </w:rPr>
              <w:t xml:space="preserve"> 0.1</w:t>
            </w:r>
            <w:r w:rsidRPr="0085162C">
              <w:rPr>
                <w:rFonts w:cs="Times New Roman"/>
                <w:sz w:val="20"/>
                <w:szCs w:val="20"/>
              </w:rPr>
              <w:t xml:space="preserve"> mol/L, </w:t>
            </w:r>
            <w:r>
              <w:rPr>
                <w:rFonts w:cs="Times New Roman"/>
                <w:sz w:val="20"/>
                <w:szCs w:val="20"/>
              </w:rPr>
              <w:t>4</w:t>
            </w:r>
            <w:r w:rsidRPr="0085162C">
              <w:rPr>
                <w:rFonts w:cs="Times New Roman"/>
                <w:sz w:val="20"/>
                <w:szCs w:val="20"/>
              </w:rPr>
              <w:t>5</w:t>
            </w:r>
            <w:r w:rsidRPr="0085162C">
              <w:rPr>
                <w:rFonts w:cs="Times New Roman"/>
                <w:sz w:val="20"/>
                <w:szCs w:val="20"/>
                <w:vertAlign w:val="superscript"/>
              </w:rPr>
              <w:t>°</w:t>
            </w:r>
            <w:r w:rsidRPr="0085162C">
              <w:rPr>
                <w:rFonts w:cs="Times New Roman"/>
                <w:sz w:val="20"/>
                <w:szCs w:val="20"/>
              </w:rPr>
              <w:t>C (</w:t>
            </w:r>
            <w:r>
              <w:rPr>
                <w:rFonts w:cs="Times New Roman"/>
                <w:sz w:val="20"/>
                <w:szCs w:val="20"/>
              </w:rPr>
              <w:t>5</w:t>
            </w:r>
            <w:r w:rsidRPr="0085162C">
              <w:rPr>
                <w:rFonts w:cs="Times New Roman"/>
                <w:sz w:val="20"/>
                <w:szCs w:val="20"/>
              </w:rPr>
              <w:t xml:space="preserve"> mins)</w:t>
            </w:r>
          </w:p>
        </w:tc>
        <w:tc>
          <w:tcPr>
            <w:tcW w:w="1417" w:type="dxa"/>
          </w:tcPr>
          <w:p w14:paraId="6D19A5E9" w14:textId="77777777" w:rsidR="00B252E4" w:rsidRPr="00CD3FFA" w:rsidRDefault="00B252E4" w:rsidP="00B252E4">
            <w:pPr>
              <w:spacing w:line="240" w:lineRule="auto"/>
              <w:rPr>
                <w:rFonts w:cs="Times New Roman"/>
                <w:sz w:val="20"/>
                <w:szCs w:val="20"/>
              </w:rPr>
            </w:pPr>
            <w:r w:rsidRPr="00A81FA5">
              <w:rPr>
                <w:rFonts w:cs="Times New Roman"/>
                <w:sz w:val="20"/>
                <w:szCs w:val="20"/>
                <w:u w:val="single"/>
              </w:rPr>
              <w:t>&gt;</w:t>
            </w:r>
            <w:r>
              <w:rPr>
                <w:rFonts w:cs="Times New Roman"/>
                <w:sz w:val="20"/>
                <w:szCs w:val="20"/>
              </w:rPr>
              <w:t>5.4</w:t>
            </w:r>
          </w:p>
        </w:tc>
        <w:tc>
          <w:tcPr>
            <w:tcW w:w="1418" w:type="dxa"/>
          </w:tcPr>
          <w:p w14:paraId="0BFEDD80" w14:textId="77777777" w:rsidR="00B252E4" w:rsidRPr="00CD3FFA" w:rsidRDefault="00B252E4" w:rsidP="00B252E4">
            <w:pPr>
              <w:spacing w:line="240" w:lineRule="auto"/>
              <w:rPr>
                <w:rFonts w:cs="Times New Roman"/>
                <w:sz w:val="20"/>
                <w:szCs w:val="20"/>
              </w:rPr>
            </w:pPr>
            <w:r>
              <w:rPr>
                <w:rFonts w:cs="Times New Roman"/>
                <w:sz w:val="20"/>
                <w:szCs w:val="20"/>
              </w:rPr>
              <w:t>0/8</w:t>
            </w:r>
          </w:p>
        </w:tc>
        <w:tc>
          <w:tcPr>
            <w:tcW w:w="1701" w:type="dxa"/>
          </w:tcPr>
          <w:p w14:paraId="4B8422BC" w14:textId="6255D227" w:rsidR="00B252E4" w:rsidRPr="00CD3FFA" w:rsidRDefault="00B252E4" w:rsidP="00B252E4">
            <w:pPr>
              <w:spacing w:line="240" w:lineRule="auto"/>
              <w:rPr>
                <w:rFonts w:cs="Times New Roman"/>
                <w:sz w:val="20"/>
                <w:szCs w:val="20"/>
              </w:rPr>
            </w:pPr>
            <w:r>
              <w:rPr>
                <w:rFonts w:cs="Times New Roman"/>
                <w:sz w:val="20"/>
                <w:szCs w:val="20"/>
              </w:rPr>
              <w:t>NR</w:t>
            </w:r>
          </w:p>
        </w:tc>
        <w:tc>
          <w:tcPr>
            <w:tcW w:w="2615" w:type="dxa"/>
          </w:tcPr>
          <w:p w14:paraId="273558B8" w14:textId="2BF07537" w:rsidR="00B252E4" w:rsidRPr="00CD3FFA" w:rsidRDefault="00B252E4" w:rsidP="00B252E4">
            <w:pPr>
              <w:spacing w:line="240" w:lineRule="auto"/>
              <w:rPr>
                <w:rFonts w:cs="Times New Roman"/>
                <w:sz w:val="20"/>
                <w:szCs w:val="20"/>
              </w:rPr>
            </w:pPr>
          </w:p>
        </w:tc>
      </w:tr>
      <w:tr w:rsidR="00B252E4" w:rsidRPr="00971F99" w14:paraId="2D03FAB4" w14:textId="77777777" w:rsidTr="00931EC4">
        <w:tc>
          <w:tcPr>
            <w:tcW w:w="1733" w:type="dxa"/>
            <w:vMerge/>
          </w:tcPr>
          <w:p w14:paraId="4A98EC2E" w14:textId="77777777" w:rsidR="00B252E4" w:rsidRPr="00CD3FFA" w:rsidRDefault="00B252E4" w:rsidP="00B252E4">
            <w:pPr>
              <w:spacing w:line="240" w:lineRule="auto"/>
              <w:rPr>
                <w:rFonts w:cs="Times New Roman"/>
                <w:sz w:val="20"/>
                <w:szCs w:val="20"/>
              </w:rPr>
            </w:pPr>
          </w:p>
        </w:tc>
        <w:tc>
          <w:tcPr>
            <w:tcW w:w="1134" w:type="dxa"/>
            <w:vMerge/>
          </w:tcPr>
          <w:p w14:paraId="67A97035" w14:textId="77777777" w:rsidR="00B252E4" w:rsidRPr="00CD3FFA" w:rsidRDefault="00B252E4" w:rsidP="00B252E4">
            <w:pPr>
              <w:spacing w:line="240" w:lineRule="auto"/>
              <w:rPr>
                <w:rFonts w:cs="Times New Roman"/>
                <w:sz w:val="20"/>
                <w:szCs w:val="20"/>
              </w:rPr>
            </w:pPr>
          </w:p>
        </w:tc>
        <w:tc>
          <w:tcPr>
            <w:tcW w:w="3969" w:type="dxa"/>
          </w:tcPr>
          <w:p w14:paraId="6A4296BD" w14:textId="77777777" w:rsidR="00B252E4" w:rsidRDefault="00B252E4" w:rsidP="00B252E4">
            <w:pPr>
              <w:spacing w:line="240" w:lineRule="auto"/>
            </w:pPr>
            <w:r w:rsidRPr="0085162C">
              <w:rPr>
                <w:rFonts w:cs="Times New Roman"/>
                <w:sz w:val="20"/>
                <w:szCs w:val="20"/>
              </w:rPr>
              <w:t>NaOH</w:t>
            </w:r>
            <w:r>
              <w:rPr>
                <w:rFonts w:cs="Times New Roman"/>
                <w:sz w:val="20"/>
                <w:szCs w:val="20"/>
              </w:rPr>
              <w:t xml:space="preserve"> 0.1</w:t>
            </w:r>
            <w:r w:rsidRPr="0085162C">
              <w:rPr>
                <w:rFonts w:cs="Times New Roman"/>
                <w:sz w:val="20"/>
                <w:szCs w:val="20"/>
              </w:rPr>
              <w:t xml:space="preserve"> mol/L, </w:t>
            </w:r>
            <w:r>
              <w:rPr>
                <w:rFonts w:cs="Times New Roman"/>
                <w:sz w:val="20"/>
                <w:szCs w:val="20"/>
              </w:rPr>
              <w:t>4</w:t>
            </w:r>
            <w:r w:rsidRPr="0085162C">
              <w:rPr>
                <w:rFonts w:cs="Times New Roman"/>
                <w:sz w:val="20"/>
                <w:szCs w:val="20"/>
              </w:rPr>
              <w:t>5</w:t>
            </w:r>
            <w:r w:rsidRPr="0085162C">
              <w:rPr>
                <w:rFonts w:cs="Times New Roman"/>
                <w:sz w:val="20"/>
                <w:szCs w:val="20"/>
                <w:vertAlign w:val="superscript"/>
              </w:rPr>
              <w:t>°</w:t>
            </w:r>
            <w:r w:rsidRPr="0085162C">
              <w:rPr>
                <w:rFonts w:cs="Times New Roman"/>
                <w:sz w:val="20"/>
                <w:szCs w:val="20"/>
              </w:rPr>
              <w:t>C (</w:t>
            </w:r>
            <w:r>
              <w:rPr>
                <w:rFonts w:cs="Times New Roman"/>
                <w:sz w:val="20"/>
                <w:szCs w:val="20"/>
              </w:rPr>
              <w:t>15</w:t>
            </w:r>
            <w:r w:rsidRPr="0085162C">
              <w:rPr>
                <w:rFonts w:cs="Times New Roman"/>
                <w:sz w:val="20"/>
                <w:szCs w:val="20"/>
              </w:rPr>
              <w:t xml:space="preserve"> mins)</w:t>
            </w:r>
          </w:p>
        </w:tc>
        <w:tc>
          <w:tcPr>
            <w:tcW w:w="1417" w:type="dxa"/>
          </w:tcPr>
          <w:p w14:paraId="179DC9AC" w14:textId="77777777" w:rsidR="00B252E4" w:rsidRPr="00CD3FFA" w:rsidRDefault="00B252E4" w:rsidP="00B252E4">
            <w:pPr>
              <w:spacing w:line="240" w:lineRule="auto"/>
              <w:rPr>
                <w:rFonts w:cs="Times New Roman"/>
                <w:sz w:val="20"/>
                <w:szCs w:val="20"/>
              </w:rPr>
            </w:pPr>
            <w:r w:rsidRPr="00A81FA5">
              <w:rPr>
                <w:rFonts w:cs="Times New Roman"/>
                <w:sz w:val="20"/>
                <w:szCs w:val="20"/>
                <w:u w:val="single"/>
              </w:rPr>
              <w:t>&gt;</w:t>
            </w:r>
            <w:r>
              <w:rPr>
                <w:rFonts w:cs="Times New Roman"/>
                <w:sz w:val="20"/>
                <w:szCs w:val="20"/>
              </w:rPr>
              <w:t>5.4</w:t>
            </w:r>
          </w:p>
        </w:tc>
        <w:tc>
          <w:tcPr>
            <w:tcW w:w="1418" w:type="dxa"/>
          </w:tcPr>
          <w:p w14:paraId="1B4E8C60" w14:textId="77777777" w:rsidR="00B252E4" w:rsidRPr="00CD3FFA" w:rsidRDefault="00B252E4" w:rsidP="00B252E4">
            <w:pPr>
              <w:spacing w:line="240" w:lineRule="auto"/>
              <w:rPr>
                <w:rFonts w:cs="Times New Roman"/>
                <w:sz w:val="20"/>
                <w:szCs w:val="20"/>
              </w:rPr>
            </w:pPr>
            <w:r>
              <w:rPr>
                <w:rFonts w:cs="Times New Roman"/>
                <w:sz w:val="20"/>
                <w:szCs w:val="20"/>
              </w:rPr>
              <w:t>0/8</w:t>
            </w:r>
          </w:p>
        </w:tc>
        <w:tc>
          <w:tcPr>
            <w:tcW w:w="1701" w:type="dxa"/>
          </w:tcPr>
          <w:p w14:paraId="2F6BFDE4" w14:textId="42522A86" w:rsidR="00B252E4" w:rsidRPr="00CD3FFA" w:rsidRDefault="00B252E4" w:rsidP="00B252E4">
            <w:pPr>
              <w:spacing w:line="240" w:lineRule="auto"/>
              <w:rPr>
                <w:rFonts w:cs="Times New Roman"/>
                <w:sz w:val="20"/>
                <w:szCs w:val="20"/>
              </w:rPr>
            </w:pPr>
            <w:r>
              <w:rPr>
                <w:rFonts w:cs="Times New Roman"/>
                <w:sz w:val="20"/>
                <w:szCs w:val="20"/>
              </w:rPr>
              <w:t>NR</w:t>
            </w:r>
          </w:p>
        </w:tc>
        <w:tc>
          <w:tcPr>
            <w:tcW w:w="2615" w:type="dxa"/>
          </w:tcPr>
          <w:p w14:paraId="5CF7E473" w14:textId="42CD7D2C" w:rsidR="00B252E4" w:rsidRPr="00CD3FFA" w:rsidRDefault="00B252E4" w:rsidP="00B252E4">
            <w:pPr>
              <w:spacing w:line="240" w:lineRule="auto"/>
              <w:rPr>
                <w:rFonts w:cs="Times New Roman"/>
                <w:sz w:val="20"/>
                <w:szCs w:val="20"/>
              </w:rPr>
            </w:pPr>
          </w:p>
        </w:tc>
      </w:tr>
      <w:tr w:rsidR="00B252E4" w:rsidRPr="00DC46B1" w14:paraId="1748AAB3" w14:textId="77777777" w:rsidTr="00931EC4">
        <w:tc>
          <w:tcPr>
            <w:tcW w:w="1733" w:type="dxa"/>
            <w:vMerge w:val="restart"/>
          </w:tcPr>
          <w:p w14:paraId="0CB58696" w14:textId="6BC77266" w:rsidR="00B252E4" w:rsidRDefault="00B252E4" w:rsidP="0076576E">
            <w:pPr>
              <w:spacing w:line="240" w:lineRule="auto"/>
              <w:rPr>
                <w:rFonts w:cs="Times New Roman"/>
                <w:sz w:val="20"/>
                <w:szCs w:val="20"/>
              </w:rPr>
            </w:pPr>
            <w:r w:rsidRPr="007E546A">
              <w:rPr>
                <w:rFonts w:cs="Times New Roman"/>
                <w:sz w:val="20"/>
                <w:szCs w:val="20"/>
                <w:lang w:val="en"/>
              </w:rPr>
              <w:t xml:space="preserve">Belondrade </w:t>
            </w:r>
            <w:r w:rsidR="00B301D6" w:rsidRPr="00B301D6">
              <w:rPr>
                <w:rFonts w:cs="Times New Roman"/>
                <w:i/>
                <w:sz w:val="20"/>
                <w:szCs w:val="20"/>
                <w:lang w:val="en"/>
              </w:rPr>
              <w:t>et al</w:t>
            </w:r>
            <w:r w:rsidRPr="007E546A">
              <w:rPr>
                <w:rFonts w:cs="Times New Roman"/>
                <w:sz w:val="20"/>
                <w:szCs w:val="20"/>
                <w:lang w:val="en"/>
              </w:rPr>
              <w:t>, 2016</w:t>
            </w:r>
            <w:r>
              <w:rPr>
                <w:rFonts w:cs="Times New Roman"/>
                <w:sz w:val="20"/>
                <w:szCs w:val="20"/>
                <w:lang w:val="en"/>
              </w:rPr>
              <w:fldChar w:fldCharType="begin"/>
            </w:r>
            <w:r w:rsidR="0076576E">
              <w:rPr>
                <w:rFonts w:cs="Times New Roman"/>
                <w:sz w:val="20"/>
                <w:szCs w:val="20"/>
                <w:lang w:val="en"/>
              </w:rPr>
              <w:instrText xml:space="preserve"> ADDIN EN.CITE &lt;EndNote&gt;&lt;Cite&gt;&lt;Author&gt;Belondrade&lt;/Author&gt;&lt;Year&gt;2016&lt;/Year&gt;&lt;RecNum&gt;10275&lt;/RecNum&gt;&lt;DisplayText&gt;&lt;style face="superscript"&gt;171&lt;/style&gt;&lt;/DisplayText&gt;&lt;record&gt;&lt;rec-number&gt;10275&lt;/rec-number&gt;&lt;foreign-keys&gt;&lt;key app="EN" db-id="vrp0pptazv05wtesfz5vrzsj2p0rv09ttsa9" timestamp="1521469700" guid="ea0094e7-3c92-4fa9-809d-d65e2d41a3e6"&gt;10275&lt;/key&gt;&lt;/foreign-keys&gt;&lt;ref-type name="Journal Article"&gt;17&lt;/ref-type&gt;&lt;contributors&gt;&lt;authors&gt;&lt;author&gt;Belondrade, Maxime&lt;/author&gt;&lt;author&gt;Nicot, Simon&lt;/author&gt;&lt;author&gt;Béringue, Vincent&lt;/author&gt;&lt;author&gt;Coste, Joliette&lt;/author&gt;&lt;author&gt;Lehmann, Sylvain&lt;/author&gt;&lt;author&gt;Bougard, Daisy&lt;/author&gt;&lt;/authors&gt;&lt;/contributors&gt;&lt;titles&gt;&lt;title&gt;Rapid and highly sensitive detection of variant Creutzfeldt-Jakob disease abnormal prion protein on steel surfaces by protein misfolding cyclic amplification: application to prion decontamination Studies&lt;/title&gt;&lt;secondary-title&gt;PloS one&lt;/secondary-title&gt;&lt;/titles&gt;&lt;periodical&gt;&lt;full-title&gt;PLoS ONE [Electronic Resource]&lt;/full-title&gt;&lt;abbr-1&gt;PLoS ONE&lt;/abbr-1&gt;&lt;/periodical&gt;&lt;pages&gt;e0146833&lt;/pages&gt;&lt;volume&gt;11&lt;/volume&gt;&lt;number&gt;1&lt;/number&gt;&lt;keywords&gt;&lt;keyword&gt;$$CC_5_instrument decontamination&lt;/keyword&gt;&lt;keyword&gt;$$5_instrument decontamination&lt;/keyword&gt;&lt;keyword&gt;$$Lesley google&lt;/keyword&gt;&lt;/keywords&gt;&lt;dates&gt;&lt;year&gt;2016&lt;/year&gt;&lt;/dates&gt;&lt;isbn&gt;1932-6203&lt;/isbn&gt;&lt;urls&gt;&lt;/urls&gt;&lt;/record&gt;&lt;/Cite&gt;&lt;/EndNote&gt;</w:instrText>
            </w:r>
            <w:r>
              <w:rPr>
                <w:rFonts w:cs="Times New Roman"/>
                <w:sz w:val="20"/>
                <w:szCs w:val="20"/>
                <w:lang w:val="en"/>
              </w:rPr>
              <w:fldChar w:fldCharType="separate"/>
            </w:r>
            <w:r w:rsidR="0076576E" w:rsidRPr="0076576E">
              <w:rPr>
                <w:rFonts w:cs="Times New Roman"/>
                <w:noProof/>
                <w:sz w:val="20"/>
                <w:szCs w:val="20"/>
                <w:vertAlign w:val="superscript"/>
                <w:lang w:val="en"/>
              </w:rPr>
              <w:t>171</w:t>
            </w:r>
            <w:r>
              <w:rPr>
                <w:rFonts w:cs="Times New Roman"/>
                <w:sz w:val="20"/>
                <w:szCs w:val="20"/>
                <w:lang w:val="en"/>
              </w:rPr>
              <w:fldChar w:fldCharType="end"/>
            </w:r>
          </w:p>
        </w:tc>
        <w:tc>
          <w:tcPr>
            <w:tcW w:w="1134" w:type="dxa"/>
          </w:tcPr>
          <w:p w14:paraId="2AF8EF00" w14:textId="77777777" w:rsidR="00B252E4" w:rsidRDefault="00B252E4" w:rsidP="00B252E4">
            <w:pPr>
              <w:spacing w:line="240" w:lineRule="auto"/>
              <w:rPr>
                <w:rFonts w:cs="Times New Roman"/>
                <w:sz w:val="20"/>
                <w:szCs w:val="20"/>
              </w:rPr>
            </w:pPr>
            <w:r>
              <w:rPr>
                <w:rFonts w:cs="Times New Roman"/>
                <w:sz w:val="20"/>
                <w:szCs w:val="20"/>
              </w:rPr>
              <w:t>127S</w:t>
            </w:r>
          </w:p>
        </w:tc>
        <w:tc>
          <w:tcPr>
            <w:tcW w:w="3969" w:type="dxa"/>
          </w:tcPr>
          <w:p w14:paraId="2AF5A9EB" w14:textId="77777777" w:rsidR="00B252E4" w:rsidRPr="00DC46B1" w:rsidRDefault="00B252E4" w:rsidP="00B252E4">
            <w:pPr>
              <w:spacing w:line="240" w:lineRule="auto"/>
              <w:rPr>
                <w:rFonts w:cs="Times New Roman"/>
                <w:sz w:val="20"/>
                <w:szCs w:val="20"/>
              </w:rPr>
            </w:pPr>
            <w:r>
              <w:rPr>
                <w:rFonts w:cs="Times New Roman"/>
                <w:sz w:val="20"/>
                <w:szCs w:val="20"/>
              </w:rPr>
              <w:t>NaOH 0.1N - 15 mins</w:t>
            </w:r>
          </w:p>
        </w:tc>
        <w:tc>
          <w:tcPr>
            <w:tcW w:w="1417" w:type="dxa"/>
          </w:tcPr>
          <w:p w14:paraId="2D846AD3" w14:textId="77777777" w:rsidR="00B252E4" w:rsidRPr="00DC46B1" w:rsidRDefault="00B252E4" w:rsidP="00B252E4">
            <w:pPr>
              <w:spacing w:line="240" w:lineRule="auto"/>
              <w:rPr>
                <w:rFonts w:cs="Times New Roman"/>
                <w:sz w:val="20"/>
                <w:szCs w:val="20"/>
              </w:rPr>
            </w:pPr>
            <w:r w:rsidRPr="001758EA">
              <w:rPr>
                <w:rFonts w:cs="Times New Roman"/>
                <w:sz w:val="20"/>
                <w:szCs w:val="20"/>
                <w:u w:val="single"/>
              </w:rPr>
              <w:t>&gt;</w:t>
            </w:r>
            <w:r>
              <w:rPr>
                <w:rFonts w:cs="Times New Roman"/>
                <w:sz w:val="20"/>
                <w:szCs w:val="20"/>
              </w:rPr>
              <w:t xml:space="preserve"> 3</w:t>
            </w:r>
          </w:p>
        </w:tc>
        <w:tc>
          <w:tcPr>
            <w:tcW w:w="1418" w:type="dxa"/>
          </w:tcPr>
          <w:p w14:paraId="4C02DAF2" w14:textId="77777777" w:rsidR="00B252E4" w:rsidRPr="00DC46B1" w:rsidRDefault="00B252E4" w:rsidP="00B252E4">
            <w:pPr>
              <w:spacing w:line="240" w:lineRule="auto"/>
              <w:rPr>
                <w:rFonts w:cs="Times New Roman"/>
                <w:sz w:val="20"/>
                <w:szCs w:val="20"/>
              </w:rPr>
            </w:pPr>
            <w:r>
              <w:rPr>
                <w:rFonts w:cs="Times New Roman"/>
                <w:sz w:val="20"/>
                <w:szCs w:val="20"/>
              </w:rPr>
              <w:t>12/12</w:t>
            </w:r>
          </w:p>
        </w:tc>
        <w:tc>
          <w:tcPr>
            <w:tcW w:w="1701" w:type="dxa"/>
          </w:tcPr>
          <w:p w14:paraId="24965BE5" w14:textId="04763B61"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37501BD6" w14:textId="3E43F21A" w:rsidR="00B252E4" w:rsidRPr="00DC46B1" w:rsidRDefault="00B252E4" w:rsidP="00B252E4">
            <w:pPr>
              <w:spacing w:line="240" w:lineRule="auto"/>
              <w:rPr>
                <w:rFonts w:cs="Times New Roman"/>
                <w:sz w:val="20"/>
                <w:szCs w:val="20"/>
              </w:rPr>
            </w:pPr>
          </w:p>
        </w:tc>
      </w:tr>
      <w:tr w:rsidR="00B252E4" w:rsidRPr="00DC46B1" w14:paraId="2C1486FE" w14:textId="77777777" w:rsidTr="00931EC4">
        <w:tc>
          <w:tcPr>
            <w:tcW w:w="1733" w:type="dxa"/>
            <w:vMerge/>
          </w:tcPr>
          <w:p w14:paraId="59C95337" w14:textId="77777777" w:rsidR="00B252E4" w:rsidRDefault="00B252E4" w:rsidP="00B252E4">
            <w:pPr>
              <w:spacing w:line="240" w:lineRule="auto"/>
              <w:rPr>
                <w:rFonts w:cs="Times New Roman"/>
                <w:sz w:val="20"/>
                <w:szCs w:val="20"/>
              </w:rPr>
            </w:pPr>
          </w:p>
        </w:tc>
        <w:tc>
          <w:tcPr>
            <w:tcW w:w="1134" w:type="dxa"/>
          </w:tcPr>
          <w:p w14:paraId="1B8A5C0B" w14:textId="77777777" w:rsidR="00B252E4" w:rsidRDefault="00B252E4" w:rsidP="00B252E4">
            <w:pPr>
              <w:spacing w:line="240" w:lineRule="auto"/>
              <w:rPr>
                <w:rFonts w:cs="Times New Roman"/>
                <w:sz w:val="20"/>
                <w:szCs w:val="20"/>
              </w:rPr>
            </w:pPr>
            <w:r>
              <w:rPr>
                <w:rFonts w:cs="Times New Roman"/>
                <w:sz w:val="20"/>
                <w:szCs w:val="20"/>
              </w:rPr>
              <w:t>vCJD</w:t>
            </w:r>
          </w:p>
        </w:tc>
        <w:tc>
          <w:tcPr>
            <w:tcW w:w="3969" w:type="dxa"/>
          </w:tcPr>
          <w:p w14:paraId="25F9DD87" w14:textId="77777777" w:rsidR="00B252E4" w:rsidRPr="00DC46B1" w:rsidRDefault="00B252E4" w:rsidP="00B252E4">
            <w:pPr>
              <w:spacing w:line="240" w:lineRule="auto"/>
              <w:rPr>
                <w:rFonts w:cs="Times New Roman"/>
                <w:sz w:val="20"/>
                <w:szCs w:val="20"/>
              </w:rPr>
            </w:pPr>
            <w:r>
              <w:rPr>
                <w:rFonts w:cs="Times New Roman"/>
                <w:sz w:val="20"/>
                <w:szCs w:val="20"/>
              </w:rPr>
              <w:t>NaOH 0.1N - 15 mins</w:t>
            </w:r>
          </w:p>
        </w:tc>
        <w:tc>
          <w:tcPr>
            <w:tcW w:w="1417" w:type="dxa"/>
          </w:tcPr>
          <w:p w14:paraId="7DB43B1D" w14:textId="77777777" w:rsidR="00B252E4" w:rsidRPr="00DC46B1" w:rsidRDefault="00B252E4" w:rsidP="00B252E4">
            <w:pPr>
              <w:spacing w:line="240" w:lineRule="auto"/>
              <w:rPr>
                <w:rFonts w:cs="Times New Roman"/>
                <w:sz w:val="20"/>
                <w:szCs w:val="20"/>
              </w:rPr>
            </w:pPr>
            <w:r>
              <w:rPr>
                <w:rFonts w:cs="Times New Roman"/>
                <w:sz w:val="20"/>
                <w:szCs w:val="20"/>
              </w:rPr>
              <w:t>3</w:t>
            </w:r>
          </w:p>
        </w:tc>
        <w:tc>
          <w:tcPr>
            <w:tcW w:w="1418" w:type="dxa"/>
          </w:tcPr>
          <w:p w14:paraId="064CB4C9" w14:textId="77777777" w:rsidR="00B252E4" w:rsidRPr="00DC46B1" w:rsidRDefault="00B252E4" w:rsidP="00B252E4">
            <w:pPr>
              <w:spacing w:line="240" w:lineRule="auto"/>
              <w:rPr>
                <w:rFonts w:cs="Times New Roman"/>
                <w:sz w:val="20"/>
                <w:szCs w:val="20"/>
              </w:rPr>
            </w:pPr>
            <w:r>
              <w:rPr>
                <w:rFonts w:cs="Times New Roman"/>
                <w:sz w:val="20"/>
                <w:szCs w:val="20"/>
              </w:rPr>
              <w:t>6/8</w:t>
            </w:r>
          </w:p>
        </w:tc>
        <w:tc>
          <w:tcPr>
            <w:tcW w:w="1701" w:type="dxa"/>
          </w:tcPr>
          <w:p w14:paraId="47C0300D" w14:textId="1D6BD6DE"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330042EF" w14:textId="4FABACE1" w:rsidR="00B252E4" w:rsidRPr="00DC46B1" w:rsidRDefault="00B252E4" w:rsidP="00B252E4">
            <w:pPr>
              <w:spacing w:line="240" w:lineRule="auto"/>
              <w:rPr>
                <w:rFonts w:cs="Times New Roman"/>
                <w:sz w:val="20"/>
                <w:szCs w:val="20"/>
              </w:rPr>
            </w:pPr>
          </w:p>
        </w:tc>
      </w:tr>
      <w:tr w:rsidR="00B252E4" w:rsidRPr="00DC46B1" w14:paraId="375F2B45" w14:textId="77777777" w:rsidTr="00931EC4">
        <w:tc>
          <w:tcPr>
            <w:tcW w:w="1733" w:type="dxa"/>
            <w:vMerge w:val="restart"/>
          </w:tcPr>
          <w:p w14:paraId="2A8B92A5" w14:textId="7EF912E9" w:rsidR="00B252E4" w:rsidRDefault="00B252E4" w:rsidP="0076576E">
            <w:pPr>
              <w:spacing w:line="240" w:lineRule="auto"/>
              <w:rPr>
                <w:rFonts w:cs="Times New Roman"/>
                <w:sz w:val="20"/>
                <w:szCs w:val="20"/>
              </w:rPr>
            </w:pPr>
            <w:r w:rsidRPr="007E546A">
              <w:rPr>
                <w:rFonts w:cs="Times New Roman"/>
                <w:sz w:val="20"/>
                <w:szCs w:val="20"/>
                <w:lang w:val="en"/>
              </w:rPr>
              <w:t xml:space="preserve">Edgeworth </w:t>
            </w:r>
            <w:r w:rsidR="00B301D6" w:rsidRPr="00B301D6">
              <w:rPr>
                <w:rFonts w:cs="Times New Roman"/>
                <w:i/>
                <w:sz w:val="20"/>
                <w:szCs w:val="20"/>
                <w:lang w:val="en"/>
              </w:rPr>
              <w:t>et al</w:t>
            </w:r>
            <w:r w:rsidRPr="007E546A">
              <w:rPr>
                <w:rFonts w:cs="Times New Roman"/>
                <w:sz w:val="20"/>
                <w:szCs w:val="20"/>
                <w:lang w:val="en"/>
              </w:rPr>
              <w:t>, 2011</w:t>
            </w:r>
            <w:r>
              <w:rPr>
                <w:rFonts w:cs="Times New Roman"/>
                <w:sz w:val="20"/>
                <w:szCs w:val="20"/>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Pr>
                <w:rFonts w:cs="Times New Roman"/>
                <w:sz w:val="20"/>
                <w:szCs w:val="20"/>
                <w:lang w:val="en"/>
              </w:rPr>
            </w:r>
            <w:r>
              <w:rPr>
                <w:rFonts w:cs="Times New Roman"/>
                <w:sz w:val="20"/>
                <w:szCs w:val="20"/>
                <w:lang w:val="en"/>
              </w:rPr>
              <w:fldChar w:fldCharType="separate"/>
            </w:r>
            <w:r w:rsidR="0076576E" w:rsidRPr="0076576E">
              <w:rPr>
                <w:rFonts w:cs="Times New Roman"/>
                <w:noProof/>
                <w:sz w:val="20"/>
                <w:szCs w:val="20"/>
                <w:vertAlign w:val="superscript"/>
                <w:lang w:val="en"/>
              </w:rPr>
              <w:t>179</w:t>
            </w:r>
            <w:r>
              <w:rPr>
                <w:rFonts w:cs="Times New Roman"/>
                <w:sz w:val="20"/>
                <w:szCs w:val="20"/>
                <w:lang w:val="en"/>
              </w:rPr>
              <w:fldChar w:fldCharType="end"/>
            </w:r>
          </w:p>
        </w:tc>
        <w:tc>
          <w:tcPr>
            <w:tcW w:w="1134" w:type="dxa"/>
            <w:vMerge w:val="restart"/>
          </w:tcPr>
          <w:p w14:paraId="47858BA6" w14:textId="77777777" w:rsidR="00B252E4" w:rsidRDefault="00B252E4" w:rsidP="00B252E4">
            <w:pPr>
              <w:spacing w:line="240" w:lineRule="auto"/>
              <w:rPr>
                <w:rFonts w:cs="Times New Roman"/>
                <w:sz w:val="20"/>
                <w:szCs w:val="20"/>
              </w:rPr>
            </w:pPr>
            <w:r>
              <w:rPr>
                <w:rFonts w:cs="Times New Roman"/>
                <w:sz w:val="20"/>
                <w:szCs w:val="20"/>
              </w:rPr>
              <w:t>RML</w:t>
            </w:r>
          </w:p>
        </w:tc>
        <w:tc>
          <w:tcPr>
            <w:tcW w:w="3969" w:type="dxa"/>
          </w:tcPr>
          <w:p w14:paraId="694B329F" w14:textId="77777777" w:rsidR="00B252E4" w:rsidRDefault="00B252E4" w:rsidP="00B252E4">
            <w:pPr>
              <w:spacing w:line="240" w:lineRule="auto"/>
              <w:rPr>
                <w:rFonts w:cs="Times New Roman"/>
                <w:sz w:val="20"/>
                <w:szCs w:val="20"/>
              </w:rPr>
            </w:pPr>
            <w:r>
              <w:rPr>
                <w:rFonts w:cs="Times New Roman"/>
                <w:sz w:val="20"/>
                <w:szCs w:val="20"/>
              </w:rPr>
              <w:t>Rely-On PI‡</w:t>
            </w:r>
          </w:p>
        </w:tc>
        <w:tc>
          <w:tcPr>
            <w:tcW w:w="1417" w:type="dxa"/>
          </w:tcPr>
          <w:p w14:paraId="04E1FD5E" w14:textId="77777777" w:rsidR="00B252E4" w:rsidRPr="00DC46B1" w:rsidRDefault="00B252E4" w:rsidP="00B252E4">
            <w:pPr>
              <w:spacing w:line="240" w:lineRule="auto"/>
              <w:rPr>
                <w:rFonts w:cs="Times New Roman"/>
                <w:sz w:val="20"/>
                <w:szCs w:val="20"/>
              </w:rPr>
            </w:pPr>
            <w:r>
              <w:rPr>
                <w:rFonts w:cs="Times New Roman"/>
                <w:sz w:val="20"/>
                <w:szCs w:val="20"/>
              </w:rPr>
              <w:t>5.5</w:t>
            </w:r>
          </w:p>
        </w:tc>
        <w:tc>
          <w:tcPr>
            <w:tcW w:w="1418" w:type="dxa"/>
          </w:tcPr>
          <w:p w14:paraId="6CC1BF6F" w14:textId="77777777" w:rsidR="00B252E4" w:rsidRPr="00DC46B1" w:rsidRDefault="00B252E4" w:rsidP="00B252E4">
            <w:pPr>
              <w:spacing w:line="240" w:lineRule="auto"/>
              <w:rPr>
                <w:rFonts w:cs="Times New Roman"/>
                <w:sz w:val="20"/>
                <w:szCs w:val="20"/>
              </w:rPr>
            </w:pPr>
            <w:r>
              <w:rPr>
                <w:rFonts w:cs="Times New Roman"/>
                <w:sz w:val="20"/>
                <w:szCs w:val="20"/>
              </w:rPr>
              <w:t>0/19</w:t>
            </w:r>
          </w:p>
        </w:tc>
        <w:tc>
          <w:tcPr>
            <w:tcW w:w="1701" w:type="dxa"/>
          </w:tcPr>
          <w:p w14:paraId="5FD9FFAE" w14:textId="77777777" w:rsidR="00B252E4" w:rsidRPr="00DC46B1" w:rsidRDefault="00B252E4" w:rsidP="00B252E4">
            <w:pPr>
              <w:spacing w:line="240" w:lineRule="auto"/>
              <w:rPr>
                <w:rFonts w:cs="Times New Roman"/>
                <w:sz w:val="20"/>
                <w:szCs w:val="20"/>
              </w:rPr>
            </w:pPr>
            <w:r>
              <w:rPr>
                <w:rFonts w:cs="Times New Roman"/>
                <w:sz w:val="20"/>
                <w:szCs w:val="20"/>
              </w:rPr>
              <w:t>&gt;250</w:t>
            </w:r>
          </w:p>
        </w:tc>
        <w:tc>
          <w:tcPr>
            <w:tcW w:w="2615" w:type="dxa"/>
          </w:tcPr>
          <w:p w14:paraId="4932A7E0" w14:textId="081420FD" w:rsidR="00B252E4" w:rsidRPr="00DC46B1" w:rsidRDefault="00B252E4" w:rsidP="00B252E4">
            <w:pPr>
              <w:spacing w:line="240" w:lineRule="auto"/>
              <w:rPr>
                <w:rFonts w:cs="Times New Roman"/>
                <w:sz w:val="20"/>
                <w:szCs w:val="20"/>
              </w:rPr>
            </w:pPr>
          </w:p>
        </w:tc>
      </w:tr>
      <w:tr w:rsidR="00B252E4" w:rsidRPr="00DC46B1" w14:paraId="1BAD6235" w14:textId="77777777" w:rsidTr="00931EC4">
        <w:tc>
          <w:tcPr>
            <w:tcW w:w="1733" w:type="dxa"/>
            <w:vMerge/>
          </w:tcPr>
          <w:p w14:paraId="590BC94F" w14:textId="77777777" w:rsidR="00B252E4" w:rsidRDefault="00B252E4" w:rsidP="00B252E4">
            <w:pPr>
              <w:spacing w:line="240" w:lineRule="auto"/>
              <w:rPr>
                <w:rFonts w:cs="Times New Roman"/>
                <w:sz w:val="20"/>
                <w:szCs w:val="20"/>
              </w:rPr>
            </w:pPr>
          </w:p>
        </w:tc>
        <w:tc>
          <w:tcPr>
            <w:tcW w:w="1134" w:type="dxa"/>
            <w:vMerge/>
          </w:tcPr>
          <w:p w14:paraId="3436D456" w14:textId="77777777" w:rsidR="00B252E4" w:rsidRDefault="00B252E4" w:rsidP="00B252E4">
            <w:pPr>
              <w:spacing w:line="240" w:lineRule="auto"/>
              <w:rPr>
                <w:rFonts w:cs="Times New Roman"/>
                <w:sz w:val="20"/>
                <w:szCs w:val="20"/>
              </w:rPr>
            </w:pPr>
          </w:p>
        </w:tc>
        <w:tc>
          <w:tcPr>
            <w:tcW w:w="3969" w:type="dxa"/>
          </w:tcPr>
          <w:p w14:paraId="367CABA7" w14:textId="77777777" w:rsidR="00B252E4" w:rsidRDefault="00B252E4" w:rsidP="00B252E4">
            <w:pPr>
              <w:spacing w:line="240" w:lineRule="auto"/>
              <w:rPr>
                <w:rFonts w:cs="Times New Roman"/>
                <w:sz w:val="20"/>
                <w:szCs w:val="20"/>
              </w:rPr>
            </w:pPr>
            <w:r>
              <w:rPr>
                <w:rFonts w:cs="Times New Roman"/>
                <w:sz w:val="20"/>
                <w:szCs w:val="20"/>
              </w:rPr>
              <w:t>Rely-On PI§</w:t>
            </w:r>
          </w:p>
        </w:tc>
        <w:tc>
          <w:tcPr>
            <w:tcW w:w="1417" w:type="dxa"/>
          </w:tcPr>
          <w:p w14:paraId="67D1F949" w14:textId="77777777" w:rsidR="00B252E4" w:rsidRPr="00DC46B1" w:rsidRDefault="00B252E4" w:rsidP="00B252E4">
            <w:pPr>
              <w:spacing w:line="240" w:lineRule="auto"/>
              <w:rPr>
                <w:rFonts w:cs="Times New Roman"/>
                <w:sz w:val="20"/>
                <w:szCs w:val="20"/>
              </w:rPr>
            </w:pPr>
            <w:r>
              <w:rPr>
                <w:rFonts w:cs="Times New Roman"/>
                <w:sz w:val="20"/>
                <w:szCs w:val="20"/>
              </w:rPr>
              <w:t>8</w:t>
            </w:r>
          </w:p>
        </w:tc>
        <w:tc>
          <w:tcPr>
            <w:tcW w:w="1418" w:type="dxa"/>
          </w:tcPr>
          <w:p w14:paraId="7D555AA1" w14:textId="61B7E509" w:rsidR="00B252E4" w:rsidRPr="00DC46B1" w:rsidRDefault="00B252E4" w:rsidP="00B252E4">
            <w:pPr>
              <w:spacing w:line="240" w:lineRule="auto"/>
              <w:rPr>
                <w:rFonts w:cs="Times New Roman"/>
                <w:sz w:val="20"/>
                <w:szCs w:val="20"/>
              </w:rPr>
            </w:pPr>
            <w:r>
              <w:rPr>
                <w:rFonts w:cs="Times New Roman"/>
                <w:sz w:val="20"/>
                <w:szCs w:val="20"/>
              </w:rPr>
              <w:t>NR</w:t>
            </w:r>
          </w:p>
        </w:tc>
        <w:tc>
          <w:tcPr>
            <w:tcW w:w="1701" w:type="dxa"/>
          </w:tcPr>
          <w:p w14:paraId="4E82CF05" w14:textId="1B142D4A" w:rsidR="00B252E4" w:rsidRPr="00DC46B1" w:rsidRDefault="00B252E4" w:rsidP="00B252E4">
            <w:pPr>
              <w:spacing w:line="240" w:lineRule="auto"/>
              <w:rPr>
                <w:rFonts w:cs="Times New Roman"/>
                <w:sz w:val="20"/>
                <w:szCs w:val="20"/>
              </w:rPr>
            </w:pPr>
            <w:r>
              <w:rPr>
                <w:rFonts w:cs="Times New Roman"/>
                <w:sz w:val="20"/>
                <w:szCs w:val="20"/>
              </w:rPr>
              <w:t>NR</w:t>
            </w:r>
          </w:p>
        </w:tc>
        <w:tc>
          <w:tcPr>
            <w:tcW w:w="2615" w:type="dxa"/>
          </w:tcPr>
          <w:p w14:paraId="0B4CC850" w14:textId="77777777" w:rsidR="00B252E4" w:rsidRPr="00DC46B1" w:rsidRDefault="00B252E4" w:rsidP="00B252E4">
            <w:pPr>
              <w:spacing w:line="240" w:lineRule="auto"/>
              <w:rPr>
                <w:rFonts w:cs="Times New Roman"/>
                <w:sz w:val="20"/>
                <w:szCs w:val="20"/>
              </w:rPr>
            </w:pPr>
            <w:r>
              <w:rPr>
                <w:rFonts w:cs="Times New Roman"/>
                <w:sz w:val="20"/>
                <w:szCs w:val="20"/>
              </w:rPr>
              <w:t>&lt;0.003TICU</w:t>
            </w:r>
            <w:r w:rsidRPr="00E6739D">
              <w:rPr>
                <w:rFonts w:cs="Times New Roman"/>
                <w:sz w:val="20"/>
                <w:szCs w:val="20"/>
                <w:vertAlign w:val="subscript"/>
              </w:rPr>
              <w:t>w</w:t>
            </w:r>
          </w:p>
        </w:tc>
      </w:tr>
      <w:tr w:rsidR="00B252E4" w:rsidRPr="00DC46B1" w14:paraId="5D8DAF22" w14:textId="77777777" w:rsidTr="00931EC4">
        <w:tc>
          <w:tcPr>
            <w:tcW w:w="1733" w:type="dxa"/>
            <w:vMerge/>
          </w:tcPr>
          <w:p w14:paraId="659D471F" w14:textId="77777777" w:rsidR="00B252E4" w:rsidRPr="00971F99" w:rsidRDefault="00B252E4" w:rsidP="00B252E4">
            <w:pPr>
              <w:spacing w:line="240" w:lineRule="auto"/>
              <w:rPr>
                <w:rFonts w:cs="Times New Roman"/>
                <w:sz w:val="20"/>
                <w:szCs w:val="20"/>
                <w:highlight w:val="yellow"/>
              </w:rPr>
            </w:pPr>
          </w:p>
        </w:tc>
        <w:tc>
          <w:tcPr>
            <w:tcW w:w="1134" w:type="dxa"/>
            <w:vMerge/>
          </w:tcPr>
          <w:p w14:paraId="5DBE4F1F" w14:textId="77777777" w:rsidR="00B252E4" w:rsidRDefault="00B252E4" w:rsidP="00B252E4">
            <w:pPr>
              <w:spacing w:line="240" w:lineRule="auto"/>
              <w:rPr>
                <w:rFonts w:cs="Times New Roman"/>
                <w:sz w:val="20"/>
                <w:szCs w:val="20"/>
              </w:rPr>
            </w:pPr>
          </w:p>
        </w:tc>
        <w:tc>
          <w:tcPr>
            <w:tcW w:w="3969" w:type="dxa"/>
          </w:tcPr>
          <w:p w14:paraId="68EE3073" w14:textId="77777777" w:rsidR="00B252E4" w:rsidRDefault="00B252E4" w:rsidP="00B252E4">
            <w:pPr>
              <w:spacing w:line="240" w:lineRule="auto"/>
              <w:rPr>
                <w:rFonts w:cs="Times New Roman"/>
                <w:sz w:val="20"/>
                <w:szCs w:val="20"/>
              </w:rPr>
            </w:pPr>
            <w:r>
              <w:rPr>
                <w:rFonts w:cs="Times New Roman"/>
                <w:sz w:val="20"/>
                <w:szCs w:val="20"/>
              </w:rPr>
              <w:t>Prionzyme+2 M NaOH§</w:t>
            </w:r>
          </w:p>
        </w:tc>
        <w:tc>
          <w:tcPr>
            <w:tcW w:w="1417" w:type="dxa"/>
          </w:tcPr>
          <w:p w14:paraId="14C5A3F7" w14:textId="77777777" w:rsidR="00B252E4" w:rsidRPr="00DC46B1" w:rsidRDefault="00B252E4" w:rsidP="00B252E4">
            <w:pPr>
              <w:spacing w:line="240" w:lineRule="auto"/>
              <w:rPr>
                <w:rFonts w:cs="Times New Roman"/>
                <w:sz w:val="20"/>
                <w:szCs w:val="20"/>
              </w:rPr>
            </w:pPr>
            <w:r>
              <w:rPr>
                <w:rFonts w:cs="Times New Roman"/>
                <w:sz w:val="20"/>
                <w:szCs w:val="20"/>
              </w:rPr>
              <w:t>8</w:t>
            </w:r>
          </w:p>
        </w:tc>
        <w:tc>
          <w:tcPr>
            <w:tcW w:w="1418" w:type="dxa"/>
          </w:tcPr>
          <w:p w14:paraId="7D2FFBB1" w14:textId="66DA853A" w:rsidR="00B252E4" w:rsidRPr="00DC46B1" w:rsidRDefault="00B252E4" w:rsidP="00B252E4">
            <w:pPr>
              <w:spacing w:line="240" w:lineRule="auto"/>
              <w:rPr>
                <w:rFonts w:cs="Times New Roman"/>
                <w:sz w:val="20"/>
                <w:szCs w:val="20"/>
              </w:rPr>
            </w:pPr>
            <w:r>
              <w:rPr>
                <w:rFonts w:cs="Times New Roman"/>
                <w:sz w:val="20"/>
                <w:szCs w:val="20"/>
              </w:rPr>
              <w:t>NR</w:t>
            </w:r>
          </w:p>
        </w:tc>
        <w:tc>
          <w:tcPr>
            <w:tcW w:w="1701" w:type="dxa"/>
          </w:tcPr>
          <w:p w14:paraId="34D7A1A6" w14:textId="701A2D52" w:rsidR="00B252E4" w:rsidRPr="00DC46B1" w:rsidRDefault="00B252E4" w:rsidP="00B252E4">
            <w:pPr>
              <w:spacing w:line="240" w:lineRule="auto"/>
              <w:rPr>
                <w:rFonts w:cs="Times New Roman"/>
                <w:sz w:val="20"/>
                <w:szCs w:val="20"/>
              </w:rPr>
            </w:pPr>
            <w:r>
              <w:rPr>
                <w:rFonts w:cs="Times New Roman"/>
                <w:sz w:val="20"/>
                <w:szCs w:val="20"/>
              </w:rPr>
              <w:t>NR</w:t>
            </w:r>
          </w:p>
        </w:tc>
        <w:tc>
          <w:tcPr>
            <w:tcW w:w="2615" w:type="dxa"/>
          </w:tcPr>
          <w:p w14:paraId="4F6129CE" w14:textId="77777777" w:rsidR="00B252E4" w:rsidRPr="00DC46B1" w:rsidRDefault="00B252E4" w:rsidP="00B252E4">
            <w:pPr>
              <w:spacing w:line="240" w:lineRule="auto"/>
              <w:rPr>
                <w:rFonts w:cs="Times New Roman"/>
                <w:sz w:val="20"/>
                <w:szCs w:val="20"/>
              </w:rPr>
            </w:pPr>
            <w:r>
              <w:rPr>
                <w:rFonts w:cs="Times New Roman"/>
                <w:sz w:val="20"/>
                <w:szCs w:val="20"/>
              </w:rPr>
              <w:t>&lt;0.003TICU</w:t>
            </w:r>
            <w:r w:rsidRPr="00E6739D">
              <w:rPr>
                <w:rFonts w:cs="Times New Roman"/>
                <w:sz w:val="20"/>
                <w:szCs w:val="20"/>
                <w:vertAlign w:val="subscript"/>
              </w:rPr>
              <w:t>w</w:t>
            </w:r>
          </w:p>
        </w:tc>
      </w:tr>
      <w:tr w:rsidR="00B252E4" w:rsidRPr="00DC46B1" w14:paraId="31D70D1F" w14:textId="77777777" w:rsidTr="00931EC4">
        <w:tc>
          <w:tcPr>
            <w:tcW w:w="1733" w:type="dxa"/>
            <w:vMerge/>
          </w:tcPr>
          <w:p w14:paraId="1F848964" w14:textId="77777777" w:rsidR="00B252E4" w:rsidRPr="00971F99" w:rsidRDefault="00B252E4" w:rsidP="00B252E4">
            <w:pPr>
              <w:spacing w:line="240" w:lineRule="auto"/>
              <w:rPr>
                <w:rFonts w:cs="Times New Roman"/>
                <w:sz w:val="20"/>
                <w:szCs w:val="20"/>
                <w:highlight w:val="yellow"/>
              </w:rPr>
            </w:pPr>
          </w:p>
        </w:tc>
        <w:tc>
          <w:tcPr>
            <w:tcW w:w="1134" w:type="dxa"/>
            <w:vMerge/>
          </w:tcPr>
          <w:p w14:paraId="3A97733B" w14:textId="77777777" w:rsidR="00B252E4" w:rsidRDefault="00B252E4" w:rsidP="00B252E4">
            <w:pPr>
              <w:spacing w:line="240" w:lineRule="auto"/>
              <w:rPr>
                <w:rFonts w:cs="Times New Roman"/>
                <w:sz w:val="20"/>
                <w:szCs w:val="20"/>
              </w:rPr>
            </w:pPr>
          </w:p>
        </w:tc>
        <w:tc>
          <w:tcPr>
            <w:tcW w:w="3969" w:type="dxa"/>
          </w:tcPr>
          <w:p w14:paraId="5F2C7739" w14:textId="77777777" w:rsidR="00B252E4" w:rsidRPr="00DC46B1" w:rsidRDefault="00B252E4" w:rsidP="00B252E4">
            <w:pPr>
              <w:spacing w:line="240" w:lineRule="auto"/>
              <w:rPr>
                <w:rFonts w:cs="Times New Roman"/>
                <w:sz w:val="20"/>
                <w:szCs w:val="20"/>
              </w:rPr>
            </w:pPr>
            <w:r>
              <w:rPr>
                <w:rFonts w:cs="Times New Roman"/>
                <w:sz w:val="20"/>
                <w:szCs w:val="20"/>
              </w:rPr>
              <w:t>2 M NaOH§</w:t>
            </w:r>
          </w:p>
        </w:tc>
        <w:tc>
          <w:tcPr>
            <w:tcW w:w="1417" w:type="dxa"/>
          </w:tcPr>
          <w:p w14:paraId="47E6A8E9" w14:textId="77777777" w:rsidR="00B252E4" w:rsidRPr="00DC46B1" w:rsidRDefault="00B252E4" w:rsidP="00B252E4">
            <w:pPr>
              <w:spacing w:line="240" w:lineRule="auto"/>
              <w:rPr>
                <w:rFonts w:cs="Times New Roman"/>
                <w:sz w:val="20"/>
                <w:szCs w:val="20"/>
              </w:rPr>
            </w:pPr>
            <w:r>
              <w:rPr>
                <w:rFonts w:cs="Times New Roman"/>
                <w:sz w:val="20"/>
                <w:szCs w:val="20"/>
              </w:rPr>
              <w:t>8</w:t>
            </w:r>
          </w:p>
        </w:tc>
        <w:tc>
          <w:tcPr>
            <w:tcW w:w="1418" w:type="dxa"/>
          </w:tcPr>
          <w:p w14:paraId="76EADF5D" w14:textId="6835DEAE" w:rsidR="00B252E4" w:rsidRPr="00DC46B1" w:rsidRDefault="00B252E4" w:rsidP="00B252E4">
            <w:pPr>
              <w:spacing w:line="240" w:lineRule="auto"/>
              <w:rPr>
                <w:rFonts w:cs="Times New Roman"/>
                <w:sz w:val="20"/>
                <w:szCs w:val="20"/>
              </w:rPr>
            </w:pPr>
            <w:r>
              <w:rPr>
                <w:rFonts w:cs="Times New Roman"/>
                <w:sz w:val="20"/>
                <w:szCs w:val="20"/>
              </w:rPr>
              <w:t>NR</w:t>
            </w:r>
          </w:p>
        </w:tc>
        <w:tc>
          <w:tcPr>
            <w:tcW w:w="1701" w:type="dxa"/>
          </w:tcPr>
          <w:p w14:paraId="2B87E221" w14:textId="3749A0E5" w:rsidR="00B252E4" w:rsidRPr="00DC46B1" w:rsidRDefault="00B252E4" w:rsidP="00B252E4">
            <w:pPr>
              <w:spacing w:line="240" w:lineRule="auto"/>
              <w:rPr>
                <w:rFonts w:cs="Times New Roman"/>
                <w:sz w:val="20"/>
                <w:szCs w:val="20"/>
              </w:rPr>
            </w:pPr>
            <w:r>
              <w:rPr>
                <w:rFonts w:cs="Times New Roman"/>
                <w:sz w:val="20"/>
                <w:szCs w:val="20"/>
              </w:rPr>
              <w:t>NR</w:t>
            </w:r>
          </w:p>
        </w:tc>
        <w:tc>
          <w:tcPr>
            <w:tcW w:w="2615" w:type="dxa"/>
          </w:tcPr>
          <w:p w14:paraId="16FAE2AF" w14:textId="77777777" w:rsidR="00B252E4" w:rsidRPr="00DC46B1" w:rsidRDefault="00B252E4" w:rsidP="00B252E4">
            <w:pPr>
              <w:spacing w:line="240" w:lineRule="auto"/>
              <w:rPr>
                <w:rFonts w:cs="Times New Roman"/>
                <w:sz w:val="20"/>
                <w:szCs w:val="20"/>
              </w:rPr>
            </w:pPr>
            <w:r>
              <w:rPr>
                <w:rFonts w:cs="Times New Roman"/>
                <w:sz w:val="20"/>
                <w:szCs w:val="20"/>
              </w:rPr>
              <w:t>&lt;0.003TICU</w:t>
            </w:r>
            <w:r w:rsidRPr="00E6739D">
              <w:rPr>
                <w:rFonts w:cs="Times New Roman"/>
                <w:sz w:val="20"/>
                <w:szCs w:val="20"/>
                <w:vertAlign w:val="subscript"/>
              </w:rPr>
              <w:t>w</w:t>
            </w:r>
          </w:p>
        </w:tc>
      </w:tr>
      <w:tr w:rsidR="00B252E4" w:rsidRPr="00DC46B1" w14:paraId="7022E139" w14:textId="77777777" w:rsidTr="00931EC4">
        <w:tc>
          <w:tcPr>
            <w:tcW w:w="1733" w:type="dxa"/>
            <w:vMerge/>
          </w:tcPr>
          <w:p w14:paraId="221F24EC" w14:textId="77777777" w:rsidR="00B252E4" w:rsidRPr="00971F99" w:rsidRDefault="00B252E4" w:rsidP="00B252E4">
            <w:pPr>
              <w:spacing w:line="240" w:lineRule="auto"/>
              <w:rPr>
                <w:rFonts w:cs="Times New Roman"/>
                <w:sz w:val="20"/>
                <w:szCs w:val="20"/>
                <w:highlight w:val="yellow"/>
              </w:rPr>
            </w:pPr>
          </w:p>
        </w:tc>
        <w:tc>
          <w:tcPr>
            <w:tcW w:w="1134" w:type="dxa"/>
            <w:vMerge/>
          </w:tcPr>
          <w:p w14:paraId="1FD8303A" w14:textId="77777777" w:rsidR="00B252E4" w:rsidRDefault="00B252E4" w:rsidP="00B252E4">
            <w:pPr>
              <w:spacing w:line="240" w:lineRule="auto"/>
              <w:rPr>
                <w:rFonts w:cs="Times New Roman"/>
                <w:sz w:val="20"/>
                <w:szCs w:val="20"/>
              </w:rPr>
            </w:pPr>
          </w:p>
        </w:tc>
        <w:tc>
          <w:tcPr>
            <w:tcW w:w="3969" w:type="dxa"/>
          </w:tcPr>
          <w:p w14:paraId="43BEE747" w14:textId="77777777" w:rsidR="00B252E4" w:rsidRPr="00DC46B1" w:rsidRDefault="00B252E4" w:rsidP="00B252E4">
            <w:pPr>
              <w:spacing w:line="240" w:lineRule="auto"/>
              <w:rPr>
                <w:rFonts w:cs="Times New Roman"/>
                <w:sz w:val="20"/>
                <w:szCs w:val="20"/>
              </w:rPr>
            </w:pPr>
            <w:r>
              <w:rPr>
                <w:rFonts w:cs="Times New Roman"/>
                <w:sz w:val="20"/>
                <w:szCs w:val="20"/>
              </w:rPr>
              <w:t>HAMO 100 0.8%§</w:t>
            </w:r>
          </w:p>
        </w:tc>
        <w:tc>
          <w:tcPr>
            <w:tcW w:w="1417" w:type="dxa"/>
          </w:tcPr>
          <w:p w14:paraId="0DBB7034" w14:textId="77777777" w:rsidR="00B252E4" w:rsidRPr="00DC46B1" w:rsidRDefault="00B252E4" w:rsidP="00B252E4">
            <w:pPr>
              <w:spacing w:line="240" w:lineRule="auto"/>
              <w:rPr>
                <w:rFonts w:cs="Times New Roman"/>
                <w:sz w:val="20"/>
                <w:szCs w:val="20"/>
              </w:rPr>
            </w:pPr>
            <w:r>
              <w:rPr>
                <w:rFonts w:cs="Times New Roman"/>
                <w:sz w:val="20"/>
                <w:szCs w:val="20"/>
              </w:rPr>
              <w:t>NR</w:t>
            </w:r>
          </w:p>
        </w:tc>
        <w:tc>
          <w:tcPr>
            <w:tcW w:w="1418" w:type="dxa"/>
          </w:tcPr>
          <w:p w14:paraId="6ACC3376" w14:textId="533A3D89" w:rsidR="00B252E4" w:rsidRPr="00DC46B1" w:rsidRDefault="00B252E4" w:rsidP="00B252E4">
            <w:pPr>
              <w:spacing w:line="240" w:lineRule="auto"/>
              <w:rPr>
                <w:rFonts w:cs="Times New Roman"/>
                <w:sz w:val="20"/>
                <w:szCs w:val="20"/>
              </w:rPr>
            </w:pPr>
            <w:r>
              <w:rPr>
                <w:rFonts w:cs="Times New Roman"/>
                <w:sz w:val="20"/>
                <w:szCs w:val="20"/>
              </w:rPr>
              <w:t>NR</w:t>
            </w:r>
          </w:p>
        </w:tc>
        <w:tc>
          <w:tcPr>
            <w:tcW w:w="1701" w:type="dxa"/>
          </w:tcPr>
          <w:p w14:paraId="36DF1507" w14:textId="50FC58A6" w:rsidR="00B252E4" w:rsidRPr="00DC46B1" w:rsidRDefault="00B252E4" w:rsidP="00B252E4">
            <w:pPr>
              <w:spacing w:line="240" w:lineRule="auto"/>
              <w:rPr>
                <w:rFonts w:cs="Times New Roman"/>
                <w:sz w:val="20"/>
                <w:szCs w:val="20"/>
              </w:rPr>
            </w:pPr>
            <w:r>
              <w:rPr>
                <w:rFonts w:cs="Times New Roman"/>
                <w:sz w:val="20"/>
                <w:szCs w:val="20"/>
              </w:rPr>
              <w:t>NR</w:t>
            </w:r>
          </w:p>
        </w:tc>
        <w:tc>
          <w:tcPr>
            <w:tcW w:w="2615" w:type="dxa"/>
          </w:tcPr>
          <w:p w14:paraId="27367B3F" w14:textId="77777777" w:rsidR="00B252E4" w:rsidRPr="00DC46B1" w:rsidRDefault="00B252E4" w:rsidP="00B252E4">
            <w:pPr>
              <w:spacing w:line="240" w:lineRule="auto"/>
              <w:rPr>
                <w:rFonts w:cs="Times New Roman"/>
                <w:sz w:val="20"/>
                <w:szCs w:val="20"/>
              </w:rPr>
            </w:pPr>
            <w:r>
              <w:rPr>
                <w:rFonts w:cs="Times New Roman"/>
                <w:sz w:val="20"/>
                <w:szCs w:val="20"/>
              </w:rPr>
              <w:t>0.3†</w:t>
            </w:r>
          </w:p>
        </w:tc>
      </w:tr>
      <w:tr w:rsidR="00B252E4" w:rsidRPr="00DC46B1" w14:paraId="2AD3FAAB" w14:textId="77777777" w:rsidTr="00931EC4">
        <w:tc>
          <w:tcPr>
            <w:tcW w:w="1733" w:type="dxa"/>
            <w:vMerge/>
          </w:tcPr>
          <w:p w14:paraId="05273089" w14:textId="77777777" w:rsidR="00B252E4" w:rsidRPr="00971F99" w:rsidRDefault="00B252E4" w:rsidP="00B252E4">
            <w:pPr>
              <w:spacing w:line="240" w:lineRule="auto"/>
              <w:rPr>
                <w:rFonts w:cs="Times New Roman"/>
                <w:sz w:val="20"/>
                <w:szCs w:val="20"/>
                <w:highlight w:val="yellow"/>
              </w:rPr>
            </w:pPr>
          </w:p>
        </w:tc>
        <w:tc>
          <w:tcPr>
            <w:tcW w:w="1134" w:type="dxa"/>
            <w:vMerge/>
          </w:tcPr>
          <w:p w14:paraId="4B7DAFBE" w14:textId="77777777" w:rsidR="00B252E4" w:rsidRDefault="00B252E4" w:rsidP="00B252E4">
            <w:pPr>
              <w:spacing w:line="240" w:lineRule="auto"/>
              <w:rPr>
                <w:rFonts w:cs="Times New Roman"/>
                <w:sz w:val="20"/>
                <w:szCs w:val="20"/>
              </w:rPr>
            </w:pPr>
          </w:p>
        </w:tc>
        <w:tc>
          <w:tcPr>
            <w:tcW w:w="3969" w:type="dxa"/>
          </w:tcPr>
          <w:p w14:paraId="2FCBD9CD" w14:textId="77777777" w:rsidR="00B252E4" w:rsidRPr="00DC46B1" w:rsidRDefault="00B252E4" w:rsidP="00B252E4">
            <w:pPr>
              <w:spacing w:line="240" w:lineRule="auto"/>
              <w:rPr>
                <w:rFonts w:cs="Times New Roman"/>
                <w:sz w:val="20"/>
                <w:szCs w:val="20"/>
              </w:rPr>
            </w:pPr>
            <w:r>
              <w:rPr>
                <w:rFonts w:cs="Times New Roman"/>
                <w:sz w:val="20"/>
                <w:szCs w:val="20"/>
              </w:rPr>
              <w:t>HAMO 100 1.6%§</w:t>
            </w:r>
          </w:p>
        </w:tc>
        <w:tc>
          <w:tcPr>
            <w:tcW w:w="1417" w:type="dxa"/>
          </w:tcPr>
          <w:p w14:paraId="3A6F55C7" w14:textId="77777777" w:rsidR="00B252E4" w:rsidRPr="00DC46B1" w:rsidRDefault="00B252E4" w:rsidP="00B252E4">
            <w:pPr>
              <w:spacing w:line="240" w:lineRule="auto"/>
              <w:rPr>
                <w:rFonts w:cs="Times New Roman"/>
                <w:sz w:val="20"/>
                <w:szCs w:val="20"/>
              </w:rPr>
            </w:pPr>
            <w:r>
              <w:rPr>
                <w:rFonts w:cs="Times New Roman"/>
                <w:sz w:val="20"/>
                <w:szCs w:val="20"/>
              </w:rPr>
              <w:t>NR</w:t>
            </w:r>
          </w:p>
        </w:tc>
        <w:tc>
          <w:tcPr>
            <w:tcW w:w="1418" w:type="dxa"/>
          </w:tcPr>
          <w:p w14:paraId="5C3A97FF" w14:textId="40F010C7" w:rsidR="00B252E4" w:rsidRPr="00DC46B1" w:rsidRDefault="00B252E4" w:rsidP="00B252E4">
            <w:pPr>
              <w:spacing w:line="240" w:lineRule="auto"/>
              <w:rPr>
                <w:rFonts w:cs="Times New Roman"/>
                <w:sz w:val="20"/>
                <w:szCs w:val="20"/>
              </w:rPr>
            </w:pPr>
            <w:r>
              <w:rPr>
                <w:rFonts w:cs="Times New Roman"/>
                <w:sz w:val="20"/>
                <w:szCs w:val="20"/>
              </w:rPr>
              <w:t>NR</w:t>
            </w:r>
          </w:p>
        </w:tc>
        <w:tc>
          <w:tcPr>
            <w:tcW w:w="1701" w:type="dxa"/>
          </w:tcPr>
          <w:p w14:paraId="4EE5F045" w14:textId="09CB70FE" w:rsidR="00B252E4" w:rsidRPr="00DC46B1" w:rsidRDefault="00B252E4" w:rsidP="00B252E4">
            <w:pPr>
              <w:spacing w:line="240" w:lineRule="auto"/>
              <w:rPr>
                <w:rFonts w:cs="Times New Roman"/>
                <w:sz w:val="20"/>
                <w:szCs w:val="20"/>
              </w:rPr>
            </w:pPr>
            <w:r>
              <w:rPr>
                <w:rFonts w:cs="Times New Roman"/>
                <w:sz w:val="20"/>
                <w:szCs w:val="20"/>
              </w:rPr>
              <w:t>NR</w:t>
            </w:r>
          </w:p>
        </w:tc>
        <w:tc>
          <w:tcPr>
            <w:tcW w:w="2615" w:type="dxa"/>
          </w:tcPr>
          <w:p w14:paraId="663F70B7" w14:textId="77777777" w:rsidR="00B252E4" w:rsidRPr="00DC46B1" w:rsidRDefault="00B252E4" w:rsidP="00B252E4">
            <w:pPr>
              <w:spacing w:line="240" w:lineRule="auto"/>
              <w:rPr>
                <w:rFonts w:cs="Times New Roman"/>
                <w:sz w:val="20"/>
                <w:szCs w:val="20"/>
              </w:rPr>
            </w:pPr>
            <w:r>
              <w:rPr>
                <w:rFonts w:cs="Times New Roman"/>
                <w:sz w:val="20"/>
                <w:szCs w:val="20"/>
              </w:rPr>
              <w:t>0.07†</w:t>
            </w:r>
          </w:p>
        </w:tc>
      </w:tr>
      <w:tr w:rsidR="00B252E4" w:rsidRPr="00DC46B1" w14:paraId="4E2E6691" w14:textId="77777777" w:rsidTr="00931EC4">
        <w:tc>
          <w:tcPr>
            <w:tcW w:w="1733" w:type="dxa"/>
            <w:vMerge w:val="restart"/>
          </w:tcPr>
          <w:p w14:paraId="214431F6" w14:textId="43162AFD" w:rsidR="00B252E4" w:rsidRPr="00A278A2" w:rsidRDefault="00B252E4" w:rsidP="0076576E">
            <w:pPr>
              <w:spacing w:line="240" w:lineRule="auto"/>
              <w:rPr>
                <w:rFonts w:cs="Times New Roman"/>
                <w:sz w:val="20"/>
                <w:szCs w:val="20"/>
              </w:rPr>
            </w:pPr>
            <w:r w:rsidRPr="007E546A">
              <w:rPr>
                <w:rFonts w:cs="Times New Roman"/>
                <w:sz w:val="20"/>
                <w:szCs w:val="20"/>
                <w:lang w:val="en"/>
              </w:rPr>
              <w:t xml:space="preserve">Fichet </w:t>
            </w:r>
            <w:r w:rsidR="00B301D6" w:rsidRPr="00B301D6">
              <w:rPr>
                <w:rFonts w:cs="Times New Roman"/>
                <w:i/>
                <w:sz w:val="20"/>
                <w:szCs w:val="20"/>
                <w:lang w:val="en"/>
              </w:rPr>
              <w:t>et al</w:t>
            </w:r>
            <w:r w:rsidRPr="007E546A">
              <w:rPr>
                <w:rFonts w:cs="Times New Roman"/>
                <w:sz w:val="20"/>
                <w:szCs w:val="20"/>
                <w:lang w:val="en"/>
              </w:rPr>
              <w:t>,  2007,</w:t>
            </w:r>
            <w:r>
              <w:rPr>
                <w:rFonts w:cs="Times New Roman"/>
                <w:sz w:val="20"/>
                <w:szCs w:val="20"/>
                <w:lang w:val="en"/>
              </w:rPr>
              <w:fldChar w:fldCharType="begin"/>
            </w:r>
            <w:r w:rsidR="0076576E">
              <w:rPr>
                <w:rFonts w:cs="Times New Roman"/>
                <w:sz w:val="20"/>
                <w:szCs w:val="20"/>
                <w:lang w:val="en"/>
              </w:rPr>
              <w:instrText xml:space="preserve"> ADDIN EN.CITE &lt;EndNote&gt;&lt;Cite&gt;&lt;Author&gt;Fichet&lt;/Author&gt;&lt;Year&gt;2007&lt;/Year&gt;&lt;RecNum&gt;9730&lt;/RecNum&gt;&lt;DisplayText&gt;&lt;style face="superscript"&gt;175&lt;/style&gt;&lt;/DisplayText&gt;&lt;record&gt;&lt;rec-number&gt;9730&lt;/rec-number&gt;&lt;foreign-keys&gt;&lt;key app="EN" db-id="vrp0pptazv05wtesfz5vrzsj2p0rv09ttsa9" timestamp="1511786612" guid="2017d090-d6d8-4f51-8492-062c2f8d6138"&gt;9730&lt;/key&gt;&lt;/foreign-keys&gt;&lt;ref-type name="Journal Article"&gt;17&lt;/ref-type&gt;&lt;contributors&gt;&lt;authors&gt;&lt;author&gt;Fichet, G.&lt;/author&gt;&lt;author&gt;Antloga, K.&lt;/author&gt;&lt;author&gt;Comoy, E.&lt;/author&gt;&lt;author&gt;Deslys, J. P.&lt;/author&gt;&lt;author&gt;McDonnell, G.&lt;/author&gt;&lt;/authors&gt;&lt;/contributors&gt;&lt;titles&gt;&lt;title&gt;Prion inactivation using a new gaseous hydrogen peroxide sterilisation process&lt;/title&gt;&lt;secondary-title&gt;Journal of Hospital Infection&lt;/secondary-title&gt;&lt;/titles&gt;&lt;periodical&gt;&lt;full-title&gt;Journal of Hospital Infection&lt;/full-title&gt;&lt;/periodical&gt;&lt;pages&gt;278-286&lt;/pages&gt;&lt;volume&gt;67&lt;/volume&gt;&lt;keywords&gt;&lt;keyword&gt;$$CC_5_instrument decontamination&lt;/keyword&gt;&lt;keyword&gt;$$CJD relevant&lt;/keyword&gt;&lt;keyword&gt;$$5_instrument decontamination&lt;/keyword&gt;&lt;keyword&gt;$$references&lt;/keyword&gt;&lt;/keywords&gt;&lt;dates&gt;&lt;year&gt;2007&lt;/year&gt;&lt;/dates&gt;&lt;urls&gt;&lt;/urls&gt;&lt;/record&gt;&lt;/Cite&gt;&lt;/EndNote&gt;</w:instrText>
            </w:r>
            <w:r>
              <w:rPr>
                <w:rFonts w:cs="Times New Roman"/>
                <w:sz w:val="20"/>
                <w:szCs w:val="20"/>
                <w:lang w:val="en"/>
              </w:rPr>
              <w:fldChar w:fldCharType="separate"/>
            </w:r>
            <w:r w:rsidR="0076576E" w:rsidRPr="0076576E">
              <w:rPr>
                <w:rFonts w:cs="Times New Roman"/>
                <w:noProof/>
                <w:sz w:val="20"/>
                <w:szCs w:val="20"/>
                <w:vertAlign w:val="superscript"/>
                <w:lang w:val="en"/>
              </w:rPr>
              <w:t>175</w:t>
            </w:r>
            <w:r>
              <w:rPr>
                <w:rFonts w:cs="Times New Roman"/>
                <w:sz w:val="20"/>
                <w:szCs w:val="20"/>
                <w:lang w:val="en"/>
              </w:rPr>
              <w:fldChar w:fldCharType="end"/>
            </w:r>
          </w:p>
        </w:tc>
        <w:tc>
          <w:tcPr>
            <w:tcW w:w="1134" w:type="dxa"/>
            <w:vMerge w:val="restart"/>
          </w:tcPr>
          <w:p w14:paraId="503D7AEA" w14:textId="77777777" w:rsidR="00B252E4" w:rsidRPr="00A278A2" w:rsidRDefault="00B252E4" w:rsidP="00B252E4">
            <w:pPr>
              <w:spacing w:line="240" w:lineRule="auto"/>
              <w:rPr>
                <w:rFonts w:cs="Times New Roman"/>
                <w:sz w:val="20"/>
                <w:szCs w:val="20"/>
              </w:rPr>
            </w:pPr>
            <w:r w:rsidRPr="00A278A2">
              <w:rPr>
                <w:rFonts w:cs="Times New Roman"/>
                <w:sz w:val="20"/>
                <w:szCs w:val="20"/>
              </w:rPr>
              <w:t>263K</w:t>
            </w:r>
          </w:p>
        </w:tc>
        <w:tc>
          <w:tcPr>
            <w:tcW w:w="3969" w:type="dxa"/>
          </w:tcPr>
          <w:p w14:paraId="61A146F6" w14:textId="77777777" w:rsidR="00B252E4" w:rsidRPr="00A278A2" w:rsidRDefault="00B252E4" w:rsidP="00B252E4">
            <w:pPr>
              <w:spacing w:line="240" w:lineRule="auto"/>
              <w:rPr>
                <w:rFonts w:cs="Times New Roman"/>
                <w:sz w:val="20"/>
                <w:szCs w:val="20"/>
              </w:rPr>
            </w:pPr>
            <w:r w:rsidRPr="00A278A2">
              <w:rPr>
                <w:rFonts w:cs="Times New Roman"/>
                <w:sz w:val="20"/>
                <w:szCs w:val="20"/>
              </w:rPr>
              <w:t>6% liquid H</w:t>
            </w:r>
            <w:r w:rsidRPr="00A278A2">
              <w:rPr>
                <w:rFonts w:cs="Times New Roman"/>
                <w:sz w:val="20"/>
                <w:szCs w:val="20"/>
                <w:vertAlign w:val="subscript"/>
              </w:rPr>
              <w:t>2</w:t>
            </w:r>
            <w:r w:rsidRPr="00A278A2">
              <w:rPr>
                <w:rFonts w:cs="Times New Roman"/>
                <w:sz w:val="20"/>
                <w:szCs w:val="20"/>
              </w:rPr>
              <w:t>O</w:t>
            </w:r>
            <w:r w:rsidRPr="00A278A2">
              <w:rPr>
                <w:rFonts w:cs="Times New Roman"/>
                <w:sz w:val="20"/>
                <w:szCs w:val="20"/>
                <w:vertAlign w:val="subscript"/>
              </w:rPr>
              <w:t xml:space="preserve">2, </w:t>
            </w:r>
            <w:r w:rsidRPr="00A278A2">
              <w:rPr>
                <w:rFonts w:cs="Times New Roman"/>
                <w:sz w:val="20"/>
                <w:szCs w:val="20"/>
              </w:rPr>
              <w:t>20</w:t>
            </w:r>
            <w:r w:rsidRPr="00A278A2">
              <w:rPr>
                <w:rFonts w:cs="Times New Roman"/>
                <w:sz w:val="20"/>
                <w:szCs w:val="20"/>
                <w:vertAlign w:val="superscript"/>
              </w:rPr>
              <w:t>°</w:t>
            </w:r>
            <w:r w:rsidRPr="00A278A2">
              <w:rPr>
                <w:rFonts w:cs="Times New Roman"/>
                <w:sz w:val="20"/>
                <w:szCs w:val="20"/>
              </w:rPr>
              <w:t>C (60 mins)</w:t>
            </w:r>
          </w:p>
        </w:tc>
        <w:tc>
          <w:tcPr>
            <w:tcW w:w="1417" w:type="dxa"/>
          </w:tcPr>
          <w:p w14:paraId="032C310D" w14:textId="77777777" w:rsidR="00B252E4" w:rsidRDefault="00B252E4" w:rsidP="00B252E4">
            <w:pPr>
              <w:spacing w:line="240" w:lineRule="auto"/>
              <w:rPr>
                <w:rFonts w:cs="Times New Roman"/>
                <w:sz w:val="20"/>
                <w:szCs w:val="20"/>
              </w:rPr>
            </w:pPr>
            <w:r w:rsidRPr="00A278A2">
              <w:rPr>
                <w:rFonts w:cs="Times New Roman"/>
                <w:sz w:val="20"/>
                <w:szCs w:val="20"/>
              </w:rPr>
              <w:t>1</w:t>
            </w:r>
          </w:p>
        </w:tc>
        <w:tc>
          <w:tcPr>
            <w:tcW w:w="1418" w:type="dxa"/>
          </w:tcPr>
          <w:p w14:paraId="51625F7E" w14:textId="77777777" w:rsidR="00B252E4" w:rsidRPr="00DC46B1" w:rsidRDefault="00B252E4" w:rsidP="00B252E4">
            <w:pPr>
              <w:spacing w:line="240" w:lineRule="auto"/>
              <w:rPr>
                <w:rFonts w:cs="Times New Roman"/>
                <w:sz w:val="20"/>
                <w:szCs w:val="20"/>
              </w:rPr>
            </w:pPr>
            <w:r>
              <w:rPr>
                <w:rFonts w:cs="Times New Roman"/>
                <w:sz w:val="20"/>
                <w:szCs w:val="20"/>
              </w:rPr>
              <w:t>11/11 (100%)</w:t>
            </w:r>
          </w:p>
        </w:tc>
        <w:tc>
          <w:tcPr>
            <w:tcW w:w="1701" w:type="dxa"/>
          </w:tcPr>
          <w:p w14:paraId="45F63F37" w14:textId="77777777" w:rsidR="00B252E4" w:rsidRPr="00DC46B1" w:rsidRDefault="00B252E4" w:rsidP="00B252E4">
            <w:pPr>
              <w:spacing w:line="240" w:lineRule="auto"/>
              <w:rPr>
                <w:rFonts w:cs="Times New Roman"/>
                <w:sz w:val="20"/>
                <w:szCs w:val="20"/>
              </w:rPr>
            </w:pPr>
            <w:r>
              <w:rPr>
                <w:rFonts w:cs="Times New Roman"/>
                <w:sz w:val="20"/>
                <w:szCs w:val="20"/>
              </w:rPr>
              <w:t>114 (13)</w:t>
            </w:r>
          </w:p>
        </w:tc>
        <w:tc>
          <w:tcPr>
            <w:tcW w:w="2615" w:type="dxa"/>
          </w:tcPr>
          <w:p w14:paraId="12E3F4AE" w14:textId="02353A5D" w:rsidR="00B252E4" w:rsidRDefault="00B252E4" w:rsidP="00B252E4">
            <w:pPr>
              <w:spacing w:line="240" w:lineRule="auto"/>
              <w:rPr>
                <w:rFonts w:cs="Times New Roman"/>
                <w:sz w:val="20"/>
                <w:szCs w:val="20"/>
              </w:rPr>
            </w:pPr>
          </w:p>
        </w:tc>
      </w:tr>
      <w:tr w:rsidR="00B252E4" w:rsidRPr="00DC46B1" w14:paraId="6E7AFE3B" w14:textId="77777777" w:rsidTr="00931EC4">
        <w:tc>
          <w:tcPr>
            <w:tcW w:w="1733" w:type="dxa"/>
            <w:vMerge/>
          </w:tcPr>
          <w:p w14:paraId="65219AB8" w14:textId="77777777" w:rsidR="00B252E4" w:rsidRPr="00971F99" w:rsidRDefault="00B252E4" w:rsidP="00B252E4">
            <w:pPr>
              <w:spacing w:line="240" w:lineRule="auto"/>
              <w:rPr>
                <w:rFonts w:cs="Times New Roman"/>
                <w:sz w:val="20"/>
                <w:szCs w:val="20"/>
                <w:highlight w:val="yellow"/>
              </w:rPr>
            </w:pPr>
          </w:p>
        </w:tc>
        <w:tc>
          <w:tcPr>
            <w:tcW w:w="1134" w:type="dxa"/>
            <w:vMerge/>
          </w:tcPr>
          <w:p w14:paraId="55398113" w14:textId="77777777" w:rsidR="00B252E4" w:rsidRDefault="00B252E4" w:rsidP="00B252E4">
            <w:pPr>
              <w:spacing w:line="240" w:lineRule="auto"/>
              <w:rPr>
                <w:rFonts w:cs="Times New Roman"/>
                <w:sz w:val="20"/>
                <w:szCs w:val="20"/>
              </w:rPr>
            </w:pPr>
          </w:p>
        </w:tc>
        <w:tc>
          <w:tcPr>
            <w:tcW w:w="3969" w:type="dxa"/>
          </w:tcPr>
          <w:p w14:paraId="1A1995E3" w14:textId="77777777" w:rsidR="00B252E4" w:rsidRPr="001D1C67" w:rsidRDefault="00B252E4" w:rsidP="00B252E4">
            <w:pPr>
              <w:spacing w:line="240" w:lineRule="auto"/>
              <w:rPr>
                <w:rFonts w:cs="Times New Roman"/>
                <w:sz w:val="20"/>
                <w:szCs w:val="20"/>
                <w:lang w:val="pt-PT"/>
              </w:rPr>
            </w:pPr>
            <w:r w:rsidRPr="001D1C67">
              <w:rPr>
                <w:rFonts w:cs="Times New Roman"/>
                <w:sz w:val="20"/>
                <w:szCs w:val="20"/>
                <w:lang w:val="pt-PT"/>
              </w:rPr>
              <w:t>2mg/L gaseous 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 xml:space="preserve">2, </w:t>
            </w:r>
            <w:r w:rsidRPr="001D1C67">
              <w:rPr>
                <w:rFonts w:cs="Times New Roman"/>
                <w:sz w:val="20"/>
                <w:szCs w:val="20"/>
                <w:lang w:val="pt-PT"/>
              </w:rPr>
              <w:t>30</w:t>
            </w:r>
            <w:r w:rsidRPr="001D1C67">
              <w:rPr>
                <w:rFonts w:cs="Times New Roman"/>
                <w:sz w:val="20"/>
                <w:szCs w:val="20"/>
                <w:vertAlign w:val="superscript"/>
                <w:lang w:val="pt-PT"/>
              </w:rPr>
              <w:t>°</w:t>
            </w:r>
            <w:r w:rsidRPr="001D1C67">
              <w:rPr>
                <w:rFonts w:cs="Times New Roman"/>
                <w:sz w:val="20"/>
                <w:szCs w:val="20"/>
                <w:lang w:val="pt-PT"/>
              </w:rPr>
              <w:t>C (3 pulses)</w:t>
            </w:r>
          </w:p>
        </w:tc>
        <w:tc>
          <w:tcPr>
            <w:tcW w:w="1417" w:type="dxa"/>
          </w:tcPr>
          <w:p w14:paraId="6297F317" w14:textId="77777777" w:rsidR="00B252E4" w:rsidRDefault="00B252E4" w:rsidP="00B252E4">
            <w:pPr>
              <w:spacing w:line="240" w:lineRule="auto"/>
              <w:rPr>
                <w:rFonts w:cs="Times New Roman"/>
                <w:sz w:val="20"/>
                <w:szCs w:val="20"/>
              </w:rPr>
            </w:pPr>
            <w:r>
              <w:rPr>
                <w:rFonts w:cs="Times New Roman"/>
                <w:sz w:val="20"/>
                <w:szCs w:val="20"/>
              </w:rPr>
              <w:t>&gt;5.5</w:t>
            </w:r>
          </w:p>
        </w:tc>
        <w:tc>
          <w:tcPr>
            <w:tcW w:w="1418" w:type="dxa"/>
          </w:tcPr>
          <w:p w14:paraId="7A559A16" w14:textId="77777777" w:rsidR="00B252E4" w:rsidRPr="00DC46B1" w:rsidRDefault="00B252E4" w:rsidP="00B252E4">
            <w:pPr>
              <w:spacing w:line="240" w:lineRule="auto"/>
              <w:rPr>
                <w:rFonts w:cs="Times New Roman"/>
                <w:sz w:val="20"/>
                <w:szCs w:val="20"/>
              </w:rPr>
            </w:pPr>
            <w:r>
              <w:rPr>
                <w:rFonts w:cs="Times New Roman"/>
                <w:sz w:val="20"/>
                <w:szCs w:val="20"/>
              </w:rPr>
              <w:t>0/8</w:t>
            </w:r>
          </w:p>
        </w:tc>
        <w:tc>
          <w:tcPr>
            <w:tcW w:w="1701" w:type="dxa"/>
          </w:tcPr>
          <w:p w14:paraId="41052AF0" w14:textId="77777777" w:rsidR="00B252E4" w:rsidRPr="00DC46B1" w:rsidRDefault="00B252E4" w:rsidP="00B252E4">
            <w:pPr>
              <w:spacing w:line="240" w:lineRule="auto"/>
              <w:rPr>
                <w:rFonts w:cs="Times New Roman"/>
                <w:sz w:val="20"/>
                <w:szCs w:val="20"/>
              </w:rPr>
            </w:pPr>
            <w:r>
              <w:rPr>
                <w:rFonts w:cs="Times New Roman"/>
                <w:sz w:val="20"/>
                <w:szCs w:val="20"/>
              </w:rPr>
              <w:t>&gt;540</w:t>
            </w:r>
          </w:p>
        </w:tc>
        <w:tc>
          <w:tcPr>
            <w:tcW w:w="2615" w:type="dxa"/>
          </w:tcPr>
          <w:p w14:paraId="7E4D1712" w14:textId="4F0CB137" w:rsidR="00B252E4" w:rsidRDefault="00B252E4" w:rsidP="00B252E4">
            <w:pPr>
              <w:spacing w:line="240" w:lineRule="auto"/>
              <w:rPr>
                <w:rFonts w:cs="Times New Roman"/>
                <w:sz w:val="20"/>
                <w:szCs w:val="20"/>
              </w:rPr>
            </w:pPr>
          </w:p>
        </w:tc>
      </w:tr>
      <w:tr w:rsidR="00B252E4" w:rsidRPr="00DC46B1" w14:paraId="1671EBD5" w14:textId="77777777" w:rsidTr="00931EC4">
        <w:tc>
          <w:tcPr>
            <w:tcW w:w="1733" w:type="dxa"/>
            <w:vMerge/>
          </w:tcPr>
          <w:p w14:paraId="7F77FE76" w14:textId="77777777" w:rsidR="00B252E4" w:rsidRPr="00971F99" w:rsidRDefault="00B252E4" w:rsidP="00B252E4">
            <w:pPr>
              <w:spacing w:line="240" w:lineRule="auto"/>
              <w:rPr>
                <w:rFonts w:cs="Times New Roman"/>
                <w:sz w:val="20"/>
                <w:szCs w:val="20"/>
                <w:highlight w:val="yellow"/>
              </w:rPr>
            </w:pPr>
          </w:p>
        </w:tc>
        <w:tc>
          <w:tcPr>
            <w:tcW w:w="1134" w:type="dxa"/>
            <w:vMerge/>
          </w:tcPr>
          <w:p w14:paraId="3969FDC3" w14:textId="77777777" w:rsidR="00B252E4" w:rsidRDefault="00B252E4" w:rsidP="00B252E4">
            <w:pPr>
              <w:spacing w:line="240" w:lineRule="auto"/>
              <w:rPr>
                <w:rFonts w:cs="Times New Roman"/>
                <w:sz w:val="20"/>
                <w:szCs w:val="20"/>
              </w:rPr>
            </w:pPr>
          </w:p>
        </w:tc>
        <w:tc>
          <w:tcPr>
            <w:tcW w:w="3969" w:type="dxa"/>
          </w:tcPr>
          <w:p w14:paraId="3238F649" w14:textId="77777777" w:rsidR="00B252E4" w:rsidRPr="001D1C67" w:rsidRDefault="00B252E4" w:rsidP="00B252E4">
            <w:pPr>
              <w:spacing w:line="240" w:lineRule="auto"/>
              <w:rPr>
                <w:rFonts w:cs="Times New Roman"/>
                <w:sz w:val="20"/>
                <w:szCs w:val="20"/>
                <w:lang w:val="pt-PT"/>
              </w:rPr>
            </w:pPr>
            <w:r w:rsidRPr="001D1C67">
              <w:rPr>
                <w:rFonts w:cs="Times New Roman"/>
                <w:sz w:val="20"/>
                <w:szCs w:val="20"/>
                <w:lang w:val="pt-PT"/>
              </w:rPr>
              <w:t>2mg/L gaseous 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 xml:space="preserve">2, </w:t>
            </w:r>
            <w:r w:rsidRPr="001D1C67">
              <w:rPr>
                <w:rFonts w:cs="Times New Roman"/>
                <w:sz w:val="20"/>
                <w:szCs w:val="20"/>
                <w:lang w:val="pt-PT"/>
              </w:rPr>
              <w:t>30</w:t>
            </w:r>
            <w:r w:rsidRPr="001D1C67">
              <w:rPr>
                <w:rFonts w:cs="Times New Roman"/>
                <w:sz w:val="20"/>
                <w:szCs w:val="20"/>
                <w:vertAlign w:val="superscript"/>
                <w:lang w:val="pt-PT"/>
              </w:rPr>
              <w:t>°</w:t>
            </w:r>
            <w:r w:rsidRPr="001D1C67">
              <w:rPr>
                <w:rFonts w:cs="Times New Roman"/>
                <w:sz w:val="20"/>
                <w:szCs w:val="20"/>
                <w:lang w:val="pt-PT"/>
              </w:rPr>
              <w:t>C (6 pulses)</w:t>
            </w:r>
          </w:p>
        </w:tc>
        <w:tc>
          <w:tcPr>
            <w:tcW w:w="1417" w:type="dxa"/>
          </w:tcPr>
          <w:p w14:paraId="4E4D1D32" w14:textId="77777777" w:rsidR="00B252E4" w:rsidRDefault="00B252E4" w:rsidP="00B252E4">
            <w:pPr>
              <w:spacing w:line="240" w:lineRule="auto"/>
              <w:rPr>
                <w:rFonts w:cs="Times New Roman"/>
                <w:sz w:val="20"/>
                <w:szCs w:val="20"/>
              </w:rPr>
            </w:pPr>
            <w:r>
              <w:rPr>
                <w:rFonts w:cs="Times New Roman"/>
                <w:sz w:val="20"/>
                <w:szCs w:val="20"/>
              </w:rPr>
              <w:t>&gt;5.5</w:t>
            </w:r>
          </w:p>
        </w:tc>
        <w:tc>
          <w:tcPr>
            <w:tcW w:w="1418" w:type="dxa"/>
          </w:tcPr>
          <w:p w14:paraId="7F65D65C" w14:textId="77777777" w:rsidR="00B252E4" w:rsidRPr="00DC46B1" w:rsidRDefault="00B252E4" w:rsidP="00B252E4">
            <w:pPr>
              <w:spacing w:line="240" w:lineRule="auto"/>
              <w:rPr>
                <w:rFonts w:cs="Times New Roman"/>
                <w:sz w:val="20"/>
                <w:szCs w:val="20"/>
              </w:rPr>
            </w:pPr>
            <w:r>
              <w:rPr>
                <w:rFonts w:cs="Times New Roman"/>
                <w:sz w:val="20"/>
                <w:szCs w:val="20"/>
              </w:rPr>
              <w:t>0/8</w:t>
            </w:r>
          </w:p>
        </w:tc>
        <w:tc>
          <w:tcPr>
            <w:tcW w:w="1701" w:type="dxa"/>
          </w:tcPr>
          <w:p w14:paraId="00DD8767" w14:textId="77777777" w:rsidR="00B252E4" w:rsidRDefault="00B252E4" w:rsidP="00B252E4">
            <w:pPr>
              <w:spacing w:line="240" w:lineRule="auto"/>
            </w:pPr>
            <w:r w:rsidRPr="005B5901">
              <w:rPr>
                <w:rFonts w:cs="Times New Roman"/>
                <w:sz w:val="20"/>
                <w:szCs w:val="20"/>
              </w:rPr>
              <w:t>&gt;540</w:t>
            </w:r>
          </w:p>
        </w:tc>
        <w:tc>
          <w:tcPr>
            <w:tcW w:w="2615" w:type="dxa"/>
          </w:tcPr>
          <w:p w14:paraId="4DA0372F" w14:textId="11C41664" w:rsidR="00B252E4" w:rsidRDefault="00B252E4" w:rsidP="00B252E4">
            <w:pPr>
              <w:spacing w:line="240" w:lineRule="auto"/>
              <w:rPr>
                <w:rFonts w:cs="Times New Roman"/>
                <w:sz w:val="20"/>
                <w:szCs w:val="20"/>
              </w:rPr>
            </w:pPr>
          </w:p>
        </w:tc>
      </w:tr>
      <w:tr w:rsidR="00B252E4" w:rsidRPr="00DC46B1" w14:paraId="4D0119AD" w14:textId="77777777" w:rsidTr="00931EC4">
        <w:tc>
          <w:tcPr>
            <w:tcW w:w="1733" w:type="dxa"/>
            <w:vMerge/>
          </w:tcPr>
          <w:p w14:paraId="2B70FC95" w14:textId="77777777" w:rsidR="00B252E4" w:rsidRPr="00971F99" w:rsidRDefault="00B252E4" w:rsidP="00B252E4">
            <w:pPr>
              <w:spacing w:line="240" w:lineRule="auto"/>
              <w:rPr>
                <w:rFonts w:cs="Times New Roman"/>
                <w:sz w:val="20"/>
                <w:szCs w:val="20"/>
                <w:highlight w:val="yellow"/>
              </w:rPr>
            </w:pPr>
          </w:p>
        </w:tc>
        <w:tc>
          <w:tcPr>
            <w:tcW w:w="1134" w:type="dxa"/>
          </w:tcPr>
          <w:p w14:paraId="2896AE6E" w14:textId="77777777" w:rsidR="00B252E4" w:rsidRDefault="00B252E4" w:rsidP="00B252E4">
            <w:pPr>
              <w:spacing w:line="240" w:lineRule="auto"/>
              <w:rPr>
                <w:rFonts w:cs="Times New Roman"/>
                <w:sz w:val="20"/>
                <w:szCs w:val="20"/>
              </w:rPr>
            </w:pPr>
            <w:r>
              <w:rPr>
                <w:rFonts w:cs="Times New Roman"/>
                <w:sz w:val="20"/>
                <w:szCs w:val="20"/>
              </w:rPr>
              <w:t>6PB1 BSE</w:t>
            </w:r>
          </w:p>
        </w:tc>
        <w:tc>
          <w:tcPr>
            <w:tcW w:w="3969" w:type="dxa"/>
          </w:tcPr>
          <w:p w14:paraId="37AE84AF" w14:textId="77777777" w:rsidR="00B252E4" w:rsidRPr="001D1C67" w:rsidRDefault="00B252E4" w:rsidP="00B252E4">
            <w:pPr>
              <w:spacing w:line="240" w:lineRule="auto"/>
              <w:rPr>
                <w:lang w:val="pt-PT"/>
              </w:rPr>
            </w:pPr>
            <w:r w:rsidRPr="001D1C67">
              <w:rPr>
                <w:rFonts w:cs="Times New Roman"/>
                <w:sz w:val="20"/>
                <w:szCs w:val="20"/>
                <w:lang w:val="pt-PT"/>
              </w:rPr>
              <w:t>2mg/L gaseous 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 xml:space="preserve">2, </w:t>
            </w:r>
            <w:r w:rsidRPr="001D1C67">
              <w:rPr>
                <w:rFonts w:cs="Times New Roman"/>
                <w:sz w:val="20"/>
                <w:szCs w:val="20"/>
                <w:lang w:val="pt-PT"/>
              </w:rPr>
              <w:t>30</w:t>
            </w:r>
            <w:r w:rsidRPr="001D1C67">
              <w:rPr>
                <w:rFonts w:cs="Times New Roman"/>
                <w:sz w:val="20"/>
                <w:szCs w:val="20"/>
                <w:vertAlign w:val="superscript"/>
                <w:lang w:val="pt-PT"/>
              </w:rPr>
              <w:t>°</w:t>
            </w:r>
            <w:r w:rsidRPr="001D1C67">
              <w:rPr>
                <w:rFonts w:cs="Times New Roman"/>
                <w:sz w:val="20"/>
                <w:szCs w:val="20"/>
                <w:lang w:val="pt-PT"/>
              </w:rPr>
              <w:t>C (3 pulses)</w:t>
            </w:r>
          </w:p>
        </w:tc>
        <w:tc>
          <w:tcPr>
            <w:tcW w:w="1417" w:type="dxa"/>
          </w:tcPr>
          <w:p w14:paraId="3D24F56E" w14:textId="77777777" w:rsidR="00B252E4" w:rsidRDefault="00B252E4" w:rsidP="00B252E4">
            <w:pPr>
              <w:spacing w:line="240" w:lineRule="auto"/>
              <w:rPr>
                <w:rFonts w:cs="Times New Roman"/>
                <w:sz w:val="20"/>
                <w:szCs w:val="20"/>
              </w:rPr>
            </w:pPr>
            <w:r>
              <w:rPr>
                <w:rFonts w:cs="Times New Roman"/>
                <w:sz w:val="20"/>
                <w:szCs w:val="20"/>
              </w:rPr>
              <w:t>&gt;5.5</w:t>
            </w:r>
          </w:p>
        </w:tc>
        <w:tc>
          <w:tcPr>
            <w:tcW w:w="1418" w:type="dxa"/>
          </w:tcPr>
          <w:p w14:paraId="4DE85E38" w14:textId="77777777" w:rsidR="00B252E4" w:rsidRPr="00DC46B1" w:rsidRDefault="00B252E4" w:rsidP="00B252E4">
            <w:pPr>
              <w:spacing w:line="240" w:lineRule="auto"/>
              <w:rPr>
                <w:rFonts w:cs="Times New Roman"/>
                <w:sz w:val="20"/>
                <w:szCs w:val="20"/>
              </w:rPr>
            </w:pPr>
            <w:r>
              <w:rPr>
                <w:rFonts w:cs="Times New Roman"/>
                <w:sz w:val="20"/>
                <w:szCs w:val="20"/>
              </w:rPr>
              <w:t>0/9</w:t>
            </w:r>
          </w:p>
        </w:tc>
        <w:tc>
          <w:tcPr>
            <w:tcW w:w="1701" w:type="dxa"/>
          </w:tcPr>
          <w:p w14:paraId="66735B57" w14:textId="77777777" w:rsidR="00B252E4" w:rsidRDefault="00B252E4" w:rsidP="00B252E4">
            <w:pPr>
              <w:spacing w:line="240" w:lineRule="auto"/>
            </w:pPr>
            <w:r w:rsidRPr="005B5901">
              <w:rPr>
                <w:rFonts w:cs="Times New Roman"/>
                <w:sz w:val="20"/>
                <w:szCs w:val="20"/>
              </w:rPr>
              <w:t>&gt;540</w:t>
            </w:r>
          </w:p>
        </w:tc>
        <w:tc>
          <w:tcPr>
            <w:tcW w:w="2615" w:type="dxa"/>
          </w:tcPr>
          <w:p w14:paraId="72840001" w14:textId="2A9BAB42" w:rsidR="00B252E4" w:rsidRDefault="00B252E4" w:rsidP="00B252E4">
            <w:pPr>
              <w:spacing w:line="240" w:lineRule="auto"/>
              <w:rPr>
                <w:rFonts w:cs="Times New Roman"/>
                <w:sz w:val="20"/>
                <w:szCs w:val="20"/>
              </w:rPr>
            </w:pPr>
          </w:p>
        </w:tc>
      </w:tr>
      <w:tr w:rsidR="00B252E4" w:rsidRPr="00DC46B1" w14:paraId="385CA550" w14:textId="77777777" w:rsidTr="00931EC4">
        <w:tc>
          <w:tcPr>
            <w:tcW w:w="1733" w:type="dxa"/>
            <w:vMerge/>
          </w:tcPr>
          <w:p w14:paraId="3E42F0AB" w14:textId="77777777" w:rsidR="00B252E4" w:rsidRPr="00971F99" w:rsidRDefault="00B252E4" w:rsidP="00B252E4">
            <w:pPr>
              <w:spacing w:line="240" w:lineRule="auto"/>
              <w:rPr>
                <w:rFonts w:cs="Times New Roman"/>
                <w:sz w:val="20"/>
                <w:szCs w:val="20"/>
                <w:highlight w:val="yellow"/>
              </w:rPr>
            </w:pPr>
          </w:p>
        </w:tc>
        <w:tc>
          <w:tcPr>
            <w:tcW w:w="1134" w:type="dxa"/>
          </w:tcPr>
          <w:p w14:paraId="29179C66" w14:textId="77777777" w:rsidR="00B252E4" w:rsidRDefault="00B252E4" w:rsidP="00B252E4">
            <w:pPr>
              <w:spacing w:line="240" w:lineRule="auto"/>
              <w:rPr>
                <w:rFonts w:cs="Times New Roman"/>
                <w:sz w:val="20"/>
                <w:szCs w:val="20"/>
              </w:rPr>
            </w:pPr>
            <w:r>
              <w:rPr>
                <w:rFonts w:cs="Times New Roman"/>
                <w:sz w:val="20"/>
                <w:szCs w:val="20"/>
              </w:rPr>
              <w:t>TGB1 BSE</w:t>
            </w:r>
          </w:p>
        </w:tc>
        <w:tc>
          <w:tcPr>
            <w:tcW w:w="3969" w:type="dxa"/>
          </w:tcPr>
          <w:p w14:paraId="09D7CB73" w14:textId="77777777" w:rsidR="00B252E4" w:rsidRPr="001D1C67" w:rsidRDefault="00B252E4" w:rsidP="00B252E4">
            <w:pPr>
              <w:spacing w:line="240" w:lineRule="auto"/>
              <w:rPr>
                <w:lang w:val="pt-PT"/>
              </w:rPr>
            </w:pPr>
            <w:r w:rsidRPr="001D1C67">
              <w:rPr>
                <w:rFonts w:cs="Times New Roman"/>
                <w:sz w:val="20"/>
                <w:szCs w:val="20"/>
                <w:lang w:val="pt-PT"/>
              </w:rPr>
              <w:t>2mg/L gaseous 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 xml:space="preserve">2, </w:t>
            </w:r>
            <w:r w:rsidRPr="001D1C67">
              <w:rPr>
                <w:rFonts w:cs="Times New Roman"/>
                <w:sz w:val="20"/>
                <w:szCs w:val="20"/>
                <w:lang w:val="pt-PT"/>
              </w:rPr>
              <w:t>30</w:t>
            </w:r>
            <w:r w:rsidRPr="001D1C67">
              <w:rPr>
                <w:rFonts w:cs="Times New Roman"/>
                <w:sz w:val="20"/>
                <w:szCs w:val="20"/>
                <w:vertAlign w:val="superscript"/>
                <w:lang w:val="pt-PT"/>
              </w:rPr>
              <w:t>°</w:t>
            </w:r>
            <w:r w:rsidRPr="001D1C67">
              <w:rPr>
                <w:rFonts w:cs="Times New Roman"/>
                <w:sz w:val="20"/>
                <w:szCs w:val="20"/>
                <w:lang w:val="pt-PT"/>
              </w:rPr>
              <w:t>C (3 pulses)</w:t>
            </w:r>
          </w:p>
        </w:tc>
        <w:tc>
          <w:tcPr>
            <w:tcW w:w="1417" w:type="dxa"/>
          </w:tcPr>
          <w:p w14:paraId="36A4BED0" w14:textId="77777777" w:rsidR="00B252E4" w:rsidRDefault="00B252E4" w:rsidP="00B252E4">
            <w:pPr>
              <w:spacing w:line="240" w:lineRule="auto"/>
              <w:rPr>
                <w:rFonts w:cs="Times New Roman"/>
                <w:sz w:val="20"/>
                <w:szCs w:val="20"/>
              </w:rPr>
            </w:pPr>
            <w:r>
              <w:rPr>
                <w:rFonts w:cs="Times New Roman"/>
                <w:sz w:val="20"/>
                <w:szCs w:val="20"/>
              </w:rPr>
              <w:t>&gt;5.3</w:t>
            </w:r>
          </w:p>
        </w:tc>
        <w:tc>
          <w:tcPr>
            <w:tcW w:w="1418" w:type="dxa"/>
          </w:tcPr>
          <w:p w14:paraId="693908B4" w14:textId="77777777" w:rsidR="00B252E4" w:rsidRPr="00DC46B1" w:rsidRDefault="00B252E4" w:rsidP="00B252E4">
            <w:pPr>
              <w:spacing w:line="240" w:lineRule="auto"/>
              <w:rPr>
                <w:rFonts w:cs="Times New Roman"/>
                <w:sz w:val="20"/>
                <w:szCs w:val="20"/>
              </w:rPr>
            </w:pPr>
            <w:r>
              <w:rPr>
                <w:rFonts w:cs="Times New Roman"/>
                <w:sz w:val="20"/>
                <w:szCs w:val="20"/>
              </w:rPr>
              <w:t>0/9</w:t>
            </w:r>
          </w:p>
        </w:tc>
        <w:tc>
          <w:tcPr>
            <w:tcW w:w="1701" w:type="dxa"/>
          </w:tcPr>
          <w:p w14:paraId="4C0FC4BF" w14:textId="77777777" w:rsidR="00B252E4" w:rsidRDefault="00B252E4" w:rsidP="00B252E4">
            <w:pPr>
              <w:spacing w:line="240" w:lineRule="auto"/>
            </w:pPr>
            <w:r w:rsidRPr="005B5901">
              <w:rPr>
                <w:rFonts w:cs="Times New Roman"/>
                <w:sz w:val="20"/>
                <w:szCs w:val="20"/>
              </w:rPr>
              <w:t>&gt;540</w:t>
            </w:r>
          </w:p>
        </w:tc>
        <w:tc>
          <w:tcPr>
            <w:tcW w:w="2615" w:type="dxa"/>
          </w:tcPr>
          <w:p w14:paraId="13FBA7AF" w14:textId="3105CDE8" w:rsidR="00B252E4" w:rsidRDefault="00B252E4" w:rsidP="00B252E4">
            <w:pPr>
              <w:spacing w:line="240" w:lineRule="auto"/>
              <w:rPr>
                <w:rFonts w:cs="Times New Roman"/>
                <w:sz w:val="20"/>
                <w:szCs w:val="20"/>
              </w:rPr>
            </w:pPr>
          </w:p>
        </w:tc>
      </w:tr>
      <w:tr w:rsidR="00B252E4" w:rsidRPr="00DC46B1" w14:paraId="48513ED1" w14:textId="77777777" w:rsidTr="00931EC4">
        <w:tc>
          <w:tcPr>
            <w:tcW w:w="1733" w:type="dxa"/>
          </w:tcPr>
          <w:p w14:paraId="553EC581" w14:textId="391A6296" w:rsidR="00B252E4" w:rsidRDefault="00B252E4" w:rsidP="0076576E">
            <w:pPr>
              <w:spacing w:line="240" w:lineRule="auto"/>
              <w:rPr>
                <w:rFonts w:cs="Times New Roman"/>
                <w:sz w:val="20"/>
                <w:szCs w:val="20"/>
              </w:rPr>
            </w:pPr>
            <w:r>
              <w:rPr>
                <w:rFonts w:cs="Times New Roman"/>
                <w:sz w:val="20"/>
                <w:szCs w:val="20"/>
              </w:rPr>
              <w:t>*</w:t>
            </w:r>
            <w:r w:rsidRPr="007E546A">
              <w:rPr>
                <w:rFonts w:cs="Times New Roman"/>
                <w:sz w:val="20"/>
                <w:szCs w:val="20"/>
                <w:lang w:val="en"/>
              </w:rPr>
              <w:t xml:space="preserve"> Herve </w:t>
            </w:r>
            <w:r w:rsidR="00B301D6" w:rsidRPr="00B301D6">
              <w:rPr>
                <w:rFonts w:cs="Times New Roman"/>
                <w:i/>
                <w:sz w:val="20"/>
                <w:szCs w:val="20"/>
                <w:lang w:val="en"/>
              </w:rPr>
              <w:t>et al</w:t>
            </w:r>
            <w:r w:rsidRPr="007E546A">
              <w:rPr>
                <w:rFonts w:cs="Times New Roman"/>
                <w:sz w:val="20"/>
                <w:szCs w:val="20"/>
                <w:lang w:val="en"/>
              </w:rPr>
              <w:t>,  2010a,</w:t>
            </w:r>
            <w:r>
              <w:rPr>
                <w:rFonts w:cs="Times New Roman"/>
                <w:sz w:val="20"/>
                <w:szCs w:val="20"/>
                <w:lang w:val="en"/>
              </w:rPr>
              <w:fldChar w:fldCharType="begin">
                <w:fldData xml:space="preserve">PEVuZE5vdGU+PENpdGU+PEF1dGhvcj5IZXJ2ZTwvQXV0aG9yPjxZZWFyPjIwMTA8L1llYXI+PFJl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==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PEVuZE5vdGU+PENpdGU+PEF1dGhvcj5IZXJ2ZTwvQXV0aG9yPjxZZWFyPjIwMTA8L1llYXI+PFJl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==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Pr>
                <w:rFonts w:cs="Times New Roman"/>
                <w:sz w:val="20"/>
                <w:szCs w:val="20"/>
                <w:lang w:val="en"/>
              </w:rPr>
            </w:r>
            <w:r>
              <w:rPr>
                <w:rFonts w:cs="Times New Roman"/>
                <w:sz w:val="20"/>
                <w:szCs w:val="20"/>
                <w:lang w:val="en"/>
              </w:rPr>
              <w:fldChar w:fldCharType="separate"/>
            </w:r>
            <w:r w:rsidR="0076576E" w:rsidRPr="0076576E">
              <w:rPr>
                <w:rFonts w:cs="Times New Roman"/>
                <w:noProof/>
                <w:sz w:val="20"/>
                <w:szCs w:val="20"/>
                <w:vertAlign w:val="superscript"/>
                <w:lang w:val="en"/>
              </w:rPr>
              <w:t>176</w:t>
            </w:r>
            <w:r>
              <w:rPr>
                <w:rFonts w:cs="Times New Roman"/>
                <w:sz w:val="20"/>
                <w:szCs w:val="20"/>
                <w:lang w:val="en"/>
              </w:rPr>
              <w:fldChar w:fldCharType="end"/>
            </w:r>
          </w:p>
        </w:tc>
        <w:tc>
          <w:tcPr>
            <w:tcW w:w="1134" w:type="dxa"/>
          </w:tcPr>
          <w:p w14:paraId="642BBEBA" w14:textId="77777777" w:rsidR="00B252E4" w:rsidRDefault="00B252E4" w:rsidP="00B252E4">
            <w:pPr>
              <w:spacing w:line="240" w:lineRule="auto"/>
              <w:rPr>
                <w:rFonts w:cs="Times New Roman"/>
                <w:sz w:val="20"/>
                <w:szCs w:val="20"/>
              </w:rPr>
            </w:pPr>
            <w:r>
              <w:rPr>
                <w:rFonts w:cs="Times New Roman"/>
                <w:sz w:val="20"/>
                <w:szCs w:val="20"/>
              </w:rPr>
              <w:t>263K</w:t>
            </w:r>
          </w:p>
        </w:tc>
        <w:tc>
          <w:tcPr>
            <w:tcW w:w="3969" w:type="dxa"/>
          </w:tcPr>
          <w:p w14:paraId="7D40CFBE" w14:textId="77777777" w:rsidR="00B252E4" w:rsidRDefault="00B252E4" w:rsidP="00B252E4">
            <w:pPr>
              <w:spacing w:line="240" w:lineRule="auto"/>
              <w:rPr>
                <w:rFonts w:cs="Times New Roman"/>
                <w:sz w:val="20"/>
                <w:szCs w:val="20"/>
              </w:rPr>
            </w:pPr>
            <w:r>
              <w:rPr>
                <w:rFonts w:cs="Times New Roman"/>
                <w:sz w:val="20"/>
                <w:szCs w:val="20"/>
              </w:rPr>
              <w:t>Cold Atmospheric Plasma (CAP)</w:t>
            </w:r>
          </w:p>
        </w:tc>
        <w:tc>
          <w:tcPr>
            <w:tcW w:w="1417" w:type="dxa"/>
          </w:tcPr>
          <w:p w14:paraId="3A6E94A0" w14:textId="77777777" w:rsidR="00B252E4" w:rsidRDefault="00B252E4" w:rsidP="00B252E4">
            <w:pPr>
              <w:spacing w:line="240" w:lineRule="auto"/>
              <w:rPr>
                <w:rFonts w:cs="Times New Roman"/>
                <w:sz w:val="20"/>
                <w:szCs w:val="20"/>
              </w:rPr>
            </w:pPr>
            <w:r>
              <w:rPr>
                <w:rFonts w:cs="Times New Roman"/>
                <w:sz w:val="20"/>
                <w:szCs w:val="20"/>
              </w:rPr>
              <w:t>&gt;6</w:t>
            </w:r>
          </w:p>
        </w:tc>
        <w:tc>
          <w:tcPr>
            <w:tcW w:w="1418" w:type="dxa"/>
          </w:tcPr>
          <w:p w14:paraId="3F48877B" w14:textId="59B7536C" w:rsidR="00B252E4" w:rsidRDefault="00B252E4" w:rsidP="00B252E4">
            <w:pPr>
              <w:spacing w:line="240" w:lineRule="auto"/>
              <w:rPr>
                <w:rFonts w:cs="Times New Roman"/>
                <w:sz w:val="20"/>
                <w:szCs w:val="20"/>
              </w:rPr>
            </w:pPr>
            <w:r>
              <w:rPr>
                <w:rFonts w:cs="Times New Roman"/>
                <w:sz w:val="20"/>
                <w:szCs w:val="20"/>
              </w:rPr>
              <w:t>NR</w:t>
            </w:r>
          </w:p>
        </w:tc>
        <w:tc>
          <w:tcPr>
            <w:tcW w:w="1701" w:type="dxa"/>
          </w:tcPr>
          <w:p w14:paraId="5C824CDA" w14:textId="7A0FDE80"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0DCB38DD" w14:textId="53227C64" w:rsidR="00B252E4" w:rsidRDefault="00B252E4" w:rsidP="00B252E4">
            <w:pPr>
              <w:spacing w:line="240" w:lineRule="auto"/>
              <w:rPr>
                <w:rFonts w:cs="Times New Roman"/>
                <w:sz w:val="20"/>
                <w:szCs w:val="20"/>
              </w:rPr>
            </w:pPr>
          </w:p>
        </w:tc>
      </w:tr>
      <w:tr w:rsidR="00B252E4" w:rsidRPr="00DC46B1" w14:paraId="325C3725" w14:textId="77777777" w:rsidTr="00931EC4">
        <w:tc>
          <w:tcPr>
            <w:tcW w:w="1733" w:type="dxa"/>
          </w:tcPr>
          <w:p w14:paraId="6FE3AB2B" w14:textId="668EB095" w:rsidR="00B252E4" w:rsidRPr="00DC46B1" w:rsidRDefault="00B252E4" w:rsidP="0076576E">
            <w:pPr>
              <w:spacing w:line="240" w:lineRule="auto"/>
              <w:rPr>
                <w:rFonts w:cs="Times New Roman"/>
                <w:sz w:val="20"/>
                <w:szCs w:val="20"/>
              </w:rPr>
            </w:pPr>
            <w:r w:rsidRPr="007E546A">
              <w:rPr>
                <w:rFonts w:cs="Times New Roman"/>
                <w:sz w:val="20"/>
                <w:szCs w:val="20"/>
                <w:lang w:val="en"/>
              </w:rPr>
              <w:t xml:space="preserve">Herve </w:t>
            </w:r>
            <w:r w:rsidR="00B301D6" w:rsidRPr="00B301D6">
              <w:rPr>
                <w:rFonts w:cs="Times New Roman"/>
                <w:i/>
                <w:sz w:val="20"/>
                <w:szCs w:val="20"/>
                <w:lang w:val="en"/>
              </w:rPr>
              <w:t>et al</w:t>
            </w:r>
            <w:r w:rsidRPr="007E546A">
              <w:rPr>
                <w:rFonts w:cs="Times New Roman"/>
                <w:sz w:val="20"/>
                <w:szCs w:val="20"/>
                <w:lang w:val="en"/>
              </w:rPr>
              <w:t>, 2010b,</w:t>
            </w:r>
            <w:r>
              <w:rPr>
                <w:rFonts w:cs="Times New Roman"/>
                <w:sz w:val="20"/>
                <w:szCs w:val="20"/>
                <w:lang w:val="en"/>
              </w:rPr>
              <w:fldChar w:fldCharType="begin"/>
            </w:r>
            <w:r w:rsidR="0076576E">
              <w:rPr>
                <w:rFonts w:cs="Times New Roman"/>
                <w:sz w:val="20"/>
                <w:szCs w:val="20"/>
                <w:lang w:val="en"/>
              </w:rPr>
              <w:instrText xml:space="preserve"> ADDIN EN.CITE &lt;EndNote&gt;&lt;Cite&gt;&lt;Author&gt;Herve&lt;/Author&gt;&lt;Year&gt;2013&lt;/Year&gt;&lt;RecNum&gt;8158&lt;/RecNum&gt;&lt;DisplayText&gt;&lt;style face="superscript"&gt;177&lt;/style&gt;&lt;/DisplayText&gt;&lt;record&gt;&lt;rec-number&gt;8158&lt;/rec-number&gt;&lt;foreign-keys&gt;&lt;key app="EN" db-id="vrp0pptazv05wtesfz5vrzsj2p0rv09ttsa9" timestamp="1506588735" guid="7917bccb-14b0-47c5-8c45-64caf8bd4aab"&gt;8158&lt;/key&gt;&lt;/foreign-keys&gt;&lt;ref-type name="Journal Article"&gt;17&lt;/ref-type&gt;&lt;contributors&gt;&lt;authors&gt;&lt;author&gt;Herve, R.&lt;/author&gt;&lt;author&gt;Keevil, C. W.&lt;/author&gt;&lt;/authors&gt;&lt;/contributors&gt;&lt;titles&gt;&lt;title&gt;Current limitations about the cleaning of luminal endoscopes&lt;/title&gt;&lt;secondary-title&gt;Journal of Hospital Infection&lt;/secondary-title&gt;&lt;/titles&gt;&lt;periodical&gt;&lt;full-title&gt;Journal of Hospital Infection&lt;/full-title&gt;&lt;/periodical&gt;&lt;pages&gt;22-29&lt;/pages&gt;&lt;volume&gt;83&lt;/volume&gt;&lt;number&gt;1&lt;/number&gt;&lt;keywords&gt;&lt;keyword&gt;$$CJD relevant&lt;/keyword&gt;&lt;keyword&gt;$$5_instrument decontamination&lt;/keyword&gt;&lt;keyword&gt;$$5_protein&lt;/keyword&gt;&lt;/keywords&gt;&lt;dates&gt;&lt;year&gt;2013&lt;/year&gt;&lt;pub-dates&gt;&lt;date&gt;Jan&lt;/date&gt;&lt;/pub-dates&gt;&lt;/dates&gt;&lt;isbn&gt;0195-6701&lt;/isbn&gt;&lt;accession-num&gt;WOS:000312394600003&lt;/accession-num&gt;&lt;urls&gt;&lt;related-urls&gt;&lt;url&gt;&amp;lt;Go to ISI&amp;gt;://WOS:000312394600003&lt;/url&gt;&lt;/related-urls&gt;&lt;/urls&gt;&lt;electronic-resource-num&gt;10.1016/j.jhin.2012.08.008&lt;/electronic-resource-num&gt;&lt;/record&gt;&lt;/Cite&gt;&lt;/EndNote&gt;</w:instrText>
            </w:r>
            <w:r>
              <w:rPr>
                <w:rFonts w:cs="Times New Roman"/>
                <w:sz w:val="20"/>
                <w:szCs w:val="20"/>
                <w:lang w:val="en"/>
              </w:rPr>
              <w:fldChar w:fldCharType="separate"/>
            </w:r>
            <w:r w:rsidR="0076576E" w:rsidRPr="0076576E">
              <w:rPr>
                <w:rFonts w:cs="Times New Roman"/>
                <w:noProof/>
                <w:sz w:val="20"/>
                <w:szCs w:val="20"/>
                <w:vertAlign w:val="superscript"/>
                <w:lang w:val="en"/>
              </w:rPr>
              <w:t>177</w:t>
            </w:r>
            <w:r>
              <w:rPr>
                <w:rFonts w:cs="Times New Roman"/>
                <w:sz w:val="20"/>
                <w:szCs w:val="20"/>
                <w:lang w:val="en"/>
              </w:rPr>
              <w:fldChar w:fldCharType="end"/>
            </w:r>
          </w:p>
        </w:tc>
        <w:tc>
          <w:tcPr>
            <w:tcW w:w="1134" w:type="dxa"/>
          </w:tcPr>
          <w:p w14:paraId="0C2A8942" w14:textId="77777777" w:rsidR="00B252E4" w:rsidRDefault="00B252E4" w:rsidP="00B252E4">
            <w:pPr>
              <w:spacing w:line="240" w:lineRule="auto"/>
              <w:rPr>
                <w:rFonts w:cs="Times New Roman"/>
                <w:sz w:val="20"/>
                <w:szCs w:val="20"/>
              </w:rPr>
            </w:pPr>
            <w:r>
              <w:rPr>
                <w:rFonts w:cs="Times New Roman"/>
                <w:sz w:val="20"/>
                <w:szCs w:val="20"/>
              </w:rPr>
              <w:t>ME7</w:t>
            </w:r>
          </w:p>
        </w:tc>
        <w:tc>
          <w:tcPr>
            <w:tcW w:w="3969" w:type="dxa"/>
          </w:tcPr>
          <w:p w14:paraId="56E06D63" w14:textId="77777777" w:rsidR="00B252E4" w:rsidRDefault="00B252E4" w:rsidP="00B252E4">
            <w:pPr>
              <w:spacing w:line="240" w:lineRule="auto"/>
              <w:rPr>
                <w:rFonts w:cs="Times New Roman"/>
                <w:sz w:val="20"/>
                <w:szCs w:val="20"/>
              </w:rPr>
            </w:pPr>
            <w:r>
              <w:rPr>
                <w:rFonts w:cs="Times New Roman"/>
                <w:sz w:val="20"/>
                <w:szCs w:val="20"/>
              </w:rPr>
              <w:t>Cleaner 4 (most efficient): 50</w:t>
            </w:r>
            <w:r>
              <w:rPr>
                <w:rFonts w:cs="Times New Roman"/>
                <w:sz w:val="20"/>
                <w:szCs w:val="20"/>
                <w:vertAlign w:val="superscript"/>
              </w:rPr>
              <w:t>°</w:t>
            </w:r>
            <w:r>
              <w:rPr>
                <w:rFonts w:cs="Times New Roman"/>
                <w:sz w:val="20"/>
                <w:szCs w:val="20"/>
              </w:rPr>
              <w:t>C for 5 mins</w:t>
            </w:r>
          </w:p>
        </w:tc>
        <w:tc>
          <w:tcPr>
            <w:tcW w:w="1417" w:type="dxa"/>
          </w:tcPr>
          <w:p w14:paraId="7AD14295" w14:textId="77777777" w:rsidR="00B252E4" w:rsidRPr="00DC46B1" w:rsidRDefault="00B252E4" w:rsidP="00B252E4">
            <w:pPr>
              <w:spacing w:line="240" w:lineRule="auto"/>
              <w:rPr>
                <w:rFonts w:cs="Times New Roman"/>
                <w:sz w:val="20"/>
                <w:szCs w:val="20"/>
              </w:rPr>
            </w:pPr>
            <w:r>
              <w:rPr>
                <w:rFonts w:cs="Times New Roman"/>
                <w:sz w:val="20"/>
                <w:szCs w:val="20"/>
              </w:rPr>
              <w:t>3</w:t>
            </w:r>
          </w:p>
        </w:tc>
        <w:tc>
          <w:tcPr>
            <w:tcW w:w="1418" w:type="dxa"/>
          </w:tcPr>
          <w:p w14:paraId="48F4433E" w14:textId="22439F72" w:rsidR="00B252E4" w:rsidRPr="00DC46B1" w:rsidRDefault="00B252E4" w:rsidP="00B252E4">
            <w:pPr>
              <w:spacing w:line="240" w:lineRule="auto"/>
              <w:rPr>
                <w:rFonts w:cs="Times New Roman"/>
                <w:sz w:val="20"/>
                <w:szCs w:val="20"/>
              </w:rPr>
            </w:pPr>
            <w:r>
              <w:rPr>
                <w:rFonts w:cs="Times New Roman"/>
                <w:sz w:val="20"/>
                <w:szCs w:val="20"/>
              </w:rPr>
              <w:t>NR</w:t>
            </w:r>
          </w:p>
        </w:tc>
        <w:tc>
          <w:tcPr>
            <w:tcW w:w="1701" w:type="dxa"/>
          </w:tcPr>
          <w:p w14:paraId="5DC477C4" w14:textId="2BAA8029" w:rsidR="00B252E4" w:rsidRPr="00DC46B1" w:rsidRDefault="00B252E4" w:rsidP="00B252E4">
            <w:pPr>
              <w:spacing w:line="240" w:lineRule="auto"/>
              <w:rPr>
                <w:rFonts w:cs="Times New Roman"/>
                <w:sz w:val="20"/>
                <w:szCs w:val="20"/>
              </w:rPr>
            </w:pPr>
            <w:r>
              <w:rPr>
                <w:rFonts w:cs="Times New Roman"/>
                <w:sz w:val="20"/>
                <w:szCs w:val="20"/>
              </w:rPr>
              <w:t>NR</w:t>
            </w:r>
          </w:p>
        </w:tc>
        <w:tc>
          <w:tcPr>
            <w:tcW w:w="2615" w:type="dxa"/>
          </w:tcPr>
          <w:p w14:paraId="553376AA" w14:textId="77777777" w:rsidR="00B252E4" w:rsidRPr="00DC46B1" w:rsidRDefault="00B252E4" w:rsidP="00B252E4">
            <w:pPr>
              <w:spacing w:line="240" w:lineRule="auto"/>
              <w:rPr>
                <w:rFonts w:cs="Times New Roman"/>
                <w:sz w:val="20"/>
                <w:szCs w:val="20"/>
              </w:rPr>
            </w:pPr>
            <w:r>
              <w:rPr>
                <w:rFonts w:cs="Times New Roman"/>
                <w:sz w:val="20"/>
                <w:szCs w:val="20"/>
              </w:rPr>
              <w:t>99.21% of initial prion amyloid load removed</w:t>
            </w:r>
          </w:p>
        </w:tc>
      </w:tr>
      <w:tr w:rsidR="00B252E4" w:rsidRPr="00DC46B1" w14:paraId="2DAF92BA" w14:textId="77777777" w:rsidTr="00931EC4">
        <w:tc>
          <w:tcPr>
            <w:tcW w:w="1733" w:type="dxa"/>
            <w:vMerge w:val="restart"/>
          </w:tcPr>
          <w:p w14:paraId="16BC42B0" w14:textId="410B8D89" w:rsidR="00B252E4" w:rsidRPr="00DC46B1" w:rsidRDefault="00B252E4" w:rsidP="0076576E">
            <w:pPr>
              <w:spacing w:line="240" w:lineRule="auto"/>
              <w:rPr>
                <w:rFonts w:cs="Times New Roman"/>
                <w:sz w:val="20"/>
                <w:szCs w:val="20"/>
              </w:rPr>
            </w:pPr>
            <w:r w:rsidRPr="007E546A">
              <w:rPr>
                <w:rFonts w:cs="Times New Roman"/>
                <w:sz w:val="20"/>
                <w:szCs w:val="20"/>
                <w:lang w:val="en"/>
              </w:rPr>
              <w:t xml:space="preserve">Howlin </w:t>
            </w:r>
            <w:r w:rsidR="00B301D6" w:rsidRPr="00B301D6">
              <w:rPr>
                <w:rFonts w:cs="Times New Roman"/>
                <w:i/>
                <w:sz w:val="20"/>
                <w:szCs w:val="20"/>
                <w:lang w:val="en"/>
              </w:rPr>
              <w:t>et al</w:t>
            </w:r>
            <w:r w:rsidRPr="007E546A">
              <w:rPr>
                <w:rFonts w:cs="Times New Roman"/>
                <w:sz w:val="20"/>
                <w:szCs w:val="20"/>
                <w:lang w:val="en"/>
              </w:rPr>
              <w:t xml:space="preserve">, </w:t>
            </w:r>
            <w:r>
              <w:rPr>
                <w:rFonts w:cs="Times New Roman"/>
                <w:sz w:val="20"/>
                <w:szCs w:val="20"/>
                <w:lang w:val="e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Pr>
                <w:rFonts w:cs="Times New Roman"/>
                <w:sz w:val="20"/>
                <w:szCs w:val="20"/>
                <w:lang w:val="en"/>
              </w:rPr>
            </w:r>
            <w:r>
              <w:rPr>
                <w:rFonts w:cs="Times New Roman"/>
                <w:sz w:val="20"/>
                <w:szCs w:val="20"/>
                <w:lang w:val="en"/>
              </w:rPr>
              <w:fldChar w:fldCharType="separate"/>
            </w:r>
            <w:r w:rsidR="0076576E" w:rsidRPr="0076576E">
              <w:rPr>
                <w:rFonts w:cs="Times New Roman"/>
                <w:noProof/>
                <w:sz w:val="20"/>
                <w:szCs w:val="20"/>
                <w:vertAlign w:val="superscript"/>
                <w:lang w:val="en"/>
              </w:rPr>
              <w:t>178</w:t>
            </w:r>
            <w:r>
              <w:rPr>
                <w:rFonts w:cs="Times New Roman"/>
                <w:sz w:val="20"/>
                <w:szCs w:val="20"/>
                <w:lang w:val="en"/>
              </w:rPr>
              <w:fldChar w:fldCharType="end"/>
            </w:r>
          </w:p>
        </w:tc>
        <w:tc>
          <w:tcPr>
            <w:tcW w:w="1134" w:type="dxa"/>
            <w:vMerge w:val="restart"/>
          </w:tcPr>
          <w:p w14:paraId="4F570EE9" w14:textId="77777777" w:rsidR="00B252E4" w:rsidRDefault="00B252E4" w:rsidP="00B252E4">
            <w:pPr>
              <w:spacing w:line="240" w:lineRule="auto"/>
              <w:rPr>
                <w:rFonts w:cs="Times New Roman"/>
                <w:sz w:val="20"/>
                <w:szCs w:val="20"/>
              </w:rPr>
            </w:pPr>
            <w:r>
              <w:rPr>
                <w:rFonts w:cs="Times New Roman"/>
                <w:sz w:val="20"/>
                <w:szCs w:val="20"/>
              </w:rPr>
              <w:t>ME7</w:t>
            </w:r>
          </w:p>
        </w:tc>
        <w:tc>
          <w:tcPr>
            <w:tcW w:w="3969" w:type="dxa"/>
          </w:tcPr>
          <w:p w14:paraId="59E3EA98" w14:textId="77777777" w:rsidR="00B252E4" w:rsidRPr="00DC46B1" w:rsidRDefault="00B252E4" w:rsidP="00B252E4">
            <w:pPr>
              <w:spacing w:line="240" w:lineRule="auto"/>
              <w:rPr>
                <w:rFonts w:cs="Times New Roman"/>
                <w:sz w:val="20"/>
                <w:szCs w:val="20"/>
              </w:rPr>
            </w:pPr>
            <w:r>
              <w:rPr>
                <w:rFonts w:cs="Times New Roman"/>
                <w:sz w:val="20"/>
                <w:szCs w:val="20"/>
              </w:rPr>
              <w:t xml:space="preserve">Unspecified enzyme pre-treatment [containing proteases] without pre-soak </w:t>
            </w:r>
          </w:p>
        </w:tc>
        <w:tc>
          <w:tcPr>
            <w:tcW w:w="7151" w:type="dxa"/>
            <w:gridSpan w:val="4"/>
          </w:tcPr>
          <w:p w14:paraId="17AB9CEB" w14:textId="77777777" w:rsidR="00B252E4" w:rsidRDefault="00B252E4" w:rsidP="00B252E4">
            <w:pPr>
              <w:spacing w:line="240" w:lineRule="auto"/>
              <w:rPr>
                <w:rFonts w:cs="Times New Roman"/>
                <w:sz w:val="20"/>
                <w:szCs w:val="20"/>
              </w:rPr>
            </w:pPr>
            <w:r>
              <w:rPr>
                <w:rFonts w:cs="Times New Roman"/>
                <w:sz w:val="20"/>
                <w:szCs w:val="20"/>
              </w:rPr>
              <w:t>Approx. 2 log greater reduction in prion amyloid than pre-soak alone even if allowed to dry; and 3 log reduction if process was started immediately after contamination (wet)</w:t>
            </w:r>
          </w:p>
        </w:tc>
      </w:tr>
      <w:tr w:rsidR="00B252E4" w:rsidRPr="00DC46B1" w14:paraId="141734D6" w14:textId="77777777" w:rsidTr="00931EC4">
        <w:tc>
          <w:tcPr>
            <w:tcW w:w="1733" w:type="dxa"/>
            <w:vMerge/>
          </w:tcPr>
          <w:p w14:paraId="439CBB9E" w14:textId="77777777" w:rsidR="00B252E4" w:rsidRPr="00971F99" w:rsidRDefault="00B252E4" w:rsidP="00B252E4">
            <w:pPr>
              <w:spacing w:line="240" w:lineRule="auto"/>
              <w:rPr>
                <w:rFonts w:cs="Times New Roman"/>
                <w:sz w:val="20"/>
                <w:szCs w:val="20"/>
                <w:highlight w:val="yellow"/>
              </w:rPr>
            </w:pPr>
          </w:p>
        </w:tc>
        <w:tc>
          <w:tcPr>
            <w:tcW w:w="1134" w:type="dxa"/>
            <w:vMerge/>
          </w:tcPr>
          <w:p w14:paraId="6ED67244" w14:textId="77777777" w:rsidR="00B252E4" w:rsidRDefault="00B252E4" w:rsidP="00B252E4">
            <w:pPr>
              <w:spacing w:line="240" w:lineRule="auto"/>
              <w:rPr>
                <w:rFonts w:cs="Times New Roman"/>
                <w:sz w:val="20"/>
                <w:szCs w:val="20"/>
              </w:rPr>
            </w:pPr>
          </w:p>
        </w:tc>
        <w:tc>
          <w:tcPr>
            <w:tcW w:w="3969" w:type="dxa"/>
          </w:tcPr>
          <w:p w14:paraId="33EA7AB0" w14:textId="77777777" w:rsidR="00B252E4" w:rsidRDefault="00B252E4" w:rsidP="00B252E4">
            <w:pPr>
              <w:spacing w:line="240" w:lineRule="auto"/>
              <w:rPr>
                <w:rFonts w:cs="Times New Roman"/>
                <w:sz w:val="20"/>
                <w:szCs w:val="20"/>
              </w:rPr>
            </w:pPr>
            <w:r>
              <w:rPr>
                <w:rFonts w:cs="Times New Roman"/>
                <w:sz w:val="20"/>
                <w:szCs w:val="20"/>
              </w:rPr>
              <w:t xml:space="preserve">Unspecified enzyme pre-treatment [containing proteases] with pre-soak </w:t>
            </w:r>
          </w:p>
          <w:p w14:paraId="45717FA3" w14:textId="77777777" w:rsidR="00B252E4" w:rsidRPr="00DC46B1" w:rsidRDefault="00B252E4" w:rsidP="00B252E4">
            <w:pPr>
              <w:spacing w:line="240" w:lineRule="auto"/>
              <w:rPr>
                <w:rFonts w:cs="Times New Roman"/>
                <w:sz w:val="20"/>
                <w:szCs w:val="20"/>
              </w:rPr>
            </w:pPr>
          </w:p>
        </w:tc>
        <w:tc>
          <w:tcPr>
            <w:tcW w:w="7151" w:type="dxa"/>
            <w:gridSpan w:val="4"/>
          </w:tcPr>
          <w:p w14:paraId="2E3A77EB" w14:textId="77777777" w:rsidR="00B252E4" w:rsidRDefault="00B252E4" w:rsidP="00B252E4">
            <w:pPr>
              <w:spacing w:line="240" w:lineRule="auto"/>
              <w:rPr>
                <w:rFonts w:cs="Times New Roman"/>
                <w:sz w:val="20"/>
                <w:szCs w:val="20"/>
              </w:rPr>
            </w:pPr>
            <w:r>
              <w:rPr>
                <w:rFonts w:cs="Times New Roman"/>
                <w:sz w:val="20"/>
                <w:szCs w:val="20"/>
              </w:rPr>
              <w:t>1 log reduction in prion amyloid if process was started immediately after contamination (wet) instead of being allowed to dry</w:t>
            </w:r>
          </w:p>
        </w:tc>
      </w:tr>
      <w:tr w:rsidR="00B252E4" w:rsidRPr="00DC46B1" w14:paraId="58F7A030" w14:textId="77777777" w:rsidTr="00931EC4">
        <w:tc>
          <w:tcPr>
            <w:tcW w:w="1733" w:type="dxa"/>
            <w:vMerge/>
          </w:tcPr>
          <w:p w14:paraId="5952ADA3" w14:textId="77777777" w:rsidR="00B252E4" w:rsidRPr="00971F99" w:rsidRDefault="00B252E4" w:rsidP="00B252E4">
            <w:pPr>
              <w:spacing w:line="240" w:lineRule="auto"/>
              <w:rPr>
                <w:rFonts w:cs="Times New Roman"/>
                <w:sz w:val="20"/>
                <w:szCs w:val="20"/>
                <w:highlight w:val="yellow"/>
              </w:rPr>
            </w:pPr>
          </w:p>
        </w:tc>
        <w:tc>
          <w:tcPr>
            <w:tcW w:w="1134" w:type="dxa"/>
            <w:vMerge/>
          </w:tcPr>
          <w:p w14:paraId="53DC3362" w14:textId="77777777" w:rsidR="00B252E4" w:rsidRDefault="00B252E4" w:rsidP="00B252E4">
            <w:pPr>
              <w:spacing w:line="240" w:lineRule="auto"/>
              <w:rPr>
                <w:rFonts w:cs="Times New Roman"/>
                <w:sz w:val="20"/>
                <w:szCs w:val="20"/>
              </w:rPr>
            </w:pPr>
          </w:p>
        </w:tc>
        <w:tc>
          <w:tcPr>
            <w:tcW w:w="3969" w:type="dxa"/>
          </w:tcPr>
          <w:p w14:paraId="41AC2964" w14:textId="77777777" w:rsidR="00B252E4" w:rsidRPr="00DC46B1" w:rsidRDefault="00B252E4" w:rsidP="00B252E4">
            <w:pPr>
              <w:spacing w:line="240" w:lineRule="auto"/>
              <w:rPr>
                <w:rFonts w:cs="Times New Roman"/>
                <w:sz w:val="20"/>
                <w:szCs w:val="20"/>
              </w:rPr>
            </w:pPr>
            <w:r>
              <w:rPr>
                <w:rFonts w:cs="Times New Roman"/>
                <w:sz w:val="20"/>
                <w:szCs w:val="20"/>
              </w:rPr>
              <w:t>Unspecified enzyme pre-treatment [containing proteases] plus alkaline detergent w/d</w:t>
            </w:r>
          </w:p>
        </w:tc>
        <w:tc>
          <w:tcPr>
            <w:tcW w:w="7151" w:type="dxa"/>
            <w:gridSpan w:val="4"/>
          </w:tcPr>
          <w:p w14:paraId="04BCC5A9" w14:textId="77777777" w:rsidR="00B252E4" w:rsidRDefault="00B252E4" w:rsidP="00B252E4">
            <w:pPr>
              <w:spacing w:line="240" w:lineRule="auto"/>
              <w:rPr>
                <w:rFonts w:cs="Times New Roman"/>
                <w:sz w:val="20"/>
                <w:szCs w:val="20"/>
              </w:rPr>
            </w:pPr>
            <w:r>
              <w:rPr>
                <w:rFonts w:cs="Times New Roman"/>
                <w:sz w:val="20"/>
                <w:szCs w:val="20"/>
              </w:rPr>
              <w:t>Prion-associated amyloid concentration levels were reduced below the experimental cut-off value of 0.001ng/mm</w:t>
            </w:r>
            <w:r w:rsidRPr="00A92D6B">
              <w:rPr>
                <w:rFonts w:cs="Times New Roman"/>
                <w:sz w:val="20"/>
                <w:szCs w:val="20"/>
                <w:vertAlign w:val="superscript"/>
              </w:rPr>
              <w:t>2</w:t>
            </w:r>
            <w:r>
              <w:rPr>
                <w:rFonts w:cs="Times New Roman"/>
                <w:sz w:val="20"/>
                <w:szCs w:val="20"/>
              </w:rPr>
              <w:t>, wet or dry</w:t>
            </w:r>
          </w:p>
        </w:tc>
      </w:tr>
      <w:tr w:rsidR="00B252E4" w:rsidRPr="00DC46B1" w14:paraId="2E54EA9A" w14:textId="77777777" w:rsidTr="00931EC4">
        <w:tc>
          <w:tcPr>
            <w:tcW w:w="1733" w:type="dxa"/>
            <w:vMerge w:val="restart"/>
          </w:tcPr>
          <w:p w14:paraId="2EC92954" w14:textId="1565AFD7" w:rsidR="00B252E4" w:rsidRDefault="00B252E4" w:rsidP="0076576E">
            <w:pPr>
              <w:spacing w:line="240" w:lineRule="auto"/>
              <w:rPr>
                <w:rFonts w:cs="Times New Roman"/>
                <w:sz w:val="20"/>
                <w:szCs w:val="20"/>
              </w:rPr>
            </w:pPr>
            <w:r w:rsidRPr="007E546A">
              <w:rPr>
                <w:rFonts w:cs="Times New Roman"/>
                <w:sz w:val="20"/>
                <w:szCs w:val="20"/>
                <w:lang w:val="en"/>
              </w:rPr>
              <w:t xml:space="preserve">Lawson </w:t>
            </w:r>
            <w:r w:rsidR="00B301D6" w:rsidRPr="00B301D6">
              <w:rPr>
                <w:rFonts w:cs="Times New Roman"/>
                <w:i/>
                <w:sz w:val="20"/>
                <w:szCs w:val="20"/>
                <w:lang w:val="en"/>
              </w:rPr>
              <w:t>et al</w:t>
            </w:r>
            <w:r w:rsidRPr="007E546A">
              <w:rPr>
                <w:rFonts w:cs="Times New Roman"/>
                <w:sz w:val="20"/>
                <w:szCs w:val="20"/>
                <w:lang w:val="en"/>
              </w:rPr>
              <w:t>, 2007</w:t>
            </w:r>
            <w:r>
              <w:rPr>
                <w:rFonts w:cs="Times New Roman"/>
                <w:sz w:val="20"/>
                <w:szCs w:val="20"/>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Pr>
                <w:rFonts w:cs="Times New Roman"/>
                <w:sz w:val="20"/>
                <w:szCs w:val="20"/>
                <w:lang w:val="en"/>
              </w:rPr>
            </w:r>
            <w:r>
              <w:rPr>
                <w:rFonts w:cs="Times New Roman"/>
                <w:sz w:val="20"/>
                <w:szCs w:val="20"/>
                <w:lang w:val="en"/>
              </w:rPr>
              <w:fldChar w:fldCharType="separate"/>
            </w:r>
            <w:r w:rsidR="0076576E" w:rsidRPr="0076576E">
              <w:rPr>
                <w:rFonts w:cs="Times New Roman"/>
                <w:noProof/>
                <w:sz w:val="20"/>
                <w:szCs w:val="20"/>
                <w:vertAlign w:val="superscript"/>
                <w:lang w:val="en"/>
              </w:rPr>
              <w:t>172</w:t>
            </w:r>
            <w:r>
              <w:rPr>
                <w:rFonts w:cs="Times New Roman"/>
                <w:sz w:val="20"/>
                <w:szCs w:val="20"/>
                <w:lang w:val="en"/>
              </w:rPr>
              <w:fldChar w:fldCharType="end"/>
            </w:r>
          </w:p>
        </w:tc>
        <w:tc>
          <w:tcPr>
            <w:tcW w:w="1134" w:type="dxa"/>
            <w:vMerge w:val="restart"/>
          </w:tcPr>
          <w:p w14:paraId="764357D3" w14:textId="77777777" w:rsidR="00B252E4" w:rsidRDefault="00B252E4" w:rsidP="00B252E4">
            <w:pPr>
              <w:spacing w:line="240" w:lineRule="auto"/>
              <w:rPr>
                <w:rFonts w:cs="Times New Roman"/>
                <w:sz w:val="20"/>
                <w:szCs w:val="20"/>
              </w:rPr>
            </w:pPr>
            <w:r>
              <w:rPr>
                <w:rFonts w:cs="Times New Roman"/>
                <w:sz w:val="20"/>
                <w:szCs w:val="20"/>
              </w:rPr>
              <w:t>M1000</w:t>
            </w:r>
          </w:p>
        </w:tc>
        <w:tc>
          <w:tcPr>
            <w:tcW w:w="3969" w:type="dxa"/>
          </w:tcPr>
          <w:p w14:paraId="108D3177" w14:textId="77777777" w:rsidR="00B252E4" w:rsidRDefault="00B252E4" w:rsidP="00B252E4">
            <w:pPr>
              <w:spacing w:line="240" w:lineRule="auto"/>
              <w:rPr>
                <w:rFonts w:cs="Times New Roman"/>
                <w:sz w:val="20"/>
                <w:szCs w:val="20"/>
              </w:rPr>
            </w:pPr>
            <w:r>
              <w:rPr>
                <w:rFonts w:cs="Times New Roman"/>
                <w:sz w:val="20"/>
                <w:szCs w:val="20"/>
              </w:rPr>
              <w:t>NaOH 1M - 60mins</w:t>
            </w:r>
          </w:p>
        </w:tc>
        <w:tc>
          <w:tcPr>
            <w:tcW w:w="1417" w:type="dxa"/>
          </w:tcPr>
          <w:p w14:paraId="13AF66CB" w14:textId="77777777" w:rsidR="00B252E4" w:rsidRDefault="00B252E4" w:rsidP="00B252E4">
            <w:pPr>
              <w:spacing w:line="240" w:lineRule="auto"/>
              <w:rPr>
                <w:rFonts w:cs="Times New Roman"/>
                <w:sz w:val="20"/>
                <w:szCs w:val="20"/>
              </w:rPr>
            </w:pPr>
            <w:r>
              <w:rPr>
                <w:rFonts w:cs="Times New Roman"/>
                <w:sz w:val="20"/>
                <w:szCs w:val="20"/>
              </w:rPr>
              <w:t>2.7</w:t>
            </w:r>
          </w:p>
        </w:tc>
        <w:tc>
          <w:tcPr>
            <w:tcW w:w="1418" w:type="dxa"/>
          </w:tcPr>
          <w:p w14:paraId="4B0734F0" w14:textId="77777777" w:rsidR="00B252E4" w:rsidRDefault="00B252E4" w:rsidP="00B252E4">
            <w:pPr>
              <w:spacing w:line="240" w:lineRule="auto"/>
              <w:rPr>
                <w:rFonts w:cs="Times New Roman"/>
                <w:sz w:val="20"/>
                <w:szCs w:val="20"/>
              </w:rPr>
            </w:pPr>
            <w:r>
              <w:rPr>
                <w:rFonts w:cs="Times New Roman"/>
                <w:sz w:val="20"/>
                <w:szCs w:val="20"/>
              </w:rPr>
              <w:t>100%</w:t>
            </w:r>
          </w:p>
        </w:tc>
        <w:tc>
          <w:tcPr>
            <w:tcW w:w="1701" w:type="dxa"/>
          </w:tcPr>
          <w:p w14:paraId="6E86C80E" w14:textId="77777777" w:rsidR="00B252E4" w:rsidRDefault="00B252E4" w:rsidP="00B252E4">
            <w:pPr>
              <w:spacing w:line="240" w:lineRule="auto"/>
              <w:rPr>
                <w:rFonts w:cs="Times New Roman"/>
                <w:sz w:val="20"/>
                <w:szCs w:val="20"/>
              </w:rPr>
            </w:pPr>
            <w:r>
              <w:rPr>
                <w:rFonts w:cs="Times New Roman"/>
                <w:sz w:val="20"/>
                <w:szCs w:val="20"/>
              </w:rPr>
              <w:t>130 (19)</w:t>
            </w:r>
          </w:p>
        </w:tc>
        <w:tc>
          <w:tcPr>
            <w:tcW w:w="2615" w:type="dxa"/>
          </w:tcPr>
          <w:p w14:paraId="43B5BE5E" w14:textId="77777777" w:rsidR="00B252E4" w:rsidRDefault="00B252E4" w:rsidP="00B252E4">
            <w:pPr>
              <w:spacing w:line="240" w:lineRule="auto"/>
              <w:rPr>
                <w:rFonts w:cs="Times New Roman"/>
                <w:sz w:val="20"/>
                <w:szCs w:val="20"/>
              </w:rPr>
            </w:pPr>
          </w:p>
        </w:tc>
      </w:tr>
      <w:tr w:rsidR="00B252E4" w:rsidRPr="00DC46B1" w14:paraId="71D37F44" w14:textId="77777777" w:rsidTr="00931EC4">
        <w:tc>
          <w:tcPr>
            <w:tcW w:w="1733" w:type="dxa"/>
            <w:vMerge/>
          </w:tcPr>
          <w:p w14:paraId="0AB8D03E" w14:textId="77777777" w:rsidR="00B252E4" w:rsidRDefault="00B252E4" w:rsidP="00B252E4">
            <w:pPr>
              <w:spacing w:line="240" w:lineRule="auto"/>
              <w:rPr>
                <w:rFonts w:cs="Times New Roman"/>
                <w:sz w:val="20"/>
                <w:szCs w:val="20"/>
              </w:rPr>
            </w:pPr>
          </w:p>
        </w:tc>
        <w:tc>
          <w:tcPr>
            <w:tcW w:w="1134" w:type="dxa"/>
            <w:vMerge/>
          </w:tcPr>
          <w:p w14:paraId="6F199A23" w14:textId="77777777" w:rsidR="00B252E4" w:rsidRDefault="00B252E4" w:rsidP="00B252E4">
            <w:pPr>
              <w:spacing w:line="240" w:lineRule="auto"/>
              <w:rPr>
                <w:rFonts w:cs="Times New Roman"/>
                <w:sz w:val="20"/>
                <w:szCs w:val="20"/>
              </w:rPr>
            </w:pPr>
          </w:p>
        </w:tc>
        <w:tc>
          <w:tcPr>
            <w:tcW w:w="3969" w:type="dxa"/>
          </w:tcPr>
          <w:p w14:paraId="443B12B9" w14:textId="77777777" w:rsidR="00B252E4" w:rsidRDefault="00B252E4" w:rsidP="00B252E4">
            <w:pPr>
              <w:spacing w:line="240" w:lineRule="auto"/>
              <w:rPr>
                <w:rFonts w:cs="Times New Roman"/>
                <w:sz w:val="20"/>
                <w:szCs w:val="20"/>
              </w:rPr>
            </w:pPr>
            <w:r>
              <w:rPr>
                <w:rFonts w:cs="Times New Roman"/>
                <w:sz w:val="20"/>
                <w:szCs w:val="20"/>
              </w:rPr>
              <w:t>RMEC A 1%, 50</w:t>
            </w:r>
            <w:r>
              <w:rPr>
                <w:rFonts w:cs="Times New Roman"/>
                <w:sz w:val="20"/>
                <w:szCs w:val="20"/>
                <w:vertAlign w:val="superscript"/>
              </w:rPr>
              <w:t>°</w:t>
            </w:r>
            <w:r>
              <w:rPr>
                <w:rFonts w:cs="Times New Roman"/>
                <w:sz w:val="20"/>
                <w:szCs w:val="20"/>
              </w:rPr>
              <w:t>C - 30 mins</w:t>
            </w:r>
          </w:p>
        </w:tc>
        <w:tc>
          <w:tcPr>
            <w:tcW w:w="1417" w:type="dxa"/>
          </w:tcPr>
          <w:p w14:paraId="294A0D2A" w14:textId="77777777" w:rsidR="00B252E4" w:rsidRDefault="00B252E4" w:rsidP="00B252E4">
            <w:pPr>
              <w:spacing w:line="240" w:lineRule="auto"/>
              <w:rPr>
                <w:rFonts w:cs="Times New Roman"/>
                <w:sz w:val="20"/>
                <w:szCs w:val="20"/>
              </w:rPr>
            </w:pPr>
            <w:r w:rsidRPr="004A7C90">
              <w:rPr>
                <w:rFonts w:cs="Times New Roman"/>
                <w:sz w:val="20"/>
                <w:szCs w:val="20"/>
                <w:u w:val="single"/>
              </w:rPr>
              <w:t>&gt;</w:t>
            </w:r>
            <w:r>
              <w:rPr>
                <w:rFonts w:cs="Times New Roman"/>
                <w:sz w:val="20"/>
                <w:szCs w:val="20"/>
              </w:rPr>
              <w:t>4.5</w:t>
            </w:r>
          </w:p>
        </w:tc>
        <w:tc>
          <w:tcPr>
            <w:tcW w:w="1418" w:type="dxa"/>
          </w:tcPr>
          <w:p w14:paraId="18E7C273" w14:textId="77777777" w:rsidR="00B252E4" w:rsidRDefault="00B252E4" w:rsidP="00B252E4">
            <w:pPr>
              <w:spacing w:line="240" w:lineRule="auto"/>
              <w:rPr>
                <w:rFonts w:cs="Times New Roman"/>
                <w:sz w:val="20"/>
                <w:szCs w:val="20"/>
              </w:rPr>
            </w:pPr>
            <w:r>
              <w:rPr>
                <w:rFonts w:cs="Times New Roman"/>
                <w:sz w:val="20"/>
                <w:szCs w:val="20"/>
              </w:rPr>
              <w:t>80%</w:t>
            </w:r>
          </w:p>
        </w:tc>
        <w:tc>
          <w:tcPr>
            <w:tcW w:w="1701" w:type="dxa"/>
          </w:tcPr>
          <w:p w14:paraId="0E1B867A" w14:textId="77777777" w:rsidR="00B252E4" w:rsidRDefault="00B252E4" w:rsidP="00B252E4">
            <w:pPr>
              <w:spacing w:line="240" w:lineRule="auto"/>
              <w:rPr>
                <w:rFonts w:cs="Times New Roman"/>
                <w:sz w:val="20"/>
                <w:szCs w:val="20"/>
              </w:rPr>
            </w:pPr>
            <w:r>
              <w:rPr>
                <w:rFonts w:cs="Times New Roman"/>
                <w:sz w:val="20"/>
                <w:szCs w:val="20"/>
              </w:rPr>
              <w:t>204 (18)</w:t>
            </w:r>
          </w:p>
        </w:tc>
        <w:tc>
          <w:tcPr>
            <w:tcW w:w="2615" w:type="dxa"/>
          </w:tcPr>
          <w:p w14:paraId="5102C1D9" w14:textId="77777777" w:rsidR="00B252E4" w:rsidRDefault="00B252E4" w:rsidP="00B252E4">
            <w:pPr>
              <w:spacing w:line="240" w:lineRule="auto"/>
              <w:rPr>
                <w:rFonts w:cs="Times New Roman"/>
                <w:sz w:val="20"/>
                <w:szCs w:val="20"/>
              </w:rPr>
            </w:pPr>
          </w:p>
        </w:tc>
      </w:tr>
      <w:tr w:rsidR="00B252E4" w:rsidRPr="00DC46B1" w14:paraId="589BC1E5" w14:textId="77777777" w:rsidTr="00931EC4">
        <w:tc>
          <w:tcPr>
            <w:tcW w:w="1733" w:type="dxa"/>
            <w:vMerge/>
          </w:tcPr>
          <w:p w14:paraId="59C640F3" w14:textId="77777777" w:rsidR="00B252E4" w:rsidRDefault="00B252E4" w:rsidP="00B252E4">
            <w:pPr>
              <w:spacing w:line="240" w:lineRule="auto"/>
              <w:rPr>
                <w:rFonts w:cs="Times New Roman"/>
                <w:sz w:val="20"/>
                <w:szCs w:val="20"/>
              </w:rPr>
            </w:pPr>
          </w:p>
        </w:tc>
        <w:tc>
          <w:tcPr>
            <w:tcW w:w="1134" w:type="dxa"/>
            <w:vMerge/>
          </w:tcPr>
          <w:p w14:paraId="25B67DAD" w14:textId="77777777" w:rsidR="00B252E4" w:rsidRDefault="00B252E4" w:rsidP="00B252E4">
            <w:pPr>
              <w:spacing w:line="240" w:lineRule="auto"/>
              <w:rPr>
                <w:rFonts w:cs="Times New Roman"/>
                <w:sz w:val="20"/>
                <w:szCs w:val="20"/>
              </w:rPr>
            </w:pPr>
          </w:p>
        </w:tc>
        <w:tc>
          <w:tcPr>
            <w:tcW w:w="3969" w:type="dxa"/>
          </w:tcPr>
          <w:p w14:paraId="65000FB1" w14:textId="77777777" w:rsidR="00B252E4" w:rsidRDefault="00B252E4" w:rsidP="00B252E4">
            <w:pPr>
              <w:spacing w:line="240" w:lineRule="auto"/>
              <w:rPr>
                <w:rFonts w:cs="Times New Roman"/>
                <w:sz w:val="20"/>
                <w:szCs w:val="20"/>
              </w:rPr>
            </w:pPr>
            <w:r>
              <w:rPr>
                <w:rFonts w:cs="Times New Roman"/>
                <w:sz w:val="20"/>
                <w:szCs w:val="20"/>
              </w:rPr>
              <w:t>RMEC B 0.3%, 60</w:t>
            </w:r>
            <w:r>
              <w:rPr>
                <w:rFonts w:cs="Times New Roman"/>
                <w:sz w:val="20"/>
                <w:szCs w:val="20"/>
                <w:vertAlign w:val="superscript"/>
              </w:rPr>
              <w:t>°</w:t>
            </w:r>
            <w:r>
              <w:rPr>
                <w:rFonts w:cs="Times New Roman"/>
                <w:sz w:val="20"/>
                <w:szCs w:val="20"/>
              </w:rPr>
              <w:t>C - 30 mins</w:t>
            </w:r>
          </w:p>
        </w:tc>
        <w:tc>
          <w:tcPr>
            <w:tcW w:w="1417" w:type="dxa"/>
          </w:tcPr>
          <w:p w14:paraId="4E66DBD5" w14:textId="77777777" w:rsidR="00B252E4" w:rsidRDefault="00B252E4" w:rsidP="00B252E4">
            <w:pPr>
              <w:spacing w:line="240" w:lineRule="auto"/>
            </w:pPr>
            <w:r w:rsidRPr="008F4885">
              <w:rPr>
                <w:rFonts w:cs="Times New Roman"/>
                <w:sz w:val="20"/>
                <w:szCs w:val="20"/>
                <w:u w:val="single"/>
              </w:rPr>
              <w:t>&gt;</w:t>
            </w:r>
            <w:r>
              <w:rPr>
                <w:rFonts w:cs="Times New Roman"/>
                <w:sz w:val="20"/>
                <w:szCs w:val="20"/>
              </w:rPr>
              <w:t>3</w:t>
            </w:r>
            <w:r w:rsidRPr="008F4885">
              <w:rPr>
                <w:rFonts w:cs="Times New Roman"/>
                <w:sz w:val="20"/>
                <w:szCs w:val="20"/>
              </w:rPr>
              <w:t>.5</w:t>
            </w:r>
          </w:p>
        </w:tc>
        <w:tc>
          <w:tcPr>
            <w:tcW w:w="1418" w:type="dxa"/>
          </w:tcPr>
          <w:p w14:paraId="5B0C4EBF" w14:textId="77777777" w:rsidR="00B252E4" w:rsidRDefault="00B252E4" w:rsidP="00B252E4">
            <w:pPr>
              <w:spacing w:line="240" w:lineRule="auto"/>
              <w:rPr>
                <w:rFonts w:cs="Times New Roman"/>
                <w:sz w:val="20"/>
                <w:szCs w:val="20"/>
              </w:rPr>
            </w:pPr>
            <w:r>
              <w:rPr>
                <w:rFonts w:cs="Times New Roman"/>
                <w:sz w:val="20"/>
                <w:szCs w:val="20"/>
              </w:rPr>
              <w:t>60%</w:t>
            </w:r>
          </w:p>
        </w:tc>
        <w:tc>
          <w:tcPr>
            <w:tcW w:w="1701" w:type="dxa"/>
          </w:tcPr>
          <w:p w14:paraId="0235E376" w14:textId="77777777" w:rsidR="00B252E4" w:rsidRDefault="00B252E4" w:rsidP="00B252E4">
            <w:pPr>
              <w:spacing w:line="240" w:lineRule="auto"/>
              <w:rPr>
                <w:rFonts w:cs="Times New Roman"/>
                <w:sz w:val="20"/>
                <w:szCs w:val="20"/>
              </w:rPr>
            </w:pPr>
            <w:r>
              <w:rPr>
                <w:rFonts w:cs="Times New Roman"/>
                <w:sz w:val="20"/>
                <w:szCs w:val="20"/>
              </w:rPr>
              <w:t>147 (13)</w:t>
            </w:r>
          </w:p>
        </w:tc>
        <w:tc>
          <w:tcPr>
            <w:tcW w:w="2615" w:type="dxa"/>
          </w:tcPr>
          <w:p w14:paraId="6863D2D2" w14:textId="77777777" w:rsidR="00B252E4" w:rsidRDefault="00B252E4" w:rsidP="00B252E4">
            <w:pPr>
              <w:spacing w:line="240" w:lineRule="auto"/>
              <w:rPr>
                <w:rFonts w:cs="Times New Roman"/>
                <w:sz w:val="20"/>
                <w:szCs w:val="20"/>
              </w:rPr>
            </w:pPr>
          </w:p>
        </w:tc>
      </w:tr>
      <w:tr w:rsidR="00B252E4" w:rsidRPr="00DC46B1" w14:paraId="34CD96AD" w14:textId="77777777" w:rsidTr="00931EC4">
        <w:tc>
          <w:tcPr>
            <w:tcW w:w="1733" w:type="dxa"/>
            <w:vMerge w:val="restart"/>
          </w:tcPr>
          <w:p w14:paraId="6A6A457B" w14:textId="6C994934" w:rsidR="00B252E4" w:rsidRDefault="00B252E4" w:rsidP="0076576E">
            <w:pPr>
              <w:spacing w:line="240" w:lineRule="auto"/>
              <w:rPr>
                <w:rFonts w:cs="Times New Roman"/>
                <w:sz w:val="20"/>
                <w:szCs w:val="20"/>
              </w:rPr>
            </w:pPr>
            <w:r w:rsidRPr="007E546A">
              <w:rPr>
                <w:rFonts w:cs="Times New Roman"/>
                <w:sz w:val="20"/>
                <w:szCs w:val="20"/>
                <w:lang w:val="en"/>
              </w:rPr>
              <w:t xml:space="preserve">Lehmann </w:t>
            </w:r>
            <w:r w:rsidR="00B301D6" w:rsidRPr="00B301D6">
              <w:rPr>
                <w:rFonts w:cs="Times New Roman"/>
                <w:i/>
                <w:sz w:val="20"/>
                <w:szCs w:val="20"/>
                <w:lang w:val="en"/>
              </w:rPr>
              <w:t>et al</w:t>
            </w:r>
            <w:r w:rsidRPr="007E546A">
              <w:rPr>
                <w:rFonts w:cs="Times New Roman"/>
                <w:sz w:val="20"/>
                <w:szCs w:val="20"/>
                <w:lang w:val="en"/>
              </w:rPr>
              <w:t>, 2009,</w:t>
            </w:r>
            <w:r>
              <w:rPr>
                <w:rFonts w:cs="Times New Roman"/>
                <w:sz w:val="20"/>
                <w:szCs w:val="20"/>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Pr>
                <w:rFonts w:cs="Times New Roman"/>
                <w:sz w:val="20"/>
                <w:szCs w:val="20"/>
                <w:lang w:val="en"/>
              </w:rPr>
            </w:r>
            <w:r>
              <w:rPr>
                <w:rFonts w:cs="Times New Roman"/>
                <w:sz w:val="20"/>
                <w:szCs w:val="20"/>
                <w:lang w:val="en"/>
              </w:rPr>
              <w:fldChar w:fldCharType="separate"/>
            </w:r>
            <w:r w:rsidR="0076576E" w:rsidRPr="0076576E">
              <w:rPr>
                <w:rFonts w:cs="Times New Roman"/>
                <w:noProof/>
                <w:sz w:val="20"/>
                <w:szCs w:val="20"/>
                <w:vertAlign w:val="superscript"/>
                <w:lang w:val="en"/>
              </w:rPr>
              <w:t>168</w:t>
            </w:r>
            <w:r>
              <w:rPr>
                <w:rFonts w:cs="Times New Roman"/>
                <w:sz w:val="20"/>
                <w:szCs w:val="20"/>
                <w:lang w:val="en"/>
              </w:rPr>
              <w:fldChar w:fldCharType="end"/>
            </w:r>
          </w:p>
        </w:tc>
        <w:tc>
          <w:tcPr>
            <w:tcW w:w="1134" w:type="dxa"/>
            <w:vMerge w:val="restart"/>
          </w:tcPr>
          <w:p w14:paraId="09F870FB" w14:textId="77777777" w:rsidR="00B252E4" w:rsidRDefault="00B252E4" w:rsidP="00B252E4">
            <w:pPr>
              <w:spacing w:line="240" w:lineRule="auto"/>
              <w:rPr>
                <w:rFonts w:cs="Times New Roman"/>
                <w:sz w:val="20"/>
                <w:szCs w:val="20"/>
              </w:rPr>
            </w:pPr>
            <w:r>
              <w:rPr>
                <w:rFonts w:cs="Times New Roman"/>
                <w:sz w:val="20"/>
                <w:szCs w:val="20"/>
              </w:rPr>
              <w:t>263K</w:t>
            </w:r>
          </w:p>
        </w:tc>
        <w:tc>
          <w:tcPr>
            <w:tcW w:w="3969" w:type="dxa"/>
          </w:tcPr>
          <w:p w14:paraId="1B12F2E0" w14:textId="77777777" w:rsidR="00B252E4" w:rsidRDefault="00B252E4" w:rsidP="00B252E4">
            <w:pPr>
              <w:spacing w:line="240" w:lineRule="auto"/>
              <w:rPr>
                <w:rFonts w:cs="Times New Roman"/>
                <w:sz w:val="20"/>
                <w:szCs w:val="20"/>
              </w:rPr>
            </w:pPr>
            <w:r>
              <w:rPr>
                <w:rFonts w:cs="Times New Roman"/>
                <w:sz w:val="20"/>
                <w:szCs w:val="20"/>
              </w:rPr>
              <w:t>H</w:t>
            </w:r>
            <w:r w:rsidRPr="00612BBA">
              <w:rPr>
                <w:rFonts w:cs="Times New Roman"/>
                <w:sz w:val="20"/>
                <w:szCs w:val="20"/>
                <w:vertAlign w:val="subscript"/>
              </w:rPr>
              <w:t>2</w:t>
            </w:r>
            <w:r>
              <w:rPr>
                <w:rFonts w:cs="Times New Roman"/>
                <w:sz w:val="20"/>
                <w:szCs w:val="20"/>
              </w:rPr>
              <w:t>O</w:t>
            </w:r>
            <w:r w:rsidRPr="00612BBA">
              <w:rPr>
                <w:rFonts w:cs="Times New Roman"/>
                <w:sz w:val="20"/>
                <w:szCs w:val="20"/>
                <w:vertAlign w:val="subscript"/>
              </w:rPr>
              <w:t>2</w:t>
            </w:r>
            <w:r>
              <w:rPr>
                <w:rFonts w:cs="Times New Roman"/>
                <w:sz w:val="20"/>
                <w:szCs w:val="20"/>
              </w:rPr>
              <w:t xml:space="preserve"> (30 mins)</w:t>
            </w:r>
          </w:p>
        </w:tc>
        <w:tc>
          <w:tcPr>
            <w:tcW w:w="1417" w:type="dxa"/>
          </w:tcPr>
          <w:p w14:paraId="40FC3CDD" w14:textId="77777777" w:rsidR="00B252E4" w:rsidRPr="00DC46B1" w:rsidRDefault="00B252E4" w:rsidP="00B252E4">
            <w:pPr>
              <w:spacing w:line="240" w:lineRule="auto"/>
              <w:rPr>
                <w:rFonts w:cs="Times New Roman"/>
                <w:sz w:val="20"/>
                <w:szCs w:val="20"/>
              </w:rPr>
            </w:pPr>
            <w:r w:rsidRPr="00EC0FE4">
              <w:rPr>
                <w:rFonts w:cs="Times New Roman"/>
                <w:sz w:val="20"/>
                <w:szCs w:val="20"/>
                <w:u w:val="single"/>
              </w:rPr>
              <w:t>&gt;</w:t>
            </w:r>
            <w:r>
              <w:rPr>
                <w:rFonts w:cs="Times New Roman"/>
                <w:sz w:val="20"/>
                <w:szCs w:val="20"/>
              </w:rPr>
              <w:t>5.25</w:t>
            </w:r>
          </w:p>
        </w:tc>
        <w:tc>
          <w:tcPr>
            <w:tcW w:w="1418" w:type="dxa"/>
          </w:tcPr>
          <w:p w14:paraId="27B7BAAF" w14:textId="77777777" w:rsidR="00B252E4" w:rsidRPr="00DC46B1" w:rsidRDefault="00B252E4" w:rsidP="00B252E4">
            <w:pPr>
              <w:spacing w:line="240" w:lineRule="auto"/>
              <w:rPr>
                <w:rFonts w:cs="Times New Roman"/>
                <w:sz w:val="20"/>
                <w:szCs w:val="20"/>
              </w:rPr>
            </w:pPr>
            <w:r>
              <w:rPr>
                <w:rFonts w:cs="Times New Roman"/>
                <w:sz w:val="20"/>
                <w:szCs w:val="20"/>
              </w:rPr>
              <w:t>0%</w:t>
            </w:r>
          </w:p>
        </w:tc>
        <w:tc>
          <w:tcPr>
            <w:tcW w:w="1701" w:type="dxa"/>
          </w:tcPr>
          <w:p w14:paraId="4E81A197" w14:textId="77777777" w:rsidR="00B252E4" w:rsidRPr="00DC46B1" w:rsidRDefault="00B252E4" w:rsidP="00B252E4">
            <w:pPr>
              <w:spacing w:line="240" w:lineRule="auto"/>
              <w:rPr>
                <w:rFonts w:cs="Times New Roman"/>
                <w:sz w:val="20"/>
                <w:szCs w:val="20"/>
              </w:rPr>
            </w:pPr>
            <w:r w:rsidRPr="00EC0FE4">
              <w:rPr>
                <w:rFonts w:cs="Times New Roman"/>
                <w:sz w:val="20"/>
                <w:szCs w:val="20"/>
                <w:u w:val="single"/>
              </w:rPr>
              <w:t>&gt;</w:t>
            </w:r>
            <w:r>
              <w:rPr>
                <w:rFonts w:cs="Times New Roman"/>
                <w:sz w:val="20"/>
                <w:szCs w:val="20"/>
              </w:rPr>
              <w:t>370</w:t>
            </w:r>
          </w:p>
        </w:tc>
        <w:tc>
          <w:tcPr>
            <w:tcW w:w="2615" w:type="dxa"/>
          </w:tcPr>
          <w:p w14:paraId="5E210BC6" w14:textId="77777777" w:rsidR="00B252E4" w:rsidRDefault="00B252E4" w:rsidP="00B252E4">
            <w:pPr>
              <w:spacing w:line="240" w:lineRule="auto"/>
              <w:rPr>
                <w:rFonts w:cs="Times New Roman"/>
                <w:sz w:val="20"/>
                <w:szCs w:val="20"/>
              </w:rPr>
            </w:pPr>
          </w:p>
        </w:tc>
      </w:tr>
      <w:tr w:rsidR="00B252E4" w:rsidRPr="00DC46B1" w14:paraId="4D890600" w14:textId="77777777" w:rsidTr="00931EC4">
        <w:tc>
          <w:tcPr>
            <w:tcW w:w="1733" w:type="dxa"/>
            <w:vMerge/>
          </w:tcPr>
          <w:p w14:paraId="4E1A4C54" w14:textId="77777777" w:rsidR="00B252E4" w:rsidRDefault="00B252E4" w:rsidP="00B252E4">
            <w:pPr>
              <w:spacing w:line="240" w:lineRule="auto"/>
              <w:rPr>
                <w:rFonts w:cs="Times New Roman"/>
                <w:sz w:val="20"/>
                <w:szCs w:val="20"/>
              </w:rPr>
            </w:pPr>
          </w:p>
        </w:tc>
        <w:tc>
          <w:tcPr>
            <w:tcW w:w="1134" w:type="dxa"/>
            <w:vMerge/>
          </w:tcPr>
          <w:p w14:paraId="61EF186B" w14:textId="77777777" w:rsidR="00B252E4" w:rsidRDefault="00B252E4" w:rsidP="00B252E4">
            <w:pPr>
              <w:spacing w:line="240" w:lineRule="auto"/>
              <w:rPr>
                <w:rFonts w:cs="Times New Roman"/>
                <w:sz w:val="20"/>
                <w:szCs w:val="20"/>
              </w:rPr>
            </w:pPr>
          </w:p>
        </w:tc>
        <w:tc>
          <w:tcPr>
            <w:tcW w:w="3969" w:type="dxa"/>
          </w:tcPr>
          <w:p w14:paraId="2C889BE9" w14:textId="77777777" w:rsidR="00B252E4" w:rsidRDefault="00B252E4" w:rsidP="00B252E4">
            <w:pPr>
              <w:spacing w:line="240" w:lineRule="auto"/>
              <w:rPr>
                <w:rFonts w:cs="Times New Roman"/>
                <w:sz w:val="20"/>
                <w:szCs w:val="20"/>
              </w:rPr>
            </w:pPr>
            <w:r>
              <w:rPr>
                <w:rFonts w:cs="Times New Roman"/>
                <w:sz w:val="20"/>
                <w:szCs w:val="20"/>
              </w:rPr>
              <w:t>AF (10 mins)</w:t>
            </w:r>
          </w:p>
        </w:tc>
        <w:tc>
          <w:tcPr>
            <w:tcW w:w="1417" w:type="dxa"/>
          </w:tcPr>
          <w:p w14:paraId="0FD207B9" w14:textId="77777777" w:rsidR="00B252E4" w:rsidRPr="00DC46B1" w:rsidRDefault="00B252E4" w:rsidP="00B252E4">
            <w:pPr>
              <w:spacing w:line="240" w:lineRule="auto"/>
              <w:rPr>
                <w:rFonts w:cs="Times New Roman"/>
                <w:sz w:val="20"/>
                <w:szCs w:val="20"/>
              </w:rPr>
            </w:pPr>
            <w:r w:rsidRPr="00EC0FE4">
              <w:rPr>
                <w:rFonts w:cs="Times New Roman"/>
                <w:sz w:val="20"/>
                <w:szCs w:val="20"/>
                <w:u w:val="single"/>
              </w:rPr>
              <w:t>&gt;</w:t>
            </w:r>
            <w:r>
              <w:rPr>
                <w:rFonts w:cs="Times New Roman"/>
                <w:sz w:val="20"/>
                <w:szCs w:val="20"/>
              </w:rPr>
              <w:t>5.25</w:t>
            </w:r>
          </w:p>
        </w:tc>
        <w:tc>
          <w:tcPr>
            <w:tcW w:w="1418" w:type="dxa"/>
          </w:tcPr>
          <w:p w14:paraId="077F0207" w14:textId="77777777" w:rsidR="00B252E4" w:rsidRPr="00DC46B1" w:rsidRDefault="00B252E4" w:rsidP="00B252E4">
            <w:pPr>
              <w:spacing w:line="240" w:lineRule="auto"/>
              <w:rPr>
                <w:rFonts w:cs="Times New Roman"/>
                <w:sz w:val="20"/>
                <w:szCs w:val="20"/>
              </w:rPr>
            </w:pPr>
            <w:r>
              <w:rPr>
                <w:rFonts w:cs="Times New Roman"/>
                <w:sz w:val="20"/>
                <w:szCs w:val="20"/>
              </w:rPr>
              <w:t>0%</w:t>
            </w:r>
          </w:p>
        </w:tc>
        <w:tc>
          <w:tcPr>
            <w:tcW w:w="1701" w:type="dxa"/>
          </w:tcPr>
          <w:p w14:paraId="2E7D7467" w14:textId="77777777" w:rsidR="00B252E4" w:rsidRPr="00DC46B1" w:rsidRDefault="00B252E4" w:rsidP="00B252E4">
            <w:pPr>
              <w:spacing w:line="240" w:lineRule="auto"/>
              <w:rPr>
                <w:rFonts w:cs="Times New Roman"/>
                <w:sz w:val="20"/>
                <w:szCs w:val="20"/>
              </w:rPr>
            </w:pPr>
            <w:r w:rsidRPr="00EC0FE4">
              <w:rPr>
                <w:rFonts w:cs="Times New Roman"/>
                <w:sz w:val="20"/>
                <w:szCs w:val="20"/>
                <w:u w:val="single"/>
              </w:rPr>
              <w:t>&gt;</w:t>
            </w:r>
            <w:r>
              <w:rPr>
                <w:rFonts w:cs="Times New Roman"/>
                <w:sz w:val="20"/>
                <w:szCs w:val="20"/>
              </w:rPr>
              <w:t>370</w:t>
            </w:r>
          </w:p>
        </w:tc>
        <w:tc>
          <w:tcPr>
            <w:tcW w:w="2615" w:type="dxa"/>
          </w:tcPr>
          <w:p w14:paraId="1DE74D31" w14:textId="77777777" w:rsidR="00B252E4" w:rsidRDefault="00B252E4" w:rsidP="00B252E4">
            <w:pPr>
              <w:spacing w:line="240" w:lineRule="auto"/>
              <w:rPr>
                <w:rFonts w:cs="Times New Roman"/>
                <w:sz w:val="20"/>
                <w:szCs w:val="20"/>
              </w:rPr>
            </w:pPr>
          </w:p>
        </w:tc>
      </w:tr>
      <w:tr w:rsidR="00B252E4" w:rsidRPr="00DC46B1" w14:paraId="01206C52" w14:textId="77777777" w:rsidTr="00931EC4">
        <w:tc>
          <w:tcPr>
            <w:tcW w:w="1733" w:type="dxa"/>
            <w:vMerge/>
          </w:tcPr>
          <w:p w14:paraId="1CB8067E" w14:textId="77777777" w:rsidR="00B252E4" w:rsidRDefault="00B252E4" w:rsidP="00B252E4">
            <w:pPr>
              <w:spacing w:line="240" w:lineRule="auto"/>
              <w:rPr>
                <w:rFonts w:cs="Times New Roman"/>
                <w:sz w:val="20"/>
                <w:szCs w:val="20"/>
              </w:rPr>
            </w:pPr>
          </w:p>
        </w:tc>
        <w:tc>
          <w:tcPr>
            <w:tcW w:w="1134" w:type="dxa"/>
            <w:vMerge/>
          </w:tcPr>
          <w:p w14:paraId="5ADDD71B" w14:textId="77777777" w:rsidR="00B252E4" w:rsidRDefault="00B252E4" w:rsidP="00B252E4">
            <w:pPr>
              <w:spacing w:line="240" w:lineRule="auto"/>
              <w:rPr>
                <w:rFonts w:cs="Times New Roman"/>
                <w:sz w:val="20"/>
                <w:szCs w:val="20"/>
              </w:rPr>
            </w:pPr>
          </w:p>
        </w:tc>
        <w:tc>
          <w:tcPr>
            <w:tcW w:w="3969" w:type="dxa"/>
          </w:tcPr>
          <w:p w14:paraId="0B91FDA7" w14:textId="77777777" w:rsidR="00B252E4" w:rsidRPr="001D1C67" w:rsidRDefault="00B252E4" w:rsidP="00B252E4">
            <w:pPr>
              <w:spacing w:line="240" w:lineRule="auto"/>
              <w:rPr>
                <w:rFonts w:cs="Times New Roman"/>
                <w:sz w:val="20"/>
                <w:szCs w:val="20"/>
                <w:lang w:val="pl-PL"/>
              </w:rPr>
            </w:pPr>
            <w:r w:rsidRPr="001D1C67">
              <w:rPr>
                <w:rFonts w:cs="Times New Roman"/>
                <w:sz w:val="20"/>
                <w:szCs w:val="20"/>
                <w:lang w:val="pl-PL"/>
              </w:rPr>
              <w:t>Np-Np- H</w:t>
            </w:r>
            <w:r w:rsidRPr="001D1C67">
              <w:rPr>
                <w:rFonts w:cs="Times New Roman"/>
                <w:sz w:val="20"/>
                <w:szCs w:val="20"/>
                <w:vertAlign w:val="subscript"/>
                <w:lang w:val="pl-PL"/>
              </w:rPr>
              <w:t>2</w:t>
            </w:r>
            <w:r w:rsidRPr="001D1C67">
              <w:rPr>
                <w:rFonts w:cs="Times New Roman"/>
                <w:sz w:val="20"/>
                <w:szCs w:val="20"/>
                <w:lang w:val="pl-PL"/>
              </w:rPr>
              <w:t>O</w:t>
            </w:r>
            <w:r w:rsidRPr="001D1C67">
              <w:rPr>
                <w:rFonts w:cs="Times New Roman"/>
                <w:sz w:val="20"/>
                <w:szCs w:val="20"/>
                <w:vertAlign w:val="subscript"/>
                <w:lang w:val="pl-PL"/>
              </w:rPr>
              <w:t>2</w:t>
            </w:r>
            <w:r w:rsidRPr="001D1C67">
              <w:rPr>
                <w:rFonts w:cs="Times New Roman"/>
                <w:sz w:val="20"/>
                <w:szCs w:val="20"/>
                <w:lang w:val="pl-PL"/>
              </w:rPr>
              <w:t>/Cu (10 mins – 5 mins – 15 mins)</w:t>
            </w:r>
          </w:p>
        </w:tc>
        <w:tc>
          <w:tcPr>
            <w:tcW w:w="1417" w:type="dxa"/>
          </w:tcPr>
          <w:p w14:paraId="7ABCB725" w14:textId="77777777" w:rsidR="00B252E4" w:rsidRPr="00DC46B1" w:rsidRDefault="00B252E4" w:rsidP="00B252E4">
            <w:pPr>
              <w:spacing w:line="240" w:lineRule="auto"/>
              <w:rPr>
                <w:rFonts w:cs="Times New Roman"/>
                <w:sz w:val="20"/>
                <w:szCs w:val="20"/>
              </w:rPr>
            </w:pPr>
            <w:r>
              <w:rPr>
                <w:rFonts w:cs="Times New Roman"/>
                <w:sz w:val="20"/>
                <w:szCs w:val="20"/>
              </w:rPr>
              <w:t>4.55</w:t>
            </w:r>
          </w:p>
        </w:tc>
        <w:tc>
          <w:tcPr>
            <w:tcW w:w="1418" w:type="dxa"/>
          </w:tcPr>
          <w:p w14:paraId="34CB1196" w14:textId="77777777" w:rsidR="00B252E4" w:rsidRPr="00DC46B1" w:rsidRDefault="00B252E4" w:rsidP="00B252E4">
            <w:pPr>
              <w:spacing w:line="240" w:lineRule="auto"/>
              <w:rPr>
                <w:rFonts w:cs="Times New Roman"/>
                <w:sz w:val="20"/>
                <w:szCs w:val="20"/>
              </w:rPr>
            </w:pPr>
            <w:r>
              <w:rPr>
                <w:rFonts w:cs="Times New Roman"/>
                <w:sz w:val="20"/>
                <w:szCs w:val="20"/>
              </w:rPr>
              <w:t>43%</w:t>
            </w:r>
          </w:p>
        </w:tc>
        <w:tc>
          <w:tcPr>
            <w:tcW w:w="1701" w:type="dxa"/>
          </w:tcPr>
          <w:p w14:paraId="6D6E66CE" w14:textId="77777777" w:rsidR="00B252E4" w:rsidRPr="00DC46B1" w:rsidRDefault="00B252E4" w:rsidP="00B252E4">
            <w:pPr>
              <w:spacing w:line="240" w:lineRule="auto"/>
              <w:rPr>
                <w:rFonts w:cs="Times New Roman"/>
                <w:sz w:val="20"/>
                <w:szCs w:val="20"/>
              </w:rPr>
            </w:pPr>
            <w:r>
              <w:rPr>
                <w:rFonts w:cs="Times New Roman"/>
                <w:sz w:val="20"/>
                <w:szCs w:val="20"/>
              </w:rPr>
              <w:t>133</w:t>
            </w:r>
          </w:p>
        </w:tc>
        <w:tc>
          <w:tcPr>
            <w:tcW w:w="2615" w:type="dxa"/>
          </w:tcPr>
          <w:p w14:paraId="3F6AD955" w14:textId="77777777" w:rsidR="00B252E4" w:rsidRDefault="00B252E4" w:rsidP="00B252E4">
            <w:pPr>
              <w:spacing w:line="240" w:lineRule="auto"/>
              <w:rPr>
                <w:rFonts w:cs="Times New Roman"/>
                <w:sz w:val="20"/>
                <w:szCs w:val="20"/>
              </w:rPr>
            </w:pPr>
          </w:p>
        </w:tc>
      </w:tr>
      <w:tr w:rsidR="00B252E4" w:rsidRPr="00DC46B1" w14:paraId="414EEE36" w14:textId="77777777" w:rsidTr="00931EC4">
        <w:tc>
          <w:tcPr>
            <w:tcW w:w="1733" w:type="dxa"/>
            <w:vMerge/>
          </w:tcPr>
          <w:p w14:paraId="53E8427B" w14:textId="77777777" w:rsidR="00B252E4" w:rsidRDefault="00B252E4" w:rsidP="00B252E4">
            <w:pPr>
              <w:spacing w:line="240" w:lineRule="auto"/>
              <w:rPr>
                <w:rFonts w:cs="Times New Roman"/>
                <w:sz w:val="20"/>
                <w:szCs w:val="20"/>
              </w:rPr>
            </w:pPr>
          </w:p>
        </w:tc>
        <w:tc>
          <w:tcPr>
            <w:tcW w:w="1134" w:type="dxa"/>
            <w:vMerge/>
          </w:tcPr>
          <w:p w14:paraId="104B4779" w14:textId="77777777" w:rsidR="00B252E4" w:rsidRDefault="00B252E4" w:rsidP="00B252E4">
            <w:pPr>
              <w:spacing w:line="240" w:lineRule="auto"/>
              <w:rPr>
                <w:rFonts w:cs="Times New Roman"/>
                <w:sz w:val="20"/>
                <w:szCs w:val="20"/>
              </w:rPr>
            </w:pPr>
          </w:p>
        </w:tc>
        <w:tc>
          <w:tcPr>
            <w:tcW w:w="3969" w:type="dxa"/>
          </w:tcPr>
          <w:p w14:paraId="3301A348" w14:textId="77777777" w:rsidR="00B252E4" w:rsidRPr="001D1C67" w:rsidRDefault="00B252E4" w:rsidP="00B252E4">
            <w:pPr>
              <w:spacing w:line="240" w:lineRule="auto"/>
              <w:rPr>
                <w:rFonts w:cs="Times New Roman"/>
                <w:sz w:val="20"/>
                <w:szCs w:val="20"/>
                <w:lang w:val="pt-PT"/>
              </w:rPr>
            </w:pPr>
            <w:r w:rsidRPr="001D1C67">
              <w:rPr>
                <w:rFonts w:cs="Times New Roman"/>
                <w:sz w:val="20"/>
                <w:szCs w:val="20"/>
                <w:lang w:val="pt-PT"/>
              </w:rPr>
              <w:t>Dp-Dp- 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2</w:t>
            </w:r>
            <w:r w:rsidRPr="001D1C67">
              <w:rPr>
                <w:rFonts w:cs="Times New Roman"/>
                <w:sz w:val="20"/>
                <w:szCs w:val="20"/>
                <w:lang w:val="pt-PT"/>
              </w:rPr>
              <w:t>/Cu (10 mins – 5 mins – 15 mins)</w:t>
            </w:r>
          </w:p>
        </w:tc>
        <w:tc>
          <w:tcPr>
            <w:tcW w:w="1417" w:type="dxa"/>
          </w:tcPr>
          <w:p w14:paraId="60E1CF14" w14:textId="77777777" w:rsidR="00B252E4" w:rsidRPr="00DC46B1" w:rsidRDefault="00B252E4" w:rsidP="00B252E4">
            <w:pPr>
              <w:spacing w:line="240" w:lineRule="auto"/>
              <w:rPr>
                <w:rFonts w:cs="Times New Roman"/>
                <w:sz w:val="20"/>
                <w:szCs w:val="20"/>
              </w:rPr>
            </w:pPr>
            <w:r w:rsidRPr="00EC0FE4">
              <w:rPr>
                <w:rFonts w:cs="Times New Roman"/>
                <w:sz w:val="20"/>
                <w:szCs w:val="20"/>
                <w:u w:val="single"/>
              </w:rPr>
              <w:t>&gt;</w:t>
            </w:r>
            <w:r>
              <w:rPr>
                <w:rFonts w:cs="Times New Roman"/>
                <w:sz w:val="20"/>
                <w:szCs w:val="20"/>
              </w:rPr>
              <w:t>5.25</w:t>
            </w:r>
          </w:p>
        </w:tc>
        <w:tc>
          <w:tcPr>
            <w:tcW w:w="1418" w:type="dxa"/>
          </w:tcPr>
          <w:p w14:paraId="51D22EDF" w14:textId="77777777" w:rsidR="00B252E4" w:rsidRPr="00DC46B1" w:rsidRDefault="00B252E4" w:rsidP="00B252E4">
            <w:pPr>
              <w:spacing w:line="240" w:lineRule="auto"/>
              <w:rPr>
                <w:rFonts w:cs="Times New Roman"/>
                <w:sz w:val="20"/>
                <w:szCs w:val="20"/>
              </w:rPr>
            </w:pPr>
            <w:r>
              <w:rPr>
                <w:rFonts w:cs="Times New Roman"/>
                <w:sz w:val="20"/>
                <w:szCs w:val="20"/>
              </w:rPr>
              <w:t>20%</w:t>
            </w:r>
          </w:p>
        </w:tc>
        <w:tc>
          <w:tcPr>
            <w:tcW w:w="1701" w:type="dxa"/>
          </w:tcPr>
          <w:p w14:paraId="075CFD7A" w14:textId="77777777" w:rsidR="00B252E4" w:rsidRPr="00DC46B1" w:rsidRDefault="00B252E4" w:rsidP="00B252E4">
            <w:pPr>
              <w:spacing w:line="240" w:lineRule="auto"/>
              <w:rPr>
                <w:rFonts w:cs="Times New Roman"/>
                <w:sz w:val="20"/>
                <w:szCs w:val="20"/>
              </w:rPr>
            </w:pPr>
            <w:r>
              <w:rPr>
                <w:rFonts w:cs="Times New Roman"/>
                <w:sz w:val="20"/>
                <w:szCs w:val="20"/>
              </w:rPr>
              <w:t>159</w:t>
            </w:r>
          </w:p>
        </w:tc>
        <w:tc>
          <w:tcPr>
            <w:tcW w:w="2615" w:type="dxa"/>
          </w:tcPr>
          <w:p w14:paraId="1574EA58" w14:textId="77777777" w:rsidR="00B252E4" w:rsidRDefault="00B252E4" w:rsidP="00B252E4">
            <w:pPr>
              <w:spacing w:line="240" w:lineRule="auto"/>
              <w:rPr>
                <w:rFonts w:cs="Times New Roman"/>
                <w:sz w:val="20"/>
                <w:szCs w:val="20"/>
              </w:rPr>
            </w:pPr>
          </w:p>
        </w:tc>
      </w:tr>
      <w:tr w:rsidR="00B252E4" w:rsidRPr="00DC46B1" w14:paraId="4758478A" w14:textId="77777777" w:rsidTr="00931EC4">
        <w:tc>
          <w:tcPr>
            <w:tcW w:w="1733" w:type="dxa"/>
            <w:vMerge/>
          </w:tcPr>
          <w:p w14:paraId="0C1568F5" w14:textId="77777777" w:rsidR="00B252E4" w:rsidRDefault="00B252E4" w:rsidP="00B252E4">
            <w:pPr>
              <w:spacing w:line="240" w:lineRule="auto"/>
              <w:rPr>
                <w:rFonts w:cs="Times New Roman"/>
                <w:sz w:val="20"/>
                <w:szCs w:val="20"/>
              </w:rPr>
            </w:pPr>
          </w:p>
        </w:tc>
        <w:tc>
          <w:tcPr>
            <w:tcW w:w="1134" w:type="dxa"/>
            <w:vMerge/>
          </w:tcPr>
          <w:p w14:paraId="2C684297" w14:textId="77777777" w:rsidR="00B252E4" w:rsidRDefault="00B252E4" w:rsidP="00B252E4">
            <w:pPr>
              <w:spacing w:line="240" w:lineRule="auto"/>
              <w:rPr>
                <w:rFonts w:cs="Times New Roman"/>
                <w:sz w:val="20"/>
                <w:szCs w:val="20"/>
              </w:rPr>
            </w:pPr>
          </w:p>
        </w:tc>
        <w:tc>
          <w:tcPr>
            <w:tcW w:w="3969" w:type="dxa"/>
          </w:tcPr>
          <w:p w14:paraId="36CF6E8D" w14:textId="77777777" w:rsidR="00B252E4" w:rsidRPr="001D1C67" w:rsidRDefault="00B252E4" w:rsidP="00B252E4">
            <w:pPr>
              <w:spacing w:line="240" w:lineRule="auto"/>
              <w:rPr>
                <w:rFonts w:cs="Times New Roman"/>
                <w:sz w:val="20"/>
                <w:szCs w:val="20"/>
                <w:lang w:val="pt-PT"/>
              </w:rPr>
            </w:pPr>
            <w:r w:rsidRPr="001D1C67">
              <w:rPr>
                <w:rFonts w:cs="Times New Roman"/>
                <w:sz w:val="20"/>
                <w:szCs w:val="20"/>
                <w:lang w:val="pt-PT"/>
              </w:rPr>
              <w:t>Np-Dp- H</w:t>
            </w:r>
            <w:r w:rsidRPr="001D1C67">
              <w:rPr>
                <w:rFonts w:cs="Times New Roman"/>
                <w:sz w:val="20"/>
                <w:szCs w:val="20"/>
                <w:vertAlign w:val="subscript"/>
                <w:lang w:val="pt-PT"/>
              </w:rPr>
              <w:t>2</w:t>
            </w:r>
            <w:r w:rsidRPr="001D1C67">
              <w:rPr>
                <w:rFonts w:cs="Times New Roman"/>
                <w:sz w:val="20"/>
                <w:szCs w:val="20"/>
                <w:lang w:val="pt-PT"/>
              </w:rPr>
              <w:t>O</w:t>
            </w:r>
            <w:r w:rsidRPr="001D1C67">
              <w:rPr>
                <w:rFonts w:cs="Times New Roman"/>
                <w:sz w:val="20"/>
                <w:szCs w:val="20"/>
                <w:vertAlign w:val="subscript"/>
                <w:lang w:val="pt-PT"/>
              </w:rPr>
              <w:t>2</w:t>
            </w:r>
            <w:r w:rsidRPr="001D1C67">
              <w:rPr>
                <w:rFonts w:cs="Times New Roman"/>
                <w:sz w:val="20"/>
                <w:szCs w:val="20"/>
                <w:lang w:val="pt-PT"/>
              </w:rPr>
              <w:t>/Cu (10 mins – 5 mins – 15 mins)</w:t>
            </w:r>
          </w:p>
        </w:tc>
        <w:tc>
          <w:tcPr>
            <w:tcW w:w="1417" w:type="dxa"/>
          </w:tcPr>
          <w:p w14:paraId="4ED0ECF1" w14:textId="77777777" w:rsidR="00B252E4" w:rsidRPr="00DC46B1" w:rsidRDefault="00B252E4" w:rsidP="00B252E4">
            <w:pPr>
              <w:spacing w:line="240" w:lineRule="auto"/>
              <w:rPr>
                <w:rFonts w:cs="Times New Roman"/>
                <w:sz w:val="20"/>
                <w:szCs w:val="20"/>
              </w:rPr>
            </w:pPr>
            <w:r w:rsidRPr="00EC0FE4">
              <w:rPr>
                <w:rFonts w:cs="Times New Roman"/>
                <w:sz w:val="20"/>
                <w:szCs w:val="20"/>
                <w:u w:val="single"/>
              </w:rPr>
              <w:t>&gt;</w:t>
            </w:r>
            <w:r>
              <w:rPr>
                <w:rFonts w:cs="Times New Roman"/>
                <w:sz w:val="20"/>
                <w:szCs w:val="20"/>
              </w:rPr>
              <w:t>5.25</w:t>
            </w:r>
          </w:p>
        </w:tc>
        <w:tc>
          <w:tcPr>
            <w:tcW w:w="1418" w:type="dxa"/>
          </w:tcPr>
          <w:p w14:paraId="401EAB99" w14:textId="77777777" w:rsidR="00B252E4" w:rsidRPr="00DC46B1" w:rsidRDefault="00B252E4" w:rsidP="00B252E4">
            <w:pPr>
              <w:spacing w:line="240" w:lineRule="auto"/>
              <w:rPr>
                <w:rFonts w:cs="Times New Roman"/>
                <w:sz w:val="20"/>
                <w:szCs w:val="20"/>
              </w:rPr>
            </w:pPr>
            <w:r>
              <w:rPr>
                <w:rFonts w:cs="Times New Roman"/>
                <w:sz w:val="20"/>
                <w:szCs w:val="20"/>
              </w:rPr>
              <w:t>0%</w:t>
            </w:r>
          </w:p>
        </w:tc>
        <w:tc>
          <w:tcPr>
            <w:tcW w:w="1701" w:type="dxa"/>
          </w:tcPr>
          <w:p w14:paraId="73A9E272" w14:textId="77777777" w:rsidR="00B252E4" w:rsidRPr="00DC46B1" w:rsidRDefault="00B252E4" w:rsidP="00B252E4">
            <w:pPr>
              <w:spacing w:line="240" w:lineRule="auto"/>
              <w:rPr>
                <w:rFonts w:cs="Times New Roman"/>
                <w:sz w:val="20"/>
                <w:szCs w:val="20"/>
              </w:rPr>
            </w:pPr>
            <w:r w:rsidRPr="00EC0FE4">
              <w:rPr>
                <w:rFonts w:cs="Times New Roman"/>
                <w:sz w:val="20"/>
                <w:szCs w:val="20"/>
                <w:u w:val="single"/>
              </w:rPr>
              <w:t>&gt;</w:t>
            </w:r>
            <w:r>
              <w:rPr>
                <w:rFonts w:cs="Times New Roman"/>
                <w:sz w:val="20"/>
                <w:szCs w:val="20"/>
              </w:rPr>
              <w:t>370</w:t>
            </w:r>
          </w:p>
        </w:tc>
        <w:tc>
          <w:tcPr>
            <w:tcW w:w="2615" w:type="dxa"/>
          </w:tcPr>
          <w:p w14:paraId="576135C2" w14:textId="77777777" w:rsidR="00B252E4" w:rsidRDefault="00B252E4" w:rsidP="00B252E4">
            <w:pPr>
              <w:spacing w:line="240" w:lineRule="auto"/>
              <w:rPr>
                <w:rFonts w:cs="Times New Roman"/>
                <w:sz w:val="20"/>
                <w:szCs w:val="20"/>
              </w:rPr>
            </w:pPr>
          </w:p>
        </w:tc>
      </w:tr>
      <w:tr w:rsidR="00B252E4" w:rsidRPr="00DC46B1" w14:paraId="11E6C99C" w14:textId="77777777" w:rsidTr="00931EC4">
        <w:tc>
          <w:tcPr>
            <w:tcW w:w="1733" w:type="dxa"/>
            <w:vMerge/>
          </w:tcPr>
          <w:p w14:paraId="20BD60D6" w14:textId="77777777" w:rsidR="00B252E4" w:rsidRDefault="00B252E4" w:rsidP="00B252E4">
            <w:pPr>
              <w:spacing w:line="240" w:lineRule="auto"/>
              <w:rPr>
                <w:rFonts w:cs="Times New Roman"/>
                <w:sz w:val="20"/>
                <w:szCs w:val="20"/>
              </w:rPr>
            </w:pPr>
          </w:p>
        </w:tc>
        <w:tc>
          <w:tcPr>
            <w:tcW w:w="1134" w:type="dxa"/>
            <w:vMerge/>
          </w:tcPr>
          <w:p w14:paraId="1C38B435" w14:textId="77777777" w:rsidR="00B252E4" w:rsidRDefault="00B252E4" w:rsidP="00B252E4">
            <w:pPr>
              <w:spacing w:line="240" w:lineRule="auto"/>
              <w:rPr>
                <w:rFonts w:cs="Times New Roman"/>
                <w:sz w:val="20"/>
                <w:szCs w:val="20"/>
              </w:rPr>
            </w:pPr>
          </w:p>
        </w:tc>
        <w:tc>
          <w:tcPr>
            <w:tcW w:w="3969" w:type="dxa"/>
          </w:tcPr>
          <w:p w14:paraId="46660D26" w14:textId="77777777" w:rsidR="00B252E4" w:rsidRPr="00F1300C" w:rsidRDefault="00B252E4" w:rsidP="00B252E4">
            <w:pPr>
              <w:spacing w:line="240" w:lineRule="auto"/>
              <w:rPr>
                <w:rFonts w:cs="Times New Roman"/>
                <w:sz w:val="20"/>
                <w:szCs w:val="20"/>
              </w:rPr>
            </w:pPr>
            <w:r w:rsidRPr="00F1300C">
              <w:rPr>
                <w:rFonts w:cs="Times New Roman"/>
                <w:sz w:val="20"/>
                <w:szCs w:val="20"/>
              </w:rPr>
              <w:t>Nmp-Nmp- PAA/Cu (10 mins – 5 mins – 15 mins, 40</w:t>
            </w:r>
            <w:r w:rsidRPr="00F1300C">
              <w:rPr>
                <w:rFonts w:cs="Times New Roman"/>
                <w:sz w:val="20"/>
                <w:szCs w:val="20"/>
                <w:vertAlign w:val="superscript"/>
              </w:rPr>
              <w:t>°</w:t>
            </w:r>
            <w:r w:rsidRPr="00F1300C">
              <w:rPr>
                <w:rFonts w:cs="Times New Roman"/>
                <w:sz w:val="20"/>
                <w:szCs w:val="20"/>
              </w:rPr>
              <w:t>C)</w:t>
            </w:r>
          </w:p>
        </w:tc>
        <w:tc>
          <w:tcPr>
            <w:tcW w:w="1417" w:type="dxa"/>
          </w:tcPr>
          <w:p w14:paraId="541357F9" w14:textId="77777777" w:rsidR="00B252E4" w:rsidRPr="00DC46B1" w:rsidRDefault="00B252E4" w:rsidP="00B252E4">
            <w:pPr>
              <w:spacing w:line="240" w:lineRule="auto"/>
              <w:rPr>
                <w:rFonts w:cs="Times New Roman"/>
                <w:sz w:val="20"/>
                <w:szCs w:val="20"/>
              </w:rPr>
            </w:pPr>
            <w:r>
              <w:rPr>
                <w:rFonts w:cs="Times New Roman"/>
                <w:sz w:val="20"/>
                <w:szCs w:val="20"/>
              </w:rPr>
              <w:t>3.43</w:t>
            </w:r>
          </w:p>
        </w:tc>
        <w:tc>
          <w:tcPr>
            <w:tcW w:w="1418" w:type="dxa"/>
          </w:tcPr>
          <w:p w14:paraId="0522DE40" w14:textId="77777777" w:rsidR="00B252E4" w:rsidRPr="00DC46B1" w:rsidRDefault="00B252E4" w:rsidP="00B252E4">
            <w:pPr>
              <w:spacing w:line="240" w:lineRule="auto"/>
              <w:rPr>
                <w:rFonts w:cs="Times New Roman"/>
                <w:sz w:val="20"/>
                <w:szCs w:val="20"/>
              </w:rPr>
            </w:pPr>
            <w:r>
              <w:rPr>
                <w:rFonts w:cs="Times New Roman"/>
                <w:sz w:val="20"/>
                <w:szCs w:val="20"/>
              </w:rPr>
              <w:t>67%</w:t>
            </w:r>
          </w:p>
        </w:tc>
        <w:tc>
          <w:tcPr>
            <w:tcW w:w="1701" w:type="dxa"/>
          </w:tcPr>
          <w:p w14:paraId="25B4FB38" w14:textId="77777777" w:rsidR="00B252E4" w:rsidRPr="00DC46B1" w:rsidRDefault="00B252E4" w:rsidP="00B252E4">
            <w:pPr>
              <w:spacing w:line="240" w:lineRule="auto"/>
              <w:rPr>
                <w:rFonts w:cs="Times New Roman"/>
                <w:sz w:val="20"/>
                <w:szCs w:val="20"/>
              </w:rPr>
            </w:pPr>
            <w:r>
              <w:rPr>
                <w:rFonts w:cs="Times New Roman"/>
                <w:sz w:val="20"/>
                <w:szCs w:val="20"/>
              </w:rPr>
              <w:t>102</w:t>
            </w:r>
          </w:p>
        </w:tc>
        <w:tc>
          <w:tcPr>
            <w:tcW w:w="2615" w:type="dxa"/>
          </w:tcPr>
          <w:p w14:paraId="2B164F23" w14:textId="77777777" w:rsidR="00B252E4" w:rsidRDefault="00B252E4" w:rsidP="00B252E4">
            <w:pPr>
              <w:spacing w:line="240" w:lineRule="auto"/>
              <w:rPr>
                <w:rFonts w:cs="Times New Roman"/>
                <w:sz w:val="20"/>
                <w:szCs w:val="20"/>
              </w:rPr>
            </w:pPr>
          </w:p>
        </w:tc>
      </w:tr>
      <w:tr w:rsidR="00B252E4" w:rsidRPr="00DC46B1" w14:paraId="68E221DB" w14:textId="77777777" w:rsidTr="00931EC4">
        <w:tc>
          <w:tcPr>
            <w:tcW w:w="1733" w:type="dxa"/>
            <w:vMerge w:val="restart"/>
          </w:tcPr>
          <w:p w14:paraId="5DD11B9E" w14:textId="5A2F9A5C" w:rsidR="00B252E4" w:rsidRDefault="00B252E4" w:rsidP="0076576E">
            <w:pPr>
              <w:spacing w:line="240" w:lineRule="auto"/>
              <w:rPr>
                <w:rFonts w:cs="Times New Roman"/>
                <w:sz w:val="20"/>
                <w:szCs w:val="20"/>
              </w:rPr>
            </w:pPr>
            <w:r w:rsidRPr="007E546A">
              <w:rPr>
                <w:rFonts w:cs="Times New Roman"/>
                <w:sz w:val="20"/>
                <w:szCs w:val="20"/>
                <w:lang w:val="en"/>
              </w:rPr>
              <w:t xml:space="preserve">Lemmer </w:t>
            </w:r>
            <w:r w:rsidR="00B301D6" w:rsidRPr="00B301D6">
              <w:rPr>
                <w:rFonts w:cs="Times New Roman"/>
                <w:i/>
                <w:sz w:val="20"/>
                <w:szCs w:val="20"/>
                <w:lang w:val="en"/>
              </w:rPr>
              <w:t>et al</w:t>
            </w:r>
            <w:r w:rsidRPr="007E546A">
              <w:rPr>
                <w:rFonts w:cs="Times New Roman"/>
                <w:sz w:val="20"/>
                <w:szCs w:val="20"/>
                <w:lang w:val="en"/>
              </w:rPr>
              <w:t>, 2008,</w:t>
            </w:r>
            <w:r>
              <w:rPr>
                <w:rFonts w:cs="Times New Roman"/>
                <w:sz w:val="20"/>
                <w:szCs w:val="20"/>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Pr>
                <w:rFonts w:cs="Times New Roman"/>
                <w:sz w:val="20"/>
                <w:szCs w:val="20"/>
                <w:lang w:val="en"/>
              </w:rPr>
            </w:r>
            <w:r>
              <w:rPr>
                <w:rFonts w:cs="Times New Roman"/>
                <w:sz w:val="20"/>
                <w:szCs w:val="20"/>
                <w:lang w:val="en"/>
              </w:rPr>
              <w:fldChar w:fldCharType="separate"/>
            </w:r>
            <w:r w:rsidR="0076576E" w:rsidRPr="0076576E">
              <w:rPr>
                <w:rFonts w:cs="Times New Roman"/>
                <w:noProof/>
                <w:sz w:val="20"/>
                <w:szCs w:val="20"/>
                <w:vertAlign w:val="superscript"/>
                <w:lang w:val="en"/>
              </w:rPr>
              <w:t>169</w:t>
            </w:r>
            <w:r>
              <w:rPr>
                <w:rFonts w:cs="Times New Roman"/>
                <w:sz w:val="20"/>
                <w:szCs w:val="20"/>
                <w:lang w:val="en"/>
              </w:rPr>
              <w:fldChar w:fldCharType="end"/>
            </w:r>
          </w:p>
        </w:tc>
        <w:tc>
          <w:tcPr>
            <w:tcW w:w="1134" w:type="dxa"/>
            <w:vMerge w:val="restart"/>
          </w:tcPr>
          <w:p w14:paraId="3A1D7436" w14:textId="77777777" w:rsidR="00B252E4" w:rsidRDefault="00B252E4" w:rsidP="00B252E4">
            <w:pPr>
              <w:spacing w:line="240" w:lineRule="auto"/>
              <w:rPr>
                <w:rFonts w:cs="Times New Roman"/>
                <w:sz w:val="20"/>
                <w:szCs w:val="20"/>
              </w:rPr>
            </w:pPr>
            <w:r>
              <w:rPr>
                <w:rFonts w:cs="Times New Roman"/>
                <w:sz w:val="20"/>
                <w:szCs w:val="20"/>
              </w:rPr>
              <w:t>263K</w:t>
            </w:r>
          </w:p>
        </w:tc>
        <w:tc>
          <w:tcPr>
            <w:tcW w:w="3969" w:type="dxa"/>
          </w:tcPr>
          <w:p w14:paraId="1700001B" w14:textId="77777777" w:rsidR="00B252E4" w:rsidRPr="00DC46B1" w:rsidRDefault="00B252E4" w:rsidP="00B252E4">
            <w:pPr>
              <w:spacing w:line="240" w:lineRule="auto"/>
              <w:rPr>
                <w:rFonts w:cs="Times New Roman"/>
                <w:sz w:val="20"/>
                <w:szCs w:val="20"/>
              </w:rPr>
            </w:pPr>
            <w:r>
              <w:rPr>
                <w:rFonts w:cs="Times New Roman"/>
                <w:sz w:val="20"/>
                <w:szCs w:val="20"/>
              </w:rPr>
              <w:t>NaOH 1.0 M, 60 mins 23</w:t>
            </w:r>
            <w:r>
              <w:rPr>
                <w:rFonts w:cs="Times New Roman"/>
                <w:sz w:val="20"/>
                <w:szCs w:val="20"/>
                <w:vertAlign w:val="superscript"/>
              </w:rPr>
              <w:t>°</w:t>
            </w:r>
            <w:r>
              <w:rPr>
                <w:rFonts w:cs="Times New Roman"/>
                <w:sz w:val="20"/>
                <w:szCs w:val="20"/>
              </w:rPr>
              <w:t>C</w:t>
            </w:r>
          </w:p>
        </w:tc>
        <w:tc>
          <w:tcPr>
            <w:tcW w:w="1417" w:type="dxa"/>
          </w:tcPr>
          <w:p w14:paraId="7610C008" w14:textId="77777777" w:rsidR="00B252E4" w:rsidRPr="00DC46B1" w:rsidRDefault="00B252E4" w:rsidP="00B252E4">
            <w:pPr>
              <w:spacing w:line="240" w:lineRule="auto"/>
              <w:rPr>
                <w:rFonts w:cs="Times New Roman"/>
                <w:sz w:val="20"/>
                <w:szCs w:val="20"/>
              </w:rPr>
            </w:pPr>
            <w:r w:rsidRPr="00B06616">
              <w:rPr>
                <w:rFonts w:cs="Times New Roman"/>
                <w:sz w:val="20"/>
                <w:szCs w:val="20"/>
                <w:u w:val="single"/>
              </w:rPr>
              <w:t>&gt;</w:t>
            </w:r>
            <w:r>
              <w:rPr>
                <w:rFonts w:cs="Times New Roman"/>
                <w:sz w:val="20"/>
                <w:szCs w:val="20"/>
              </w:rPr>
              <w:t>5.5</w:t>
            </w:r>
          </w:p>
        </w:tc>
        <w:tc>
          <w:tcPr>
            <w:tcW w:w="1418" w:type="dxa"/>
          </w:tcPr>
          <w:p w14:paraId="7BA3E3E5" w14:textId="26CB4726" w:rsidR="00B252E4" w:rsidRDefault="00B252E4" w:rsidP="00B252E4">
            <w:pPr>
              <w:spacing w:line="240" w:lineRule="auto"/>
              <w:rPr>
                <w:rFonts w:cs="Times New Roman"/>
                <w:sz w:val="20"/>
                <w:szCs w:val="20"/>
              </w:rPr>
            </w:pPr>
            <w:r>
              <w:rPr>
                <w:rFonts w:cs="Times New Roman"/>
                <w:sz w:val="20"/>
                <w:szCs w:val="20"/>
              </w:rPr>
              <w:t>NR</w:t>
            </w:r>
          </w:p>
        </w:tc>
        <w:tc>
          <w:tcPr>
            <w:tcW w:w="1701" w:type="dxa"/>
          </w:tcPr>
          <w:p w14:paraId="596AC518" w14:textId="2B2E8141"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70182220" w14:textId="77777777" w:rsidR="00B252E4" w:rsidRDefault="00B252E4" w:rsidP="00B252E4">
            <w:pPr>
              <w:spacing w:line="240" w:lineRule="auto"/>
              <w:rPr>
                <w:rFonts w:cs="Times New Roman"/>
                <w:sz w:val="20"/>
                <w:szCs w:val="20"/>
              </w:rPr>
            </w:pPr>
          </w:p>
        </w:tc>
      </w:tr>
      <w:tr w:rsidR="00B252E4" w:rsidRPr="00DC46B1" w14:paraId="7BA7DB77" w14:textId="77777777" w:rsidTr="00931EC4">
        <w:tc>
          <w:tcPr>
            <w:tcW w:w="1733" w:type="dxa"/>
            <w:vMerge/>
          </w:tcPr>
          <w:p w14:paraId="4639AE8B" w14:textId="77777777" w:rsidR="00B252E4" w:rsidRDefault="00B252E4" w:rsidP="00B252E4">
            <w:pPr>
              <w:spacing w:line="240" w:lineRule="auto"/>
              <w:rPr>
                <w:rFonts w:cs="Times New Roman"/>
                <w:sz w:val="20"/>
                <w:szCs w:val="20"/>
              </w:rPr>
            </w:pPr>
          </w:p>
        </w:tc>
        <w:tc>
          <w:tcPr>
            <w:tcW w:w="1134" w:type="dxa"/>
            <w:vMerge/>
          </w:tcPr>
          <w:p w14:paraId="2DE9D820" w14:textId="77777777" w:rsidR="00B252E4" w:rsidRDefault="00B252E4" w:rsidP="00B252E4">
            <w:pPr>
              <w:spacing w:line="240" w:lineRule="auto"/>
              <w:rPr>
                <w:rFonts w:cs="Times New Roman"/>
                <w:sz w:val="20"/>
                <w:szCs w:val="20"/>
              </w:rPr>
            </w:pPr>
          </w:p>
        </w:tc>
        <w:tc>
          <w:tcPr>
            <w:tcW w:w="3969" w:type="dxa"/>
          </w:tcPr>
          <w:p w14:paraId="7F14FDFE" w14:textId="77777777" w:rsidR="00B252E4" w:rsidRPr="00DC46B1" w:rsidRDefault="00B252E4" w:rsidP="00B252E4">
            <w:pPr>
              <w:spacing w:line="240" w:lineRule="auto"/>
              <w:rPr>
                <w:rFonts w:cs="Times New Roman"/>
                <w:sz w:val="20"/>
                <w:szCs w:val="20"/>
              </w:rPr>
            </w:pPr>
            <w:r>
              <w:rPr>
                <w:rFonts w:cs="Times New Roman"/>
                <w:sz w:val="20"/>
                <w:szCs w:val="20"/>
              </w:rPr>
              <w:t>NaOCl  2.5%, 60 mins 23</w:t>
            </w:r>
            <w:r>
              <w:rPr>
                <w:rFonts w:cs="Times New Roman"/>
                <w:sz w:val="20"/>
                <w:szCs w:val="20"/>
                <w:vertAlign w:val="superscript"/>
              </w:rPr>
              <w:t>°</w:t>
            </w:r>
            <w:r>
              <w:rPr>
                <w:rFonts w:cs="Times New Roman"/>
                <w:sz w:val="20"/>
                <w:szCs w:val="20"/>
              </w:rPr>
              <w:t>C</w:t>
            </w:r>
          </w:p>
        </w:tc>
        <w:tc>
          <w:tcPr>
            <w:tcW w:w="1417" w:type="dxa"/>
          </w:tcPr>
          <w:p w14:paraId="6360E638" w14:textId="77777777" w:rsidR="00B252E4" w:rsidRPr="00DC46B1" w:rsidRDefault="00B252E4" w:rsidP="00B252E4">
            <w:pPr>
              <w:spacing w:line="240" w:lineRule="auto"/>
              <w:rPr>
                <w:rFonts w:cs="Times New Roman"/>
                <w:sz w:val="20"/>
                <w:szCs w:val="20"/>
              </w:rPr>
            </w:pPr>
            <w:r w:rsidRPr="00B06616">
              <w:rPr>
                <w:rFonts w:cs="Times New Roman"/>
                <w:sz w:val="20"/>
                <w:szCs w:val="20"/>
                <w:u w:val="single"/>
              </w:rPr>
              <w:t>&gt;</w:t>
            </w:r>
            <w:r>
              <w:rPr>
                <w:rFonts w:cs="Times New Roman"/>
                <w:sz w:val="20"/>
                <w:szCs w:val="20"/>
              </w:rPr>
              <w:t>5.5</w:t>
            </w:r>
          </w:p>
        </w:tc>
        <w:tc>
          <w:tcPr>
            <w:tcW w:w="1418" w:type="dxa"/>
          </w:tcPr>
          <w:p w14:paraId="176CD03B" w14:textId="5F75397F" w:rsidR="00B252E4" w:rsidRDefault="00B252E4" w:rsidP="00B252E4">
            <w:pPr>
              <w:spacing w:line="240" w:lineRule="auto"/>
              <w:rPr>
                <w:rFonts w:cs="Times New Roman"/>
                <w:sz w:val="20"/>
                <w:szCs w:val="20"/>
              </w:rPr>
            </w:pPr>
            <w:r>
              <w:rPr>
                <w:rFonts w:cs="Times New Roman"/>
                <w:sz w:val="20"/>
                <w:szCs w:val="20"/>
              </w:rPr>
              <w:t>NR</w:t>
            </w:r>
          </w:p>
        </w:tc>
        <w:tc>
          <w:tcPr>
            <w:tcW w:w="1701" w:type="dxa"/>
          </w:tcPr>
          <w:p w14:paraId="447D31C3" w14:textId="32217008"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11EAE6E0" w14:textId="77777777" w:rsidR="00B252E4" w:rsidRDefault="00B252E4" w:rsidP="00B252E4">
            <w:pPr>
              <w:spacing w:line="240" w:lineRule="auto"/>
              <w:rPr>
                <w:rFonts w:cs="Times New Roman"/>
                <w:sz w:val="20"/>
                <w:szCs w:val="20"/>
              </w:rPr>
            </w:pPr>
          </w:p>
        </w:tc>
      </w:tr>
      <w:tr w:rsidR="00B252E4" w:rsidRPr="00DC46B1" w14:paraId="3C1F64B5" w14:textId="77777777" w:rsidTr="00931EC4">
        <w:tc>
          <w:tcPr>
            <w:tcW w:w="1733" w:type="dxa"/>
            <w:vMerge/>
          </w:tcPr>
          <w:p w14:paraId="719B57FE" w14:textId="77777777" w:rsidR="00B252E4" w:rsidRDefault="00B252E4" w:rsidP="00B252E4">
            <w:pPr>
              <w:spacing w:line="240" w:lineRule="auto"/>
              <w:rPr>
                <w:rFonts w:cs="Times New Roman"/>
                <w:sz w:val="20"/>
                <w:szCs w:val="20"/>
              </w:rPr>
            </w:pPr>
          </w:p>
        </w:tc>
        <w:tc>
          <w:tcPr>
            <w:tcW w:w="1134" w:type="dxa"/>
            <w:vMerge/>
          </w:tcPr>
          <w:p w14:paraId="6F8B9D89" w14:textId="77777777" w:rsidR="00B252E4" w:rsidRDefault="00B252E4" w:rsidP="00B252E4">
            <w:pPr>
              <w:spacing w:line="240" w:lineRule="auto"/>
              <w:rPr>
                <w:rFonts w:cs="Times New Roman"/>
                <w:sz w:val="20"/>
                <w:szCs w:val="20"/>
              </w:rPr>
            </w:pPr>
          </w:p>
        </w:tc>
        <w:tc>
          <w:tcPr>
            <w:tcW w:w="3969" w:type="dxa"/>
          </w:tcPr>
          <w:p w14:paraId="5A27911F" w14:textId="77777777" w:rsidR="00B252E4" w:rsidRPr="00DC46B1" w:rsidRDefault="00B252E4" w:rsidP="00B252E4">
            <w:pPr>
              <w:spacing w:line="240" w:lineRule="auto"/>
              <w:rPr>
                <w:rFonts w:cs="Times New Roman"/>
                <w:sz w:val="20"/>
                <w:szCs w:val="20"/>
              </w:rPr>
            </w:pPr>
            <w:r>
              <w:rPr>
                <w:rFonts w:cs="Times New Roman"/>
                <w:sz w:val="20"/>
                <w:szCs w:val="20"/>
              </w:rPr>
              <w:t>Alkaline cleaner 0.5% (5 mins 55</w:t>
            </w:r>
            <w:r>
              <w:rPr>
                <w:rFonts w:cs="Times New Roman"/>
                <w:sz w:val="20"/>
                <w:szCs w:val="20"/>
                <w:vertAlign w:val="superscript"/>
              </w:rPr>
              <w:t>°</w:t>
            </w:r>
            <w:r>
              <w:rPr>
                <w:rFonts w:cs="Times New Roman"/>
                <w:sz w:val="20"/>
                <w:szCs w:val="20"/>
              </w:rPr>
              <w:t>C)</w:t>
            </w:r>
          </w:p>
        </w:tc>
        <w:tc>
          <w:tcPr>
            <w:tcW w:w="1417" w:type="dxa"/>
          </w:tcPr>
          <w:p w14:paraId="3AF731F2" w14:textId="77777777" w:rsidR="00B252E4" w:rsidRPr="00DC46B1" w:rsidRDefault="00B252E4" w:rsidP="00B252E4">
            <w:pPr>
              <w:spacing w:line="240" w:lineRule="auto"/>
              <w:rPr>
                <w:rFonts w:cs="Times New Roman"/>
                <w:sz w:val="20"/>
                <w:szCs w:val="20"/>
              </w:rPr>
            </w:pPr>
            <w:r w:rsidRPr="00F33EDC">
              <w:rPr>
                <w:rFonts w:cs="Times New Roman"/>
                <w:sz w:val="20"/>
                <w:szCs w:val="20"/>
                <w:u w:val="single"/>
              </w:rPr>
              <w:t>&gt;</w:t>
            </w:r>
            <w:r>
              <w:rPr>
                <w:rFonts w:cs="Times New Roman"/>
                <w:sz w:val="20"/>
                <w:szCs w:val="20"/>
              </w:rPr>
              <w:t>4 to</w:t>
            </w:r>
            <w:r w:rsidRPr="00F33EDC">
              <w:rPr>
                <w:rFonts w:cs="Times New Roman"/>
                <w:sz w:val="20"/>
                <w:szCs w:val="20"/>
              </w:rPr>
              <w:t>&lt;</w:t>
            </w:r>
            <w:r>
              <w:rPr>
                <w:rFonts w:cs="Times New Roman"/>
                <w:sz w:val="20"/>
                <w:szCs w:val="20"/>
              </w:rPr>
              <w:t>5</w:t>
            </w:r>
          </w:p>
        </w:tc>
        <w:tc>
          <w:tcPr>
            <w:tcW w:w="1418" w:type="dxa"/>
          </w:tcPr>
          <w:p w14:paraId="3843E908" w14:textId="2F2B9BEC" w:rsidR="00B252E4" w:rsidRDefault="00B252E4" w:rsidP="00B252E4">
            <w:pPr>
              <w:spacing w:line="240" w:lineRule="auto"/>
              <w:rPr>
                <w:rFonts w:cs="Times New Roman"/>
                <w:sz w:val="20"/>
                <w:szCs w:val="20"/>
              </w:rPr>
            </w:pPr>
            <w:r>
              <w:rPr>
                <w:rFonts w:cs="Times New Roman"/>
                <w:sz w:val="20"/>
                <w:szCs w:val="20"/>
              </w:rPr>
              <w:t>NR</w:t>
            </w:r>
          </w:p>
        </w:tc>
        <w:tc>
          <w:tcPr>
            <w:tcW w:w="1701" w:type="dxa"/>
          </w:tcPr>
          <w:p w14:paraId="204FA2C3" w14:textId="47D3BF71"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2A23D7ED" w14:textId="77777777" w:rsidR="00B252E4" w:rsidRDefault="00B252E4" w:rsidP="00B252E4">
            <w:pPr>
              <w:spacing w:line="240" w:lineRule="auto"/>
              <w:rPr>
                <w:rFonts w:cs="Times New Roman"/>
                <w:sz w:val="20"/>
                <w:szCs w:val="20"/>
              </w:rPr>
            </w:pPr>
          </w:p>
        </w:tc>
      </w:tr>
      <w:tr w:rsidR="00B252E4" w:rsidRPr="00DC46B1" w14:paraId="3555F5F3" w14:textId="77777777" w:rsidTr="00931EC4">
        <w:tc>
          <w:tcPr>
            <w:tcW w:w="1733" w:type="dxa"/>
            <w:vMerge/>
          </w:tcPr>
          <w:p w14:paraId="1B6743C8" w14:textId="77777777" w:rsidR="00B252E4" w:rsidRDefault="00B252E4" w:rsidP="00B252E4">
            <w:pPr>
              <w:spacing w:line="240" w:lineRule="auto"/>
              <w:rPr>
                <w:rFonts w:cs="Times New Roman"/>
                <w:sz w:val="20"/>
                <w:szCs w:val="20"/>
              </w:rPr>
            </w:pPr>
          </w:p>
        </w:tc>
        <w:tc>
          <w:tcPr>
            <w:tcW w:w="1134" w:type="dxa"/>
            <w:vMerge/>
          </w:tcPr>
          <w:p w14:paraId="63A002D5" w14:textId="77777777" w:rsidR="00B252E4" w:rsidRDefault="00B252E4" w:rsidP="00B252E4">
            <w:pPr>
              <w:spacing w:line="240" w:lineRule="auto"/>
              <w:rPr>
                <w:rFonts w:cs="Times New Roman"/>
                <w:sz w:val="20"/>
                <w:szCs w:val="20"/>
              </w:rPr>
            </w:pPr>
          </w:p>
        </w:tc>
        <w:tc>
          <w:tcPr>
            <w:tcW w:w="3969" w:type="dxa"/>
          </w:tcPr>
          <w:p w14:paraId="0C99818B" w14:textId="77777777" w:rsidR="00B252E4" w:rsidRDefault="00B252E4" w:rsidP="00B252E4">
            <w:pPr>
              <w:spacing w:line="240" w:lineRule="auto"/>
              <w:rPr>
                <w:rFonts w:cs="Times New Roman"/>
                <w:sz w:val="20"/>
                <w:szCs w:val="20"/>
              </w:rPr>
            </w:pPr>
            <w:r>
              <w:rPr>
                <w:rFonts w:cs="Times New Roman"/>
                <w:sz w:val="20"/>
                <w:szCs w:val="20"/>
              </w:rPr>
              <w:t>Alkaline cleaner 0.5% (10 mins 55</w:t>
            </w:r>
            <w:r>
              <w:rPr>
                <w:rFonts w:cs="Times New Roman"/>
                <w:sz w:val="20"/>
                <w:szCs w:val="20"/>
                <w:vertAlign w:val="superscript"/>
              </w:rPr>
              <w:t>°</w:t>
            </w:r>
            <w:r>
              <w:rPr>
                <w:rFonts w:cs="Times New Roman"/>
                <w:sz w:val="20"/>
                <w:szCs w:val="20"/>
              </w:rPr>
              <w:t>C)</w:t>
            </w:r>
          </w:p>
        </w:tc>
        <w:tc>
          <w:tcPr>
            <w:tcW w:w="1417" w:type="dxa"/>
          </w:tcPr>
          <w:p w14:paraId="780B7501" w14:textId="77777777" w:rsidR="00B252E4" w:rsidRPr="00DC46B1" w:rsidRDefault="00B252E4" w:rsidP="00B252E4">
            <w:pPr>
              <w:spacing w:line="240" w:lineRule="auto"/>
              <w:rPr>
                <w:rFonts w:cs="Times New Roman"/>
                <w:sz w:val="20"/>
                <w:szCs w:val="20"/>
              </w:rPr>
            </w:pPr>
            <w:r>
              <w:rPr>
                <w:rFonts w:cs="Times New Roman"/>
                <w:sz w:val="20"/>
                <w:szCs w:val="20"/>
              </w:rPr>
              <w:t>&gt;5 to</w:t>
            </w:r>
            <w:r w:rsidRPr="00342A7D">
              <w:rPr>
                <w:rFonts w:cs="Times New Roman"/>
                <w:sz w:val="20"/>
                <w:szCs w:val="20"/>
                <w:u w:val="single"/>
              </w:rPr>
              <w:t>&lt;</w:t>
            </w:r>
            <w:r>
              <w:rPr>
                <w:rFonts w:cs="Times New Roman"/>
                <w:sz w:val="20"/>
                <w:szCs w:val="20"/>
              </w:rPr>
              <w:t>5.5</w:t>
            </w:r>
          </w:p>
        </w:tc>
        <w:tc>
          <w:tcPr>
            <w:tcW w:w="1418" w:type="dxa"/>
          </w:tcPr>
          <w:p w14:paraId="6A949A73" w14:textId="4425A504" w:rsidR="00B252E4" w:rsidRDefault="00B252E4" w:rsidP="00B252E4">
            <w:pPr>
              <w:spacing w:line="240" w:lineRule="auto"/>
              <w:rPr>
                <w:rFonts w:cs="Times New Roman"/>
                <w:sz w:val="20"/>
                <w:szCs w:val="20"/>
              </w:rPr>
            </w:pPr>
            <w:r>
              <w:rPr>
                <w:rFonts w:cs="Times New Roman"/>
                <w:sz w:val="20"/>
                <w:szCs w:val="20"/>
              </w:rPr>
              <w:t>NR</w:t>
            </w:r>
          </w:p>
        </w:tc>
        <w:tc>
          <w:tcPr>
            <w:tcW w:w="1701" w:type="dxa"/>
          </w:tcPr>
          <w:p w14:paraId="61F62DFA" w14:textId="627ECAE5"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3C4EC7DB" w14:textId="77777777" w:rsidR="00B252E4" w:rsidRDefault="00B252E4" w:rsidP="00B252E4">
            <w:pPr>
              <w:spacing w:line="240" w:lineRule="auto"/>
              <w:rPr>
                <w:rFonts w:cs="Times New Roman"/>
                <w:sz w:val="20"/>
                <w:szCs w:val="20"/>
              </w:rPr>
            </w:pPr>
          </w:p>
        </w:tc>
      </w:tr>
      <w:tr w:rsidR="00B252E4" w:rsidRPr="00DC46B1" w14:paraId="724967C8" w14:textId="77777777" w:rsidTr="00931EC4">
        <w:tc>
          <w:tcPr>
            <w:tcW w:w="1733" w:type="dxa"/>
            <w:vMerge/>
          </w:tcPr>
          <w:p w14:paraId="3DC93981" w14:textId="77777777" w:rsidR="00B252E4" w:rsidRDefault="00B252E4" w:rsidP="00B252E4">
            <w:pPr>
              <w:spacing w:line="240" w:lineRule="auto"/>
              <w:rPr>
                <w:rFonts w:cs="Times New Roman"/>
                <w:sz w:val="20"/>
                <w:szCs w:val="20"/>
              </w:rPr>
            </w:pPr>
          </w:p>
        </w:tc>
        <w:tc>
          <w:tcPr>
            <w:tcW w:w="1134" w:type="dxa"/>
            <w:vMerge/>
          </w:tcPr>
          <w:p w14:paraId="6BAFD59D" w14:textId="77777777" w:rsidR="00B252E4" w:rsidRDefault="00B252E4" w:rsidP="00B252E4">
            <w:pPr>
              <w:spacing w:line="240" w:lineRule="auto"/>
              <w:rPr>
                <w:rFonts w:cs="Times New Roman"/>
                <w:sz w:val="20"/>
                <w:szCs w:val="20"/>
              </w:rPr>
            </w:pPr>
          </w:p>
        </w:tc>
        <w:tc>
          <w:tcPr>
            <w:tcW w:w="3969" w:type="dxa"/>
          </w:tcPr>
          <w:p w14:paraId="53A2DA60" w14:textId="77777777" w:rsidR="00B252E4" w:rsidRDefault="00B252E4" w:rsidP="00B252E4">
            <w:pPr>
              <w:spacing w:line="240" w:lineRule="auto"/>
              <w:rPr>
                <w:rFonts w:cs="Times New Roman"/>
                <w:sz w:val="20"/>
                <w:szCs w:val="20"/>
              </w:rPr>
            </w:pPr>
            <w:r>
              <w:rPr>
                <w:rFonts w:cs="Times New Roman"/>
                <w:sz w:val="20"/>
                <w:szCs w:val="20"/>
              </w:rPr>
              <w:t>Alkaline 1% (5 mins 55</w:t>
            </w:r>
            <w:r>
              <w:rPr>
                <w:rFonts w:cs="Times New Roman"/>
                <w:sz w:val="20"/>
                <w:szCs w:val="20"/>
                <w:vertAlign w:val="superscript"/>
              </w:rPr>
              <w:t>°</w:t>
            </w:r>
            <w:r>
              <w:rPr>
                <w:rFonts w:cs="Times New Roman"/>
                <w:sz w:val="20"/>
                <w:szCs w:val="20"/>
              </w:rPr>
              <w:t>C)</w:t>
            </w:r>
          </w:p>
        </w:tc>
        <w:tc>
          <w:tcPr>
            <w:tcW w:w="1417" w:type="dxa"/>
          </w:tcPr>
          <w:p w14:paraId="29A075C2" w14:textId="77777777" w:rsidR="00B252E4" w:rsidRPr="00DC46B1" w:rsidRDefault="00B252E4" w:rsidP="00B252E4">
            <w:pPr>
              <w:spacing w:line="240" w:lineRule="auto"/>
              <w:rPr>
                <w:rFonts w:cs="Times New Roman"/>
                <w:sz w:val="20"/>
                <w:szCs w:val="20"/>
              </w:rPr>
            </w:pPr>
            <w:r>
              <w:rPr>
                <w:rFonts w:cs="Times New Roman"/>
                <w:sz w:val="20"/>
                <w:szCs w:val="20"/>
              </w:rPr>
              <w:t>&gt;5 to</w:t>
            </w:r>
            <w:r w:rsidRPr="00342A7D">
              <w:rPr>
                <w:rFonts w:cs="Times New Roman"/>
                <w:sz w:val="20"/>
                <w:szCs w:val="20"/>
                <w:u w:val="single"/>
              </w:rPr>
              <w:t>&lt;</w:t>
            </w:r>
            <w:r>
              <w:rPr>
                <w:rFonts w:cs="Times New Roman"/>
                <w:sz w:val="20"/>
                <w:szCs w:val="20"/>
              </w:rPr>
              <w:t>5.5</w:t>
            </w:r>
          </w:p>
        </w:tc>
        <w:tc>
          <w:tcPr>
            <w:tcW w:w="1418" w:type="dxa"/>
          </w:tcPr>
          <w:p w14:paraId="0BD26800" w14:textId="73386AA9" w:rsidR="00B252E4" w:rsidRDefault="00B252E4" w:rsidP="00B252E4">
            <w:pPr>
              <w:spacing w:line="240" w:lineRule="auto"/>
              <w:rPr>
                <w:rFonts w:cs="Times New Roman"/>
                <w:sz w:val="20"/>
                <w:szCs w:val="20"/>
              </w:rPr>
            </w:pPr>
            <w:r>
              <w:rPr>
                <w:rFonts w:cs="Times New Roman"/>
                <w:sz w:val="20"/>
                <w:szCs w:val="20"/>
              </w:rPr>
              <w:t>NR</w:t>
            </w:r>
          </w:p>
        </w:tc>
        <w:tc>
          <w:tcPr>
            <w:tcW w:w="1701" w:type="dxa"/>
          </w:tcPr>
          <w:p w14:paraId="21EC7748" w14:textId="353AB126"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07A8D03D" w14:textId="77777777" w:rsidR="00B252E4" w:rsidRDefault="00B252E4" w:rsidP="00B252E4">
            <w:pPr>
              <w:spacing w:line="240" w:lineRule="auto"/>
              <w:rPr>
                <w:rFonts w:cs="Times New Roman"/>
                <w:sz w:val="20"/>
                <w:szCs w:val="20"/>
              </w:rPr>
            </w:pPr>
          </w:p>
        </w:tc>
      </w:tr>
      <w:tr w:rsidR="00B252E4" w:rsidRPr="00DC46B1" w14:paraId="524253D0" w14:textId="77777777" w:rsidTr="00931EC4">
        <w:tc>
          <w:tcPr>
            <w:tcW w:w="1733" w:type="dxa"/>
            <w:vMerge/>
          </w:tcPr>
          <w:p w14:paraId="051F69A2" w14:textId="77777777" w:rsidR="00B252E4" w:rsidRDefault="00B252E4" w:rsidP="00B252E4">
            <w:pPr>
              <w:spacing w:line="240" w:lineRule="auto"/>
              <w:rPr>
                <w:rFonts w:cs="Times New Roman"/>
                <w:sz w:val="20"/>
                <w:szCs w:val="20"/>
              </w:rPr>
            </w:pPr>
          </w:p>
        </w:tc>
        <w:tc>
          <w:tcPr>
            <w:tcW w:w="1134" w:type="dxa"/>
            <w:vMerge/>
          </w:tcPr>
          <w:p w14:paraId="212416A3" w14:textId="77777777" w:rsidR="00B252E4" w:rsidRDefault="00B252E4" w:rsidP="00B252E4">
            <w:pPr>
              <w:spacing w:line="240" w:lineRule="auto"/>
              <w:rPr>
                <w:rFonts w:cs="Times New Roman"/>
                <w:sz w:val="20"/>
                <w:szCs w:val="20"/>
              </w:rPr>
            </w:pPr>
          </w:p>
        </w:tc>
        <w:tc>
          <w:tcPr>
            <w:tcW w:w="3969" w:type="dxa"/>
          </w:tcPr>
          <w:p w14:paraId="00853A32" w14:textId="77777777" w:rsidR="00B252E4" w:rsidRDefault="00B252E4" w:rsidP="00B252E4">
            <w:pPr>
              <w:spacing w:line="240" w:lineRule="auto"/>
              <w:rPr>
                <w:rFonts w:cs="Times New Roman"/>
                <w:sz w:val="20"/>
                <w:szCs w:val="20"/>
              </w:rPr>
            </w:pPr>
            <w:r>
              <w:rPr>
                <w:rFonts w:cs="Times New Roman"/>
                <w:sz w:val="20"/>
                <w:szCs w:val="20"/>
              </w:rPr>
              <w:t>Alkaline cleaner 1% (10 mins 55</w:t>
            </w:r>
            <w:r>
              <w:rPr>
                <w:rFonts w:cs="Times New Roman"/>
                <w:sz w:val="20"/>
                <w:szCs w:val="20"/>
                <w:vertAlign w:val="superscript"/>
              </w:rPr>
              <w:t>°</w:t>
            </w:r>
            <w:r>
              <w:rPr>
                <w:rFonts w:cs="Times New Roman"/>
                <w:sz w:val="20"/>
                <w:szCs w:val="20"/>
              </w:rPr>
              <w:t>C)</w:t>
            </w:r>
          </w:p>
        </w:tc>
        <w:tc>
          <w:tcPr>
            <w:tcW w:w="1417" w:type="dxa"/>
          </w:tcPr>
          <w:p w14:paraId="12162E83" w14:textId="77777777" w:rsidR="00B252E4" w:rsidRPr="00DC46B1" w:rsidRDefault="00B252E4" w:rsidP="00B252E4">
            <w:pPr>
              <w:spacing w:line="240" w:lineRule="auto"/>
              <w:rPr>
                <w:rFonts w:cs="Times New Roman"/>
                <w:sz w:val="20"/>
                <w:szCs w:val="20"/>
              </w:rPr>
            </w:pPr>
            <w:r w:rsidRPr="00505C31">
              <w:rPr>
                <w:rFonts w:cs="Times New Roman"/>
                <w:sz w:val="20"/>
                <w:szCs w:val="20"/>
                <w:u w:val="single"/>
              </w:rPr>
              <w:t>&gt;</w:t>
            </w:r>
            <w:r w:rsidRPr="00505C31">
              <w:rPr>
                <w:rFonts w:cs="Times New Roman"/>
                <w:sz w:val="20"/>
                <w:szCs w:val="20"/>
              </w:rPr>
              <w:t>5.5</w:t>
            </w:r>
          </w:p>
        </w:tc>
        <w:tc>
          <w:tcPr>
            <w:tcW w:w="1418" w:type="dxa"/>
          </w:tcPr>
          <w:p w14:paraId="780320B8" w14:textId="5660B7ED" w:rsidR="00B252E4" w:rsidRDefault="00B252E4" w:rsidP="00B252E4">
            <w:pPr>
              <w:spacing w:line="240" w:lineRule="auto"/>
              <w:rPr>
                <w:rFonts w:cs="Times New Roman"/>
                <w:sz w:val="20"/>
                <w:szCs w:val="20"/>
              </w:rPr>
            </w:pPr>
            <w:r>
              <w:rPr>
                <w:rFonts w:cs="Times New Roman"/>
                <w:sz w:val="20"/>
                <w:szCs w:val="20"/>
              </w:rPr>
              <w:t>NR</w:t>
            </w:r>
          </w:p>
        </w:tc>
        <w:tc>
          <w:tcPr>
            <w:tcW w:w="1701" w:type="dxa"/>
          </w:tcPr>
          <w:p w14:paraId="2B0B22FA" w14:textId="27AABF3F"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654990BB" w14:textId="77777777" w:rsidR="00B252E4" w:rsidRDefault="00B252E4" w:rsidP="00B252E4">
            <w:pPr>
              <w:spacing w:line="240" w:lineRule="auto"/>
              <w:rPr>
                <w:rFonts w:cs="Times New Roman"/>
                <w:sz w:val="20"/>
                <w:szCs w:val="20"/>
              </w:rPr>
            </w:pPr>
          </w:p>
        </w:tc>
      </w:tr>
      <w:tr w:rsidR="00B252E4" w:rsidRPr="00DC46B1" w14:paraId="4D11C558" w14:textId="77777777" w:rsidTr="00931EC4">
        <w:tc>
          <w:tcPr>
            <w:tcW w:w="1733" w:type="dxa"/>
            <w:vMerge/>
          </w:tcPr>
          <w:p w14:paraId="55963265" w14:textId="77777777" w:rsidR="00B252E4" w:rsidRDefault="00B252E4" w:rsidP="00B252E4">
            <w:pPr>
              <w:spacing w:line="240" w:lineRule="auto"/>
              <w:rPr>
                <w:rFonts w:cs="Times New Roman"/>
                <w:sz w:val="20"/>
                <w:szCs w:val="20"/>
              </w:rPr>
            </w:pPr>
          </w:p>
        </w:tc>
        <w:tc>
          <w:tcPr>
            <w:tcW w:w="1134" w:type="dxa"/>
            <w:vMerge/>
          </w:tcPr>
          <w:p w14:paraId="7E1832BE" w14:textId="77777777" w:rsidR="00B252E4" w:rsidRDefault="00B252E4" w:rsidP="00B252E4">
            <w:pPr>
              <w:spacing w:line="240" w:lineRule="auto"/>
              <w:rPr>
                <w:rFonts w:cs="Times New Roman"/>
                <w:sz w:val="20"/>
                <w:szCs w:val="20"/>
              </w:rPr>
            </w:pPr>
          </w:p>
        </w:tc>
        <w:tc>
          <w:tcPr>
            <w:tcW w:w="3969" w:type="dxa"/>
          </w:tcPr>
          <w:p w14:paraId="015F8C01" w14:textId="77777777" w:rsidR="00B252E4" w:rsidRDefault="00B252E4" w:rsidP="00B252E4">
            <w:pPr>
              <w:spacing w:line="240" w:lineRule="auto"/>
              <w:rPr>
                <w:rFonts w:cs="Times New Roman"/>
                <w:sz w:val="20"/>
                <w:szCs w:val="20"/>
              </w:rPr>
            </w:pPr>
            <w:r>
              <w:rPr>
                <w:rFonts w:cs="Times New Roman"/>
                <w:sz w:val="20"/>
                <w:szCs w:val="20"/>
              </w:rPr>
              <w:t>SDS 0.2% /NaOH 0.3% (5 mins 23</w:t>
            </w:r>
            <w:r>
              <w:rPr>
                <w:rFonts w:cs="Times New Roman"/>
                <w:sz w:val="20"/>
                <w:szCs w:val="20"/>
                <w:vertAlign w:val="superscript"/>
              </w:rPr>
              <w:t>°</w:t>
            </w:r>
            <w:r>
              <w:rPr>
                <w:rFonts w:cs="Times New Roman"/>
                <w:sz w:val="20"/>
                <w:szCs w:val="20"/>
              </w:rPr>
              <w:t>C)</w:t>
            </w:r>
          </w:p>
        </w:tc>
        <w:tc>
          <w:tcPr>
            <w:tcW w:w="1417" w:type="dxa"/>
          </w:tcPr>
          <w:p w14:paraId="498AA1E8" w14:textId="77777777" w:rsidR="00B252E4" w:rsidRDefault="00B252E4" w:rsidP="00B252E4">
            <w:pPr>
              <w:spacing w:line="240" w:lineRule="auto"/>
            </w:pPr>
            <w:r w:rsidRPr="00671283">
              <w:rPr>
                <w:rFonts w:cs="Times New Roman"/>
                <w:sz w:val="20"/>
                <w:szCs w:val="20"/>
                <w:u w:val="single"/>
              </w:rPr>
              <w:t>&gt;</w:t>
            </w:r>
            <w:r w:rsidRPr="00671283">
              <w:rPr>
                <w:rFonts w:cs="Times New Roman"/>
                <w:sz w:val="20"/>
                <w:szCs w:val="20"/>
              </w:rPr>
              <w:t>5.5</w:t>
            </w:r>
          </w:p>
        </w:tc>
        <w:tc>
          <w:tcPr>
            <w:tcW w:w="1418" w:type="dxa"/>
          </w:tcPr>
          <w:p w14:paraId="66722D2D" w14:textId="739EDC98" w:rsidR="00B252E4" w:rsidRDefault="00B252E4" w:rsidP="00B252E4">
            <w:pPr>
              <w:spacing w:line="240" w:lineRule="auto"/>
              <w:rPr>
                <w:rFonts w:cs="Times New Roman"/>
                <w:sz w:val="20"/>
                <w:szCs w:val="20"/>
              </w:rPr>
            </w:pPr>
            <w:r>
              <w:rPr>
                <w:rFonts w:cs="Times New Roman"/>
                <w:sz w:val="20"/>
                <w:szCs w:val="20"/>
              </w:rPr>
              <w:t>NR</w:t>
            </w:r>
          </w:p>
        </w:tc>
        <w:tc>
          <w:tcPr>
            <w:tcW w:w="1701" w:type="dxa"/>
          </w:tcPr>
          <w:p w14:paraId="453C123B" w14:textId="78783E08"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2C943714" w14:textId="77777777" w:rsidR="00B252E4" w:rsidRDefault="00B252E4" w:rsidP="00B252E4">
            <w:pPr>
              <w:spacing w:line="240" w:lineRule="auto"/>
              <w:rPr>
                <w:rFonts w:cs="Times New Roman"/>
                <w:sz w:val="20"/>
                <w:szCs w:val="20"/>
              </w:rPr>
            </w:pPr>
          </w:p>
        </w:tc>
      </w:tr>
      <w:tr w:rsidR="00B252E4" w:rsidRPr="00DC46B1" w14:paraId="3ABEF29A" w14:textId="77777777" w:rsidTr="00931EC4">
        <w:tc>
          <w:tcPr>
            <w:tcW w:w="1733" w:type="dxa"/>
            <w:vMerge/>
          </w:tcPr>
          <w:p w14:paraId="3DCC9AF5" w14:textId="77777777" w:rsidR="00B252E4" w:rsidRDefault="00B252E4" w:rsidP="00B252E4">
            <w:pPr>
              <w:spacing w:line="240" w:lineRule="auto"/>
              <w:rPr>
                <w:rFonts w:cs="Times New Roman"/>
                <w:sz w:val="20"/>
                <w:szCs w:val="20"/>
              </w:rPr>
            </w:pPr>
          </w:p>
        </w:tc>
        <w:tc>
          <w:tcPr>
            <w:tcW w:w="1134" w:type="dxa"/>
            <w:vMerge/>
          </w:tcPr>
          <w:p w14:paraId="6D61889C" w14:textId="77777777" w:rsidR="00B252E4" w:rsidRDefault="00B252E4" w:rsidP="00B252E4">
            <w:pPr>
              <w:spacing w:line="240" w:lineRule="auto"/>
              <w:rPr>
                <w:rFonts w:cs="Times New Roman"/>
                <w:sz w:val="20"/>
                <w:szCs w:val="20"/>
              </w:rPr>
            </w:pPr>
          </w:p>
        </w:tc>
        <w:tc>
          <w:tcPr>
            <w:tcW w:w="3969" w:type="dxa"/>
          </w:tcPr>
          <w:p w14:paraId="51C2C02F" w14:textId="77777777" w:rsidR="00B252E4" w:rsidRDefault="00B252E4" w:rsidP="00B252E4">
            <w:pPr>
              <w:spacing w:line="240" w:lineRule="auto"/>
              <w:rPr>
                <w:rFonts w:cs="Times New Roman"/>
                <w:sz w:val="20"/>
                <w:szCs w:val="20"/>
              </w:rPr>
            </w:pPr>
            <w:r>
              <w:rPr>
                <w:rFonts w:cs="Times New Roman"/>
                <w:sz w:val="20"/>
                <w:szCs w:val="20"/>
              </w:rPr>
              <w:t>SDS 0.2% /NaOH 0.3% (10 mins 23</w:t>
            </w:r>
            <w:r>
              <w:rPr>
                <w:rFonts w:cs="Times New Roman"/>
                <w:sz w:val="20"/>
                <w:szCs w:val="20"/>
                <w:vertAlign w:val="superscript"/>
              </w:rPr>
              <w:t>°</w:t>
            </w:r>
            <w:r>
              <w:rPr>
                <w:rFonts w:cs="Times New Roman"/>
                <w:sz w:val="20"/>
                <w:szCs w:val="20"/>
              </w:rPr>
              <w:t>C)</w:t>
            </w:r>
          </w:p>
        </w:tc>
        <w:tc>
          <w:tcPr>
            <w:tcW w:w="1417" w:type="dxa"/>
          </w:tcPr>
          <w:p w14:paraId="37539A20" w14:textId="77777777" w:rsidR="00B252E4" w:rsidRDefault="00B252E4" w:rsidP="00B252E4">
            <w:pPr>
              <w:spacing w:line="240" w:lineRule="auto"/>
            </w:pPr>
            <w:r w:rsidRPr="00671283">
              <w:rPr>
                <w:rFonts w:cs="Times New Roman"/>
                <w:sz w:val="20"/>
                <w:szCs w:val="20"/>
                <w:u w:val="single"/>
              </w:rPr>
              <w:t>&gt;</w:t>
            </w:r>
            <w:r w:rsidRPr="00671283">
              <w:rPr>
                <w:rFonts w:cs="Times New Roman"/>
                <w:sz w:val="20"/>
                <w:szCs w:val="20"/>
              </w:rPr>
              <w:t>5.5</w:t>
            </w:r>
          </w:p>
        </w:tc>
        <w:tc>
          <w:tcPr>
            <w:tcW w:w="1418" w:type="dxa"/>
          </w:tcPr>
          <w:p w14:paraId="1D4C894E" w14:textId="3081A57C" w:rsidR="00B252E4" w:rsidRDefault="00B252E4" w:rsidP="00B252E4">
            <w:pPr>
              <w:spacing w:line="240" w:lineRule="auto"/>
              <w:rPr>
                <w:rFonts w:cs="Times New Roman"/>
                <w:sz w:val="20"/>
                <w:szCs w:val="20"/>
              </w:rPr>
            </w:pPr>
            <w:r>
              <w:rPr>
                <w:rFonts w:cs="Times New Roman"/>
                <w:sz w:val="20"/>
                <w:szCs w:val="20"/>
              </w:rPr>
              <w:t>NR</w:t>
            </w:r>
          </w:p>
        </w:tc>
        <w:tc>
          <w:tcPr>
            <w:tcW w:w="1701" w:type="dxa"/>
          </w:tcPr>
          <w:p w14:paraId="1C3C3A59" w14:textId="37F0B7C3"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4D9726F9" w14:textId="77777777" w:rsidR="00B252E4" w:rsidRDefault="00B252E4" w:rsidP="00B252E4">
            <w:pPr>
              <w:spacing w:line="240" w:lineRule="auto"/>
              <w:rPr>
                <w:rFonts w:cs="Times New Roman"/>
                <w:sz w:val="20"/>
                <w:szCs w:val="20"/>
              </w:rPr>
            </w:pPr>
          </w:p>
        </w:tc>
      </w:tr>
      <w:tr w:rsidR="00B252E4" w:rsidRPr="00DC46B1" w14:paraId="4C7CD396" w14:textId="77777777" w:rsidTr="00931EC4">
        <w:tc>
          <w:tcPr>
            <w:tcW w:w="1733" w:type="dxa"/>
            <w:vMerge/>
          </w:tcPr>
          <w:p w14:paraId="4A6DD71C" w14:textId="77777777" w:rsidR="00B252E4" w:rsidRDefault="00B252E4" w:rsidP="00B252E4">
            <w:pPr>
              <w:spacing w:line="240" w:lineRule="auto"/>
              <w:rPr>
                <w:rFonts w:cs="Times New Roman"/>
                <w:sz w:val="20"/>
                <w:szCs w:val="20"/>
              </w:rPr>
            </w:pPr>
          </w:p>
        </w:tc>
        <w:tc>
          <w:tcPr>
            <w:tcW w:w="1134" w:type="dxa"/>
            <w:vMerge/>
          </w:tcPr>
          <w:p w14:paraId="72E22CDA" w14:textId="77777777" w:rsidR="00B252E4" w:rsidRDefault="00B252E4" w:rsidP="00B252E4">
            <w:pPr>
              <w:spacing w:line="240" w:lineRule="auto"/>
              <w:rPr>
                <w:rFonts w:cs="Times New Roman"/>
                <w:sz w:val="20"/>
                <w:szCs w:val="20"/>
              </w:rPr>
            </w:pPr>
          </w:p>
        </w:tc>
        <w:tc>
          <w:tcPr>
            <w:tcW w:w="3969" w:type="dxa"/>
          </w:tcPr>
          <w:p w14:paraId="69DFA5AC" w14:textId="77777777" w:rsidR="00B252E4" w:rsidRPr="00DC46B1" w:rsidRDefault="00B252E4" w:rsidP="00B252E4">
            <w:pPr>
              <w:spacing w:line="240" w:lineRule="auto"/>
              <w:rPr>
                <w:rFonts w:cs="Times New Roman"/>
                <w:sz w:val="20"/>
                <w:szCs w:val="20"/>
              </w:rPr>
            </w:pPr>
            <w:r>
              <w:rPr>
                <w:rFonts w:cs="Times New Roman"/>
                <w:sz w:val="20"/>
                <w:szCs w:val="20"/>
              </w:rPr>
              <w:t>Disinfectant with PAA 0.2% / NaOH 0.075-0.225% (120 mins 23</w:t>
            </w:r>
            <w:r>
              <w:rPr>
                <w:rFonts w:cs="Times New Roman"/>
                <w:sz w:val="20"/>
                <w:szCs w:val="20"/>
                <w:vertAlign w:val="superscript"/>
              </w:rPr>
              <w:t>°</w:t>
            </w:r>
            <w:r>
              <w:rPr>
                <w:rFonts w:cs="Times New Roman"/>
                <w:sz w:val="20"/>
                <w:szCs w:val="20"/>
              </w:rPr>
              <w:t>C)</w:t>
            </w:r>
          </w:p>
        </w:tc>
        <w:tc>
          <w:tcPr>
            <w:tcW w:w="1417" w:type="dxa"/>
          </w:tcPr>
          <w:p w14:paraId="43E3A8B3" w14:textId="77777777" w:rsidR="00B252E4" w:rsidRPr="00DC46B1" w:rsidRDefault="00B252E4" w:rsidP="00B252E4">
            <w:pPr>
              <w:spacing w:line="240" w:lineRule="auto"/>
              <w:rPr>
                <w:rFonts w:cs="Times New Roman"/>
                <w:sz w:val="20"/>
                <w:szCs w:val="20"/>
              </w:rPr>
            </w:pPr>
            <w:r>
              <w:rPr>
                <w:rFonts w:cs="Times New Roman"/>
                <w:sz w:val="20"/>
                <w:szCs w:val="20"/>
              </w:rPr>
              <w:t>&gt;5 to</w:t>
            </w:r>
            <w:r w:rsidRPr="00342A7D">
              <w:rPr>
                <w:rFonts w:cs="Times New Roman"/>
                <w:sz w:val="20"/>
                <w:szCs w:val="20"/>
                <w:u w:val="single"/>
              </w:rPr>
              <w:t>&lt;</w:t>
            </w:r>
            <w:r>
              <w:rPr>
                <w:rFonts w:cs="Times New Roman"/>
                <w:sz w:val="20"/>
                <w:szCs w:val="20"/>
              </w:rPr>
              <w:t>5.5</w:t>
            </w:r>
          </w:p>
        </w:tc>
        <w:tc>
          <w:tcPr>
            <w:tcW w:w="1418" w:type="dxa"/>
          </w:tcPr>
          <w:p w14:paraId="0FCBC67A" w14:textId="78B66008" w:rsidR="00B252E4" w:rsidRDefault="00B252E4" w:rsidP="00B252E4">
            <w:pPr>
              <w:spacing w:line="240" w:lineRule="auto"/>
              <w:rPr>
                <w:rFonts w:cs="Times New Roman"/>
                <w:sz w:val="20"/>
                <w:szCs w:val="20"/>
              </w:rPr>
            </w:pPr>
            <w:r>
              <w:rPr>
                <w:rFonts w:cs="Times New Roman"/>
                <w:sz w:val="20"/>
                <w:szCs w:val="20"/>
              </w:rPr>
              <w:t>NR</w:t>
            </w:r>
          </w:p>
        </w:tc>
        <w:tc>
          <w:tcPr>
            <w:tcW w:w="1701" w:type="dxa"/>
          </w:tcPr>
          <w:p w14:paraId="1789FBEE" w14:textId="28C67B40" w:rsidR="00B252E4" w:rsidRDefault="00B252E4" w:rsidP="00B252E4">
            <w:pPr>
              <w:spacing w:line="240" w:lineRule="auto"/>
              <w:rPr>
                <w:rFonts w:cs="Times New Roman"/>
                <w:sz w:val="20"/>
                <w:szCs w:val="20"/>
              </w:rPr>
            </w:pPr>
            <w:r>
              <w:rPr>
                <w:rFonts w:cs="Times New Roman"/>
                <w:sz w:val="20"/>
                <w:szCs w:val="20"/>
              </w:rPr>
              <w:t>NR</w:t>
            </w:r>
          </w:p>
        </w:tc>
        <w:tc>
          <w:tcPr>
            <w:tcW w:w="2615" w:type="dxa"/>
          </w:tcPr>
          <w:p w14:paraId="2392A97D" w14:textId="77777777" w:rsidR="00B252E4" w:rsidRDefault="00B252E4" w:rsidP="00B252E4">
            <w:pPr>
              <w:spacing w:line="240" w:lineRule="auto"/>
              <w:rPr>
                <w:rFonts w:cs="Times New Roman"/>
                <w:sz w:val="20"/>
                <w:szCs w:val="20"/>
              </w:rPr>
            </w:pPr>
          </w:p>
        </w:tc>
      </w:tr>
      <w:tr w:rsidR="00B252E4" w:rsidRPr="00DC46B1" w14:paraId="693139E6" w14:textId="77777777" w:rsidTr="00931EC4">
        <w:tc>
          <w:tcPr>
            <w:tcW w:w="1733" w:type="dxa"/>
            <w:vMerge w:val="restart"/>
          </w:tcPr>
          <w:p w14:paraId="6BCDFDA7" w14:textId="33F58AE8" w:rsidR="00B252E4" w:rsidRDefault="00B252E4" w:rsidP="0076576E">
            <w:pPr>
              <w:spacing w:line="240" w:lineRule="auto"/>
              <w:rPr>
                <w:rFonts w:cs="Times New Roman"/>
                <w:sz w:val="20"/>
                <w:szCs w:val="20"/>
              </w:rPr>
            </w:pPr>
            <w:r w:rsidRPr="007E546A">
              <w:rPr>
                <w:rFonts w:cs="Times New Roman"/>
                <w:sz w:val="20"/>
                <w:szCs w:val="20"/>
                <w:lang w:val="en"/>
              </w:rPr>
              <w:t xml:space="preserve">Rogez-Kreuz </w:t>
            </w:r>
            <w:r w:rsidR="00B301D6" w:rsidRPr="00B301D6">
              <w:rPr>
                <w:rFonts w:cs="Times New Roman"/>
                <w:i/>
                <w:sz w:val="20"/>
                <w:szCs w:val="20"/>
                <w:lang w:val="en"/>
              </w:rPr>
              <w:t>et al</w:t>
            </w:r>
            <w:r w:rsidRPr="007E546A">
              <w:rPr>
                <w:rFonts w:cs="Times New Roman"/>
                <w:sz w:val="20"/>
                <w:szCs w:val="20"/>
                <w:lang w:val="en"/>
              </w:rPr>
              <w:t>, 2009</w:t>
            </w:r>
            <w:r>
              <w:rPr>
                <w:rFonts w:cs="Times New Roman"/>
                <w:sz w:val="20"/>
                <w:szCs w:val="20"/>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sz w:val="20"/>
                <w:szCs w:val="20"/>
                <w:lang w:val="en"/>
              </w:rPr>
              <w:instrText xml:space="preserve"> ADDIN EN.CITE </w:instrText>
            </w:r>
            <w:r w:rsidR="0076576E">
              <w:rPr>
                <w:rFonts w:cs="Times New Roman"/>
                <w:sz w:val="20"/>
                <w:szCs w:val="20"/>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cs="Times New Roman"/>
                <w:sz w:val="20"/>
                <w:szCs w:val="20"/>
                <w:lang w:val="en"/>
              </w:rPr>
              <w:instrText xml:space="preserve"> ADDIN EN.CITE.DATA </w:instrText>
            </w:r>
            <w:r w:rsidR="0076576E">
              <w:rPr>
                <w:rFonts w:cs="Times New Roman"/>
                <w:sz w:val="20"/>
                <w:szCs w:val="20"/>
                <w:lang w:val="en"/>
              </w:rPr>
            </w:r>
            <w:r w:rsidR="0076576E">
              <w:rPr>
                <w:rFonts w:cs="Times New Roman"/>
                <w:sz w:val="20"/>
                <w:szCs w:val="20"/>
                <w:lang w:val="en"/>
              </w:rPr>
              <w:fldChar w:fldCharType="end"/>
            </w:r>
            <w:r>
              <w:rPr>
                <w:rFonts w:cs="Times New Roman"/>
                <w:sz w:val="20"/>
                <w:szCs w:val="20"/>
                <w:lang w:val="en"/>
              </w:rPr>
            </w:r>
            <w:r>
              <w:rPr>
                <w:rFonts w:cs="Times New Roman"/>
                <w:sz w:val="20"/>
                <w:szCs w:val="20"/>
                <w:lang w:val="en"/>
              </w:rPr>
              <w:fldChar w:fldCharType="separate"/>
            </w:r>
            <w:r w:rsidR="0076576E" w:rsidRPr="0076576E">
              <w:rPr>
                <w:rFonts w:cs="Times New Roman"/>
                <w:noProof/>
                <w:sz w:val="20"/>
                <w:szCs w:val="20"/>
                <w:vertAlign w:val="superscript"/>
                <w:lang w:val="en"/>
              </w:rPr>
              <w:t>170</w:t>
            </w:r>
            <w:r>
              <w:rPr>
                <w:rFonts w:cs="Times New Roman"/>
                <w:sz w:val="20"/>
                <w:szCs w:val="20"/>
                <w:lang w:val="en"/>
              </w:rPr>
              <w:fldChar w:fldCharType="end"/>
            </w:r>
          </w:p>
        </w:tc>
        <w:tc>
          <w:tcPr>
            <w:tcW w:w="1134" w:type="dxa"/>
            <w:vMerge w:val="restart"/>
          </w:tcPr>
          <w:p w14:paraId="5888D98A" w14:textId="77777777" w:rsidR="00B252E4" w:rsidRDefault="00B252E4" w:rsidP="00B252E4">
            <w:pPr>
              <w:spacing w:line="240" w:lineRule="auto"/>
              <w:rPr>
                <w:rFonts w:cs="Times New Roman"/>
                <w:sz w:val="20"/>
                <w:szCs w:val="20"/>
              </w:rPr>
            </w:pPr>
            <w:r>
              <w:rPr>
                <w:rFonts w:cs="Times New Roman"/>
                <w:sz w:val="20"/>
                <w:szCs w:val="20"/>
              </w:rPr>
              <w:t>263K</w:t>
            </w:r>
          </w:p>
        </w:tc>
        <w:tc>
          <w:tcPr>
            <w:tcW w:w="3969" w:type="dxa"/>
          </w:tcPr>
          <w:p w14:paraId="150E764D" w14:textId="77777777" w:rsidR="00B252E4" w:rsidRDefault="00B252E4" w:rsidP="00B252E4">
            <w:pPr>
              <w:spacing w:line="240" w:lineRule="auto"/>
              <w:rPr>
                <w:rFonts w:cs="Times New Roman"/>
                <w:sz w:val="20"/>
                <w:szCs w:val="20"/>
              </w:rPr>
            </w:pPr>
            <w:r>
              <w:rPr>
                <w:rFonts w:cs="Times New Roman"/>
                <w:sz w:val="20"/>
                <w:szCs w:val="20"/>
              </w:rPr>
              <w:t>H</w:t>
            </w:r>
            <w:r w:rsidRPr="00612BBA">
              <w:rPr>
                <w:rFonts w:cs="Times New Roman"/>
                <w:sz w:val="20"/>
                <w:szCs w:val="20"/>
                <w:vertAlign w:val="subscript"/>
              </w:rPr>
              <w:t>2</w:t>
            </w:r>
            <w:r>
              <w:rPr>
                <w:rFonts w:cs="Times New Roman"/>
                <w:sz w:val="20"/>
                <w:szCs w:val="20"/>
              </w:rPr>
              <w:t>O</w:t>
            </w:r>
            <w:r w:rsidRPr="00612BBA">
              <w:rPr>
                <w:rFonts w:cs="Times New Roman"/>
                <w:sz w:val="20"/>
                <w:szCs w:val="20"/>
                <w:vertAlign w:val="subscript"/>
              </w:rPr>
              <w:t>2</w:t>
            </w:r>
            <w:r>
              <w:rPr>
                <w:rFonts w:cs="Times New Roman"/>
                <w:sz w:val="20"/>
                <w:szCs w:val="20"/>
              </w:rPr>
              <w:t xml:space="preserve"> (10 mins)</w:t>
            </w:r>
          </w:p>
        </w:tc>
        <w:tc>
          <w:tcPr>
            <w:tcW w:w="1417" w:type="dxa"/>
          </w:tcPr>
          <w:p w14:paraId="66DD226A" w14:textId="77777777" w:rsidR="00B252E4" w:rsidRPr="002258BE" w:rsidRDefault="00B252E4" w:rsidP="00B252E4">
            <w:pPr>
              <w:spacing w:line="240" w:lineRule="auto"/>
              <w:rPr>
                <w:rFonts w:cs="Times New Roman"/>
                <w:sz w:val="20"/>
                <w:szCs w:val="20"/>
                <w:u w:val="single"/>
              </w:rPr>
            </w:pPr>
            <w:r w:rsidRPr="002258BE">
              <w:rPr>
                <w:rFonts w:cs="Times New Roman"/>
                <w:sz w:val="20"/>
                <w:szCs w:val="20"/>
                <w:u w:val="single"/>
              </w:rPr>
              <w:t>&gt;</w:t>
            </w:r>
            <w:r>
              <w:rPr>
                <w:rFonts w:cs="Times New Roman"/>
                <w:sz w:val="20"/>
                <w:szCs w:val="20"/>
              </w:rPr>
              <w:t>5 to 6</w:t>
            </w:r>
          </w:p>
        </w:tc>
        <w:tc>
          <w:tcPr>
            <w:tcW w:w="1418" w:type="dxa"/>
          </w:tcPr>
          <w:p w14:paraId="4C7E306C" w14:textId="77777777" w:rsidR="00B252E4" w:rsidRDefault="00B252E4" w:rsidP="00B252E4">
            <w:pPr>
              <w:spacing w:line="240" w:lineRule="auto"/>
              <w:rPr>
                <w:rFonts w:cs="Times New Roman"/>
                <w:sz w:val="20"/>
                <w:szCs w:val="20"/>
              </w:rPr>
            </w:pPr>
            <w:r>
              <w:rPr>
                <w:rFonts w:cs="Times New Roman"/>
                <w:sz w:val="20"/>
                <w:szCs w:val="20"/>
              </w:rPr>
              <w:t>50%</w:t>
            </w:r>
          </w:p>
        </w:tc>
        <w:tc>
          <w:tcPr>
            <w:tcW w:w="1701" w:type="dxa"/>
          </w:tcPr>
          <w:p w14:paraId="20147900" w14:textId="77777777" w:rsidR="00B252E4" w:rsidRDefault="00B252E4" w:rsidP="00B252E4">
            <w:pPr>
              <w:spacing w:line="240" w:lineRule="auto"/>
            </w:pPr>
            <w:r>
              <w:rPr>
                <w:rFonts w:cs="Times New Roman"/>
                <w:sz w:val="20"/>
                <w:szCs w:val="20"/>
              </w:rPr>
              <w:t>443</w:t>
            </w:r>
            <w:r w:rsidRPr="00CA0A93">
              <w:rPr>
                <w:rFonts w:cs="Times New Roman"/>
                <w:sz w:val="20"/>
                <w:szCs w:val="20"/>
              </w:rPr>
              <w:t xml:space="preserve"> ±14</w:t>
            </w:r>
            <w:r>
              <w:rPr>
                <w:rFonts w:cs="Times New Roman"/>
                <w:sz w:val="20"/>
                <w:szCs w:val="20"/>
              </w:rPr>
              <w:t>0</w:t>
            </w:r>
          </w:p>
        </w:tc>
        <w:tc>
          <w:tcPr>
            <w:tcW w:w="2615" w:type="dxa"/>
          </w:tcPr>
          <w:p w14:paraId="4C72BFB4" w14:textId="77777777" w:rsidR="00B252E4" w:rsidRDefault="00B252E4" w:rsidP="00B252E4">
            <w:pPr>
              <w:spacing w:line="240" w:lineRule="auto"/>
              <w:rPr>
                <w:rFonts w:cs="Times New Roman"/>
                <w:sz w:val="20"/>
                <w:szCs w:val="20"/>
              </w:rPr>
            </w:pPr>
          </w:p>
        </w:tc>
      </w:tr>
      <w:tr w:rsidR="00B252E4" w:rsidRPr="00DC46B1" w14:paraId="3D3E3516" w14:textId="77777777" w:rsidTr="00931EC4">
        <w:tc>
          <w:tcPr>
            <w:tcW w:w="1733" w:type="dxa"/>
            <w:vMerge/>
          </w:tcPr>
          <w:p w14:paraId="208720C5" w14:textId="77777777" w:rsidR="00B252E4" w:rsidRDefault="00B252E4" w:rsidP="00B252E4">
            <w:pPr>
              <w:spacing w:line="240" w:lineRule="auto"/>
              <w:rPr>
                <w:rFonts w:cs="Times New Roman"/>
                <w:sz w:val="20"/>
                <w:szCs w:val="20"/>
              </w:rPr>
            </w:pPr>
          </w:p>
        </w:tc>
        <w:tc>
          <w:tcPr>
            <w:tcW w:w="1134" w:type="dxa"/>
            <w:vMerge/>
          </w:tcPr>
          <w:p w14:paraId="7B00F4D6" w14:textId="77777777" w:rsidR="00B252E4" w:rsidRDefault="00B252E4" w:rsidP="00B252E4">
            <w:pPr>
              <w:spacing w:line="240" w:lineRule="auto"/>
              <w:rPr>
                <w:rFonts w:cs="Times New Roman"/>
                <w:sz w:val="20"/>
                <w:szCs w:val="20"/>
              </w:rPr>
            </w:pPr>
          </w:p>
        </w:tc>
        <w:tc>
          <w:tcPr>
            <w:tcW w:w="3969" w:type="dxa"/>
          </w:tcPr>
          <w:p w14:paraId="6EBDBCAF" w14:textId="77777777" w:rsidR="00B252E4" w:rsidRDefault="00B252E4" w:rsidP="00B252E4">
            <w:pPr>
              <w:spacing w:line="240" w:lineRule="auto"/>
              <w:rPr>
                <w:rFonts w:cs="Times New Roman"/>
                <w:sz w:val="20"/>
                <w:szCs w:val="20"/>
              </w:rPr>
            </w:pPr>
            <w:r>
              <w:rPr>
                <w:rFonts w:cs="Times New Roman"/>
                <w:sz w:val="20"/>
                <w:szCs w:val="20"/>
              </w:rPr>
              <w:t>H</w:t>
            </w:r>
            <w:r w:rsidRPr="00612BBA">
              <w:rPr>
                <w:rFonts w:cs="Times New Roman"/>
                <w:sz w:val="20"/>
                <w:szCs w:val="20"/>
                <w:vertAlign w:val="subscript"/>
              </w:rPr>
              <w:t>2</w:t>
            </w:r>
            <w:r>
              <w:rPr>
                <w:rFonts w:cs="Times New Roman"/>
                <w:sz w:val="20"/>
                <w:szCs w:val="20"/>
              </w:rPr>
              <w:t>O</w:t>
            </w:r>
            <w:r w:rsidRPr="00612BBA">
              <w:rPr>
                <w:rFonts w:cs="Times New Roman"/>
                <w:sz w:val="20"/>
                <w:szCs w:val="20"/>
                <w:vertAlign w:val="subscript"/>
              </w:rPr>
              <w:t>2</w:t>
            </w:r>
            <w:r>
              <w:rPr>
                <w:rFonts w:cs="Times New Roman"/>
                <w:sz w:val="20"/>
                <w:szCs w:val="20"/>
              </w:rPr>
              <w:t xml:space="preserve"> (20 mins)</w:t>
            </w:r>
          </w:p>
        </w:tc>
        <w:tc>
          <w:tcPr>
            <w:tcW w:w="1417" w:type="dxa"/>
          </w:tcPr>
          <w:p w14:paraId="7FFC8B05" w14:textId="77777777" w:rsidR="00B252E4" w:rsidRPr="002258BE" w:rsidRDefault="00B252E4" w:rsidP="00B252E4">
            <w:pPr>
              <w:spacing w:line="240" w:lineRule="auto"/>
              <w:rPr>
                <w:rFonts w:cs="Times New Roman"/>
                <w:sz w:val="20"/>
                <w:szCs w:val="20"/>
                <w:u w:val="single"/>
              </w:rPr>
            </w:pPr>
            <w:r w:rsidRPr="002258BE">
              <w:rPr>
                <w:rFonts w:cs="Times New Roman"/>
                <w:sz w:val="20"/>
                <w:szCs w:val="20"/>
                <w:u w:val="single"/>
              </w:rPr>
              <w:t>&gt;</w:t>
            </w:r>
            <w:r>
              <w:rPr>
                <w:rFonts w:cs="Times New Roman"/>
                <w:sz w:val="20"/>
                <w:szCs w:val="20"/>
              </w:rPr>
              <w:t>5 to 6</w:t>
            </w:r>
          </w:p>
        </w:tc>
        <w:tc>
          <w:tcPr>
            <w:tcW w:w="1418" w:type="dxa"/>
          </w:tcPr>
          <w:p w14:paraId="166E2BFD" w14:textId="77777777" w:rsidR="00B252E4" w:rsidRDefault="00B252E4" w:rsidP="00B252E4">
            <w:pPr>
              <w:spacing w:line="240" w:lineRule="auto"/>
              <w:rPr>
                <w:rFonts w:cs="Times New Roman"/>
                <w:sz w:val="20"/>
                <w:szCs w:val="20"/>
              </w:rPr>
            </w:pPr>
            <w:r>
              <w:rPr>
                <w:rFonts w:cs="Times New Roman"/>
                <w:sz w:val="20"/>
                <w:szCs w:val="20"/>
              </w:rPr>
              <w:t>50%</w:t>
            </w:r>
          </w:p>
        </w:tc>
        <w:tc>
          <w:tcPr>
            <w:tcW w:w="1701" w:type="dxa"/>
          </w:tcPr>
          <w:p w14:paraId="1B9A556A" w14:textId="77777777" w:rsidR="00B252E4" w:rsidRDefault="00B252E4" w:rsidP="00B252E4">
            <w:pPr>
              <w:spacing w:line="240" w:lineRule="auto"/>
            </w:pPr>
            <w:r>
              <w:rPr>
                <w:rFonts w:cs="Times New Roman"/>
                <w:sz w:val="20"/>
                <w:szCs w:val="20"/>
              </w:rPr>
              <w:t>428</w:t>
            </w:r>
            <w:r w:rsidRPr="00CA0A93">
              <w:rPr>
                <w:rFonts w:cs="Times New Roman"/>
                <w:sz w:val="20"/>
                <w:szCs w:val="20"/>
              </w:rPr>
              <w:t xml:space="preserve"> ±14</w:t>
            </w:r>
            <w:r>
              <w:rPr>
                <w:rFonts w:cs="Times New Roman"/>
                <w:sz w:val="20"/>
                <w:szCs w:val="20"/>
              </w:rPr>
              <w:t>2</w:t>
            </w:r>
          </w:p>
        </w:tc>
        <w:tc>
          <w:tcPr>
            <w:tcW w:w="2615" w:type="dxa"/>
          </w:tcPr>
          <w:p w14:paraId="0ACB8872" w14:textId="77777777" w:rsidR="00B252E4" w:rsidRDefault="00B252E4" w:rsidP="00B252E4">
            <w:pPr>
              <w:spacing w:line="240" w:lineRule="auto"/>
              <w:rPr>
                <w:rFonts w:cs="Times New Roman"/>
                <w:sz w:val="20"/>
                <w:szCs w:val="20"/>
              </w:rPr>
            </w:pPr>
          </w:p>
        </w:tc>
      </w:tr>
      <w:tr w:rsidR="00B252E4" w:rsidRPr="00DC46B1" w14:paraId="5AFE287E" w14:textId="77777777" w:rsidTr="00931EC4">
        <w:tc>
          <w:tcPr>
            <w:tcW w:w="1733" w:type="dxa"/>
            <w:vMerge/>
          </w:tcPr>
          <w:p w14:paraId="16876543" w14:textId="77777777" w:rsidR="00B252E4" w:rsidRDefault="00B252E4" w:rsidP="00B252E4">
            <w:pPr>
              <w:spacing w:line="240" w:lineRule="auto"/>
              <w:rPr>
                <w:rFonts w:cs="Times New Roman"/>
                <w:sz w:val="20"/>
                <w:szCs w:val="20"/>
              </w:rPr>
            </w:pPr>
          </w:p>
        </w:tc>
        <w:tc>
          <w:tcPr>
            <w:tcW w:w="1134" w:type="dxa"/>
            <w:vMerge/>
          </w:tcPr>
          <w:p w14:paraId="63446DC4" w14:textId="77777777" w:rsidR="00B252E4" w:rsidRDefault="00B252E4" w:rsidP="00B252E4">
            <w:pPr>
              <w:spacing w:line="240" w:lineRule="auto"/>
              <w:rPr>
                <w:rFonts w:cs="Times New Roman"/>
                <w:sz w:val="20"/>
                <w:szCs w:val="20"/>
              </w:rPr>
            </w:pPr>
          </w:p>
        </w:tc>
        <w:tc>
          <w:tcPr>
            <w:tcW w:w="3969" w:type="dxa"/>
          </w:tcPr>
          <w:p w14:paraId="5333DB68" w14:textId="77777777" w:rsidR="00B252E4" w:rsidRDefault="00B252E4" w:rsidP="00B252E4">
            <w:pPr>
              <w:spacing w:line="240" w:lineRule="auto"/>
              <w:rPr>
                <w:rFonts w:cs="Times New Roman"/>
                <w:sz w:val="20"/>
                <w:szCs w:val="20"/>
              </w:rPr>
            </w:pPr>
            <w:r>
              <w:rPr>
                <w:rFonts w:cs="Times New Roman"/>
                <w:sz w:val="20"/>
                <w:szCs w:val="20"/>
              </w:rPr>
              <w:t>Enzymatic detergent 2% (10 mins, 37</w:t>
            </w:r>
            <w:r>
              <w:rPr>
                <w:rFonts w:cs="Times New Roman"/>
                <w:sz w:val="20"/>
                <w:szCs w:val="20"/>
                <w:vertAlign w:val="superscript"/>
              </w:rPr>
              <w:t>°</w:t>
            </w:r>
            <w:r>
              <w:rPr>
                <w:rFonts w:cs="Times New Roman"/>
                <w:sz w:val="20"/>
                <w:szCs w:val="20"/>
              </w:rPr>
              <w:t>C)</w:t>
            </w:r>
          </w:p>
        </w:tc>
        <w:tc>
          <w:tcPr>
            <w:tcW w:w="1417" w:type="dxa"/>
          </w:tcPr>
          <w:p w14:paraId="07751182" w14:textId="77777777" w:rsidR="00B252E4" w:rsidRPr="008A1B54" w:rsidRDefault="00B252E4" w:rsidP="00B252E4">
            <w:pPr>
              <w:spacing w:line="240" w:lineRule="auto"/>
              <w:rPr>
                <w:rFonts w:cs="Times New Roman"/>
                <w:sz w:val="20"/>
                <w:szCs w:val="20"/>
              </w:rPr>
            </w:pPr>
            <w:r w:rsidRPr="008A1B54">
              <w:rPr>
                <w:rFonts w:cs="Times New Roman"/>
                <w:sz w:val="20"/>
                <w:szCs w:val="20"/>
              </w:rPr>
              <w:t>1.1</w:t>
            </w:r>
          </w:p>
        </w:tc>
        <w:tc>
          <w:tcPr>
            <w:tcW w:w="1418" w:type="dxa"/>
          </w:tcPr>
          <w:p w14:paraId="312D4AD8" w14:textId="77777777" w:rsidR="00B252E4" w:rsidRDefault="00B252E4" w:rsidP="00B252E4">
            <w:pPr>
              <w:spacing w:line="240" w:lineRule="auto"/>
              <w:rPr>
                <w:rFonts w:cs="Times New Roman"/>
                <w:sz w:val="20"/>
                <w:szCs w:val="20"/>
              </w:rPr>
            </w:pPr>
            <w:r>
              <w:rPr>
                <w:rFonts w:cs="Times New Roman"/>
                <w:sz w:val="20"/>
                <w:szCs w:val="20"/>
              </w:rPr>
              <w:t>100%</w:t>
            </w:r>
          </w:p>
        </w:tc>
        <w:tc>
          <w:tcPr>
            <w:tcW w:w="1701" w:type="dxa"/>
          </w:tcPr>
          <w:p w14:paraId="319D1729" w14:textId="77777777" w:rsidR="00B252E4" w:rsidRPr="00DC46B1" w:rsidRDefault="00B252E4" w:rsidP="00B252E4">
            <w:pPr>
              <w:spacing w:line="240" w:lineRule="auto"/>
              <w:rPr>
                <w:rFonts w:cs="Times New Roman"/>
                <w:sz w:val="20"/>
                <w:szCs w:val="20"/>
              </w:rPr>
            </w:pPr>
            <w:r>
              <w:rPr>
                <w:rFonts w:cs="Times New Roman"/>
                <w:sz w:val="20"/>
                <w:szCs w:val="20"/>
              </w:rPr>
              <w:t>95 ±0</w:t>
            </w:r>
          </w:p>
        </w:tc>
        <w:tc>
          <w:tcPr>
            <w:tcW w:w="2615" w:type="dxa"/>
          </w:tcPr>
          <w:p w14:paraId="728E5FCD" w14:textId="77777777" w:rsidR="00B252E4" w:rsidRDefault="00B252E4" w:rsidP="00B252E4">
            <w:pPr>
              <w:spacing w:line="240" w:lineRule="auto"/>
              <w:rPr>
                <w:rFonts w:cs="Times New Roman"/>
                <w:sz w:val="20"/>
                <w:szCs w:val="20"/>
              </w:rPr>
            </w:pPr>
          </w:p>
        </w:tc>
      </w:tr>
      <w:tr w:rsidR="00B252E4" w:rsidRPr="00DC46B1" w14:paraId="4A9724E7" w14:textId="77777777" w:rsidTr="00931EC4">
        <w:tc>
          <w:tcPr>
            <w:tcW w:w="1733" w:type="dxa"/>
            <w:vMerge/>
          </w:tcPr>
          <w:p w14:paraId="63644EB3" w14:textId="77777777" w:rsidR="00B252E4" w:rsidRDefault="00B252E4" w:rsidP="00B252E4">
            <w:pPr>
              <w:spacing w:line="240" w:lineRule="auto"/>
              <w:rPr>
                <w:rFonts w:cs="Times New Roman"/>
                <w:sz w:val="20"/>
                <w:szCs w:val="20"/>
              </w:rPr>
            </w:pPr>
          </w:p>
        </w:tc>
        <w:tc>
          <w:tcPr>
            <w:tcW w:w="1134" w:type="dxa"/>
            <w:vMerge/>
          </w:tcPr>
          <w:p w14:paraId="1A2C1C92" w14:textId="77777777" w:rsidR="00B252E4" w:rsidRDefault="00B252E4" w:rsidP="00B252E4">
            <w:pPr>
              <w:spacing w:line="240" w:lineRule="auto"/>
              <w:rPr>
                <w:rFonts w:cs="Times New Roman"/>
                <w:sz w:val="20"/>
                <w:szCs w:val="20"/>
              </w:rPr>
            </w:pPr>
          </w:p>
        </w:tc>
        <w:tc>
          <w:tcPr>
            <w:tcW w:w="3969" w:type="dxa"/>
          </w:tcPr>
          <w:p w14:paraId="2950C3F7" w14:textId="77777777" w:rsidR="00B252E4" w:rsidRDefault="00B252E4" w:rsidP="00B252E4">
            <w:pPr>
              <w:spacing w:line="240" w:lineRule="auto"/>
              <w:rPr>
                <w:rFonts w:cs="Times New Roman"/>
                <w:sz w:val="20"/>
                <w:szCs w:val="20"/>
              </w:rPr>
            </w:pPr>
            <w:r>
              <w:rPr>
                <w:rFonts w:cs="Times New Roman"/>
                <w:sz w:val="20"/>
                <w:szCs w:val="20"/>
              </w:rPr>
              <w:t>Alkaline detergent A 1% (10 mins 55</w:t>
            </w:r>
            <w:r>
              <w:rPr>
                <w:rFonts w:cs="Times New Roman"/>
                <w:sz w:val="20"/>
                <w:szCs w:val="20"/>
                <w:vertAlign w:val="superscript"/>
              </w:rPr>
              <w:t>°</w:t>
            </w:r>
            <w:r>
              <w:rPr>
                <w:rFonts w:cs="Times New Roman"/>
                <w:sz w:val="20"/>
                <w:szCs w:val="20"/>
              </w:rPr>
              <w:t>C)</w:t>
            </w:r>
          </w:p>
        </w:tc>
        <w:tc>
          <w:tcPr>
            <w:tcW w:w="1417" w:type="dxa"/>
          </w:tcPr>
          <w:p w14:paraId="1A7A93AE" w14:textId="77777777" w:rsidR="00B252E4" w:rsidRPr="002258BE" w:rsidRDefault="00B252E4" w:rsidP="00B252E4">
            <w:pPr>
              <w:spacing w:line="240" w:lineRule="auto"/>
              <w:rPr>
                <w:rFonts w:cs="Times New Roman"/>
                <w:sz w:val="20"/>
                <w:szCs w:val="20"/>
                <w:u w:val="single"/>
              </w:rPr>
            </w:pPr>
            <w:r w:rsidRPr="002258BE">
              <w:rPr>
                <w:rFonts w:cs="Times New Roman"/>
                <w:sz w:val="20"/>
                <w:szCs w:val="20"/>
                <w:u w:val="single"/>
              </w:rPr>
              <w:t>&gt;</w:t>
            </w:r>
            <w:r>
              <w:rPr>
                <w:rFonts w:cs="Times New Roman"/>
                <w:sz w:val="20"/>
                <w:szCs w:val="20"/>
              </w:rPr>
              <w:t>5 to 6</w:t>
            </w:r>
          </w:p>
        </w:tc>
        <w:tc>
          <w:tcPr>
            <w:tcW w:w="1418" w:type="dxa"/>
          </w:tcPr>
          <w:p w14:paraId="6B802F7C" w14:textId="77777777" w:rsidR="00B252E4" w:rsidRDefault="00B252E4" w:rsidP="00B252E4">
            <w:pPr>
              <w:spacing w:line="240" w:lineRule="auto"/>
              <w:rPr>
                <w:rFonts w:cs="Times New Roman"/>
                <w:sz w:val="20"/>
                <w:szCs w:val="20"/>
              </w:rPr>
            </w:pPr>
            <w:r>
              <w:rPr>
                <w:rFonts w:cs="Times New Roman"/>
                <w:sz w:val="20"/>
                <w:szCs w:val="20"/>
              </w:rPr>
              <w:t>11%</w:t>
            </w:r>
          </w:p>
        </w:tc>
        <w:tc>
          <w:tcPr>
            <w:tcW w:w="1701" w:type="dxa"/>
          </w:tcPr>
          <w:p w14:paraId="2FAA8782" w14:textId="77777777" w:rsidR="00B252E4" w:rsidRPr="00DC46B1" w:rsidRDefault="00B252E4" w:rsidP="00B252E4">
            <w:pPr>
              <w:spacing w:line="240" w:lineRule="auto"/>
              <w:rPr>
                <w:rFonts w:cs="Times New Roman"/>
                <w:sz w:val="20"/>
                <w:szCs w:val="20"/>
              </w:rPr>
            </w:pPr>
            <w:r>
              <w:rPr>
                <w:rFonts w:cs="Times New Roman"/>
                <w:sz w:val="20"/>
                <w:szCs w:val="20"/>
              </w:rPr>
              <w:t>446</w:t>
            </w:r>
            <w:r w:rsidRPr="00CA0A93">
              <w:rPr>
                <w:rFonts w:cs="Times New Roman"/>
                <w:sz w:val="20"/>
                <w:szCs w:val="20"/>
              </w:rPr>
              <w:t xml:space="preserve"> ±1</w:t>
            </w:r>
            <w:r>
              <w:rPr>
                <w:rFonts w:cs="Times New Roman"/>
                <w:sz w:val="20"/>
                <w:szCs w:val="20"/>
              </w:rPr>
              <w:t>53</w:t>
            </w:r>
          </w:p>
        </w:tc>
        <w:tc>
          <w:tcPr>
            <w:tcW w:w="2615" w:type="dxa"/>
          </w:tcPr>
          <w:p w14:paraId="3C1D4970" w14:textId="77777777" w:rsidR="00B252E4" w:rsidRDefault="00B252E4" w:rsidP="00B252E4">
            <w:pPr>
              <w:spacing w:line="240" w:lineRule="auto"/>
              <w:rPr>
                <w:rFonts w:cs="Times New Roman"/>
                <w:sz w:val="20"/>
                <w:szCs w:val="20"/>
              </w:rPr>
            </w:pPr>
          </w:p>
        </w:tc>
      </w:tr>
      <w:tr w:rsidR="00B252E4" w:rsidRPr="00DC46B1" w14:paraId="22B01D68" w14:textId="77777777" w:rsidTr="00931EC4">
        <w:tc>
          <w:tcPr>
            <w:tcW w:w="1733" w:type="dxa"/>
            <w:vMerge/>
          </w:tcPr>
          <w:p w14:paraId="236F9C3E" w14:textId="77777777" w:rsidR="00B252E4" w:rsidRDefault="00B252E4" w:rsidP="00B252E4">
            <w:pPr>
              <w:spacing w:line="240" w:lineRule="auto"/>
              <w:rPr>
                <w:rFonts w:cs="Times New Roman"/>
                <w:sz w:val="20"/>
                <w:szCs w:val="20"/>
              </w:rPr>
            </w:pPr>
          </w:p>
        </w:tc>
        <w:tc>
          <w:tcPr>
            <w:tcW w:w="1134" w:type="dxa"/>
            <w:vMerge/>
          </w:tcPr>
          <w:p w14:paraId="0BC9C6B3" w14:textId="77777777" w:rsidR="00B252E4" w:rsidRDefault="00B252E4" w:rsidP="00B252E4">
            <w:pPr>
              <w:spacing w:line="240" w:lineRule="auto"/>
              <w:rPr>
                <w:rFonts w:cs="Times New Roman"/>
                <w:sz w:val="20"/>
                <w:szCs w:val="20"/>
              </w:rPr>
            </w:pPr>
          </w:p>
        </w:tc>
        <w:tc>
          <w:tcPr>
            <w:tcW w:w="3969" w:type="dxa"/>
          </w:tcPr>
          <w:p w14:paraId="56D88224" w14:textId="77777777" w:rsidR="00B252E4" w:rsidRDefault="00B252E4" w:rsidP="00B252E4">
            <w:pPr>
              <w:spacing w:line="240" w:lineRule="auto"/>
              <w:rPr>
                <w:rFonts w:cs="Times New Roman"/>
                <w:sz w:val="20"/>
                <w:szCs w:val="20"/>
              </w:rPr>
            </w:pPr>
            <w:r>
              <w:rPr>
                <w:rFonts w:cs="Times New Roman"/>
                <w:sz w:val="20"/>
                <w:szCs w:val="20"/>
              </w:rPr>
              <w:t>Alkaline detergent B 1% (10 mins 55</w:t>
            </w:r>
            <w:r>
              <w:rPr>
                <w:rFonts w:cs="Times New Roman"/>
                <w:sz w:val="20"/>
                <w:szCs w:val="20"/>
                <w:vertAlign w:val="superscript"/>
              </w:rPr>
              <w:t>°</w:t>
            </w:r>
            <w:r>
              <w:rPr>
                <w:rFonts w:cs="Times New Roman"/>
                <w:sz w:val="20"/>
                <w:szCs w:val="20"/>
              </w:rPr>
              <w:t>C)</w:t>
            </w:r>
          </w:p>
        </w:tc>
        <w:tc>
          <w:tcPr>
            <w:tcW w:w="1417" w:type="dxa"/>
          </w:tcPr>
          <w:p w14:paraId="4B0572FF" w14:textId="77777777" w:rsidR="00B252E4" w:rsidRPr="002258BE" w:rsidRDefault="00B252E4" w:rsidP="00B252E4">
            <w:pPr>
              <w:spacing w:line="240" w:lineRule="auto"/>
              <w:rPr>
                <w:rFonts w:cs="Times New Roman"/>
                <w:sz w:val="20"/>
                <w:szCs w:val="20"/>
                <w:u w:val="single"/>
              </w:rPr>
            </w:pPr>
            <w:r w:rsidRPr="002258BE">
              <w:rPr>
                <w:rFonts w:cs="Times New Roman"/>
                <w:sz w:val="20"/>
                <w:szCs w:val="20"/>
                <w:u w:val="single"/>
              </w:rPr>
              <w:t>&gt;</w:t>
            </w:r>
            <w:r>
              <w:rPr>
                <w:rFonts w:cs="Times New Roman"/>
                <w:sz w:val="20"/>
                <w:szCs w:val="20"/>
              </w:rPr>
              <w:t>5 to 6</w:t>
            </w:r>
          </w:p>
        </w:tc>
        <w:tc>
          <w:tcPr>
            <w:tcW w:w="1418" w:type="dxa"/>
          </w:tcPr>
          <w:p w14:paraId="2B198B43" w14:textId="77777777" w:rsidR="00B252E4" w:rsidRDefault="00B252E4" w:rsidP="00B252E4">
            <w:pPr>
              <w:spacing w:line="240" w:lineRule="auto"/>
              <w:rPr>
                <w:rFonts w:cs="Times New Roman"/>
                <w:sz w:val="20"/>
                <w:szCs w:val="20"/>
              </w:rPr>
            </w:pPr>
            <w:r>
              <w:rPr>
                <w:rFonts w:cs="Times New Roman"/>
                <w:sz w:val="20"/>
                <w:szCs w:val="20"/>
              </w:rPr>
              <w:t>0%</w:t>
            </w:r>
          </w:p>
        </w:tc>
        <w:tc>
          <w:tcPr>
            <w:tcW w:w="1701" w:type="dxa"/>
          </w:tcPr>
          <w:p w14:paraId="0E004F07" w14:textId="77777777" w:rsidR="00B252E4" w:rsidRPr="00DC46B1" w:rsidRDefault="00B252E4" w:rsidP="00B252E4">
            <w:pPr>
              <w:spacing w:line="240" w:lineRule="auto"/>
              <w:rPr>
                <w:rFonts w:cs="Times New Roman"/>
                <w:sz w:val="20"/>
                <w:szCs w:val="20"/>
              </w:rPr>
            </w:pPr>
            <w:r>
              <w:rPr>
                <w:rFonts w:cs="Times New Roman"/>
                <w:sz w:val="20"/>
                <w:szCs w:val="20"/>
              </w:rPr>
              <w:t>524</w:t>
            </w:r>
            <w:r w:rsidRPr="00CA0A93">
              <w:rPr>
                <w:rFonts w:cs="Times New Roman"/>
                <w:sz w:val="20"/>
                <w:szCs w:val="20"/>
              </w:rPr>
              <w:t xml:space="preserve"> ±</w:t>
            </w:r>
            <w:r>
              <w:rPr>
                <w:rFonts w:cs="Times New Roman"/>
                <w:sz w:val="20"/>
                <w:szCs w:val="20"/>
              </w:rPr>
              <w:t>42</w:t>
            </w:r>
          </w:p>
        </w:tc>
        <w:tc>
          <w:tcPr>
            <w:tcW w:w="2615" w:type="dxa"/>
          </w:tcPr>
          <w:p w14:paraId="3CE4702C" w14:textId="77777777" w:rsidR="00B252E4" w:rsidRDefault="00B252E4" w:rsidP="00B252E4">
            <w:pPr>
              <w:spacing w:line="240" w:lineRule="auto"/>
              <w:rPr>
                <w:rFonts w:cs="Times New Roman"/>
                <w:sz w:val="20"/>
                <w:szCs w:val="20"/>
              </w:rPr>
            </w:pPr>
          </w:p>
        </w:tc>
      </w:tr>
      <w:tr w:rsidR="00B252E4" w:rsidRPr="00DC46B1" w14:paraId="0D4C1C0E" w14:textId="77777777" w:rsidTr="00931EC4">
        <w:tc>
          <w:tcPr>
            <w:tcW w:w="1733" w:type="dxa"/>
            <w:vMerge/>
          </w:tcPr>
          <w:p w14:paraId="5964D4F4" w14:textId="77777777" w:rsidR="00B252E4" w:rsidRDefault="00B252E4" w:rsidP="00B252E4">
            <w:pPr>
              <w:spacing w:line="240" w:lineRule="auto"/>
              <w:rPr>
                <w:rFonts w:cs="Times New Roman"/>
                <w:sz w:val="20"/>
                <w:szCs w:val="20"/>
              </w:rPr>
            </w:pPr>
          </w:p>
        </w:tc>
        <w:tc>
          <w:tcPr>
            <w:tcW w:w="1134" w:type="dxa"/>
            <w:vMerge/>
          </w:tcPr>
          <w:p w14:paraId="0C4A7AFF" w14:textId="77777777" w:rsidR="00B252E4" w:rsidRDefault="00B252E4" w:rsidP="00B252E4">
            <w:pPr>
              <w:spacing w:line="240" w:lineRule="auto"/>
              <w:rPr>
                <w:rFonts w:cs="Times New Roman"/>
                <w:sz w:val="20"/>
                <w:szCs w:val="20"/>
              </w:rPr>
            </w:pPr>
          </w:p>
        </w:tc>
        <w:tc>
          <w:tcPr>
            <w:tcW w:w="3969" w:type="dxa"/>
          </w:tcPr>
          <w:p w14:paraId="205D40C3" w14:textId="77777777" w:rsidR="00B252E4" w:rsidRDefault="00B252E4" w:rsidP="00B252E4">
            <w:pPr>
              <w:spacing w:line="240" w:lineRule="auto"/>
              <w:rPr>
                <w:rFonts w:cs="Times New Roman"/>
                <w:sz w:val="20"/>
                <w:szCs w:val="20"/>
              </w:rPr>
            </w:pPr>
            <w:r>
              <w:rPr>
                <w:rFonts w:cs="Times New Roman"/>
                <w:sz w:val="20"/>
                <w:szCs w:val="20"/>
              </w:rPr>
              <w:t>Sterrad NX1 advanced cycle</w:t>
            </w:r>
          </w:p>
        </w:tc>
        <w:tc>
          <w:tcPr>
            <w:tcW w:w="1417" w:type="dxa"/>
          </w:tcPr>
          <w:p w14:paraId="348A2E31" w14:textId="77777777" w:rsidR="00B252E4" w:rsidRPr="002258BE" w:rsidRDefault="00B252E4" w:rsidP="00B252E4">
            <w:pPr>
              <w:spacing w:line="240" w:lineRule="auto"/>
              <w:rPr>
                <w:rFonts w:cs="Times New Roman"/>
                <w:sz w:val="20"/>
                <w:szCs w:val="20"/>
                <w:u w:val="single"/>
              </w:rPr>
            </w:pPr>
            <w:r w:rsidRPr="002258BE">
              <w:rPr>
                <w:rFonts w:cs="Times New Roman"/>
                <w:sz w:val="20"/>
                <w:szCs w:val="20"/>
                <w:u w:val="single"/>
              </w:rPr>
              <w:t>&gt;</w:t>
            </w:r>
            <w:r>
              <w:rPr>
                <w:rFonts w:cs="Times New Roman"/>
                <w:sz w:val="20"/>
                <w:szCs w:val="20"/>
              </w:rPr>
              <w:t>5 to 6</w:t>
            </w:r>
          </w:p>
        </w:tc>
        <w:tc>
          <w:tcPr>
            <w:tcW w:w="1418" w:type="dxa"/>
          </w:tcPr>
          <w:p w14:paraId="341ACDDE" w14:textId="77777777" w:rsidR="00B252E4" w:rsidRDefault="00B252E4" w:rsidP="00B252E4">
            <w:pPr>
              <w:spacing w:line="240" w:lineRule="auto"/>
              <w:rPr>
                <w:rFonts w:cs="Times New Roman"/>
                <w:sz w:val="20"/>
                <w:szCs w:val="20"/>
              </w:rPr>
            </w:pPr>
            <w:r>
              <w:rPr>
                <w:rFonts w:cs="Times New Roman"/>
                <w:sz w:val="20"/>
                <w:szCs w:val="20"/>
              </w:rPr>
              <w:t>0%</w:t>
            </w:r>
          </w:p>
        </w:tc>
        <w:tc>
          <w:tcPr>
            <w:tcW w:w="1701" w:type="dxa"/>
          </w:tcPr>
          <w:p w14:paraId="03587CBE" w14:textId="77777777" w:rsidR="00B252E4" w:rsidRPr="00DC46B1" w:rsidRDefault="00B252E4" w:rsidP="00B252E4">
            <w:pPr>
              <w:spacing w:line="240" w:lineRule="auto"/>
              <w:rPr>
                <w:rFonts w:cs="Times New Roman"/>
                <w:sz w:val="20"/>
                <w:szCs w:val="20"/>
              </w:rPr>
            </w:pPr>
            <w:r>
              <w:rPr>
                <w:rFonts w:cs="Times New Roman"/>
                <w:sz w:val="20"/>
                <w:szCs w:val="20"/>
              </w:rPr>
              <w:t>570</w:t>
            </w:r>
            <w:r w:rsidRPr="00CA0A93">
              <w:rPr>
                <w:rFonts w:cs="Times New Roman"/>
                <w:sz w:val="20"/>
                <w:szCs w:val="20"/>
              </w:rPr>
              <w:t xml:space="preserve"> ±</w:t>
            </w:r>
            <w:r>
              <w:rPr>
                <w:rFonts w:cs="Times New Roman"/>
                <w:sz w:val="20"/>
                <w:szCs w:val="20"/>
              </w:rPr>
              <w:t>18</w:t>
            </w:r>
          </w:p>
        </w:tc>
        <w:tc>
          <w:tcPr>
            <w:tcW w:w="2615" w:type="dxa"/>
          </w:tcPr>
          <w:p w14:paraId="74B63640" w14:textId="77777777" w:rsidR="00B252E4" w:rsidRDefault="00B252E4" w:rsidP="00B252E4">
            <w:pPr>
              <w:spacing w:line="240" w:lineRule="auto"/>
              <w:rPr>
                <w:rFonts w:cs="Times New Roman"/>
                <w:sz w:val="20"/>
                <w:szCs w:val="20"/>
              </w:rPr>
            </w:pPr>
          </w:p>
        </w:tc>
      </w:tr>
      <w:tr w:rsidR="00B252E4" w:rsidRPr="00DC46B1" w14:paraId="7661F4E9" w14:textId="77777777" w:rsidTr="00931EC4">
        <w:tc>
          <w:tcPr>
            <w:tcW w:w="1733" w:type="dxa"/>
            <w:vMerge/>
          </w:tcPr>
          <w:p w14:paraId="3BDD00A8" w14:textId="77777777" w:rsidR="00B252E4" w:rsidRDefault="00B252E4" w:rsidP="00B252E4">
            <w:pPr>
              <w:spacing w:line="240" w:lineRule="auto"/>
              <w:rPr>
                <w:rFonts w:cs="Times New Roman"/>
                <w:sz w:val="20"/>
                <w:szCs w:val="20"/>
              </w:rPr>
            </w:pPr>
          </w:p>
        </w:tc>
        <w:tc>
          <w:tcPr>
            <w:tcW w:w="1134" w:type="dxa"/>
            <w:vMerge/>
          </w:tcPr>
          <w:p w14:paraId="286EF005" w14:textId="77777777" w:rsidR="00B252E4" w:rsidRDefault="00B252E4" w:rsidP="00B252E4">
            <w:pPr>
              <w:spacing w:line="240" w:lineRule="auto"/>
              <w:rPr>
                <w:rFonts w:cs="Times New Roman"/>
                <w:sz w:val="20"/>
                <w:szCs w:val="20"/>
              </w:rPr>
            </w:pPr>
          </w:p>
        </w:tc>
        <w:tc>
          <w:tcPr>
            <w:tcW w:w="3969" w:type="dxa"/>
          </w:tcPr>
          <w:p w14:paraId="42FAB221" w14:textId="77777777" w:rsidR="00B252E4" w:rsidRDefault="00B252E4" w:rsidP="00B252E4">
            <w:pPr>
              <w:spacing w:line="240" w:lineRule="auto"/>
              <w:rPr>
                <w:rFonts w:cs="Times New Roman"/>
                <w:sz w:val="20"/>
                <w:szCs w:val="20"/>
              </w:rPr>
            </w:pPr>
            <w:r>
              <w:rPr>
                <w:rFonts w:cs="Times New Roman"/>
                <w:sz w:val="20"/>
                <w:szCs w:val="20"/>
              </w:rPr>
              <w:t>Sterrad NX2 continuous advanced cycles</w:t>
            </w:r>
          </w:p>
        </w:tc>
        <w:tc>
          <w:tcPr>
            <w:tcW w:w="1417" w:type="dxa"/>
          </w:tcPr>
          <w:p w14:paraId="26906C50" w14:textId="77777777" w:rsidR="00B252E4" w:rsidRPr="002258BE" w:rsidRDefault="00B252E4" w:rsidP="00B252E4">
            <w:pPr>
              <w:spacing w:line="240" w:lineRule="auto"/>
              <w:rPr>
                <w:rFonts w:cs="Times New Roman"/>
                <w:sz w:val="20"/>
                <w:szCs w:val="20"/>
                <w:u w:val="single"/>
              </w:rPr>
            </w:pPr>
            <w:r w:rsidRPr="002258BE">
              <w:rPr>
                <w:rFonts w:cs="Times New Roman"/>
                <w:sz w:val="20"/>
                <w:szCs w:val="20"/>
                <w:u w:val="single"/>
              </w:rPr>
              <w:t>&gt;</w:t>
            </w:r>
            <w:r>
              <w:rPr>
                <w:rFonts w:cs="Times New Roman"/>
                <w:sz w:val="20"/>
                <w:szCs w:val="20"/>
              </w:rPr>
              <w:t>5 to 6</w:t>
            </w:r>
          </w:p>
        </w:tc>
        <w:tc>
          <w:tcPr>
            <w:tcW w:w="1418" w:type="dxa"/>
          </w:tcPr>
          <w:p w14:paraId="0D98081E" w14:textId="77777777" w:rsidR="00B252E4" w:rsidRDefault="00B252E4" w:rsidP="00B252E4">
            <w:pPr>
              <w:spacing w:line="240" w:lineRule="auto"/>
              <w:rPr>
                <w:rFonts w:cs="Times New Roman"/>
                <w:sz w:val="20"/>
                <w:szCs w:val="20"/>
              </w:rPr>
            </w:pPr>
            <w:r>
              <w:rPr>
                <w:rFonts w:cs="Times New Roman"/>
                <w:sz w:val="20"/>
                <w:szCs w:val="20"/>
              </w:rPr>
              <w:t>0%</w:t>
            </w:r>
          </w:p>
        </w:tc>
        <w:tc>
          <w:tcPr>
            <w:tcW w:w="1701" w:type="dxa"/>
          </w:tcPr>
          <w:p w14:paraId="1C7C0C37" w14:textId="77777777" w:rsidR="00B252E4" w:rsidRPr="00DC46B1" w:rsidRDefault="00B252E4" w:rsidP="00B252E4">
            <w:pPr>
              <w:spacing w:line="240" w:lineRule="auto"/>
              <w:rPr>
                <w:rFonts w:cs="Times New Roman"/>
                <w:sz w:val="20"/>
                <w:szCs w:val="20"/>
              </w:rPr>
            </w:pPr>
            <w:r>
              <w:rPr>
                <w:rFonts w:cs="Times New Roman"/>
                <w:sz w:val="20"/>
                <w:szCs w:val="20"/>
              </w:rPr>
              <w:t>574</w:t>
            </w:r>
            <w:r w:rsidRPr="00CA0A93">
              <w:rPr>
                <w:rFonts w:cs="Times New Roman"/>
                <w:sz w:val="20"/>
                <w:szCs w:val="20"/>
              </w:rPr>
              <w:t xml:space="preserve"> ±</w:t>
            </w:r>
            <w:r>
              <w:rPr>
                <w:rFonts w:cs="Times New Roman"/>
                <w:sz w:val="20"/>
                <w:szCs w:val="20"/>
              </w:rPr>
              <w:t>0</w:t>
            </w:r>
          </w:p>
        </w:tc>
        <w:tc>
          <w:tcPr>
            <w:tcW w:w="2615" w:type="dxa"/>
          </w:tcPr>
          <w:p w14:paraId="5DED5EFD" w14:textId="77777777" w:rsidR="00B252E4" w:rsidRDefault="00B252E4" w:rsidP="00B252E4">
            <w:pPr>
              <w:spacing w:line="240" w:lineRule="auto"/>
              <w:rPr>
                <w:rFonts w:cs="Times New Roman"/>
                <w:sz w:val="20"/>
                <w:szCs w:val="20"/>
              </w:rPr>
            </w:pPr>
          </w:p>
        </w:tc>
      </w:tr>
      <w:tr w:rsidR="00B252E4" w:rsidRPr="00DC46B1" w14:paraId="2BBF4635" w14:textId="77777777" w:rsidTr="00931EC4">
        <w:tc>
          <w:tcPr>
            <w:tcW w:w="1733" w:type="dxa"/>
            <w:vMerge/>
          </w:tcPr>
          <w:p w14:paraId="26FD8927" w14:textId="77777777" w:rsidR="00B252E4" w:rsidRDefault="00B252E4" w:rsidP="00B252E4">
            <w:pPr>
              <w:spacing w:line="240" w:lineRule="auto"/>
              <w:rPr>
                <w:rFonts w:cs="Times New Roman"/>
                <w:sz w:val="20"/>
                <w:szCs w:val="20"/>
              </w:rPr>
            </w:pPr>
          </w:p>
        </w:tc>
        <w:tc>
          <w:tcPr>
            <w:tcW w:w="1134" w:type="dxa"/>
            <w:vMerge/>
          </w:tcPr>
          <w:p w14:paraId="67837668" w14:textId="77777777" w:rsidR="00B252E4" w:rsidRDefault="00B252E4" w:rsidP="00B252E4">
            <w:pPr>
              <w:spacing w:line="240" w:lineRule="auto"/>
              <w:rPr>
                <w:rFonts w:cs="Times New Roman"/>
                <w:sz w:val="20"/>
                <w:szCs w:val="20"/>
              </w:rPr>
            </w:pPr>
          </w:p>
        </w:tc>
        <w:tc>
          <w:tcPr>
            <w:tcW w:w="3969" w:type="dxa"/>
          </w:tcPr>
          <w:p w14:paraId="39625A6F" w14:textId="77777777" w:rsidR="00B252E4" w:rsidRDefault="00B252E4" w:rsidP="00B252E4">
            <w:pPr>
              <w:spacing w:line="240" w:lineRule="auto"/>
              <w:rPr>
                <w:rFonts w:cs="Times New Roman"/>
                <w:sz w:val="20"/>
                <w:szCs w:val="20"/>
              </w:rPr>
            </w:pPr>
            <w:r>
              <w:rPr>
                <w:rFonts w:cs="Times New Roman"/>
                <w:sz w:val="20"/>
                <w:szCs w:val="20"/>
              </w:rPr>
              <w:t>Alkaline detergent A 1% (10 mins 55</w:t>
            </w:r>
            <w:r>
              <w:rPr>
                <w:rFonts w:cs="Times New Roman"/>
                <w:sz w:val="20"/>
                <w:szCs w:val="20"/>
                <w:vertAlign w:val="superscript"/>
              </w:rPr>
              <w:t>°</w:t>
            </w:r>
            <w:r>
              <w:rPr>
                <w:rFonts w:cs="Times New Roman"/>
                <w:sz w:val="20"/>
                <w:szCs w:val="20"/>
              </w:rPr>
              <w:t>C), plus Sterrad NX1 advanced cycle</w:t>
            </w:r>
          </w:p>
        </w:tc>
        <w:tc>
          <w:tcPr>
            <w:tcW w:w="1417" w:type="dxa"/>
          </w:tcPr>
          <w:p w14:paraId="0D342852" w14:textId="77777777" w:rsidR="00B252E4" w:rsidRPr="002258BE" w:rsidRDefault="00B252E4" w:rsidP="00B252E4">
            <w:pPr>
              <w:spacing w:line="240" w:lineRule="auto"/>
              <w:rPr>
                <w:rFonts w:cs="Times New Roman"/>
                <w:sz w:val="20"/>
                <w:szCs w:val="20"/>
                <w:u w:val="single"/>
              </w:rPr>
            </w:pPr>
            <w:r w:rsidRPr="002258BE">
              <w:rPr>
                <w:rFonts w:cs="Times New Roman"/>
                <w:sz w:val="20"/>
                <w:szCs w:val="20"/>
                <w:u w:val="single"/>
              </w:rPr>
              <w:t>&gt;</w:t>
            </w:r>
            <w:r>
              <w:rPr>
                <w:rFonts w:cs="Times New Roman"/>
                <w:sz w:val="20"/>
                <w:szCs w:val="20"/>
              </w:rPr>
              <w:t>5 to 6</w:t>
            </w:r>
          </w:p>
        </w:tc>
        <w:tc>
          <w:tcPr>
            <w:tcW w:w="1418" w:type="dxa"/>
          </w:tcPr>
          <w:p w14:paraId="24FB9D05" w14:textId="77777777" w:rsidR="00B252E4" w:rsidRDefault="00B252E4" w:rsidP="00B252E4">
            <w:pPr>
              <w:spacing w:line="240" w:lineRule="auto"/>
              <w:rPr>
                <w:rFonts w:cs="Times New Roman"/>
                <w:sz w:val="20"/>
                <w:szCs w:val="20"/>
              </w:rPr>
            </w:pPr>
            <w:r>
              <w:rPr>
                <w:rFonts w:cs="Times New Roman"/>
                <w:sz w:val="20"/>
                <w:szCs w:val="20"/>
              </w:rPr>
              <w:t>0%</w:t>
            </w:r>
          </w:p>
        </w:tc>
        <w:tc>
          <w:tcPr>
            <w:tcW w:w="1701" w:type="dxa"/>
          </w:tcPr>
          <w:p w14:paraId="63C38A60" w14:textId="77777777" w:rsidR="00B252E4" w:rsidRPr="00DC46B1" w:rsidRDefault="00B252E4" w:rsidP="00B252E4">
            <w:pPr>
              <w:spacing w:line="240" w:lineRule="auto"/>
              <w:rPr>
                <w:rFonts w:cs="Times New Roman"/>
                <w:sz w:val="20"/>
                <w:szCs w:val="20"/>
              </w:rPr>
            </w:pPr>
            <w:r>
              <w:rPr>
                <w:rFonts w:cs="Times New Roman"/>
                <w:sz w:val="20"/>
                <w:szCs w:val="20"/>
              </w:rPr>
              <w:t>559</w:t>
            </w:r>
            <w:r w:rsidRPr="00CA0A93">
              <w:rPr>
                <w:rFonts w:cs="Times New Roman"/>
                <w:sz w:val="20"/>
                <w:szCs w:val="20"/>
              </w:rPr>
              <w:t xml:space="preserve"> ±</w:t>
            </w:r>
            <w:r>
              <w:rPr>
                <w:rFonts w:cs="Times New Roman"/>
                <w:sz w:val="20"/>
                <w:szCs w:val="20"/>
              </w:rPr>
              <w:t>22</w:t>
            </w:r>
          </w:p>
        </w:tc>
        <w:tc>
          <w:tcPr>
            <w:tcW w:w="2615" w:type="dxa"/>
          </w:tcPr>
          <w:p w14:paraId="5FA0829A" w14:textId="77777777" w:rsidR="00B252E4" w:rsidRDefault="00B252E4" w:rsidP="00B252E4">
            <w:pPr>
              <w:spacing w:line="240" w:lineRule="auto"/>
              <w:rPr>
                <w:rFonts w:cs="Times New Roman"/>
                <w:sz w:val="20"/>
                <w:szCs w:val="20"/>
              </w:rPr>
            </w:pPr>
          </w:p>
        </w:tc>
      </w:tr>
      <w:tr w:rsidR="00B252E4" w:rsidRPr="00DC46B1" w14:paraId="7B9C8DD8" w14:textId="77777777" w:rsidTr="00931EC4">
        <w:tc>
          <w:tcPr>
            <w:tcW w:w="1733" w:type="dxa"/>
            <w:vMerge/>
          </w:tcPr>
          <w:p w14:paraId="63F5272F" w14:textId="77777777" w:rsidR="00B252E4" w:rsidRDefault="00B252E4" w:rsidP="00B252E4">
            <w:pPr>
              <w:spacing w:line="240" w:lineRule="auto"/>
              <w:rPr>
                <w:rFonts w:cs="Times New Roman"/>
                <w:sz w:val="20"/>
                <w:szCs w:val="20"/>
              </w:rPr>
            </w:pPr>
          </w:p>
        </w:tc>
        <w:tc>
          <w:tcPr>
            <w:tcW w:w="1134" w:type="dxa"/>
            <w:vMerge/>
          </w:tcPr>
          <w:p w14:paraId="4EED1E4D" w14:textId="77777777" w:rsidR="00B252E4" w:rsidRDefault="00B252E4" w:rsidP="00B252E4">
            <w:pPr>
              <w:spacing w:line="240" w:lineRule="auto"/>
              <w:rPr>
                <w:rFonts w:cs="Times New Roman"/>
                <w:sz w:val="20"/>
                <w:szCs w:val="20"/>
              </w:rPr>
            </w:pPr>
          </w:p>
        </w:tc>
        <w:tc>
          <w:tcPr>
            <w:tcW w:w="3969" w:type="dxa"/>
          </w:tcPr>
          <w:p w14:paraId="79B03CD9" w14:textId="77777777" w:rsidR="00B252E4" w:rsidRDefault="00B252E4" w:rsidP="00B252E4">
            <w:pPr>
              <w:spacing w:line="240" w:lineRule="auto"/>
              <w:rPr>
                <w:rFonts w:cs="Times New Roman"/>
                <w:sz w:val="20"/>
                <w:szCs w:val="20"/>
              </w:rPr>
            </w:pPr>
            <w:r>
              <w:rPr>
                <w:rFonts w:cs="Times New Roman"/>
                <w:sz w:val="20"/>
                <w:szCs w:val="20"/>
              </w:rPr>
              <w:t>Alkaline detergent B 1% (10 mins 55</w:t>
            </w:r>
            <w:r>
              <w:rPr>
                <w:rFonts w:cs="Times New Roman"/>
                <w:sz w:val="20"/>
                <w:szCs w:val="20"/>
                <w:vertAlign w:val="superscript"/>
              </w:rPr>
              <w:t>°</w:t>
            </w:r>
            <w:r>
              <w:rPr>
                <w:rFonts w:cs="Times New Roman"/>
                <w:sz w:val="20"/>
                <w:szCs w:val="20"/>
              </w:rPr>
              <w:t>C), plus Sterrad NX1 advanced cycle</w:t>
            </w:r>
          </w:p>
        </w:tc>
        <w:tc>
          <w:tcPr>
            <w:tcW w:w="1417" w:type="dxa"/>
          </w:tcPr>
          <w:p w14:paraId="791B389B" w14:textId="77777777" w:rsidR="00B252E4" w:rsidRPr="002258BE" w:rsidRDefault="00B252E4" w:rsidP="00B252E4">
            <w:pPr>
              <w:spacing w:line="240" w:lineRule="auto"/>
              <w:rPr>
                <w:rFonts w:cs="Times New Roman"/>
                <w:sz w:val="20"/>
                <w:szCs w:val="20"/>
                <w:u w:val="single"/>
              </w:rPr>
            </w:pPr>
            <w:r w:rsidRPr="002258BE">
              <w:rPr>
                <w:rFonts w:cs="Times New Roman"/>
                <w:sz w:val="20"/>
                <w:szCs w:val="20"/>
                <w:u w:val="single"/>
              </w:rPr>
              <w:t>&gt;</w:t>
            </w:r>
            <w:r>
              <w:rPr>
                <w:rFonts w:cs="Times New Roman"/>
                <w:sz w:val="20"/>
                <w:szCs w:val="20"/>
              </w:rPr>
              <w:t>5 to 6</w:t>
            </w:r>
          </w:p>
        </w:tc>
        <w:tc>
          <w:tcPr>
            <w:tcW w:w="1418" w:type="dxa"/>
          </w:tcPr>
          <w:p w14:paraId="2457822E" w14:textId="77777777" w:rsidR="00B252E4" w:rsidRDefault="00B252E4" w:rsidP="00B252E4">
            <w:pPr>
              <w:spacing w:line="240" w:lineRule="auto"/>
              <w:rPr>
                <w:rFonts w:cs="Times New Roman"/>
                <w:sz w:val="20"/>
                <w:szCs w:val="20"/>
              </w:rPr>
            </w:pPr>
            <w:r>
              <w:rPr>
                <w:rFonts w:cs="Times New Roman"/>
                <w:sz w:val="20"/>
                <w:szCs w:val="20"/>
              </w:rPr>
              <w:t>0%</w:t>
            </w:r>
          </w:p>
        </w:tc>
        <w:tc>
          <w:tcPr>
            <w:tcW w:w="1701" w:type="dxa"/>
          </w:tcPr>
          <w:p w14:paraId="4C29D987" w14:textId="77777777" w:rsidR="00B252E4" w:rsidRPr="00DC46B1" w:rsidRDefault="00B252E4" w:rsidP="00B252E4">
            <w:pPr>
              <w:spacing w:line="240" w:lineRule="auto"/>
              <w:rPr>
                <w:rFonts w:cs="Times New Roman"/>
                <w:sz w:val="20"/>
                <w:szCs w:val="20"/>
              </w:rPr>
            </w:pPr>
            <w:r>
              <w:rPr>
                <w:rFonts w:cs="Times New Roman"/>
                <w:sz w:val="20"/>
                <w:szCs w:val="20"/>
              </w:rPr>
              <w:t>562</w:t>
            </w:r>
            <w:r w:rsidRPr="00CA0A93">
              <w:rPr>
                <w:rFonts w:cs="Times New Roman"/>
                <w:sz w:val="20"/>
                <w:szCs w:val="20"/>
              </w:rPr>
              <w:t xml:space="preserve"> ±</w:t>
            </w:r>
            <w:r>
              <w:rPr>
                <w:rFonts w:cs="Times New Roman"/>
                <w:sz w:val="20"/>
                <w:szCs w:val="20"/>
              </w:rPr>
              <w:t>16</w:t>
            </w:r>
          </w:p>
        </w:tc>
        <w:tc>
          <w:tcPr>
            <w:tcW w:w="2615" w:type="dxa"/>
          </w:tcPr>
          <w:p w14:paraId="7C8B006F" w14:textId="77777777" w:rsidR="00B252E4" w:rsidRDefault="00B252E4" w:rsidP="00B252E4">
            <w:pPr>
              <w:spacing w:line="240" w:lineRule="auto"/>
              <w:rPr>
                <w:rFonts w:cs="Times New Roman"/>
                <w:sz w:val="20"/>
                <w:szCs w:val="20"/>
              </w:rPr>
            </w:pPr>
          </w:p>
        </w:tc>
      </w:tr>
      <w:tr w:rsidR="00B252E4" w:rsidRPr="00DC46B1" w14:paraId="309A9034" w14:textId="77777777" w:rsidTr="00931EC4">
        <w:tc>
          <w:tcPr>
            <w:tcW w:w="1733" w:type="dxa"/>
            <w:vMerge/>
          </w:tcPr>
          <w:p w14:paraId="3FFA8A7C" w14:textId="77777777" w:rsidR="00B252E4" w:rsidRDefault="00B252E4" w:rsidP="00B252E4">
            <w:pPr>
              <w:spacing w:line="240" w:lineRule="auto"/>
              <w:rPr>
                <w:rFonts w:cs="Times New Roman"/>
                <w:sz w:val="20"/>
                <w:szCs w:val="20"/>
              </w:rPr>
            </w:pPr>
          </w:p>
        </w:tc>
        <w:tc>
          <w:tcPr>
            <w:tcW w:w="1134" w:type="dxa"/>
          </w:tcPr>
          <w:p w14:paraId="099F89FF" w14:textId="77777777" w:rsidR="00B252E4" w:rsidRDefault="00B252E4" w:rsidP="00B252E4">
            <w:pPr>
              <w:spacing w:line="240" w:lineRule="auto"/>
              <w:rPr>
                <w:rFonts w:cs="Times New Roman"/>
                <w:sz w:val="20"/>
                <w:szCs w:val="20"/>
              </w:rPr>
            </w:pPr>
            <w:r>
              <w:rPr>
                <w:rFonts w:cs="Times New Roman"/>
                <w:sz w:val="20"/>
                <w:szCs w:val="20"/>
              </w:rPr>
              <w:t>263K in vitro</w:t>
            </w:r>
          </w:p>
        </w:tc>
        <w:tc>
          <w:tcPr>
            <w:tcW w:w="3969" w:type="dxa"/>
          </w:tcPr>
          <w:p w14:paraId="487DB209" w14:textId="77777777" w:rsidR="00B252E4" w:rsidRDefault="00B252E4" w:rsidP="00B252E4">
            <w:pPr>
              <w:spacing w:line="240" w:lineRule="auto"/>
              <w:rPr>
                <w:rFonts w:cs="Times New Roman"/>
                <w:sz w:val="20"/>
                <w:szCs w:val="20"/>
              </w:rPr>
            </w:pPr>
            <w:r>
              <w:rPr>
                <w:rFonts w:cs="Times New Roman"/>
                <w:sz w:val="20"/>
                <w:szCs w:val="20"/>
              </w:rPr>
              <w:t>Sterrad NX1 advanced cycle</w:t>
            </w:r>
          </w:p>
        </w:tc>
        <w:tc>
          <w:tcPr>
            <w:tcW w:w="1417" w:type="dxa"/>
          </w:tcPr>
          <w:p w14:paraId="1923D82A" w14:textId="77777777" w:rsidR="00B252E4" w:rsidRPr="002258BE" w:rsidRDefault="00B252E4" w:rsidP="00B252E4">
            <w:pPr>
              <w:spacing w:line="240" w:lineRule="auto"/>
              <w:rPr>
                <w:rFonts w:cs="Times New Roman"/>
                <w:sz w:val="20"/>
                <w:szCs w:val="20"/>
                <w:u w:val="single"/>
              </w:rPr>
            </w:pPr>
            <w:r>
              <w:rPr>
                <w:rFonts w:cs="Times New Roman"/>
                <w:sz w:val="20"/>
                <w:szCs w:val="20"/>
                <w:u w:val="single"/>
              </w:rPr>
              <w:t>&gt;</w:t>
            </w:r>
            <w:r w:rsidRPr="000570ED">
              <w:rPr>
                <w:rFonts w:cs="Times New Roman"/>
                <w:sz w:val="20"/>
                <w:szCs w:val="20"/>
              </w:rPr>
              <w:t>5.4</w:t>
            </w:r>
          </w:p>
        </w:tc>
        <w:tc>
          <w:tcPr>
            <w:tcW w:w="1418" w:type="dxa"/>
          </w:tcPr>
          <w:p w14:paraId="0F289562" w14:textId="2F31313D" w:rsidR="00B252E4" w:rsidRDefault="00B252E4" w:rsidP="00B252E4">
            <w:pPr>
              <w:spacing w:line="240" w:lineRule="auto"/>
              <w:rPr>
                <w:rFonts w:cs="Times New Roman"/>
                <w:sz w:val="20"/>
                <w:szCs w:val="20"/>
              </w:rPr>
            </w:pPr>
            <w:r>
              <w:rPr>
                <w:rFonts w:cs="Times New Roman"/>
                <w:sz w:val="20"/>
                <w:szCs w:val="20"/>
              </w:rPr>
              <w:t>NR</w:t>
            </w:r>
          </w:p>
        </w:tc>
        <w:tc>
          <w:tcPr>
            <w:tcW w:w="1701" w:type="dxa"/>
          </w:tcPr>
          <w:p w14:paraId="22F78714" w14:textId="77AF8335" w:rsidR="00B252E4" w:rsidRDefault="003479BA" w:rsidP="00B252E4">
            <w:pPr>
              <w:spacing w:line="240" w:lineRule="auto"/>
            </w:pPr>
            <w:r>
              <w:rPr>
                <w:rFonts w:cs="Times New Roman"/>
                <w:sz w:val="20"/>
                <w:szCs w:val="20"/>
              </w:rPr>
              <w:t>NR</w:t>
            </w:r>
          </w:p>
        </w:tc>
        <w:tc>
          <w:tcPr>
            <w:tcW w:w="2615" w:type="dxa"/>
          </w:tcPr>
          <w:p w14:paraId="0D05BFC5" w14:textId="77777777" w:rsidR="00B252E4" w:rsidRDefault="00B252E4" w:rsidP="00B252E4">
            <w:pPr>
              <w:spacing w:line="240" w:lineRule="auto"/>
              <w:rPr>
                <w:rFonts w:cs="Times New Roman"/>
                <w:sz w:val="20"/>
                <w:szCs w:val="20"/>
              </w:rPr>
            </w:pPr>
          </w:p>
        </w:tc>
      </w:tr>
    </w:tbl>
    <w:p w14:paraId="1F46DB27" w14:textId="77777777" w:rsidR="00BD14CD" w:rsidRPr="00BD14CD" w:rsidRDefault="00BD14CD" w:rsidP="00A27868">
      <w:pPr>
        <w:spacing w:line="240" w:lineRule="auto"/>
        <w:rPr>
          <w:rFonts w:eastAsia="Calibri" w:cs="Times New Roman"/>
          <w:sz w:val="16"/>
          <w:szCs w:val="16"/>
          <w:vertAlign w:val="subscript"/>
        </w:rPr>
      </w:pPr>
      <w:r w:rsidRPr="00BD14CD">
        <w:rPr>
          <w:rFonts w:eastAsia="Calibri" w:cs="Times New Roman"/>
          <w:sz w:val="16"/>
          <w:szCs w:val="16"/>
        </w:rPr>
        <w:t>BH: Brain homogenate; RML: Rocky Mountain Laboratory; PMCA: protein misfolding cyclic amplification; NaOK: Sodium Hydroxide; NaOCl: Sodium Hypocholorite; SDS: Sodium dodecyl sulfate; TICUw: tissue culture infectious units on wires; *In vivo; †By far the least effective – more ineffective than autoclaving, or Rely-On for prionzyme, or 2 M NaOH. Note: prionzymne’s effectiveness is no different from the solution of 2 M NaOH in which it is prepared), plus neither is suitable for decontamination of certain surgical instruments, and 2 M NaOH is high hazardous (Edgeworth 2011), ‡By bioassay in Tga20 mice alone, §By SSBA</w:t>
      </w:r>
    </w:p>
    <w:p w14:paraId="6E3CF1ED" w14:textId="77777777" w:rsidR="00500F8B" w:rsidRPr="00500F8B" w:rsidRDefault="00500F8B" w:rsidP="00500F8B">
      <w:pPr>
        <w:spacing w:after="200"/>
        <w:jc w:val="both"/>
        <w:rPr>
          <w:rFonts w:eastAsia="Calibri" w:cs="Times New Roman"/>
          <w:lang w:val="en"/>
        </w:rPr>
      </w:pPr>
    </w:p>
    <w:p w14:paraId="3319F98C" w14:textId="77777777" w:rsidR="00500F8B" w:rsidRPr="00500F8B" w:rsidRDefault="00500F8B" w:rsidP="00500F8B">
      <w:pPr>
        <w:spacing w:after="200"/>
        <w:jc w:val="both"/>
        <w:rPr>
          <w:rFonts w:eastAsia="Calibri" w:cs="Times New Roman"/>
          <w:lang w:val="en"/>
        </w:rPr>
        <w:sectPr w:rsidR="00500F8B" w:rsidRPr="00500F8B" w:rsidSect="00B277F9">
          <w:pgSz w:w="16838" w:h="11906" w:orient="landscape"/>
          <w:pgMar w:top="1440" w:right="1440" w:bottom="1440" w:left="1440" w:header="708" w:footer="708" w:gutter="0"/>
          <w:cols w:space="708"/>
          <w:docGrid w:linePitch="360"/>
        </w:sectPr>
      </w:pPr>
    </w:p>
    <w:p w14:paraId="068751CB" w14:textId="77777777" w:rsidR="00500F8B" w:rsidRPr="00F1300C" w:rsidRDefault="00500F8B" w:rsidP="00334E96">
      <w:pPr>
        <w:pStyle w:val="Heading4"/>
        <w:rPr>
          <w:rFonts w:eastAsia="Calibri"/>
          <w:sz w:val="22"/>
        </w:rPr>
      </w:pPr>
      <w:r w:rsidRPr="00F1300C">
        <w:rPr>
          <w:rFonts w:eastAsia="Calibri"/>
          <w:sz w:val="22"/>
        </w:rPr>
        <w:t xml:space="preserve">Supplementary evidence: Studies reporting </w:t>
      </w:r>
      <w:r w:rsidRPr="00F1300C">
        <w:rPr>
          <w:rFonts w:eastAsia="Calibri"/>
          <w:sz w:val="22"/>
          <w:lang w:val="en"/>
        </w:rPr>
        <w:t xml:space="preserve">outcomes other than log reductions </w:t>
      </w:r>
      <w:r w:rsidRPr="00F1300C">
        <w:rPr>
          <w:rFonts w:eastAsia="Calibri"/>
          <w:sz w:val="22"/>
        </w:rPr>
        <w:t>after autoclaving with / without other processes</w:t>
      </w:r>
    </w:p>
    <w:p w14:paraId="10599BBC" w14:textId="77006965" w:rsidR="00500F8B" w:rsidRPr="00500F8B" w:rsidRDefault="00500F8B" w:rsidP="00A27868">
      <w:pPr>
        <w:jc w:val="both"/>
        <w:rPr>
          <w:rFonts w:eastAsia="Calibri" w:cs="Times New Roman"/>
          <w:lang w:val="en"/>
        </w:rPr>
      </w:pPr>
      <w:r w:rsidRPr="00500F8B">
        <w:rPr>
          <w:rFonts w:eastAsia="Calibri" w:cs="Times New Roman"/>
          <w:lang w:val="en"/>
        </w:rPr>
        <w:t>Six studies reported outcomes other than log reductions (</w:t>
      </w:r>
      <w:r w:rsidRPr="00BD14CD">
        <w:rPr>
          <w:rFonts w:eastAsia="Calibri" w:cs="Times New Roman"/>
          <w:lang w:val="en"/>
        </w:rPr>
        <w:t xml:space="preserve">see </w:t>
      </w:r>
      <w:r w:rsidR="00BD14CD">
        <w:rPr>
          <w:rFonts w:eastAsia="Calibri" w:cs="Times New Roman"/>
          <w:highlight w:val="magenta"/>
          <w:lang w:val="en"/>
        </w:rPr>
        <w:fldChar w:fldCharType="begin"/>
      </w:r>
      <w:r w:rsidR="00BD14CD">
        <w:rPr>
          <w:rFonts w:eastAsia="Calibri" w:cs="Times New Roman"/>
          <w:highlight w:val="magenta"/>
          <w:lang w:val="en"/>
        </w:rPr>
        <w:instrText xml:space="preserve"> REF _Ref508886812 \h </w:instrText>
      </w:r>
      <w:r w:rsidR="00BD14CD">
        <w:rPr>
          <w:rFonts w:eastAsia="Calibri" w:cs="Times New Roman"/>
          <w:highlight w:val="magenta"/>
          <w:lang w:val="en"/>
        </w:rPr>
      </w:r>
      <w:r w:rsidR="00BD14CD">
        <w:rPr>
          <w:rFonts w:eastAsia="Calibri" w:cs="Times New Roman"/>
          <w:highlight w:val="magenta"/>
          <w:lang w:val="en"/>
        </w:rPr>
        <w:fldChar w:fldCharType="separate"/>
      </w:r>
      <w:r w:rsidR="00690541">
        <w:t xml:space="preserve">Table </w:t>
      </w:r>
      <w:r w:rsidR="00690541">
        <w:rPr>
          <w:noProof/>
        </w:rPr>
        <w:t>16</w:t>
      </w:r>
      <w:r w:rsidR="00BD14CD">
        <w:rPr>
          <w:rFonts w:eastAsia="Calibri" w:cs="Times New Roman"/>
          <w:highlight w:val="magenta"/>
          <w:lang w:val="en"/>
        </w:rPr>
        <w:fldChar w:fldCharType="end"/>
      </w:r>
      <w:r w:rsidRPr="00500F8B">
        <w:rPr>
          <w:rFonts w:eastAsia="Calibri" w:cs="Times New Roman"/>
          <w:lang w:val="en"/>
        </w:rPr>
        <w:t>). In terms of prion strain, two studies used 10% or 20% brain homogenate of RML (</w:t>
      </w:r>
      <w:r w:rsidR="00B277F9" w:rsidRPr="00500F8B">
        <w:rPr>
          <w:rFonts w:eastAsia="Calibri" w:cs="Times New Roman"/>
          <w:lang w:val="en"/>
        </w:rPr>
        <w:t xml:space="preserve">Jackson </w:t>
      </w:r>
      <w:r w:rsidR="00B301D6" w:rsidRPr="00B301D6">
        <w:rPr>
          <w:rFonts w:eastAsia="Calibri" w:cs="Times New Roman"/>
          <w:i/>
          <w:lang w:val="en"/>
        </w:rPr>
        <w:t>et al</w:t>
      </w:r>
      <w:r w:rsidR="00B277F9">
        <w:rPr>
          <w:rFonts w:eastAsia="Calibri" w:cs="Times New Roman"/>
          <w:lang w:val="en"/>
        </w:rPr>
        <w:t xml:space="preserve"> (</w:t>
      </w:r>
      <w:r w:rsidR="00B277F9" w:rsidRPr="00500F8B">
        <w:rPr>
          <w:rFonts w:eastAsia="Calibri" w:cs="Times New Roman"/>
          <w:lang w:val="en"/>
        </w:rPr>
        <w:t>2005</w:t>
      </w:r>
      <w:r w:rsidR="00B277F9">
        <w:rPr>
          <w:rFonts w:eastAsia="Calibri" w:cs="Times New Roman"/>
          <w:lang w:val="en"/>
        </w:rPr>
        <w:t>)</w:t>
      </w:r>
      <w:r w:rsidR="00DB67C1">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180</w:t>
      </w:r>
      <w:r w:rsidR="00DB67C1">
        <w:rPr>
          <w:rFonts w:eastAsia="Calibri" w:cs="Times New Roman"/>
          <w:lang w:val="en"/>
        </w:rPr>
        <w:fldChar w:fldCharType="end"/>
      </w:r>
      <w:r w:rsidRPr="00500F8B">
        <w:rPr>
          <w:rFonts w:eastAsia="Calibri" w:cs="Times New Roman"/>
          <w:lang w:val="en"/>
        </w:rPr>
        <w:t xml:space="preserve">, </w:t>
      </w:r>
      <w:r w:rsidR="0096671F" w:rsidRPr="00500F8B">
        <w:rPr>
          <w:rFonts w:eastAsia="Calibri" w:cs="Times New Roman"/>
          <w:lang w:val="en"/>
        </w:rPr>
        <w:t>Edgeworth</w:t>
      </w:r>
      <w:r w:rsidR="0096671F">
        <w:rPr>
          <w:rFonts w:eastAsia="Calibri" w:cs="Times New Roman"/>
          <w:lang w:val="en"/>
        </w:rPr>
        <w:t xml:space="preserve"> </w:t>
      </w:r>
      <w:r w:rsidR="00B301D6" w:rsidRPr="00B301D6">
        <w:rPr>
          <w:rFonts w:eastAsia="Calibri" w:cs="Times New Roman"/>
          <w:i/>
          <w:lang w:val="en"/>
        </w:rPr>
        <w:t>et al</w:t>
      </w:r>
      <w:r w:rsidR="0096671F">
        <w:rPr>
          <w:rFonts w:eastAsia="Calibri" w:cs="Times New Roman"/>
          <w:lang w:val="en"/>
        </w:rPr>
        <w:t xml:space="preserve"> (2011</w:t>
      </w:r>
      <w:r w:rsidR="0096671F" w:rsidRPr="00500F8B">
        <w:rPr>
          <w:rFonts w:eastAsia="Calibri" w:cs="Times New Roman"/>
          <w:lang w:val="en"/>
        </w:rPr>
        <w:t>)</w:t>
      </w:r>
      <w:r w:rsidR="00DB67C1">
        <w:rPr>
          <w:rFonts w:eastAsia="Calibri" w:cs="Times New Roman"/>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179</w:t>
      </w:r>
      <w:r w:rsidR="00DB67C1">
        <w:rPr>
          <w:rFonts w:eastAsia="Calibri" w:cs="Times New Roman"/>
          <w:lang w:val="en"/>
        </w:rPr>
        <w:fldChar w:fldCharType="end"/>
      </w:r>
      <w:r w:rsidRPr="00500F8B">
        <w:rPr>
          <w:rFonts w:eastAsia="Calibri" w:cs="Times New Roman"/>
          <w:lang w:val="en"/>
        </w:rPr>
        <w:t xml:space="preserve">), and two studies investigated sc237 and sCJD (Peretz </w:t>
      </w:r>
      <w:r w:rsidR="00B301D6" w:rsidRPr="00B301D6">
        <w:rPr>
          <w:rFonts w:eastAsia="Calibri" w:cs="Times New Roman"/>
          <w:i/>
          <w:lang w:val="en"/>
        </w:rPr>
        <w:t>et al</w:t>
      </w:r>
      <w:r w:rsidR="00464F97">
        <w:rPr>
          <w:rFonts w:eastAsia="Calibri" w:cs="Times New Roman"/>
          <w:lang w:val="en"/>
        </w:rPr>
        <w:t xml:space="preserve"> (</w:t>
      </w:r>
      <w:r w:rsidRPr="00500F8B">
        <w:rPr>
          <w:rFonts w:eastAsia="Calibri" w:cs="Times New Roman"/>
          <w:lang w:val="en"/>
        </w:rPr>
        <w:t>2006</w:t>
      </w:r>
      <w:r w:rsidR="00464F97">
        <w:rPr>
          <w:rFonts w:eastAsia="Calibri" w:cs="Times New Roman"/>
          <w:lang w:val="en"/>
        </w:rPr>
        <w:t>)</w:t>
      </w:r>
      <w:r w:rsidR="00DB67C1">
        <w:rPr>
          <w:rFonts w:eastAsia="Calibri" w:cs="Times New Roman"/>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181</w:t>
      </w:r>
      <w:r w:rsidR="00DB67C1">
        <w:rPr>
          <w:rFonts w:eastAsia="Calibri" w:cs="Times New Roman"/>
          <w:lang w:val="en"/>
        </w:rPr>
        <w:fldChar w:fldCharType="end"/>
      </w:r>
      <w:r w:rsidR="003F302D">
        <w:rPr>
          <w:rFonts w:eastAsia="Calibri" w:cs="Times New Roman"/>
          <w:lang w:val="en"/>
        </w:rPr>
        <w:t xml:space="preserve"> and</w:t>
      </w:r>
      <w:r w:rsidRPr="00500F8B">
        <w:rPr>
          <w:rFonts w:eastAsia="Calibri" w:cs="Times New Roman"/>
          <w:lang w:val="en"/>
        </w:rPr>
        <w:t xml:space="preserve"> Giles</w:t>
      </w:r>
      <w:r w:rsidR="00464F97">
        <w:rPr>
          <w:rFonts w:eastAsia="Calibri" w:cs="Times New Roman"/>
          <w:lang w:val="en"/>
        </w:rPr>
        <w:t xml:space="preserve"> </w:t>
      </w:r>
      <w:r w:rsidR="00B301D6" w:rsidRPr="00B301D6">
        <w:rPr>
          <w:rFonts w:eastAsia="Calibri" w:cs="Times New Roman"/>
          <w:i/>
          <w:lang w:val="en"/>
        </w:rPr>
        <w:t>et al</w:t>
      </w:r>
      <w:r w:rsidRPr="00500F8B">
        <w:rPr>
          <w:rFonts w:eastAsia="Calibri" w:cs="Times New Roman"/>
          <w:lang w:val="en"/>
        </w:rPr>
        <w:t xml:space="preserve"> </w:t>
      </w:r>
      <w:r w:rsidR="00464F97">
        <w:rPr>
          <w:rFonts w:eastAsia="Calibri" w:cs="Times New Roman"/>
          <w:lang w:val="en"/>
        </w:rPr>
        <w:t>(</w:t>
      </w:r>
      <w:r w:rsidRPr="00500F8B">
        <w:rPr>
          <w:rFonts w:eastAsia="Calibri" w:cs="Times New Roman"/>
          <w:lang w:val="en"/>
        </w:rPr>
        <w:t>2007</w:t>
      </w:r>
      <w:r w:rsidR="00464F97">
        <w:rPr>
          <w:rFonts w:eastAsia="Calibri" w:cs="Times New Roman"/>
          <w:lang w:val="en"/>
        </w:rPr>
        <w:t>)</w:t>
      </w:r>
      <w:r w:rsidR="00DB67C1">
        <w:rPr>
          <w:rFonts w:eastAsia="Calibri" w:cs="Times New Roman"/>
          <w:lang w:val="en"/>
        </w:rPr>
        <w:fldChar w:fldCharType="begin"/>
      </w:r>
      <w:r w:rsidR="0076576E">
        <w:rPr>
          <w:rFonts w:eastAsia="Calibri" w:cs="Times New Roman"/>
          <w:lang w:val="en"/>
        </w:rPr>
        <w:instrText xml:space="preserve"> ADDIN EN.CITE &lt;EndNote&gt;&lt;Cite&gt;&lt;Author&gt;Giles&lt;/Author&gt;&lt;Year&gt;2007&lt;/Year&gt;&lt;RecNum&gt;8107&lt;/RecNum&gt;&lt;DisplayText&gt;&lt;style face="superscript"&gt;182&lt;/style&gt;&lt;/DisplayText&gt;&lt;record&gt;&lt;rec-number&gt;8107&lt;/rec-number&gt;&lt;foreign-keys&gt;&lt;key app="EN" db-id="vrp0pptazv05wtesfz5vrzsj2p0rv09ttsa9" timestamp="1506588727" guid="da4503b6-100c-4642-a682-ef295ed5e545"&gt;8107&lt;/key&gt;&lt;/foreign-keys&gt;&lt;ref-type name="Journal Article"&gt;17&lt;/ref-type&gt;&lt;contributors&gt;&lt;authors&gt;&lt;author&gt;Giles, K.&lt;/author&gt;&lt;author&gt;Supattapone, S.&lt;/author&gt;&lt;author&gt;Peretz, D.&lt;/author&gt;&lt;author&gt;Glidden, D. V.&lt;/author&gt;&lt;author&gt;Baron, H.&lt;/author&gt;&lt;author&gt;Prusiner, S. B.&lt;/author&gt;&lt;/authors&gt;&lt;/contributors&gt;&lt;titles&gt;&lt;title&gt;Disinfection of Prions&lt;/title&gt;&lt;secondary-title&gt;New Biocides Development: Combined Approach of Chemistry and Microbiology&lt;/secondary-title&gt;&lt;/titles&gt;&lt;periodical&gt;&lt;full-title&gt;New Biocides Development: Combined Approach of Chemistry and Microbiology&lt;/full-title&gt;&lt;/periodical&gt;&lt;pages&gt;52-74&lt;/pages&gt;&lt;volume&gt;967&lt;/volume&gt;&lt;keywords&gt;&lt;keyword&gt;$$CC_5_instrument decontamination&lt;/keyword&gt;&lt;keyword&gt;$$CJD relevant&lt;/keyword&gt;&lt;keyword&gt;$$5_instrument decontamination&lt;/keyword&gt;&lt;keyword&gt;$$ILL&lt;/keyword&gt;&lt;/keywords&gt;&lt;dates&gt;&lt;year&gt;2007&lt;/year&gt;&lt;/dates&gt;&lt;isbn&gt;978-0-8412-7405-1&lt;/isbn&gt;&lt;accession-num&gt;WOS:000269910600003&lt;/accession-num&gt;&lt;urls&gt;&lt;related-urls&gt;&lt;url&gt;&amp;lt;Go to ISI&amp;gt;://WOS:000269910600003&lt;/url&gt;&lt;/related-urls&gt;&lt;/urls&gt;&lt;/record&gt;&lt;/Cite&gt;&lt;/EndNote&gt;</w:instrText>
      </w:r>
      <w:r w:rsidR="00DB67C1">
        <w:rPr>
          <w:rFonts w:eastAsia="Calibri" w:cs="Times New Roman"/>
          <w:lang w:val="en"/>
        </w:rPr>
        <w:fldChar w:fldCharType="separate"/>
      </w:r>
      <w:r w:rsidR="0076576E" w:rsidRPr="0076576E">
        <w:rPr>
          <w:rFonts w:eastAsia="Calibri" w:cs="Times New Roman"/>
          <w:noProof/>
          <w:vertAlign w:val="superscript"/>
          <w:lang w:val="en"/>
        </w:rPr>
        <w:t>182</w:t>
      </w:r>
      <w:r w:rsidR="00DB67C1">
        <w:rPr>
          <w:rFonts w:eastAsia="Calibri" w:cs="Times New Roman"/>
          <w:lang w:val="en"/>
        </w:rPr>
        <w:fldChar w:fldCharType="end"/>
      </w:r>
      <w:r w:rsidRPr="00500F8B">
        <w:rPr>
          <w:rFonts w:eastAsia="Calibri" w:cs="Times New Roman"/>
          <w:lang w:val="en"/>
        </w:rPr>
        <w:t xml:space="preserve">), </w:t>
      </w:r>
      <w:r w:rsidR="003F302D">
        <w:rPr>
          <w:rFonts w:eastAsia="Calibri" w:cs="Times New Roman"/>
          <w:lang w:val="en"/>
        </w:rPr>
        <w:t>with</w:t>
      </w:r>
      <w:r w:rsidR="003F302D" w:rsidRPr="00500F8B">
        <w:rPr>
          <w:rFonts w:eastAsia="Calibri" w:cs="Times New Roman"/>
          <w:lang w:val="en"/>
        </w:rPr>
        <w:t xml:space="preserve"> </w:t>
      </w:r>
      <w:r w:rsidRPr="00500F8B">
        <w:rPr>
          <w:rFonts w:eastAsia="Calibri" w:cs="Times New Roman"/>
          <w:lang w:val="en"/>
        </w:rPr>
        <w:t>the following prion strains investigated in only a single study: 263K scrapie (</w:t>
      </w:r>
      <w:r w:rsidR="00B277F9" w:rsidRPr="00500F8B">
        <w:rPr>
          <w:rFonts w:eastAsia="Calibri" w:cs="Times New Roman"/>
          <w:lang w:val="en"/>
        </w:rPr>
        <w:t>Baxter</w:t>
      </w:r>
      <w:r w:rsidR="00B277F9">
        <w:rPr>
          <w:rFonts w:eastAsia="Calibri" w:cs="Times New Roman"/>
          <w:lang w:val="en"/>
        </w:rPr>
        <w:t xml:space="preserve"> </w:t>
      </w:r>
      <w:r w:rsidR="00B301D6" w:rsidRPr="00B301D6">
        <w:rPr>
          <w:rFonts w:eastAsia="Calibri" w:cs="Times New Roman"/>
          <w:i/>
          <w:lang w:val="en"/>
        </w:rPr>
        <w:t>et al</w:t>
      </w:r>
      <w:r w:rsidR="00B277F9">
        <w:rPr>
          <w:rFonts w:eastAsia="Calibri" w:cs="Times New Roman"/>
          <w:lang w:val="en"/>
        </w:rPr>
        <w:t xml:space="preserve"> (2005)</w:t>
      </w:r>
      <w:r w:rsidR="00DB67C1">
        <w:rPr>
          <w:rFonts w:eastAsia="Calibri" w:cs="Times New Roman"/>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183</w:t>
      </w:r>
      <w:r w:rsidR="00DB67C1">
        <w:rPr>
          <w:rFonts w:eastAsia="Calibri" w:cs="Times New Roman"/>
          <w:lang w:val="en"/>
        </w:rPr>
        <w:fldChar w:fldCharType="end"/>
      </w:r>
      <w:r w:rsidRPr="00500F8B">
        <w:rPr>
          <w:rFonts w:eastAsia="Calibri" w:cs="Times New Roman"/>
          <w:lang w:val="en"/>
        </w:rPr>
        <w:t>), and 301V BSE and cattle BSE (</w:t>
      </w:r>
      <w:r w:rsidR="00464F97" w:rsidRPr="00500F8B">
        <w:rPr>
          <w:rFonts w:eastAsia="Calibri" w:cs="Times New Roman"/>
          <w:lang w:val="en"/>
        </w:rPr>
        <w:t>Giles</w:t>
      </w:r>
      <w:r w:rsidR="00464F97">
        <w:rPr>
          <w:rFonts w:eastAsia="Calibri" w:cs="Times New Roman"/>
          <w:lang w:val="en"/>
        </w:rPr>
        <w:t xml:space="preserve"> </w:t>
      </w:r>
      <w:r w:rsidR="00B301D6" w:rsidRPr="00B301D6">
        <w:rPr>
          <w:rFonts w:eastAsia="Calibri" w:cs="Times New Roman"/>
          <w:i/>
          <w:lang w:val="en"/>
        </w:rPr>
        <w:t>et al</w:t>
      </w:r>
      <w:r w:rsidR="00464F97" w:rsidRPr="00500F8B">
        <w:rPr>
          <w:rFonts w:eastAsia="Calibri" w:cs="Times New Roman"/>
          <w:lang w:val="en"/>
        </w:rPr>
        <w:t xml:space="preserve"> </w:t>
      </w:r>
      <w:r w:rsidR="00464F97">
        <w:rPr>
          <w:rFonts w:eastAsia="Calibri" w:cs="Times New Roman"/>
          <w:lang w:val="en"/>
        </w:rPr>
        <w:t>(</w:t>
      </w:r>
      <w:r w:rsidR="00464F97" w:rsidRPr="00500F8B">
        <w:rPr>
          <w:rFonts w:eastAsia="Calibri" w:cs="Times New Roman"/>
          <w:lang w:val="en"/>
        </w:rPr>
        <w:t>2007</w:t>
      </w:r>
      <w:r w:rsidR="00464F97">
        <w:rPr>
          <w:rFonts w:eastAsia="Calibri" w:cs="Times New Roman"/>
          <w:lang w:val="en"/>
        </w:rPr>
        <w:t>)</w:t>
      </w:r>
      <w:r w:rsidR="00DB67C1">
        <w:rPr>
          <w:rFonts w:eastAsia="Calibri" w:cs="Times New Roman"/>
          <w:lang w:val="en"/>
        </w:rPr>
        <w:fldChar w:fldCharType="begin"/>
      </w:r>
      <w:r w:rsidR="0076576E">
        <w:rPr>
          <w:rFonts w:eastAsia="Calibri" w:cs="Times New Roman"/>
          <w:lang w:val="en"/>
        </w:rPr>
        <w:instrText xml:space="preserve"> ADDIN EN.CITE &lt;EndNote&gt;&lt;Cite&gt;&lt;Author&gt;Giles&lt;/Author&gt;&lt;Year&gt;2007&lt;/Year&gt;&lt;RecNum&gt;8107&lt;/RecNum&gt;&lt;DisplayText&gt;&lt;style face="superscript"&gt;182&lt;/style&gt;&lt;/DisplayText&gt;&lt;record&gt;&lt;rec-number&gt;8107&lt;/rec-number&gt;&lt;foreign-keys&gt;&lt;key app="EN" db-id="vrp0pptazv05wtesfz5vrzsj2p0rv09ttsa9" timestamp="1506588727" guid="da4503b6-100c-4642-a682-ef295ed5e545"&gt;8107&lt;/key&gt;&lt;/foreign-keys&gt;&lt;ref-type name="Journal Article"&gt;17&lt;/ref-type&gt;&lt;contributors&gt;&lt;authors&gt;&lt;author&gt;Giles, K.&lt;/author&gt;&lt;author&gt;Supattapone, S.&lt;/author&gt;&lt;author&gt;Peretz, D.&lt;/author&gt;&lt;author&gt;Glidden, D. V.&lt;/author&gt;&lt;author&gt;Baron, H.&lt;/author&gt;&lt;author&gt;Prusiner, S. B.&lt;/author&gt;&lt;/authors&gt;&lt;/contributors&gt;&lt;titles&gt;&lt;title&gt;Disinfection of Prions&lt;/title&gt;&lt;secondary-title&gt;New Biocides Development: Combined Approach of Chemistry and Microbiology&lt;/secondary-title&gt;&lt;/titles&gt;&lt;periodical&gt;&lt;full-title&gt;New Biocides Development: Combined Approach of Chemistry and Microbiology&lt;/full-title&gt;&lt;/periodical&gt;&lt;pages&gt;52-74&lt;/pages&gt;&lt;volume&gt;967&lt;/volume&gt;&lt;keywords&gt;&lt;keyword&gt;$$CC_5_instrument decontamination&lt;/keyword&gt;&lt;keyword&gt;$$CJD relevant&lt;/keyword&gt;&lt;keyword&gt;$$5_instrument decontamination&lt;/keyword&gt;&lt;keyword&gt;$$ILL&lt;/keyword&gt;&lt;/keywords&gt;&lt;dates&gt;&lt;year&gt;2007&lt;/year&gt;&lt;/dates&gt;&lt;isbn&gt;978-0-8412-7405-1&lt;/isbn&gt;&lt;accession-num&gt;WOS:000269910600003&lt;/accession-num&gt;&lt;urls&gt;&lt;related-urls&gt;&lt;url&gt;&amp;lt;Go to ISI&amp;gt;://WOS:000269910600003&lt;/url&gt;&lt;/related-urls&gt;&lt;/urls&gt;&lt;/record&gt;&lt;/Cite&gt;&lt;/EndNote&gt;</w:instrText>
      </w:r>
      <w:r w:rsidR="00DB67C1">
        <w:rPr>
          <w:rFonts w:eastAsia="Calibri" w:cs="Times New Roman"/>
          <w:lang w:val="en"/>
        </w:rPr>
        <w:fldChar w:fldCharType="separate"/>
      </w:r>
      <w:r w:rsidR="0076576E" w:rsidRPr="0076576E">
        <w:rPr>
          <w:rFonts w:eastAsia="Calibri" w:cs="Times New Roman"/>
          <w:noProof/>
          <w:vertAlign w:val="superscript"/>
          <w:lang w:val="en"/>
        </w:rPr>
        <w:t>182</w:t>
      </w:r>
      <w:r w:rsidR="00DB67C1">
        <w:rPr>
          <w:rFonts w:eastAsia="Calibri" w:cs="Times New Roman"/>
          <w:lang w:val="en"/>
        </w:rPr>
        <w:fldChar w:fldCharType="end"/>
      </w:r>
      <w:r w:rsidRPr="00500F8B">
        <w:rPr>
          <w:rFonts w:eastAsia="Calibri" w:cs="Times New Roman"/>
          <w:lang w:val="en"/>
        </w:rPr>
        <w:t>). Five studies used steel wires contaminated with the prions, and one study used steel spheres (Baxter</w:t>
      </w:r>
      <w:r w:rsidR="00B277F9">
        <w:rPr>
          <w:rFonts w:eastAsia="Calibri" w:cs="Times New Roman"/>
          <w:lang w:val="en"/>
        </w:rPr>
        <w:t xml:space="preserve"> </w:t>
      </w:r>
      <w:r w:rsidR="00B301D6" w:rsidRPr="00B301D6">
        <w:rPr>
          <w:rFonts w:eastAsia="Calibri" w:cs="Times New Roman"/>
          <w:i/>
          <w:lang w:val="en"/>
        </w:rPr>
        <w:t>et al</w:t>
      </w:r>
      <w:r w:rsidR="00B277F9">
        <w:rPr>
          <w:rFonts w:eastAsia="Calibri" w:cs="Times New Roman"/>
          <w:lang w:val="en"/>
        </w:rPr>
        <w:t xml:space="preserve"> (2005)</w:t>
      </w:r>
      <w:r w:rsidR="00DB67C1">
        <w:rPr>
          <w:rFonts w:eastAsia="Calibri" w:cs="Times New Roman"/>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183</w:t>
      </w:r>
      <w:r w:rsidR="00DB67C1">
        <w:rPr>
          <w:rFonts w:eastAsia="Calibri" w:cs="Times New Roman"/>
          <w:lang w:val="en"/>
        </w:rPr>
        <w:fldChar w:fldCharType="end"/>
      </w:r>
      <w:r w:rsidRPr="00500F8B">
        <w:rPr>
          <w:rFonts w:eastAsia="Calibri" w:cs="Times New Roman"/>
          <w:lang w:val="en"/>
        </w:rPr>
        <w:t>); all studies investigated autoclaving, either at 121</w:t>
      </w:r>
      <w:r w:rsidRPr="00500F8B">
        <w:rPr>
          <w:rFonts w:eastAsia="Calibri" w:cs="Times New Roman"/>
          <w:vertAlign w:val="superscript"/>
        </w:rPr>
        <w:t>°</w:t>
      </w:r>
      <w:r w:rsidRPr="00500F8B">
        <w:rPr>
          <w:rFonts w:eastAsia="Calibri" w:cs="Times New Roman"/>
        </w:rPr>
        <w:t>C</w:t>
      </w:r>
      <w:r w:rsidRPr="00500F8B">
        <w:rPr>
          <w:rFonts w:eastAsia="Calibri" w:cs="Times New Roman"/>
          <w:lang w:val="en"/>
        </w:rPr>
        <w:t>, 134</w:t>
      </w:r>
      <w:r w:rsidRPr="00500F8B">
        <w:rPr>
          <w:rFonts w:eastAsia="Calibri" w:cs="Times New Roman"/>
          <w:vertAlign w:val="superscript"/>
        </w:rPr>
        <w:t>°</w:t>
      </w:r>
      <w:r w:rsidRPr="00500F8B">
        <w:rPr>
          <w:rFonts w:eastAsia="Calibri" w:cs="Times New Roman"/>
        </w:rPr>
        <w:t>C or</w:t>
      </w:r>
      <w:r w:rsidRPr="00500F8B">
        <w:rPr>
          <w:rFonts w:eastAsia="Calibri" w:cs="Times New Roman"/>
          <w:lang w:val="en"/>
        </w:rPr>
        <w:t xml:space="preserve"> 137</w:t>
      </w:r>
      <w:r w:rsidRPr="00500F8B">
        <w:rPr>
          <w:rFonts w:eastAsia="Calibri" w:cs="Times New Roman"/>
          <w:vertAlign w:val="superscript"/>
        </w:rPr>
        <w:t>°</w:t>
      </w:r>
      <w:r w:rsidRPr="00500F8B">
        <w:rPr>
          <w:rFonts w:eastAsia="Calibri" w:cs="Times New Roman"/>
        </w:rPr>
        <w:t xml:space="preserve">C </w:t>
      </w:r>
      <w:r w:rsidRPr="00500F8B">
        <w:rPr>
          <w:rFonts w:eastAsia="Calibri" w:cs="Times New Roman"/>
          <w:lang w:val="en"/>
        </w:rPr>
        <w:t>for specified amounts of time as a decontamination procedure; one study investigated autoclaving at 65</w:t>
      </w:r>
      <w:r w:rsidRPr="00500F8B">
        <w:rPr>
          <w:rFonts w:eastAsia="Calibri" w:cs="Times New Roman"/>
          <w:vertAlign w:val="superscript"/>
        </w:rPr>
        <w:t>°</w:t>
      </w:r>
      <w:r w:rsidRPr="00500F8B">
        <w:rPr>
          <w:rFonts w:eastAsia="Calibri" w:cs="Times New Roman"/>
        </w:rPr>
        <w:t>C</w:t>
      </w:r>
      <w:r w:rsidRPr="00500F8B">
        <w:rPr>
          <w:rFonts w:eastAsia="Calibri" w:cs="Times New Roman"/>
          <w:lang w:val="en"/>
        </w:rPr>
        <w:t xml:space="preserve"> and 121</w:t>
      </w:r>
      <w:r w:rsidRPr="00500F8B">
        <w:rPr>
          <w:rFonts w:eastAsia="Calibri" w:cs="Times New Roman"/>
          <w:vertAlign w:val="superscript"/>
        </w:rPr>
        <w:t>°</w:t>
      </w:r>
      <w:r w:rsidRPr="00500F8B">
        <w:rPr>
          <w:rFonts w:eastAsia="Calibri" w:cs="Times New Roman"/>
        </w:rPr>
        <w:t>C (</w:t>
      </w:r>
      <w:r w:rsidR="00464F97" w:rsidRPr="00500F8B">
        <w:rPr>
          <w:rFonts w:eastAsia="Calibri" w:cs="Times New Roman"/>
          <w:lang w:val="en"/>
        </w:rPr>
        <w:t>Giles</w:t>
      </w:r>
      <w:r w:rsidR="00464F97">
        <w:rPr>
          <w:rFonts w:eastAsia="Calibri" w:cs="Times New Roman"/>
          <w:lang w:val="en"/>
        </w:rPr>
        <w:t xml:space="preserve"> </w:t>
      </w:r>
      <w:r w:rsidR="00B301D6" w:rsidRPr="00B301D6">
        <w:rPr>
          <w:rFonts w:eastAsia="Calibri" w:cs="Times New Roman"/>
          <w:i/>
          <w:lang w:val="en"/>
        </w:rPr>
        <w:t>et al</w:t>
      </w:r>
      <w:r w:rsidR="00464F97" w:rsidRPr="00500F8B">
        <w:rPr>
          <w:rFonts w:eastAsia="Calibri" w:cs="Times New Roman"/>
          <w:lang w:val="en"/>
        </w:rPr>
        <w:t xml:space="preserve"> </w:t>
      </w:r>
      <w:r w:rsidR="00464F97">
        <w:rPr>
          <w:rFonts w:eastAsia="Calibri" w:cs="Times New Roman"/>
          <w:lang w:val="en"/>
        </w:rPr>
        <w:t>(</w:t>
      </w:r>
      <w:r w:rsidR="00464F97" w:rsidRPr="00500F8B">
        <w:rPr>
          <w:rFonts w:eastAsia="Calibri" w:cs="Times New Roman"/>
          <w:lang w:val="en"/>
        </w:rPr>
        <w:t>2007</w:t>
      </w:r>
      <w:r w:rsidR="00464F97">
        <w:rPr>
          <w:rFonts w:eastAsia="Calibri" w:cs="Times New Roman"/>
          <w:lang w:val="en"/>
        </w:rPr>
        <w:t>)</w:t>
      </w:r>
      <w:r w:rsidR="00DB67C1">
        <w:rPr>
          <w:rFonts w:eastAsia="Calibri" w:cs="Times New Roman"/>
          <w:lang w:val="en"/>
        </w:rPr>
        <w:fldChar w:fldCharType="begin"/>
      </w:r>
      <w:r w:rsidR="0076576E">
        <w:rPr>
          <w:rFonts w:eastAsia="Calibri" w:cs="Times New Roman"/>
          <w:lang w:val="en"/>
        </w:rPr>
        <w:instrText xml:space="preserve"> ADDIN EN.CITE &lt;EndNote&gt;&lt;Cite&gt;&lt;Author&gt;Giles&lt;/Author&gt;&lt;Year&gt;2007&lt;/Year&gt;&lt;RecNum&gt;8107&lt;/RecNum&gt;&lt;DisplayText&gt;&lt;style face="superscript"&gt;182&lt;/style&gt;&lt;/DisplayText&gt;&lt;record&gt;&lt;rec-number&gt;8107&lt;/rec-number&gt;&lt;foreign-keys&gt;&lt;key app="EN" db-id="vrp0pptazv05wtesfz5vrzsj2p0rv09ttsa9" timestamp="1506588727" guid="da4503b6-100c-4642-a682-ef295ed5e545"&gt;8107&lt;/key&gt;&lt;/foreign-keys&gt;&lt;ref-type name="Journal Article"&gt;17&lt;/ref-type&gt;&lt;contributors&gt;&lt;authors&gt;&lt;author&gt;Giles, K.&lt;/author&gt;&lt;author&gt;Supattapone, S.&lt;/author&gt;&lt;author&gt;Peretz, D.&lt;/author&gt;&lt;author&gt;Glidden, D. V.&lt;/author&gt;&lt;author&gt;Baron, H.&lt;/author&gt;&lt;author&gt;Prusiner, S. B.&lt;/author&gt;&lt;/authors&gt;&lt;/contributors&gt;&lt;titles&gt;&lt;title&gt;Disinfection of Prions&lt;/title&gt;&lt;secondary-title&gt;New Biocides Development: Combined Approach of Chemistry and Microbiology&lt;/secondary-title&gt;&lt;/titles&gt;&lt;periodical&gt;&lt;full-title&gt;New Biocides Development: Combined Approach of Chemistry and Microbiology&lt;/full-title&gt;&lt;/periodical&gt;&lt;pages&gt;52-74&lt;/pages&gt;&lt;volume&gt;967&lt;/volume&gt;&lt;keywords&gt;&lt;keyword&gt;$$CC_5_instrument decontamination&lt;/keyword&gt;&lt;keyword&gt;$$CJD relevant&lt;/keyword&gt;&lt;keyword&gt;$$5_instrument decontamination&lt;/keyword&gt;&lt;keyword&gt;$$ILL&lt;/keyword&gt;&lt;/keywords&gt;&lt;dates&gt;&lt;year&gt;2007&lt;/year&gt;&lt;/dates&gt;&lt;isbn&gt;978-0-8412-7405-1&lt;/isbn&gt;&lt;accession-num&gt;WOS:000269910600003&lt;/accession-num&gt;&lt;urls&gt;&lt;related-urls&gt;&lt;url&gt;&amp;lt;Go to ISI&amp;gt;://WOS:000269910600003&lt;/url&gt;&lt;/related-urls&gt;&lt;/urls&gt;&lt;/record&gt;&lt;/Cite&gt;&lt;/EndNote&gt;</w:instrText>
      </w:r>
      <w:r w:rsidR="00DB67C1">
        <w:rPr>
          <w:rFonts w:eastAsia="Calibri" w:cs="Times New Roman"/>
          <w:lang w:val="en"/>
        </w:rPr>
        <w:fldChar w:fldCharType="separate"/>
      </w:r>
      <w:r w:rsidR="0076576E" w:rsidRPr="0076576E">
        <w:rPr>
          <w:rFonts w:eastAsia="Calibri" w:cs="Times New Roman"/>
          <w:noProof/>
          <w:vertAlign w:val="superscript"/>
          <w:lang w:val="en"/>
        </w:rPr>
        <w:t>182</w:t>
      </w:r>
      <w:r w:rsidR="00DB67C1">
        <w:rPr>
          <w:rFonts w:eastAsia="Calibri" w:cs="Times New Roman"/>
          <w:lang w:val="en"/>
        </w:rPr>
        <w:fldChar w:fldCharType="end"/>
      </w:r>
      <w:r w:rsidRPr="00500F8B">
        <w:rPr>
          <w:rFonts w:eastAsia="Calibri" w:cs="Times New Roman"/>
        </w:rPr>
        <w:t>).</w:t>
      </w:r>
      <w:r w:rsidRPr="00500F8B">
        <w:rPr>
          <w:rFonts w:eastAsia="Calibri" w:cs="Times New Roman"/>
          <w:lang w:val="en"/>
        </w:rPr>
        <w:t xml:space="preserve"> </w:t>
      </w:r>
    </w:p>
    <w:p w14:paraId="58B83D9B" w14:textId="77777777" w:rsidR="00500F8B" w:rsidRPr="00500F8B" w:rsidRDefault="00500F8B" w:rsidP="00A27868">
      <w:pPr>
        <w:jc w:val="both"/>
        <w:rPr>
          <w:rFonts w:eastAsia="Calibri" w:cs="Times New Roman"/>
          <w:lang w:val="en"/>
        </w:rPr>
      </w:pPr>
    </w:p>
    <w:p w14:paraId="2F2059FF" w14:textId="506EA1F4" w:rsidR="00500F8B" w:rsidRPr="00500F8B" w:rsidRDefault="00500F8B" w:rsidP="00A27868">
      <w:pPr>
        <w:jc w:val="both"/>
        <w:rPr>
          <w:rFonts w:eastAsia="Calibri" w:cs="Times New Roman"/>
          <w:lang w:val="en"/>
        </w:rPr>
      </w:pPr>
      <w:r w:rsidRPr="00500F8B">
        <w:rPr>
          <w:rFonts w:eastAsia="Calibri" w:cs="Times New Roman"/>
          <w:lang w:val="en"/>
        </w:rPr>
        <w:t xml:space="preserve">The efficiency of autoclaving was assessed alone and in combination with a range of other decontaminants. These included </w:t>
      </w:r>
      <w:r w:rsidRPr="00500F8B">
        <w:rPr>
          <w:rFonts w:eastAsia="Calibri" w:cs="Times New Roman"/>
        </w:rPr>
        <w:t xml:space="preserve">sodium dodecyl sulfate (SDS); acetic acid (AcOH); sodium </w:t>
      </w:r>
      <w:r w:rsidR="00CA619B" w:rsidRPr="00500F8B">
        <w:rPr>
          <w:rFonts w:eastAsia="Calibri" w:cs="Times New Roman"/>
        </w:rPr>
        <w:t>hydroxide</w:t>
      </w:r>
      <w:r w:rsidRPr="00500F8B">
        <w:rPr>
          <w:rFonts w:eastAsia="Calibri" w:cs="Times New Roman"/>
        </w:rPr>
        <w:t xml:space="preserve"> (NaOH); radio-frequency (RF) gas plasma; trigene disinfectant and various other enzymatic detergents</w:t>
      </w:r>
      <w:r w:rsidRPr="00500F8B">
        <w:rPr>
          <w:rFonts w:eastAsia="Calibri" w:cs="Times New Roman"/>
          <w:lang w:val="en"/>
        </w:rPr>
        <w:t xml:space="preserve">. Selected results from these investigations are reported in </w:t>
      </w:r>
      <w:r w:rsidR="005E6461">
        <w:rPr>
          <w:rFonts w:eastAsia="Calibri" w:cs="Times New Roman"/>
          <w:highlight w:val="magenta"/>
          <w:lang w:val="en"/>
        </w:rPr>
        <w:fldChar w:fldCharType="begin"/>
      </w:r>
      <w:r w:rsidR="005E6461">
        <w:rPr>
          <w:rFonts w:eastAsia="Calibri" w:cs="Times New Roman"/>
          <w:lang w:val="en"/>
        </w:rPr>
        <w:instrText xml:space="preserve"> REF _Ref508886915 \h </w:instrText>
      </w:r>
      <w:r w:rsidR="005E6461">
        <w:rPr>
          <w:rFonts w:eastAsia="Calibri" w:cs="Times New Roman"/>
          <w:highlight w:val="magenta"/>
          <w:lang w:val="en"/>
        </w:rPr>
      </w:r>
      <w:r w:rsidR="005E6461">
        <w:rPr>
          <w:rFonts w:eastAsia="Calibri" w:cs="Times New Roman"/>
          <w:highlight w:val="magenta"/>
          <w:lang w:val="en"/>
        </w:rPr>
        <w:fldChar w:fldCharType="separate"/>
      </w:r>
      <w:r w:rsidR="00690541">
        <w:t xml:space="preserve">Table </w:t>
      </w:r>
      <w:r w:rsidR="00690541">
        <w:rPr>
          <w:noProof/>
        </w:rPr>
        <w:t>17</w:t>
      </w:r>
      <w:r w:rsidR="005E6461">
        <w:rPr>
          <w:rFonts w:eastAsia="Calibri" w:cs="Times New Roman"/>
          <w:highlight w:val="magenta"/>
          <w:lang w:val="en"/>
        </w:rPr>
        <w:fldChar w:fldCharType="end"/>
      </w:r>
      <w:r w:rsidRPr="00500F8B">
        <w:rPr>
          <w:rFonts w:eastAsia="Calibri" w:cs="Times New Roman"/>
          <w:lang w:val="en"/>
        </w:rPr>
        <w:t xml:space="preserve">. </w:t>
      </w:r>
    </w:p>
    <w:p w14:paraId="07295AB1" w14:textId="77777777" w:rsidR="00500F8B" w:rsidRPr="00500F8B" w:rsidRDefault="00500F8B" w:rsidP="00A27868">
      <w:pPr>
        <w:jc w:val="both"/>
        <w:rPr>
          <w:rFonts w:eastAsia="Calibri" w:cs="Times New Roman"/>
          <w:lang w:val="en"/>
        </w:rPr>
      </w:pPr>
    </w:p>
    <w:p w14:paraId="5888DD9D" w14:textId="1C397495" w:rsidR="00500F8B" w:rsidRPr="00176BAD" w:rsidRDefault="00500F8B" w:rsidP="00724BBD">
      <w:pPr>
        <w:jc w:val="both"/>
      </w:pPr>
      <w:r w:rsidRPr="00500F8B">
        <w:rPr>
          <w:rFonts w:eastAsia="Calibri" w:cs="Times New Roman"/>
        </w:rPr>
        <w:t>Only one study reported the outcome ‘tissue culture infectious units on wires’ (TICU</w:t>
      </w:r>
      <w:r w:rsidRPr="00500F8B">
        <w:rPr>
          <w:rFonts w:eastAsia="Calibri" w:cs="Times New Roman"/>
          <w:vertAlign w:val="subscript"/>
        </w:rPr>
        <w:t>w</w:t>
      </w:r>
      <w:r w:rsidRPr="00500F8B">
        <w:rPr>
          <w:rFonts w:eastAsia="Calibri" w:cs="Times New Roman"/>
        </w:rPr>
        <w:t>) (</w:t>
      </w:r>
      <w:r w:rsidR="0096671F" w:rsidRPr="00500F8B">
        <w:rPr>
          <w:rFonts w:eastAsia="Calibri" w:cs="Times New Roman"/>
          <w:lang w:val="en"/>
        </w:rPr>
        <w:t>Edgeworth</w:t>
      </w:r>
      <w:r w:rsidR="0096671F">
        <w:rPr>
          <w:rFonts w:eastAsia="Calibri" w:cs="Times New Roman"/>
          <w:lang w:val="en"/>
        </w:rPr>
        <w:t xml:space="preserve"> </w:t>
      </w:r>
      <w:r w:rsidR="00B301D6" w:rsidRPr="00B301D6">
        <w:rPr>
          <w:rFonts w:eastAsia="Calibri" w:cs="Times New Roman"/>
          <w:i/>
          <w:lang w:val="en"/>
        </w:rPr>
        <w:t>et al</w:t>
      </w:r>
      <w:r w:rsidR="0096671F">
        <w:rPr>
          <w:rFonts w:eastAsia="Calibri" w:cs="Times New Roman"/>
          <w:lang w:val="en"/>
        </w:rPr>
        <w:t xml:space="preserve"> (2011</w:t>
      </w:r>
      <w:r w:rsidR="0096671F" w:rsidRPr="00500F8B">
        <w:rPr>
          <w:rFonts w:eastAsia="Calibri" w:cs="Times New Roman"/>
          <w:lang w:val="en"/>
        </w:rPr>
        <w:t>)</w:t>
      </w:r>
      <w:r w:rsidR="00DB67C1">
        <w:rPr>
          <w:rFonts w:eastAsia="Calibri" w:cs="Times New Roman"/>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179</w:t>
      </w:r>
      <w:r w:rsidR="00DB67C1">
        <w:rPr>
          <w:rFonts w:eastAsia="Calibri" w:cs="Times New Roman"/>
          <w:lang w:val="en"/>
        </w:rPr>
        <w:fldChar w:fldCharType="end"/>
      </w:r>
      <w:r w:rsidRPr="00500F8B">
        <w:rPr>
          <w:rFonts w:eastAsia="Calibri" w:cs="Times New Roman"/>
        </w:rPr>
        <w:t xml:space="preserve">). This study recorded that </w:t>
      </w:r>
      <w:r w:rsidRPr="00500F8B">
        <w:rPr>
          <w:rFonts w:eastAsia="Calibri" w:cs="Times New Roman"/>
          <w:lang w:val="en"/>
        </w:rPr>
        <w:t xml:space="preserve">autoclaving at </w:t>
      </w:r>
      <w:r w:rsidRPr="00500F8B">
        <w:rPr>
          <w:rFonts w:eastAsia="Calibri" w:cs="Times New Roman"/>
        </w:rPr>
        <w:t>134</w:t>
      </w:r>
      <w:r w:rsidRPr="00500F8B">
        <w:rPr>
          <w:rFonts w:eastAsia="Calibri" w:cs="Times New Roman"/>
          <w:vertAlign w:val="superscript"/>
        </w:rPr>
        <w:t>°</w:t>
      </w:r>
      <w:r w:rsidRPr="00500F8B">
        <w:rPr>
          <w:rFonts w:eastAsia="Calibri" w:cs="Times New Roman"/>
        </w:rPr>
        <w:t>C for 18 minutes</w:t>
      </w:r>
      <w:r w:rsidRPr="00500F8B">
        <w:rPr>
          <w:rFonts w:eastAsia="Calibri" w:cs="Times New Roman"/>
          <w:lang w:val="en"/>
        </w:rPr>
        <w:t xml:space="preserve"> </w:t>
      </w:r>
      <w:r w:rsidRPr="00500F8B">
        <w:rPr>
          <w:rFonts w:eastAsia="Calibri" w:cs="Times New Roman"/>
        </w:rPr>
        <w:t>reduced the TICU</w:t>
      </w:r>
      <w:r w:rsidRPr="00500F8B">
        <w:rPr>
          <w:rFonts w:eastAsia="Calibri" w:cs="Times New Roman"/>
          <w:vertAlign w:val="subscript"/>
        </w:rPr>
        <w:t>w</w:t>
      </w:r>
      <w:r w:rsidRPr="00500F8B">
        <w:rPr>
          <w:rFonts w:eastAsia="Calibri" w:cs="Times New Roman"/>
        </w:rPr>
        <w:t xml:space="preserve"> measure of the </w:t>
      </w:r>
      <w:r w:rsidRPr="00500F8B">
        <w:rPr>
          <w:rFonts w:eastAsia="Calibri" w:cs="Times New Roman"/>
          <w:lang w:val="en"/>
        </w:rPr>
        <w:t>RML prion strain</w:t>
      </w:r>
      <w:r w:rsidRPr="00500F8B">
        <w:rPr>
          <w:rFonts w:eastAsia="Calibri" w:cs="Times New Roman"/>
        </w:rPr>
        <w:t xml:space="preserve"> to 0.03, which is reported</w:t>
      </w:r>
      <w:r w:rsidRPr="00500F8B">
        <w:rPr>
          <w:rFonts w:eastAsia="Calibri" w:cs="Times New Roman"/>
          <w:lang w:val="en"/>
        </w:rPr>
        <w:t xml:space="preserve"> to be equivalent to a reduction of 5.5 logs (</w:t>
      </w:r>
      <w:r w:rsidRPr="00BD14CD">
        <w:rPr>
          <w:rFonts w:eastAsia="Calibri" w:cs="Times New Roman"/>
          <w:lang w:val="en"/>
        </w:rPr>
        <w:t xml:space="preserve">see </w:t>
      </w:r>
      <w:r w:rsidR="00BD14CD">
        <w:rPr>
          <w:rFonts w:eastAsia="Calibri" w:cs="Times New Roman"/>
          <w:highlight w:val="magenta"/>
          <w:lang w:val="en"/>
        </w:rPr>
        <w:fldChar w:fldCharType="begin"/>
      </w:r>
      <w:r w:rsidR="00BD14CD">
        <w:rPr>
          <w:rFonts w:eastAsia="Calibri" w:cs="Times New Roman"/>
          <w:highlight w:val="magenta"/>
          <w:lang w:val="en"/>
        </w:rPr>
        <w:instrText xml:space="preserve"> REF _Ref508886649 \h </w:instrText>
      </w:r>
      <w:r w:rsidR="00724BBD">
        <w:rPr>
          <w:rFonts w:eastAsia="Calibri" w:cs="Times New Roman"/>
          <w:highlight w:val="magenta"/>
          <w:lang w:val="en"/>
        </w:rPr>
        <w:instrText xml:space="preserve"> \* MERGEFORMAT </w:instrText>
      </w:r>
      <w:r w:rsidR="00BD14CD">
        <w:rPr>
          <w:rFonts w:eastAsia="Calibri" w:cs="Times New Roman"/>
          <w:highlight w:val="magenta"/>
          <w:lang w:val="en"/>
        </w:rPr>
      </w:r>
      <w:r w:rsidR="00BD14CD">
        <w:rPr>
          <w:rFonts w:eastAsia="Calibri" w:cs="Times New Roman"/>
          <w:highlight w:val="magenta"/>
          <w:lang w:val="en"/>
        </w:rPr>
        <w:fldChar w:fldCharType="separate"/>
      </w:r>
      <w:r w:rsidR="00690541">
        <w:rPr>
          <w:noProof/>
        </w:rPr>
        <w:t>Table</w:t>
      </w:r>
      <w:r w:rsidR="00690541">
        <w:t xml:space="preserve"> </w:t>
      </w:r>
      <w:r w:rsidR="00690541">
        <w:rPr>
          <w:noProof/>
        </w:rPr>
        <w:t>15</w:t>
      </w:r>
      <w:r w:rsidR="00BD14CD">
        <w:rPr>
          <w:rFonts w:eastAsia="Calibri" w:cs="Times New Roman"/>
          <w:highlight w:val="magenta"/>
          <w:lang w:val="en"/>
        </w:rPr>
        <w:fldChar w:fldCharType="end"/>
      </w:r>
      <w:r w:rsidR="00F66D4D">
        <w:rPr>
          <w:rFonts w:eastAsia="Calibri" w:cs="Times New Roman"/>
          <w:lang w:val="en"/>
        </w:rPr>
        <w:t>, above</w:t>
      </w:r>
      <w:r w:rsidRPr="00500F8B">
        <w:rPr>
          <w:rFonts w:eastAsia="Calibri" w:cs="Times New Roman"/>
          <w:lang w:val="en"/>
        </w:rPr>
        <w:t xml:space="preserve">). </w:t>
      </w:r>
    </w:p>
    <w:p w14:paraId="15AABB69" w14:textId="77777777" w:rsidR="00500F8B" w:rsidRPr="00500F8B" w:rsidRDefault="00500F8B" w:rsidP="00A27868">
      <w:pPr>
        <w:jc w:val="both"/>
        <w:rPr>
          <w:rFonts w:eastAsia="Calibri" w:cs="Times New Roman"/>
          <w:lang w:val="en"/>
        </w:rPr>
      </w:pPr>
    </w:p>
    <w:p w14:paraId="51E469C9" w14:textId="07AC2457" w:rsidR="00500F8B" w:rsidRPr="00500F8B" w:rsidRDefault="00500F8B" w:rsidP="00A27868">
      <w:pPr>
        <w:jc w:val="both"/>
        <w:rPr>
          <w:rFonts w:eastAsia="Calibri" w:cs="Times New Roman"/>
          <w:lang w:val="en"/>
        </w:rPr>
      </w:pPr>
      <w:r w:rsidRPr="00500F8B">
        <w:rPr>
          <w:rFonts w:eastAsia="Calibri" w:cs="Times New Roman"/>
          <w:lang w:val="en"/>
        </w:rPr>
        <w:t xml:space="preserve">The remaining studies all reported transmission rates. The transmission rates produced by autoclaving at </w:t>
      </w:r>
      <w:r w:rsidRPr="00500F8B">
        <w:rPr>
          <w:rFonts w:eastAsia="Calibri" w:cs="Times New Roman"/>
        </w:rPr>
        <w:t>134</w:t>
      </w:r>
      <w:r w:rsidRPr="00500F8B">
        <w:rPr>
          <w:rFonts w:eastAsia="Calibri" w:cs="Times New Roman"/>
          <w:vertAlign w:val="superscript"/>
        </w:rPr>
        <w:t>°</w:t>
      </w:r>
      <w:r w:rsidRPr="00500F8B">
        <w:rPr>
          <w:rFonts w:eastAsia="Calibri" w:cs="Times New Roman"/>
        </w:rPr>
        <w:t>C for 15 minutes</w:t>
      </w:r>
      <w:r w:rsidRPr="00500F8B">
        <w:rPr>
          <w:rFonts w:eastAsia="Calibri" w:cs="Times New Roman"/>
          <w:lang w:val="en"/>
        </w:rPr>
        <w:t xml:space="preserve"> and 30 minutes for the 301V BSE prion strain were 96% and 57% respectively, and for cattle BSE, 84% and 100% (Giles</w:t>
      </w:r>
      <w:r w:rsidR="00430EFD">
        <w:rPr>
          <w:rFonts w:eastAsia="Calibri" w:cs="Times New Roman"/>
          <w:lang w:val="en"/>
        </w:rPr>
        <w:t xml:space="preserve"> </w:t>
      </w:r>
      <w:r w:rsidR="00B301D6" w:rsidRPr="00B301D6">
        <w:rPr>
          <w:rFonts w:eastAsia="Calibri" w:cs="Times New Roman"/>
          <w:i/>
          <w:lang w:val="en"/>
        </w:rPr>
        <w:t>et al</w:t>
      </w:r>
      <w:r w:rsidR="00430EFD">
        <w:rPr>
          <w:rFonts w:eastAsia="Calibri" w:cs="Times New Roman"/>
          <w:lang w:val="en"/>
        </w:rPr>
        <w:t xml:space="preserve"> (</w:t>
      </w:r>
      <w:r w:rsidRPr="00500F8B">
        <w:rPr>
          <w:rFonts w:eastAsia="Calibri" w:cs="Times New Roman"/>
          <w:lang w:val="en"/>
        </w:rPr>
        <w:t>2008)</w:t>
      </w:r>
      <w:r w:rsidR="00DB67C1">
        <w:rPr>
          <w:rFonts w:eastAsia="Calibri" w:cs="Times New Roman"/>
          <w:lang w:val="en"/>
        </w:rPr>
        <w:fldChar w:fldCharType="begin">
          <w:fldData xml:space="preserve">PEVuZE5vdGU+PENpdGU+PEF1dGhvcj5HaWxlczwvQXV0aG9yPjxZZWFyPjIwMDg8L1llYXI+PFJl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PEVuZE5vdGU+PENpdGU+PEF1dGhvcj5HaWxlczwvQXV0aG9yPjxZZWFyPjIwMDg8L1llYXI+PFJl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184</w:t>
      </w:r>
      <w:r w:rsidR="00DB67C1">
        <w:rPr>
          <w:rFonts w:eastAsia="Calibri" w:cs="Times New Roman"/>
          <w:lang w:val="en"/>
        </w:rPr>
        <w:fldChar w:fldCharType="end"/>
      </w:r>
      <w:r w:rsidR="00430EFD">
        <w:rPr>
          <w:rFonts w:eastAsia="Calibri" w:cs="Times New Roman"/>
          <w:lang w:val="en"/>
        </w:rPr>
        <w:t>)</w:t>
      </w:r>
      <w:r w:rsidRPr="00500F8B">
        <w:rPr>
          <w:rFonts w:eastAsia="Calibri" w:cs="Times New Roman"/>
          <w:lang w:val="en"/>
        </w:rPr>
        <w:t xml:space="preserve">. The transmission rates produced by autoclaving at </w:t>
      </w:r>
      <w:r w:rsidRPr="00500F8B">
        <w:rPr>
          <w:rFonts w:eastAsia="Calibri" w:cs="Times New Roman"/>
        </w:rPr>
        <w:t>134</w:t>
      </w:r>
      <w:r w:rsidRPr="00500F8B">
        <w:rPr>
          <w:rFonts w:eastAsia="Calibri" w:cs="Times New Roman"/>
          <w:vertAlign w:val="superscript"/>
        </w:rPr>
        <w:t>°</w:t>
      </w:r>
      <w:r w:rsidRPr="00500F8B">
        <w:rPr>
          <w:rFonts w:eastAsia="Calibri" w:cs="Times New Roman"/>
        </w:rPr>
        <w:t>C for 2</w:t>
      </w:r>
      <w:r w:rsidRPr="00500F8B">
        <w:rPr>
          <w:rFonts w:eastAsia="Calibri" w:cs="Times New Roman"/>
          <w:lang w:val="en"/>
        </w:rPr>
        <w:t xml:space="preserve">0 minutes for the RML prion strain ranged from 25% (1/4) to 100% (13/13) in Tg20 mice and 0% (0/9) in CD-1 wild mice (Jackson </w:t>
      </w:r>
      <w:r w:rsidR="00B301D6" w:rsidRPr="00B301D6">
        <w:rPr>
          <w:rFonts w:eastAsia="Calibri" w:cs="Times New Roman"/>
          <w:i/>
          <w:lang w:val="en"/>
        </w:rPr>
        <w:t>et al</w:t>
      </w:r>
      <w:r w:rsidR="00B277F9">
        <w:rPr>
          <w:rFonts w:eastAsia="Calibri" w:cs="Times New Roman"/>
          <w:lang w:val="en"/>
        </w:rPr>
        <w:t xml:space="preserve"> (</w:t>
      </w:r>
      <w:r w:rsidRPr="00500F8B">
        <w:rPr>
          <w:rFonts w:eastAsia="Calibri" w:cs="Times New Roman"/>
          <w:lang w:val="en"/>
        </w:rPr>
        <w:t>2005</w:t>
      </w:r>
      <w:r w:rsidR="00B277F9">
        <w:rPr>
          <w:rFonts w:eastAsia="Calibri" w:cs="Times New Roman"/>
          <w:lang w:val="en"/>
        </w:rPr>
        <w:t>)</w:t>
      </w:r>
      <w:r w:rsidR="00DB67C1">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180</w:t>
      </w:r>
      <w:r w:rsidR="00DB67C1">
        <w:rPr>
          <w:rFonts w:eastAsia="Calibri" w:cs="Times New Roman"/>
          <w:lang w:val="en"/>
        </w:rPr>
        <w:fldChar w:fldCharType="end"/>
      </w:r>
      <w:r w:rsidRPr="00500F8B">
        <w:rPr>
          <w:rFonts w:eastAsia="Calibri" w:cs="Times New Roman"/>
          <w:lang w:val="en"/>
        </w:rPr>
        <w:t>). The unusually high transmission rate in the larger sample of Tg20 mice was explained by the autoclaving process being affected by partial sealing of the glass tubes containing the steel wires, which impaired the penetration of the steam (</w:t>
      </w:r>
      <w:r w:rsidR="00B277F9" w:rsidRPr="00500F8B">
        <w:rPr>
          <w:rFonts w:eastAsia="Calibri" w:cs="Times New Roman"/>
          <w:lang w:val="en"/>
        </w:rPr>
        <w:t xml:space="preserve">Jackson </w:t>
      </w:r>
      <w:r w:rsidR="00B301D6" w:rsidRPr="00B301D6">
        <w:rPr>
          <w:rFonts w:eastAsia="Calibri" w:cs="Times New Roman"/>
          <w:i/>
          <w:lang w:val="en"/>
        </w:rPr>
        <w:t>et al</w:t>
      </w:r>
      <w:r w:rsidR="00B277F9">
        <w:rPr>
          <w:rFonts w:eastAsia="Calibri" w:cs="Times New Roman"/>
          <w:lang w:val="en"/>
        </w:rPr>
        <w:t xml:space="preserve"> (</w:t>
      </w:r>
      <w:r w:rsidR="00B277F9" w:rsidRPr="00500F8B">
        <w:rPr>
          <w:rFonts w:eastAsia="Calibri" w:cs="Times New Roman"/>
          <w:lang w:val="en"/>
        </w:rPr>
        <w:t>2005</w:t>
      </w:r>
      <w:r w:rsidR="00B277F9">
        <w:rPr>
          <w:rFonts w:eastAsia="Calibri" w:cs="Times New Roman"/>
          <w:lang w:val="en"/>
        </w:rPr>
        <w:t>)</w:t>
      </w:r>
      <w:r w:rsidR="00DB67C1">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180</w:t>
      </w:r>
      <w:r w:rsidR="00DB67C1">
        <w:rPr>
          <w:rFonts w:eastAsia="Calibri" w:cs="Times New Roman"/>
          <w:lang w:val="en"/>
        </w:rPr>
        <w:fldChar w:fldCharType="end"/>
      </w:r>
      <w:r w:rsidRPr="00500F8B">
        <w:rPr>
          <w:rFonts w:eastAsia="Calibri" w:cs="Times New Roman"/>
          <w:lang w:val="en"/>
        </w:rPr>
        <w:t xml:space="preserve">). The transmission rates produced by autoclaving at </w:t>
      </w:r>
      <w:r w:rsidRPr="00500F8B">
        <w:rPr>
          <w:rFonts w:eastAsia="Calibri" w:cs="Times New Roman"/>
        </w:rPr>
        <w:t>121</w:t>
      </w:r>
      <w:r w:rsidRPr="00500F8B">
        <w:rPr>
          <w:rFonts w:eastAsia="Calibri" w:cs="Times New Roman"/>
          <w:vertAlign w:val="superscript"/>
        </w:rPr>
        <w:t>°</w:t>
      </w:r>
      <w:r w:rsidRPr="00500F8B">
        <w:rPr>
          <w:rFonts w:eastAsia="Calibri" w:cs="Times New Roman"/>
        </w:rPr>
        <w:t>C for 15 minutes</w:t>
      </w:r>
      <w:r w:rsidRPr="00500F8B">
        <w:rPr>
          <w:rFonts w:eastAsia="Calibri" w:cs="Times New Roman"/>
          <w:lang w:val="en"/>
        </w:rPr>
        <w:t xml:space="preserve"> and 30 minutes for the Sc237 prion strain were 100% and 20% respectively, and for sCJD, 22% and 0% (</w:t>
      </w:r>
      <w:r w:rsidR="00464F97" w:rsidRPr="00500F8B">
        <w:rPr>
          <w:rFonts w:eastAsia="Calibri" w:cs="Times New Roman"/>
          <w:lang w:val="en"/>
        </w:rPr>
        <w:t xml:space="preserve">Peretz </w:t>
      </w:r>
      <w:r w:rsidR="00B301D6" w:rsidRPr="00B301D6">
        <w:rPr>
          <w:rFonts w:eastAsia="Calibri" w:cs="Times New Roman"/>
          <w:i/>
          <w:lang w:val="en"/>
        </w:rPr>
        <w:t>et al</w:t>
      </w:r>
      <w:r w:rsidR="00464F97">
        <w:rPr>
          <w:rFonts w:eastAsia="Calibri" w:cs="Times New Roman"/>
          <w:lang w:val="en"/>
        </w:rPr>
        <w:t xml:space="preserve"> (</w:t>
      </w:r>
      <w:r w:rsidR="00464F97" w:rsidRPr="00500F8B">
        <w:rPr>
          <w:rFonts w:eastAsia="Calibri" w:cs="Times New Roman"/>
          <w:lang w:val="en"/>
        </w:rPr>
        <w:t>2006</w:t>
      </w:r>
      <w:r w:rsidR="00464F97">
        <w:rPr>
          <w:rFonts w:eastAsia="Calibri" w:cs="Times New Roman"/>
          <w:lang w:val="en"/>
        </w:rPr>
        <w:t>)</w:t>
      </w:r>
      <w:r w:rsidR="00DB67C1">
        <w:rPr>
          <w:rFonts w:eastAsia="Calibri" w:cs="Times New Roman"/>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181</w:t>
      </w:r>
      <w:r w:rsidR="00DB67C1">
        <w:rPr>
          <w:rFonts w:eastAsia="Calibri" w:cs="Times New Roman"/>
          <w:lang w:val="en"/>
        </w:rPr>
        <w:fldChar w:fldCharType="end"/>
      </w:r>
      <w:r w:rsidRPr="00500F8B">
        <w:rPr>
          <w:rFonts w:eastAsia="Calibri" w:cs="Times New Roman"/>
          <w:lang w:val="en"/>
        </w:rPr>
        <w:t xml:space="preserve">and </w:t>
      </w:r>
      <w:r w:rsidR="00464F97" w:rsidRPr="00500F8B">
        <w:rPr>
          <w:rFonts w:eastAsia="Calibri" w:cs="Times New Roman"/>
          <w:lang w:val="en"/>
        </w:rPr>
        <w:t>Giles</w:t>
      </w:r>
      <w:r w:rsidR="00464F97">
        <w:rPr>
          <w:rFonts w:eastAsia="Calibri" w:cs="Times New Roman"/>
          <w:lang w:val="en"/>
        </w:rPr>
        <w:t xml:space="preserve"> </w:t>
      </w:r>
      <w:r w:rsidR="00B301D6" w:rsidRPr="00B301D6">
        <w:rPr>
          <w:rFonts w:eastAsia="Calibri" w:cs="Times New Roman"/>
          <w:i/>
          <w:lang w:val="en"/>
        </w:rPr>
        <w:t>et al</w:t>
      </w:r>
      <w:r w:rsidR="00464F97" w:rsidRPr="00500F8B">
        <w:rPr>
          <w:rFonts w:eastAsia="Calibri" w:cs="Times New Roman"/>
          <w:lang w:val="en"/>
        </w:rPr>
        <w:t xml:space="preserve"> </w:t>
      </w:r>
      <w:r w:rsidR="00464F97">
        <w:rPr>
          <w:rFonts w:eastAsia="Calibri" w:cs="Times New Roman"/>
          <w:lang w:val="en"/>
        </w:rPr>
        <w:t>(</w:t>
      </w:r>
      <w:r w:rsidR="00464F97" w:rsidRPr="00500F8B">
        <w:rPr>
          <w:rFonts w:eastAsia="Calibri" w:cs="Times New Roman"/>
          <w:lang w:val="en"/>
        </w:rPr>
        <w:t>2007</w:t>
      </w:r>
      <w:r w:rsidR="00464F97">
        <w:rPr>
          <w:rFonts w:eastAsia="Calibri" w:cs="Times New Roman"/>
          <w:lang w:val="en"/>
        </w:rPr>
        <w:t>)</w:t>
      </w:r>
      <w:r w:rsidR="00DB67C1">
        <w:rPr>
          <w:rFonts w:eastAsia="Calibri" w:cs="Times New Roman"/>
          <w:lang w:val="en"/>
        </w:rPr>
        <w:fldChar w:fldCharType="begin"/>
      </w:r>
      <w:r w:rsidR="0076576E">
        <w:rPr>
          <w:rFonts w:eastAsia="Calibri" w:cs="Times New Roman"/>
          <w:lang w:val="en"/>
        </w:rPr>
        <w:instrText xml:space="preserve"> ADDIN EN.CITE &lt;EndNote&gt;&lt;Cite&gt;&lt;Author&gt;Giles&lt;/Author&gt;&lt;Year&gt;2007&lt;/Year&gt;&lt;RecNum&gt;8107&lt;/RecNum&gt;&lt;DisplayText&gt;&lt;style face="superscript"&gt;182&lt;/style&gt;&lt;/DisplayText&gt;&lt;record&gt;&lt;rec-number&gt;8107&lt;/rec-number&gt;&lt;foreign-keys&gt;&lt;key app="EN" db-id="vrp0pptazv05wtesfz5vrzsj2p0rv09ttsa9" timestamp="1506588727" guid="da4503b6-100c-4642-a682-ef295ed5e545"&gt;8107&lt;/key&gt;&lt;/foreign-keys&gt;&lt;ref-type name="Journal Article"&gt;17&lt;/ref-type&gt;&lt;contributors&gt;&lt;authors&gt;&lt;author&gt;Giles, K.&lt;/author&gt;&lt;author&gt;Supattapone, S.&lt;/author&gt;&lt;author&gt;Peretz, D.&lt;/author&gt;&lt;author&gt;Glidden, D. V.&lt;/author&gt;&lt;author&gt;Baron, H.&lt;/author&gt;&lt;author&gt;Prusiner, S. B.&lt;/author&gt;&lt;/authors&gt;&lt;/contributors&gt;&lt;titles&gt;&lt;title&gt;Disinfection of Prions&lt;/title&gt;&lt;secondary-title&gt;New Biocides Development: Combined Approach of Chemistry and Microbiology&lt;/secondary-title&gt;&lt;/titles&gt;&lt;periodical&gt;&lt;full-title&gt;New Biocides Development: Combined Approach of Chemistry and Microbiology&lt;/full-title&gt;&lt;/periodical&gt;&lt;pages&gt;52-74&lt;/pages&gt;&lt;volume&gt;967&lt;/volume&gt;&lt;keywords&gt;&lt;keyword&gt;$$CC_5_instrument decontamination&lt;/keyword&gt;&lt;keyword&gt;$$CJD relevant&lt;/keyword&gt;&lt;keyword&gt;$$5_instrument decontamination&lt;/keyword&gt;&lt;keyword&gt;$$ILL&lt;/keyword&gt;&lt;/keywords&gt;&lt;dates&gt;&lt;year&gt;2007&lt;/year&gt;&lt;/dates&gt;&lt;isbn&gt;978-0-8412-7405-1&lt;/isbn&gt;&lt;accession-num&gt;WOS:000269910600003&lt;/accession-num&gt;&lt;urls&gt;&lt;related-urls&gt;&lt;url&gt;&amp;lt;Go to ISI&amp;gt;://WOS:000269910600003&lt;/url&gt;&lt;/related-urls&gt;&lt;/urls&gt;&lt;/record&gt;&lt;/Cite&gt;&lt;/EndNote&gt;</w:instrText>
      </w:r>
      <w:r w:rsidR="00DB67C1">
        <w:rPr>
          <w:rFonts w:eastAsia="Calibri" w:cs="Times New Roman"/>
          <w:lang w:val="en"/>
        </w:rPr>
        <w:fldChar w:fldCharType="separate"/>
      </w:r>
      <w:r w:rsidR="0076576E" w:rsidRPr="0076576E">
        <w:rPr>
          <w:rFonts w:eastAsia="Calibri" w:cs="Times New Roman"/>
          <w:noProof/>
          <w:vertAlign w:val="superscript"/>
          <w:lang w:val="en"/>
        </w:rPr>
        <w:t>182</w:t>
      </w:r>
      <w:r w:rsidR="00DB67C1">
        <w:rPr>
          <w:rFonts w:eastAsia="Calibri" w:cs="Times New Roman"/>
          <w:lang w:val="en"/>
        </w:rPr>
        <w:fldChar w:fldCharType="end"/>
      </w:r>
      <w:r w:rsidRPr="00500F8B">
        <w:rPr>
          <w:rFonts w:eastAsia="Calibri" w:cs="Times New Roman"/>
          <w:lang w:val="en"/>
        </w:rPr>
        <w:t xml:space="preserve">). Finally, the transmission rates produced by autoclaving at </w:t>
      </w:r>
      <w:r w:rsidRPr="00500F8B">
        <w:rPr>
          <w:rFonts w:eastAsia="Calibri" w:cs="Times New Roman"/>
        </w:rPr>
        <w:t>134</w:t>
      </w:r>
      <w:r w:rsidRPr="00500F8B">
        <w:rPr>
          <w:rFonts w:eastAsia="Calibri" w:cs="Times New Roman"/>
          <w:vertAlign w:val="superscript"/>
        </w:rPr>
        <w:t>°</w:t>
      </w:r>
      <w:r w:rsidRPr="00500F8B">
        <w:rPr>
          <w:rFonts w:eastAsia="Calibri" w:cs="Times New Roman"/>
        </w:rPr>
        <w:t>C for 15 minutes</w:t>
      </w:r>
      <w:r w:rsidRPr="00500F8B">
        <w:rPr>
          <w:rFonts w:eastAsia="Calibri" w:cs="Times New Roman"/>
          <w:lang w:val="en"/>
        </w:rPr>
        <w:t xml:space="preserve"> and 30 minutes for the Sc237 prion strain were 87% and 55% respectively, and for sCJD, 73% and 63% (</w:t>
      </w:r>
      <w:r w:rsidR="00464F97" w:rsidRPr="00500F8B">
        <w:rPr>
          <w:rFonts w:eastAsia="Calibri" w:cs="Times New Roman"/>
          <w:lang w:val="en"/>
        </w:rPr>
        <w:t xml:space="preserve">Peretz </w:t>
      </w:r>
      <w:r w:rsidR="00B301D6" w:rsidRPr="00B301D6">
        <w:rPr>
          <w:rFonts w:eastAsia="Calibri" w:cs="Times New Roman"/>
          <w:i/>
          <w:lang w:val="en"/>
        </w:rPr>
        <w:t>et al</w:t>
      </w:r>
      <w:r w:rsidR="00464F97">
        <w:rPr>
          <w:rFonts w:eastAsia="Calibri" w:cs="Times New Roman"/>
          <w:lang w:val="en"/>
        </w:rPr>
        <w:t xml:space="preserve"> (</w:t>
      </w:r>
      <w:r w:rsidR="00464F97" w:rsidRPr="00500F8B">
        <w:rPr>
          <w:rFonts w:eastAsia="Calibri" w:cs="Times New Roman"/>
          <w:lang w:val="en"/>
        </w:rPr>
        <w:t>2006</w:t>
      </w:r>
      <w:r w:rsidR="00464F97">
        <w:rPr>
          <w:rFonts w:eastAsia="Calibri" w:cs="Times New Roman"/>
          <w:lang w:val="en"/>
        </w:rPr>
        <w:t>)</w:t>
      </w:r>
      <w:r w:rsidR="00DB67C1">
        <w:rPr>
          <w:rFonts w:eastAsia="Calibri" w:cs="Times New Roman"/>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181</w:t>
      </w:r>
      <w:r w:rsidR="00DB67C1">
        <w:rPr>
          <w:rFonts w:eastAsia="Calibri" w:cs="Times New Roman"/>
          <w:lang w:val="en"/>
        </w:rPr>
        <w:fldChar w:fldCharType="end"/>
      </w:r>
      <w:r w:rsidRPr="00500F8B">
        <w:rPr>
          <w:rFonts w:eastAsia="Calibri" w:cs="Times New Roman"/>
          <w:lang w:val="en"/>
        </w:rPr>
        <w:t>).</w:t>
      </w:r>
    </w:p>
    <w:p w14:paraId="1E9ADC6D" w14:textId="77777777" w:rsidR="00500F8B" w:rsidRPr="00500F8B" w:rsidRDefault="00500F8B" w:rsidP="00A27868">
      <w:pPr>
        <w:jc w:val="both"/>
        <w:rPr>
          <w:rFonts w:eastAsia="Calibri" w:cs="Times New Roman"/>
          <w:lang w:val="en"/>
        </w:rPr>
      </w:pPr>
    </w:p>
    <w:p w14:paraId="2F29B151" w14:textId="0EEE40AF" w:rsidR="00BD14CD" w:rsidRDefault="00BD14CD" w:rsidP="00A27868">
      <w:pPr>
        <w:pStyle w:val="Caption"/>
        <w:keepNext/>
        <w:spacing w:line="360" w:lineRule="auto"/>
        <w:ind w:left="1440" w:hanging="1440"/>
      </w:pPr>
      <w:bookmarkStart w:id="71" w:name="_Ref508886812"/>
      <w:bookmarkStart w:id="72" w:name="_Toc525106703"/>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16</w:t>
      </w:r>
      <w:r w:rsidR="00F62DB8">
        <w:rPr>
          <w:noProof/>
        </w:rPr>
        <w:fldChar w:fldCharType="end"/>
      </w:r>
      <w:bookmarkEnd w:id="71"/>
      <w:r w:rsidR="00A27868">
        <w:t>:</w:t>
      </w:r>
      <w:r w:rsidR="00A27868">
        <w:tab/>
      </w:r>
      <w:r w:rsidRPr="00FF2B3E">
        <w:t>Studies reporting infectivity (but not log reductions) from prion contamination on steel surfaces after autoclaving with and without other processes or decontamination processes without autoclaving</w:t>
      </w:r>
      <w:bookmarkEnd w:id="72"/>
    </w:p>
    <w:tbl>
      <w:tblPr>
        <w:tblStyle w:val="TableGrid3"/>
        <w:tblW w:w="0" w:type="auto"/>
        <w:tblLook w:val="04A0" w:firstRow="1" w:lastRow="0" w:firstColumn="1" w:lastColumn="0" w:noHBand="0" w:noVBand="1"/>
      </w:tblPr>
      <w:tblGrid>
        <w:gridCol w:w="1797"/>
        <w:gridCol w:w="903"/>
        <w:gridCol w:w="911"/>
        <w:gridCol w:w="850"/>
        <w:gridCol w:w="1473"/>
        <w:gridCol w:w="1778"/>
        <w:gridCol w:w="1304"/>
      </w:tblGrid>
      <w:tr w:rsidR="00BD14CD" w:rsidRPr="00BD14CD" w14:paraId="06E60551" w14:textId="77777777" w:rsidTr="00542D7E">
        <w:tc>
          <w:tcPr>
            <w:tcW w:w="1797" w:type="dxa"/>
            <w:vMerge w:val="restart"/>
          </w:tcPr>
          <w:p w14:paraId="2CC221AE"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Study</w:t>
            </w:r>
          </w:p>
        </w:tc>
        <w:tc>
          <w:tcPr>
            <w:tcW w:w="903" w:type="dxa"/>
            <w:vMerge w:val="restart"/>
          </w:tcPr>
          <w:p w14:paraId="2E92DB97"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Prion strain</w:t>
            </w:r>
          </w:p>
          <w:p w14:paraId="52FEFF5B" w14:textId="77777777" w:rsidR="00BD14CD" w:rsidRPr="00BD14CD" w:rsidRDefault="00BD14CD" w:rsidP="00A27868">
            <w:pPr>
              <w:spacing w:line="240" w:lineRule="auto"/>
              <w:rPr>
                <w:rFonts w:eastAsia="Calibri" w:cs="Times New Roman"/>
                <w:sz w:val="20"/>
                <w:szCs w:val="20"/>
              </w:rPr>
            </w:pPr>
          </w:p>
        </w:tc>
        <w:tc>
          <w:tcPr>
            <w:tcW w:w="911" w:type="dxa"/>
            <w:vMerge w:val="restart"/>
          </w:tcPr>
          <w:p w14:paraId="1B97152F"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Source material</w:t>
            </w:r>
          </w:p>
          <w:p w14:paraId="0E147EB9"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w/v)</w:t>
            </w:r>
          </w:p>
        </w:tc>
        <w:tc>
          <w:tcPr>
            <w:tcW w:w="850" w:type="dxa"/>
          </w:tcPr>
          <w:p w14:paraId="434E4018"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Steel</w:t>
            </w:r>
          </w:p>
        </w:tc>
        <w:tc>
          <w:tcPr>
            <w:tcW w:w="3251" w:type="dxa"/>
            <w:gridSpan w:val="2"/>
          </w:tcPr>
          <w:p w14:paraId="2BFDBE19" w14:textId="77777777" w:rsidR="00BD14CD" w:rsidRPr="00BD14CD" w:rsidRDefault="00BD14CD" w:rsidP="00A27868">
            <w:pPr>
              <w:spacing w:line="240" w:lineRule="auto"/>
              <w:jc w:val="center"/>
              <w:rPr>
                <w:rFonts w:eastAsia="Calibri" w:cs="Times New Roman"/>
                <w:sz w:val="20"/>
                <w:szCs w:val="20"/>
              </w:rPr>
            </w:pPr>
            <w:r w:rsidRPr="00BD14CD">
              <w:rPr>
                <w:rFonts w:eastAsia="Calibri" w:cs="Times New Roman"/>
                <w:sz w:val="20"/>
                <w:szCs w:val="20"/>
              </w:rPr>
              <w:t>Decontamination methods</w:t>
            </w:r>
          </w:p>
        </w:tc>
        <w:tc>
          <w:tcPr>
            <w:tcW w:w="1304" w:type="dxa"/>
            <w:vMerge w:val="restart"/>
          </w:tcPr>
          <w:p w14:paraId="407295B5"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Assay used</w:t>
            </w:r>
          </w:p>
        </w:tc>
      </w:tr>
      <w:tr w:rsidR="00BD14CD" w:rsidRPr="00BD14CD" w14:paraId="52F4B9E1" w14:textId="77777777" w:rsidTr="00542D7E">
        <w:tc>
          <w:tcPr>
            <w:tcW w:w="1797" w:type="dxa"/>
            <w:vMerge/>
          </w:tcPr>
          <w:p w14:paraId="4166AF9F" w14:textId="77777777" w:rsidR="00BD14CD" w:rsidRPr="00BD14CD" w:rsidRDefault="00BD14CD" w:rsidP="00A27868">
            <w:pPr>
              <w:spacing w:line="240" w:lineRule="auto"/>
              <w:rPr>
                <w:rFonts w:eastAsia="Calibri" w:cs="Times New Roman"/>
                <w:sz w:val="20"/>
                <w:szCs w:val="20"/>
              </w:rPr>
            </w:pPr>
          </w:p>
        </w:tc>
        <w:tc>
          <w:tcPr>
            <w:tcW w:w="903" w:type="dxa"/>
            <w:vMerge/>
          </w:tcPr>
          <w:p w14:paraId="1B6C2D46" w14:textId="77777777" w:rsidR="00BD14CD" w:rsidRPr="00BD14CD" w:rsidRDefault="00BD14CD" w:rsidP="00A27868">
            <w:pPr>
              <w:spacing w:line="240" w:lineRule="auto"/>
              <w:rPr>
                <w:rFonts w:eastAsia="Calibri" w:cs="Times New Roman"/>
                <w:sz w:val="20"/>
                <w:szCs w:val="20"/>
              </w:rPr>
            </w:pPr>
          </w:p>
        </w:tc>
        <w:tc>
          <w:tcPr>
            <w:tcW w:w="911" w:type="dxa"/>
            <w:vMerge/>
          </w:tcPr>
          <w:p w14:paraId="201186FC" w14:textId="77777777" w:rsidR="00BD14CD" w:rsidRPr="00BD14CD" w:rsidRDefault="00BD14CD" w:rsidP="00A27868">
            <w:pPr>
              <w:spacing w:line="240" w:lineRule="auto"/>
              <w:rPr>
                <w:rFonts w:eastAsia="Calibri" w:cs="Times New Roman"/>
                <w:sz w:val="20"/>
                <w:szCs w:val="20"/>
              </w:rPr>
            </w:pPr>
          </w:p>
        </w:tc>
        <w:tc>
          <w:tcPr>
            <w:tcW w:w="850" w:type="dxa"/>
          </w:tcPr>
          <w:p w14:paraId="5B743FFF" w14:textId="77777777" w:rsidR="00BD14CD" w:rsidRPr="00BD14CD" w:rsidRDefault="00BD14CD" w:rsidP="00A27868">
            <w:pPr>
              <w:spacing w:line="240" w:lineRule="auto"/>
              <w:rPr>
                <w:rFonts w:eastAsia="Calibri" w:cs="Times New Roman"/>
                <w:sz w:val="20"/>
                <w:szCs w:val="20"/>
              </w:rPr>
            </w:pPr>
          </w:p>
        </w:tc>
        <w:tc>
          <w:tcPr>
            <w:tcW w:w="1473" w:type="dxa"/>
          </w:tcPr>
          <w:p w14:paraId="15C7FA4C"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xml:space="preserve">Autoclaving </w:t>
            </w:r>
          </w:p>
        </w:tc>
        <w:tc>
          <w:tcPr>
            <w:tcW w:w="1778" w:type="dxa"/>
          </w:tcPr>
          <w:p w14:paraId="33D9F539"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Other</w:t>
            </w:r>
          </w:p>
          <w:p w14:paraId="4BA16DB6" w14:textId="77777777" w:rsidR="00BD14CD" w:rsidRPr="00BD14CD" w:rsidRDefault="00BD14CD" w:rsidP="00A27868">
            <w:pPr>
              <w:spacing w:line="240" w:lineRule="auto"/>
              <w:rPr>
                <w:rFonts w:eastAsia="Calibri" w:cs="Times New Roman"/>
                <w:sz w:val="20"/>
                <w:szCs w:val="20"/>
              </w:rPr>
            </w:pPr>
          </w:p>
        </w:tc>
        <w:tc>
          <w:tcPr>
            <w:tcW w:w="1304" w:type="dxa"/>
            <w:vMerge/>
          </w:tcPr>
          <w:p w14:paraId="0AFACF70" w14:textId="77777777" w:rsidR="00BD14CD" w:rsidRPr="00BD14CD" w:rsidRDefault="00BD14CD" w:rsidP="00A27868">
            <w:pPr>
              <w:spacing w:line="240" w:lineRule="auto"/>
              <w:rPr>
                <w:rFonts w:eastAsia="Calibri" w:cs="Times New Roman"/>
                <w:sz w:val="20"/>
                <w:szCs w:val="20"/>
              </w:rPr>
            </w:pPr>
          </w:p>
        </w:tc>
      </w:tr>
      <w:tr w:rsidR="00BD14CD" w:rsidRPr="00BD14CD" w14:paraId="3FAE042B" w14:textId="77777777" w:rsidTr="00542D7E">
        <w:tc>
          <w:tcPr>
            <w:tcW w:w="1797" w:type="dxa"/>
          </w:tcPr>
          <w:p w14:paraId="118BBD70" w14:textId="3408374B" w:rsidR="00BD14CD" w:rsidRPr="00542D7E" w:rsidRDefault="00542D7E" w:rsidP="0076576E">
            <w:pPr>
              <w:spacing w:line="240" w:lineRule="auto"/>
              <w:rPr>
                <w:rFonts w:eastAsia="Calibri" w:cs="Times New Roman"/>
                <w:sz w:val="20"/>
                <w:szCs w:val="20"/>
              </w:rPr>
            </w:pPr>
            <w:r w:rsidRPr="00542D7E">
              <w:rPr>
                <w:rFonts w:eastAsia="Calibri" w:cs="Times New Roman"/>
                <w:sz w:val="20"/>
                <w:szCs w:val="20"/>
                <w:lang w:val="en"/>
              </w:rPr>
              <w:t xml:space="preserve">Baxter </w:t>
            </w:r>
            <w:r w:rsidR="00B301D6" w:rsidRPr="00B301D6">
              <w:rPr>
                <w:rFonts w:eastAsia="Calibri" w:cs="Times New Roman"/>
                <w:i/>
                <w:sz w:val="20"/>
                <w:szCs w:val="20"/>
                <w:lang w:val="en"/>
              </w:rPr>
              <w:t>et al</w:t>
            </w:r>
            <w:r w:rsidRPr="00542D7E">
              <w:rPr>
                <w:rFonts w:eastAsia="Calibri" w:cs="Times New Roman"/>
                <w:sz w:val="20"/>
                <w:szCs w:val="20"/>
                <w:lang w:val="en"/>
              </w:rPr>
              <w:t xml:space="preserve"> (2005)</w:t>
            </w:r>
            <w:r w:rsidRPr="00542D7E">
              <w:rPr>
                <w:rFonts w:eastAsia="Calibri" w:cs="Times New Roman"/>
                <w:sz w:val="20"/>
                <w:szCs w:val="20"/>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sz w:val="20"/>
                <w:szCs w:val="20"/>
                <w:lang w:val="en"/>
              </w:rPr>
              <w:instrText xml:space="preserve"> ADDIN EN.CITE </w:instrText>
            </w:r>
            <w:r w:rsidR="0076576E">
              <w:rPr>
                <w:rFonts w:eastAsia="Calibri" w:cs="Times New Roman"/>
                <w:sz w:val="20"/>
                <w:szCs w:val="20"/>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sz w:val="20"/>
                <w:szCs w:val="20"/>
                <w:lang w:val="en"/>
              </w:rPr>
              <w:instrText xml:space="preserve"> ADDIN EN.CITE.DATA </w:instrText>
            </w:r>
            <w:r w:rsidR="0076576E">
              <w:rPr>
                <w:rFonts w:eastAsia="Calibri" w:cs="Times New Roman"/>
                <w:sz w:val="20"/>
                <w:szCs w:val="20"/>
                <w:lang w:val="en"/>
              </w:rPr>
            </w:r>
            <w:r w:rsidR="0076576E">
              <w:rPr>
                <w:rFonts w:eastAsia="Calibri" w:cs="Times New Roman"/>
                <w:sz w:val="20"/>
                <w:szCs w:val="20"/>
                <w:lang w:val="en"/>
              </w:rPr>
              <w:fldChar w:fldCharType="end"/>
            </w:r>
            <w:r w:rsidRPr="00542D7E">
              <w:rPr>
                <w:rFonts w:eastAsia="Calibri" w:cs="Times New Roman"/>
                <w:sz w:val="20"/>
                <w:szCs w:val="20"/>
                <w:lang w:val="en"/>
              </w:rPr>
            </w:r>
            <w:r w:rsidRPr="00542D7E">
              <w:rPr>
                <w:rFonts w:eastAsia="Calibri" w:cs="Times New Roman"/>
                <w:sz w:val="20"/>
                <w:szCs w:val="20"/>
                <w:lang w:val="en"/>
              </w:rPr>
              <w:fldChar w:fldCharType="separate"/>
            </w:r>
            <w:r w:rsidR="0076576E" w:rsidRPr="0076576E">
              <w:rPr>
                <w:rFonts w:eastAsia="Calibri" w:cs="Times New Roman"/>
                <w:noProof/>
                <w:sz w:val="20"/>
                <w:szCs w:val="20"/>
                <w:vertAlign w:val="superscript"/>
                <w:lang w:val="en"/>
              </w:rPr>
              <w:t>183</w:t>
            </w:r>
            <w:r w:rsidRPr="00542D7E">
              <w:rPr>
                <w:rFonts w:eastAsia="Calibri" w:cs="Times New Roman"/>
                <w:sz w:val="20"/>
                <w:szCs w:val="20"/>
                <w:lang w:val="en"/>
              </w:rPr>
              <w:fldChar w:fldCharType="end"/>
            </w:r>
          </w:p>
        </w:tc>
        <w:tc>
          <w:tcPr>
            <w:tcW w:w="903" w:type="dxa"/>
          </w:tcPr>
          <w:p w14:paraId="38EF3D37"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xml:space="preserve">263K </w:t>
            </w:r>
          </w:p>
        </w:tc>
        <w:tc>
          <w:tcPr>
            <w:tcW w:w="911" w:type="dxa"/>
          </w:tcPr>
          <w:p w14:paraId="4D0C446A"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BH (20%)</w:t>
            </w:r>
          </w:p>
        </w:tc>
        <w:tc>
          <w:tcPr>
            <w:tcW w:w="850" w:type="dxa"/>
          </w:tcPr>
          <w:p w14:paraId="6AA983C0"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Spheres</w:t>
            </w:r>
          </w:p>
        </w:tc>
        <w:tc>
          <w:tcPr>
            <w:tcW w:w="1473" w:type="dxa"/>
          </w:tcPr>
          <w:p w14:paraId="04305683"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137</w:t>
            </w:r>
            <w:r w:rsidRPr="00BD14CD">
              <w:rPr>
                <w:rFonts w:eastAsia="Calibri" w:cs="Times New Roman"/>
                <w:sz w:val="20"/>
                <w:szCs w:val="20"/>
                <w:vertAlign w:val="superscript"/>
              </w:rPr>
              <w:t>°</w:t>
            </w:r>
            <w:r w:rsidRPr="00BD14CD">
              <w:rPr>
                <w:rFonts w:eastAsia="Calibri" w:cs="Times New Roman"/>
                <w:sz w:val="20"/>
                <w:szCs w:val="20"/>
              </w:rPr>
              <w:t>C - 18 mins</w:t>
            </w:r>
          </w:p>
        </w:tc>
        <w:tc>
          <w:tcPr>
            <w:tcW w:w="1778" w:type="dxa"/>
          </w:tcPr>
          <w:p w14:paraId="4D73996F"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Trigene disinfectant</w:t>
            </w:r>
          </w:p>
          <w:p w14:paraId="66D219DA"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Radio-frequency (RF) gas plasma</w:t>
            </w:r>
          </w:p>
        </w:tc>
        <w:tc>
          <w:tcPr>
            <w:tcW w:w="1304" w:type="dxa"/>
          </w:tcPr>
          <w:p w14:paraId="2536BAEE"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Hamsters</w:t>
            </w:r>
          </w:p>
        </w:tc>
      </w:tr>
      <w:tr w:rsidR="00BD14CD" w:rsidRPr="00BD14CD" w14:paraId="592C3C36" w14:textId="77777777" w:rsidTr="00542D7E">
        <w:tc>
          <w:tcPr>
            <w:tcW w:w="1797" w:type="dxa"/>
          </w:tcPr>
          <w:p w14:paraId="11E2B8F2" w14:textId="28E06120" w:rsidR="00BD14CD" w:rsidRPr="00542D7E" w:rsidRDefault="00542D7E" w:rsidP="0076576E">
            <w:pPr>
              <w:spacing w:line="240" w:lineRule="auto"/>
              <w:rPr>
                <w:rFonts w:eastAsia="Calibri" w:cs="Times New Roman"/>
                <w:sz w:val="20"/>
                <w:szCs w:val="20"/>
              </w:rPr>
            </w:pPr>
            <w:r w:rsidRPr="00542D7E">
              <w:rPr>
                <w:rFonts w:eastAsia="Calibri" w:cs="Times New Roman"/>
                <w:sz w:val="20"/>
                <w:szCs w:val="20"/>
                <w:lang w:val="en"/>
              </w:rPr>
              <w:t xml:space="preserve">Edgeworth </w:t>
            </w:r>
            <w:r w:rsidR="00B301D6" w:rsidRPr="00B301D6">
              <w:rPr>
                <w:rFonts w:eastAsia="Calibri" w:cs="Times New Roman"/>
                <w:i/>
                <w:sz w:val="20"/>
                <w:szCs w:val="20"/>
                <w:lang w:val="en"/>
              </w:rPr>
              <w:t>et al</w:t>
            </w:r>
            <w:r w:rsidRPr="00542D7E">
              <w:rPr>
                <w:rFonts w:eastAsia="Calibri" w:cs="Times New Roman"/>
                <w:sz w:val="20"/>
                <w:szCs w:val="20"/>
                <w:lang w:val="en"/>
              </w:rPr>
              <w:t xml:space="preserve"> (2011)</w:t>
            </w:r>
            <w:r w:rsidRPr="00542D7E">
              <w:rPr>
                <w:rFonts w:eastAsia="Calibri" w:cs="Times New Roman"/>
                <w:sz w:val="20"/>
                <w:szCs w:val="20"/>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eastAsia="Calibri" w:cs="Times New Roman"/>
                <w:sz w:val="20"/>
                <w:szCs w:val="20"/>
                <w:lang w:val="en"/>
              </w:rPr>
              <w:instrText xml:space="preserve"> ADDIN EN.CITE </w:instrText>
            </w:r>
            <w:r w:rsidR="0076576E">
              <w:rPr>
                <w:rFonts w:eastAsia="Calibri" w:cs="Times New Roman"/>
                <w:sz w:val="20"/>
                <w:szCs w:val="20"/>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eastAsia="Calibri" w:cs="Times New Roman"/>
                <w:sz w:val="20"/>
                <w:szCs w:val="20"/>
                <w:lang w:val="en"/>
              </w:rPr>
              <w:instrText xml:space="preserve"> ADDIN EN.CITE.DATA </w:instrText>
            </w:r>
            <w:r w:rsidR="0076576E">
              <w:rPr>
                <w:rFonts w:eastAsia="Calibri" w:cs="Times New Roman"/>
                <w:sz w:val="20"/>
                <w:szCs w:val="20"/>
                <w:lang w:val="en"/>
              </w:rPr>
            </w:r>
            <w:r w:rsidR="0076576E">
              <w:rPr>
                <w:rFonts w:eastAsia="Calibri" w:cs="Times New Roman"/>
                <w:sz w:val="20"/>
                <w:szCs w:val="20"/>
                <w:lang w:val="en"/>
              </w:rPr>
              <w:fldChar w:fldCharType="end"/>
            </w:r>
            <w:r w:rsidRPr="00542D7E">
              <w:rPr>
                <w:rFonts w:eastAsia="Calibri" w:cs="Times New Roman"/>
                <w:sz w:val="20"/>
                <w:szCs w:val="20"/>
                <w:lang w:val="en"/>
              </w:rPr>
            </w:r>
            <w:r w:rsidRPr="00542D7E">
              <w:rPr>
                <w:rFonts w:eastAsia="Calibri" w:cs="Times New Roman"/>
                <w:sz w:val="20"/>
                <w:szCs w:val="20"/>
                <w:lang w:val="en"/>
              </w:rPr>
              <w:fldChar w:fldCharType="separate"/>
            </w:r>
            <w:r w:rsidR="0076576E" w:rsidRPr="0076576E">
              <w:rPr>
                <w:rFonts w:eastAsia="Calibri" w:cs="Times New Roman"/>
                <w:noProof/>
                <w:sz w:val="20"/>
                <w:szCs w:val="20"/>
                <w:vertAlign w:val="superscript"/>
                <w:lang w:val="en"/>
              </w:rPr>
              <w:t>179</w:t>
            </w:r>
            <w:r w:rsidRPr="00542D7E">
              <w:rPr>
                <w:rFonts w:eastAsia="Calibri" w:cs="Times New Roman"/>
                <w:sz w:val="20"/>
                <w:szCs w:val="20"/>
                <w:lang w:val="en"/>
              </w:rPr>
              <w:fldChar w:fldCharType="end"/>
            </w:r>
          </w:p>
        </w:tc>
        <w:tc>
          <w:tcPr>
            <w:tcW w:w="903" w:type="dxa"/>
          </w:tcPr>
          <w:p w14:paraId="41DDCECA"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RML</w:t>
            </w:r>
          </w:p>
        </w:tc>
        <w:tc>
          <w:tcPr>
            <w:tcW w:w="911" w:type="dxa"/>
          </w:tcPr>
          <w:p w14:paraId="75530208"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BH</w:t>
            </w:r>
          </w:p>
          <w:p w14:paraId="0C81E745"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(10%)</w:t>
            </w:r>
          </w:p>
        </w:tc>
        <w:tc>
          <w:tcPr>
            <w:tcW w:w="850" w:type="dxa"/>
          </w:tcPr>
          <w:p w14:paraId="6E91E701"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Wires</w:t>
            </w:r>
          </w:p>
        </w:tc>
        <w:tc>
          <w:tcPr>
            <w:tcW w:w="1473" w:type="dxa"/>
          </w:tcPr>
          <w:p w14:paraId="6E580041"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- 18 mins</w:t>
            </w:r>
          </w:p>
          <w:p w14:paraId="410EB739" w14:textId="77777777" w:rsidR="00BD14CD" w:rsidRPr="00BD14CD" w:rsidRDefault="00BD14CD" w:rsidP="00A27868">
            <w:pPr>
              <w:spacing w:line="240" w:lineRule="auto"/>
              <w:rPr>
                <w:rFonts w:eastAsia="Calibri" w:cs="Times New Roman"/>
                <w:sz w:val="20"/>
                <w:szCs w:val="20"/>
              </w:rPr>
            </w:pPr>
          </w:p>
        </w:tc>
        <w:tc>
          <w:tcPr>
            <w:tcW w:w="1778" w:type="dxa"/>
          </w:tcPr>
          <w:p w14:paraId="6C97D80D"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xml:space="preserve">Rely+On </w:t>
            </w:r>
          </w:p>
          <w:p w14:paraId="18485C77"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Prionzyme</w:t>
            </w:r>
          </w:p>
          <w:p w14:paraId="2B1010E1"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HAMO100 PID 8% and 1.6%</w:t>
            </w:r>
          </w:p>
          <w:p w14:paraId="226464CD"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2 M NaOH</w:t>
            </w:r>
          </w:p>
          <w:p w14:paraId="007BD6E1"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NaOCl 20%</w:t>
            </w:r>
          </w:p>
        </w:tc>
        <w:tc>
          <w:tcPr>
            <w:tcW w:w="1304" w:type="dxa"/>
          </w:tcPr>
          <w:p w14:paraId="29EF3761"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SSBA</w:t>
            </w:r>
          </w:p>
        </w:tc>
      </w:tr>
      <w:tr w:rsidR="00BD14CD" w:rsidRPr="00BD14CD" w14:paraId="3E4CDD91" w14:textId="77777777" w:rsidTr="00542D7E">
        <w:tc>
          <w:tcPr>
            <w:tcW w:w="1797" w:type="dxa"/>
          </w:tcPr>
          <w:p w14:paraId="110EBCE6" w14:textId="045528B5" w:rsidR="00BD14CD" w:rsidRPr="00542D7E" w:rsidRDefault="00542D7E" w:rsidP="0076576E">
            <w:pPr>
              <w:spacing w:line="240" w:lineRule="auto"/>
              <w:rPr>
                <w:rFonts w:eastAsia="Calibri" w:cs="Times New Roman"/>
                <w:sz w:val="20"/>
                <w:szCs w:val="20"/>
              </w:rPr>
            </w:pPr>
            <w:r w:rsidRPr="00542D7E">
              <w:rPr>
                <w:rFonts w:eastAsia="Calibri" w:cs="Times New Roman"/>
                <w:sz w:val="20"/>
                <w:szCs w:val="20"/>
                <w:lang w:val="en"/>
              </w:rPr>
              <w:t xml:space="preserve">Giles </w:t>
            </w:r>
            <w:r w:rsidR="00B301D6" w:rsidRPr="00B301D6">
              <w:rPr>
                <w:rFonts w:eastAsia="Calibri" w:cs="Times New Roman"/>
                <w:i/>
                <w:sz w:val="20"/>
                <w:szCs w:val="20"/>
                <w:lang w:val="en"/>
              </w:rPr>
              <w:t>et al</w:t>
            </w:r>
            <w:r w:rsidRPr="00542D7E">
              <w:rPr>
                <w:rFonts w:eastAsia="Calibri" w:cs="Times New Roman"/>
                <w:sz w:val="20"/>
                <w:szCs w:val="20"/>
                <w:lang w:val="en"/>
              </w:rPr>
              <w:t xml:space="preserve"> (2007)</w:t>
            </w:r>
            <w:r w:rsidRPr="00542D7E">
              <w:rPr>
                <w:rFonts w:eastAsia="Calibri" w:cs="Times New Roman"/>
                <w:sz w:val="20"/>
                <w:szCs w:val="20"/>
                <w:lang w:val="en"/>
              </w:rPr>
              <w:fldChar w:fldCharType="begin"/>
            </w:r>
            <w:r w:rsidR="0076576E">
              <w:rPr>
                <w:rFonts w:eastAsia="Calibri" w:cs="Times New Roman"/>
                <w:sz w:val="20"/>
                <w:szCs w:val="20"/>
                <w:lang w:val="en"/>
              </w:rPr>
              <w:instrText xml:space="preserve"> ADDIN EN.CITE &lt;EndNote&gt;&lt;Cite&gt;&lt;Author&gt;Giles&lt;/Author&gt;&lt;Year&gt;2007&lt;/Year&gt;&lt;RecNum&gt;8107&lt;/RecNum&gt;&lt;DisplayText&gt;&lt;style face="superscript"&gt;182&lt;/style&gt;&lt;/DisplayText&gt;&lt;record&gt;&lt;rec-number&gt;8107&lt;/rec-number&gt;&lt;foreign-keys&gt;&lt;key app="EN" db-id="vrp0pptazv05wtesfz5vrzsj2p0rv09ttsa9" timestamp="1506588727" guid="da4503b6-100c-4642-a682-ef295ed5e545"&gt;8107&lt;/key&gt;&lt;/foreign-keys&gt;&lt;ref-type name="Journal Article"&gt;17&lt;/ref-type&gt;&lt;contributors&gt;&lt;authors&gt;&lt;author&gt;Giles, K.&lt;/author&gt;&lt;author&gt;Supattapone, S.&lt;/author&gt;&lt;author&gt;Peretz, D.&lt;/author&gt;&lt;author&gt;Glidden, D. V.&lt;/author&gt;&lt;author&gt;Baron, H.&lt;/author&gt;&lt;author&gt;Prusiner, S. B.&lt;/author&gt;&lt;/authors&gt;&lt;/contributors&gt;&lt;titles&gt;&lt;title&gt;Disinfection of Prions&lt;/title&gt;&lt;secondary-title&gt;New Biocides Development: Combined Approach of Chemistry and Microbiology&lt;/secondary-title&gt;&lt;/titles&gt;&lt;periodical&gt;&lt;full-title&gt;New Biocides Development: Combined Approach of Chemistry and Microbiology&lt;/full-title&gt;&lt;/periodical&gt;&lt;pages&gt;52-74&lt;/pages&gt;&lt;volume&gt;967&lt;/volume&gt;&lt;keywords&gt;&lt;keyword&gt;$$CC_5_instrument decontamination&lt;/keyword&gt;&lt;keyword&gt;$$CJD relevant&lt;/keyword&gt;&lt;keyword&gt;$$5_instrument decontamination&lt;/keyword&gt;&lt;keyword&gt;$$ILL&lt;/keyword&gt;&lt;/keywords&gt;&lt;dates&gt;&lt;year&gt;2007&lt;/year&gt;&lt;/dates&gt;&lt;isbn&gt;978-0-8412-7405-1&lt;/isbn&gt;&lt;accession-num&gt;WOS:000269910600003&lt;/accession-num&gt;&lt;urls&gt;&lt;related-urls&gt;&lt;url&gt;&amp;lt;Go to ISI&amp;gt;://WOS:000269910600003&lt;/url&gt;&lt;/related-urls&gt;&lt;/urls&gt;&lt;/record&gt;&lt;/Cite&gt;&lt;/EndNote&gt;</w:instrText>
            </w:r>
            <w:r w:rsidRPr="00542D7E">
              <w:rPr>
                <w:rFonts w:eastAsia="Calibri" w:cs="Times New Roman"/>
                <w:sz w:val="20"/>
                <w:szCs w:val="20"/>
                <w:lang w:val="en"/>
              </w:rPr>
              <w:fldChar w:fldCharType="separate"/>
            </w:r>
            <w:r w:rsidR="0076576E" w:rsidRPr="0076576E">
              <w:rPr>
                <w:rFonts w:eastAsia="Calibri" w:cs="Times New Roman"/>
                <w:noProof/>
                <w:sz w:val="20"/>
                <w:szCs w:val="20"/>
                <w:vertAlign w:val="superscript"/>
                <w:lang w:val="en"/>
              </w:rPr>
              <w:t>182</w:t>
            </w:r>
            <w:r w:rsidRPr="00542D7E">
              <w:rPr>
                <w:rFonts w:eastAsia="Calibri" w:cs="Times New Roman"/>
                <w:sz w:val="20"/>
                <w:szCs w:val="20"/>
                <w:lang w:val="en"/>
              </w:rPr>
              <w:fldChar w:fldCharType="end"/>
            </w:r>
          </w:p>
        </w:tc>
        <w:tc>
          <w:tcPr>
            <w:tcW w:w="903" w:type="dxa"/>
          </w:tcPr>
          <w:p w14:paraId="7D71741B"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xml:space="preserve">Sc237 </w:t>
            </w:r>
          </w:p>
          <w:p w14:paraId="048024A0"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sCJD</w:t>
            </w:r>
          </w:p>
          <w:p w14:paraId="4309C87F" w14:textId="77777777" w:rsidR="00BD14CD" w:rsidRPr="00BD14CD" w:rsidRDefault="00BD14CD" w:rsidP="00A27868">
            <w:pPr>
              <w:spacing w:line="240" w:lineRule="auto"/>
              <w:rPr>
                <w:rFonts w:eastAsia="Calibri" w:cs="Times New Roman"/>
                <w:sz w:val="20"/>
                <w:szCs w:val="20"/>
              </w:rPr>
            </w:pPr>
          </w:p>
        </w:tc>
        <w:tc>
          <w:tcPr>
            <w:tcW w:w="911" w:type="dxa"/>
          </w:tcPr>
          <w:p w14:paraId="695D76B8"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BH</w:t>
            </w:r>
          </w:p>
          <w:p w14:paraId="41A04EBB"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(10%)</w:t>
            </w:r>
          </w:p>
        </w:tc>
        <w:tc>
          <w:tcPr>
            <w:tcW w:w="850" w:type="dxa"/>
          </w:tcPr>
          <w:p w14:paraId="3DF92643"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Wires</w:t>
            </w:r>
          </w:p>
        </w:tc>
        <w:tc>
          <w:tcPr>
            <w:tcW w:w="1473" w:type="dxa"/>
          </w:tcPr>
          <w:p w14:paraId="1A3DB960"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65</w:t>
            </w:r>
            <w:r w:rsidRPr="00BD14CD">
              <w:rPr>
                <w:rFonts w:eastAsia="Calibri" w:cs="Times New Roman"/>
                <w:sz w:val="20"/>
                <w:szCs w:val="20"/>
                <w:vertAlign w:val="superscript"/>
              </w:rPr>
              <w:t>°</w:t>
            </w:r>
            <w:r w:rsidRPr="00BD14CD">
              <w:rPr>
                <w:rFonts w:eastAsia="Calibri" w:cs="Times New Roman"/>
                <w:sz w:val="20"/>
                <w:szCs w:val="20"/>
              </w:rPr>
              <w:t>C – 30 mins, 120 mins, 18 hours</w:t>
            </w:r>
          </w:p>
          <w:p w14:paraId="4CFD53F8"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15, 30, 120 mins</w:t>
            </w:r>
          </w:p>
          <w:p w14:paraId="2D8B1E7F" w14:textId="77777777" w:rsidR="00BD14CD" w:rsidRPr="00BD14CD" w:rsidRDefault="00BD14CD" w:rsidP="00A27868">
            <w:pPr>
              <w:spacing w:line="240" w:lineRule="auto"/>
              <w:rPr>
                <w:rFonts w:eastAsia="Calibri" w:cs="Times New Roman"/>
                <w:sz w:val="20"/>
                <w:szCs w:val="20"/>
              </w:rPr>
            </w:pPr>
          </w:p>
        </w:tc>
        <w:tc>
          <w:tcPr>
            <w:tcW w:w="1778" w:type="dxa"/>
          </w:tcPr>
          <w:p w14:paraId="4D1DB9F7"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xml:space="preserve">2% SDS + 1% AcOH </w:t>
            </w:r>
          </w:p>
          <w:p w14:paraId="08740BAE"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xml:space="preserve"> </w:t>
            </w:r>
          </w:p>
        </w:tc>
        <w:tc>
          <w:tcPr>
            <w:tcW w:w="1304" w:type="dxa"/>
          </w:tcPr>
          <w:p w14:paraId="66F0C89B"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xml:space="preserve">Tg7 and Tg23372 mice </w:t>
            </w:r>
          </w:p>
        </w:tc>
      </w:tr>
      <w:tr w:rsidR="00BD14CD" w:rsidRPr="00BD14CD" w14:paraId="11E3BFE8" w14:textId="77777777" w:rsidTr="00542D7E">
        <w:tc>
          <w:tcPr>
            <w:tcW w:w="1797" w:type="dxa"/>
          </w:tcPr>
          <w:p w14:paraId="25DCD5CD" w14:textId="66E25E0E" w:rsidR="00BD14CD" w:rsidRPr="00542D7E" w:rsidRDefault="00542D7E" w:rsidP="0076576E">
            <w:pPr>
              <w:spacing w:line="240" w:lineRule="auto"/>
              <w:rPr>
                <w:rFonts w:eastAsia="Calibri" w:cs="Times New Roman"/>
                <w:sz w:val="20"/>
                <w:szCs w:val="20"/>
              </w:rPr>
            </w:pPr>
            <w:r w:rsidRPr="00542D7E">
              <w:rPr>
                <w:rFonts w:eastAsia="Calibri" w:cs="Times New Roman"/>
                <w:sz w:val="20"/>
                <w:szCs w:val="20"/>
                <w:lang w:val="en"/>
              </w:rPr>
              <w:t xml:space="preserve">Giles </w:t>
            </w:r>
            <w:r w:rsidR="00B301D6" w:rsidRPr="00B301D6">
              <w:rPr>
                <w:rFonts w:eastAsia="Calibri" w:cs="Times New Roman"/>
                <w:i/>
                <w:sz w:val="20"/>
                <w:szCs w:val="20"/>
                <w:lang w:val="en"/>
              </w:rPr>
              <w:t>et al</w:t>
            </w:r>
            <w:r w:rsidRPr="00542D7E">
              <w:rPr>
                <w:rFonts w:eastAsia="Calibri" w:cs="Times New Roman"/>
                <w:sz w:val="20"/>
                <w:szCs w:val="20"/>
                <w:lang w:val="en"/>
              </w:rPr>
              <w:t xml:space="preserve"> (2008)</w:t>
            </w:r>
            <w:r w:rsidRPr="00542D7E">
              <w:rPr>
                <w:rFonts w:eastAsia="Calibri" w:cs="Times New Roman"/>
                <w:sz w:val="20"/>
                <w:szCs w:val="20"/>
                <w:lang w:val="en"/>
              </w:rPr>
              <w:fldChar w:fldCharType="begin">
                <w:fldData xml:space="preserve">PEVuZE5vdGU+PENpdGU+PEF1dGhvcj5HaWxlczwvQXV0aG9yPjxZZWFyPjIwMDg8L1llYXI+PFJl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</w:fldData>
              </w:fldChar>
            </w:r>
            <w:r w:rsidR="0076576E">
              <w:rPr>
                <w:rFonts w:eastAsia="Calibri" w:cs="Times New Roman"/>
                <w:sz w:val="20"/>
                <w:szCs w:val="20"/>
                <w:lang w:val="en"/>
              </w:rPr>
              <w:instrText xml:space="preserve"> ADDIN EN.CITE </w:instrText>
            </w:r>
            <w:r w:rsidR="0076576E">
              <w:rPr>
                <w:rFonts w:eastAsia="Calibri" w:cs="Times New Roman"/>
                <w:sz w:val="20"/>
                <w:szCs w:val="20"/>
                <w:lang w:val="en"/>
              </w:rPr>
              <w:fldChar w:fldCharType="begin">
                <w:fldData xml:space="preserve">PEVuZE5vdGU+PENpdGU+PEF1dGhvcj5HaWxlczwvQXV0aG9yPjxZZWFyPjIwMDg8L1llYXI+PFJl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</w:fldData>
              </w:fldChar>
            </w:r>
            <w:r w:rsidR="0076576E">
              <w:rPr>
                <w:rFonts w:eastAsia="Calibri" w:cs="Times New Roman"/>
                <w:sz w:val="20"/>
                <w:szCs w:val="20"/>
                <w:lang w:val="en"/>
              </w:rPr>
              <w:instrText xml:space="preserve"> ADDIN EN.CITE.DATA </w:instrText>
            </w:r>
            <w:r w:rsidR="0076576E">
              <w:rPr>
                <w:rFonts w:eastAsia="Calibri" w:cs="Times New Roman"/>
                <w:sz w:val="20"/>
                <w:szCs w:val="20"/>
                <w:lang w:val="en"/>
              </w:rPr>
            </w:r>
            <w:r w:rsidR="0076576E">
              <w:rPr>
                <w:rFonts w:eastAsia="Calibri" w:cs="Times New Roman"/>
                <w:sz w:val="20"/>
                <w:szCs w:val="20"/>
                <w:lang w:val="en"/>
              </w:rPr>
              <w:fldChar w:fldCharType="end"/>
            </w:r>
            <w:r w:rsidRPr="00542D7E">
              <w:rPr>
                <w:rFonts w:eastAsia="Calibri" w:cs="Times New Roman"/>
                <w:sz w:val="20"/>
                <w:szCs w:val="20"/>
                <w:lang w:val="en"/>
              </w:rPr>
            </w:r>
            <w:r w:rsidRPr="00542D7E">
              <w:rPr>
                <w:rFonts w:eastAsia="Calibri" w:cs="Times New Roman"/>
                <w:sz w:val="20"/>
                <w:szCs w:val="20"/>
                <w:lang w:val="en"/>
              </w:rPr>
              <w:fldChar w:fldCharType="separate"/>
            </w:r>
            <w:r w:rsidR="0076576E" w:rsidRPr="0076576E">
              <w:rPr>
                <w:rFonts w:eastAsia="Calibri" w:cs="Times New Roman"/>
                <w:noProof/>
                <w:sz w:val="20"/>
                <w:szCs w:val="20"/>
                <w:vertAlign w:val="superscript"/>
                <w:lang w:val="en"/>
              </w:rPr>
              <w:t>184</w:t>
            </w:r>
            <w:r w:rsidRPr="00542D7E">
              <w:rPr>
                <w:rFonts w:eastAsia="Calibri" w:cs="Times New Roman"/>
                <w:sz w:val="20"/>
                <w:szCs w:val="20"/>
                <w:lang w:val="en"/>
              </w:rPr>
              <w:fldChar w:fldCharType="end"/>
            </w:r>
          </w:p>
        </w:tc>
        <w:tc>
          <w:tcPr>
            <w:tcW w:w="903" w:type="dxa"/>
          </w:tcPr>
          <w:p w14:paraId="2402CFF3"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301V BSE</w:t>
            </w:r>
          </w:p>
          <w:p w14:paraId="1AF052C7"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Cattle BSE</w:t>
            </w:r>
          </w:p>
        </w:tc>
        <w:tc>
          <w:tcPr>
            <w:tcW w:w="911" w:type="dxa"/>
          </w:tcPr>
          <w:p w14:paraId="10A46A4C"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BH</w:t>
            </w:r>
          </w:p>
          <w:p w14:paraId="0E8E9C76"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(10%)</w:t>
            </w:r>
          </w:p>
        </w:tc>
        <w:tc>
          <w:tcPr>
            <w:tcW w:w="850" w:type="dxa"/>
          </w:tcPr>
          <w:p w14:paraId="10150CD9"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Wires</w:t>
            </w:r>
          </w:p>
        </w:tc>
        <w:tc>
          <w:tcPr>
            <w:tcW w:w="1473" w:type="dxa"/>
          </w:tcPr>
          <w:p w14:paraId="129A9A3B" w14:textId="77777777" w:rsidR="00BD14CD" w:rsidRPr="001D1C67" w:rsidRDefault="00BD14CD" w:rsidP="00A27868">
            <w:pPr>
              <w:spacing w:line="240" w:lineRule="auto"/>
              <w:rPr>
                <w:rFonts w:eastAsia="Calibri" w:cs="Times New Roman"/>
                <w:sz w:val="20"/>
                <w:szCs w:val="20"/>
                <w:lang w:val="sv-SE"/>
              </w:rPr>
            </w:pPr>
            <w:r w:rsidRPr="001D1C67">
              <w:rPr>
                <w:rFonts w:eastAsia="Calibri" w:cs="Times New Roman"/>
                <w:sz w:val="20"/>
                <w:szCs w:val="20"/>
                <w:lang w:val="sv-SE"/>
              </w:rPr>
              <w:t>65</w:t>
            </w:r>
            <w:r w:rsidRPr="001D1C67">
              <w:rPr>
                <w:rFonts w:eastAsia="Calibri" w:cs="Times New Roman"/>
                <w:sz w:val="20"/>
                <w:szCs w:val="20"/>
                <w:vertAlign w:val="superscript"/>
                <w:lang w:val="sv-SE"/>
              </w:rPr>
              <w:t>°</w:t>
            </w:r>
            <w:r w:rsidRPr="001D1C67">
              <w:rPr>
                <w:rFonts w:eastAsia="Calibri" w:cs="Times New Roman"/>
                <w:sz w:val="20"/>
                <w:szCs w:val="20"/>
                <w:lang w:val="sv-SE"/>
              </w:rPr>
              <w:t>C - 8 mins</w:t>
            </w:r>
          </w:p>
          <w:p w14:paraId="501B8227" w14:textId="77777777" w:rsidR="00BD14CD" w:rsidRPr="001D1C67" w:rsidRDefault="00BD14CD" w:rsidP="00A27868">
            <w:pPr>
              <w:spacing w:line="240" w:lineRule="auto"/>
              <w:rPr>
                <w:rFonts w:eastAsia="Calibri" w:cs="Times New Roman"/>
                <w:sz w:val="20"/>
                <w:szCs w:val="20"/>
                <w:lang w:val="sv-SE"/>
              </w:rPr>
            </w:pPr>
            <w:r w:rsidRPr="001D1C67">
              <w:rPr>
                <w:rFonts w:eastAsia="Calibri" w:cs="Times New Roman"/>
                <w:sz w:val="20"/>
                <w:szCs w:val="20"/>
                <w:lang w:val="sv-SE"/>
              </w:rPr>
              <w:t>121</w:t>
            </w:r>
            <w:r w:rsidRPr="001D1C67">
              <w:rPr>
                <w:rFonts w:eastAsia="Calibri" w:cs="Times New Roman"/>
                <w:sz w:val="20"/>
                <w:szCs w:val="20"/>
                <w:vertAlign w:val="superscript"/>
                <w:lang w:val="sv-SE"/>
              </w:rPr>
              <w:t>°</w:t>
            </w:r>
            <w:r w:rsidRPr="001D1C67">
              <w:rPr>
                <w:rFonts w:eastAsia="Calibri" w:cs="Times New Roman"/>
                <w:sz w:val="20"/>
                <w:szCs w:val="20"/>
                <w:lang w:val="sv-SE"/>
              </w:rPr>
              <w:t>C - 120 mins</w:t>
            </w:r>
          </w:p>
          <w:p w14:paraId="4A5CFF43" w14:textId="77777777" w:rsidR="00BD14CD" w:rsidRPr="001D1C67" w:rsidRDefault="00BD14CD" w:rsidP="00A27868">
            <w:pPr>
              <w:spacing w:line="240" w:lineRule="auto"/>
              <w:rPr>
                <w:rFonts w:eastAsia="Calibri" w:cs="Times New Roman"/>
                <w:sz w:val="20"/>
                <w:szCs w:val="20"/>
                <w:lang w:val="sv-SE"/>
              </w:rPr>
            </w:pPr>
            <w:r w:rsidRPr="001D1C67">
              <w:rPr>
                <w:rFonts w:eastAsia="Calibri" w:cs="Times New Roman"/>
                <w:sz w:val="20"/>
                <w:szCs w:val="20"/>
                <w:lang w:val="sv-SE"/>
              </w:rPr>
              <w:t>134</w:t>
            </w:r>
            <w:r w:rsidRPr="001D1C67">
              <w:rPr>
                <w:rFonts w:eastAsia="Calibri" w:cs="Times New Roman"/>
                <w:sz w:val="20"/>
                <w:szCs w:val="20"/>
                <w:vertAlign w:val="superscript"/>
                <w:lang w:val="sv-SE"/>
              </w:rPr>
              <w:t>°</w:t>
            </w:r>
            <w:r w:rsidRPr="001D1C67">
              <w:rPr>
                <w:rFonts w:eastAsia="Calibri" w:cs="Times New Roman"/>
                <w:sz w:val="20"/>
                <w:szCs w:val="20"/>
                <w:lang w:val="sv-SE"/>
              </w:rPr>
              <w:t>C - 120 mins</w:t>
            </w:r>
          </w:p>
          <w:p w14:paraId="6CB99929" w14:textId="77777777" w:rsidR="00BD14CD" w:rsidRPr="001D1C67" w:rsidRDefault="00BD14CD" w:rsidP="00A27868">
            <w:pPr>
              <w:spacing w:line="240" w:lineRule="auto"/>
              <w:rPr>
                <w:rFonts w:eastAsia="Calibri" w:cs="Times New Roman"/>
                <w:sz w:val="20"/>
                <w:szCs w:val="20"/>
                <w:lang w:val="sv-SE"/>
              </w:rPr>
            </w:pPr>
          </w:p>
        </w:tc>
        <w:tc>
          <w:tcPr>
            <w:tcW w:w="1778" w:type="dxa"/>
          </w:tcPr>
          <w:p w14:paraId="2735A259"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4% SDS + 1% AcOH</w:t>
            </w:r>
          </w:p>
        </w:tc>
        <w:tc>
          <w:tcPr>
            <w:tcW w:w="1304" w:type="dxa"/>
          </w:tcPr>
          <w:p w14:paraId="4FA1EBE6"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xml:space="preserve">Tg2091 mice Tg4092 mice </w:t>
            </w:r>
          </w:p>
        </w:tc>
      </w:tr>
      <w:tr w:rsidR="00542D7E" w:rsidRPr="00BD14CD" w14:paraId="528E8B7F" w14:textId="77777777" w:rsidTr="00542D7E">
        <w:tc>
          <w:tcPr>
            <w:tcW w:w="1797" w:type="dxa"/>
            <w:vMerge w:val="restart"/>
          </w:tcPr>
          <w:p w14:paraId="6945E997" w14:textId="7A1634D9" w:rsidR="00542D7E" w:rsidRPr="001D1C67" w:rsidRDefault="00542D7E" w:rsidP="0076576E">
            <w:pPr>
              <w:spacing w:line="240" w:lineRule="auto"/>
              <w:rPr>
                <w:rFonts w:eastAsia="Calibri" w:cs="Times New Roman"/>
                <w:sz w:val="20"/>
                <w:szCs w:val="20"/>
                <w:lang w:val="fr-FR"/>
              </w:rPr>
            </w:pPr>
            <w:r w:rsidRPr="001D1C67">
              <w:rPr>
                <w:rFonts w:eastAsia="Calibri" w:cs="Times New Roman"/>
                <w:sz w:val="20"/>
                <w:szCs w:val="20"/>
                <w:lang w:val="fr-FR"/>
              </w:rPr>
              <w:t xml:space="preserve">Jackson </w:t>
            </w:r>
            <w:r w:rsidR="00B301D6" w:rsidRPr="001D1C67">
              <w:rPr>
                <w:rFonts w:eastAsia="Calibri" w:cs="Times New Roman"/>
                <w:i/>
                <w:sz w:val="20"/>
                <w:szCs w:val="20"/>
                <w:lang w:val="fr-FR"/>
              </w:rPr>
              <w:t>et al</w:t>
            </w:r>
            <w:r w:rsidRPr="001D1C67">
              <w:rPr>
                <w:rFonts w:eastAsia="Calibri" w:cs="Times New Roman"/>
                <w:sz w:val="20"/>
                <w:szCs w:val="20"/>
                <w:lang w:val="fr-FR"/>
              </w:rPr>
              <w:t xml:space="preserve"> (2005)</w:t>
            </w:r>
            <w:r w:rsidRPr="00542D7E">
              <w:rPr>
                <w:rFonts w:eastAsia="Calibri" w:cs="Times New Roman"/>
                <w:sz w:val="20"/>
                <w:szCs w:val="20"/>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sidRPr="007E31FF">
              <w:rPr>
                <w:rFonts w:eastAsia="Calibri" w:cs="Times New Roman"/>
                <w:sz w:val="20"/>
                <w:szCs w:val="20"/>
                <w:lang w:val="fr-FR"/>
              </w:rPr>
              <w:instrText xml:space="preserve"> ADDIN EN.CITE </w:instrText>
            </w:r>
            <w:r w:rsidR="0076576E">
              <w:rPr>
                <w:rFonts w:eastAsia="Calibri" w:cs="Times New Roman"/>
                <w:sz w:val="20"/>
                <w:szCs w:val="20"/>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sidRPr="007E31FF">
              <w:rPr>
                <w:rFonts w:eastAsia="Calibri" w:cs="Times New Roman"/>
                <w:sz w:val="20"/>
                <w:szCs w:val="20"/>
                <w:lang w:val="fr-FR"/>
              </w:rPr>
              <w:instrText xml:space="preserve"> ADDIN EN.CITE.DATA </w:instrText>
            </w:r>
            <w:r w:rsidR="0076576E">
              <w:rPr>
                <w:rFonts w:eastAsia="Calibri" w:cs="Times New Roman"/>
                <w:sz w:val="20"/>
                <w:szCs w:val="20"/>
                <w:lang w:val="en"/>
              </w:rPr>
            </w:r>
            <w:r w:rsidR="0076576E">
              <w:rPr>
                <w:rFonts w:eastAsia="Calibri" w:cs="Times New Roman"/>
                <w:sz w:val="20"/>
                <w:szCs w:val="20"/>
                <w:lang w:val="en"/>
              </w:rPr>
              <w:fldChar w:fldCharType="end"/>
            </w:r>
            <w:r w:rsidRPr="00542D7E">
              <w:rPr>
                <w:rFonts w:eastAsia="Calibri" w:cs="Times New Roman"/>
                <w:sz w:val="20"/>
                <w:szCs w:val="20"/>
                <w:lang w:val="en"/>
              </w:rPr>
            </w:r>
            <w:r w:rsidRPr="00542D7E">
              <w:rPr>
                <w:rFonts w:eastAsia="Calibri" w:cs="Times New Roman"/>
                <w:sz w:val="20"/>
                <w:szCs w:val="20"/>
                <w:lang w:val="en"/>
              </w:rPr>
              <w:fldChar w:fldCharType="separate"/>
            </w:r>
            <w:r w:rsidR="0076576E" w:rsidRPr="007E31FF">
              <w:rPr>
                <w:rFonts w:eastAsia="Calibri" w:cs="Times New Roman"/>
                <w:noProof/>
                <w:sz w:val="20"/>
                <w:szCs w:val="20"/>
                <w:vertAlign w:val="superscript"/>
                <w:lang w:val="fr-FR"/>
              </w:rPr>
              <w:t>180</w:t>
            </w:r>
            <w:r w:rsidRPr="00542D7E">
              <w:rPr>
                <w:rFonts w:eastAsia="Calibri" w:cs="Times New Roman"/>
                <w:sz w:val="20"/>
                <w:szCs w:val="20"/>
                <w:lang w:val="en"/>
              </w:rPr>
              <w:fldChar w:fldCharType="end"/>
            </w:r>
            <w:r w:rsidRPr="001D1C67">
              <w:rPr>
                <w:rFonts w:eastAsia="Calibri" w:cs="Times New Roman"/>
                <w:sz w:val="20"/>
                <w:szCs w:val="20"/>
                <w:lang w:val="fr-FR"/>
              </w:rPr>
              <w:t xml:space="preserve">, McKintosh </w:t>
            </w:r>
            <w:r w:rsidR="00B301D6" w:rsidRPr="001D1C67">
              <w:rPr>
                <w:rFonts w:eastAsia="Calibri" w:cs="Times New Roman"/>
                <w:i/>
                <w:sz w:val="20"/>
                <w:szCs w:val="20"/>
                <w:lang w:val="fr-FR"/>
              </w:rPr>
              <w:t>et al</w:t>
            </w:r>
            <w:r w:rsidRPr="001D1C67">
              <w:rPr>
                <w:rFonts w:eastAsia="Calibri" w:cs="Times New Roman"/>
                <w:sz w:val="20"/>
                <w:szCs w:val="20"/>
                <w:lang w:val="fr-FR"/>
              </w:rPr>
              <w:t xml:space="preserve"> (2005)</w:t>
            </w:r>
            <w:r w:rsidR="008252EB">
              <w:rPr>
                <w:rFonts w:eastAsia="Calibri" w:cs="Times New Roman"/>
                <w:sz w:val="20"/>
                <w:szCs w:val="20"/>
              </w:rPr>
              <w:fldChar w:fldCharType="begin"/>
            </w:r>
            <w:r w:rsidR="0076576E" w:rsidRPr="007E31FF">
              <w:rPr>
                <w:rFonts w:eastAsia="Calibri" w:cs="Times New Roman"/>
                <w:sz w:val="20"/>
                <w:szCs w:val="20"/>
                <w:lang w:val="fr-FR"/>
              </w:rPr>
              <w:instrText xml:space="preserve"> ADDIN EN.CITE &lt;EndNote&gt;&lt;Cite&gt;&lt;Author&gt;McKintosh&lt;/Author&gt;&lt;Year&gt;2005&lt;/Year&gt;&lt;RecNum&gt;8391&lt;/RecNum&gt;&lt;DisplayText&gt;&lt;style face="superscript"&gt;185&lt;/style&gt;&lt;/DisplayText&gt;&lt;record&gt;&lt;rec-number&gt;8391&lt;/rec-number&gt;&lt;foreign-keys&gt;&lt;key app="EN" db-id="vrp0pptazv05wtesfz5vrzsj2p0rv09ttsa9" timestamp="1506588782" guid="b69ea48a-7a55-42fc-a445-490c9984e69b"&gt;8391&lt;/key&gt;&lt;/foreign-keys&gt;&lt;ref-type name="Journal Article"&gt;17&lt;/ref-type&gt;&lt;contributors&gt;&lt;authors&gt;&lt;author&gt;McKintosh, E.&lt;/author&gt;&lt;author&gt;Jackson, G.&lt;/author&gt;&lt;author&gt;Flechsig, E.&lt;/author&gt;&lt;author&gt;Prodromidou, K.&lt;/author&gt;&lt;author&gt;Hirsch, P.&lt;/author&gt;&lt;author&gt;Linehan, J.&lt;/author&gt;&lt;author&gt;Brandner, S.&lt;/author&gt;&lt;author&gt;Clarke, A.&lt;/author&gt;&lt;author&gt;Weissmann, C.&lt;/author&gt;&lt;author&gt;Collinge, J.&lt;/author&gt;&lt;/authors&gt;&lt;/contributors&gt;&lt;titles&gt;&lt;title&gt;A detergent-enzyme method for effective prion decontamination of surgical steel&lt;/title&gt;&lt;secondary-title&gt;Proceedings of the 13th World Congress of Neurological Surgery, Vols 1 and 2&lt;/secondary-title&gt;&lt;/titles&gt;&lt;periodical&gt;&lt;full-title&gt;Proceedings of the 13th World Congress of Neurological Surgery, Vols 1 and 2&lt;/full-title&gt;&lt;/periodical&gt;&lt;pages&gt;923-927&lt;/pages&gt;&lt;keywords&gt;&lt;keyword&gt;$$CC_5_instrument decontamination&lt;/keyword&gt;&lt;keyword&gt;$$CJD relevant&lt;/keyword&gt;&lt;keyword&gt;$$5_instrument decontamination&lt;/keyword&gt;&lt;keyword&gt;$$abstract&lt;/keyword&gt;&lt;keyword&gt;$$ILL&lt;/keyword&gt;&lt;keyword&gt;$$duplicate of Jackson 2005&lt;/keyword&gt;&lt;/keywords&gt;&lt;dates&gt;&lt;year&gt;2005&lt;/year&gt;&lt;/dates&gt;&lt;isbn&gt;88-7587-160-4&lt;/isbn&gt;&lt;accession-num&gt;WOS:000233429700179&lt;/accession-num&gt;&lt;urls&gt;&lt;related-urls&gt;&lt;url&gt;&amp;lt;Go to ISI&amp;gt;://WOS:000233429700179&lt;/url&gt;&lt;/related-urls&gt;&lt;/urls&gt;&lt;/record&gt;&lt;/Cite&gt;&lt;/EndNote&gt;</w:instrText>
            </w:r>
            <w:r w:rsidR="008252EB">
              <w:rPr>
                <w:rFonts w:eastAsia="Calibri" w:cs="Times New Roman"/>
                <w:sz w:val="20"/>
                <w:szCs w:val="20"/>
              </w:rPr>
              <w:fldChar w:fldCharType="separate"/>
            </w:r>
            <w:r w:rsidR="0076576E" w:rsidRPr="007E31FF">
              <w:rPr>
                <w:rFonts w:eastAsia="Calibri" w:cs="Times New Roman"/>
                <w:noProof/>
                <w:sz w:val="20"/>
                <w:szCs w:val="20"/>
                <w:vertAlign w:val="superscript"/>
                <w:lang w:val="fr-FR"/>
              </w:rPr>
              <w:t>185</w:t>
            </w:r>
            <w:r w:rsidR="008252EB">
              <w:rPr>
                <w:rFonts w:eastAsia="Calibri" w:cs="Times New Roman"/>
                <w:sz w:val="20"/>
                <w:szCs w:val="20"/>
              </w:rPr>
              <w:fldChar w:fldCharType="end"/>
            </w:r>
          </w:p>
        </w:tc>
        <w:tc>
          <w:tcPr>
            <w:tcW w:w="903" w:type="dxa"/>
          </w:tcPr>
          <w:p w14:paraId="3A1F3C8B"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RML</w:t>
            </w:r>
          </w:p>
          <w:p w14:paraId="5B626F8B" w14:textId="77777777" w:rsidR="00542D7E" w:rsidRPr="00BD14CD" w:rsidRDefault="00542D7E" w:rsidP="00A27868">
            <w:pPr>
              <w:spacing w:line="240" w:lineRule="auto"/>
              <w:rPr>
                <w:rFonts w:eastAsia="Calibri" w:cs="Times New Roman"/>
                <w:sz w:val="20"/>
                <w:szCs w:val="20"/>
              </w:rPr>
            </w:pPr>
          </w:p>
        </w:tc>
        <w:tc>
          <w:tcPr>
            <w:tcW w:w="911" w:type="dxa"/>
          </w:tcPr>
          <w:p w14:paraId="6A5E1989"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BH</w:t>
            </w:r>
          </w:p>
          <w:p w14:paraId="37068825"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(10% &amp; 20%)</w:t>
            </w:r>
          </w:p>
        </w:tc>
        <w:tc>
          <w:tcPr>
            <w:tcW w:w="850" w:type="dxa"/>
          </w:tcPr>
          <w:p w14:paraId="10A1B216"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Wires</w:t>
            </w:r>
          </w:p>
        </w:tc>
        <w:tc>
          <w:tcPr>
            <w:tcW w:w="1473" w:type="dxa"/>
          </w:tcPr>
          <w:p w14:paraId="2639A3C6"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- 20 mins</w:t>
            </w:r>
          </w:p>
          <w:p w14:paraId="0C4CBC19"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- 20 mins</w:t>
            </w:r>
          </w:p>
          <w:p w14:paraId="76D8C466" w14:textId="77777777" w:rsidR="00542D7E" w:rsidRPr="00BD14CD" w:rsidRDefault="00542D7E" w:rsidP="00A27868">
            <w:pPr>
              <w:spacing w:line="240" w:lineRule="auto"/>
              <w:rPr>
                <w:rFonts w:eastAsia="Calibri" w:cs="Times New Roman"/>
                <w:sz w:val="20"/>
                <w:szCs w:val="20"/>
              </w:rPr>
            </w:pPr>
          </w:p>
        </w:tc>
        <w:tc>
          <w:tcPr>
            <w:tcW w:w="1778" w:type="dxa"/>
          </w:tcPr>
          <w:p w14:paraId="74F37B88"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Enzymes: SDS-PK-Pronase</w:t>
            </w:r>
          </w:p>
          <w:p w14:paraId="3BD701A0"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2 M NaOH</w:t>
            </w:r>
          </w:p>
          <w:p w14:paraId="42661C49"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LpH, LpHse</w:t>
            </w:r>
          </w:p>
          <w:p w14:paraId="6257E918"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Endozyme Plus</w:t>
            </w:r>
          </w:p>
        </w:tc>
        <w:tc>
          <w:tcPr>
            <w:tcW w:w="1304" w:type="dxa"/>
          </w:tcPr>
          <w:p w14:paraId="61962FFC"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 xml:space="preserve">Tg20 mice, </w:t>
            </w:r>
          </w:p>
          <w:p w14:paraId="59BBB076"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CD-1 mice</w:t>
            </w:r>
          </w:p>
          <w:p w14:paraId="106D7783"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WB</w:t>
            </w:r>
          </w:p>
        </w:tc>
      </w:tr>
      <w:tr w:rsidR="00542D7E" w:rsidRPr="00BD14CD" w14:paraId="6B7C92D3" w14:textId="77777777" w:rsidTr="00542D7E">
        <w:tc>
          <w:tcPr>
            <w:tcW w:w="1797" w:type="dxa"/>
            <w:vMerge/>
          </w:tcPr>
          <w:p w14:paraId="418A55BD" w14:textId="77777777" w:rsidR="00542D7E" w:rsidRPr="00542D7E" w:rsidRDefault="00542D7E" w:rsidP="00A27868">
            <w:pPr>
              <w:spacing w:line="240" w:lineRule="auto"/>
              <w:rPr>
                <w:rFonts w:eastAsia="Calibri" w:cs="Times New Roman"/>
                <w:sz w:val="20"/>
                <w:szCs w:val="20"/>
              </w:rPr>
            </w:pPr>
          </w:p>
        </w:tc>
        <w:tc>
          <w:tcPr>
            <w:tcW w:w="903" w:type="dxa"/>
          </w:tcPr>
          <w:p w14:paraId="7307FBE3"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RML</w:t>
            </w:r>
          </w:p>
          <w:p w14:paraId="14573791" w14:textId="77777777" w:rsidR="00542D7E" w:rsidRPr="00BD14CD" w:rsidRDefault="00542D7E" w:rsidP="00A27868">
            <w:pPr>
              <w:spacing w:line="240" w:lineRule="auto"/>
              <w:rPr>
                <w:rFonts w:eastAsia="Calibri" w:cs="Times New Roman"/>
                <w:sz w:val="20"/>
                <w:szCs w:val="20"/>
              </w:rPr>
            </w:pPr>
          </w:p>
        </w:tc>
        <w:tc>
          <w:tcPr>
            <w:tcW w:w="911" w:type="dxa"/>
          </w:tcPr>
          <w:p w14:paraId="70FB7224"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BH</w:t>
            </w:r>
          </w:p>
          <w:p w14:paraId="7956BF51"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(10%)</w:t>
            </w:r>
          </w:p>
        </w:tc>
        <w:tc>
          <w:tcPr>
            <w:tcW w:w="850" w:type="dxa"/>
          </w:tcPr>
          <w:p w14:paraId="0FF68A87"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Wires</w:t>
            </w:r>
          </w:p>
        </w:tc>
        <w:tc>
          <w:tcPr>
            <w:tcW w:w="1473" w:type="dxa"/>
          </w:tcPr>
          <w:p w14:paraId="002D1984"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- 20 mins</w:t>
            </w:r>
          </w:p>
          <w:p w14:paraId="5D388078" w14:textId="77777777" w:rsidR="00542D7E" w:rsidRPr="00BD14CD" w:rsidRDefault="00542D7E" w:rsidP="00A27868">
            <w:pPr>
              <w:spacing w:line="240" w:lineRule="auto"/>
              <w:rPr>
                <w:rFonts w:eastAsia="Calibri" w:cs="Times New Roman"/>
                <w:sz w:val="20"/>
                <w:szCs w:val="20"/>
              </w:rPr>
            </w:pPr>
          </w:p>
        </w:tc>
        <w:tc>
          <w:tcPr>
            <w:tcW w:w="1778" w:type="dxa"/>
          </w:tcPr>
          <w:p w14:paraId="5BA5592E"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Enzymes</w:t>
            </w:r>
          </w:p>
          <w:p w14:paraId="715B1CEA" w14:textId="77777777" w:rsidR="00542D7E" w:rsidRPr="00BD14CD" w:rsidRDefault="00542D7E" w:rsidP="00A27868">
            <w:pPr>
              <w:spacing w:line="240" w:lineRule="auto"/>
              <w:rPr>
                <w:rFonts w:eastAsia="Calibri" w:cs="Times New Roman"/>
                <w:sz w:val="20"/>
                <w:szCs w:val="20"/>
              </w:rPr>
            </w:pPr>
          </w:p>
        </w:tc>
        <w:tc>
          <w:tcPr>
            <w:tcW w:w="1304" w:type="dxa"/>
          </w:tcPr>
          <w:p w14:paraId="4F7129BA"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 xml:space="preserve">Tg20 mice, </w:t>
            </w:r>
          </w:p>
          <w:p w14:paraId="435AB3FD"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CD-1 mice</w:t>
            </w:r>
          </w:p>
          <w:p w14:paraId="09B7CE93" w14:textId="77777777" w:rsidR="00542D7E" w:rsidRPr="00BD14CD" w:rsidRDefault="00542D7E" w:rsidP="00A27868">
            <w:pPr>
              <w:spacing w:line="240" w:lineRule="auto"/>
              <w:rPr>
                <w:rFonts w:eastAsia="Calibri" w:cs="Times New Roman"/>
                <w:sz w:val="20"/>
                <w:szCs w:val="20"/>
              </w:rPr>
            </w:pPr>
            <w:r w:rsidRPr="00BD14CD">
              <w:rPr>
                <w:rFonts w:eastAsia="Calibri" w:cs="Times New Roman"/>
                <w:sz w:val="20"/>
                <w:szCs w:val="20"/>
              </w:rPr>
              <w:t>WB</w:t>
            </w:r>
          </w:p>
        </w:tc>
      </w:tr>
      <w:tr w:rsidR="00BD14CD" w:rsidRPr="00BD14CD" w14:paraId="5BE16EEE" w14:textId="77777777" w:rsidTr="00542D7E">
        <w:tc>
          <w:tcPr>
            <w:tcW w:w="1797" w:type="dxa"/>
          </w:tcPr>
          <w:p w14:paraId="2519960D" w14:textId="386DBC2F" w:rsidR="00BD14CD" w:rsidRPr="00542D7E" w:rsidRDefault="00542D7E" w:rsidP="0076576E">
            <w:pPr>
              <w:spacing w:line="240" w:lineRule="auto"/>
              <w:rPr>
                <w:rFonts w:eastAsia="Calibri" w:cs="Times New Roman"/>
                <w:sz w:val="20"/>
                <w:szCs w:val="20"/>
              </w:rPr>
            </w:pPr>
            <w:r w:rsidRPr="00542D7E">
              <w:rPr>
                <w:rFonts w:eastAsia="Calibri" w:cs="Times New Roman"/>
                <w:sz w:val="20"/>
                <w:szCs w:val="20"/>
                <w:lang w:val="en"/>
              </w:rPr>
              <w:t xml:space="preserve">Peretz </w:t>
            </w:r>
            <w:r w:rsidR="00B301D6" w:rsidRPr="00B301D6">
              <w:rPr>
                <w:rFonts w:eastAsia="Calibri" w:cs="Times New Roman"/>
                <w:i/>
                <w:sz w:val="20"/>
                <w:szCs w:val="20"/>
                <w:lang w:val="en"/>
              </w:rPr>
              <w:t>et al</w:t>
            </w:r>
            <w:r w:rsidRPr="00542D7E">
              <w:rPr>
                <w:rFonts w:eastAsia="Calibri" w:cs="Times New Roman"/>
                <w:sz w:val="20"/>
                <w:szCs w:val="20"/>
                <w:lang w:val="en"/>
              </w:rPr>
              <w:t xml:space="preserve"> (2006)</w:t>
            </w:r>
            <w:r w:rsidRPr="00542D7E">
              <w:rPr>
                <w:rFonts w:eastAsia="Calibri" w:cs="Times New Roman"/>
                <w:sz w:val="20"/>
                <w:szCs w:val="20"/>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sz w:val="20"/>
                <w:szCs w:val="20"/>
                <w:lang w:val="en"/>
              </w:rPr>
              <w:instrText xml:space="preserve"> ADDIN EN.CITE </w:instrText>
            </w:r>
            <w:r w:rsidR="0076576E">
              <w:rPr>
                <w:rFonts w:eastAsia="Calibri" w:cs="Times New Roman"/>
                <w:sz w:val="20"/>
                <w:szCs w:val="20"/>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sz w:val="20"/>
                <w:szCs w:val="20"/>
                <w:lang w:val="en"/>
              </w:rPr>
              <w:instrText xml:space="preserve"> ADDIN EN.CITE.DATA </w:instrText>
            </w:r>
            <w:r w:rsidR="0076576E">
              <w:rPr>
                <w:rFonts w:eastAsia="Calibri" w:cs="Times New Roman"/>
                <w:sz w:val="20"/>
                <w:szCs w:val="20"/>
                <w:lang w:val="en"/>
              </w:rPr>
            </w:r>
            <w:r w:rsidR="0076576E">
              <w:rPr>
                <w:rFonts w:eastAsia="Calibri" w:cs="Times New Roman"/>
                <w:sz w:val="20"/>
                <w:szCs w:val="20"/>
                <w:lang w:val="en"/>
              </w:rPr>
              <w:fldChar w:fldCharType="end"/>
            </w:r>
            <w:r w:rsidRPr="00542D7E">
              <w:rPr>
                <w:rFonts w:eastAsia="Calibri" w:cs="Times New Roman"/>
                <w:sz w:val="20"/>
                <w:szCs w:val="20"/>
                <w:lang w:val="en"/>
              </w:rPr>
            </w:r>
            <w:r w:rsidRPr="00542D7E">
              <w:rPr>
                <w:rFonts w:eastAsia="Calibri" w:cs="Times New Roman"/>
                <w:sz w:val="20"/>
                <w:szCs w:val="20"/>
                <w:lang w:val="en"/>
              </w:rPr>
              <w:fldChar w:fldCharType="separate"/>
            </w:r>
            <w:r w:rsidR="0076576E" w:rsidRPr="0076576E">
              <w:rPr>
                <w:rFonts w:eastAsia="Calibri" w:cs="Times New Roman"/>
                <w:noProof/>
                <w:sz w:val="20"/>
                <w:szCs w:val="20"/>
                <w:vertAlign w:val="superscript"/>
                <w:lang w:val="en"/>
              </w:rPr>
              <w:t>181</w:t>
            </w:r>
            <w:r w:rsidRPr="00542D7E">
              <w:rPr>
                <w:rFonts w:eastAsia="Calibri" w:cs="Times New Roman"/>
                <w:sz w:val="20"/>
                <w:szCs w:val="20"/>
                <w:lang w:val="en"/>
              </w:rPr>
              <w:fldChar w:fldCharType="end"/>
            </w:r>
          </w:p>
        </w:tc>
        <w:tc>
          <w:tcPr>
            <w:tcW w:w="903" w:type="dxa"/>
          </w:tcPr>
          <w:p w14:paraId="619E2BB1"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xml:space="preserve">Sc237 </w:t>
            </w:r>
          </w:p>
          <w:p w14:paraId="0BFEFD45"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sCJD</w:t>
            </w:r>
          </w:p>
          <w:p w14:paraId="5046FCFC" w14:textId="77777777" w:rsidR="00BD14CD" w:rsidRPr="00BD14CD" w:rsidRDefault="00BD14CD" w:rsidP="00A27868">
            <w:pPr>
              <w:spacing w:line="240" w:lineRule="auto"/>
              <w:rPr>
                <w:rFonts w:eastAsia="Calibri" w:cs="Times New Roman"/>
                <w:sz w:val="20"/>
                <w:szCs w:val="20"/>
              </w:rPr>
            </w:pPr>
          </w:p>
        </w:tc>
        <w:tc>
          <w:tcPr>
            <w:tcW w:w="911" w:type="dxa"/>
          </w:tcPr>
          <w:p w14:paraId="4E641CDF"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BH</w:t>
            </w:r>
          </w:p>
          <w:p w14:paraId="71B4823B"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(10%)</w:t>
            </w:r>
          </w:p>
        </w:tc>
        <w:tc>
          <w:tcPr>
            <w:tcW w:w="850" w:type="dxa"/>
          </w:tcPr>
          <w:p w14:paraId="34F50EDD"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Wires</w:t>
            </w:r>
          </w:p>
        </w:tc>
        <w:tc>
          <w:tcPr>
            <w:tcW w:w="1473" w:type="dxa"/>
          </w:tcPr>
          <w:p w14:paraId="384810D3"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15, 30, 120 mins</w:t>
            </w:r>
          </w:p>
          <w:p w14:paraId="3FBA2EA4"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- 15, 30, 120 mins</w:t>
            </w:r>
          </w:p>
        </w:tc>
        <w:tc>
          <w:tcPr>
            <w:tcW w:w="1778" w:type="dxa"/>
          </w:tcPr>
          <w:p w14:paraId="649C2810"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xml:space="preserve">2% SDS + 1% AcOH </w:t>
            </w:r>
          </w:p>
          <w:p w14:paraId="55B9C986" w14:textId="77777777" w:rsidR="00BD14CD" w:rsidRPr="00BD14CD" w:rsidRDefault="00BD14CD" w:rsidP="00A27868">
            <w:pPr>
              <w:spacing w:line="240" w:lineRule="auto"/>
              <w:rPr>
                <w:rFonts w:eastAsia="Calibri" w:cs="Times New Roman"/>
                <w:sz w:val="20"/>
                <w:szCs w:val="20"/>
              </w:rPr>
            </w:pPr>
          </w:p>
          <w:p w14:paraId="5375001B"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xml:space="preserve">4% SDS + 1% AcOH </w:t>
            </w:r>
          </w:p>
        </w:tc>
        <w:tc>
          <w:tcPr>
            <w:tcW w:w="1304" w:type="dxa"/>
          </w:tcPr>
          <w:p w14:paraId="4A91F143"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Tg7 and Tg23372 mice Micro BCA Protein assay (Pierce, Rockford, IL)</w:t>
            </w:r>
          </w:p>
        </w:tc>
      </w:tr>
    </w:tbl>
    <w:p w14:paraId="44D4E17D" w14:textId="09BE174B" w:rsidR="00500F8B" w:rsidRPr="00BD14CD" w:rsidRDefault="00BD14CD" w:rsidP="00A27868">
      <w:pPr>
        <w:spacing w:line="240" w:lineRule="auto"/>
        <w:rPr>
          <w:rFonts w:eastAsia="Calibri" w:cs="Times New Roman"/>
          <w:sz w:val="16"/>
          <w:szCs w:val="16"/>
        </w:rPr>
      </w:pPr>
      <w:r w:rsidRPr="00BD14CD">
        <w:rPr>
          <w:rFonts w:eastAsia="Calibri" w:cs="Times New Roman"/>
          <w:sz w:val="16"/>
          <w:szCs w:val="16"/>
        </w:rPr>
        <w:t>w/v: weight/volume; AcOH: Acetic Acid; PK: Proteinase K</w:t>
      </w:r>
    </w:p>
    <w:p w14:paraId="35DB4344" w14:textId="77777777" w:rsidR="00500F8B" w:rsidRPr="00500F8B" w:rsidRDefault="00500F8B" w:rsidP="00A27868">
      <w:pPr>
        <w:jc w:val="both"/>
        <w:rPr>
          <w:rFonts w:eastAsia="Calibri" w:cs="Times New Roman"/>
          <w:lang w:val="en"/>
        </w:rPr>
      </w:pPr>
    </w:p>
    <w:p w14:paraId="10D1F327" w14:textId="6C4A3535" w:rsidR="00500F8B" w:rsidRPr="00500F8B" w:rsidRDefault="00500F8B" w:rsidP="00A27868">
      <w:pPr>
        <w:jc w:val="both"/>
        <w:rPr>
          <w:rFonts w:eastAsia="Calibri" w:cs="Times New Roman"/>
        </w:rPr>
      </w:pPr>
      <w:r w:rsidRPr="00500F8B">
        <w:rPr>
          <w:rFonts w:eastAsia="Calibri" w:cs="Times New Roman"/>
        </w:rPr>
        <w:t xml:space="preserve">The following combinations of autoclaving and other processes are reported to have produced a transmission rate of 0% or </w:t>
      </w:r>
      <w:r w:rsidRPr="00500F8B">
        <w:rPr>
          <w:rFonts w:eastAsia="Calibri" w:cs="Times New Roman"/>
          <w:u w:val="single"/>
        </w:rPr>
        <w:t>&lt;</w:t>
      </w:r>
      <w:r w:rsidRPr="00500F8B">
        <w:rPr>
          <w:rFonts w:eastAsia="Calibri" w:cs="Times New Roman"/>
        </w:rPr>
        <w:t xml:space="preserve">5%: autoclaving </w:t>
      </w:r>
      <w:r w:rsidRPr="00500F8B">
        <w:rPr>
          <w:rFonts w:eastAsia="Calibri" w:cs="Times New Roman"/>
          <w:lang w:val="en"/>
        </w:rPr>
        <w:t xml:space="preserve">at </w:t>
      </w:r>
      <w:r w:rsidRPr="00500F8B">
        <w:rPr>
          <w:rFonts w:eastAsia="Calibri" w:cs="Times New Roman"/>
        </w:rPr>
        <w:t>134</w:t>
      </w:r>
      <w:r w:rsidRPr="00500F8B">
        <w:rPr>
          <w:rFonts w:eastAsia="Calibri" w:cs="Times New Roman"/>
          <w:vertAlign w:val="superscript"/>
        </w:rPr>
        <w:t>°</w:t>
      </w:r>
      <w:r w:rsidRPr="00500F8B">
        <w:rPr>
          <w:rFonts w:eastAsia="Calibri" w:cs="Times New Roman"/>
        </w:rPr>
        <w:t>C for 15, 30 or 120 minutes</w:t>
      </w:r>
      <w:r w:rsidRPr="00500F8B">
        <w:rPr>
          <w:rFonts w:eastAsia="Calibri" w:cs="Times New Roman"/>
          <w:lang w:val="en"/>
        </w:rPr>
        <w:t xml:space="preserve"> </w:t>
      </w:r>
      <w:r w:rsidRPr="00500F8B">
        <w:rPr>
          <w:rFonts w:eastAsia="Calibri" w:cs="Times New Roman"/>
        </w:rPr>
        <w:t>plus 4% SDS + 1% AcOH for the 301V, cattle BSE (</w:t>
      </w:r>
      <w:r w:rsidR="00430EFD" w:rsidRPr="00500F8B">
        <w:rPr>
          <w:rFonts w:eastAsia="Calibri" w:cs="Times New Roman"/>
          <w:lang w:val="en"/>
        </w:rPr>
        <w:t>Giles</w:t>
      </w:r>
      <w:r w:rsidR="00430EFD">
        <w:rPr>
          <w:rFonts w:eastAsia="Calibri" w:cs="Times New Roman"/>
          <w:lang w:val="en"/>
        </w:rPr>
        <w:t xml:space="preserve"> </w:t>
      </w:r>
      <w:r w:rsidR="00B301D6" w:rsidRPr="00B301D6">
        <w:rPr>
          <w:rFonts w:eastAsia="Calibri" w:cs="Times New Roman"/>
          <w:i/>
          <w:lang w:val="en"/>
        </w:rPr>
        <w:t>et al</w:t>
      </w:r>
      <w:r w:rsidR="00430EFD">
        <w:rPr>
          <w:rFonts w:eastAsia="Calibri" w:cs="Times New Roman"/>
          <w:lang w:val="en"/>
        </w:rPr>
        <w:t xml:space="preserve"> (</w:t>
      </w:r>
      <w:r w:rsidR="00430EFD" w:rsidRPr="00500F8B">
        <w:rPr>
          <w:rFonts w:eastAsia="Calibri" w:cs="Times New Roman"/>
          <w:lang w:val="en"/>
        </w:rPr>
        <w:t>2008)</w:t>
      </w:r>
      <w:r w:rsidR="00DB67C1">
        <w:rPr>
          <w:rFonts w:eastAsia="Calibri" w:cs="Times New Roman"/>
          <w:lang w:val="en"/>
        </w:rPr>
        <w:fldChar w:fldCharType="begin">
          <w:fldData xml:space="preserve">PEVuZE5vdGU+PENpdGU+PEF1dGhvcj5HaWxlczwvQXV0aG9yPjxZZWFyPjIwMDg8L1llYXI+PFJl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PEVuZE5vdGU+PENpdGU+PEF1dGhvcj5HaWxlczwvQXV0aG9yPjxZZWFyPjIwMDg8L1llYXI+PFJl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184</w:t>
      </w:r>
      <w:r w:rsidR="00DB67C1">
        <w:rPr>
          <w:rFonts w:eastAsia="Calibri" w:cs="Times New Roman"/>
          <w:lang w:val="en"/>
        </w:rPr>
        <w:fldChar w:fldCharType="end"/>
      </w:r>
      <w:r w:rsidRPr="00500F8B">
        <w:rPr>
          <w:rFonts w:eastAsia="Calibri" w:cs="Times New Roman"/>
        </w:rPr>
        <w:t>), Sc237 and sCJD prions strains (</w:t>
      </w:r>
      <w:r w:rsidR="00464F97" w:rsidRPr="00500F8B">
        <w:rPr>
          <w:rFonts w:eastAsia="Calibri" w:cs="Times New Roman"/>
          <w:lang w:val="en"/>
        </w:rPr>
        <w:t xml:space="preserve">Peretz </w:t>
      </w:r>
      <w:r w:rsidR="00B301D6" w:rsidRPr="00B301D6">
        <w:rPr>
          <w:rFonts w:eastAsia="Calibri" w:cs="Times New Roman"/>
          <w:i/>
          <w:lang w:val="en"/>
        </w:rPr>
        <w:t>et al</w:t>
      </w:r>
      <w:r w:rsidR="00464F97">
        <w:rPr>
          <w:rFonts w:eastAsia="Calibri" w:cs="Times New Roman"/>
          <w:lang w:val="en"/>
        </w:rPr>
        <w:t xml:space="preserve"> (</w:t>
      </w:r>
      <w:r w:rsidR="00464F97" w:rsidRPr="00500F8B">
        <w:rPr>
          <w:rFonts w:eastAsia="Calibri" w:cs="Times New Roman"/>
          <w:lang w:val="en"/>
        </w:rPr>
        <w:t>2006</w:t>
      </w:r>
      <w:r w:rsidR="00464F97">
        <w:rPr>
          <w:rFonts w:eastAsia="Calibri" w:cs="Times New Roman"/>
          <w:lang w:val="en"/>
        </w:rPr>
        <w:t>)</w:t>
      </w:r>
      <w:r w:rsidR="00DB67C1">
        <w:rPr>
          <w:rFonts w:eastAsia="Calibri" w:cs="Times New Roman"/>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181</w:t>
      </w:r>
      <w:r w:rsidR="00DB67C1">
        <w:rPr>
          <w:rFonts w:eastAsia="Calibri" w:cs="Times New Roman"/>
          <w:lang w:val="en"/>
        </w:rPr>
        <w:fldChar w:fldCharType="end"/>
      </w:r>
      <w:r w:rsidRPr="00500F8B">
        <w:rPr>
          <w:rFonts w:eastAsia="Calibri" w:cs="Times New Roman"/>
        </w:rPr>
        <w:t xml:space="preserve">); autoclaving </w:t>
      </w:r>
      <w:r w:rsidRPr="00500F8B">
        <w:rPr>
          <w:rFonts w:eastAsia="Calibri" w:cs="Times New Roman"/>
          <w:lang w:val="en"/>
        </w:rPr>
        <w:t xml:space="preserve">at </w:t>
      </w:r>
      <w:r w:rsidRPr="00500F8B">
        <w:rPr>
          <w:rFonts w:eastAsia="Calibri" w:cs="Times New Roman"/>
        </w:rPr>
        <w:t>121</w:t>
      </w:r>
      <w:r w:rsidRPr="00500F8B">
        <w:rPr>
          <w:rFonts w:eastAsia="Calibri" w:cs="Times New Roman"/>
          <w:vertAlign w:val="superscript"/>
        </w:rPr>
        <w:t>°</w:t>
      </w:r>
      <w:r w:rsidRPr="00500F8B">
        <w:rPr>
          <w:rFonts w:eastAsia="Calibri" w:cs="Times New Roman"/>
        </w:rPr>
        <w:t>C for 15, 30 or 120 minutes</w:t>
      </w:r>
      <w:r w:rsidRPr="00500F8B">
        <w:rPr>
          <w:rFonts w:eastAsia="Calibri" w:cs="Times New Roman"/>
          <w:lang w:val="en"/>
        </w:rPr>
        <w:t xml:space="preserve"> </w:t>
      </w:r>
      <w:r w:rsidRPr="00500F8B">
        <w:rPr>
          <w:rFonts w:eastAsia="Calibri" w:cs="Times New Roman"/>
        </w:rPr>
        <w:t>plus 2% SDS + 1% AcOH for the 301V and cattle BSE prion strains (</w:t>
      </w:r>
      <w:r w:rsidR="00430EFD" w:rsidRPr="00500F8B">
        <w:rPr>
          <w:rFonts w:eastAsia="Calibri" w:cs="Times New Roman"/>
          <w:lang w:val="en"/>
        </w:rPr>
        <w:t>Giles</w:t>
      </w:r>
      <w:r w:rsidR="00430EFD">
        <w:rPr>
          <w:rFonts w:eastAsia="Calibri" w:cs="Times New Roman"/>
          <w:lang w:val="en"/>
        </w:rPr>
        <w:t xml:space="preserve"> </w:t>
      </w:r>
      <w:r w:rsidR="00B301D6" w:rsidRPr="00B301D6">
        <w:rPr>
          <w:rFonts w:eastAsia="Calibri" w:cs="Times New Roman"/>
          <w:i/>
          <w:lang w:val="en"/>
        </w:rPr>
        <w:t>et al</w:t>
      </w:r>
      <w:r w:rsidR="00430EFD">
        <w:rPr>
          <w:rFonts w:eastAsia="Calibri" w:cs="Times New Roman"/>
          <w:lang w:val="en"/>
        </w:rPr>
        <w:t xml:space="preserve"> (</w:t>
      </w:r>
      <w:r w:rsidR="00430EFD" w:rsidRPr="00500F8B">
        <w:rPr>
          <w:rFonts w:eastAsia="Calibri" w:cs="Times New Roman"/>
          <w:lang w:val="en"/>
        </w:rPr>
        <w:t>2008)</w:t>
      </w:r>
      <w:r w:rsidR="00DB67C1">
        <w:rPr>
          <w:rFonts w:eastAsia="Calibri" w:cs="Times New Roman"/>
          <w:lang w:val="en"/>
        </w:rPr>
        <w:fldChar w:fldCharType="begin">
          <w:fldData xml:space="preserve">PEVuZE5vdGU+PENpdGU+PEF1dGhvcj5HaWxlczwvQXV0aG9yPjxZZWFyPjIwMDg8L1llYXI+PFJl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PEVuZE5vdGU+PENpdGU+PEF1dGhvcj5HaWxlczwvQXV0aG9yPjxZZWFyPjIwMDg8L1llYXI+PFJl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184</w:t>
      </w:r>
      <w:r w:rsidR="00DB67C1">
        <w:rPr>
          <w:rFonts w:eastAsia="Calibri" w:cs="Times New Roman"/>
          <w:lang w:val="en"/>
        </w:rPr>
        <w:fldChar w:fldCharType="end"/>
      </w:r>
      <w:r w:rsidRPr="00500F8B">
        <w:rPr>
          <w:rFonts w:eastAsia="Calibri" w:cs="Times New Roman"/>
        </w:rPr>
        <w:t xml:space="preserve">); and autoclaving </w:t>
      </w:r>
      <w:r w:rsidRPr="00500F8B">
        <w:rPr>
          <w:rFonts w:eastAsia="Calibri" w:cs="Times New Roman"/>
          <w:lang w:val="en"/>
        </w:rPr>
        <w:t xml:space="preserve">at </w:t>
      </w:r>
      <w:r w:rsidRPr="00500F8B">
        <w:rPr>
          <w:rFonts w:eastAsia="Calibri" w:cs="Times New Roman"/>
        </w:rPr>
        <w:t>65</w:t>
      </w:r>
      <w:r w:rsidRPr="00500F8B">
        <w:rPr>
          <w:rFonts w:eastAsia="Calibri" w:cs="Times New Roman"/>
          <w:vertAlign w:val="superscript"/>
        </w:rPr>
        <w:t>°</w:t>
      </w:r>
      <w:r w:rsidRPr="00500F8B">
        <w:rPr>
          <w:rFonts w:eastAsia="Calibri" w:cs="Times New Roman"/>
        </w:rPr>
        <w:t>C for 18 hours</w:t>
      </w:r>
      <w:r w:rsidRPr="00500F8B">
        <w:rPr>
          <w:rFonts w:eastAsia="Calibri" w:cs="Times New Roman"/>
          <w:lang w:val="en"/>
        </w:rPr>
        <w:t xml:space="preserve"> </w:t>
      </w:r>
      <w:r w:rsidRPr="00500F8B">
        <w:rPr>
          <w:rFonts w:eastAsia="Calibri" w:cs="Times New Roman"/>
        </w:rPr>
        <w:t>plus 2% SDS + 1% AcOH for the Sc237 and sCJD prions strains (</w:t>
      </w:r>
      <w:r w:rsidR="00430EFD" w:rsidRPr="00500F8B">
        <w:rPr>
          <w:rFonts w:eastAsia="Calibri" w:cs="Times New Roman"/>
          <w:lang w:val="en"/>
        </w:rPr>
        <w:t>Giles</w:t>
      </w:r>
      <w:r w:rsidR="00430EFD">
        <w:rPr>
          <w:rFonts w:eastAsia="Calibri" w:cs="Times New Roman"/>
          <w:lang w:val="en"/>
        </w:rPr>
        <w:t xml:space="preserve"> </w:t>
      </w:r>
      <w:r w:rsidR="00B301D6" w:rsidRPr="00B301D6">
        <w:rPr>
          <w:rFonts w:eastAsia="Calibri" w:cs="Times New Roman"/>
          <w:i/>
          <w:lang w:val="en"/>
        </w:rPr>
        <w:t>et al</w:t>
      </w:r>
      <w:r w:rsidR="00430EFD" w:rsidRPr="00500F8B">
        <w:rPr>
          <w:rFonts w:eastAsia="Calibri" w:cs="Times New Roman"/>
          <w:lang w:val="en"/>
        </w:rPr>
        <w:t xml:space="preserve"> </w:t>
      </w:r>
      <w:r w:rsidR="00430EFD">
        <w:rPr>
          <w:rFonts w:eastAsia="Calibri" w:cs="Times New Roman"/>
          <w:lang w:val="en"/>
        </w:rPr>
        <w:t>(</w:t>
      </w:r>
      <w:r w:rsidR="00430EFD" w:rsidRPr="00500F8B">
        <w:rPr>
          <w:rFonts w:eastAsia="Calibri" w:cs="Times New Roman"/>
          <w:lang w:val="en"/>
        </w:rPr>
        <w:t>2007</w:t>
      </w:r>
      <w:r w:rsidR="00430EFD">
        <w:rPr>
          <w:rFonts w:eastAsia="Calibri" w:cs="Times New Roman"/>
          <w:lang w:val="en"/>
        </w:rPr>
        <w:t>)</w:t>
      </w:r>
      <w:r w:rsidR="00DB67C1">
        <w:rPr>
          <w:rFonts w:eastAsia="Calibri" w:cs="Times New Roman"/>
          <w:lang w:val="en"/>
        </w:rPr>
        <w:fldChar w:fldCharType="begin"/>
      </w:r>
      <w:r w:rsidR="0076576E">
        <w:rPr>
          <w:rFonts w:eastAsia="Calibri" w:cs="Times New Roman"/>
          <w:lang w:val="en"/>
        </w:rPr>
        <w:instrText xml:space="preserve"> ADDIN EN.CITE &lt;EndNote&gt;&lt;Cite&gt;&lt;Author&gt;Giles&lt;/Author&gt;&lt;Year&gt;2007&lt;/Year&gt;&lt;RecNum&gt;8107&lt;/RecNum&gt;&lt;DisplayText&gt;&lt;style face="superscript"&gt;182&lt;/style&gt;&lt;/DisplayText&gt;&lt;record&gt;&lt;rec-number&gt;8107&lt;/rec-number&gt;&lt;foreign-keys&gt;&lt;key app="EN" db-id="vrp0pptazv05wtesfz5vrzsj2p0rv09ttsa9" timestamp="1506588727" guid="da4503b6-100c-4642-a682-ef295ed5e545"&gt;8107&lt;/key&gt;&lt;/foreign-keys&gt;&lt;ref-type name="Journal Article"&gt;17&lt;/ref-type&gt;&lt;contributors&gt;&lt;authors&gt;&lt;author&gt;Giles, K.&lt;/author&gt;&lt;author&gt;Supattapone, S.&lt;/author&gt;&lt;author&gt;Peretz, D.&lt;/author&gt;&lt;author&gt;Glidden, D. V.&lt;/author&gt;&lt;author&gt;Baron, H.&lt;/author&gt;&lt;author&gt;Prusiner, S. B.&lt;/author&gt;&lt;/authors&gt;&lt;/contributors&gt;&lt;titles&gt;&lt;title&gt;Disinfection of Prions&lt;/title&gt;&lt;secondary-title&gt;New Biocides Development: Combined Approach of Chemistry and Microbiology&lt;/secondary-title&gt;&lt;/titles&gt;&lt;periodical&gt;&lt;full-title&gt;New Biocides Development: Combined Approach of Chemistry and Microbiology&lt;/full-title&gt;&lt;/periodical&gt;&lt;pages&gt;52-74&lt;/pages&gt;&lt;volume&gt;967&lt;/volume&gt;&lt;keywords&gt;&lt;keyword&gt;$$CC_5_instrument decontamination&lt;/keyword&gt;&lt;keyword&gt;$$CJD relevant&lt;/keyword&gt;&lt;keyword&gt;$$5_instrument decontamination&lt;/keyword&gt;&lt;keyword&gt;$$ILL&lt;/keyword&gt;&lt;/keywords&gt;&lt;dates&gt;&lt;year&gt;2007&lt;/year&gt;&lt;/dates&gt;&lt;isbn&gt;978-0-8412-7405-1&lt;/isbn&gt;&lt;accession-num&gt;WOS:000269910600003&lt;/accession-num&gt;&lt;urls&gt;&lt;related-urls&gt;&lt;url&gt;&amp;lt;Go to ISI&amp;gt;://WOS:000269910600003&lt;/url&gt;&lt;/related-urls&gt;&lt;/urls&gt;&lt;/record&gt;&lt;/Cite&gt;&lt;/EndNote&gt;</w:instrText>
      </w:r>
      <w:r w:rsidR="00DB67C1">
        <w:rPr>
          <w:rFonts w:eastAsia="Calibri" w:cs="Times New Roman"/>
          <w:lang w:val="en"/>
        </w:rPr>
        <w:fldChar w:fldCharType="separate"/>
      </w:r>
      <w:r w:rsidR="0076576E" w:rsidRPr="0076576E">
        <w:rPr>
          <w:rFonts w:eastAsia="Calibri" w:cs="Times New Roman"/>
          <w:noProof/>
          <w:vertAlign w:val="superscript"/>
          <w:lang w:val="en"/>
        </w:rPr>
        <w:t>182</w:t>
      </w:r>
      <w:r w:rsidR="00DB67C1">
        <w:rPr>
          <w:rFonts w:eastAsia="Calibri" w:cs="Times New Roman"/>
          <w:lang w:val="en"/>
        </w:rPr>
        <w:fldChar w:fldCharType="end"/>
      </w:r>
      <w:r w:rsidRPr="00500F8B">
        <w:rPr>
          <w:rFonts w:eastAsia="Calibri" w:cs="Times New Roman"/>
        </w:rPr>
        <w:t xml:space="preserve">). Autoclaving </w:t>
      </w:r>
      <w:r w:rsidRPr="00500F8B">
        <w:rPr>
          <w:rFonts w:eastAsia="Calibri" w:cs="Times New Roman"/>
          <w:lang w:val="en"/>
        </w:rPr>
        <w:t xml:space="preserve">at </w:t>
      </w:r>
      <w:r w:rsidRPr="00500F8B">
        <w:rPr>
          <w:rFonts w:eastAsia="Calibri" w:cs="Times New Roman"/>
        </w:rPr>
        <w:t>134</w:t>
      </w:r>
      <w:r w:rsidRPr="00500F8B">
        <w:rPr>
          <w:rFonts w:eastAsia="Calibri" w:cs="Times New Roman"/>
          <w:vertAlign w:val="superscript"/>
        </w:rPr>
        <w:t>°</w:t>
      </w:r>
      <w:r w:rsidRPr="00500F8B">
        <w:rPr>
          <w:rFonts w:eastAsia="Calibri" w:cs="Times New Roman"/>
        </w:rPr>
        <w:t>C for 20 minutes</w:t>
      </w:r>
      <w:r w:rsidRPr="00500F8B">
        <w:rPr>
          <w:rFonts w:eastAsia="Calibri" w:cs="Times New Roman"/>
          <w:lang w:val="en"/>
        </w:rPr>
        <w:t xml:space="preserve"> </w:t>
      </w:r>
      <w:r w:rsidRPr="00500F8B">
        <w:rPr>
          <w:rFonts w:eastAsia="Calibri" w:cs="Times New Roman"/>
        </w:rPr>
        <w:t>plus SDS-PK-Pronase at 40</w:t>
      </w:r>
      <w:r w:rsidRPr="00500F8B">
        <w:rPr>
          <w:rFonts w:eastAsia="Calibri" w:cs="Times New Roman"/>
          <w:vertAlign w:val="superscript"/>
        </w:rPr>
        <w:t>°</w:t>
      </w:r>
      <w:r w:rsidRPr="00500F8B">
        <w:rPr>
          <w:rFonts w:eastAsia="Calibri" w:cs="Times New Roman"/>
        </w:rPr>
        <w:t>C for 60 mins also produced a 0% transmission rate for RML prion strains (</w:t>
      </w:r>
      <w:r w:rsidR="00B277F9" w:rsidRPr="00500F8B">
        <w:rPr>
          <w:rFonts w:eastAsia="Calibri" w:cs="Times New Roman"/>
          <w:lang w:val="en"/>
        </w:rPr>
        <w:t xml:space="preserve">Jackson </w:t>
      </w:r>
      <w:r w:rsidR="00B301D6" w:rsidRPr="00B301D6">
        <w:rPr>
          <w:rFonts w:eastAsia="Calibri" w:cs="Times New Roman"/>
          <w:i/>
          <w:lang w:val="en"/>
        </w:rPr>
        <w:t>et al</w:t>
      </w:r>
      <w:r w:rsidR="00B277F9">
        <w:rPr>
          <w:rFonts w:eastAsia="Calibri" w:cs="Times New Roman"/>
          <w:lang w:val="en"/>
        </w:rPr>
        <w:t xml:space="preserve"> (</w:t>
      </w:r>
      <w:r w:rsidR="00B277F9" w:rsidRPr="00500F8B">
        <w:rPr>
          <w:rFonts w:eastAsia="Calibri" w:cs="Times New Roman"/>
          <w:lang w:val="en"/>
        </w:rPr>
        <w:t>2005</w:t>
      </w:r>
      <w:r w:rsidR="00B277F9">
        <w:rPr>
          <w:rFonts w:eastAsia="Calibri" w:cs="Times New Roman"/>
          <w:lang w:val="en"/>
        </w:rPr>
        <w:t>)</w:t>
      </w:r>
      <w:r w:rsidR="00DB67C1">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180</w:t>
      </w:r>
      <w:r w:rsidR="00DB67C1">
        <w:rPr>
          <w:rFonts w:eastAsia="Calibri" w:cs="Times New Roman"/>
          <w:lang w:val="en"/>
        </w:rPr>
        <w:fldChar w:fldCharType="end"/>
      </w:r>
      <w:r w:rsidRPr="00500F8B">
        <w:rPr>
          <w:rFonts w:eastAsia="Calibri" w:cs="Times New Roman"/>
        </w:rPr>
        <w:t xml:space="preserve">). </w:t>
      </w:r>
    </w:p>
    <w:p w14:paraId="6169E094" w14:textId="77777777" w:rsidR="00500F8B" w:rsidRPr="00500F8B" w:rsidRDefault="00500F8B" w:rsidP="00A27868">
      <w:pPr>
        <w:jc w:val="both"/>
        <w:rPr>
          <w:rFonts w:eastAsia="Calibri" w:cs="Times New Roman"/>
        </w:rPr>
      </w:pPr>
    </w:p>
    <w:p w14:paraId="35D97D8F" w14:textId="496FC17E" w:rsidR="00500F8B" w:rsidRPr="00500F8B" w:rsidRDefault="00500F8B" w:rsidP="00A27868">
      <w:pPr>
        <w:jc w:val="both"/>
        <w:rPr>
          <w:rFonts w:eastAsia="Calibri" w:cs="Times New Roman"/>
          <w:sz w:val="20"/>
          <w:szCs w:val="20"/>
        </w:rPr>
      </w:pPr>
      <w:r w:rsidRPr="00500F8B">
        <w:rPr>
          <w:rFonts w:eastAsia="Calibri" w:cs="Times New Roman"/>
        </w:rPr>
        <w:t>Without autoclaving, trigene disinfectant and RF gas plasma, and SDS-PK-Pronase at 40</w:t>
      </w:r>
      <w:r w:rsidRPr="00500F8B">
        <w:rPr>
          <w:rFonts w:eastAsia="Calibri" w:cs="Times New Roman"/>
          <w:vertAlign w:val="superscript"/>
        </w:rPr>
        <w:t>°</w:t>
      </w:r>
      <w:r w:rsidRPr="00500F8B">
        <w:rPr>
          <w:rFonts w:eastAsia="Calibri" w:cs="Times New Roman"/>
        </w:rPr>
        <w:t>C for 60 mins, also produced transmission rates of 0% in the 263K and the RML prion strains, respectively (</w:t>
      </w:r>
      <w:r w:rsidR="00B277F9" w:rsidRPr="00500F8B">
        <w:rPr>
          <w:rFonts w:eastAsia="Calibri" w:cs="Times New Roman"/>
          <w:lang w:val="en"/>
        </w:rPr>
        <w:t>Baxter</w:t>
      </w:r>
      <w:r w:rsidR="00B277F9">
        <w:rPr>
          <w:rFonts w:eastAsia="Calibri" w:cs="Times New Roman"/>
          <w:lang w:val="en"/>
        </w:rPr>
        <w:t xml:space="preserve"> </w:t>
      </w:r>
      <w:r w:rsidR="00B301D6" w:rsidRPr="00B301D6">
        <w:rPr>
          <w:rFonts w:eastAsia="Calibri" w:cs="Times New Roman"/>
          <w:i/>
          <w:lang w:val="en"/>
        </w:rPr>
        <w:t>et al</w:t>
      </w:r>
      <w:r w:rsidR="00B277F9">
        <w:rPr>
          <w:rFonts w:eastAsia="Calibri" w:cs="Times New Roman"/>
          <w:lang w:val="en"/>
        </w:rPr>
        <w:t xml:space="preserve"> (2005)</w:t>
      </w:r>
      <w:r w:rsidR="00DB67C1">
        <w:rPr>
          <w:rFonts w:eastAsia="Calibri" w:cs="Times New Roman"/>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183</w:t>
      </w:r>
      <w:r w:rsidR="00DB67C1">
        <w:rPr>
          <w:rFonts w:eastAsia="Calibri" w:cs="Times New Roman"/>
          <w:lang w:val="en"/>
        </w:rPr>
        <w:fldChar w:fldCharType="end"/>
      </w:r>
      <w:r w:rsidRPr="00500F8B">
        <w:rPr>
          <w:rFonts w:eastAsia="Calibri" w:cs="Times New Roman"/>
        </w:rPr>
        <w:t xml:space="preserve">, </w:t>
      </w:r>
      <w:r w:rsidR="00B277F9" w:rsidRPr="00500F8B">
        <w:rPr>
          <w:rFonts w:eastAsia="Calibri" w:cs="Times New Roman"/>
          <w:lang w:val="en"/>
        </w:rPr>
        <w:t xml:space="preserve">Jackson </w:t>
      </w:r>
      <w:r w:rsidR="00B301D6" w:rsidRPr="00B301D6">
        <w:rPr>
          <w:rFonts w:eastAsia="Calibri" w:cs="Times New Roman"/>
          <w:i/>
          <w:lang w:val="en"/>
        </w:rPr>
        <w:t>et al</w:t>
      </w:r>
      <w:r w:rsidR="00B277F9">
        <w:rPr>
          <w:rFonts w:eastAsia="Calibri" w:cs="Times New Roman"/>
          <w:lang w:val="en"/>
        </w:rPr>
        <w:t xml:space="preserve"> (</w:t>
      </w:r>
      <w:r w:rsidR="00B277F9" w:rsidRPr="00500F8B">
        <w:rPr>
          <w:rFonts w:eastAsia="Calibri" w:cs="Times New Roman"/>
          <w:lang w:val="en"/>
        </w:rPr>
        <w:t>2005</w:t>
      </w:r>
      <w:r w:rsidR="00B277F9">
        <w:rPr>
          <w:rFonts w:eastAsia="Calibri" w:cs="Times New Roman"/>
          <w:lang w:val="en"/>
        </w:rPr>
        <w:t>)</w:t>
      </w:r>
      <w:r w:rsidR="00DB67C1">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180</w:t>
      </w:r>
      <w:r w:rsidR="00DB67C1">
        <w:rPr>
          <w:rFonts w:eastAsia="Calibri" w:cs="Times New Roman"/>
          <w:lang w:val="en"/>
        </w:rPr>
        <w:fldChar w:fldCharType="end"/>
      </w:r>
      <w:r w:rsidRPr="00500F8B">
        <w:rPr>
          <w:rFonts w:eastAsia="Calibri" w:cs="Times New Roman"/>
        </w:rPr>
        <w:t>).</w:t>
      </w:r>
    </w:p>
    <w:p w14:paraId="73B2B116" w14:textId="77777777" w:rsidR="00500F8B" w:rsidRPr="00500F8B" w:rsidRDefault="00500F8B" w:rsidP="00500F8B">
      <w:pPr>
        <w:spacing w:after="200"/>
        <w:jc w:val="both"/>
        <w:rPr>
          <w:rFonts w:eastAsia="Calibri" w:cs="Times New Roman"/>
        </w:rPr>
      </w:pPr>
    </w:p>
    <w:p w14:paraId="2940868A" w14:textId="77777777" w:rsidR="00500F8B" w:rsidRPr="00500F8B" w:rsidRDefault="00500F8B" w:rsidP="00500F8B">
      <w:pPr>
        <w:spacing w:after="200"/>
        <w:jc w:val="both"/>
        <w:rPr>
          <w:rFonts w:eastAsia="Calibri" w:cs="Times New Roman"/>
          <w:lang w:val="en"/>
        </w:rPr>
        <w:sectPr w:rsidR="00500F8B" w:rsidRPr="00500F8B">
          <w:pgSz w:w="11906" w:h="16838"/>
          <w:pgMar w:top="1440" w:right="1440" w:bottom="1440" w:left="1440" w:header="708" w:footer="708" w:gutter="0"/>
          <w:cols w:space="708"/>
          <w:docGrid w:linePitch="360"/>
        </w:sectPr>
      </w:pPr>
    </w:p>
    <w:p w14:paraId="76AB3908" w14:textId="5CAB6D96" w:rsidR="00BD14CD" w:rsidRDefault="00BD14CD" w:rsidP="00A27868">
      <w:pPr>
        <w:pStyle w:val="Caption"/>
        <w:keepNext/>
        <w:spacing w:line="360" w:lineRule="auto"/>
        <w:ind w:left="1440" w:hanging="1440"/>
      </w:pPr>
      <w:bookmarkStart w:id="73" w:name="_Ref508886915"/>
      <w:bookmarkStart w:id="74" w:name="_Toc525106704"/>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17</w:t>
      </w:r>
      <w:r w:rsidR="00F62DB8">
        <w:rPr>
          <w:noProof/>
        </w:rPr>
        <w:fldChar w:fldCharType="end"/>
      </w:r>
      <w:bookmarkEnd w:id="73"/>
      <w:r w:rsidR="00A27868">
        <w:t>:</w:t>
      </w:r>
      <w:r w:rsidR="00A27868">
        <w:tab/>
      </w:r>
      <w:r w:rsidRPr="009856C8">
        <w:t>Results of studies reporting infectivity (but not log reductions) from prion contamination on steel surfaces after autoclaving with and without other processes or decontamination processes without autoclaving</w:t>
      </w:r>
      <w:bookmarkEnd w:id="74"/>
    </w:p>
    <w:tbl>
      <w:tblPr>
        <w:tblStyle w:val="TableGrid4"/>
        <w:tblW w:w="0" w:type="auto"/>
        <w:tblLayout w:type="fixed"/>
        <w:tblLook w:val="04A0" w:firstRow="1" w:lastRow="0" w:firstColumn="1" w:lastColumn="0" w:noHBand="0" w:noVBand="1"/>
      </w:tblPr>
      <w:tblGrid>
        <w:gridCol w:w="1668"/>
        <w:gridCol w:w="1559"/>
        <w:gridCol w:w="1701"/>
        <w:gridCol w:w="3969"/>
        <w:gridCol w:w="1439"/>
        <w:gridCol w:w="1949"/>
      </w:tblGrid>
      <w:tr w:rsidR="00BD14CD" w:rsidRPr="00BD14CD" w14:paraId="7639CEAA" w14:textId="77777777" w:rsidTr="00BD14CD">
        <w:trPr>
          <w:tblHeader/>
        </w:trPr>
        <w:tc>
          <w:tcPr>
            <w:tcW w:w="1668" w:type="dxa"/>
            <w:vMerge w:val="restart"/>
          </w:tcPr>
          <w:p w14:paraId="19D041FB" w14:textId="77777777" w:rsidR="00BD14CD" w:rsidRPr="00BD14CD" w:rsidRDefault="00BD14CD" w:rsidP="00A27868">
            <w:pPr>
              <w:spacing w:line="240" w:lineRule="auto"/>
              <w:rPr>
                <w:rFonts w:eastAsia="Calibri" w:cs="Times New Roman"/>
                <w:b/>
                <w:sz w:val="20"/>
                <w:szCs w:val="20"/>
              </w:rPr>
            </w:pPr>
            <w:r w:rsidRPr="00BD14CD">
              <w:rPr>
                <w:rFonts w:eastAsia="Calibri" w:cs="Times New Roman"/>
                <w:b/>
                <w:sz w:val="20"/>
                <w:szCs w:val="20"/>
              </w:rPr>
              <w:t>Study</w:t>
            </w:r>
          </w:p>
        </w:tc>
        <w:tc>
          <w:tcPr>
            <w:tcW w:w="1559" w:type="dxa"/>
            <w:vMerge w:val="restart"/>
          </w:tcPr>
          <w:p w14:paraId="657FE6C4" w14:textId="77777777" w:rsidR="00BD14CD" w:rsidRPr="00BD14CD" w:rsidRDefault="00BD14CD" w:rsidP="00A27868">
            <w:pPr>
              <w:spacing w:line="240" w:lineRule="auto"/>
              <w:rPr>
                <w:rFonts w:eastAsia="Calibri" w:cs="Times New Roman"/>
                <w:b/>
                <w:sz w:val="20"/>
                <w:szCs w:val="20"/>
              </w:rPr>
            </w:pPr>
            <w:r w:rsidRPr="00BD14CD">
              <w:rPr>
                <w:rFonts w:eastAsia="Calibri" w:cs="Times New Roman"/>
                <w:b/>
                <w:sz w:val="20"/>
                <w:szCs w:val="20"/>
              </w:rPr>
              <w:t>Prion strain</w:t>
            </w:r>
          </w:p>
        </w:tc>
        <w:tc>
          <w:tcPr>
            <w:tcW w:w="5670" w:type="dxa"/>
            <w:gridSpan w:val="2"/>
          </w:tcPr>
          <w:p w14:paraId="76C4C9F6" w14:textId="77777777" w:rsidR="00BD14CD" w:rsidRPr="00BD14CD" w:rsidRDefault="00BD14CD" w:rsidP="00A27868">
            <w:pPr>
              <w:spacing w:line="240" w:lineRule="auto"/>
              <w:jc w:val="center"/>
              <w:rPr>
                <w:rFonts w:eastAsia="Calibri" w:cs="Times New Roman"/>
                <w:b/>
                <w:sz w:val="20"/>
                <w:szCs w:val="20"/>
              </w:rPr>
            </w:pPr>
            <w:r w:rsidRPr="00BD14CD">
              <w:rPr>
                <w:rFonts w:eastAsia="Calibri" w:cs="Times New Roman"/>
                <w:b/>
                <w:sz w:val="20"/>
                <w:szCs w:val="20"/>
              </w:rPr>
              <w:t>Decontamination methods</w:t>
            </w:r>
          </w:p>
        </w:tc>
        <w:tc>
          <w:tcPr>
            <w:tcW w:w="1439" w:type="dxa"/>
            <w:vMerge w:val="restart"/>
          </w:tcPr>
          <w:p w14:paraId="7684DD9F" w14:textId="77777777" w:rsidR="00BD14CD" w:rsidRPr="00BD14CD" w:rsidRDefault="00BD14CD" w:rsidP="00A27868">
            <w:pPr>
              <w:spacing w:line="240" w:lineRule="auto"/>
              <w:rPr>
                <w:rFonts w:eastAsia="Calibri" w:cs="Times New Roman"/>
                <w:b/>
                <w:sz w:val="20"/>
                <w:szCs w:val="20"/>
              </w:rPr>
            </w:pPr>
            <w:r w:rsidRPr="00BD14CD">
              <w:rPr>
                <w:rFonts w:eastAsia="Calibri" w:cs="Times New Roman"/>
                <w:b/>
                <w:sz w:val="20"/>
                <w:szCs w:val="20"/>
              </w:rPr>
              <w:t>Transmission rate</w:t>
            </w:r>
          </w:p>
        </w:tc>
        <w:tc>
          <w:tcPr>
            <w:tcW w:w="1949" w:type="dxa"/>
            <w:vMerge w:val="restart"/>
          </w:tcPr>
          <w:p w14:paraId="62371552" w14:textId="77777777" w:rsidR="00BD14CD" w:rsidRPr="00BD14CD" w:rsidRDefault="00BD14CD" w:rsidP="00A27868">
            <w:pPr>
              <w:spacing w:line="240" w:lineRule="auto"/>
              <w:rPr>
                <w:rFonts w:eastAsia="Calibri" w:cs="Times New Roman"/>
                <w:b/>
                <w:sz w:val="20"/>
                <w:szCs w:val="20"/>
              </w:rPr>
            </w:pPr>
            <w:r w:rsidRPr="00BD14CD">
              <w:rPr>
                <w:rFonts w:eastAsia="Calibri" w:cs="Times New Roman"/>
                <w:b/>
                <w:sz w:val="20"/>
                <w:szCs w:val="20"/>
              </w:rPr>
              <w:t>Incubation period days (SD)</w:t>
            </w:r>
          </w:p>
        </w:tc>
      </w:tr>
      <w:tr w:rsidR="00BD14CD" w:rsidRPr="00BD14CD" w14:paraId="21E08E97" w14:textId="77777777" w:rsidTr="00BD14CD">
        <w:tc>
          <w:tcPr>
            <w:tcW w:w="1668" w:type="dxa"/>
            <w:vMerge/>
          </w:tcPr>
          <w:p w14:paraId="22BA54D5" w14:textId="77777777" w:rsidR="00BD14CD" w:rsidRPr="00BD14CD" w:rsidRDefault="00BD14CD" w:rsidP="00A27868">
            <w:pPr>
              <w:spacing w:line="240" w:lineRule="auto"/>
              <w:rPr>
                <w:rFonts w:eastAsia="Calibri" w:cs="Times New Roman"/>
                <w:sz w:val="20"/>
                <w:szCs w:val="20"/>
              </w:rPr>
            </w:pPr>
          </w:p>
        </w:tc>
        <w:tc>
          <w:tcPr>
            <w:tcW w:w="1559" w:type="dxa"/>
            <w:vMerge/>
          </w:tcPr>
          <w:p w14:paraId="615539A2" w14:textId="77777777" w:rsidR="00BD14CD" w:rsidRPr="00BD14CD" w:rsidRDefault="00BD14CD" w:rsidP="00A27868">
            <w:pPr>
              <w:spacing w:line="240" w:lineRule="auto"/>
              <w:rPr>
                <w:rFonts w:eastAsia="Calibri" w:cs="Times New Roman"/>
                <w:sz w:val="20"/>
                <w:szCs w:val="20"/>
              </w:rPr>
            </w:pPr>
          </w:p>
        </w:tc>
        <w:tc>
          <w:tcPr>
            <w:tcW w:w="1701" w:type="dxa"/>
          </w:tcPr>
          <w:p w14:paraId="1D90D5EB" w14:textId="77777777" w:rsidR="00BD14CD" w:rsidRPr="00BD14CD" w:rsidRDefault="00BD14CD" w:rsidP="00A27868">
            <w:pPr>
              <w:spacing w:line="240" w:lineRule="auto"/>
              <w:rPr>
                <w:rFonts w:eastAsia="Calibri" w:cs="Times New Roman"/>
                <w:b/>
                <w:sz w:val="20"/>
                <w:szCs w:val="20"/>
              </w:rPr>
            </w:pPr>
            <w:r w:rsidRPr="00BD14CD">
              <w:rPr>
                <w:rFonts w:eastAsia="Calibri" w:cs="Times New Roman"/>
                <w:b/>
                <w:sz w:val="20"/>
                <w:szCs w:val="20"/>
              </w:rPr>
              <w:t xml:space="preserve">Autoclaving </w:t>
            </w:r>
          </w:p>
        </w:tc>
        <w:tc>
          <w:tcPr>
            <w:tcW w:w="3969" w:type="dxa"/>
          </w:tcPr>
          <w:p w14:paraId="586B5895" w14:textId="77777777" w:rsidR="00BD14CD" w:rsidRPr="00BD14CD" w:rsidRDefault="00BD14CD" w:rsidP="00A27868">
            <w:pPr>
              <w:spacing w:line="240" w:lineRule="auto"/>
              <w:rPr>
                <w:rFonts w:eastAsia="Calibri" w:cs="Times New Roman"/>
                <w:b/>
                <w:sz w:val="20"/>
                <w:szCs w:val="20"/>
              </w:rPr>
            </w:pPr>
            <w:r w:rsidRPr="00BD14CD">
              <w:rPr>
                <w:rFonts w:eastAsia="Calibri" w:cs="Times New Roman"/>
                <w:b/>
                <w:sz w:val="20"/>
                <w:szCs w:val="20"/>
              </w:rPr>
              <w:t>Other</w:t>
            </w:r>
          </w:p>
          <w:p w14:paraId="29323F85" w14:textId="77777777" w:rsidR="00BD14CD" w:rsidRPr="00BD14CD" w:rsidRDefault="00BD14CD" w:rsidP="00A27868">
            <w:pPr>
              <w:spacing w:line="240" w:lineRule="auto"/>
              <w:rPr>
                <w:rFonts w:eastAsia="Calibri" w:cs="Times New Roman"/>
                <w:b/>
                <w:sz w:val="20"/>
                <w:szCs w:val="20"/>
              </w:rPr>
            </w:pPr>
          </w:p>
        </w:tc>
        <w:tc>
          <w:tcPr>
            <w:tcW w:w="1439" w:type="dxa"/>
            <w:vMerge/>
          </w:tcPr>
          <w:p w14:paraId="07BBA0AB" w14:textId="77777777" w:rsidR="00BD14CD" w:rsidRPr="00BD14CD" w:rsidRDefault="00BD14CD" w:rsidP="00A27868">
            <w:pPr>
              <w:spacing w:line="240" w:lineRule="auto"/>
              <w:rPr>
                <w:rFonts w:eastAsia="Calibri" w:cs="Times New Roman"/>
                <w:sz w:val="20"/>
                <w:szCs w:val="20"/>
              </w:rPr>
            </w:pPr>
          </w:p>
        </w:tc>
        <w:tc>
          <w:tcPr>
            <w:tcW w:w="1949" w:type="dxa"/>
            <w:vMerge/>
          </w:tcPr>
          <w:p w14:paraId="440F814F" w14:textId="77777777" w:rsidR="00BD14CD" w:rsidRPr="00BD14CD" w:rsidRDefault="00BD14CD" w:rsidP="00A27868">
            <w:pPr>
              <w:spacing w:line="240" w:lineRule="auto"/>
              <w:rPr>
                <w:rFonts w:eastAsia="Calibri" w:cs="Times New Roman"/>
                <w:sz w:val="20"/>
                <w:szCs w:val="20"/>
              </w:rPr>
            </w:pPr>
          </w:p>
        </w:tc>
      </w:tr>
      <w:tr w:rsidR="00BD14CD" w:rsidRPr="00BD14CD" w14:paraId="66E4D4A6" w14:textId="77777777" w:rsidTr="00BD14CD">
        <w:tc>
          <w:tcPr>
            <w:tcW w:w="1668" w:type="dxa"/>
            <w:vMerge w:val="restart"/>
          </w:tcPr>
          <w:p w14:paraId="3ECAF6FF" w14:textId="53435891" w:rsidR="00BD14CD" w:rsidRPr="00BD14CD" w:rsidRDefault="00542D7E" w:rsidP="0076576E">
            <w:pPr>
              <w:spacing w:line="240" w:lineRule="auto"/>
              <w:rPr>
                <w:rFonts w:eastAsia="Calibri" w:cs="Times New Roman"/>
                <w:sz w:val="20"/>
                <w:szCs w:val="20"/>
              </w:rPr>
            </w:pPr>
            <w:r w:rsidRPr="00542D7E">
              <w:rPr>
                <w:rFonts w:eastAsia="Calibri" w:cs="Times New Roman"/>
                <w:sz w:val="20"/>
                <w:szCs w:val="20"/>
                <w:lang w:val="en"/>
              </w:rPr>
              <w:t xml:space="preserve">Baxter </w:t>
            </w:r>
            <w:r w:rsidR="00B301D6" w:rsidRPr="00B301D6">
              <w:rPr>
                <w:rFonts w:eastAsia="Calibri" w:cs="Times New Roman"/>
                <w:i/>
                <w:sz w:val="20"/>
                <w:szCs w:val="20"/>
                <w:lang w:val="en"/>
              </w:rPr>
              <w:t>et al</w:t>
            </w:r>
            <w:r w:rsidRPr="00542D7E">
              <w:rPr>
                <w:rFonts w:eastAsia="Calibri" w:cs="Times New Roman"/>
                <w:sz w:val="20"/>
                <w:szCs w:val="20"/>
                <w:lang w:val="en"/>
              </w:rPr>
              <w:t xml:space="preserve"> (2005)</w:t>
            </w:r>
            <w:r w:rsidRPr="00542D7E">
              <w:rPr>
                <w:rFonts w:eastAsia="Calibri" w:cs="Times New Roman"/>
                <w:sz w:val="20"/>
                <w:szCs w:val="20"/>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sz w:val="20"/>
                <w:szCs w:val="20"/>
                <w:lang w:val="en"/>
              </w:rPr>
              <w:instrText xml:space="preserve"> ADDIN EN.CITE </w:instrText>
            </w:r>
            <w:r w:rsidR="0076576E">
              <w:rPr>
                <w:rFonts w:eastAsia="Calibri" w:cs="Times New Roman"/>
                <w:sz w:val="20"/>
                <w:szCs w:val="20"/>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sz w:val="20"/>
                <w:szCs w:val="20"/>
                <w:lang w:val="en"/>
              </w:rPr>
              <w:instrText xml:space="preserve"> ADDIN EN.CITE.DATA </w:instrText>
            </w:r>
            <w:r w:rsidR="0076576E">
              <w:rPr>
                <w:rFonts w:eastAsia="Calibri" w:cs="Times New Roman"/>
                <w:sz w:val="20"/>
                <w:szCs w:val="20"/>
                <w:lang w:val="en"/>
              </w:rPr>
            </w:r>
            <w:r w:rsidR="0076576E">
              <w:rPr>
                <w:rFonts w:eastAsia="Calibri" w:cs="Times New Roman"/>
                <w:sz w:val="20"/>
                <w:szCs w:val="20"/>
                <w:lang w:val="en"/>
              </w:rPr>
              <w:fldChar w:fldCharType="end"/>
            </w:r>
            <w:r w:rsidRPr="00542D7E">
              <w:rPr>
                <w:rFonts w:eastAsia="Calibri" w:cs="Times New Roman"/>
                <w:sz w:val="20"/>
                <w:szCs w:val="20"/>
                <w:lang w:val="en"/>
              </w:rPr>
            </w:r>
            <w:r w:rsidRPr="00542D7E">
              <w:rPr>
                <w:rFonts w:eastAsia="Calibri" w:cs="Times New Roman"/>
                <w:sz w:val="20"/>
                <w:szCs w:val="20"/>
                <w:lang w:val="en"/>
              </w:rPr>
              <w:fldChar w:fldCharType="separate"/>
            </w:r>
            <w:r w:rsidR="0076576E" w:rsidRPr="0076576E">
              <w:rPr>
                <w:rFonts w:eastAsia="Calibri" w:cs="Times New Roman"/>
                <w:noProof/>
                <w:sz w:val="20"/>
                <w:szCs w:val="20"/>
                <w:vertAlign w:val="superscript"/>
                <w:lang w:val="en"/>
              </w:rPr>
              <w:t>183</w:t>
            </w:r>
            <w:r w:rsidRPr="00542D7E">
              <w:rPr>
                <w:rFonts w:eastAsia="Calibri" w:cs="Times New Roman"/>
                <w:sz w:val="20"/>
                <w:szCs w:val="20"/>
                <w:lang w:val="en"/>
              </w:rPr>
              <w:fldChar w:fldCharType="end"/>
            </w:r>
          </w:p>
        </w:tc>
        <w:tc>
          <w:tcPr>
            <w:tcW w:w="1559" w:type="dxa"/>
            <w:vMerge w:val="restart"/>
          </w:tcPr>
          <w:p w14:paraId="0B725AB3"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xml:space="preserve">263K </w:t>
            </w:r>
          </w:p>
        </w:tc>
        <w:tc>
          <w:tcPr>
            <w:tcW w:w="1701" w:type="dxa"/>
          </w:tcPr>
          <w:p w14:paraId="3D0E3222"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137</w:t>
            </w:r>
            <w:r w:rsidRPr="00BD14CD">
              <w:rPr>
                <w:rFonts w:eastAsia="Calibri" w:cs="Times New Roman"/>
                <w:sz w:val="20"/>
                <w:szCs w:val="20"/>
                <w:vertAlign w:val="superscript"/>
              </w:rPr>
              <w:t>°</w:t>
            </w:r>
            <w:r w:rsidRPr="00BD14CD">
              <w:rPr>
                <w:rFonts w:eastAsia="Calibri" w:cs="Times New Roman"/>
                <w:sz w:val="20"/>
                <w:szCs w:val="20"/>
              </w:rPr>
              <w:t>C - 18 mins</w:t>
            </w:r>
          </w:p>
        </w:tc>
        <w:tc>
          <w:tcPr>
            <w:tcW w:w="3969" w:type="dxa"/>
          </w:tcPr>
          <w:p w14:paraId="64A62987"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Trigene disinfectant</w:t>
            </w:r>
          </w:p>
        </w:tc>
        <w:tc>
          <w:tcPr>
            <w:tcW w:w="1439" w:type="dxa"/>
          </w:tcPr>
          <w:p w14:paraId="5593FE74"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5/5</w:t>
            </w:r>
          </w:p>
        </w:tc>
        <w:tc>
          <w:tcPr>
            <w:tcW w:w="1949" w:type="dxa"/>
          </w:tcPr>
          <w:p w14:paraId="29957CE3"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202 ±28</w:t>
            </w:r>
          </w:p>
        </w:tc>
      </w:tr>
      <w:tr w:rsidR="00BD14CD" w:rsidRPr="00BD14CD" w14:paraId="5A9F9CBB" w14:textId="77777777" w:rsidTr="00BD14CD">
        <w:tc>
          <w:tcPr>
            <w:tcW w:w="1668" w:type="dxa"/>
            <w:vMerge/>
          </w:tcPr>
          <w:p w14:paraId="73BEC961" w14:textId="77777777" w:rsidR="00BD14CD" w:rsidRPr="00BD14CD" w:rsidRDefault="00BD14CD" w:rsidP="00A27868">
            <w:pPr>
              <w:spacing w:line="240" w:lineRule="auto"/>
              <w:rPr>
                <w:rFonts w:eastAsia="Calibri" w:cs="Times New Roman"/>
                <w:sz w:val="20"/>
                <w:szCs w:val="20"/>
              </w:rPr>
            </w:pPr>
          </w:p>
        </w:tc>
        <w:tc>
          <w:tcPr>
            <w:tcW w:w="1559" w:type="dxa"/>
            <w:vMerge/>
          </w:tcPr>
          <w:p w14:paraId="79408FB6" w14:textId="77777777" w:rsidR="00BD14CD" w:rsidRPr="00BD14CD" w:rsidRDefault="00BD14CD" w:rsidP="00A27868">
            <w:pPr>
              <w:spacing w:line="240" w:lineRule="auto"/>
              <w:rPr>
                <w:rFonts w:eastAsia="Calibri" w:cs="Times New Roman"/>
                <w:sz w:val="20"/>
                <w:szCs w:val="20"/>
              </w:rPr>
            </w:pPr>
          </w:p>
        </w:tc>
        <w:tc>
          <w:tcPr>
            <w:tcW w:w="1701" w:type="dxa"/>
          </w:tcPr>
          <w:p w14:paraId="3CD63486" w14:textId="77777777" w:rsidR="00BD14CD" w:rsidRPr="00BD14CD" w:rsidRDefault="00BD14CD" w:rsidP="00A27868">
            <w:pPr>
              <w:spacing w:line="240" w:lineRule="auto"/>
              <w:rPr>
                <w:rFonts w:eastAsia="Calibri" w:cs="Times New Roman"/>
                <w:sz w:val="20"/>
                <w:szCs w:val="20"/>
              </w:rPr>
            </w:pPr>
          </w:p>
        </w:tc>
        <w:tc>
          <w:tcPr>
            <w:tcW w:w="3969" w:type="dxa"/>
          </w:tcPr>
          <w:p w14:paraId="00A9D8D1"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Trigene disinfectant</w:t>
            </w:r>
          </w:p>
        </w:tc>
        <w:tc>
          <w:tcPr>
            <w:tcW w:w="1439" w:type="dxa"/>
          </w:tcPr>
          <w:p w14:paraId="0EEF7F21"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0/5</w:t>
            </w:r>
          </w:p>
        </w:tc>
        <w:tc>
          <w:tcPr>
            <w:tcW w:w="1949" w:type="dxa"/>
          </w:tcPr>
          <w:p w14:paraId="14ECC71F" w14:textId="6F17155F"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466</w:t>
            </w:r>
            <w:r w:rsidR="003F302D">
              <w:rPr>
                <w:rFonts w:eastAsia="Calibri" w:cs="Times New Roman"/>
                <w:sz w:val="20"/>
                <w:szCs w:val="20"/>
              </w:rPr>
              <w:t>†</w:t>
            </w:r>
          </w:p>
        </w:tc>
      </w:tr>
      <w:tr w:rsidR="00BD14CD" w:rsidRPr="00BD14CD" w14:paraId="2D55B842" w14:textId="77777777" w:rsidTr="00BD14CD">
        <w:tc>
          <w:tcPr>
            <w:tcW w:w="1668" w:type="dxa"/>
            <w:vMerge/>
          </w:tcPr>
          <w:p w14:paraId="384C976D" w14:textId="77777777" w:rsidR="00BD14CD" w:rsidRPr="00BD14CD" w:rsidRDefault="00BD14CD" w:rsidP="00A27868">
            <w:pPr>
              <w:spacing w:line="240" w:lineRule="auto"/>
              <w:rPr>
                <w:rFonts w:eastAsia="Calibri" w:cs="Times New Roman"/>
                <w:sz w:val="20"/>
                <w:szCs w:val="20"/>
              </w:rPr>
            </w:pPr>
          </w:p>
        </w:tc>
        <w:tc>
          <w:tcPr>
            <w:tcW w:w="1559" w:type="dxa"/>
            <w:vMerge/>
          </w:tcPr>
          <w:p w14:paraId="6D59F887" w14:textId="77777777" w:rsidR="00BD14CD" w:rsidRPr="00BD14CD" w:rsidRDefault="00BD14CD" w:rsidP="00A27868">
            <w:pPr>
              <w:spacing w:line="240" w:lineRule="auto"/>
              <w:rPr>
                <w:rFonts w:eastAsia="Calibri" w:cs="Times New Roman"/>
                <w:sz w:val="20"/>
                <w:szCs w:val="20"/>
              </w:rPr>
            </w:pPr>
          </w:p>
        </w:tc>
        <w:tc>
          <w:tcPr>
            <w:tcW w:w="1701" w:type="dxa"/>
          </w:tcPr>
          <w:p w14:paraId="2FA03B45" w14:textId="77777777" w:rsidR="00BD14CD" w:rsidRPr="00BD14CD" w:rsidRDefault="00BD14CD" w:rsidP="00A27868">
            <w:pPr>
              <w:spacing w:line="240" w:lineRule="auto"/>
              <w:rPr>
                <w:rFonts w:eastAsia="Calibri" w:cs="Times New Roman"/>
                <w:sz w:val="20"/>
                <w:szCs w:val="20"/>
              </w:rPr>
            </w:pPr>
          </w:p>
        </w:tc>
        <w:tc>
          <w:tcPr>
            <w:tcW w:w="3969" w:type="dxa"/>
          </w:tcPr>
          <w:p w14:paraId="310E9305"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Radio-frequency (RF) gas plasma</w:t>
            </w:r>
          </w:p>
        </w:tc>
        <w:tc>
          <w:tcPr>
            <w:tcW w:w="1439" w:type="dxa"/>
          </w:tcPr>
          <w:p w14:paraId="172AEF33"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0/5</w:t>
            </w:r>
          </w:p>
        </w:tc>
        <w:tc>
          <w:tcPr>
            <w:tcW w:w="1949" w:type="dxa"/>
          </w:tcPr>
          <w:p w14:paraId="65273CD6" w14:textId="3222CA4F"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466</w:t>
            </w:r>
            <w:r w:rsidR="003F302D">
              <w:rPr>
                <w:rFonts w:eastAsia="Calibri" w:cs="Times New Roman"/>
                <w:sz w:val="20"/>
                <w:szCs w:val="20"/>
              </w:rPr>
              <w:t>†</w:t>
            </w:r>
          </w:p>
        </w:tc>
      </w:tr>
      <w:tr w:rsidR="00BD14CD" w:rsidRPr="00BD14CD" w14:paraId="53F89C37" w14:textId="77777777" w:rsidTr="00BD14CD">
        <w:tc>
          <w:tcPr>
            <w:tcW w:w="1668" w:type="dxa"/>
          </w:tcPr>
          <w:p w14:paraId="4C8A7FA3" w14:textId="2A0521B3" w:rsidR="00BD14CD" w:rsidRPr="00BD14CD" w:rsidRDefault="00542D7E" w:rsidP="0076576E">
            <w:pPr>
              <w:spacing w:line="240" w:lineRule="auto"/>
              <w:rPr>
                <w:rFonts w:eastAsia="Calibri" w:cs="Times New Roman"/>
                <w:sz w:val="20"/>
                <w:szCs w:val="20"/>
              </w:rPr>
            </w:pPr>
            <w:r w:rsidRPr="00542D7E">
              <w:rPr>
                <w:rFonts w:eastAsia="Calibri" w:cs="Times New Roman"/>
                <w:sz w:val="20"/>
                <w:szCs w:val="20"/>
                <w:lang w:val="en"/>
              </w:rPr>
              <w:t xml:space="preserve">Edgeworth </w:t>
            </w:r>
            <w:r w:rsidR="00B301D6" w:rsidRPr="00B301D6">
              <w:rPr>
                <w:rFonts w:eastAsia="Calibri" w:cs="Times New Roman"/>
                <w:i/>
                <w:sz w:val="20"/>
                <w:szCs w:val="20"/>
                <w:lang w:val="en"/>
              </w:rPr>
              <w:t>et al</w:t>
            </w:r>
            <w:r w:rsidRPr="00542D7E">
              <w:rPr>
                <w:rFonts w:eastAsia="Calibri" w:cs="Times New Roman"/>
                <w:sz w:val="20"/>
                <w:szCs w:val="20"/>
                <w:lang w:val="en"/>
              </w:rPr>
              <w:t xml:space="preserve"> (2011)</w:t>
            </w:r>
            <w:r w:rsidRPr="00542D7E">
              <w:rPr>
                <w:rFonts w:eastAsia="Calibri" w:cs="Times New Roman"/>
                <w:sz w:val="20"/>
                <w:szCs w:val="20"/>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eastAsia="Calibri" w:cs="Times New Roman"/>
                <w:sz w:val="20"/>
                <w:szCs w:val="20"/>
                <w:lang w:val="en"/>
              </w:rPr>
              <w:instrText xml:space="preserve"> ADDIN EN.CITE </w:instrText>
            </w:r>
            <w:r w:rsidR="0076576E">
              <w:rPr>
                <w:rFonts w:eastAsia="Calibri" w:cs="Times New Roman"/>
                <w:sz w:val="20"/>
                <w:szCs w:val="20"/>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eastAsia="Calibri" w:cs="Times New Roman"/>
                <w:sz w:val="20"/>
                <w:szCs w:val="20"/>
                <w:lang w:val="en"/>
              </w:rPr>
              <w:instrText xml:space="preserve"> ADDIN EN.CITE.DATA </w:instrText>
            </w:r>
            <w:r w:rsidR="0076576E">
              <w:rPr>
                <w:rFonts w:eastAsia="Calibri" w:cs="Times New Roman"/>
                <w:sz w:val="20"/>
                <w:szCs w:val="20"/>
                <w:lang w:val="en"/>
              </w:rPr>
            </w:r>
            <w:r w:rsidR="0076576E">
              <w:rPr>
                <w:rFonts w:eastAsia="Calibri" w:cs="Times New Roman"/>
                <w:sz w:val="20"/>
                <w:szCs w:val="20"/>
                <w:lang w:val="en"/>
              </w:rPr>
              <w:fldChar w:fldCharType="end"/>
            </w:r>
            <w:r w:rsidRPr="00542D7E">
              <w:rPr>
                <w:rFonts w:eastAsia="Calibri" w:cs="Times New Roman"/>
                <w:sz w:val="20"/>
                <w:szCs w:val="20"/>
                <w:lang w:val="en"/>
              </w:rPr>
            </w:r>
            <w:r w:rsidRPr="00542D7E">
              <w:rPr>
                <w:rFonts w:eastAsia="Calibri" w:cs="Times New Roman"/>
                <w:sz w:val="20"/>
                <w:szCs w:val="20"/>
                <w:lang w:val="en"/>
              </w:rPr>
              <w:fldChar w:fldCharType="separate"/>
            </w:r>
            <w:r w:rsidR="0076576E" w:rsidRPr="0076576E">
              <w:rPr>
                <w:rFonts w:eastAsia="Calibri" w:cs="Times New Roman"/>
                <w:noProof/>
                <w:sz w:val="20"/>
                <w:szCs w:val="20"/>
                <w:vertAlign w:val="superscript"/>
                <w:lang w:val="en"/>
              </w:rPr>
              <w:t>179</w:t>
            </w:r>
            <w:r w:rsidRPr="00542D7E">
              <w:rPr>
                <w:rFonts w:eastAsia="Calibri" w:cs="Times New Roman"/>
                <w:sz w:val="20"/>
                <w:szCs w:val="20"/>
                <w:lang w:val="en"/>
              </w:rPr>
              <w:fldChar w:fldCharType="end"/>
            </w:r>
          </w:p>
        </w:tc>
        <w:tc>
          <w:tcPr>
            <w:tcW w:w="1559" w:type="dxa"/>
          </w:tcPr>
          <w:p w14:paraId="784F6AE0"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RML</w:t>
            </w:r>
          </w:p>
        </w:tc>
        <w:tc>
          <w:tcPr>
            <w:tcW w:w="1701" w:type="dxa"/>
          </w:tcPr>
          <w:p w14:paraId="19C40B56"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- 18 mins</w:t>
            </w:r>
          </w:p>
        </w:tc>
        <w:tc>
          <w:tcPr>
            <w:tcW w:w="3969" w:type="dxa"/>
          </w:tcPr>
          <w:p w14:paraId="10F3B4BE" w14:textId="71C38641" w:rsidR="00BD14CD" w:rsidRPr="00BD14CD" w:rsidRDefault="00B252E4" w:rsidP="00A27868">
            <w:pPr>
              <w:spacing w:line="240" w:lineRule="auto"/>
              <w:rPr>
                <w:rFonts w:eastAsia="Calibri" w:cs="Times New Roman"/>
                <w:sz w:val="20"/>
                <w:szCs w:val="20"/>
              </w:rPr>
            </w:pPr>
            <w:r>
              <w:rPr>
                <w:rFonts w:eastAsia="Calibri" w:cs="Times New Roman"/>
                <w:sz w:val="20"/>
                <w:szCs w:val="20"/>
              </w:rPr>
              <w:t>NR</w:t>
            </w:r>
          </w:p>
        </w:tc>
        <w:tc>
          <w:tcPr>
            <w:tcW w:w="1439" w:type="dxa"/>
          </w:tcPr>
          <w:p w14:paraId="70698FF9" w14:textId="1FEE106C" w:rsidR="00BD14CD" w:rsidRPr="00BD14CD" w:rsidRDefault="00720259" w:rsidP="00A27868">
            <w:pPr>
              <w:spacing w:line="240" w:lineRule="auto"/>
              <w:rPr>
                <w:rFonts w:eastAsia="Calibri" w:cs="Times New Roman"/>
                <w:sz w:val="20"/>
                <w:szCs w:val="20"/>
              </w:rPr>
            </w:pPr>
            <w:r>
              <w:rPr>
                <w:rFonts w:eastAsia="Calibri" w:cs="Times New Roman"/>
                <w:sz w:val="20"/>
                <w:szCs w:val="20"/>
              </w:rPr>
              <w:t>5%</w:t>
            </w:r>
          </w:p>
        </w:tc>
        <w:tc>
          <w:tcPr>
            <w:tcW w:w="1949" w:type="dxa"/>
          </w:tcPr>
          <w:p w14:paraId="1CC53114" w14:textId="75026D76" w:rsidR="00BD14CD" w:rsidRPr="00BD14CD" w:rsidRDefault="00B252E4" w:rsidP="00A27868">
            <w:pPr>
              <w:spacing w:line="240" w:lineRule="auto"/>
              <w:rPr>
                <w:rFonts w:eastAsia="Calibri" w:cs="Times New Roman"/>
                <w:sz w:val="20"/>
                <w:szCs w:val="20"/>
              </w:rPr>
            </w:pPr>
            <w:r>
              <w:rPr>
                <w:rFonts w:eastAsia="Calibri" w:cs="Times New Roman"/>
                <w:sz w:val="20"/>
                <w:szCs w:val="20"/>
              </w:rPr>
              <w:t>NR</w:t>
            </w:r>
          </w:p>
        </w:tc>
      </w:tr>
      <w:tr w:rsidR="00BD14CD" w:rsidRPr="00BD14CD" w14:paraId="2502F8C6" w14:textId="77777777" w:rsidTr="00BD14CD">
        <w:tc>
          <w:tcPr>
            <w:tcW w:w="1668" w:type="dxa"/>
            <w:vMerge w:val="restart"/>
          </w:tcPr>
          <w:p w14:paraId="038DBC8E" w14:textId="216EF532" w:rsidR="00BD14CD" w:rsidRPr="00BD14CD" w:rsidRDefault="00542D7E" w:rsidP="0076576E">
            <w:pPr>
              <w:spacing w:line="240" w:lineRule="auto"/>
              <w:rPr>
                <w:rFonts w:eastAsia="Calibri" w:cs="Times New Roman"/>
                <w:sz w:val="20"/>
                <w:szCs w:val="20"/>
              </w:rPr>
            </w:pPr>
            <w:r w:rsidRPr="00542D7E">
              <w:rPr>
                <w:rFonts w:eastAsia="Calibri" w:cs="Times New Roman"/>
                <w:sz w:val="20"/>
                <w:szCs w:val="20"/>
                <w:lang w:val="en"/>
              </w:rPr>
              <w:t xml:space="preserve">Giles </w:t>
            </w:r>
            <w:r w:rsidR="00B301D6" w:rsidRPr="00B301D6">
              <w:rPr>
                <w:rFonts w:eastAsia="Calibri" w:cs="Times New Roman"/>
                <w:i/>
                <w:sz w:val="20"/>
                <w:szCs w:val="20"/>
                <w:lang w:val="en"/>
              </w:rPr>
              <w:t>et al</w:t>
            </w:r>
            <w:r w:rsidRPr="00542D7E">
              <w:rPr>
                <w:rFonts w:eastAsia="Calibri" w:cs="Times New Roman"/>
                <w:sz w:val="20"/>
                <w:szCs w:val="20"/>
                <w:lang w:val="en"/>
              </w:rPr>
              <w:t xml:space="preserve"> (2007)</w:t>
            </w:r>
            <w:r w:rsidRPr="00542D7E">
              <w:rPr>
                <w:rFonts w:eastAsia="Calibri" w:cs="Times New Roman"/>
                <w:sz w:val="20"/>
                <w:szCs w:val="20"/>
                <w:lang w:val="en"/>
              </w:rPr>
              <w:fldChar w:fldCharType="begin"/>
            </w:r>
            <w:r w:rsidR="0076576E">
              <w:rPr>
                <w:rFonts w:eastAsia="Calibri" w:cs="Times New Roman"/>
                <w:sz w:val="20"/>
                <w:szCs w:val="20"/>
                <w:lang w:val="en"/>
              </w:rPr>
              <w:instrText xml:space="preserve"> ADDIN EN.CITE &lt;EndNote&gt;&lt;Cite&gt;&lt;Author&gt;Giles&lt;/Author&gt;&lt;Year&gt;2007&lt;/Year&gt;&lt;RecNum&gt;8107&lt;/RecNum&gt;&lt;DisplayText&gt;&lt;style face="superscript"&gt;182&lt;/style&gt;&lt;/DisplayText&gt;&lt;record&gt;&lt;rec-number&gt;8107&lt;/rec-number&gt;&lt;foreign-keys&gt;&lt;key app="EN" db-id="vrp0pptazv05wtesfz5vrzsj2p0rv09ttsa9" timestamp="1506588727" guid="da4503b6-100c-4642-a682-ef295ed5e545"&gt;8107&lt;/key&gt;&lt;/foreign-keys&gt;&lt;ref-type name="Journal Article"&gt;17&lt;/ref-type&gt;&lt;contributors&gt;&lt;authors&gt;&lt;author&gt;Giles, K.&lt;/author&gt;&lt;author&gt;Supattapone, S.&lt;/author&gt;&lt;author&gt;Peretz, D.&lt;/author&gt;&lt;author&gt;Glidden, D. V.&lt;/author&gt;&lt;author&gt;Baron, H.&lt;/author&gt;&lt;author&gt;Prusiner, S. B.&lt;/author&gt;&lt;/authors&gt;&lt;/contributors&gt;&lt;titles&gt;&lt;title&gt;Disinfection of Prions&lt;/title&gt;&lt;secondary-title&gt;New Biocides Development: Combined Approach of Chemistry and Microbiology&lt;/secondary-title&gt;&lt;/titles&gt;&lt;periodical&gt;&lt;full-title&gt;New Biocides Development: Combined Approach of Chemistry and Microbiology&lt;/full-title&gt;&lt;/periodical&gt;&lt;pages&gt;52-74&lt;/pages&gt;&lt;volume&gt;967&lt;/volume&gt;&lt;keywords&gt;&lt;keyword&gt;$$CC_5_instrument decontamination&lt;/keyword&gt;&lt;keyword&gt;$$CJD relevant&lt;/keyword&gt;&lt;keyword&gt;$$5_instrument decontamination&lt;/keyword&gt;&lt;keyword&gt;$$ILL&lt;/keyword&gt;&lt;/keywords&gt;&lt;dates&gt;&lt;year&gt;2007&lt;/year&gt;&lt;/dates&gt;&lt;isbn&gt;978-0-8412-7405-1&lt;/isbn&gt;&lt;accession-num&gt;WOS:000269910600003&lt;/accession-num&gt;&lt;urls&gt;&lt;related-urls&gt;&lt;url&gt;&amp;lt;Go to ISI&amp;gt;://WOS:000269910600003&lt;/url&gt;&lt;/related-urls&gt;&lt;/urls&gt;&lt;/record&gt;&lt;/Cite&gt;&lt;/EndNote&gt;</w:instrText>
            </w:r>
            <w:r w:rsidRPr="00542D7E">
              <w:rPr>
                <w:rFonts w:eastAsia="Calibri" w:cs="Times New Roman"/>
                <w:sz w:val="20"/>
                <w:szCs w:val="20"/>
                <w:lang w:val="en"/>
              </w:rPr>
              <w:fldChar w:fldCharType="separate"/>
            </w:r>
            <w:r w:rsidR="0076576E" w:rsidRPr="0076576E">
              <w:rPr>
                <w:rFonts w:eastAsia="Calibri" w:cs="Times New Roman"/>
                <w:noProof/>
                <w:sz w:val="20"/>
                <w:szCs w:val="20"/>
                <w:vertAlign w:val="superscript"/>
                <w:lang w:val="en"/>
              </w:rPr>
              <w:t>182</w:t>
            </w:r>
            <w:r w:rsidRPr="00542D7E">
              <w:rPr>
                <w:rFonts w:eastAsia="Calibri" w:cs="Times New Roman"/>
                <w:sz w:val="20"/>
                <w:szCs w:val="20"/>
                <w:lang w:val="en"/>
              </w:rPr>
              <w:fldChar w:fldCharType="end"/>
            </w:r>
            <w:r w:rsidR="00BD14CD" w:rsidRPr="00BD14CD">
              <w:rPr>
                <w:rFonts w:eastAsia="Calibri" w:cs="Times New Roman"/>
                <w:sz w:val="20"/>
                <w:szCs w:val="20"/>
              </w:rPr>
              <w:t>§</w:t>
            </w:r>
          </w:p>
        </w:tc>
        <w:tc>
          <w:tcPr>
            <w:tcW w:w="1559" w:type="dxa"/>
            <w:vMerge w:val="restart"/>
          </w:tcPr>
          <w:p w14:paraId="6F874D81"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Sc237 in Tg7 mice</w:t>
            </w:r>
          </w:p>
        </w:tc>
        <w:tc>
          <w:tcPr>
            <w:tcW w:w="1701" w:type="dxa"/>
          </w:tcPr>
          <w:p w14:paraId="34B5375D"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65</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2719BB09"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 xml:space="preserve">2% SDS + 1% AcOH </w:t>
            </w:r>
          </w:p>
        </w:tc>
        <w:tc>
          <w:tcPr>
            <w:tcW w:w="1439" w:type="dxa"/>
          </w:tcPr>
          <w:p w14:paraId="2129105A"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100%</w:t>
            </w:r>
          </w:p>
        </w:tc>
        <w:tc>
          <w:tcPr>
            <w:tcW w:w="1949" w:type="dxa"/>
          </w:tcPr>
          <w:p w14:paraId="3F651C7F"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82 ±0.7</w:t>
            </w:r>
          </w:p>
        </w:tc>
      </w:tr>
      <w:tr w:rsidR="00BD14CD" w:rsidRPr="00BD14CD" w14:paraId="6E70DE48" w14:textId="77777777" w:rsidTr="00BD14CD">
        <w:tc>
          <w:tcPr>
            <w:tcW w:w="1668" w:type="dxa"/>
            <w:vMerge/>
          </w:tcPr>
          <w:p w14:paraId="7E0E8617" w14:textId="77777777" w:rsidR="00BD14CD" w:rsidRPr="00BD14CD" w:rsidRDefault="00BD14CD" w:rsidP="00A27868">
            <w:pPr>
              <w:spacing w:line="240" w:lineRule="auto"/>
              <w:rPr>
                <w:rFonts w:eastAsia="Calibri" w:cs="Times New Roman"/>
                <w:sz w:val="20"/>
                <w:szCs w:val="20"/>
              </w:rPr>
            </w:pPr>
          </w:p>
        </w:tc>
        <w:tc>
          <w:tcPr>
            <w:tcW w:w="1559" w:type="dxa"/>
            <w:vMerge/>
          </w:tcPr>
          <w:p w14:paraId="0E3B091C" w14:textId="77777777" w:rsidR="00BD14CD" w:rsidRPr="00BD14CD" w:rsidRDefault="00BD14CD" w:rsidP="00A27868">
            <w:pPr>
              <w:spacing w:line="240" w:lineRule="auto"/>
              <w:rPr>
                <w:rFonts w:eastAsia="Calibri" w:cs="Times New Roman"/>
                <w:sz w:val="20"/>
                <w:szCs w:val="20"/>
              </w:rPr>
            </w:pPr>
          </w:p>
        </w:tc>
        <w:tc>
          <w:tcPr>
            <w:tcW w:w="1701" w:type="dxa"/>
          </w:tcPr>
          <w:p w14:paraId="09D92841"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65</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6AE9F81D" w14:textId="77777777" w:rsidR="00BD14CD" w:rsidRPr="00BD14CD" w:rsidRDefault="00BD14CD" w:rsidP="00A27868">
            <w:pPr>
              <w:spacing w:line="240" w:lineRule="auto"/>
              <w:rPr>
                <w:rFonts w:ascii="Calibri" w:eastAsia="Calibri" w:hAnsi="Calibri" w:cs="Times New Roman"/>
              </w:rPr>
            </w:pPr>
            <w:r w:rsidRPr="00BD14CD">
              <w:rPr>
                <w:rFonts w:eastAsia="Calibri" w:cs="Times New Roman"/>
                <w:sz w:val="20"/>
                <w:szCs w:val="20"/>
              </w:rPr>
              <w:t xml:space="preserve">2% SDS + 1% AcOH </w:t>
            </w:r>
          </w:p>
        </w:tc>
        <w:tc>
          <w:tcPr>
            <w:tcW w:w="1439" w:type="dxa"/>
          </w:tcPr>
          <w:p w14:paraId="2CE05AB6"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68%</w:t>
            </w:r>
          </w:p>
        </w:tc>
        <w:tc>
          <w:tcPr>
            <w:tcW w:w="1949" w:type="dxa"/>
          </w:tcPr>
          <w:p w14:paraId="3604BA6E"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269 ±3.2</w:t>
            </w:r>
          </w:p>
        </w:tc>
      </w:tr>
      <w:tr w:rsidR="00BD14CD" w:rsidRPr="00BD14CD" w14:paraId="0E7EA523" w14:textId="77777777" w:rsidTr="00BD14CD">
        <w:tc>
          <w:tcPr>
            <w:tcW w:w="1668" w:type="dxa"/>
            <w:vMerge/>
          </w:tcPr>
          <w:p w14:paraId="7B0C6591" w14:textId="77777777" w:rsidR="00BD14CD" w:rsidRPr="00BD14CD" w:rsidRDefault="00BD14CD" w:rsidP="00A27868">
            <w:pPr>
              <w:spacing w:line="240" w:lineRule="auto"/>
              <w:rPr>
                <w:rFonts w:eastAsia="Calibri" w:cs="Times New Roman"/>
                <w:sz w:val="20"/>
                <w:szCs w:val="20"/>
              </w:rPr>
            </w:pPr>
          </w:p>
        </w:tc>
        <w:tc>
          <w:tcPr>
            <w:tcW w:w="1559" w:type="dxa"/>
            <w:vMerge/>
          </w:tcPr>
          <w:p w14:paraId="25A15DCB" w14:textId="77777777" w:rsidR="00BD14CD" w:rsidRPr="00BD14CD" w:rsidRDefault="00BD14CD" w:rsidP="00A27868">
            <w:pPr>
              <w:spacing w:line="240" w:lineRule="auto"/>
              <w:rPr>
                <w:rFonts w:eastAsia="Calibri" w:cs="Times New Roman"/>
                <w:sz w:val="20"/>
                <w:szCs w:val="20"/>
              </w:rPr>
            </w:pPr>
          </w:p>
        </w:tc>
        <w:tc>
          <w:tcPr>
            <w:tcW w:w="1701" w:type="dxa"/>
          </w:tcPr>
          <w:p w14:paraId="3A9800CD"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65</w:t>
            </w:r>
            <w:r w:rsidRPr="00BD14CD">
              <w:rPr>
                <w:rFonts w:eastAsia="Calibri" w:cs="Times New Roman"/>
                <w:sz w:val="20"/>
                <w:szCs w:val="20"/>
                <w:vertAlign w:val="superscript"/>
              </w:rPr>
              <w:t>°</w:t>
            </w:r>
            <w:r w:rsidRPr="00BD14CD">
              <w:rPr>
                <w:rFonts w:eastAsia="Calibri" w:cs="Times New Roman"/>
                <w:sz w:val="20"/>
                <w:szCs w:val="20"/>
              </w:rPr>
              <w:t>C – 18 hours</w:t>
            </w:r>
          </w:p>
        </w:tc>
        <w:tc>
          <w:tcPr>
            <w:tcW w:w="3969" w:type="dxa"/>
          </w:tcPr>
          <w:p w14:paraId="746379F5" w14:textId="77777777" w:rsidR="00BD14CD" w:rsidRPr="00BD14CD" w:rsidRDefault="00BD14CD" w:rsidP="00A27868">
            <w:pPr>
              <w:spacing w:line="240" w:lineRule="auto"/>
              <w:rPr>
                <w:rFonts w:ascii="Calibri" w:eastAsia="Calibri" w:hAnsi="Calibri" w:cs="Times New Roman"/>
              </w:rPr>
            </w:pPr>
            <w:r w:rsidRPr="00BD14CD">
              <w:rPr>
                <w:rFonts w:eastAsia="Calibri" w:cs="Times New Roman"/>
                <w:sz w:val="20"/>
                <w:szCs w:val="20"/>
              </w:rPr>
              <w:t xml:space="preserve">2% SDS + 1% AcOH </w:t>
            </w:r>
          </w:p>
        </w:tc>
        <w:tc>
          <w:tcPr>
            <w:tcW w:w="1439" w:type="dxa"/>
          </w:tcPr>
          <w:p w14:paraId="274AA2C4" w14:textId="77777777" w:rsidR="00BD14CD" w:rsidRPr="00BD14CD" w:rsidRDefault="00BD14CD" w:rsidP="00A27868">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75530F4B" w14:textId="77777777" w:rsidR="00BD14CD" w:rsidRPr="00BD14CD" w:rsidRDefault="00BD14CD" w:rsidP="00A27868">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01092474" w14:textId="77777777" w:rsidTr="00BD14CD">
        <w:tc>
          <w:tcPr>
            <w:tcW w:w="1668" w:type="dxa"/>
            <w:vMerge/>
          </w:tcPr>
          <w:p w14:paraId="2B91F0FB" w14:textId="77777777" w:rsidR="00B252E4" w:rsidRPr="00BD14CD" w:rsidRDefault="00B252E4" w:rsidP="00B252E4">
            <w:pPr>
              <w:spacing w:line="240" w:lineRule="auto"/>
              <w:rPr>
                <w:rFonts w:eastAsia="Calibri" w:cs="Times New Roman"/>
                <w:sz w:val="20"/>
                <w:szCs w:val="20"/>
              </w:rPr>
            </w:pPr>
          </w:p>
        </w:tc>
        <w:tc>
          <w:tcPr>
            <w:tcW w:w="1559" w:type="dxa"/>
            <w:vMerge/>
          </w:tcPr>
          <w:p w14:paraId="18D688AE" w14:textId="77777777" w:rsidR="00B252E4" w:rsidRPr="00BD14CD" w:rsidRDefault="00B252E4" w:rsidP="00B252E4">
            <w:pPr>
              <w:spacing w:line="240" w:lineRule="auto"/>
              <w:rPr>
                <w:rFonts w:eastAsia="Calibri" w:cs="Times New Roman"/>
                <w:sz w:val="20"/>
                <w:szCs w:val="20"/>
              </w:rPr>
            </w:pPr>
          </w:p>
        </w:tc>
        <w:tc>
          <w:tcPr>
            <w:tcW w:w="1701" w:type="dxa"/>
          </w:tcPr>
          <w:p w14:paraId="7946373A"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15C198DE" w14:textId="36A96DAE"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3F124C99"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100%</w:t>
            </w:r>
          </w:p>
        </w:tc>
        <w:tc>
          <w:tcPr>
            <w:tcW w:w="1949" w:type="dxa"/>
          </w:tcPr>
          <w:p w14:paraId="3C115C27"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160 ±7.3</w:t>
            </w:r>
          </w:p>
        </w:tc>
      </w:tr>
      <w:tr w:rsidR="00B252E4" w:rsidRPr="00BD14CD" w14:paraId="4057106A" w14:textId="77777777" w:rsidTr="00BD14CD">
        <w:tc>
          <w:tcPr>
            <w:tcW w:w="1668" w:type="dxa"/>
            <w:vMerge/>
          </w:tcPr>
          <w:p w14:paraId="56C83946" w14:textId="77777777" w:rsidR="00B252E4" w:rsidRPr="00BD14CD" w:rsidRDefault="00B252E4" w:rsidP="00B252E4">
            <w:pPr>
              <w:spacing w:line="240" w:lineRule="auto"/>
              <w:rPr>
                <w:rFonts w:eastAsia="Calibri" w:cs="Times New Roman"/>
                <w:sz w:val="20"/>
                <w:szCs w:val="20"/>
              </w:rPr>
            </w:pPr>
          </w:p>
        </w:tc>
        <w:tc>
          <w:tcPr>
            <w:tcW w:w="1559" w:type="dxa"/>
            <w:vMerge/>
          </w:tcPr>
          <w:p w14:paraId="5A4A290B" w14:textId="77777777" w:rsidR="00B252E4" w:rsidRPr="00BD14CD" w:rsidRDefault="00B252E4" w:rsidP="00B252E4">
            <w:pPr>
              <w:spacing w:line="240" w:lineRule="auto"/>
              <w:rPr>
                <w:rFonts w:eastAsia="Calibri" w:cs="Times New Roman"/>
                <w:sz w:val="20"/>
                <w:szCs w:val="20"/>
              </w:rPr>
            </w:pPr>
          </w:p>
        </w:tc>
        <w:tc>
          <w:tcPr>
            <w:tcW w:w="1701" w:type="dxa"/>
          </w:tcPr>
          <w:p w14:paraId="6A155E8A"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50D8C247" w14:textId="1CE184EE" w:rsidR="00B252E4" w:rsidRPr="00BD14CD" w:rsidRDefault="00B252E4" w:rsidP="00B252E4">
            <w:pPr>
              <w:spacing w:line="240" w:lineRule="auto"/>
              <w:rPr>
                <w:rFonts w:ascii="Calibri" w:eastAsia="Calibri" w:hAnsi="Calibri" w:cs="Times New Roman"/>
              </w:rPr>
            </w:pPr>
            <w:r>
              <w:rPr>
                <w:rFonts w:cs="Times New Roman"/>
                <w:sz w:val="20"/>
                <w:szCs w:val="20"/>
              </w:rPr>
              <w:t>NR</w:t>
            </w:r>
          </w:p>
        </w:tc>
        <w:tc>
          <w:tcPr>
            <w:tcW w:w="1439" w:type="dxa"/>
          </w:tcPr>
          <w:p w14:paraId="26A1F815"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20%</w:t>
            </w:r>
          </w:p>
        </w:tc>
        <w:tc>
          <w:tcPr>
            <w:tcW w:w="1949" w:type="dxa"/>
          </w:tcPr>
          <w:p w14:paraId="2EB712C0"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7CD939A0" w14:textId="77777777" w:rsidTr="00BD14CD">
        <w:tc>
          <w:tcPr>
            <w:tcW w:w="1668" w:type="dxa"/>
            <w:vMerge/>
          </w:tcPr>
          <w:p w14:paraId="671D82FB" w14:textId="77777777" w:rsidR="00B252E4" w:rsidRPr="00BD14CD" w:rsidRDefault="00B252E4" w:rsidP="00B252E4">
            <w:pPr>
              <w:spacing w:line="240" w:lineRule="auto"/>
              <w:rPr>
                <w:rFonts w:eastAsia="Calibri" w:cs="Times New Roman"/>
                <w:sz w:val="20"/>
                <w:szCs w:val="20"/>
              </w:rPr>
            </w:pPr>
          </w:p>
        </w:tc>
        <w:tc>
          <w:tcPr>
            <w:tcW w:w="1559" w:type="dxa"/>
            <w:vMerge/>
          </w:tcPr>
          <w:p w14:paraId="7236B42B" w14:textId="77777777" w:rsidR="00B252E4" w:rsidRPr="00BD14CD" w:rsidRDefault="00B252E4" w:rsidP="00B252E4">
            <w:pPr>
              <w:spacing w:line="240" w:lineRule="auto"/>
              <w:rPr>
                <w:rFonts w:eastAsia="Calibri" w:cs="Times New Roman"/>
                <w:sz w:val="20"/>
                <w:szCs w:val="20"/>
              </w:rPr>
            </w:pPr>
          </w:p>
        </w:tc>
        <w:tc>
          <w:tcPr>
            <w:tcW w:w="1701" w:type="dxa"/>
          </w:tcPr>
          <w:p w14:paraId="37AABF6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2C7E57FE" w14:textId="12B55456" w:rsidR="00B252E4" w:rsidRPr="00BD14CD" w:rsidRDefault="00B252E4" w:rsidP="00B252E4">
            <w:pPr>
              <w:spacing w:line="240" w:lineRule="auto"/>
              <w:rPr>
                <w:rFonts w:ascii="Calibri" w:eastAsia="Calibri" w:hAnsi="Calibri" w:cs="Times New Roman"/>
              </w:rPr>
            </w:pPr>
            <w:r>
              <w:rPr>
                <w:rFonts w:cs="Times New Roman"/>
                <w:sz w:val="20"/>
                <w:szCs w:val="20"/>
              </w:rPr>
              <w:t>NR</w:t>
            </w:r>
          </w:p>
        </w:tc>
        <w:tc>
          <w:tcPr>
            <w:tcW w:w="1439" w:type="dxa"/>
          </w:tcPr>
          <w:p w14:paraId="0602893D"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0%</w:t>
            </w:r>
          </w:p>
        </w:tc>
        <w:tc>
          <w:tcPr>
            <w:tcW w:w="1949" w:type="dxa"/>
          </w:tcPr>
          <w:p w14:paraId="2A579419"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1C00BCF8" w14:textId="77777777" w:rsidTr="00BD14CD">
        <w:tc>
          <w:tcPr>
            <w:tcW w:w="1668" w:type="dxa"/>
            <w:vMerge/>
          </w:tcPr>
          <w:p w14:paraId="3484B852" w14:textId="77777777" w:rsidR="00B252E4" w:rsidRPr="00BD14CD" w:rsidRDefault="00B252E4" w:rsidP="00B252E4">
            <w:pPr>
              <w:spacing w:line="240" w:lineRule="auto"/>
              <w:rPr>
                <w:rFonts w:eastAsia="Calibri" w:cs="Times New Roman"/>
                <w:sz w:val="20"/>
                <w:szCs w:val="20"/>
              </w:rPr>
            </w:pPr>
          </w:p>
        </w:tc>
        <w:tc>
          <w:tcPr>
            <w:tcW w:w="1559" w:type="dxa"/>
            <w:vMerge/>
          </w:tcPr>
          <w:p w14:paraId="629FEBBE" w14:textId="77777777" w:rsidR="00B252E4" w:rsidRPr="00BD14CD" w:rsidRDefault="00B252E4" w:rsidP="00B252E4">
            <w:pPr>
              <w:spacing w:line="240" w:lineRule="auto"/>
              <w:rPr>
                <w:rFonts w:eastAsia="Calibri" w:cs="Times New Roman"/>
                <w:sz w:val="20"/>
                <w:szCs w:val="20"/>
              </w:rPr>
            </w:pPr>
          </w:p>
        </w:tc>
        <w:tc>
          <w:tcPr>
            <w:tcW w:w="1701" w:type="dxa"/>
          </w:tcPr>
          <w:p w14:paraId="2C23BC94"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72064A76"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 xml:space="preserve">2% SDS + 1% AcOH </w:t>
            </w:r>
          </w:p>
        </w:tc>
        <w:tc>
          <w:tcPr>
            <w:tcW w:w="1439" w:type="dxa"/>
          </w:tcPr>
          <w:p w14:paraId="766382C1"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629C29E9"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3036F8A9" w14:textId="77777777" w:rsidTr="00BD14CD">
        <w:tc>
          <w:tcPr>
            <w:tcW w:w="1668" w:type="dxa"/>
            <w:vMerge/>
          </w:tcPr>
          <w:p w14:paraId="635E2A18" w14:textId="77777777" w:rsidR="00B252E4" w:rsidRPr="00BD14CD" w:rsidRDefault="00B252E4" w:rsidP="00B252E4">
            <w:pPr>
              <w:spacing w:line="240" w:lineRule="auto"/>
              <w:rPr>
                <w:rFonts w:eastAsia="Calibri" w:cs="Times New Roman"/>
                <w:sz w:val="20"/>
                <w:szCs w:val="20"/>
              </w:rPr>
            </w:pPr>
          </w:p>
        </w:tc>
        <w:tc>
          <w:tcPr>
            <w:tcW w:w="1559" w:type="dxa"/>
            <w:vMerge/>
          </w:tcPr>
          <w:p w14:paraId="2E81B6CF" w14:textId="77777777" w:rsidR="00B252E4" w:rsidRPr="00BD14CD" w:rsidRDefault="00B252E4" w:rsidP="00B252E4">
            <w:pPr>
              <w:spacing w:line="240" w:lineRule="auto"/>
              <w:rPr>
                <w:rFonts w:eastAsia="Calibri" w:cs="Times New Roman"/>
                <w:sz w:val="20"/>
                <w:szCs w:val="20"/>
              </w:rPr>
            </w:pPr>
          </w:p>
        </w:tc>
        <w:tc>
          <w:tcPr>
            <w:tcW w:w="1701" w:type="dxa"/>
          </w:tcPr>
          <w:p w14:paraId="414EDFB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09EA4CE0"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2% SDS + 1% AcOH </w:t>
            </w:r>
          </w:p>
        </w:tc>
        <w:tc>
          <w:tcPr>
            <w:tcW w:w="1439" w:type="dxa"/>
          </w:tcPr>
          <w:p w14:paraId="7C93E079"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50177D83"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3E773DAB" w14:textId="77777777" w:rsidTr="00BD14CD">
        <w:tc>
          <w:tcPr>
            <w:tcW w:w="1668" w:type="dxa"/>
            <w:vMerge/>
          </w:tcPr>
          <w:p w14:paraId="47EE3EB7" w14:textId="77777777" w:rsidR="00B252E4" w:rsidRPr="00BD14CD" w:rsidRDefault="00B252E4" w:rsidP="00B252E4">
            <w:pPr>
              <w:spacing w:line="240" w:lineRule="auto"/>
              <w:rPr>
                <w:rFonts w:eastAsia="Calibri" w:cs="Times New Roman"/>
                <w:sz w:val="20"/>
                <w:szCs w:val="20"/>
              </w:rPr>
            </w:pPr>
          </w:p>
        </w:tc>
        <w:tc>
          <w:tcPr>
            <w:tcW w:w="1559" w:type="dxa"/>
            <w:vMerge/>
          </w:tcPr>
          <w:p w14:paraId="19E8CBB9" w14:textId="77777777" w:rsidR="00B252E4" w:rsidRPr="00BD14CD" w:rsidRDefault="00B252E4" w:rsidP="00B252E4">
            <w:pPr>
              <w:spacing w:line="240" w:lineRule="auto"/>
              <w:rPr>
                <w:rFonts w:eastAsia="Calibri" w:cs="Times New Roman"/>
                <w:sz w:val="20"/>
                <w:szCs w:val="20"/>
              </w:rPr>
            </w:pPr>
          </w:p>
        </w:tc>
        <w:tc>
          <w:tcPr>
            <w:tcW w:w="1701" w:type="dxa"/>
          </w:tcPr>
          <w:p w14:paraId="12DC3880"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25703422"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2% SDS + 1% AcOH </w:t>
            </w:r>
          </w:p>
        </w:tc>
        <w:tc>
          <w:tcPr>
            <w:tcW w:w="1439" w:type="dxa"/>
          </w:tcPr>
          <w:p w14:paraId="5C8CC794"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1FD160B2"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6F7E41E5" w14:textId="77777777" w:rsidTr="00BD14CD">
        <w:tc>
          <w:tcPr>
            <w:tcW w:w="1668" w:type="dxa"/>
            <w:vMerge/>
          </w:tcPr>
          <w:p w14:paraId="7F859B04" w14:textId="77777777" w:rsidR="00B252E4" w:rsidRPr="00BD14CD" w:rsidRDefault="00B252E4" w:rsidP="00B252E4">
            <w:pPr>
              <w:spacing w:line="240" w:lineRule="auto"/>
              <w:rPr>
                <w:rFonts w:eastAsia="Calibri" w:cs="Times New Roman"/>
                <w:sz w:val="20"/>
                <w:szCs w:val="20"/>
              </w:rPr>
            </w:pPr>
          </w:p>
        </w:tc>
        <w:tc>
          <w:tcPr>
            <w:tcW w:w="1559" w:type="dxa"/>
            <w:vMerge w:val="restart"/>
          </w:tcPr>
          <w:p w14:paraId="4398D6BF"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sCJD in Tg23372 mice</w:t>
            </w:r>
          </w:p>
        </w:tc>
        <w:tc>
          <w:tcPr>
            <w:tcW w:w="1701" w:type="dxa"/>
          </w:tcPr>
          <w:p w14:paraId="5973459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65</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364264EA"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 xml:space="preserve">2% SDS + 1% AcOH </w:t>
            </w:r>
          </w:p>
        </w:tc>
        <w:tc>
          <w:tcPr>
            <w:tcW w:w="1439" w:type="dxa"/>
          </w:tcPr>
          <w:p w14:paraId="2C26266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86%</w:t>
            </w:r>
          </w:p>
        </w:tc>
        <w:tc>
          <w:tcPr>
            <w:tcW w:w="1949" w:type="dxa"/>
          </w:tcPr>
          <w:p w14:paraId="4E9CC6AA"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354 ±1.6</w:t>
            </w:r>
          </w:p>
        </w:tc>
      </w:tr>
      <w:tr w:rsidR="00B252E4" w:rsidRPr="00BD14CD" w14:paraId="6E5B695A" w14:textId="77777777" w:rsidTr="00BD14CD">
        <w:tc>
          <w:tcPr>
            <w:tcW w:w="1668" w:type="dxa"/>
            <w:vMerge/>
          </w:tcPr>
          <w:p w14:paraId="59B2DBBC" w14:textId="77777777" w:rsidR="00B252E4" w:rsidRPr="00BD14CD" w:rsidRDefault="00B252E4" w:rsidP="00B252E4">
            <w:pPr>
              <w:spacing w:line="240" w:lineRule="auto"/>
              <w:rPr>
                <w:rFonts w:eastAsia="Calibri" w:cs="Times New Roman"/>
                <w:sz w:val="20"/>
                <w:szCs w:val="20"/>
              </w:rPr>
            </w:pPr>
          </w:p>
        </w:tc>
        <w:tc>
          <w:tcPr>
            <w:tcW w:w="1559" w:type="dxa"/>
            <w:vMerge/>
          </w:tcPr>
          <w:p w14:paraId="3DA4AAB7" w14:textId="77777777" w:rsidR="00B252E4" w:rsidRPr="00BD14CD" w:rsidRDefault="00B252E4" w:rsidP="00B252E4">
            <w:pPr>
              <w:spacing w:line="240" w:lineRule="auto"/>
              <w:rPr>
                <w:rFonts w:eastAsia="Calibri" w:cs="Times New Roman"/>
                <w:sz w:val="20"/>
                <w:szCs w:val="20"/>
              </w:rPr>
            </w:pPr>
          </w:p>
        </w:tc>
        <w:tc>
          <w:tcPr>
            <w:tcW w:w="1701" w:type="dxa"/>
          </w:tcPr>
          <w:p w14:paraId="71360C2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65</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417C9CDE"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2% SDS + 1% AcOH </w:t>
            </w:r>
          </w:p>
        </w:tc>
        <w:tc>
          <w:tcPr>
            <w:tcW w:w="1439" w:type="dxa"/>
          </w:tcPr>
          <w:p w14:paraId="649AB7C1"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44%</w:t>
            </w:r>
          </w:p>
        </w:tc>
        <w:tc>
          <w:tcPr>
            <w:tcW w:w="1949" w:type="dxa"/>
          </w:tcPr>
          <w:p w14:paraId="1E884F6A"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&gt;500</w:t>
            </w:r>
          </w:p>
        </w:tc>
      </w:tr>
      <w:tr w:rsidR="00B252E4" w:rsidRPr="00BD14CD" w14:paraId="283342AC" w14:textId="77777777" w:rsidTr="00BD14CD">
        <w:tc>
          <w:tcPr>
            <w:tcW w:w="1668" w:type="dxa"/>
            <w:vMerge/>
          </w:tcPr>
          <w:p w14:paraId="43E5855A" w14:textId="77777777" w:rsidR="00B252E4" w:rsidRPr="00BD14CD" w:rsidRDefault="00B252E4" w:rsidP="00B252E4">
            <w:pPr>
              <w:spacing w:line="240" w:lineRule="auto"/>
              <w:rPr>
                <w:rFonts w:eastAsia="Calibri" w:cs="Times New Roman"/>
                <w:sz w:val="20"/>
                <w:szCs w:val="20"/>
              </w:rPr>
            </w:pPr>
          </w:p>
        </w:tc>
        <w:tc>
          <w:tcPr>
            <w:tcW w:w="1559" w:type="dxa"/>
            <w:vMerge/>
          </w:tcPr>
          <w:p w14:paraId="573997A6" w14:textId="77777777" w:rsidR="00B252E4" w:rsidRPr="00BD14CD" w:rsidRDefault="00B252E4" w:rsidP="00B252E4">
            <w:pPr>
              <w:spacing w:line="240" w:lineRule="auto"/>
              <w:rPr>
                <w:rFonts w:eastAsia="Calibri" w:cs="Times New Roman"/>
                <w:sz w:val="20"/>
                <w:szCs w:val="20"/>
              </w:rPr>
            </w:pPr>
          </w:p>
        </w:tc>
        <w:tc>
          <w:tcPr>
            <w:tcW w:w="1701" w:type="dxa"/>
          </w:tcPr>
          <w:p w14:paraId="577B9FDB"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65</w:t>
            </w:r>
            <w:r w:rsidRPr="00BD14CD">
              <w:rPr>
                <w:rFonts w:eastAsia="Calibri" w:cs="Times New Roman"/>
                <w:sz w:val="20"/>
                <w:szCs w:val="20"/>
                <w:vertAlign w:val="superscript"/>
              </w:rPr>
              <w:t>°</w:t>
            </w:r>
            <w:r w:rsidRPr="00BD14CD">
              <w:rPr>
                <w:rFonts w:eastAsia="Calibri" w:cs="Times New Roman"/>
                <w:sz w:val="20"/>
                <w:szCs w:val="20"/>
              </w:rPr>
              <w:t>C – 18 hours</w:t>
            </w:r>
          </w:p>
        </w:tc>
        <w:tc>
          <w:tcPr>
            <w:tcW w:w="3969" w:type="dxa"/>
          </w:tcPr>
          <w:p w14:paraId="3CB08B9F"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2% SDS + 1% AcOH </w:t>
            </w:r>
          </w:p>
        </w:tc>
        <w:tc>
          <w:tcPr>
            <w:tcW w:w="1439" w:type="dxa"/>
          </w:tcPr>
          <w:p w14:paraId="5BE91E4A"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25%</w:t>
            </w:r>
          </w:p>
        </w:tc>
        <w:tc>
          <w:tcPr>
            <w:tcW w:w="1949" w:type="dxa"/>
          </w:tcPr>
          <w:p w14:paraId="193BDA52"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6894FD11" w14:textId="77777777" w:rsidTr="00BD14CD">
        <w:tc>
          <w:tcPr>
            <w:tcW w:w="1668" w:type="dxa"/>
            <w:vMerge/>
          </w:tcPr>
          <w:p w14:paraId="519193E1" w14:textId="77777777" w:rsidR="00B252E4" w:rsidRPr="00BD14CD" w:rsidRDefault="00B252E4" w:rsidP="00B252E4">
            <w:pPr>
              <w:spacing w:line="240" w:lineRule="auto"/>
              <w:rPr>
                <w:rFonts w:eastAsia="Calibri" w:cs="Times New Roman"/>
                <w:sz w:val="20"/>
                <w:szCs w:val="20"/>
              </w:rPr>
            </w:pPr>
          </w:p>
        </w:tc>
        <w:tc>
          <w:tcPr>
            <w:tcW w:w="1559" w:type="dxa"/>
            <w:vMerge/>
          </w:tcPr>
          <w:p w14:paraId="58E2FEF2" w14:textId="77777777" w:rsidR="00B252E4" w:rsidRPr="00BD14CD" w:rsidRDefault="00B252E4" w:rsidP="00B252E4">
            <w:pPr>
              <w:spacing w:line="240" w:lineRule="auto"/>
              <w:rPr>
                <w:rFonts w:eastAsia="Calibri" w:cs="Times New Roman"/>
                <w:sz w:val="20"/>
                <w:szCs w:val="20"/>
              </w:rPr>
            </w:pPr>
          </w:p>
        </w:tc>
        <w:tc>
          <w:tcPr>
            <w:tcW w:w="1701" w:type="dxa"/>
          </w:tcPr>
          <w:p w14:paraId="175B6C7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295C25C9" w14:textId="03EBA9BF"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4F2257BA"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22%</w:t>
            </w:r>
          </w:p>
        </w:tc>
        <w:tc>
          <w:tcPr>
            <w:tcW w:w="1949" w:type="dxa"/>
          </w:tcPr>
          <w:p w14:paraId="738C4DE3"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43881A34" w14:textId="77777777" w:rsidTr="00BD14CD">
        <w:tc>
          <w:tcPr>
            <w:tcW w:w="1668" w:type="dxa"/>
            <w:vMerge/>
          </w:tcPr>
          <w:p w14:paraId="36BD5BE7" w14:textId="77777777" w:rsidR="00B252E4" w:rsidRPr="00BD14CD" w:rsidRDefault="00B252E4" w:rsidP="00B252E4">
            <w:pPr>
              <w:spacing w:line="240" w:lineRule="auto"/>
              <w:rPr>
                <w:rFonts w:eastAsia="Calibri" w:cs="Times New Roman"/>
                <w:sz w:val="20"/>
                <w:szCs w:val="20"/>
              </w:rPr>
            </w:pPr>
          </w:p>
        </w:tc>
        <w:tc>
          <w:tcPr>
            <w:tcW w:w="1559" w:type="dxa"/>
            <w:vMerge/>
          </w:tcPr>
          <w:p w14:paraId="197B87E2" w14:textId="77777777" w:rsidR="00B252E4" w:rsidRPr="00BD14CD" w:rsidRDefault="00B252E4" w:rsidP="00B252E4">
            <w:pPr>
              <w:spacing w:line="240" w:lineRule="auto"/>
              <w:rPr>
                <w:rFonts w:eastAsia="Calibri" w:cs="Times New Roman"/>
                <w:sz w:val="20"/>
                <w:szCs w:val="20"/>
              </w:rPr>
            </w:pPr>
          </w:p>
        </w:tc>
        <w:tc>
          <w:tcPr>
            <w:tcW w:w="1701" w:type="dxa"/>
          </w:tcPr>
          <w:p w14:paraId="3318B036"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552CC98E" w14:textId="02DBBC10"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323D206F"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6E11FF9D"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089EAA06" w14:textId="77777777" w:rsidTr="00BD14CD">
        <w:tc>
          <w:tcPr>
            <w:tcW w:w="1668" w:type="dxa"/>
            <w:vMerge/>
          </w:tcPr>
          <w:p w14:paraId="57621395" w14:textId="77777777" w:rsidR="00B252E4" w:rsidRPr="00BD14CD" w:rsidRDefault="00B252E4" w:rsidP="00B252E4">
            <w:pPr>
              <w:spacing w:line="240" w:lineRule="auto"/>
              <w:rPr>
                <w:rFonts w:eastAsia="Calibri" w:cs="Times New Roman"/>
                <w:sz w:val="20"/>
                <w:szCs w:val="20"/>
              </w:rPr>
            </w:pPr>
          </w:p>
        </w:tc>
        <w:tc>
          <w:tcPr>
            <w:tcW w:w="1559" w:type="dxa"/>
            <w:vMerge/>
          </w:tcPr>
          <w:p w14:paraId="68961B09" w14:textId="77777777" w:rsidR="00B252E4" w:rsidRPr="00BD14CD" w:rsidRDefault="00B252E4" w:rsidP="00B252E4">
            <w:pPr>
              <w:spacing w:line="240" w:lineRule="auto"/>
              <w:rPr>
                <w:rFonts w:eastAsia="Calibri" w:cs="Times New Roman"/>
                <w:sz w:val="20"/>
                <w:szCs w:val="20"/>
              </w:rPr>
            </w:pPr>
          </w:p>
        </w:tc>
        <w:tc>
          <w:tcPr>
            <w:tcW w:w="1701" w:type="dxa"/>
          </w:tcPr>
          <w:p w14:paraId="6198154A"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22759CBD" w14:textId="42CA63B7"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150AC4DF"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73%</w:t>
            </w:r>
          </w:p>
        </w:tc>
        <w:tc>
          <w:tcPr>
            <w:tcW w:w="1949" w:type="dxa"/>
          </w:tcPr>
          <w:p w14:paraId="592F5A0E"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414 ±15</w:t>
            </w:r>
          </w:p>
        </w:tc>
      </w:tr>
      <w:tr w:rsidR="00B252E4" w:rsidRPr="00BD14CD" w14:paraId="5F82C69E" w14:textId="77777777" w:rsidTr="00BD14CD">
        <w:tc>
          <w:tcPr>
            <w:tcW w:w="1668" w:type="dxa"/>
            <w:vMerge/>
          </w:tcPr>
          <w:p w14:paraId="49ED60FA" w14:textId="77777777" w:rsidR="00B252E4" w:rsidRPr="00BD14CD" w:rsidRDefault="00B252E4" w:rsidP="00B252E4">
            <w:pPr>
              <w:spacing w:line="240" w:lineRule="auto"/>
              <w:rPr>
                <w:rFonts w:eastAsia="Calibri" w:cs="Times New Roman"/>
                <w:sz w:val="20"/>
                <w:szCs w:val="20"/>
              </w:rPr>
            </w:pPr>
          </w:p>
        </w:tc>
        <w:tc>
          <w:tcPr>
            <w:tcW w:w="1559" w:type="dxa"/>
            <w:vMerge/>
          </w:tcPr>
          <w:p w14:paraId="32AE2486" w14:textId="77777777" w:rsidR="00B252E4" w:rsidRPr="00BD14CD" w:rsidRDefault="00B252E4" w:rsidP="00B252E4">
            <w:pPr>
              <w:spacing w:line="240" w:lineRule="auto"/>
              <w:rPr>
                <w:rFonts w:eastAsia="Calibri" w:cs="Times New Roman"/>
                <w:sz w:val="20"/>
                <w:szCs w:val="20"/>
              </w:rPr>
            </w:pPr>
          </w:p>
        </w:tc>
        <w:tc>
          <w:tcPr>
            <w:tcW w:w="1701" w:type="dxa"/>
          </w:tcPr>
          <w:p w14:paraId="5DBBEA04"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0D0D8448"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 xml:space="preserve">2% SDS + 1% AcOH </w:t>
            </w:r>
          </w:p>
        </w:tc>
        <w:tc>
          <w:tcPr>
            <w:tcW w:w="1439" w:type="dxa"/>
          </w:tcPr>
          <w:p w14:paraId="5A98760D"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0%</w:t>
            </w:r>
          </w:p>
        </w:tc>
        <w:tc>
          <w:tcPr>
            <w:tcW w:w="1949" w:type="dxa"/>
          </w:tcPr>
          <w:p w14:paraId="25F5BDE5"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5F2420D3" w14:textId="77777777" w:rsidTr="00BD14CD">
        <w:tc>
          <w:tcPr>
            <w:tcW w:w="1668" w:type="dxa"/>
            <w:vMerge/>
          </w:tcPr>
          <w:p w14:paraId="370A7FBA" w14:textId="77777777" w:rsidR="00B252E4" w:rsidRPr="00BD14CD" w:rsidRDefault="00B252E4" w:rsidP="00B252E4">
            <w:pPr>
              <w:spacing w:line="240" w:lineRule="auto"/>
              <w:rPr>
                <w:rFonts w:eastAsia="Calibri" w:cs="Times New Roman"/>
                <w:sz w:val="20"/>
                <w:szCs w:val="20"/>
              </w:rPr>
            </w:pPr>
          </w:p>
        </w:tc>
        <w:tc>
          <w:tcPr>
            <w:tcW w:w="1559" w:type="dxa"/>
            <w:vMerge/>
          </w:tcPr>
          <w:p w14:paraId="28D2E4BA" w14:textId="77777777" w:rsidR="00B252E4" w:rsidRPr="00BD14CD" w:rsidRDefault="00B252E4" w:rsidP="00B252E4">
            <w:pPr>
              <w:spacing w:line="240" w:lineRule="auto"/>
              <w:rPr>
                <w:rFonts w:eastAsia="Calibri" w:cs="Times New Roman"/>
                <w:sz w:val="20"/>
                <w:szCs w:val="20"/>
              </w:rPr>
            </w:pPr>
          </w:p>
        </w:tc>
        <w:tc>
          <w:tcPr>
            <w:tcW w:w="1701" w:type="dxa"/>
          </w:tcPr>
          <w:p w14:paraId="3D9D8B76"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5FFC0A2D"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2% SDS + 1% AcOH </w:t>
            </w:r>
          </w:p>
        </w:tc>
        <w:tc>
          <w:tcPr>
            <w:tcW w:w="1439" w:type="dxa"/>
          </w:tcPr>
          <w:p w14:paraId="631F5828"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0%</w:t>
            </w:r>
          </w:p>
        </w:tc>
        <w:tc>
          <w:tcPr>
            <w:tcW w:w="1949" w:type="dxa"/>
          </w:tcPr>
          <w:p w14:paraId="4485E161"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68B0262A" w14:textId="77777777" w:rsidTr="00BD14CD">
        <w:tc>
          <w:tcPr>
            <w:tcW w:w="1668" w:type="dxa"/>
            <w:vMerge/>
          </w:tcPr>
          <w:p w14:paraId="080C2FA6" w14:textId="77777777" w:rsidR="00B252E4" w:rsidRPr="00BD14CD" w:rsidRDefault="00B252E4" w:rsidP="00B252E4">
            <w:pPr>
              <w:spacing w:line="240" w:lineRule="auto"/>
              <w:rPr>
                <w:rFonts w:eastAsia="Calibri" w:cs="Times New Roman"/>
                <w:sz w:val="20"/>
                <w:szCs w:val="20"/>
              </w:rPr>
            </w:pPr>
          </w:p>
        </w:tc>
        <w:tc>
          <w:tcPr>
            <w:tcW w:w="1559" w:type="dxa"/>
            <w:vMerge/>
          </w:tcPr>
          <w:p w14:paraId="568CA37C" w14:textId="77777777" w:rsidR="00B252E4" w:rsidRPr="00BD14CD" w:rsidRDefault="00B252E4" w:rsidP="00B252E4">
            <w:pPr>
              <w:spacing w:line="240" w:lineRule="auto"/>
              <w:rPr>
                <w:rFonts w:eastAsia="Calibri" w:cs="Times New Roman"/>
                <w:sz w:val="20"/>
                <w:szCs w:val="20"/>
              </w:rPr>
            </w:pPr>
          </w:p>
        </w:tc>
        <w:tc>
          <w:tcPr>
            <w:tcW w:w="1701" w:type="dxa"/>
          </w:tcPr>
          <w:p w14:paraId="6C689E04"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0482F4B8"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2% SDS + 1% AcOH </w:t>
            </w:r>
          </w:p>
        </w:tc>
        <w:tc>
          <w:tcPr>
            <w:tcW w:w="1439" w:type="dxa"/>
          </w:tcPr>
          <w:p w14:paraId="2EF2F4A9"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0%</w:t>
            </w:r>
          </w:p>
        </w:tc>
        <w:tc>
          <w:tcPr>
            <w:tcW w:w="1949" w:type="dxa"/>
          </w:tcPr>
          <w:p w14:paraId="39A0CB9D"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3B5DA866" w14:textId="77777777" w:rsidTr="00BD14CD">
        <w:tc>
          <w:tcPr>
            <w:tcW w:w="1668" w:type="dxa"/>
            <w:vMerge w:val="restart"/>
          </w:tcPr>
          <w:p w14:paraId="48B51B2F" w14:textId="7C428A04" w:rsidR="00B252E4" w:rsidRPr="00BD14CD" w:rsidRDefault="00B252E4" w:rsidP="0076576E">
            <w:pPr>
              <w:spacing w:line="240" w:lineRule="auto"/>
              <w:rPr>
                <w:rFonts w:eastAsia="Calibri" w:cs="Times New Roman"/>
                <w:sz w:val="20"/>
                <w:szCs w:val="20"/>
              </w:rPr>
            </w:pPr>
            <w:r w:rsidRPr="00542D7E">
              <w:rPr>
                <w:rFonts w:eastAsia="Calibri" w:cs="Times New Roman"/>
                <w:sz w:val="20"/>
                <w:szCs w:val="20"/>
                <w:lang w:val="en"/>
              </w:rPr>
              <w:t xml:space="preserve">Giles </w:t>
            </w:r>
            <w:r w:rsidR="00B301D6" w:rsidRPr="00B301D6">
              <w:rPr>
                <w:rFonts w:eastAsia="Calibri" w:cs="Times New Roman"/>
                <w:i/>
                <w:sz w:val="20"/>
                <w:szCs w:val="20"/>
                <w:lang w:val="en"/>
              </w:rPr>
              <w:t>et al</w:t>
            </w:r>
            <w:r w:rsidRPr="00542D7E">
              <w:rPr>
                <w:rFonts w:eastAsia="Calibri" w:cs="Times New Roman"/>
                <w:sz w:val="20"/>
                <w:szCs w:val="20"/>
                <w:lang w:val="en"/>
              </w:rPr>
              <w:t xml:space="preserve"> (2008)</w:t>
            </w:r>
            <w:r w:rsidRPr="00542D7E">
              <w:rPr>
                <w:rFonts w:eastAsia="Calibri" w:cs="Times New Roman"/>
                <w:sz w:val="20"/>
                <w:szCs w:val="20"/>
                <w:lang w:val="en"/>
              </w:rPr>
              <w:fldChar w:fldCharType="begin">
                <w:fldData xml:space="preserve">PEVuZE5vdGU+PENpdGU+PEF1dGhvcj5HaWxlczwvQXV0aG9yPjxZZWFyPjIwMDg8L1llYXI+PFJl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</w:fldData>
              </w:fldChar>
            </w:r>
            <w:r w:rsidR="0076576E">
              <w:rPr>
                <w:rFonts w:eastAsia="Calibri" w:cs="Times New Roman"/>
                <w:sz w:val="20"/>
                <w:szCs w:val="20"/>
                <w:lang w:val="en"/>
              </w:rPr>
              <w:instrText xml:space="preserve"> ADDIN EN.CITE </w:instrText>
            </w:r>
            <w:r w:rsidR="0076576E">
              <w:rPr>
                <w:rFonts w:eastAsia="Calibri" w:cs="Times New Roman"/>
                <w:sz w:val="20"/>
                <w:szCs w:val="20"/>
                <w:lang w:val="en"/>
              </w:rPr>
              <w:fldChar w:fldCharType="begin">
                <w:fldData xml:space="preserve">PEVuZE5vdGU+PENpdGU+PEF1dGhvcj5HaWxlczwvQXV0aG9yPjxZZWFyPjIwMDg8L1llYXI+PFJl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</w:fldData>
              </w:fldChar>
            </w:r>
            <w:r w:rsidR="0076576E">
              <w:rPr>
                <w:rFonts w:eastAsia="Calibri" w:cs="Times New Roman"/>
                <w:sz w:val="20"/>
                <w:szCs w:val="20"/>
                <w:lang w:val="en"/>
              </w:rPr>
              <w:instrText xml:space="preserve"> ADDIN EN.CITE.DATA </w:instrText>
            </w:r>
            <w:r w:rsidR="0076576E">
              <w:rPr>
                <w:rFonts w:eastAsia="Calibri" w:cs="Times New Roman"/>
                <w:sz w:val="20"/>
                <w:szCs w:val="20"/>
                <w:lang w:val="en"/>
              </w:rPr>
            </w:r>
            <w:r w:rsidR="0076576E">
              <w:rPr>
                <w:rFonts w:eastAsia="Calibri" w:cs="Times New Roman"/>
                <w:sz w:val="20"/>
                <w:szCs w:val="20"/>
                <w:lang w:val="en"/>
              </w:rPr>
              <w:fldChar w:fldCharType="end"/>
            </w:r>
            <w:r w:rsidRPr="00542D7E">
              <w:rPr>
                <w:rFonts w:eastAsia="Calibri" w:cs="Times New Roman"/>
                <w:sz w:val="20"/>
                <w:szCs w:val="20"/>
                <w:lang w:val="en"/>
              </w:rPr>
            </w:r>
            <w:r w:rsidRPr="00542D7E">
              <w:rPr>
                <w:rFonts w:eastAsia="Calibri" w:cs="Times New Roman"/>
                <w:sz w:val="20"/>
                <w:szCs w:val="20"/>
                <w:lang w:val="en"/>
              </w:rPr>
              <w:fldChar w:fldCharType="separate"/>
            </w:r>
            <w:r w:rsidR="0076576E" w:rsidRPr="0076576E">
              <w:rPr>
                <w:rFonts w:eastAsia="Calibri" w:cs="Times New Roman"/>
                <w:noProof/>
                <w:sz w:val="20"/>
                <w:szCs w:val="20"/>
                <w:vertAlign w:val="superscript"/>
                <w:lang w:val="en"/>
              </w:rPr>
              <w:t>184</w:t>
            </w:r>
            <w:r w:rsidRPr="00542D7E">
              <w:rPr>
                <w:rFonts w:eastAsia="Calibri" w:cs="Times New Roman"/>
                <w:sz w:val="20"/>
                <w:szCs w:val="20"/>
                <w:lang w:val="en"/>
              </w:rPr>
              <w:fldChar w:fldCharType="end"/>
            </w:r>
          </w:p>
        </w:tc>
        <w:tc>
          <w:tcPr>
            <w:tcW w:w="1559" w:type="dxa"/>
            <w:vMerge w:val="restart"/>
          </w:tcPr>
          <w:p w14:paraId="66E0B290"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301V</w:t>
            </w:r>
          </w:p>
        </w:tc>
        <w:tc>
          <w:tcPr>
            <w:tcW w:w="1701" w:type="dxa"/>
          </w:tcPr>
          <w:p w14:paraId="552F2C02"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0DB81F92" w14:textId="4BBFE28F"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6B9FEB85"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96%</w:t>
            </w:r>
          </w:p>
        </w:tc>
        <w:tc>
          <w:tcPr>
            <w:tcW w:w="1949" w:type="dxa"/>
          </w:tcPr>
          <w:p w14:paraId="711B3218"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161</w:t>
            </w:r>
          </w:p>
        </w:tc>
      </w:tr>
      <w:tr w:rsidR="00B252E4" w:rsidRPr="00BD14CD" w14:paraId="192FA025" w14:textId="77777777" w:rsidTr="00BD14CD">
        <w:tc>
          <w:tcPr>
            <w:tcW w:w="1668" w:type="dxa"/>
            <w:vMerge/>
          </w:tcPr>
          <w:p w14:paraId="13121744" w14:textId="77777777" w:rsidR="00B252E4" w:rsidRPr="00BD14CD" w:rsidRDefault="00B252E4" w:rsidP="00B252E4">
            <w:pPr>
              <w:spacing w:line="240" w:lineRule="auto"/>
              <w:rPr>
                <w:rFonts w:eastAsia="Calibri" w:cs="Times New Roman"/>
                <w:sz w:val="20"/>
                <w:szCs w:val="20"/>
              </w:rPr>
            </w:pPr>
          </w:p>
        </w:tc>
        <w:tc>
          <w:tcPr>
            <w:tcW w:w="1559" w:type="dxa"/>
            <w:vMerge/>
          </w:tcPr>
          <w:p w14:paraId="381346BF" w14:textId="77777777" w:rsidR="00B252E4" w:rsidRPr="00BD14CD" w:rsidRDefault="00B252E4" w:rsidP="00B252E4">
            <w:pPr>
              <w:spacing w:line="240" w:lineRule="auto"/>
              <w:rPr>
                <w:rFonts w:eastAsia="Calibri" w:cs="Times New Roman"/>
                <w:sz w:val="20"/>
                <w:szCs w:val="20"/>
              </w:rPr>
            </w:pPr>
          </w:p>
        </w:tc>
        <w:tc>
          <w:tcPr>
            <w:tcW w:w="1701" w:type="dxa"/>
          </w:tcPr>
          <w:p w14:paraId="568DEC52"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1DAFE4F3" w14:textId="1B6367DC"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7FEF0BF9"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57%</w:t>
            </w:r>
          </w:p>
        </w:tc>
        <w:tc>
          <w:tcPr>
            <w:tcW w:w="1949" w:type="dxa"/>
          </w:tcPr>
          <w:p w14:paraId="10AB5D86"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438</w:t>
            </w:r>
          </w:p>
        </w:tc>
      </w:tr>
      <w:tr w:rsidR="00B252E4" w:rsidRPr="00BD14CD" w14:paraId="38E74620" w14:textId="77777777" w:rsidTr="00BD14CD">
        <w:tc>
          <w:tcPr>
            <w:tcW w:w="1668" w:type="dxa"/>
            <w:vMerge/>
          </w:tcPr>
          <w:p w14:paraId="531F6356" w14:textId="77777777" w:rsidR="00B252E4" w:rsidRPr="00BD14CD" w:rsidRDefault="00B252E4" w:rsidP="00B252E4">
            <w:pPr>
              <w:spacing w:line="240" w:lineRule="auto"/>
              <w:rPr>
                <w:rFonts w:eastAsia="Calibri" w:cs="Times New Roman"/>
                <w:sz w:val="20"/>
                <w:szCs w:val="20"/>
              </w:rPr>
            </w:pPr>
          </w:p>
        </w:tc>
        <w:tc>
          <w:tcPr>
            <w:tcW w:w="1559" w:type="dxa"/>
            <w:vMerge/>
          </w:tcPr>
          <w:p w14:paraId="7632C769" w14:textId="77777777" w:rsidR="00B252E4" w:rsidRPr="00BD14CD" w:rsidRDefault="00B252E4" w:rsidP="00B252E4">
            <w:pPr>
              <w:spacing w:line="240" w:lineRule="auto"/>
              <w:rPr>
                <w:rFonts w:eastAsia="Calibri" w:cs="Times New Roman"/>
                <w:sz w:val="20"/>
                <w:szCs w:val="20"/>
              </w:rPr>
            </w:pPr>
          </w:p>
        </w:tc>
        <w:tc>
          <w:tcPr>
            <w:tcW w:w="1701" w:type="dxa"/>
          </w:tcPr>
          <w:p w14:paraId="1518F9F0"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7A392A26" w14:textId="4F942994"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7E12FC52"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14%</w:t>
            </w:r>
          </w:p>
        </w:tc>
        <w:tc>
          <w:tcPr>
            <w:tcW w:w="1949" w:type="dxa"/>
          </w:tcPr>
          <w:p w14:paraId="3966D432"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&gt;600</w:t>
            </w:r>
          </w:p>
        </w:tc>
      </w:tr>
      <w:tr w:rsidR="00B252E4" w:rsidRPr="00BD14CD" w14:paraId="75EDCAF0" w14:textId="77777777" w:rsidTr="00BD14CD">
        <w:tc>
          <w:tcPr>
            <w:tcW w:w="1668" w:type="dxa"/>
            <w:vMerge/>
          </w:tcPr>
          <w:p w14:paraId="1B7A09CD" w14:textId="77777777" w:rsidR="00B252E4" w:rsidRPr="00BD14CD" w:rsidRDefault="00B252E4" w:rsidP="00B252E4">
            <w:pPr>
              <w:spacing w:line="240" w:lineRule="auto"/>
              <w:rPr>
                <w:rFonts w:eastAsia="Calibri" w:cs="Times New Roman"/>
                <w:sz w:val="20"/>
                <w:szCs w:val="20"/>
              </w:rPr>
            </w:pPr>
          </w:p>
        </w:tc>
        <w:tc>
          <w:tcPr>
            <w:tcW w:w="1559" w:type="dxa"/>
            <w:vMerge/>
          </w:tcPr>
          <w:p w14:paraId="33D6BE96" w14:textId="77777777" w:rsidR="00B252E4" w:rsidRPr="00BD14CD" w:rsidRDefault="00B252E4" w:rsidP="00B252E4">
            <w:pPr>
              <w:spacing w:line="240" w:lineRule="auto"/>
              <w:rPr>
                <w:rFonts w:eastAsia="Calibri" w:cs="Times New Roman"/>
                <w:sz w:val="20"/>
                <w:szCs w:val="20"/>
              </w:rPr>
            </w:pPr>
          </w:p>
        </w:tc>
        <w:tc>
          <w:tcPr>
            <w:tcW w:w="1701" w:type="dxa"/>
          </w:tcPr>
          <w:p w14:paraId="505A5469" w14:textId="13309E93"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3969" w:type="dxa"/>
          </w:tcPr>
          <w:p w14:paraId="34652AC5"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 AcOH, 65</w:t>
            </w:r>
            <w:r w:rsidRPr="00BD14CD">
              <w:rPr>
                <w:rFonts w:eastAsia="Calibri" w:cs="Times New Roman"/>
                <w:sz w:val="20"/>
                <w:szCs w:val="20"/>
                <w:vertAlign w:val="superscript"/>
              </w:rPr>
              <w:t>°</w:t>
            </w:r>
            <w:r w:rsidRPr="00BD14CD">
              <w:rPr>
                <w:rFonts w:eastAsia="Calibri" w:cs="Times New Roman"/>
                <w:sz w:val="20"/>
                <w:szCs w:val="20"/>
              </w:rPr>
              <w:t>C - 18 hrs</w:t>
            </w:r>
          </w:p>
        </w:tc>
        <w:tc>
          <w:tcPr>
            <w:tcW w:w="1439" w:type="dxa"/>
          </w:tcPr>
          <w:p w14:paraId="28268D40"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100%</w:t>
            </w:r>
          </w:p>
        </w:tc>
        <w:tc>
          <w:tcPr>
            <w:tcW w:w="1949" w:type="dxa"/>
          </w:tcPr>
          <w:p w14:paraId="6A05A73D"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117</w:t>
            </w:r>
          </w:p>
        </w:tc>
      </w:tr>
      <w:tr w:rsidR="00B252E4" w:rsidRPr="00BD14CD" w14:paraId="66FFB55E" w14:textId="77777777" w:rsidTr="00BD14CD">
        <w:tc>
          <w:tcPr>
            <w:tcW w:w="1668" w:type="dxa"/>
            <w:vMerge/>
          </w:tcPr>
          <w:p w14:paraId="3E8F5C16" w14:textId="77777777" w:rsidR="00B252E4" w:rsidRPr="00BD14CD" w:rsidRDefault="00B252E4" w:rsidP="00B252E4">
            <w:pPr>
              <w:spacing w:line="240" w:lineRule="auto"/>
              <w:rPr>
                <w:rFonts w:eastAsia="Calibri" w:cs="Times New Roman"/>
                <w:sz w:val="20"/>
                <w:szCs w:val="20"/>
              </w:rPr>
            </w:pPr>
          </w:p>
        </w:tc>
        <w:tc>
          <w:tcPr>
            <w:tcW w:w="1559" w:type="dxa"/>
            <w:vMerge/>
          </w:tcPr>
          <w:p w14:paraId="1CCC9E6C" w14:textId="77777777" w:rsidR="00B252E4" w:rsidRPr="00BD14CD" w:rsidRDefault="00B252E4" w:rsidP="00B252E4">
            <w:pPr>
              <w:spacing w:line="240" w:lineRule="auto"/>
              <w:rPr>
                <w:rFonts w:eastAsia="Calibri" w:cs="Times New Roman"/>
                <w:sz w:val="20"/>
                <w:szCs w:val="20"/>
              </w:rPr>
            </w:pPr>
          </w:p>
        </w:tc>
        <w:tc>
          <w:tcPr>
            <w:tcW w:w="1701" w:type="dxa"/>
          </w:tcPr>
          <w:p w14:paraId="70E65452" w14:textId="4B402B11"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3969" w:type="dxa"/>
          </w:tcPr>
          <w:p w14:paraId="4F3DCBB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 SDS, 65</w:t>
            </w:r>
            <w:r w:rsidRPr="00BD14CD">
              <w:rPr>
                <w:rFonts w:eastAsia="Calibri" w:cs="Times New Roman"/>
                <w:sz w:val="20"/>
                <w:szCs w:val="20"/>
                <w:vertAlign w:val="superscript"/>
              </w:rPr>
              <w:t>°</w:t>
            </w:r>
            <w:r w:rsidRPr="00BD14CD">
              <w:rPr>
                <w:rFonts w:eastAsia="Calibri" w:cs="Times New Roman"/>
                <w:sz w:val="20"/>
                <w:szCs w:val="20"/>
              </w:rPr>
              <w:t>C - 18 hrs</w:t>
            </w:r>
          </w:p>
        </w:tc>
        <w:tc>
          <w:tcPr>
            <w:tcW w:w="1439" w:type="dxa"/>
          </w:tcPr>
          <w:p w14:paraId="10BE1EE7"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100%</w:t>
            </w:r>
          </w:p>
        </w:tc>
        <w:tc>
          <w:tcPr>
            <w:tcW w:w="1949" w:type="dxa"/>
          </w:tcPr>
          <w:p w14:paraId="68B44674"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127</w:t>
            </w:r>
          </w:p>
        </w:tc>
      </w:tr>
      <w:tr w:rsidR="00B252E4" w:rsidRPr="00BD14CD" w14:paraId="7ACD17AC" w14:textId="77777777" w:rsidTr="00BD14CD">
        <w:tc>
          <w:tcPr>
            <w:tcW w:w="1668" w:type="dxa"/>
            <w:vMerge/>
          </w:tcPr>
          <w:p w14:paraId="7ADDC032" w14:textId="77777777" w:rsidR="00B252E4" w:rsidRPr="00BD14CD" w:rsidRDefault="00B252E4" w:rsidP="00B252E4">
            <w:pPr>
              <w:spacing w:line="240" w:lineRule="auto"/>
              <w:rPr>
                <w:rFonts w:eastAsia="Calibri" w:cs="Times New Roman"/>
                <w:sz w:val="20"/>
                <w:szCs w:val="20"/>
              </w:rPr>
            </w:pPr>
          </w:p>
        </w:tc>
        <w:tc>
          <w:tcPr>
            <w:tcW w:w="1559" w:type="dxa"/>
            <w:vMerge/>
          </w:tcPr>
          <w:p w14:paraId="28233155" w14:textId="77777777" w:rsidR="00B252E4" w:rsidRPr="00BD14CD" w:rsidRDefault="00B252E4" w:rsidP="00B252E4">
            <w:pPr>
              <w:spacing w:line="240" w:lineRule="auto"/>
              <w:rPr>
                <w:rFonts w:eastAsia="Calibri" w:cs="Times New Roman"/>
                <w:sz w:val="20"/>
                <w:szCs w:val="20"/>
              </w:rPr>
            </w:pPr>
          </w:p>
        </w:tc>
        <w:tc>
          <w:tcPr>
            <w:tcW w:w="1701" w:type="dxa"/>
          </w:tcPr>
          <w:p w14:paraId="69284465" w14:textId="77C117D2"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3969" w:type="dxa"/>
          </w:tcPr>
          <w:p w14:paraId="48D4D19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 SDS + 1% AcOH, 65</w:t>
            </w:r>
            <w:r w:rsidRPr="00BD14CD">
              <w:rPr>
                <w:rFonts w:eastAsia="Calibri" w:cs="Times New Roman"/>
                <w:sz w:val="20"/>
                <w:szCs w:val="20"/>
                <w:vertAlign w:val="superscript"/>
              </w:rPr>
              <w:t>°</w:t>
            </w:r>
            <w:r w:rsidRPr="00BD14CD">
              <w:rPr>
                <w:rFonts w:eastAsia="Calibri" w:cs="Times New Roman"/>
                <w:sz w:val="20"/>
                <w:szCs w:val="20"/>
              </w:rPr>
              <w:t>C – 30 mins</w:t>
            </w:r>
          </w:p>
        </w:tc>
        <w:tc>
          <w:tcPr>
            <w:tcW w:w="1439" w:type="dxa"/>
          </w:tcPr>
          <w:p w14:paraId="2778CA0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73%</w:t>
            </w:r>
          </w:p>
        </w:tc>
        <w:tc>
          <w:tcPr>
            <w:tcW w:w="1949" w:type="dxa"/>
          </w:tcPr>
          <w:p w14:paraId="5FEBF970"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267</w:t>
            </w:r>
          </w:p>
        </w:tc>
      </w:tr>
      <w:tr w:rsidR="00B252E4" w:rsidRPr="00BD14CD" w14:paraId="2FA51E54" w14:textId="77777777" w:rsidTr="00BD14CD">
        <w:tc>
          <w:tcPr>
            <w:tcW w:w="1668" w:type="dxa"/>
            <w:vMerge/>
          </w:tcPr>
          <w:p w14:paraId="29122775" w14:textId="77777777" w:rsidR="00B252E4" w:rsidRPr="00BD14CD" w:rsidRDefault="00B252E4" w:rsidP="00B252E4">
            <w:pPr>
              <w:spacing w:line="240" w:lineRule="auto"/>
              <w:rPr>
                <w:rFonts w:eastAsia="Calibri" w:cs="Times New Roman"/>
                <w:sz w:val="20"/>
                <w:szCs w:val="20"/>
              </w:rPr>
            </w:pPr>
          </w:p>
        </w:tc>
        <w:tc>
          <w:tcPr>
            <w:tcW w:w="1559" w:type="dxa"/>
            <w:vMerge/>
          </w:tcPr>
          <w:p w14:paraId="388084A7" w14:textId="77777777" w:rsidR="00B252E4" w:rsidRPr="00BD14CD" w:rsidRDefault="00B252E4" w:rsidP="00B252E4">
            <w:pPr>
              <w:spacing w:line="240" w:lineRule="auto"/>
              <w:rPr>
                <w:rFonts w:eastAsia="Calibri" w:cs="Times New Roman"/>
                <w:sz w:val="20"/>
                <w:szCs w:val="20"/>
              </w:rPr>
            </w:pPr>
          </w:p>
        </w:tc>
        <w:tc>
          <w:tcPr>
            <w:tcW w:w="1701" w:type="dxa"/>
          </w:tcPr>
          <w:p w14:paraId="356DC9A5" w14:textId="63F48AD0"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c>
          <w:tcPr>
            <w:tcW w:w="3969" w:type="dxa"/>
          </w:tcPr>
          <w:p w14:paraId="4FDD83A6"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 SDS + 1% AcOH, 65</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1439" w:type="dxa"/>
          </w:tcPr>
          <w:p w14:paraId="001066CD"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33%</w:t>
            </w:r>
          </w:p>
        </w:tc>
        <w:tc>
          <w:tcPr>
            <w:tcW w:w="1949" w:type="dxa"/>
          </w:tcPr>
          <w:p w14:paraId="104484B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&gt;600</w:t>
            </w:r>
          </w:p>
        </w:tc>
      </w:tr>
      <w:tr w:rsidR="00B252E4" w:rsidRPr="00BD14CD" w14:paraId="4E162421" w14:textId="77777777" w:rsidTr="00BD14CD">
        <w:tc>
          <w:tcPr>
            <w:tcW w:w="1668" w:type="dxa"/>
            <w:vMerge/>
          </w:tcPr>
          <w:p w14:paraId="6C895193" w14:textId="77777777" w:rsidR="00B252E4" w:rsidRPr="00BD14CD" w:rsidRDefault="00B252E4" w:rsidP="00B252E4">
            <w:pPr>
              <w:spacing w:line="240" w:lineRule="auto"/>
              <w:rPr>
                <w:rFonts w:eastAsia="Calibri" w:cs="Times New Roman"/>
                <w:sz w:val="20"/>
                <w:szCs w:val="20"/>
              </w:rPr>
            </w:pPr>
          </w:p>
        </w:tc>
        <w:tc>
          <w:tcPr>
            <w:tcW w:w="1559" w:type="dxa"/>
            <w:vMerge/>
          </w:tcPr>
          <w:p w14:paraId="6B0B72F4" w14:textId="77777777" w:rsidR="00B252E4" w:rsidRPr="00BD14CD" w:rsidRDefault="00B252E4" w:rsidP="00B252E4">
            <w:pPr>
              <w:spacing w:line="240" w:lineRule="auto"/>
              <w:rPr>
                <w:rFonts w:eastAsia="Calibri" w:cs="Times New Roman"/>
                <w:sz w:val="20"/>
                <w:szCs w:val="20"/>
              </w:rPr>
            </w:pPr>
          </w:p>
        </w:tc>
        <w:tc>
          <w:tcPr>
            <w:tcW w:w="1701" w:type="dxa"/>
          </w:tcPr>
          <w:p w14:paraId="3145F2E7" w14:textId="36D9F0A3"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c>
          <w:tcPr>
            <w:tcW w:w="3969" w:type="dxa"/>
          </w:tcPr>
          <w:p w14:paraId="63844FE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 SDS + 1% AcOH, 65</w:t>
            </w:r>
            <w:r w:rsidRPr="00BD14CD">
              <w:rPr>
                <w:rFonts w:eastAsia="Calibri" w:cs="Times New Roman"/>
                <w:sz w:val="20"/>
                <w:szCs w:val="20"/>
                <w:vertAlign w:val="superscript"/>
              </w:rPr>
              <w:t>°</w:t>
            </w:r>
            <w:r w:rsidRPr="00BD14CD">
              <w:rPr>
                <w:rFonts w:eastAsia="Calibri" w:cs="Times New Roman"/>
                <w:sz w:val="20"/>
                <w:szCs w:val="20"/>
              </w:rPr>
              <w:t>C – 18hrs</w:t>
            </w:r>
          </w:p>
        </w:tc>
        <w:tc>
          <w:tcPr>
            <w:tcW w:w="1439" w:type="dxa"/>
          </w:tcPr>
          <w:p w14:paraId="65FAFFED"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58%</w:t>
            </w:r>
          </w:p>
        </w:tc>
        <w:tc>
          <w:tcPr>
            <w:tcW w:w="1949" w:type="dxa"/>
          </w:tcPr>
          <w:p w14:paraId="69391637"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410</w:t>
            </w:r>
          </w:p>
        </w:tc>
      </w:tr>
      <w:tr w:rsidR="00B252E4" w:rsidRPr="00BD14CD" w14:paraId="1E2DC9F3" w14:textId="77777777" w:rsidTr="00BD14CD">
        <w:tc>
          <w:tcPr>
            <w:tcW w:w="1668" w:type="dxa"/>
            <w:vMerge/>
          </w:tcPr>
          <w:p w14:paraId="4274F243" w14:textId="77777777" w:rsidR="00B252E4" w:rsidRPr="00BD14CD" w:rsidRDefault="00B252E4" w:rsidP="00B252E4">
            <w:pPr>
              <w:spacing w:line="240" w:lineRule="auto"/>
              <w:rPr>
                <w:rFonts w:eastAsia="Calibri" w:cs="Times New Roman"/>
                <w:sz w:val="20"/>
                <w:szCs w:val="20"/>
              </w:rPr>
            </w:pPr>
          </w:p>
        </w:tc>
        <w:tc>
          <w:tcPr>
            <w:tcW w:w="1559" w:type="dxa"/>
            <w:vMerge/>
          </w:tcPr>
          <w:p w14:paraId="1B7EB9E0" w14:textId="77777777" w:rsidR="00B252E4" w:rsidRPr="00BD14CD" w:rsidRDefault="00B252E4" w:rsidP="00B252E4">
            <w:pPr>
              <w:spacing w:line="240" w:lineRule="auto"/>
              <w:rPr>
                <w:rFonts w:eastAsia="Calibri" w:cs="Times New Roman"/>
                <w:sz w:val="20"/>
                <w:szCs w:val="20"/>
              </w:rPr>
            </w:pPr>
          </w:p>
        </w:tc>
        <w:tc>
          <w:tcPr>
            <w:tcW w:w="1701" w:type="dxa"/>
          </w:tcPr>
          <w:p w14:paraId="67AD8F6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08644CA0"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4% SDS + 1% AcOH </w:t>
            </w:r>
          </w:p>
        </w:tc>
        <w:tc>
          <w:tcPr>
            <w:tcW w:w="1439" w:type="dxa"/>
          </w:tcPr>
          <w:p w14:paraId="0ADC4B8D"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5%</w:t>
            </w:r>
          </w:p>
        </w:tc>
        <w:tc>
          <w:tcPr>
            <w:tcW w:w="1949" w:type="dxa"/>
          </w:tcPr>
          <w:p w14:paraId="404B2741"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&gt;600</w:t>
            </w:r>
          </w:p>
        </w:tc>
      </w:tr>
      <w:tr w:rsidR="00B252E4" w:rsidRPr="00BD14CD" w14:paraId="12D2793C" w14:textId="77777777" w:rsidTr="00BD14CD">
        <w:tc>
          <w:tcPr>
            <w:tcW w:w="1668" w:type="dxa"/>
            <w:vMerge/>
          </w:tcPr>
          <w:p w14:paraId="5DA920E1" w14:textId="77777777" w:rsidR="00B252E4" w:rsidRPr="00BD14CD" w:rsidRDefault="00B252E4" w:rsidP="00B252E4">
            <w:pPr>
              <w:spacing w:line="240" w:lineRule="auto"/>
              <w:rPr>
                <w:rFonts w:eastAsia="Calibri" w:cs="Times New Roman"/>
                <w:sz w:val="20"/>
                <w:szCs w:val="20"/>
              </w:rPr>
            </w:pPr>
          </w:p>
        </w:tc>
        <w:tc>
          <w:tcPr>
            <w:tcW w:w="1559" w:type="dxa"/>
            <w:vMerge/>
          </w:tcPr>
          <w:p w14:paraId="3C5F3B05" w14:textId="77777777" w:rsidR="00B252E4" w:rsidRPr="00BD14CD" w:rsidRDefault="00B252E4" w:rsidP="00B252E4">
            <w:pPr>
              <w:spacing w:line="240" w:lineRule="auto"/>
              <w:rPr>
                <w:rFonts w:eastAsia="Calibri" w:cs="Times New Roman"/>
                <w:sz w:val="20"/>
                <w:szCs w:val="20"/>
              </w:rPr>
            </w:pPr>
          </w:p>
        </w:tc>
        <w:tc>
          <w:tcPr>
            <w:tcW w:w="1701" w:type="dxa"/>
          </w:tcPr>
          <w:p w14:paraId="2C67FC25"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2C40DC4D"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4% SDS + 1% AcOH </w:t>
            </w:r>
          </w:p>
        </w:tc>
        <w:tc>
          <w:tcPr>
            <w:tcW w:w="1439" w:type="dxa"/>
          </w:tcPr>
          <w:p w14:paraId="4F504D0A"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56A85505"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&gt;600</w:t>
            </w:r>
          </w:p>
        </w:tc>
      </w:tr>
      <w:tr w:rsidR="00B252E4" w:rsidRPr="00BD14CD" w14:paraId="02E43FA8" w14:textId="77777777" w:rsidTr="00BD14CD">
        <w:tc>
          <w:tcPr>
            <w:tcW w:w="1668" w:type="dxa"/>
            <w:vMerge/>
          </w:tcPr>
          <w:p w14:paraId="2F81B329" w14:textId="77777777" w:rsidR="00B252E4" w:rsidRPr="00BD14CD" w:rsidRDefault="00B252E4" w:rsidP="00B252E4">
            <w:pPr>
              <w:spacing w:line="240" w:lineRule="auto"/>
              <w:rPr>
                <w:rFonts w:eastAsia="Calibri" w:cs="Times New Roman"/>
                <w:sz w:val="20"/>
                <w:szCs w:val="20"/>
              </w:rPr>
            </w:pPr>
          </w:p>
        </w:tc>
        <w:tc>
          <w:tcPr>
            <w:tcW w:w="1559" w:type="dxa"/>
            <w:vMerge/>
          </w:tcPr>
          <w:p w14:paraId="1DC306DC" w14:textId="77777777" w:rsidR="00B252E4" w:rsidRPr="00BD14CD" w:rsidRDefault="00B252E4" w:rsidP="00B252E4">
            <w:pPr>
              <w:spacing w:line="240" w:lineRule="auto"/>
              <w:rPr>
                <w:rFonts w:eastAsia="Calibri" w:cs="Times New Roman"/>
                <w:sz w:val="20"/>
                <w:szCs w:val="20"/>
              </w:rPr>
            </w:pPr>
          </w:p>
        </w:tc>
        <w:tc>
          <w:tcPr>
            <w:tcW w:w="1701" w:type="dxa"/>
          </w:tcPr>
          <w:p w14:paraId="5DEAED07"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18940DD9"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4% SDS + 1% AcOH </w:t>
            </w:r>
          </w:p>
        </w:tc>
        <w:tc>
          <w:tcPr>
            <w:tcW w:w="1439" w:type="dxa"/>
          </w:tcPr>
          <w:p w14:paraId="02E3EB51"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7CC73FB7"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&gt;600</w:t>
            </w:r>
          </w:p>
        </w:tc>
      </w:tr>
      <w:tr w:rsidR="00B252E4" w:rsidRPr="00BD14CD" w14:paraId="6560E6BC" w14:textId="77777777" w:rsidTr="00BD14CD">
        <w:tc>
          <w:tcPr>
            <w:tcW w:w="1668" w:type="dxa"/>
            <w:vMerge/>
          </w:tcPr>
          <w:p w14:paraId="096AB0EE" w14:textId="77777777" w:rsidR="00B252E4" w:rsidRPr="00BD14CD" w:rsidRDefault="00B252E4" w:rsidP="00B252E4">
            <w:pPr>
              <w:spacing w:line="240" w:lineRule="auto"/>
              <w:rPr>
                <w:rFonts w:eastAsia="Calibri" w:cs="Times New Roman"/>
                <w:sz w:val="20"/>
                <w:szCs w:val="20"/>
              </w:rPr>
            </w:pPr>
          </w:p>
        </w:tc>
        <w:tc>
          <w:tcPr>
            <w:tcW w:w="1559" w:type="dxa"/>
            <w:vMerge w:val="restart"/>
          </w:tcPr>
          <w:p w14:paraId="5D1243F9"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BSE</w:t>
            </w:r>
          </w:p>
        </w:tc>
        <w:tc>
          <w:tcPr>
            <w:tcW w:w="1701" w:type="dxa"/>
          </w:tcPr>
          <w:p w14:paraId="20C68A0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7BAB0723" w14:textId="24CDCEA9"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6B3DB190"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84%</w:t>
            </w:r>
          </w:p>
        </w:tc>
        <w:tc>
          <w:tcPr>
            <w:tcW w:w="1949" w:type="dxa"/>
          </w:tcPr>
          <w:p w14:paraId="38D1D839"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384</w:t>
            </w:r>
          </w:p>
        </w:tc>
      </w:tr>
      <w:tr w:rsidR="00B252E4" w:rsidRPr="00BD14CD" w14:paraId="2145566F" w14:textId="77777777" w:rsidTr="00BD14CD">
        <w:tc>
          <w:tcPr>
            <w:tcW w:w="1668" w:type="dxa"/>
            <w:vMerge/>
          </w:tcPr>
          <w:p w14:paraId="5180A6F1" w14:textId="77777777" w:rsidR="00B252E4" w:rsidRPr="00BD14CD" w:rsidRDefault="00B252E4" w:rsidP="00B252E4">
            <w:pPr>
              <w:spacing w:line="240" w:lineRule="auto"/>
              <w:rPr>
                <w:rFonts w:eastAsia="Calibri" w:cs="Times New Roman"/>
                <w:sz w:val="20"/>
                <w:szCs w:val="20"/>
              </w:rPr>
            </w:pPr>
          </w:p>
        </w:tc>
        <w:tc>
          <w:tcPr>
            <w:tcW w:w="1559" w:type="dxa"/>
            <w:vMerge/>
          </w:tcPr>
          <w:p w14:paraId="4F9153ED" w14:textId="77777777" w:rsidR="00B252E4" w:rsidRPr="00BD14CD" w:rsidRDefault="00B252E4" w:rsidP="00B252E4">
            <w:pPr>
              <w:spacing w:line="240" w:lineRule="auto"/>
              <w:rPr>
                <w:rFonts w:eastAsia="Calibri" w:cs="Times New Roman"/>
                <w:sz w:val="20"/>
                <w:szCs w:val="20"/>
              </w:rPr>
            </w:pPr>
          </w:p>
        </w:tc>
        <w:tc>
          <w:tcPr>
            <w:tcW w:w="1701" w:type="dxa"/>
          </w:tcPr>
          <w:p w14:paraId="154D85EA"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5A171B2D" w14:textId="067DEB09"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437A7DE4"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100%</w:t>
            </w:r>
          </w:p>
        </w:tc>
        <w:tc>
          <w:tcPr>
            <w:tcW w:w="1949" w:type="dxa"/>
          </w:tcPr>
          <w:p w14:paraId="4D3C66E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375</w:t>
            </w:r>
          </w:p>
        </w:tc>
      </w:tr>
      <w:tr w:rsidR="00B252E4" w:rsidRPr="00BD14CD" w14:paraId="4F9FE9E6" w14:textId="77777777" w:rsidTr="00BD14CD">
        <w:tc>
          <w:tcPr>
            <w:tcW w:w="1668" w:type="dxa"/>
            <w:vMerge/>
          </w:tcPr>
          <w:p w14:paraId="7C11ACF9" w14:textId="77777777" w:rsidR="00B252E4" w:rsidRPr="00BD14CD" w:rsidRDefault="00B252E4" w:rsidP="00B252E4">
            <w:pPr>
              <w:spacing w:line="240" w:lineRule="auto"/>
              <w:rPr>
                <w:rFonts w:eastAsia="Calibri" w:cs="Times New Roman"/>
                <w:sz w:val="20"/>
                <w:szCs w:val="20"/>
              </w:rPr>
            </w:pPr>
          </w:p>
        </w:tc>
        <w:tc>
          <w:tcPr>
            <w:tcW w:w="1559" w:type="dxa"/>
            <w:vMerge/>
          </w:tcPr>
          <w:p w14:paraId="4D25C5B1" w14:textId="77777777" w:rsidR="00B252E4" w:rsidRPr="00BD14CD" w:rsidRDefault="00B252E4" w:rsidP="00B252E4">
            <w:pPr>
              <w:spacing w:line="240" w:lineRule="auto"/>
              <w:rPr>
                <w:rFonts w:eastAsia="Calibri" w:cs="Times New Roman"/>
                <w:sz w:val="20"/>
                <w:szCs w:val="20"/>
              </w:rPr>
            </w:pPr>
          </w:p>
        </w:tc>
        <w:tc>
          <w:tcPr>
            <w:tcW w:w="1701" w:type="dxa"/>
          </w:tcPr>
          <w:p w14:paraId="3D1DED3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40234A7A" w14:textId="27AE703E"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24ECF3D4"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89%</w:t>
            </w:r>
          </w:p>
        </w:tc>
        <w:tc>
          <w:tcPr>
            <w:tcW w:w="1949" w:type="dxa"/>
          </w:tcPr>
          <w:p w14:paraId="3152C6C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420</w:t>
            </w:r>
          </w:p>
        </w:tc>
      </w:tr>
      <w:tr w:rsidR="00B252E4" w:rsidRPr="00BD14CD" w14:paraId="54A8950E" w14:textId="77777777" w:rsidTr="00BD14CD">
        <w:tc>
          <w:tcPr>
            <w:tcW w:w="1668" w:type="dxa"/>
            <w:vMerge/>
          </w:tcPr>
          <w:p w14:paraId="44DD0C33" w14:textId="77777777" w:rsidR="00B252E4" w:rsidRPr="00BD14CD" w:rsidRDefault="00B252E4" w:rsidP="00B252E4">
            <w:pPr>
              <w:spacing w:line="240" w:lineRule="auto"/>
              <w:rPr>
                <w:rFonts w:eastAsia="Calibri" w:cs="Times New Roman"/>
                <w:sz w:val="20"/>
                <w:szCs w:val="20"/>
              </w:rPr>
            </w:pPr>
          </w:p>
        </w:tc>
        <w:tc>
          <w:tcPr>
            <w:tcW w:w="1559" w:type="dxa"/>
            <w:vMerge/>
          </w:tcPr>
          <w:p w14:paraId="6F29CCBA" w14:textId="77777777" w:rsidR="00B252E4" w:rsidRPr="00BD14CD" w:rsidRDefault="00B252E4" w:rsidP="00B252E4">
            <w:pPr>
              <w:spacing w:line="240" w:lineRule="auto"/>
              <w:rPr>
                <w:rFonts w:eastAsia="Calibri" w:cs="Times New Roman"/>
                <w:sz w:val="20"/>
                <w:szCs w:val="20"/>
              </w:rPr>
            </w:pPr>
          </w:p>
        </w:tc>
        <w:tc>
          <w:tcPr>
            <w:tcW w:w="1701" w:type="dxa"/>
          </w:tcPr>
          <w:p w14:paraId="319FF15C" w14:textId="4A799181"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3969" w:type="dxa"/>
          </w:tcPr>
          <w:p w14:paraId="5FFB1E94"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 AcOH, 65</w:t>
            </w:r>
            <w:r w:rsidRPr="00BD14CD">
              <w:rPr>
                <w:rFonts w:eastAsia="Calibri" w:cs="Times New Roman"/>
                <w:sz w:val="20"/>
                <w:szCs w:val="20"/>
                <w:vertAlign w:val="superscript"/>
              </w:rPr>
              <w:t>°</w:t>
            </w:r>
            <w:r w:rsidRPr="00BD14CD">
              <w:rPr>
                <w:rFonts w:eastAsia="Calibri" w:cs="Times New Roman"/>
                <w:sz w:val="20"/>
                <w:szCs w:val="20"/>
              </w:rPr>
              <w:t>C - 18 hrs</w:t>
            </w:r>
          </w:p>
        </w:tc>
        <w:tc>
          <w:tcPr>
            <w:tcW w:w="1439" w:type="dxa"/>
          </w:tcPr>
          <w:p w14:paraId="3FD0EA88"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91%</w:t>
            </w:r>
          </w:p>
        </w:tc>
        <w:tc>
          <w:tcPr>
            <w:tcW w:w="1949" w:type="dxa"/>
          </w:tcPr>
          <w:p w14:paraId="4CC24A48"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354</w:t>
            </w:r>
          </w:p>
        </w:tc>
      </w:tr>
      <w:tr w:rsidR="00B252E4" w:rsidRPr="00BD14CD" w14:paraId="12EBA1DF" w14:textId="77777777" w:rsidTr="00BD14CD">
        <w:tc>
          <w:tcPr>
            <w:tcW w:w="1668" w:type="dxa"/>
            <w:vMerge/>
          </w:tcPr>
          <w:p w14:paraId="626B1F50" w14:textId="77777777" w:rsidR="00B252E4" w:rsidRPr="00BD14CD" w:rsidRDefault="00B252E4" w:rsidP="00B252E4">
            <w:pPr>
              <w:spacing w:line="240" w:lineRule="auto"/>
              <w:rPr>
                <w:rFonts w:eastAsia="Calibri" w:cs="Times New Roman"/>
                <w:sz w:val="20"/>
                <w:szCs w:val="20"/>
              </w:rPr>
            </w:pPr>
          </w:p>
        </w:tc>
        <w:tc>
          <w:tcPr>
            <w:tcW w:w="1559" w:type="dxa"/>
            <w:vMerge/>
          </w:tcPr>
          <w:p w14:paraId="429D291D" w14:textId="77777777" w:rsidR="00B252E4" w:rsidRPr="00BD14CD" w:rsidRDefault="00B252E4" w:rsidP="00B252E4">
            <w:pPr>
              <w:spacing w:line="240" w:lineRule="auto"/>
              <w:rPr>
                <w:rFonts w:eastAsia="Calibri" w:cs="Times New Roman"/>
                <w:sz w:val="20"/>
                <w:szCs w:val="20"/>
              </w:rPr>
            </w:pPr>
          </w:p>
        </w:tc>
        <w:tc>
          <w:tcPr>
            <w:tcW w:w="1701" w:type="dxa"/>
          </w:tcPr>
          <w:p w14:paraId="223F0A57" w14:textId="34CFD70F"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3969" w:type="dxa"/>
          </w:tcPr>
          <w:p w14:paraId="677C660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 SDS, 65</w:t>
            </w:r>
            <w:r w:rsidRPr="00BD14CD">
              <w:rPr>
                <w:rFonts w:eastAsia="Calibri" w:cs="Times New Roman"/>
                <w:sz w:val="20"/>
                <w:szCs w:val="20"/>
                <w:vertAlign w:val="superscript"/>
              </w:rPr>
              <w:t>°</w:t>
            </w:r>
            <w:r w:rsidRPr="00BD14CD">
              <w:rPr>
                <w:rFonts w:eastAsia="Calibri" w:cs="Times New Roman"/>
                <w:sz w:val="20"/>
                <w:szCs w:val="20"/>
              </w:rPr>
              <w:t>C - 18 hrs</w:t>
            </w:r>
          </w:p>
        </w:tc>
        <w:tc>
          <w:tcPr>
            <w:tcW w:w="1439" w:type="dxa"/>
          </w:tcPr>
          <w:p w14:paraId="2A63CE46"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100%</w:t>
            </w:r>
          </w:p>
        </w:tc>
        <w:tc>
          <w:tcPr>
            <w:tcW w:w="1949" w:type="dxa"/>
          </w:tcPr>
          <w:p w14:paraId="51ED2D31"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368</w:t>
            </w:r>
          </w:p>
        </w:tc>
      </w:tr>
      <w:tr w:rsidR="00B252E4" w:rsidRPr="00BD14CD" w14:paraId="18A76665" w14:textId="77777777" w:rsidTr="00BD14CD">
        <w:tc>
          <w:tcPr>
            <w:tcW w:w="1668" w:type="dxa"/>
            <w:vMerge/>
          </w:tcPr>
          <w:p w14:paraId="74AD9F28" w14:textId="77777777" w:rsidR="00B252E4" w:rsidRPr="00BD14CD" w:rsidRDefault="00B252E4" w:rsidP="00B252E4">
            <w:pPr>
              <w:spacing w:line="240" w:lineRule="auto"/>
              <w:rPr>
                <w:rFonts w:eastAsia="Calibri" w:cs="Times New Roman"/>
                <w:sz w:val="20"/>
                <w:szCs w:val="20"/>
              </w:rPr>
            </w:pPr>
          </w:p>
        </w:tc>
        <w:tc>
          <w:tcPr>
            <w:tcW w:w="1559" w:type="dxa"/>
            <w:vMerge/>
          </w:tcPr>
          <w:p w14:paraId="43BFB5BF" w14:textId="77777777" w:rsidR="00B252E4" w:rsidRPr="00BD14CD" w:rsidRDefault="00B252E4" w:rsidP="00B252E4">
            <w:pPr>
              <w:spacing w:line="240" w:lineRule="auto"/>
              <w:rPr>
                <w:rFonts w:eastAsia="Calibri" w:cs="Times New Roman"/>
                <w:sz w:val="20"/>
                <w:szCs w:val="20"/>
              </w:rPr>
            </w:pPr>
          </w:p>
        </w:tc>
        <w:tc>
          <w:tcPr>
            <w:tcW w:w="1701" w:type="dxa"/>
          </w:tcPr>
          <w:p w14:paraId="2CAC2FBD" w14:textId="247A2215"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3969" w:type="dxa"/>
          </w:tcPr>
          <w:p w14:paraId="64B026D9"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 SDS + 1% AcOH, 65</w:t>
            </w:r>
            <w:r w:rsidRPr="00BD14CD">
              <w:rPr>
                <w:rFonts w:eastAsia="Calibri" w:cs="Times New Roman"/>
                <w:sz w:val="20"/>
                <w:szCs w:val="20"/>
                <w:vertAlign w:val="superscript"/>
              </w:rPr>
              <w:t>°</w:t>
            </w:r>
            <w:r w:rsidRPr="00BD14CD">
              <w:rPr>
                <w:rFonts w:eastAsia="Calibri" w:cs="Times New Roman"/>
                <w:sz w:val="20"/>
                <w:szCs w:val="20"/>
              </w:rPr>
              <w:t>C – 30 mins</w:t>
            </w:r>
          </w:p>
        </w:tc>
        <w:tc>
          <w:tcPr>
            <w:tcW w:w="1439" w:type="dxa"/>
          </w:tcPr>
          <w:p w14:paraId="54CF2DB8"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42%</w:t>
            </w:r>
          </w:p>
        </w:tc>
        <w:tc>
          <w:tcPr>
            <w:tcW w:w="1949" w:type="dxa"/>
          </w:tcPr>
          <w:p w14:paraId="2B19D259"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48367351" w14:textId="77777777" w:rsidTr="00BD14CD">
        <w:tc>
          <w:tcPr>
            <w:tcW w:w="1668" w:type="dxa"/>
            <w:vMerge/>
          </w:tcPr>
          <w:p w14:paraId="690FDDCC" w14:textId="77777777" w:rsidR="00B252E4" w:rsidRPr="00BD14CD" w:rsidRDefault="00B252E4" w:rsidP="00B252E4">
            <w:pPr>
              <w:spacing w:line="240" w:lineRule="auto"/>
              <w:rPr>
                <w:rFonts w:eastAsia="Calibri" w:cs="Times New Roman"/>
                <w:sz w:val="20"/>
                <w:szCs w:val="20"/>
              </w:rPr>
            </w:pPr>
          </w:p>
        </w:tc>
        <w:tc>
          <w:tcPr>
            <w:tcW w:w="1559" w:type="dxa"/>
            <w:vMerge/>
          </w:tcPr>
          <w:p w14:paraId="20BCC24A" w14:textId="77777777" w:rsidR="00B252E4" w:rsidRPr="00BD14CD" w:rsidRDefault="00B252E4" w:rsidP="00B252E4">
            <w:pPr>
              <w:spacing w:line="240" w:lineRule="auto"/>
              <w:rPr>
                <w:rFonts w:eastAsia="Calibri" w:cs="Times New Roman"/>
                <w:sz w:val="20"/>
                <w:szCs w:val="20"/>
              </w:rPr>
            </w:pPr>
          </w:p>
        </w:tc>
        <w:tc>
          <w:tcPr>
            <w:tcW w:w="1701" w:type="dxa"/>
          </w:tcPr>
          <w:p w14:paraId="047648EF" w14:textId="15D02624"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c>
          <w:tcPr>
            <w:tcW w:w="3969" w:type="dxa"/>
          </w:tcPr>
          <w:p w14:paraId="48D8A734"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 SDS + 1% AcOH, 65</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1439" w:type="dxa"/>
          </w:tcPr>
          <w:p w14:paraId="3A936070"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26%</w:t>
            </w:r>
          </w:p>
        </w:tc>
        <w:tc>
          <w:tcPr>
            <w:tcW w:w="1949" w:type="dxa"/>
          </w:tcPr>
          <w:p w14:paraId="42E78DC4"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656517BD" w14:textId="77777777" w:rsidTr="00BD14CD">
        <w:tc>
          <w:tcPr>
            <w:tcW w:w="1668" w:type="dxa"/>
            <w:vMerge/>
          </w:tcPr>
          <w:p w14:paraId="6BF2BF78" w14:textId="77777777" w:rsidR="00B252E4" w:rsidRPr="00BD14CD" w:rsidRDefault="00B252E4" w:rsidP="00B252E4">
            <w:pPr>
              <w:spacing w:line="240" w:lineRule="auto"/>
              <w:rPr>
                <w:rFonts w:eastAsia="Calibri" w:cs="Times New Roman"/>
                <w:sz w:val="20"/>
                <w:szCs w:val="20"/>
              </w:rPr>
            </w:pPr>
          </w:p>
        </w:tc>
        <w:tc>
          <w:tcPr>
            <w:tcW w:w="1559" w:type="dxa"/>
            <w:vMerge/>
          </w:tcPr>
          <w:p w14:paraId="5AA83EA7" w14:textId="77777777" w:rsidR="00B252E4" w:rsidRPr="00BD14CD" w:rsidRDefault="00B252E4" w:rsidP="00B252E4">
            <w:pPr>
              <w:spacing w:line="240" w:lineRule="auto"/>
              <w:rPr>
                <w:rFonts w:eastAsia="Calibri" w:cs="Times New Roman"/>
                <w:sz w:val="20"/>
                <w:szCs w:val="20"/>
              </w:rPr>
            </w:pPr>
          </w:p>
        </w:tc>
        <w:tc>
          <w:tcPr>
            <w:tcW w:w="1701" w:type="dxa"/>
          </w:tcPr>
          <w:p w14:paraId="0378616A" w14:textId="07997F39"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c>
          <w:tcPr>
            <w:tcW w:w="3969" w:type="dxa"/>
          </w:tcPr>
          <w:p w14:paraId="3C3DE3B1"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 SDS + 1% AcOH, 65</w:t>
            </w:r>
            <w:r w:rsidRPr="00BD14CD">
              <w:rPr>
                <w:rFonts w:eastAsia="Calibri" w:cs="Times New Roman"/>
                <w:sz w:val="20"/>
                <w:szCs w:val="20"/>
                <w:vertAlign w:val="superscript"/>
              </w:rPr>
              <w:t>°</w:t>
            </w:r>
            <w:r w:rsidRPr="00BD14CD">
              <w:rPr>
                <w:rFonts w:eastAsia="Calibri" w:cs="Times New Roman"/>
                <w:sz w:val="20"/>
                <w:szCs w:val="20"/>
              </w:rPr>
              <w:t>C – 18hrs</w:t>
            </w:r>
          </w:p>
        </w:tc>
        <w:tc>
          <w:tcPr>
            <w:tcW w:w="1439" w:type="dxa"/>
          </w:tcPr>
          <w:p w14:paraId="2D54E261"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w:t>
            </w:r>
          </w:p>
        </w:tc>
        <w:tc>
          <w:tcPr>
            <w:tcW w:w="1949" w:type="dxa"/>
          </w:tcPr>
          <w:p w14:paraId="2C7D7E5A"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48D22207" w14:textId="77777777" w:rsidTr="00BD14CD">
        <w:tc>
          <w:tcPr>
            <w:tcW w:w="1668" w:type="dxa"/>
            <w:vMerge/>
          </w:tcPr>
          <w:p w14:paraId="724C8DB7" w14:textId="77777777" w:rsidR="00B252E4" w:rsidRPr="00BD14CD" w:rsidRDefault="00B252E4" w:rsidP="00B252E4">
            <w:pPr>
              <w:spacing w:line="240" w:lineRule="auto"/>
              <w:rPr>
                <w:rFonts w:eastAsia="Calibri" w:cs="Times New Roman"/>
                <w:sz w:val="20"/>
                <w:szCs w:val="20"/>
              </w:rPr>
            </w:pPr>
          </w:p>
        </w:tc>
        <w:tc>
          <w:tcPr>
            <w:tcW w:w="1559" w:type="dxa"/>
            <w:vMerge/>
          </w:tcPr>
          <w:p w14:paraId="7DE5A06F" w14:textId="77777777" w:rsidR="00B252E4" w:rsidRPr="00BD14CD" w:rsidRDefault="00B252E4" w:rsidP="00B252E4">
            <w:pPr>
              <w:spacing w:line="240" w:lineRule="auto"/>
              <w:rPr>
                <w:rFonts w:eastAsia="Calibri" w:cs="Times New Roman"/>
                <w:sz w:val="20"/>
                <w:szCs w:val="20"/>
              </w:rPr>
            </w:pPr>
          </w:p>
        </w:tc>
        <w:tc>
          <w:tcPr>
            <w:tcW w:w="1701" w:type="dxa"/>
          </w:tcPr>
          <w:p w14:paraId="6D48C55F"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1BC8C1E1"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4% SDS + 1% AcOH </w:t>
            </w:r>
          </w:p>
        </w:tc>
        <w:tc>
          <w:tcPr>
            <w:tcW w:w="1439" w:type="dxa"/>
          </w:tcPr>
          <w:p w14:paraId="7FC28BA8"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6574B1B4"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&gt;500</w:t>
            </w:r>
          </w:p>
        </w:tc>
      </w:tr>
      <w:tr w:rsidR="00B252E4" w:rsidRPr="00BD14CD" w14:paraId="451CFD24" w14:textId="77777777" w:rsidTr="00BD14CD">
        <w:tc>
          <w:tcPr>
            <w:tcW w:w="1668" w:type="dxa"/>
            <w:vMerge/>
          </w:tcPr>
          <w:p w14:paraId="40704600" w14:textId="77777777" w:rsidR="00B252E4" w:rsidRPr="00BD14CD" w:rsidRDefault="00B252E4" w:rsidP="00B252E4">
            <w:pPr>
              <w:spacing w:line="240" w:lineRule="auto"/>
              <w:rPr>
                <w:rFonts w:eastAsia="Calibri" w:cs="Times New Roman"/>
                <w:sz w:val="20"/>
                <w:szCs w:val="20"/>
              </w:rPr>
            </w:pPr>
          </w:p>
        </w:tc>
        <w:tc>
          <w:tcPr>
            <w:tcW w:w="1559" w:type="dxa"/>
            <w:vMerge/>
          </w:tcPr>
          <w:p w14:paraId="2E3A5793" w14:textId="77777777" w:rsidR="00B252E4" w:rsidRPr="00BD14CD" w:rsidRDefault="00B252E4" w:rsidP="00B252E4">
            <w:pPr>
              <w:spacing w:line="240" w:lineRule="auto"/>
              <w:rPr>
                <w:rFonts w:eastAsia="Calibri" w:cs="Times New Roman"/>
                <w:sz w:val="20"/>
                <w:szCs w:val="20"/>
              </w:rPr>
            </w:pPr>
          </w:p>
        </w:tc>
        <w:tc>
          <w:tcPr>
            <w:tcW w:w="1701" w:type="dxa"/>
          </w:tcPr>
          <w:p w14:paraId="0F3E799F"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6ACC8CB8"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4% SDS + 1% AcOH </w:t>
            </w:r>
          </w:p>
        </w:tc>
        <w:tc>
          <w:tcPr>
            <w:tcW w:w="1439" w:type="dxa"/>
          </w:tcPr>
          <w:p w14:paraId="443F6561"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4F2121DD"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04826FCF" w14:textId="77777777" w:rsidTr="00BD14CD">
        <w:tc>
          <w:tcPr>
            <w:tcW w:w="1668" w:type="dxa"/>
            <w:vMerge/>
          </w:tcPr>
          <w:p w14:paraId="04283077" w14:textId="77777777" w:rsidR="00B252E4" w:rsidRPr="00BD14CD" w:rsidRDefault="00B252E4" w:rsidP="00B252E4">
            <w:pPr>
              <w:spacing w:line="240" w:lineRule="auto"/>
              <w:rPr>
                <w:rFonts w:eastAsia="Calibri" w:cs="Times New Roman"/>
                <w:sz w:val="20"/>
                <w:szCs w:val="20"/>
              </w:rPr>
            </w:pPr>
          </w:p>
        </w:tc>
        <w:tc>
          <w:tcPr>
            <w:tcW w:w="1559" w:type="dxa"/>
            <w:vMerge/>
          </w:tcPr>
          <w:p w14:paraId="14D7E54E" w14:textId="77777777" w:rsidR="00B252E4" w:rsidRPr="00BD14CD" w:rsidRDefault="00B252E4" w:rsidP="00B252E4">
            <w:pPr>
              <w:spacing w:line="240" w:lineRule="auto"/>
              <w:rPr>
                <w:rFonts w:eastAsia="Calibri" w:cs="Times New Roman"/>
                <w:sz w:val="20"/>
                <w:szCs w:val="20"/>
              </w:rPr>
            </w:pPr>
          </w:p>
        </w:tc>
        <w:tc>
          <w:tcPr>
            <w:tcW w:w="1701" w:type="dxa"/>
          </w:tcPr>
          <w:p w14:paraId="39848AE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2CD2524F"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4% SDS + 1% AcOH </w:t>
            </w:r>
          </w:p>
        </w:tc>
        <w:tc>
          <w:tcPr>
            <w:tcW w:w="1439" w:type="dxa"/>
          </w:tcPr>
          <w:p w14:paraId="1BAC5A9F"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3E1D48E6"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1E7CBF07" w14:textId="77777777" w:rsidTr="00BD14CD">
        <w:tc>
          <w:tcPr>
            <w:tcW w:w="1668" w:type="dxa"/>
            <w:vMerge w:val="restart"/>
          </w:tcPr>
          <w:p w14:paraId="1B07F9EB" w14:textId="78E88893" w:rsidR="00B252E4" w:rsidRPr="001D1C67" w:rsidRDefault="00B252E4" w:rsidP="0076576E">
            <w:pPr>
              <w:spacing w:line="240" w:lineRule="auto"/>
              <w:rPr>
                <w:rFonts w:eastAsia="Calibri" w:cs="Times New Roman"/>
                <w:sz w:val="20"/>
                <w:szCs w:val="20"/>
                <w:lang w:val="fr-FR"/>
              </w:rPr>
            </w:pPr>
            <w:r w:rsidRPr="001D1C67">
              <w:rPr>
                <w:rFonts w:eastAsia="Calibri" w:cs="Times New Roman"/>
                <w:sz w:val="20"/>
                <w:szCs w:val="20"/>
                <w:lang w:val="fr-FR"/>
              </w:rPr>
              <w:t xml:space="preserve">Jackson </w:t>
            </w:r>
            <w:r w:rsidR="00B301D6" w:rsidRPr="001D1C67">
              <w:rPr>
                <w:rFonts w:eastAsia="Calibri" w:cs="Times New Roman"/>
                <w:i/>
                <w:sz w:val="20"/>
                <w:szCs w:val="20"/>
                <w:lang w:val="fr-FR"/>
              </w:rPr>
              <w:t>et al</w:t>
            </w:r>
            <w:r w:rsidRPr="001D1C67">
              <w:rPr>
                <w:rFonts w:eastAsia="Calibri" w:cs="Times New Roman"/>
                <w:sz w:val="20"/>
                <w:szCs w:val="20"/>
                <w:lang w:val="fr-FR"/>
              </w:rPr>
              <w:t xml:space="preserve"> (2005)</w:t>
            </w:r>
            <w:r w:rsidRPr="00542D7E">
              <w:rPr>
                <w:rFonts w:eastAsia="Calibri" w:cs="Times New Roman"/>
                <w:sz w:val="20"/>
                <w:szCs w:val="20"/>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sidRPr="007E31FF">
              <w:rPr>
                <w:rFonts w:eastAsia="Calibri" w:cs="Times New Roman"/>
                <w:sz w:val="20"/>
                <w:szCs w:val="20"/>
                <w:lang w:val="fr-FR"/>
              </w:rPr>
              <w:instrText xml:space="preserve"> ADDIN EN.CITE </w:instrText>
            </w:r>
            <w:r w:rsidR="0076576E">
              <w:rPr>
                <w:rFonts w:eastAsia="Calibri" w:cs="Times New Roman"/>
                <w:sz w:val="20"/>
                <w:szCs w:val="20"/>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sidRPr="007E31FF">
              <w:rPr>
                <w:rFonts w:eastAsia="Calibri" w:cs="Times New Roman"/>
                <w:sz w:val="20"/>
                <w:szCs w:val="20"/>
                <w:lang w:val="fr-FR"/>
              </w:rPr>
              <w:instrText xml:space="preserve"> ADDIN EN.CITE.DATA </w:instrText>
            </w:r>
            <w:r w:rsidR="0076576E">
              <w:rPr>
                <w:rFonts w:eastAsia="Calibri" w:cs="Times New Roman"/>
                <w:sz w:val="20"/>
                <w:szCs w:val="20"/>
                <w:lang w:val="en"/>
              </w:rPr>
            </w:r>
            <w:r w:rsidR="0076576E">
              <w:rPr>
                <w:rFonts w:eastAsia="Calibri" w:cs="Times New Roman"/>
                <w:sz w:val="20"/>
                <w:szCs w:val="20"/>
                <w:lang w:val="en"/>
              </w:rPr>
              <w:fldChar w:fldCharType="end"/>
            </w:r>
            <w:r w:rsidRPr="00542D7E">
              <w:rPr>
                <w:rFonts w:eastAsia="Calibri" w:cs="Times New Roman"/>
                <w:sz w:val="20"/>
                <w:szCs w:val="20"/>
                <w:lang w:val="en"/>
              </w:rPr>
            </w:r>
            <w:r w:rsidRPr="00542D7E">
              <w:rPr>
                <w:rFonts w:eastAsia="Calibri" w:cs="Times New Roman"/>
                <w:sz w:val="20"/>
                <w:szCs w:val="20"/>
                <w:lang w:val="en"/>
              </w:rPr>
              <w:fldChar w:fldCharType="separate"/>
            </w:r>
            <w:r w:rsidR="0076576E" w:rsidRPr="007E31FF">
              <w:rPr>
                <w:rFonts w:eastAsia="Calibri" w:cs="Times New Roman"/>
                <w:noProof/>
                <w:sz w:val="20"/>
                <w:szCs w:val="20"/>
                <w:vertAlign w:val="superscript"/>
                <w:lang w:val="fr-FR"/>
              </w:rPr>
              <w:t>180</w:t>
            </w:r>
            <w:r w:rsidRPr="00542D7E">
              <w:rPr>
                <w:rFonts w:eastAsia="Calibri" w:cs="Times New Roman"/>
                <w:sz w:val="20"/>
                <w:szCs w:val="20"/>
                <w:lang w:val="en"/>
              </w:rPr>
              <w:fldChar w:fldCharType="end"/>
            </w:r>
            <w:r w:rsidRPr="001D1C67">
              <w:rPr>
                <w:rFonts w:eastAsia="Calibri" w:cs="Times New Roman"/>
                <w:sz w:val="20"/>
                <w:szCs w:val="20"/>
                <w:lang w:val="fr-FR"/>
              </w:rPr>
              <w:t xml:space="preserve">, McKintosh </w:t>
            </w:r>
            <w:r w:rsidR="00B301D6" w:rsidRPr="001D1C67">
              <w:rPr>
                <w:rFonts w:eastAsia="Calibri" w:cs="Times New Roman"/>
                <w:i/>
                <w:sz w:val="20"/>
                <w:szCs w:val="20"/>
                <w:lang w:val="fr-FR"/>
              </w:rPr>
              <w:t>et al</w:t>
            </w:r>
            <w:r w:rsidRPr="001D1C67">
              <w:rPr>
                <w:rFonts w:eastAsia="Calibri" w:cs="Times New Roman"/>
                <w:sz w:val="20"/>
                <w:szCs w:val="20"/>
                <w:lang w:val="fr-FR"/>
              </w:rPr>
              <w:t xml:space="preserve"> (2005)</w:t>
            </w:r>
            <w:r>
              <w:rPr>
                <w:rFonts w:eastAsia="Calibri" w:cs="Times New Roman"/>
                <w:sz w:val="20"/>
                <w:szCs w:val="20"/>
              </w:rPr>
              <w:fldChar w:fldCharType="begin"/>
            </w:r>
            <w:r w:rsidR="0076576E" w:rsidRPr="007E31FF">
              <w:rPr>
                <w:rFonts w:eastAsia="Calibri" w:cs="Times New Roman"/>
                <w:sz w:val="20"/>
                <w:szCs w:val="20"/>
                <w:lang w:val="fr-FR"/>
              </w:rPr>
              <w:instrText xml:space="preserve"> ADDIN EN.CITE &lt;EndNote&gt;&lt;Cite&gt;&lt;Author&gt;McKintosh&lt;/Author&gt;&lt;Year&gt;2005&lt;/Year&gt;&lt;RecNum&gt;8391&lt;/RecNum&gt;&lt;DisplayText&gt;&lt;style face="superscript"&gt;185&lt;/style&gt;&lt;/DisplayText&gt;&lt;record&gt;&lt;rec-number&gt;8391&lt;/rec-number&gt;&lt;foreign-keys&gt;&lt;key app="EN" db-id="vrp0pptazv05wtesfz5vrzsj2p0rv09ttsa9" timestamp="1506588782" guid="b69ea48a-7a55-42fc-a445-490c9984e69b"&gt;8391&lt;/key&gt;&lt;/foreign-keys&gt;&lt;ref-type name="Journal Article"&gt;17&lt;/ref-type&gt;&lt;contributors&gt;&lt;authors&gt;&lt;author&gt;McKintosh, E.&lt;/author&gt;&lt;author&gt;Jackson, G.&lt;/author&gt;&lt;author&gt;Flechsig, E.&lt;/author&gt;&lt;author&gt;Prodromidou, K.&lt;/author&gt;&lt;author&gt;Hirsch, P.&lt;/author&gt;&lt;author&gt;Linehan, J.&lt;/author&gt;&lt;author&gt;Brandner, S.&lt;/author&gt;&lt;author&gt;Clarke, A.&lt;/author&gt;&lt;author&gt;Weissmann, C.&lt;/author&gt;&lt;author&gt;Collinge, J.&lt;/author&gt;&lt;/authors&gt;&lt;/contributors&gt;&lt;titles&gt;&lt;title&gt;A detergent-enzyme method for effective prion decontamination of surgical steel&lt;/title&gt;&lt;secondary-title&gt;Proceedings of the 13th World Congress of Neurological Surgery, Vols 1 and 2&lt;/secondary-title&gt;&lt;/titles&gt;&lt;periodical&gt;&lt;full-title&gt;Proceedings of the 13th World Congress of Neurological Surgery, Vols 1 and 2&lt;/full-title&gt;&lt;/periodical&gt;&lt;pages&gt;923-927&lt;/pages&gt;&lt;keywords&gt;&lt;keyword&gt;$$CC_5_instrument decontamination&lt;/keyword&gt;&lt;keyword&gt;$$CJD relevant&lt;/keyword&gt;&lt;keyword&gt;$$5_instrument decontamination&lt;/keyword&gt;&lt;keyword&gt;$$abstract&lt;/keyword&gt;&lt;keyword&gt;$$ILL&lt;/keyword&gt;&lt;keyword&gt;$$duplicate of Jackson 2005&lt;/keyword&gt;&lt;/keywords&gt;&lt;dates&gt;&lt;year&gt;2005&lt;/year&gt;&lt;/dates&gt;&lt;isbn&gt;88-7587-160-4&lt;/isbn&gt;&lt;accession-num&gt;WOS:000233429700179&lt;/accession-num&gt;&lt;urls&gt;&lt;related-urls&gt;&lt;url&gt;&amp;lt;Go to ISI&amp;gt;://WOS:000233429700179&lt;/url&gt;&lt;/related-urls&gt;&lt;/urls&gt;&lt;/record&gt;&lt;/Cite&gt;&lt;/EndNote&gt;</w:instrText>
            </w:r>
            <w:r>
              <w:rPr>
                <w:rFonts w:eastAsia="Calibri" w:cs="Times New Roman"/>
                <w:sz w:val="20"/>
                <w:szCs w:val="20"/>
              </w:rPr>
              <w:fldChar w:fldCharType="separate"/>
            </w:r>
            <w:r w:rsidR="0076576E" w:rsidRPr="007E31FF">
              <w:rPr>
                <w:rFonts w:eastAsia="Calibri" w:cs="Times New Roman"/>
                <w:noProof/>
                <w:sz w:val="20"/>
                <w:szCs w:val="20"/>
                <w:vertAlign w:val="superscript"/>
                <w:lang w:val="fr-FR"/>
              </w:rPr>
              <w:t>185</w:t>
            </w:r>
            <w:r>
              <w:rPr>
                <w:rFonts w:eastAsia="Calibri" w:cs="Times New Roman"/>
                <w:sz w:val="20"/>
                <w:szCs w:val="20"/>
              </w:rPr>
              <w:fldChar w:fldCharType="end"/>
            </w:r>
          </w:p>
        </w:tc>
        <w:tc>
          <w:tcPr>
            <w:tcW w:w="1559" w:type="dxa"/>
            <w:vMerge w:val="restart"/>
          </w:tcPr>
          <w:p w14:paraId="1C0B7C2C" w14:textId="77777777" w:rsidR="00B252E4" w:rsidRPr="001D1C67" w:rsidRDefault="00B252E4" w:rsidP="00B252E4">
            <w:pPr>
              <w:spacing w:line="240" w:lineRule="auto"/>
              <w:rPr>
                <w:rFonts w:eastAsia="Calibri" w:cs="Times New Roman"/>
                <w:sz w:val="20"/>
                <w:szCs w:val="20"/>
                <w:lang w:val="pl-PL"/>
              </w:rPr>
            </w:pPr>
            <w:r w:rsidRPr="001D1C67">
              <w:rPr>
                <w:rFonts w:eastAsia="Calibri" w:cs="Times New Roman"/>
                <w:sz w:val="20"/>
                <w:szCs w:val="20"/>
                <w:lang w:val="pl-PL"/>
              </w:rPr>
              <w:t xml:space="preserve">RML (20% w/v) </w:t>
            </w:r>
          </w:p>
          <w:p w14:paraId="7FA7689D" w14:textId="77777777" w:rsidR="00B252E4" w:rsidRPr="001D1C67" w:rsidRDefault="00B252E4" w:rsidP="00B252E4">
            <w:pPr>
              <w:spacing w:line="240" w:lineRule="auto"/>
              <w:rPr>
                <w:rFonts w:eastAsia="Calibri" w:cs="Times New Roman"/>
                <w:sz w:val="20"/>
                <w:szCs w:val="20"/>
                <w:lang w:val="pl-PL"/>
              </w:rPr>
            </w:pPr>
            <w:r w:rsidRPr="001D1C67">
              <w:rPr>
                <w:rFonts w:eastAsia="Calibri" w:cs="Times New Roman"/>
                <w:sz w:val="20"/>
                <w:szCs w:val="20"/>
                <w:lang w:val="pl-PL"/>
              </w:rPr>
              <w:t>Tg20 mice</w:t>
            </w:r>
          </w:p>
        </w:tc>
        <w:tc>
          <w:tcPr>
            <w:tcW w:w="1701" w:type="dxa"/>
          </w:tcPr>
          <w:p w14:paraId="54655DE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- 20 mins</w:t>
            </w:r>
          </w:p>
        </w:tc>
        <w:tc>
          <w:tcPr>
            <w:tcW w:w="3969" w:type="dxa"/>
          </w:tcPr>
          <w:p w14:paraId="4FD10F8F" w14:textId="050E50F1"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c>
          <w:tcPr>
            <w:tcW w:w="1439" w:type="dxa"/>
          </w:tcPr>
          <w:p w14:paraId="224EBF36"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0/6a</w:t>
            </w:r>
          </w:p>
        </w:tc>
        <w:tc>
          <w:tcPr>
            <w:tcW w:w="1949" w:type="dxa"/>
          </w:tcPr>
          <w:p w14:paraId="420A416D" w14:textId="792E3FD3"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r>
      <w:tr w:rsidR="00B252E4" w:rsidRPr="00BD14CD" w14:paraId="094D995D" w14:textId="77777777" w:rsidTr="00BD14CD">
        <w:tc>
          <w:tcPr>
            <w:tcW w:w="1668" w:type="dxa"/>
            <w:vMerge/>
          </w:tcPr>
          <w:p w14:paraId="32B92D83" w14:textId="77777777" w:rsidR="00B252E4" w:rsidRPr="00BD14CD" w:rsidRDefault="00B252E4" w:rsidP="00B252E4">
            <w:pPr>
              <w:spacing w:line="240" w:lineRule="auto"/>
              <w:rPr>
                <w:rFonts w:eastAsia="Calibri" w:cs="Times New Roman"/>
                <w:sz w:val="20"/>
                <w:szCs w:val="20"/>
                <w:highlight w:val="yellow"/>
              </w:rPr>
            </w:pPr>
          </w:p>
        </w:tc>
        <w:tc>
          <w:tcPr>
            <w:tcW w:w="1559" w:type="dxa"/>
            <w:vMerge/>
          </w:tcPr>
          <w:p w14:paraId="0513B663" w14:textId="77777777" w:rsidR="00B252E4" w:rsidRPr="00BD14CD" w:rsidRDefault="00B252E4" w:rsidP="00B252E4">
            <w:pPr>
              <w:spacing w:line="240" w:lineRule="auto"/>
              <w:rPr>
                <w:rFonts w:eastAsia="Calibri" w:cs="Times New Roman"/>
                <w:sz w:val="20"/>
                <w:szCs w:val="20"/>
              </w:rPr>
            </w:pPr>
          </w:p>
        </w:tc>
        <w:tc>
          <w:tcPr>
            <w:tcW w:w="1701" w:type="dxa"/>
          </w:tcPr>
          <w:p w14:paraId="6048A57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- 20 mins</w:t>
            </w:r>
          </w:p>
        </w:tc>
        <w:tc>
          <w:tcPr>
            <w:tcW w:w="3969" w:type="dxa"/>
          </w:tcPr>
          <w:p w14:paraId="5E01AF15" w14:textId="1B2AA8A0"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c>
          <w:tcPr>
            <w:tcW w:w="1439" w:type="dxa"/>
          </w:tcPr>
          <w:p w14:paraId="01A6B072"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0/4b</w:t>
            </w:r>
          </w:p>
        </w:tc>
        <w:tc>
          <w:tcPr>
            <w:tcW w:w="1949" w:type="dxa"/>
          </w:tcPr>
          <w:p w14:paraId="72CBA388" w14:textId="7E537A82"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r>
      <w:tr w:rsidR="00B252E4" w:rsidRPr="00BD14CD" w14:paraId="07D50681" w14:textId="77777777" w:rsidTr="00BD14CD">
        <w:tc>
          <w:tcPr>
            <w:tcW w:w="1668" w:type="dxa"/>
            <w:vMerge/>
          </w:tcPr>
          <w:p w14:paraId="010134AB" w14:textId="77777777" w:rsidR="00B252E4" w:rsidRPr="00BD14CD" w:rsidRDefault="00B252E4" w:rsidP="00B252E4">
            <w:pPr>
              <w:spacing w:line="240" w:lineRule="auto"/>
              <w:rPr>
                <w:rFonts w:eastAsia="Calibri" w:cs="Times New Roman"/>
                <w:sz w:val="20"/>
                <w:szCs w:val="20"/>
              </w:rPr>
            </w:pPr>
          </w:p>
        </w:tc>
        <w:tc>
          <w:tcPr>
            <w:tcW w:w="1559" w:type="dxa"/>
            <w:vMerge/>
          </w:tcPr>
          <w:p w14:paraId="264E3A39" w14:textId="77777777" w:rsidR="00B252E4" w:rsidRPr="00BD14CD" w:rsidRDefault="00B252E4" w:rsidP="00B252E4">
            <w:pPr>
              <w:spacing w:line="240" w:lineRule="auto"/>
              <w:rPr>
                <w:rFonts w:eastAsia="Calibri" w:cs="Times New Roman"/>
                <w:sz w:val="20"/>
                <w:szCs w:val="20"/>
              </w:rPr>
            </w:pPr>
          </w:p>
        </w:tc>
        <w:tc>
          <w:tcPr>
            <w:tcW w:w="1701" w:type="dxa"/>
          </w:tcPr>
          <w:p w14:paraId="221C55BB" w14:textId="67D103EB"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c>
          <w:tcPr>
            <w:tcW w:w="3969" w:type="dxa"/>
          </w:tcPr>
          <w:p w14:paraId="3411AEA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LpH</w:t>
            </w:r>
          </w:p>
        </w:tc>
        <w:tc>
          <w:tcPr>
            <w:tcW w:w="1439" w:type="dxa"/>
          </w:tcPr>
          <w:p w14:paraId="25670CD6"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5/5</w:t>
            </w:r>
          </w:p>
        </w:tc>
        <w:tc>
          <w:tcPr>
            <w:tcW w:w="1949" w:type="dxa"/>
          </w:tcPr>
          <w:p w14:paraId="7D6431B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91 (SEM 2.6)</w:t>
            </w:r>
          </w:p>
        </w:tc>
      </w:tr>
      <w:tr w:rsidR="00B252E4" w:rsidRPr="00BD14CD" w14:paraId="4F25F74C" w14:textId="77777777" w:rsidTr="00BD14CD">
        <w:tc>
          <w:tcPr>
            <w:tcW w:w="1668" w:type="dxa"/>
            <w:vMerge/>
          </w:tcPr>
          <w:p w14:paraId="12672ED9" w14:textId="77777777" w:rsidR="00B252E4" w:rsidRPr="00BD14CD" w:rsidRDefault="00B252E4" w:rsidP="00B252E4">
            <w:pPr>
              <w:spacing w:line="240" w:lineRule="auto"/>
              <w:rPr>
                <w:rFonts w:eastAsia="Calibri" w:cs="Times New Roman"/>
                <w:sz w:val="20"/>
                <w:szCs w:val="20"/>
              </w:rPr>
            </w:pPr>
          </w:p>
        </w:tc>
        <w:tc>
          <w:tcPr>
            <w:tcW w:w="1559" w:type="dxa"/>
            <w:vMerge/>
          </w:tcPr>
          <w:p w14:paraId="1B7D0636" w14:textId="77777777" w:rsidR="00B252E4" w:rsidRPr="00BD14CD" w:rsidRDefault="00B252E4" w:rsidP="00B252E4">
            <w:pPr>
              <w:spacing w:line="240" w:lineRule="auto"/>
              <w:rPr>
                <w:rFonts w:eastAsia="Calibri" w:cs="Times New Roman"/>
                <w:sz w:val="20"/>
                <w:szCs w:val="20"/>
              </w:rPr>
            </w:pPr>
          </w:p>
        </w:tc>
        <w:tc>
          <w:tcPr>
            <w:tcW w:w="1701" w:type="dxa"/>
          </w:tcPr>
          <w:p w14:paraId="2664151E" w14:textId="56F18E9E"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3969" w:type="dxa"/>
          </w:tcPr>
          <w:p w14:paraId="688AEF05"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LpHse</w:t>
            </w:r>
          </w:p>
        </w:tc>
        <w:tc>
          <w:tcPr>
            <w:tcW w:w="1439" w:type="dxa"/>
          </w:tcPr>
          <w:p w14:paraId="35008BD4"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3/5c</w:t>
            </w:r>
          </w:p>
        </w:tc>
        <w:tc>
          <w:tcPr>
            <w:tcW w:w="1949" w:type="dxa"/>
          </w:tcPr>
          <w:p w14:paraId="710104E7"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70 (0)</w:t>
            </w:r>
          </w:p>
        </w:tc>
      </w:tr>
      <w:tr w:rsidR="00B252E4" w:rsidRPr="00BD14CD" w14:paraId="249C78D6" w14:textId="77777777" w:rsidTr="00BD14CD">
        <w:tc>
          <w:tcPr>
            <w:tcW w:w="1668" w:type="dxa"/>
            <w:vMerge/>
          </w:tcPr>
          <w:p w14:paraId="7E8CEF4E" w14:textId="77777777" w:rsidR="00B252E4" w:rsidRPr="00BD14CD" w:rsidRDefault="00B252E4" w:rsidP="00B252E4">
            <w:pPr>
              <w:spacing w:line="240" w:lineRule="auto"/>
              <w:rPr>
                <w:rFonts w:eastAsia="Calibri" w:cs="Times New Roman"/>
                <w:sz w:val="20"/>
                <w:szCs w:val="20"/>
              </w:rPr>
            </w:pPr>
          </w:p>
        </w:tc>
        <w:tc>
          <w:tcPr>
            <w:tcW w:w="1559" w:type="dxa"/>
            <w:vMerge/>
          </w:tcPr>
          <w:p w14:paraId="7FC57539" w14:textId="77777777" w:rsidR="00B252E4" w:rsidRPr="00BD14CD" w:rsidRDefault="00B252E4" w:rsidP="00B252E4">
            <w:pPr>
              <w:spacing w:line="240" w:lineRule="auto"/>
              <w:rPr>
                <w:rFonts w:eastAsia="Calibri" w:cs="Times New Roman"/>
                <w:sz w:val="20"/>
                <w:szCs w:val="20"/>
              </w:rPr>
            </w:pPr>
          </w:p>
        </w:tc>
        <w:tc>
          <w:tcPr>
            <w:tcW w:w="1701" w:type="dxa"/>
          </w:tcPr>
          <w:p w14:paraId="552F0F81" w14:textId="0BF927A8"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3969" w:type="dxa"/>
          </w:tcPr>
          <w:p w14:paraId="0972B530"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Endozyme Plus</w:t>
            </w:r>
          </w:p>
        </w:tc>
        <w:tc>
          <w:tcPr>
            <w:tcW w:w="1439" w:type="dxa"/>
          </w:tcPr>
          <w:p w14:paraId="109DA671"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5/5</w:t>
            </w:r>
          </w:p>
        </w:tc>
        <w:tc>
          <w:tcPr>
            <w:tcW w:w="1949" w:type="dxa"/>
          </w:tcPr>
          <w:p w14:paraId="0B06F2C7"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81 (1)</w:t>
            </w:r>
          </w:p>
        </w:tc>
      </w:tr>
      <w:tr w:rsidR="00B252E4" w:rsidRPr="00BD14CD" w14:paraId="0E782F78" w14:textId="77777777" w:rsidTr="00BD14CD">
        <w:tc>
          <w:tcPr>
            <w:tcW w:w="1668" w:type="dxa"/>
            <w:vMerge/>
          </w:tcPr>
          <w:p w14:paraId="21D47A98" w14:textId="77777777" w:rsidR="00B252E4" w:rsidRPr="00BD14CD" w:rsidRDefault="00B252E4" w:rsidP="00B252E4">
            <w:pPr>
              <w:spacing w:line="240" w:lineRule="auto"/>
              <w:rPr>
                <w:rFonts w:eastAsia="Calibri" w:cs="Times New Roman"/>
                <w:sz w:val="20"/>
                <w:szCs w:val="20"/>
              </w:rPr>
            </w:pPr>
          </w:p>
        </w:tc>
        <w:tc>
          <w:tcPr>
            <w:tcW w:w="1559" w:type="dxa"/>
            <w:vMerge/>
          </w:tcPr>
          <w:p w14:paraId="6F6FCC51" w14:textId="77777777" w:rsidR="00B252E4" w:rsidRPr="00BD14CD" w:rsidRDefault="00B252E4" w:rsidP="00B252E4">
            <w:pPr>
              <w:spacing w:line="240" w:lineRule="auto"/>
              <w:rPr>
                <w:rFonts w:eastAsia="Calibri" w:cs="Times New Roman"/>
                <w:sz w:val="20"/>
                <w:szCs w:val="20"/>
              </w:rPr>
            </w:pPr>
          </w:p>
        </w:tc>
        <w:tc>
          <w:tcPr>
            <w:tcW w:w="1701" w:type="dxa"/>
          </w:tcPr>
          <w:p w14:paraId="2EFE3AFC" w14:textId="70730CDA"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3969" w:type="dxa"/>
          </w:tcPr>
          <w:p w14:paraId="6A299D40" w14:textId="77777777" w:rsidR="00B252E4" w:rsidRPr="001D1C67" w:rsidRDefault="00B252E4" w:rsidP="00B252E4">
            <w:pPr>
              <w:spacing w:line="240" w:lineRule="auto"/>
              <w:rPr>
                <w:rFonts w:eastAsia="Calibri" w:cs="Times New Roman"/>
                <w:sz w:val="20"/>
                <w:szCs w:val="20"/>
                <w:lang w:val="fr-FR"/>
              </w:rPr>
            </w:pPr>
            <w:r w:rsidRPr="001D1C67">
              <w:rPr>
                <w:rFonts w:eastAsia="Calibri" w:cs="Times New Roman"/>
                <w:sz w:val="20"/>
                <w:szCs w:val="20"/>
                <w:lang w:val="fr-FR"/>
              </w:rPr>
              <w:t>Enzymes: SDS-PK-Pronase, 40</w:t>
            </w:r>
            <w:r w:rsidRPr="001D1C67">
              <w:rPr>
                <w:rFonts w:eastAsia="Calibri" w:cs="Times New Roman"/>
                <w:sz w:val="20"/>
                <w:szCs w:val="20"/>
                <w:vertAlign w:val="superscript"/>
                <w:lang w:val="fr-FR"/>
              </w:rPr>
              <w:t>°</w:t>
            </w:r>
            <w:r w:rsidRPr="001D1C67">
              <w:rPr>
                <w:rFonts w:eastAsia="Calibri" w:cs="Times New Roman"/>
                <w:sz w:val="20"/>
                <w:szCs w:val="20"/>
                <w:lang w:val="fr-FR"/>
              </w:rPr>
              <w:t>C – 60 mins</w:t>
            </w:r>
          </w:p>
        </w:tc>
        <w:tc>
          <w:tcPr>
            <w:tcW w:w="1439" w:type="dxa"/>
          </w:tcPr>
          <w:p w14:paraId="598299EF"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0/3</w:t>
            </w:r>
          </w:p>
        </w:tc>
        <w:tc>
          <w:tcPr>
            <w:tcW w:w="1949" w:type="dxa"/>
          </w:tcPr>
          <w:p w14:paraId="02583F11" w14:textId="638FCCFA" w:rsidR="00B252E4" w:rsidRPr="00BD14CD" w:rsidRDefault="00B252E4" w:rsidP="00B252E4">
            <w:pPr>
              <w:spacing w:line="240" w:lineRule="auto"/>
              <w:rPr>
                <w:rFonts w:eastAsia="Calibri" w:cs="Times New Roman"/>
                <w:sz w:val="20"/>
                <w:szCs w:val="20"/>
              </w:rPr>
            </w:pPr>
            <w:r>
              <w:rPr>
                <w:rFonts w:cs="Times New Roman"/>
                <w:sz w:val="20"/>
                <w:szCs w:val="20"/>
              </w:rPr>
              <w:t>NR</w:t>
            </w:r>
          </w:p>
        </w:tc>
      </w:tr>
      <w:tr w:rsidR="00B252E4" w:rsidRPr="00BD14CD" w14:paraId="25174C3C" w14:textId="77777777" w:rsidTr="00BD14CD">
        <w:tc>
          <w:tcPr>
            <w:tcW w:w="1668" w:type="dxa"/>
            <w:vMerge/>
          </w:tcPr>
          <w:p w14:paraId="33C1BC3A" w14:textId="77777777" w:rsidR="00B252E4" w:rsidRPr="00BD14CD" w:rsidRDefault="00B252E4" w:rsidP="00B252E4">
            <w:pPr>
              <w:spacing w:line="240" w:lineRule="auto"/>
              <w:rPr>
                <w:rFonts w:eastAsia="Calibri" w:cs="Times New Roman"/>
                <w:sz w:val="20"/>
                <w:szCs w:val="20"/>
              </w:rPr>
            </w:pPr>
          </w:p>
        </w:tc>
        <w:tc>
          <w:tcPr>
            <w:tcW w:w="1559" w:type="dxa"/>
            <w:vMerge/>
          </w:tcPr>
          <w:p w14:paraId="2A5EDF4E" w14:textId="77777777" w:rsidR="00B252E4" w:rsidRPr="00BD14CD" w:rsidRDefault="00B252E4" w:rsidP="00B252E4">
            <w:pPr>
              <w:spacing w:line="240" w:lineRule="auto"/>
              <w:rPr>
                <w:rFonts w:eastAsia="Calibri" w:cs="Times New Roman"/>
                <w:sz w:val="20"/>
                <w:szCs w:val="20"/>
              </w:rPr>
            </w:pPr>
          </w:p>
        </w:tc>
        <w:tc>
          <w:tcPr>
            <w:tcW w:w="1701" w:type="dxa"/>
          </w:tcPr>
          <w:p w14:paraId="14A96BD6"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- 20 mins</w:t>
            </w:r>
          </w:p>
        </w:tc>
        <w:tc>
          <w:tcPr>
            <w:tcW w:w="3969" w:type="dxa"/>
          </w:tcPr>
          <w:p w14:paraId="429AA292" w14:textId="77777777" w:rsidR="00B252E4" w:rsidRPr="001D1C67" w:rsidRDefault="00B252E4" w:rsidP="00B252E4">
            <w:pPr>
              <w:spacing w:line="240" w:lineRule="auto"/>
              <w:rPr>
                <w:rFonts w:ascii="Calibri" w:eastAsia="Calibri" w:hAnsi="Calibri" w:cs="Times New Roman"/>
                <w:lang w:val="fr-FR"/>
              </w:rPr>
            </w:pPr>
            <w:r w:rsidRPr="001D1C67">
              <w:rPr>
                <w:rFonts w:eastAsia="Calibri" w:cs="Times New Roman"/>
                <w:sz w:val="20"/>
                <w:szCs w:val="20"/>
                <w:lang w:val="fr-FR"/>
              </w:rPr>
              <w:t>Enzymes: SDS-PK-Pronase, 40</w:t>
            </w:r>
            <w:r w:rsidRPr="001D1C67">
              <w:rPr>
                <w:rFonts w:eastAsia="Calibri" w:cs="Times New Roman"/>
                <w:sz w:val="20"/>
                <w:szCs w:val="20"/>
                <w:vertAlign w:val="superscript"/>
                <w:lang w:val="fr-FR"/>
              </w:rPr>
              <w:t>°</w:t>
            </w:r>
            <w:r w:rsidRPr="001D1C67">
              <w:rPr>
                <w:rFonts w:eastAsia="Calibri" w:cs="Times New Roman"/>
                <w:sz w:val="20"/>
                <w:szCs w:val="20"/>
                <w:lang w:val="fr-FR"/>
              </w:rPr>
              <w:t>C – 60 mins</w:t>
            </w:r>
          </w:p>
        </w:tc>
        <w:tc>
          <w:tcPr>
            <w:tcW w:w="1439" w:type="dxa"/>
          </w:tcPr>
          <w:p w14:paraId="415B8CD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0/5d</w:t>
            </w:r>
          </w:p>
        </w:tc>
        <w:tc>
          <w:tcPr>
            <w:tcW w:w="1949" w:type="dxa"/>
          </w:tcPr>
          <w:p w14:paraId="7037BB3F" w14:textId="1EB7877C" w:rsidR="00B252E4" w:rsidRPr="00BD14CD" w:rsidRDefault="00B252E4" w:rsidP="00B252E4">
            <w:pPr>
              <w:spacing w:line="240" w:lineRule="auto"/>
              <w:rPr>
                <w:rFonts w:eastAsia="Calibri" w:cs="Times New Roman"/>
                <w:sz w:val="20"/>
                <w:szCs w:val="20"/>
              </w:rPr>
            </w:pPr>
            <w:r>
              <w:rPr>
                <w:rFonts w:cs="Times New Roman"/>
                <w:sz w:val="20"/>
                <w:szCs w:val="20"/>
              </w:rPr>
              <w:t>NR</w:t>
            </w:r>
          </w:p>
        </w:tc>
      </w:tr>
      <w:tr w:rsidR="00B252E4" w:rsidRPr="00BD14CD" w14:paraId="18F1A7FB" w14:textId="77777777" w:rsidTr="00BD14CD">
        <w:tc>
          <w:tcPr>
            <w:tcW w:w="1668" w:type="dxa"/>
            <w:vMerge/>
          </w:tcPr>
          <w:p w14:paraId="09D46674" w14:textId="77777777" w:rsidR="00B252E4" w:rsidRPr="00BD14CD" w:rsidRDefault="00B252E4" w:rsidP="00B252E4">
            <w:pPr>
              <w:spacing w:line="240" w:lineRule="auto"/>
              <w:rPr>
                <w:rFonts w:eastAsia="Calibri" w:cs="Times New Roman"/>
                <w:sz w:val="20"/>
                <w:szCs w:val="20"/>
              </w:rPr>
            </w:pPr>
          </w:p>
        </w:tc>
        <w:tc>
          <w:tcPr>
            <w:tcW w:w="1559" w:type="dxa"/>
            <w:vMerge/>
          </w:tcPr>
          <w:p w14:paraId="346B1CA6" w14:textId="77777777" w:rsidR="00B252E4" w:rsidRPr="00BD14CD" w:rsidRDefault="00B252E4" w:rsidP="00B252E4">
            <w:pPr>
              <w:spacing w:line="240" w:lineRule="auto"/>
              <w:rPr>
                <w:rFonts w:eastAsia="Calibri" w:cs="Times New Roman"/>
                <w:sz w:val="20"/>
                <w:szCs w:val="20"/>
              </w:rPr>
            </w:pPr>
          </w:p>
        </w:tc>
        <w:tc>
          <w:tcPr>
            <w:tcW w:w="1701" w:type="dxa"/>
          </w:tcPr>
          <w:p w14:paraId="0C36E21A"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- 20 mins</w:t>
            </w:r>
          </w:p>
        </w:tc>
        <w:tc>
          <w:tcPr>
            <w:tcW w:w="3969" w:type="dxa"/>
          </w:tcPr>
          <w:p w14:paraId="308CB219" w14:textId="77777777" w:rsidR="00B252E4" w:rsidRPr="001D1C67" w:rsidRDefault="00B252E4" w:rsidP="00B252E4">
            <w:pPr>
              <w:spacing w:line="240" w:lineRule="auto"/>
              <w:rPr>
                <w:rFonts w:ascii="Calibri" w:eastAsia="Calibri" w:hAnsi="Calibri" w:cs="Times New Roman"/>
                <w:lang w:val="fr-FR"/>
              </w:rPr>
            </w:pPr>
            <w:r w:rsidRPr="001D1C67">
              <w:rPr>
                <w:rFonts w:eastAsia="Calibri" w:cs="Times New Roman"/>
                <w:sz w:val="20"/>
                <w:szCs w:val="20"/>
                <w:lang w:val="fr-FR"/>
              </w:rPr>
              <w:t>Enzymes: SDS-PK-Pronase, 40</w:t>
            </w:r>
            <w:r w:rsidRPr="001D1C67">
              <w:rPr>
                <w:rFonts w:eastAsia="Calibri" w:cs="Times New Roman"/>
                <w:sz w:val="20"/>
                <w:szCs w:val="20"/>
                <w:vertAlign w:val="superscript"/>
                <w:lang w:val="fr-FR"/>
              </w:rPr>
              <w:t>°</w:t>
            </w:r>
            <w:r w:rsidRPr="001D1C67">
              <w:rPr>
                <w:rFonts w:eastAsia="Calibri" w:cs="Times New Roman"/>
                <w:sz w:val="20"/>
                <w:szCs w:val="20"/>
                <w:lang w:val="fr-FR"/>
              </w:rPr>
              <w:t>C – 60 mins</w:t>
            </w:r>
          </w:p>
        </w:tc>
        <w:tc>
          <w:tcPr>
            <w:tcW w:w="1439" w:type="dxa"/>
          </w:tcPr>
          <w:p w14:paraId="20993AD5"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0/4</w:t>
            </w:r>
          </w:p>
        </w:tc>
        <w:tc>
          <w:tcPr>
            <w:tcW w:w="1949" w:type="dxa"/>
          </w:tcPr>
          <w:p w14:paraId="3172B760" w14:textId="01D572C6" w:rsidR="00B252E4" w:rsidRPr="00BD14CD" w:rsidRDefault="00B252E4" w:rsidP="00B252E4">
            <w:pPr>
              <w:spacing w:line="240" w:lineRule="auto"/>
              <w:rPr>
                <w:rFonts w:eastAsia="Calibri" w:cs="Times New Roman"/>
                <w:sz w:val="20"/>
                <w:szCs w:val="20"/>
              </w:rPr>
            </w:pPr>
            <w:r>
              <w:rPr>
                <w:rFonts w:cs="Times New Roman"/>
                <w:sz w:val="20"/>
                <w:szCs w:val="20"/>
              </w:rPr>
              <w:t>NR</w:t>
            </w:r>
          </w:p>
        </w:tc>
      </w:tr>
      <w:tr w:rsidR="00B252E4" w:rsidRPr="00BD14CD" w14:paraId="1FC8852D" w14:textId="77777777" w:rsidTr="00BD14CD">
        <w:tc>
          <w:tcPr>
            <w:tcW w:w="1668" w:type="dxa"/>
            <w:vMerge/>
          </w:tcPr>
          <w:p w14:paraId="09C61450" w14:textId="77777777" w:rsidR="00B252E4" w:rsidRPr="00BD14CD" w:rsidRDefault="00B252E4" w:rsidP="00B252E4">
            <w:pPr>
              <w:spacing w:line="240" w:lineRule="auto"/>
              <w:rPr>
                <w:rFonts w:eastAsia="Calibri" w:cs="Times New Roman"/>
                <w:sz w:val="20"/>
                <w:szCs w:val="20"/>
              </w:rPr>
            </w:pPr>
          </w:p>
        </w:tc>
        <w:tc>
          <w:tcPr>
            <w:tcW w:w="1559" w:type="dxa"/>
            <w:vMerge w:val="restart"/>
          </w:tcPr>
          <w:p w14:paraId="0F060985" w14:textId="77777777" w:rsidR="00B252E4" w:rsidRPr="001D1C67" w:rsidRDefault="00B252E4" w:rsidP="00B252E4">
            <w:pPr>
              <w:spacing w:line="240" w:lineRule="auto"/>
              <w:rPr>
                <w:rFonts w:eastAsia="Calibri" w:cs="Times New Roman"/>
                <w:sz w:val="20"/>
                <w:szCs w:val="20"/>
                <w:lang w:val="pl-PL"/>
              </w:rPr>
            </w:pPr>
            <w:r w:rsidRPr="001D1C67">
              <w:rPr>
                <w:rFonts w:eastAsia="Calibri" w:cs="Times New Roman"/>
                <w:sz w:val="20"/>
                <w:szCs w:val="20"/>
                <w:lang w:val="pl-PL"/>
              </w:rPr>
              <w:t>RML (20%w/v)</w:t>
            </w:r>
          </w:p>
          <w:p w14:paraId="75A7FF97" w14:textId="77777777" w:rsidR="00B252E4" w:rsidRPr="001D1C67" w:rsidRDefault="00B252E4" w:rsidP="00B252E4">
            <w:pPr>
              <w:spacing w:line="240" w:lineRule="auto"/>
              <w:rPr>
                <w:rFonts w:eastAsia="Calibri" w:cs="Times New Roman"/>
                <w:sz w:val="20"/>
                <w:szCs w:val="20"/>
                <w:lang w:val="pl-PL"/>
              </w:rPr>
            </w:pPr>
            <w:r w:rsidRPr="001D1C67">
              <w:rPr>
                <w:rFonts w:eastAsia="Calibri" w:cs="Times New Roman"/>
                <w:sz w:val="20"/>
                <w:szCs w:val="20"/>
                <w:lang w:val="pl-PL"/>
              </w:rPr>
              <w:t>CD-1 mice</w:t>
            </w:r>
          </w:p>
        </w:tc>
        <w:tc>
          <w:tcPr>
            <w:tcW w:w="1701" w:type="dxa"/>
          </w:tcPr>
          <w:p w14:paraId="4905409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- 20 mins</w:t>
            </w:r>
          </w:p>
        </w:tc>
        <w:tc>
          <w:tcPr>
            <w:tcW w:w="3969" w:type="dxa"/>
          </w:tcPr>
          <w:p w14:paraId="698C8B25" w14:textId="39EDD11C"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c>
          <w:tcPr>
            <w:tcW w:w="1439" w:type="dxa"/>
          </w:tcPr>
          <w:p w14:paraId="4FC2E88D"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0/9</w:t>
            </w:r>
          </w:p>
        </w:tc>
        <w:tc>
          <w:tcPr>
            <w:tcW w:w="1949" w:type="dxa"/>
          </w:tcPr>
          <w:p w14:paraId="03604876" w14:textId="74A0B76B" w:rsidR="00B252E4" w:rsidRPr="00BD14CD" w:rsidRDefault="00B252E4" w:rsidP="00B252E4">
            <w:pPr>
              <w:spacing w:line="240" w:lineRule="auto"/>
              <w:rPr>
                <w:rFonts w:eastAsia="Calibri" w:cs="Times New Roman"/>
                <w:sz w:val="20"/>
                <w:szCs w:val="20"/>
              </w:rPr>
            </w:pPr>
            <w:r>
              <w:rPr>
                <w:rFonts w:cs="Times New Roman"/>
                <w:sz w:val="20"/>
                <w:szCs w:val="20"/>
              </w:rPr>
              <w:t>NR</w:t>
            </w:r>
          </w:p>
        </w:tc>
      </w:tr>
      <w:tr w:rsidR="00B252E4" w:rsidRPr="00BD14CD" w14:paraId="60DB12EE" w14:textId="77777777" w:rsidTr="00BD14CD">
        <w:tc>
          <w:tcPr>
            <w:tcW w:w="1668" w:type="dxa"/>
            <w:vMerge/>
          </w:tcPr>
          <w:p w14:paraId="6AA9CC90" w14:textId="77777777" w:rsidR="00B252E4" w:rsidRPr="00BD14CD" w:rsidRDefault="00B252E4" w:rsidP="00B252E4">
            <w:pPr>
              <w:spacing w:line="240" w:lineRule="auto"/>
              <w:rPr>
                <w:rFonts w:eastAsia="Calibri" w:cs="Times New Roman"/>
                <w:sz w:val="20"/>
                <w:szCs w:val="20"/>
              </w:rPr>
            </w:pPr>
          </w:p>
        </w:tc>
        <w:tc>
          <w:tcPr>
            <w:tcW w:w="1559" w:type="dxa"/>
            <w:vMerge/>
          </w:tcPr>
          <w:p w14:paraId="0F199984" w14:textId="77777777" w:rsidR="00B252E4" w:rsidRPr="00BD14CD" w:rsidRDefault="00B252E4" w:rsidP="00B252E4">
            <w:pPr>
              <w:spacing w:line="240" w:lineRule="auto"/>
              <w:rPr>
                <w:rFonts w:eastAsia="Calibri" w:cs="Times New Roman"/>
                <w:sz w:val="20"/>
                <w:szCs w:val="20"/>
              </w:rPr>
            </w:pPr>
          </w:p>
        </w:tc>
        <w:tc>
          <w:tcPr>
            <w:tcW w:w="1701" w:type="dxa"/>
          </w:tcPr>
          <w:p w14:paraId="6423115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- 20 mins</w:t>
            </w:r>
          </w:p>
        </w:tc>
        <w:tc>
          <w:tcPr>
            <w:tcW w:w="3969" w:type="dxa"/>
          </w:tcPr>
          <w:p w14:paraId="305C9C15"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2 M NaOH</w:t>
            </w:r>
          </w:p>
        </w:tc>
        <w:tc>
          <w:tcPr>
            <w:tcW w:w="1439" w:type="dxa"/>
          </w:tcPr>
          <w:p w14:paraId="6BDC9FED"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0/10</w:t>
            </w:r>
          </w:p>
        </w:tc>
        <w:tc>
          <w:tcPr>
            <w:tcW w:w="1949" w:type="dxa"/>
          </w:tcPr>
          <w:p w14:paraId="09F0402F" w14:textId="54A98B7E" w:rsidR="00B252E4" w:rsidRPr="00BD14CD" w:rsidRDefault="00B252E4" w:rsidP="00B252E4">
            <w:pPr>
              <w:spacing w:line="240" w:lineRule="auto"/>
              <w:rPr>
                <w:rFonts w:eastAsia="Calibri" w:cs="Times New Roman"/>
                <w:sz w:val="20"/>
                <w:szCs w:val="20"/>
              </w:rPr>
            </w:pPr>
            <w:r>
              <w:rPr>
                <w:rFonts w:cs="Times New Roman"/>
                <w:sz w:val="20"/>
                <w:szCs w:val="20"/>
              </w:rPr>
              <w:t>NR</w:t>
            </w:r>
          </w:p>
        </w:tc>
      </w:tr>
      <w:tr w:rsidR="00B252E4" w:rsidRPr="00BD14CD" w14:paraId="7C9C4D0E" w14:textId="77777777" w:rsidTr="00BD14CD">
        <w:tc>
          <w:tcPr>
            <w:tcW w:w="1668" w:type="dxa"/>
            <w:vMerge/>
          </w:tcPr>
          <w:p w14:paraId="4F7215B8" w14:textId="77777777" w:rsidR="00B252E4" w:rsidRPr="00BD14CD" w:rsidRDefault="00B252E4" w:rsidP="00B252E4">
            <w:pPr>
              <w:spacing w:line="240" w:lineRule="auto"/>
              <w:rPr>
                <w:rFonts w:eastAsia="Calibri" w:cs="Times New Roman"/>
                <w:sz w:val="20"/>
                <w:szCs w:val="20"/>
              </w:rPr>
            </w:pPr>
          </w:p>
        </w:tc>
        <w:tc>
          <w:tcPr>
            <w:tcW w:w="1559" w:type="dxa"/>
            <w:vMerge/>
          </w:tcPr>
          <w:p w14:paraId="66B804D7" w14:textId="77777777" w:rsidR="00B252E4" w:rsidRPr="00BD14CD" w:rsidRDefault="00B252E4" w:rsidP="00B252E4">
            <w:pPr>
              <w:spacing w:line="240" w:lineRule="auto"/>
              <w:rPr>
                <w:rFonts w:eastAsia="Calibri" w:cs="Times New Roman"/>
                <w:sz w:val="20"/>
                <w:szCs w:val="20"/>
              </w:rPr>
            </w:pPr>
          </w:p>
        </w:tc>
        <w:tc>
          <w:tcPr>
            <w:tcW w:w="1701" w:type="dxa"/>
          </w:tcPr>
          <w:p w14:paraId="3C9E9382"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- 20 mins</w:t>
            </w:r>
          </w:p>
        </w:tc>
        <w:tc>
          <w:tcPr>
            <w:tcW w:w="3969" w:type="dxa"/>
          </w:tcPr>
          <w:p w14:paraId="2A8DAF2E" w14:textId="77777777" w:rsidR="00B252E4" w:rsidRPr="001D1C67" w:rsidRDefault="00B252E4" w:rsidP="00B252E4">
            <w:pPr>
              <w:spacing w:line="240" w:lineRule="auto"/>
              <w:rPr>
                <w:rFonts w:ascii="Calibri" w:eastAsia="Calibri" w:hAnsi="Calibri" w:cs="Times New Roman"/>
                <w:lang w:val="fr-FR"/>
              </w:rPr>
            </w:pPr>
            <w:r w:rsidRPr="001D1C67">
              <w:rPr>
                <w:rFonts w:eastAsia="Calibri" w:cs="Times New Roman"/>
                <w:sz w:val="20"/>
                <w:szCs w:val="20"/>
                <w:lang w:val="fr-FR"/>
              </w:rPr>
              <w:t>Enzymes: SDS-PK-Pronase, 40</w:t>
            </w:r>
            <w:r w:rsidRPr="001D1C67">
              <w:rPr>
                <w:rFonts w:eastAsia="Calibri" w:cs="Times New Roman"/>
                <w:sz w:val="20"/>
                <w:szCs w:val="20"/>
                <w:vertAlign w:val="superscript"/>
                <w:lang w:val="fr-FR"/>
              </w:rPr>
              <w:t>°</w:t>
            </w:r>
            <w:r w:rsidRPr="001D1C67">
              <w:rPr>
                <w:rFonts w:eastAsia="Calibri" w:cs="Times New Roman"/>
                <w:sz w:val="20"/>
                <w:szCs w:val="20"/>
                <w:lang w:val="fr-FR"/>
              </w:rPr>
              <w:t>C – 60 mins</w:t>
            </w:r>
          </w:p>
        </w:tc>
        <w:tc>
          <w:tcPr>
            <w:tcW w:w="1439" w:type="dxa"/>
          </w:tcPr>
          <w:p w14:paraId="18864018"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0/8</w:t>
            </w:r>
          </w:p>
        </w:tc>
        <w:tc>
          <w:tcPr>
            <w:tcW w:w="1949" w:type="dxa"/>
          </w:tcPr>
          <w:p w14:paraId="71559E06" w14:textId="075948DA" w:rsidR="00B252E4" w:rsidRPr="00BD14CD" w:rsidRDefault="00B252E4" w:rsidP="00B252E4">
            <w:pPr>
              <w:spacing w:line="240" w:lineRule="auto"/>
              <w:rPr>
                <w:rFonts w:eastAsia="Calibri" w:cs="Times New Roman"/>
                <w:sz w:val="20"/>
                <w:szCs w:val="20"/>
              </w:rPr>
            </w:pPr>
            <w:r>
              <w:rPr>
                <w:rFonts w:cs="Times New Roman"/>
                <w:sz w:val="20"/>
                <w:szCs w:val="20"/>
              </w:rPr>
              <w:t>NR</w:t>
            </w:r>
          </w:p>
        </w:tc>
      </w:tr>
      <w:tr w:rsidR="00B252E4" w:rsidRPr="00BD14CD" w14:paraId="1D4806A9" w14:textId="77777777" w:rsidTr="00BD14CD">
        <w:tc>
          <w:tcPr>
            <w:tcW w:w="1668" w:type="dxa"/>
            <w:vMerge/>
          </w:tcPr>
          <w:p w14:paraId="1344FC1D" w14:textId="77777777" w:rsidR="00B252E4" w:rsidRPr="00BD14CD" w:rsidRDefault="00B252E4" w:rsidP="00B252E4">
            <w:pPr>
              <w:spacing w:line="240" w:lineRule="auto"/>
              <w:rPr>
                <w:rFonts w:eastAsia="Calibri" w:cs="Times New Roman"/>
                <w:sz w:val="20"/>
                <w:szCs w:val="20"/>
              </w:rPr>
            </w:pPr>
          </w:p>
        </w:tc>
        <w:tc>
          <w:tcPr>
            <w:tcW w:w="1559" w:type="dxa"/>
            <w:vMerge/>
          </w:tcPr>
          <w:p w14:paraId="588898E9" w14:textId="77777777" w:rsidR="00B252E4" w:rsidRPr="00BD14CD" w:rsidRDefault="00B252E4" w:rsidP="00B252E4">
            <w:pPr>
              <w:spacing w:line="240" w:lineRule="auto"/>
              <w:rPr>
                <w:rFonts w:eastAsia="Calibri" w:cs="Times New Roman"/>
                <w:sz w:val="20"/>
                <w:szCs w:val="20"/>
              </w:rPr>
            </w:pPr>
          </w:p>
        </w:tc>
        <w:tc>
          <w:tcPr>
            <w:tcW w:w="1701" w:type="dxa"/>
          </w:tcPr>
          <w:p w14:paraId="0B5EFB37" w14:textId="596E6001"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c>
          <w:tcPr>
            <w:tcW w:w="3969" w:type="dxa"/>
          </w:tcPr>
          <w:p w14:paraId="55D814EB" w14:textId="77777777" w:rsidR="00B252E4" w:rsidRPr="001D1C67" w:rsidRDefault="00B252E4" w:rsidP="00B252E4">
            <w:pPr>
              <w:spacing w:line="240" w:lineRule="auto"/>
              <w:rPr>
                <w:rFonts w:ascii="Calibri" w:eastAsia="Calibri" w:hAnsi="Calibri" w:cs="Times New Roman"/>
                <w:lang w:val="fr-FR"/>
              </w:rPr>
            </w:pPr>
            <w:r w:rsidRPr="001D1C67">
              <w:rPr>
                <w:rFonts w:eastAsia="Calibri" w:cs="Times New Roman"/>
                <w:sz w:val="20"/>
                <w:szCs w:val="20"/>
                <w:lang w:val="fr-FR"/>
              </w:rPr>
              <w:t>Enzymes: SDS-PK-Pronase, 40</w:t>
            </w:r>
            <w:r w:rsidRPr="001D1C67">
              <w:rPr>
                <w:rFonts w:eastAsia="Calibri" w:cs="Times New Roman"/>
                <w:sz w:val="20"/>
                <w:szCs w:val="20"/>
                <w:vertAlign w:val="superscript"/>
                <w:lang w:val="fr-FR"/>
              </w:rPr>
              <w:t>°</w:t>
            </w:r>
            <w:r w:rsidRPr="001D1C67">
              <w:rPr>
                <w:rFonts w:eastAsia="Calibri" w:cs="Times New Roman"/>
                <w:sz w:val="20"/>
                <w:szCs w:val="20"/>
                <w:lang w:val="fr-FR"/>
              </w:rPr>
              <w:t>C – 60 mins</w:t>
            </w:r>
          </w:p>
        </w:tc>
        <w:tc>
          <w:tcPr>
            <w:tcW w:w="1439" w:type="dxa"/>
          </w:tcPr>
          <w:p w14:paraId="5DA74E17"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0/10</w:t>
            </w:r>
          </w:p>
        </w:tc>
        <w:tc>
          <w:tcPr>
            <w:tcW w:w="1949" w:type="dxa"/>
          </w:tcPr>
          <w:p w14:paraId="766BB692" w14:textId="162046E4"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r>
      <w:tr w:rsidR="00B252E4" w:rsidRPr="00BD14CD" w14:paraId="101A2DE0" w14:textId="77777777" w:rsidTr="00BD14CD">
        <w:tc>
          <w:tcPr>
            <w:tcW w:w="1668" w:type="dxa"/>
            <w:vMerge/>
          </w:tcPr>
          <w:p w14:paraId="6F34528A" w14:textId="77777777" w:rsidR="00B252E4" w:rsidRPr="00BD14CD" w:rsidRDefault="00B252E4" w:rsidP="00B252E4">
            <w:pPr>
              <w:spacing w:line="240" w:lineRule="auto"/>
              <w:rPr>
                <w:rFonts w:eastAsia="Calibri" w:cs="Times New Roman"/>
                <w:sz w:val="20"/>
                <w:szCs w:val="20"/>
              </w:rPr>
            </w:pPr>
          </w:p>
        </w:tc>
        <w:tc>
          <w:tcPr>
            <w:tcW w:w="1559" w:type="dxa"/>
            <w:vMerge w:val="restart"/>
          </w:tcPr>
          <w:p w14:paraId="454F6D78" w14:textId="77777777" w:rsidR="00B252E4" w:rsidRPr="001D1C67" w:rsidRDefault="00B252E4" w:rsidP="00B252E4">
            <w:pPr>
              <w:spacing w:line="240" w:lineRule="auto"/>
              <w:rPr>
                <w:rFonts w:eastAsia="Calibri" w:cs="Times New Roman"/>
                <w:sz w:val="20"/>
                <w:szCs w:val="20"/>
                <w:lang w:val="pl-PL"/>
              </w:rPr>
            </w:pPr>
            <w:r w:rsidRPr="001D1C67">
              <w:rPr>
                <w:rFonts w:eastAsia="Calibri" w:cs="Times New Roman"/>
                <w:sz w:val="20"/>
                <w:szCs w:val="20"/>
                <w:lang w:val="pl-PL"/>
              </w:rPr>
              <w:t>RML (10% w/v) Tg20 mice</w:t>
            </w:r>
          </w:p>
        </w:tc>
        <w:tc>
          <w:tcPr>
            <w:tcW w:w="1701" w:type="dxa"/>
          </w:tcPr>
          <w:p w14:paraId="13277FD2"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- 20 mins</w:t>
            </w:r>
          </w:p>
        </w:tc>
        <w:tc>
          <w:tcPr>
            <w:tcW w:w="3969" w:type="dxa"/>
          </w:tcPr>
          <w:p w14:paraId="6D5F4BFD" w14:textId="2290E29A"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c>
          <w:tcPr>
            <w:tcW w:w="1439" w:type="dxa"/>
          </w:tcPr>
          <w:p w14:paraId="7BF32BA8"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13/13*</w:t>
            </w:r>
          </w:p>
        </w:tc>
        <w:tc>
          <w:tcPr>
            <w:tcW w:w="1949" w:type="dxa"/>
          </w:tcPr>
          <w:p w14:paraId="3ADECAE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108 (12.4 SEM)</w:t>
            </w:r>
          </w:p>
        </w:tc>
      </w:tr>
      <w:tr w:rsidR="00B252E4" w:rsidRPr="00BD14CD" w14:paraId="49DF5ACC" w14:textId="77777777" w:rsidTr="00BD14CD">
        <w:tc>
          <w:tcPr>
            <w:tcW w:w="1668" w:type="dxa"/>
            <w:vMerge/>
          </w:tcPr>
          <w:p w14:paraId="575EA1D2" w14:textId="77777777" w:rsidR="00B252E4" w:rsidRPr="00BD14CD" w:rsidRDefault="00B252E4" w:rsidP="00B252E4">
            <w:pPr>
              <w:spacing w:line="240" w:lineRule="auto"/>
              <w:rPr>
                <w:rFonts w:eastAsia="Calibri" w:cs="Times New Roman"/>
                <w:sz w:val="20"/>
                <w:szCs w:val="20"/>
              </w:rPr>
            </w:pPr>
          </w:p>
        </w:tc>
        <w:tc>
          <w:tcPr>
            <w:tcW w:w="1559" w:type="dxa"/>
            <w:vMerge/>
          </w:tcPr>
          <w:p w14:paraId="6472DF03" w14:textId="77777777" w:rsidR="00B252E4" w:rsidRPr="00BD14CD" w:rsidRDefault="00B252E4" w:rsidP="00B252E4">
            <w:pPr>
              <w:spacing w:line="240" w:lineRule="auto"/>
              <w:rPr>
                <w:rFonts w:eastAsia="Calibri" w:cs="Times New Roman"/>
                <w:sz w:val="20"/>
                <w:szCs w:val="20"/>
              </w:rPr>
            </w:pPr>
          </w:p>
        </w:tc>
        <w:tc>
          <w:tcPr>
            <w:tcW w:w="1701" w:type="dxa"/>
          </w:tcPr>
          <w:p w14:paraId="25E25B3F" w14:textId="6BB5DBF6"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c>
          <w:tcPr>
            <w:tcW w:w="3969" w:type="dxa"/>
          </w:tcPr>
          <w:p w14:paraId="77D33B9A" w14:textId="77777777" w:rsidR="00B252E4" w:rsidRPr="001D1C67" w:rsidRDefault="00B252E4" w:rsidP="00B252E4">
            <w:pPr>
              <w:spacing w:line="240" w:lineRule="auto"/>
              <w:rPr>
                <w:rFonts w:eastAsia="Calibri" w:cs="Times New Roman"/>
                <w:sz w:val="20"/>
                <w:szCs w:val="20"/>
                <w:lang w:val="fr-FR"/>
              </w:rPr>
            </w:pPr>
            <w:r w:rsidRPr="001D1C67">
              <w:rPr>
                <w:rFonts w:eastAsia="Calibri" w:cs="Times New Roman"/>
                <w:sz w:val="20"/>
                <w:szCs w:val="20"/>
                <w:lang w:val="fr-FR"/>
              </w:rPr>
              <w:t>Enzymes: SDS-PK-Pronase, 40</w:t>
            </w:r>
            <w:r w:rsidRPr="001D1C67">
              <w:rPr>
                <w:rFonts w:eastAsia="Calibri" w:cs="Times New Roman"/>
                <w:sz w:val="20"/>
                <w:szCs w:val="20"/>
                <w:vertAlign w:val="superscript"/>
                <w:lang w:val="fr-FR"/>
              </w:rPr>
              <w:t>°</w:t>
            </w:r>
            <w:r w:rsidRPr="001D1C67">
              <w:rPr>
                <w:rFonts w:eastAsia="Calibri" w:cs="Times New Roman"/>
                <w:sz w:val="20"/>
                <w:szCs w:val="20"/>
                <w:lang w:val="fr-FR"/>
              </w:rPr>
              <w:t>C – 60 mins</w:t>
            </w:r>
          </w:p>
        </w:tc>
        <w:tc>
          <w:tcPr>
            <w:tcW w:w="1439" w:type="dxa"/>
          </w:tcPr>
          <w:p w14:paraId="7DA27A3A"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1/18 (101)</w:t>
            </w:r>
          </w:p>
        </w:tc>
        <w:tc>
          <w:tcPr>
            <w:tcW w:w="1949" w:type="dxa"/>
          </w:tcPr>
          <w:p w14:paraId="5D3809DD" w14:textId="074C9224" w:rsidR="00B252E4" w:rsidRPr="00BD14CD" w:rsidRDefault="00B252E4" w:rsidP="00B252E4">
            <w:pPr>
              <w:spacing w:line="240" w:lineRule="auto"/>
              <w:rPr>
                <w:rFonts w:eastAsia="Calibri" w:cs="Times New Roman"/>
                <w:sz w:val="20"/>
                <w:szCs w:val="20"/>
              </w:rPr>
            </w:pPr>
            <w:r>
              <w:rPr>
                <w:rFonts w:eastAsia="Calibri" w:cs="Times New Roman"/>
                <w:sz w:val="20"/>
                <w:szCs w:val="20"/>
              </w:rPr>
              <w:t>NR</w:t>
            </w:r>
          </w:p>
        </w:tc>
      </w:tr>
      <w:tr w:rsidR="00B252E4" w:rsidRPr="00BD14CD" w14:paraId="0ED6AD7E" w14:textId="77777777" w:rsidTr="00BD14CD">
        <w:tc>
          <w:tcPr>
            <w:tcW w:w="1668" w:type="dxa"/>
            <w:vMerge w:val="restart"/>
          </w:tcPr>
          <w:p w14:paraId="18AB1316" w14:textId="2287FD47" w:rsidR="00B252E4" w:rsidRPr="00BD14CD" w:rsidRDefault="00B252E4" w:rsidP="0076576E">
            <w:pPr>
              <w:spacing w:line="240" w:lineRule="auto"/>
              <w:rPr>
                <w:rFonts w:eastAsia="Calibri" w:cs="Times New Roman"/>
                <w:sz w:val="20"/>
                <w:szCs w:val="20"/>
              </w:rPr>
            </w:pPr>
            <w:r w:rsidRPr="00542D7E">
              <w:rPr>
                <w:rFonts w:eastAsia="Calibri" w:cs="Times New Roman"/>
                <w:sz w:val="20"/>
                <w:szCs w:val="20"/>
                <w:lang w:val="en"/>
              </w:rPr>
              <w:t xml:space="preserve">Peretz </w:t>
            </w:r>
            <w:r w:rsidR="00B301D6" w:rsidRPr="00B301D6">
              <w:rPr>
                <w:rFonts w:eastAsia="Calibri" w:cs="Times New Roman"/>
                <w:i/>
                <w:sz w:val="20"/>
                <w:szCs w:val="20"/>
                <w:lang w:val="en"/>
              </w:rPr>
              <w:t>et al</w:t>
            </w:r>
            <w:r w:rsidRPr="00542D7E">
              <w:rPr>
                <w:rFonts w:eastAsia="Calibri" w:cs="Times New Roman"/>
                <w:sz w:val="20"/>
                <w:szCs w:val="20"/>
                <w:lang w:val="en"/>
              </w:rPr>
              <w:t xml:space="preserve"> (2006)</w:t>
            </w:r>
            <w:r w:rsidRPr="00542D7E">
              <w:rPr>
                <w:rFonts w:eastAsia="Calibri" w:cs="Times New Roman"/>
                <w:sz w:val="20"/>
                <w:szCs w:val="20"/>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sz w:val="20"/>
                <w:szCs w:val="20"/>
                <w:lang w:val="en"/>
              </w:rPr>
              <w:instrText xml:space="preserve"> ADDIN EN.CITE </w:instrText>
            </w:r>
            <w:r w:rsidR="0076576E">
              <w:rPr>
                <w:rFonts w:eastAsia="Calibri" w:cs="Times New Roman"/>
                <w:sz w:val="20"/>
                <w:szCs w:val="20"/>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sz w:val="20"/>
                <w:szCs w:val="20"/>
                <w:lang w:val="en"/>
              </w:rPr>
              <w:instrText xml:space="preserve"> ADDIN EN.CITE.DATA </w:instrText>
            </w:r>
            <w:r w:rsidR="0076576E">
              <w:rPr>
                <w:rFonts w:eastAsia="Calibri" w:cs="Times New Roman"/>
                <w:sz w:val="20"/>
                <w:szCs w:val="20"/>
                <w:lang w:val="en"/>
              </w:rPr>
            </w:r>
            <w:r w:rsidR="0076576E">
              <w:rPr>
                <w:rFonts w:eastAsia="Calibri" w:cs="Times New Roman"/>
                <w:sz w:val="20"/>
                <w:szCs w:val="20"/>
                <w:lang w:val="en"/>
              </w:rPr>
              <w:fldChar w:fldCharType="end"/>
            </w:r>
            <w:r w:rsidRPr="00542D7E">
              <w:rPr>
                <w:rFonts w:eastAsia="Calibri" w:cs="Times New Roman"/>
                <w:sz w:val="20"/>
                <w:szCs w:val="20"/>
                <w:lang w:val="en"/>
              </w:rPr>
            </w:r>
            <w:r w:rsidRPr="00542D7E">
              <w:rPr>
                <w:rFonts w:eastAsia="Calibri" w:cs="Times New Roman"/>
                <w:sz w:val="20"/>
                <w:szCs w:val="20"/>
                <w:lang w:val="en"/>
              </w:rPr>
              <w:fldChar w:fldCharType="separate"/>
            </w:r>
            <w:r w:rsidR="0076576E" w:rsidRPr="0076576E">
              <w:rPr>
                <w:rFonts w:eastAsia="Calibri" w:cs="Times New Roman"/>
                <w:noProof/>
                <w:sz w:val="20"/>
                <w:szCs w:val="20"/>
                <w:vertAlign w:val="superscript"/>
                <w:lang w:val="en"/>
              </w:rPr>
              <w:t>181</w:t>
            </w:r>
            <w:r w:rsidRPr="00542D7E">
              <w:rPr>
                <w:rFonts w:eastAsia="Calibri" w:cs="Times New Roman"/>
                <w:sz w:val="20"/>
                <w:szCs w:val="20"/>
                <w:lang w:val="en"/>
              </w:rPr>
              <w:fldChar w:fldCharType="end"/>
            </w:r>
          </w:p>
        </w:tc>
        <w:tc>
          <w:tcPr>
            <w:tcW w:w="1559" w:type="dxa"/>
            <w:vMerge w:val="restart"/>
          </w:tcPr>
          <w:p w14:paraId="7607F7B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Sc237</w:t>
            </w:r>
          </w:p>
          <w:p w14:paraId="2AB67D86"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Tg7 mice</w:t>
            </w:r>
          </w:p>
        </w:tc>
        <w:tc>
          <w:tcPr>
            <w:tcW w:w="1701" w:type="dxa"/>
          </w:tcPr>
          <w:p w14:paraId="35FA3BF2"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5BDA8A94" w14:textId="2CEA5E81"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6A033D89"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N=10, 100%</w:t>
            </w:r>
          </w:p>
        </w:tc>
        <w:tc>
          <w:tcPr>
            <w:tcW w:w="1949" w:type="dxa"/>
          </w:tcPr>
          <w:p w14:paraId="195C8E95"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160 ±7.3</w:t>
            </w:r>
          </w:p>
        </w:tc>
      </w:tr>
      <w:tr w:rsidR="00B252E4" w:rsidRPr="00BD14CD" w14:paraId="15A923D2" w14:textId="77777777" w:rsidTr="00BD14CD">
        <w:trPr>
          <w:trHeight w:val="70"/>
        </w:trPr>
        <w:tc>
          <w:tcPr>
            <w:tcW w:w="1668" w:type="dxa"/>
            <w:vMerge/>
          </w:tcPr>
          <w:p w14:paraId="5CCA7990" w14:textId="77777777" w:rsidR="00B252E4" w:rsidRPr="00BD14CD" w:rsidRDefault="00B252E4" w:rsidP="00B252E4">
            <w:pPr>
              <w:spacing w:line="240" w:lineRule="auto"/>
              <w:rPr>
                <w:rFonts w:eastAsia="Calibri" w:cs="Times New Roman"/>
                <w:sz w:val="20"/>
                <w:szCs w:val="20"/>
              </w:rPr>
            </w:pPr>
          </w:p>
        </w:tc>
        <w:tc>
          <w:tcPr>
            <w:tcW w:w="1559" w:type="dxa"/>
            <w:vMerge/>
          </w:tcPr>
          <w:p w14:paraId="5EA66B64" w14:textId="77777777" w:rsidR="00B252E4" w:rsidRPr="00BD14CD" w:rsidRDefault="00B252E4" w:rsidP="00B252E4">
            <w:pPr>
              <w:spacing w:line="240" w:lineRule="auto"/>
              <w:rPr>
                <w:rFonts w:eastAsia="Calibri" w:cs="Times New Roman"/>
                <w:sz w:val="20"/>
                <w:szCs w:val="20"/>
              </w:rPr>
            </w:pPr>
          </w:p>
        </w:tc>
        <w:tc>
          <w:tcPr>
            <w:tcW w:w="1701" w:type="dxa"/>
          </w:tcPr>
          <w:p w14:paraId="3172D29D"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1D06B178" w14:textId="363856FD"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24D319AB"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20%</w:t>
            </w:r>
          </w:p>
        </w:tc>
        <w:tc>
          <w:tcPr>
            <w:tcW w:w="1949" w:type="dxa"/>
          </w:tcPr>
          <w:p w14:paraId="518C7D20"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&gt;400</w:t>
            </w:r>
          </w:p>
        </w:tc>
      </w:tr>
      <w:tr w:rsidR="00B252E4" w:rsidRPr="00BD14CD" w14:paraId="2AAB118D" w14:textId="77777777" w:rsidTr="00BD14CD">
        <w:tc>
          <w:tcPr>
            <w:tcW w:w="1668" w:type="dxa"/>
            <w:vMerge/>
          </w:tcPr>
          <w:p w14:paraId="14CFF80C" w14:textId="77777777" w:rsidR="00B252E4" w:rsidRPr="00BD14CD" w:rsidRDefault="00B252E4" w:rsidP="00B252E4">
            <w:pPr>
              <w:spacing w:line="240" w:lineRule="auto"/>
              <w:rPr>
                <w:rFonts w:eastAsia="Calibri" w:cs="Times New Roman"/>
                <w:sz w:val="20"/>
                <w:szCs w:val="20"/>
              </w:rPr>
            </w:pPr>
          </w:p>
        </w:tc>
        <w:tc>
          <w:tcPr>
            <w:tcW w:w="1559" w:type="dxa"/>
            <w:vMerge/>
          </w:tcPr>
          <w:p w14:paraId="096BA626" w14:textId="77777777" w:rsidR="00B252E4" w:rsidRPr="00BD14CD" w:rsidRDefault="00B252E4" w:rsidP="00B252E4">
            <w:pPr>
              <w:spacing w:line="240" w:lineRule="auto"/>
              <w:rPr>
                <w:rFonts w:eastAsia="Calibri" w:cs="Times New Roman"/>
                <w:sz w:val="20"/>
                <w:szCs w:val="20"/>
              </w:rPr>
            </w:pPr>
          </w:p>
        </w:tc>
        <w:tc>
          <w:tcPr>
            <w:tcW w:w="1701" w:type="dxa"/>
          </w:tcPr>
          <w:p w14:paraId="01D1C5B8"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679AC303" w14:textId="2A6DFB1F"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3738398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030324E5"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4F1A9A7A" w14:textId="77777777" w:rsidTr="00BD14CD">
        <w:tc>
          <w:tcPr>
            <w:tcW w:w="1668" w:type="dxa"/>
            <w:vMerge/>
          </w:tcPr>
          <w:p w14:paraId="7FCD1614" w14:textId="77777777" w:rsidR="00B252E4" w:rsidRPr="00BD14CD" w:rsidRDefault="00B252E4" w:rsidP="00B252E4">
            <w:pPr>
              <w:spacing w:line="240" w:lineRule="auto"/>
              <w:rPr>
                <w:rFonts w:eastAsia="Calibri" w:cs="Times New Roman"/>
                <w:sz w:val="20"/>
                <w:szCs w:val="20"/>
              </w:rPr>
            </w:pPr>
          </w:p>
        </w:tc>
        <w:tc>
          <w:tcPr>
            <w:tcW w:w="1559" w:type="dxa"/>
            <w:vMerge/>
          </w:tcPr>
          <w:p w14:paraId="79D4F586" w14:textId="77777777" w:rsidR="00B252E4" w:rsidRPr="00BD14CD" w:rsidRDefault="00B252E4" w:rsidP="00B252E4">
            <w:pPr>
              <w:spacing w:line="240" w:lineRule="auto"/>
              <w:rPr>
                <w:rFonts w:eastAsia="Calibri" w:cs="Times New Roman"/>
                <w:sz w:val="20"/>
                <w:szCs w:val="20"/>
              </w:rPr>
            </w:pPr>
          </w:p>
        </w:tc>
        <w:tc>
          <w:tcPr>
            <w:tcW w:w="1701" w:type="dxa"/>
          </w:tcPr>
          <w:p w14:paraId="79DC040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08942FA2"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 xml:space="preserve">2% SDS + 1% AcOH </w:t>
            </w:r>
          </w:p>
        </w:tc>
        <w:tc>
          <w:tcPr>
            <w:tcW w:w="1439" w:type="dxa"/>
          </w:tcPr>
          <w:p w14:paraId="37F4034A"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0%</w:t>
            </w:r>
          </w:p>
        </w:tc>
        <w:tc>
          <w:tcPr>
            <w:tcW w:w="1949" w:type="dxa"/>
          </w:tcPr>
          <w:p w14:paraId="272EF285"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68C1AEFC" w14:textId="77777777" w:rsidTr="00BD14CD">
        <w:tc>
          <w:tcPr>
            <w:tcW w:w="1668" w:type="dxa"/>
            <w:vMerge/>
          </w:tcPr>
          <w:p w14:paraId="4AA52312" w14:textId="77777777" w:rsidR="00B252E4" w:rsidRPr="00BD14CD" w:rsidRDefault="00B252E4" w:rsidP="00B252E4">
            <w:pPr>
              <w:spacing w:line="240" w:lineRule="auto"/>
              <w:rPr>
                <w:rFonts w:eastAsia="Calibri" w:cs="Times New Roman"/>
                <w:sz w:val="20"/>
                <w:szCs w:val="20"/>
              </w:rPr>
            </w:pPr>
          </w:p>
        </w:tc>
        <w:tc>
          <w:tcPr>
            <w:tcW w:w="1559" w:type="dxa"/>
            <w:vMerge/>
          </w:tcPr>
          <w:p w14:paraId="3C3F40D5" w14:textId="77777777" w:rsidR="00B252E4" w:rsidRPr="00BD14CD" w:rsidRDefault="00B252E4" w:rsidP="00B252E4">
            <w:pPr>
              <w:spacing w:line="240" w:lineRule="auto"/>
              <w:rPr>
                <w:rFonts w:eastAsia="Calibri" w:cs="Times New Roman"/>
                <w:sz w:val="20"/>
                <w:szCs w:val="20"/>
              </w:rPr>
            </w:pPr>
          </w:p>
        </w:tc>
        <w:tc>
          <w:tcPr>
            <w:tcW w:w="1701" w:type="dxa"/>
          </w:tcPr>
          <w:p w14:paraId="61A6F64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5D4400C0"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2% SDS + 1% AcOH </w:t>
            </w:r>
          </w:p>
        </w:tc>
        <w:tc>
          <w:tcPr>
            <w:tcW w:w="1439" w:type="dxa"/>
          </w:tcPr>
          <w:p w14:paraId="14DDAD9B"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0%</w:t>
            </w:r>
          </w:p>
        </w:tc>
        <w:tc>
          <w:tcPr>
            <w:tcW w:w="1949" w:type="dxa"/>
          </w:tcPr>
          <w:p w14:paraId="1759BD59"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5265262E" w14:textId="77777777" w:rsidTr="00BD14CD">
        <w:tc>
          <w:tcPr>
            <w:tcW w:w="1668" w:type="dxa"/>
            <w:vMerge/>
          </w:tcPr>
          <w:p w14:paraId="6962E777" w14:textId="77777777" w:rsidR="00B252E4" w:rsidRPr="00BD14CD" w:rsidRDefault="00B252E4" w:rsidP="00B252E4">
            <w:pPr>
              <w:spacing w:line="240" w:lineRule="auto"/>
              <w:rPr>
                <w:rFonts w:eastAsia="Calibri" w:cs="Times New Roman"/>
                <w:sz w:val="20"/>
                <w:szCs w:val="20"/>
              </w:rPr>
            </w:pPr>
          </w:p>
        </w:tc>
        <w:tc>
          <w:tcPr>
            <w:tcW w:w="1559" w:type="dxa"/>
            <w:vMerge/>
          </w:tcPr>
          <w:p w14:paraId="1256ABFB" w14:textId="77777777" w:rsidR="00B252E4" w:rsidRPr="00BD14CD" w:rsidRDefault="00B252E4" w:rsidP="00B252E4">
            <w:pPr>
              <w:spacing w:line="240" w:lineRule="auto"/>
              <w:rPr>
                <w:rFonts w:eastAsia="Calibri" w:cs="Times New Roman"/>
                <w:sz w:val="20"/>
                <w:szCs w:val="20"/>
              </w:rPr>
            </w:pPr>
          </w:p>
        </w:tc>
        <w:tc>
          <w:tcPr>
            <w:tcW w:w="1701" w:type="dxa"/>
          </w:tcPr>
          <w:p w14:paraId="2210774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6CBDAADF"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2% SDS + 1% AcOH </w:t>
            </w:r>
          </w:p>
        </w:tc>
        <w:tc>
          <w:tcPr>
            <w:tcW w:w="1439" w:type="dxa"/>
          </w:tcPr>
          <w:p w14:paraId="43512E6A"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0%</w:t>
            </w:r>
          </w:p>
        </w:tc>
        <w:tc>
          <w:tcPr>
            <w:tcW w:w="1949" w:type="dxa"/>
          </w:tcPr>
          <w:p w14:paraId="1C6E66A9"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2F539DCF" w14:textId="77777777" w:rsidTr="00BD14CD">
        <w:tc>
          <w:tcPr>
            <w:tcW w:w="1668" w:type="dxa"/>
            <w:vMerge/>
          </w:tcPr>
          <w:p w14:paraId="0D7682D0" w14:textId="77777777" w:rsidR="00B252E4" w:rsidRPr="00BD14CD" w:rsidRDefault="00B252E4" w:rsidP="00B252E4">
            <w:pPr>
              <w:spacing w:line="240" w:lineRule="auto"/>
              <w:rPr>
                <w:rFonts w:eastAsia="Calibri" w:cs="Times New Roman"/>
                <w:sz w:val="20"/>
                <w:szCs w:val="20"/>
              </w:rPr>
            </w:pPr>
          </w:p>
        </w:tc>
        <w:tc>
          <w:tcPr>
            <w:tcW w:w="1559" w:type="dxa"/>
            <w:vMerge/>
          </w:tcPr>
          <w:p w14:paraId="16851FB6" w14:textId="77777777" w:rsidR="00B252E4" w:rsidRPr="00BD14CD" w:rsidRDefault="00B252E4" w:rsidP="00B252E4">
            <w:pPr>
              <w:spacing w:line="240" w:lineRule="auto"/>
              <w:rPr>
                <w:rFonts w:eastAsia="Calibri" w:cs="Times New Roman"/>
                <w:sz w:val="20"/>
                <w:szCs w:val="20"/>
              </w:rPr>
            </w:pPr>
          </w:p>
        </w:tc>
        <w:tc>
          <w:tcPr>
            <w:tcW w:w="1701" w:type="dxa"/>
          </w:tcPr>
          <w:p w14:paraId="0C1E3AC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7EC267FE" w14:textId="4EE46661"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031C6AD9"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87%</w:t>
            </w:r>
          </w:p>
        </w:tc>
        <w:tc>
          <w:tcPr>
            <w:tcW w:w="1949" w:type="dxa"/>
          </w:tcPr>
          <w:p w14:paraId="743BA5C6"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96 ±0.6</w:t>
            </w:r>
          </w:p>
        </w:tc>
      </w:tr>
      <w:tr w:rsidR="00B252E4" w:rsidRPr="00BD14CD" w14:paraId="44CDDE94" w14:textId="77777777" w:rsidTr="00BD14CD">
        <w:tc>
          <w:tcPr>
            <w:tcW w:w="1668" w:type="dxa"/>
            <w:vMerge/>
          </w:tcPr>
          <w:p w14:paraId="35D9E8F0" w14:textId="77777777" w:rsidR="00B252E4" w:rsidRPr="00BD14CD" w:rsidRDefault="00B252E4" w:rsidP="00B252E4">
            <w:pPr>
              <w:spacing w:line="240" w:lineRule="auto"/>
              <w:rPr>
                <w:rFonts w:eastAsia="Calibri" w:cs="Times New Roman"/>
                <w:sz w:val="20"/>
                <w:szCs w:val="20"/>
              </w:rPr>
            </w:pPr>
          </w:p>
        </w:tc>
        <w:tc>
          <w:tcPr>
            <w:tcW w:w="1559" w:type="dxa"/>
            <w:vMerge/>
          </w:tcPr>
          <w:p w14:paraId="03CA17C2" w14:textId="77777777" w:rsidR="00B252E4" w:rsidRPr="00BD14CD" w:rsidRDefault="00B252E4" w:rsidP="00B252E4">
            <w:pPr>
              <w:spacing w:line="240" w:lineRule="auto"/>
              <w:rPr>
                <w:rFonts w:eastAsia="Calibri" w:cs="Times New Roman"/>
                <w:sz w:val="20"/>
                <w:szCs w:val="20"/>
              </w:rPr>
            </w:pPr>
          </w:p>
        </w:tc>
        <w:tc>
          <w:tcPr>
            <w:tcW w:w="1701" w:type="dxa"/>
          </w:tcPr>
          <w:p w14:paraId="7AFE1569"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0088563C" w14:textId="2B388383"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0960DD4B"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55%</w:t>
            </w:r>
          </w:p>
        </w:tc>
        <w:tc>
          <w:tcPr>
            <w:tcW w:w="1949" w:type="dxa"/>
          </w:tcPr>
          <w:p w14:paraId="64164124"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262 ±10</w:t>
            </w:r>
          </w:p>
        </w:tc>
      </w:tr>
      <w:tr w:rsidR="00B252E4" w:rsidRPr="00BD14CD" w14:paraId="0467979C" w14:textId="77777777" w:rsidTr="00BD14CD">
        <w:tc>
          <w:tcPr>
            <w:tcW w:w="1668" w:type="dxa"/>
            <w:vMerge/>
          </w:tcPr>
          <w:p w14:paraId="28E0A37E" w14:textId="77777777" w:rsidR="00B252E4" w:rsidRPr="00BD14CD" w:rsidRDefault="00B252E4" w:rsidP="00B252E4">
            <w:pPr>
              <w:spacing w:line="240" w:lineRule="auto"/>
              <w:rPr>
                <w:rFonts w:eastAsia="Calibri" w:cs="Times New Roman"/>
                <w:sz w:val="20"/>
                <w:szCs w:val="20"/>
              </w:rPr>
            </w:pPr>
          </w:p>
        </w:tc>
        <w:tc>
          <w:tcPr>
            <w:tcW w:w="1559" w:type="dxa"/>
            <w:vMerge/>
          </w:tcPr>
          <w:p w14:paraId="4CECD670" w14:textId="77777777" w:rsidR="00B252E4" w:rsidRPr="00BD14CD" w:rsidRDefault="00B252E4" w:rsidP="00B252E4">
            <w:pPr>
              <w:spacing w:line="240" w:lineRule="auto"/>
              <w:rPr>
                <w:rFonts w:eastAsia="Calibri" w:cs="Times New Roman"/>
                <w:sz w:val="20"/>
                <w:szCs w:val="20"/>
              </w:rPr>
            </w:pPr>
          </w:p>
        </w:tc>
        <w:tc>
          <w:tcPr>
            <w:tcW w:w="1701" w:type="dxa"/>
          </w:tcPr>
          <w:p w14:paraId="34EB7356"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47B46C41" w14:textId="3219FE20"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6FA9D46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9%</w:t>
            </w:r>
          </w:p>
        </w:tc>
        <w:tc>
          <w:tcPr>
            <w:tcW w:w="1949" w:type="dxa"/>
          </w:tcPr>
          <w:p w14:paraId="61473921"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27CC836C" w14:textId="77777777" w:rsidTr="00BD14CD">
        <w:tc>
          <w:tcPr>
            <w:tcW w:w="1668" w:type="dxa"/>
            <w:vMerge/>
          </w:tcPr>
          <w:p w14:paraId="152FEF60" w14:textId="77777777" w:rsidR="00B252E4" w:rsidRPr="00BD14CD" w:rsidRDefault="00B252E4" w:rsidP="00B252E4">
            <w:pPr>
              <w:spacing w:line="240" w:lineRule="auto"/>
              <w:rPr>
                <w:rFonts w:eastAsia="Calibri" w:cs="Times New Roman"/>
                <w:sz w:val="20"/>
                <w:szCs w:val="20"/>
              </w:rPr>
            </w:pPr>
          </w:p>
        </w:tc>
        <w:tc>
          <w:tcPr>
            <w:tcW w:w="1559" w:type="dxa"/>
            <w:vMerge/>
          </w:tcPr>
          <w:p w14:paraId="6AFEF616" w14:textId="77777777" w:rsidR="00B252E4" w:rsidRPr="00BD14CD" w:rsidRDefault="00B252E4" w:rsidP="00B252E4">
            <w:pPr>
              <w:spacing w:line="240" w:lineRule="auto"/>
              <w:rPr>
                <w:rFonts w:eastAsia="Calibri" w:cs="Times New Roman"/>
                <w:sz w:val="20"/>
                <w:szCs w:val="20"/>
              </w:rPr>
            </w:pPr>
          </w:p>
        </w:tc>
        <w:tc>
          <w:tcPr>
            <w:tcW w:w="1701" w:type="dxa"/>
          </w:tcPr>
          <w:p w14:paraId="52339D62"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212987F4"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 xml:space="preserve">4% SDS + 1% AcOH </w:t>
            </w:r>
          </w:p>
        </w:tc>
        <w:tc>
          <w:tcPr>
            <w:tcW w:w="1439" w:type="dxa"/>
          </w:tcPr>
          <w:p w14:paraId="51515CD4"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39630BE8"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45AFDC40" w14:textId="77777777" w:rsidTr="00BD14CD">
        <w:tc>
          <w:tcPr>
            <w:tcW w:w="1668" w:type="dxa"/>
            <w:vMerge/>
          </w:tcPr>
          <w:p w14:paraId="6BDA8C4A" w14:textId="77777777" w:rsidR="00B252E4" w:rsidRPr="00BD14CD" w:rsidRDefault="00B252E4" w:rsidP="00B252E4">
            <w:pPr>
              <w:spacing w:line="240" w:lineRule="auto"/>
              <w:rPr>
                <w:rFonts w:eastAsia="Calibri" w:cs="Times New Roman"/>
                <w:sz w:val="20"/>
                <w:szCs w:val="20"/>
              </w:rPr>
            </w:pPr>
          </w:p>
        </w:tc>
        <w:tc>
          <w:tcPr>
            <w:tcW w:w="1559" w:type="dxa"/>
            <w:vMerge/>
          </w:tcPr>
          <w:p w14:paraId="3A44ECB8" w14:textId="77777777" w:rsidR="00B252E4" w:rsidRPr="00BD14CD" w:rsidRDefault="00B252E4" w:rsidP="00B252E4">
            <w:pPr>
              <w:spacing w:line="240" w:lineRule="auto"/>
              <w:rPr>
                <w:rFonts w:eastAsia="Calibri" w:cs="Times New Roman"/>
                <w:sz w:val="20"/>
                <w:szCs w:val="20"/>
              </w:rPr>
            </w:pPr>
          </w:p>
        </w:tc>
        <w:tc>
          <w:tcPr>
            <w:tcW w:w="1701" w:type="dxa"/>
          </w:tcPr>
          <w:p w14:paraId="013A0FD0"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2B7D3E2F"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4% SDS + 1% AcOH </w:t>
            </w:r>
          </w:p>
        </w:tc>
        <w:tc>
          <w:tcPr>
            <w:tcW w:w="1439" w:type="dxa"/>
          </w:tcPr>
          <w:p w14:paraId="7EC75D9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w:t>
            </w:r>
          </w:p>
        </w:tc>
        <w:tc>
          <w:tcPr>
            <w:tcW w:w="1949" w:type="dxa"/>
          </w:tcPr>
          <w:p w14:paraId="415DC734"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70F3AC8D" w14:textId="77777777" w:rsidTr="00BD14CD">
        <w:tc>
          <w:tcPr>
            <w:tcW w:w="1668" w:type="dxa"/>
            <w:vMerge/>
          </w:tcPr>
          <w:p w14:paraId="06A14C3C" w14:textId="77777777" w:rsidR="00B252E4" w:rsidRPr="00BD14CD" w:rsidRDefault="00B252E4" w:rsidP="00B252E4">
            <w:pPr>
              <w:spacing w:line="240" w:lineRule="auto"/>
              <w:rPr>
                <w:rFonts w:eastAsia="Calibri" w:cs="Times New Roman"/>
                <w:sz w:val="20"/>
                <w:szCs w:val="20"/>
              </w:rPr>
            </w:pPr>
          </w:p>
        </w:tc>
        <w:tc>
          <w:tcPr>
            <w:tcW w:w="1559" w:type="dxa"/>
            <w:vMerge/>
          </w:tcPr>
          <w:p w14:paraId="74F64A1F" w14:textId="77777777" w:rsidR="00B252E4" w:rsidRPr="00BD14CD" w:rsidRDefault="00B252E4" w:rsidP="00B252E4">
            <w:pPr>
              <w:spacing w:line="240" w:lineRule="auto"/>
              <w:rPr>
                <w:rFonts w:eastAsia="Calibri" w:cs="Times New Roman"/>
                <w:sz w:val="20"/>
                <w:szCs w:val="20"/>
              </w:rPr>
            </w:pPr>
          </w:p>
        </w:tc>
        <w:tc>
          <w:tcPr>
            <w:tcW w:w="1701" w:type="dxa"/>
          </w:tcPr>
          <w:p w14:paraId="27868D89"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6FF0876D"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4% SDS + 1% AcOH </w:t>
            </w:r>
          </w:p>
        </w:tc>
        <w:tc>
          <w:tcPr>
            <w:tcW w:w="1439" w:type="dxa"/>
          </w:tcPr>
          <w:p w14:paraId="7988457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7BDD397F"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&gt;400</w:t>
            </w:r>
          </w:p>
        </w:tc>
      </w:tr>
      <w:tr w:rsidR="00B252E4" w:rsidRPr="00BD14CD" w14:paraId="7D72493D" w14:textId="77777777" w:rsidTr="00BD14CD">
        <w:tc>
          <w:tcPr>
            <w:tcW w:w="1668" w:type="dxa"/>
            <w:vMerge/>
          </w:tcPr>
          <w:p w14:paraId="4F2FA152" w14:textId="77777777" w:rsidR="00B252E4" w:rsidRPr="00BD14CD" w:rsidRDefault="00B252E4" w:rsidP="00B252E4">
            <w:pPr>
              <w:spacing w:line="240" w:lineRule="auto"/>
              <w:rPr>
                <w:rFonts w:eastAsia="Calibri" w:cs="Times New Roman"/>
                <w:sz w:val="20"/>
                <w:szCs w:val="20"/>
              </w:rPr>
            </w:pPr>
          </w:p>
        </w:tc>
        <w:tc>
          <w:tcPr>
            <w:tcW w:w="1559" w:type="dxa"/>
            <w:vMerge w:val="restart"/>
          </w:tcPr>
          <w:p w14:paraId="714CA99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sCJD</w:t>
            </w:r>
          </w:p>
          <w:p w14:paraId="251402A5"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Tg23372</w:t>
            </w:r>
          </w:p>
        </w:tc>
        <w:tc>
          <w:tcPr>
            <w:tcW w:w="1701" w:type="dxa"/>
          </w:tcPr>
          <w:p w14:paraId="0BB62B51"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66A87ED1" w14:textId="112AA263"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6916013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N=10, 22%</w:t>
            </w:r>
          </w:p>
        </w:tc>
        <w:tc>
          <w:tcPr>
            <w:tcW w:w="1949" w:type="dxa"/>
          </w:tcPr>
          <w:p w14:paraId="0C38E33D"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4B78D133" w14:textId="77777777" w:rsidTr="00BD14CD">
        <w:tc>
          <w:tcPr>
            <w:tcW w:w="1668" w:type="dxa"/>
            <w:vMerge/>
          </w:tcPr>
          <w:p w14:paraId="24709E33" w14:textId="77777777" w:rsidR="00B252E4" w:rsidRPr="00BD14CD" w:rsidRDefault="00B252E4" w:rsidP="00B252E4">
            <w:pPr>
              <w:spacing w:line="240" w:lineRule="auto"/>
              <w:rPr>
                <w:rFonts w:eastAsia="Calibri" w:cs="Times New Roman"/>
                <w:sz w:val="20"/>
                <w:szCs w:val="20"/>
              </w:rPr>
            </w:pPr>
          </w:p>
        </w:tc>
        <w:tc>
          <w:tcPr>
            <w:tcW w:w="1559" w:type="dxa"/>
            <w:vMerge/>
          </w:tcPr>
          <w:p w14:paraId="0F71D9E1" w14:textId="77777777" w:rsidR="00B252E4" w:rsidRPr="00BD14CD" w:rsidRDefault="00B252E4" w:rsidP="00B252E4">
            <w:pPr>
              <w:spacing w:line="240" w:lineRule="auto"/>
              <w:rPr>
                <w:rFonts w:eastAsia="Calibri" w:cs="Times New Roman"/>
                <w:sz w:val="20"/>
                <w:szCs w:val="20"/>
              </w:rPr>
            </w:pPr>
          </w:p>
        </w:tc>
        <w:tc>
          <w:tcPr>
            <w:tcW w:w="1701" w:type="dxa"/>
          </w:tcPr>
          <w:p w14:paraId="1DC04DE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757A57FC" w14:textId="2BA47739"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718E450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79FBC9C7"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530BBD2D" w14:textId="77777777" w:rsidTr="00BD14CD">
        <w:tc>
          <w:tcPr>
            <w:tcW w:w="1668" w:type="dxa"/>
            <w:vMerge/>
          </w:tcPr>
          <w:p w14:paraId="74FE7FBE" w14:textId="77777777" w:rsidR="00B252E4" w:rsidRPr="00BD14CD" w:rsidRDefault="00B252E4" w:rsidP="00B252E4">
            <w:pPr>
              <w:spacing w:line="240" w:lineRule="auto"/>
              <w:rPr>
                <w:rFonts w:eastAsia="Calibri" w:cs="Times New Roman"/>
                <w:sz w:val="20"/>
                <w:szCs w:val="20"/>
              </w:rPr>
            </w:pPr>
          </w:p>
        </w:tc>
        <w:tc>
          <w:tcPr>
            <w:tcW w:w="1559" w:type="dxa"/>
            <w:vMerge/>
          </w:tcPr>
          <w:p w14:paraId="6277A3A4" w14:textId="77777777" w:rsidR="00B252E4" w:rsidRPr="00BD14CD" w:rsidRDefault="00B252E4" w:rsidP="00B252E4">
            <w:pPr>
              <w:spacing w:line="240" w:lineRule="auto"/>
              <w:rPr>
                <w:rFonts w:eastAsia="Calibri" w:cs="Times New Roman"/>
                <w:sz w:val="20"/>
                <w:szCs w:val="20"/>
              </w:rPr>
            </w:pPr>
          </w:p>
        </w:tc>
        <w:tc>
          <w:tcPr>
            <w:tcW w:w="1701" w:type="dxa"/>
          </w:tcPr>
          <w:p w14:paraId="22CDC217"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4A9BBB54" w14:textId="5F7E9594"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536E7096"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73%</w:t>
            </w:r>
          </w:p>
        </w:tc>
        <w:tc>
          <w:tcPr>
            <w:tcW w:w="1949" w:type="dxa"/>
          </w:tcPr>
          <w:p w14:paraId="4EE219FC"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414 ±15</w:t>
            </w:r>
          </w:p>
        </w:tc>
      </w:tr>
      <w:tr w:rsidR="00B252E4" w:rsidRPr="00BD14CD" w14:paraId="0B43A188" w14:textId="77777777" w:rsidTr="00BD14CD">
        <w:tc>
          <w:tcPr>
            <w:tcW w:w="1668" w:type="dxa"/>
            <w:vMerge/>
          </w:tcPr>
          <w:p w14:paraId="04653F05" w14:textId="77777777" w:rsidR="00B252E4" w:rsidRPr="00BD14CD" w:rsidRDefault="00B252E4" w:rsidP="00B252E4">
            <w:pPr>
              <w:spacing w:line="240" w:lineRule="auto"/>
              <w:rPr>
                <w:rFonts w:eastAsia="Calibri" w:cs="Times New Roman"/>
                <w:sz w:val="20"/>
                <w:szCs w:val="20"/>
              </w:rPr>
            </w:pPr>
          </w:p>
        </w:tc>
        <w:tc>
          <w:tcPr>
            <w:tcW w:w="1559" w:type="dxa"/>
            <w:vMerge/>
          </w:tcPr>
          <w:p w14:paraId="3B2F43DC" w14:textId="77777777" w:rsidR="00B252E4" w:rsidRPr="00BD14CD" w:rsidRDefault="00B252E4" w:rsidP="00B252E4">
            <w:pPr>
              <w:spacing w:line="240" w:lineRule="auto"/>
              <w:rPr>
                <w:rFonts w:eastAsia="Calibri" w:cs="Times New Roman"/>
                <w:sz w:val="20"/>
                <w:szCs w:val="20"/>
              </w:rPr>
            </w:pPr>
          </w:p>
        </w:tc>
        <w:tc>
          <w:tcPr>
            <w:tcW w:w="1701" w:type="dxa"/>
          </w:tcPr>
          <w:p w14:paraId="1F4B2CBC"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21FFEBA9"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 xml:space="preserve">2% SDS + 1% AcOH </w:t>
            </w:r>
          </w:p>
        </w:tc>
        <w:tc>
          <w:tcPr>
            <w:tcW w:w="1439" w:type="dxa"/>
          </w:tcPr>
          <w:p w14:paraId="7200712F"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0%</w:t>
            </w:r>
          </w:p>
        </w:tc>
        <w:tc>
          <w:tcPr>
            <w:tcW w:w="1949" w:type="dxa"/>
          </w:tcPr>
          <w:p w14:paraId="1602FA29"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7556C345" w14:textId="77777777" w:rsidTr="00BD14CD">
        <w:tc>
          <w:tcPr>
            <w:tcW w:w="1668" w:type="dxa"/>
            <w:vMerge/>
          </w:tcPr>
          <w:p w14:paraId="3C989F72" w14:textId="77777777" w:rsidR="00B252E4" w:rsidRPr="00BD14CD" w:rsidRDefault="00B252E4" w:rsidP="00B252E4">
            <w:pPr>
              <w:spacing w:line="240" w:lineRule="auto"/>
              <w:rPr>
                <w:rFonts w:eastAsia="Calibri" w:cs="Times New Roman"/>
                <w:sz w:val="20"/>
                <w:szCs w:val="20"/>
              </w:rPr>
            </w:pPr>
          </w:p>
        </w:tc>
        <w:tc>
          <w:tcPr>
            <w:tcW w:w="1559" w:type="dxa"/>
            <w:vMerge/>
          </w:tcPr>
          <w:p w14:paraId="4629A55E" w14:textId="77777777" w:rsidR="00B252E4" w:rsidRPr="00BD14CD" w:rsidRDefault="00B252E4" w:rsidP="00B252E4">
            <w:pPr>
              <w:spacing w:line="240" w:lineRule="auto"/>
              <w:rPr>
                <w:rFonts w:eastAsia="Calibri" w:cs="Times New Roman"/>
                <w:sz w:val="20"/>
                <w:szCs w:val="20"/>
              </w:rPr>
            </w:pPr>
          </w:p>
        </w:tc>
        <w:tc>
          <w:tcPr>
            <w:tcW w:w="1701" w:type="dxa"/>
          </w:tcPr>
          <w:p w14:paraId="46B9CF87"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615B59B7"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2% SDS + 1% AcOH </w:t>
            </w:r>
          </w:p>
        </w:tc>
        <w:tc>
          <w:tcPr>
            <w:tcW w:w="1439" w:type="dxa"/>
          </w:tcPr>
          <w:p w14:paraId="088D9BFF"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0%</w:t>
            </w:r>
          </w:p>
        </w:tc>
        <w:tc>
          <w:tcPr>
            <w:tcW w:w="1949" w:type="dxa"/>
          </w:tcPr>
          <w:p w14:paraId="3BA6494C"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66A24EE6" w14:textId="77777777" w:rsidTr="00BD14CD">
        <w:tc>
          <w:tcPr>
            <w:tcW w:w="1668" w:type="dxa"/>
            <w:vMerge/>
          </w:tcPr>
          <w:p w14:paraId="1C8E2607" w14:textId="77777777" w:rsidR="00B252E4" w:rsidRPr="00BD14CD" w:rsidRDefault="00B252E4" w:rsidP="00B252E4">
            <w:pPr>
              <w:spacing w:line="240" w:lineRule="auto"/>
              <w:rPr>
                <w:rFonts w:eastAsia="Calibri" w:cs="Times New Roman"/>
                <w:sz w:val="20"/>
                <w:szCs w:val="20"/>
              </w:rPr>
            </w:pPr>
          </w:p>
        </w:tc>
        <w:tc>
          <w:tcPr>
            <w:tcW w:w="1559" w:type="dxa"/>
            <w:vMerge/>
          </w:tcPr>
          <w:p w14:paraId="1455AD0B" w14:textId="77777777" w:rsidR="00B252E4" w:rsidRPr="00BD14CD" w:rsidRDefault="00B252E4" w:rsidP="00B252E4">
            <w:pPr>
              <w:spacing w:line="240" w:lineRule="auto"/>
              <w:rPr>
                <w:rFonts w:eastAsia="Calibri" w:cs="Times New Roman"/>
                <w:sz w:val="20"/>
                <w:szCs w:val="20"/>
              </w:rPr>
            </w:pPr>
          </w:p>
        </w:tc>
        <w:tc>
          <w:tcPr>
            <w:tcW w:w="1701" w:type="dxa"/>
          </w:tcPr>
          <w:p w14:paraId="35DC31F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121</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5B74FE88"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2% SDS + 1% AcOH </w:t>
            </w:r>
          </w:p>
        </w:tc>
        <w:tc>
          <w:tcPr>
            <w:tcW w:w="1439" w:type="dxa"/>
          </w:tcPr>
          <w:p w14:paraId="32559DA5"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0%</w:t>
            </w:r>
          </w:p>
        </w:tc>
        <w:tc>
          <w:tcPr>
            <w:tcW w:w="1949" w:type="dxa"/>
          </w:tcPr>
          <w:p w14:paraId="198D8E8C"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2E3A3F5C" w14:textId="77777777" w:rsidTr="00BD14CD">
        <w:tc>
          <w:tcPr>
            <w:tcW w:w="1668" w:type="dxa"/>
            <w:vMerge/>
          </w:tcPr>
          <w:p w14:paraId="7BB9B6AD" w14:textId="77777777" w:rsidR="00B252E4" w:rsidRPr="00BD14CD" w:rsidRDefault="00B252E4" w:rsidP="00B252E4">
            <w:pPr>
              <w:spacing w:line="240" w:lineRule="auto"/>
              <w:rPr>
                <w:rFonts w:eastAsia="Calibri" w:cs="Times New Roman"/>
                <w:sz w:val="20"/>
                <w:szCs w:val="20"/>
              </w:rPr>
            </w:pPr>
          </w:p>
        </w:tc>
        <w:tc>
          <w:tcPr>
            <w:tcW w:w="1559" w:type="dxa"/>
            <w:vMerge/>
          </w:tcPr>
          <w:p w14:paraId="1EA204FC" w14:textId="77777777" w:rsidR="00B252E4" w:rsidRPr="00BD14CD" w:rsidRDefault="00B252E4" w:rsidP="00B252E4">
            <w:pPr>
              <w:spacing w:line="240" w:lineRule="auto"/>
              <w:rPr>
                <w:rFonts w:eastAsia="Calibri" w:cs="Times New Roman"/>
                <w:sz w:val="20"/>
                <w:szCs w:val="20"/>
              </w:rPr>
            </w:pPr>
          </w:p>
        </w:tc>
        <w:tc>
          <w:tcPr>
            <w:tcW w:w="1701" w:type="dxa"/>
          </w:tcPr>
          <w:p w14:paraId="48A5EE05"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20A911AE" w14:textId="22C00893"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11180E37"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73%</w:t>
            </w:r>
          </w:p>
        </w:tc>
        <w:tc>
          <w:tcPr>
            <w:tcW w:w="1949" w:type="dxa"/>
          </w:tcPr>
          <w:p w14:paraId="62E60AD4"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218 ±4.1</w:t>
            </w:r>
          </w:p>
        </w:tc>
      </w:tr>
      <w:tr w:rsidR="00B252E4" w:rsidRPr="00BD14CD" w14:paraId="420191FC" w14:textId="77777777" w:rsidTr="00BD14CD">
        <w:trPr>
          <w:trHeight w:val="70"/>
        </w:trPr>
        <w:tc>
          <w:tcPr>
            <w:tcW w:w="1668" w:type="dxa"/>
            <w:vMerge/>
          </w:tcPr>
          <w:p w14:paraId="0B9D65D2" w14:textId="77777777" w:rsidR="00B252E4" w:rsidRPr="00BD14CD" w:rsidRDefault="00B252E4" w:rsidP="00B252E4">
            <w:pPr>
              <w:spacing w:line="240" w:lineRule="auto"/>
              <w:rPr>
                <w:rFonts w:eastAsia="Calibri" w:cs="Times New Roman"/>
                <w:sz w:val="20"/>
                <w:szCs w:val="20"/>
              </w:rPr>
            </w:pPr>
          </w:p>
        </w:tc>
        <w:tc>
          <w:tcPr>
            <w:tcW w:w="1559" w:type="dxa"/>
            <w:vMerge/>
          </w:tcPr>
          <w:p w14:paraId="3057E203" w14:textId="77777777" w:rsidR="00B252E4" w:rsidRPr="00BD14CD" w:rsidRDefault="00B252E4" w:rsidP="00B252E4">
            <w:pPr>
              <w:spacing w:line="240" w:lineRule="auto"/>
              <w:rPr>
                <w:rFonts w:eastAsia="Calibri" w:cs="Times New Roman"/>
                <w:sz w:val="20"/>
                <w:szCs w:val="20"/>
              </w:rPr>
            </w:pPr>
          </w:p>
        </w:tc>
        <w:tc>
          <w:tcPr>
            <w:tcW w:w="1701" w:type="dxa"/>
          </w:tcPr>
          <w:p w14:paraId="368653D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5A4A8B1C" w14:textId="3C15C38C"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78C7999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63%</w:t>
            </w:r>
          </w:p>
        </w:tc>
        <w:tc>
          <w:tcPr>
            <w:tcW w:w="1949" w:type="dxa"/>
          </w:tcPr>
          <w:p w14:paraId="1C5D4A8C"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242 ±2.8</w:t>
            </w:r>
          </w:p>
        </w:tc>
      </w:tr>
      <w:tr w:rsidR="00B252E4" w:rsidRPr="00BD14CD" w14:paraId="23F46AC5" w14:textId="77777777" w:rsidTr="00BD14CD">
        <w:tc>
          <w:tcPr>
            <w:tcW w:w="1668" w:type="dxa"/>
            <w:vMerge/>
          </w:tcPr>
          <w:p w14:paraId="514A4211" w14:textId="77777777" w:rsidR="00B252E4" w:rsidRPr="00BD14CD" w:rsidRDefault="00B252E4" w:rsidP="00B252E4">
            <w:pPr>
              <w:spacing w:line="240" w:lineRule="auto"/>
              <w:rPr>
                <w:rFonts w:eastAsia="Calibri" w:cs="Times New Roman"/>
                <w:sz w:val="20"/>
                <w:szCs w:val="20"/>
              </w:rPr>
            </w:pPr>
          </w:p>
        </w:tc>
        <w:tc>
          <w:tcPr>
            <w:tcW w:w="1559" w:type="dxa"/>
            <w:vMerge/>
          </w:tcPr>
          <w:p w14:paraId="28D577FE" w14:textId="77777777" w:rsidR="00B252E4" w:rsidRPr="00BD14CD" w:rsidRDefault="00B252E4" w:rsidP="00B252E4">
            <w:pPr>
              <w:spacing w:line="240" w:lineRule="auto"/>
              <w:rPr>
                <w:rFonts w:eastAsia="Calibri" w:cs="Times New Roman"/>
                <w:sz w:val="20"/>
                <w:szCs w:val="20"/>
              </w:rPr>
            </w:pPr>
          </w:p>
        </w:tc>
        <w:tc>
          <w:tcPr>
            <w:tcW w:w="1701" w:type="dxa"/>
          </w:tcPr>
          <w:p w14:paraId="206921BE"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7C404106" w14:textId="29FBAB07" w:rsidR="00B252E4" w:rsidRPr="00BD14CD" w:rsidRDefault="00B252E4" w:rsidP="00B252E4">
            <w:pPr>
              <w:spacing w:line="240" w:lineRule="auto"/>
              <w:rPr>
                <w:rFonts w:eastAsia="Calibri" w:cs="Times New Roman"/>
                <w:sz w:val="20"/>
                <w:szCs w:val="20"/>
              </w:rPr>
            </w:pPr>
            <w:r>
              <w:rPr>
                <w:rFonts w:cs="Times New Roman"/>
                <w:sz w:val="20"/>
                <w:szCs w:val="20"/>
              </w:rPr>
              <w:t>NR</w:t>
            </w:r>
          </w:p>
        </w:tc>
        <w:tc>
          <w:tcPr>
            <w:tcW w:w="1439" w:type="dxa"/>
          </w:tcPr>
          <w:p w14:paraId="480B7C90"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46%</w:t>
            </w:r>
          </w:p>
        </w:tc>
        <w:tc>
          <w:tcPr>
            <w:tcW w:w="1949" w:type="dxa"/>
          </w:tcPr>
          <w:p w14:paraId="7BB6840A"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76BF2B4F" w14:textId="77777777" w:rsidTr="00BD14CD">
        <w:tc>
          <w:tcPr>
            <w:tcW w:w="1668" w:type="dxa"/>
            <w:vMerge/>
          </w:tcPr>
          <w:p w14:paraId="72B0DA36" w14:textId="77777777" w:rsidR="00B252E4" w:rsidRPr="00BD14CD" w:rsidRDefault="00B252E4" w:rsidP="00B252E4">
            <w:pPr>
              <w:spacing w:line="240" w:lineRule="auto"/>
              <w:rPr>
                <w:rFonts w:eastAsia="Calibri" w:cs="Times New Roman"/>
                <w:sz w:val="20"/>
                <w:szCs w:val="20"/>
              </w:rPr>
            </w:pPr>
          </w:p>
        </w:tc>
        <w:tc>
          <w:tcPr>
            <w:tcW w:w="1559" w:type="dxa"/>
            <w:vMerge/>
          </w:tcPr>
          <w:p w14:paraId="05B030DF" w14:textId="77777777" w:rsidR="00B252E4" w:rsidRPr="00BD14CD" w:rsidRDefault="00B252E4" w:rsidP="00B252E4">
            <w:pPr>
              <w:spacing w:line="240" w:lineRule="auto"/>
              <w:rPr>
                <w:rFonts w:eastAsia="Calibri" w:cs="Times New Roman"/>
                <w:sz w:val="20"/>
                <w:szCs w:val="20"/>
              </w:rPr>
            </w:pPr>
          </w:p>
        </w:tc>
        <w:tc>
          <w:tcPr>
            <w:tcW w:w="1701" w:type="dxa"/>
          </w:tcPr>
          <w:p w14:paraId="534F9A2D"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- 15 mins</w:t>
            </w:r>
          </w:p>
        </w:tc>
        <w:tc>
          <w:tcPr>
            <w:tcW w:w="3969" w:type="dxa"/>
          </w:tcPr>
          <w:p w14:paraId="2FDA8EE9"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 xml:space="preserve">4% SDS + 1% AcOH </w:t>
            </w:r>
          </w:p>
        </w:tc>
        <w:tc>
          <w:tcPr>
            <w:tcW w:w="1439" w:type="dxa"/>
          </w:tcPr>
          <w:p w14:paraId="6EA93CF6"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0%</w:t>
            </w:r>
          </w:p>
        </w:tc>
        <w:tc>
          <w:tcPr>
            <w:tcW w:w="1949" w:type="dxa"/>
          </w:tcPr>
          <w:p w14:paraId="6D948BAC"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340F72F9" w14:textId="77777777" w:rsidTr="00BD14CD">
        <w:tc>
          <w:tcPr>
            <w:tcW w:w="1668" w:type="dxa"/>
            <w:vMerge/>
          </w:tcPr>
          <w:p w14:paraId="1EED7036" w14:textId="77777777" w:rsidR="00B252E4" w:rsidRPr="00BD14CD" w:rsidRDefault="00B252E4" w:rsidP="00B252E4">
            <w:pPr>
              <w:spacing w:line="240" w:lineRule="auto"/>
              <w:rPr>
                <w:rFonts w:eastAsia="Calibri" w:cs="Times New Roman"/>
                <w:sz w:val="20"/>
                <w:szCs w:val="20"/>
              </w:rPr>
            </w:pPr>
          </w:p>
        </w:tc>
        <w:tc>
          <w:tcPr>
            <w:tcW w:w="1559" w:type="dxa"/>
            <w:vMerge/>
          </w:tcPr>
          <w:p w14:paraId="15F67A7F" w14:textId="77777777" w:rsidR="00B252E4" w:rsidRPr="00BD14CD" w:rsidRDefault="00B252E4" w:rsidP="00B252E4">
            <w:pPr>
              <w:spacing w:line="240" w:lineRule="auto"/>
              <w:rPr>
                <w:rFonts w:eastAsia="Calibri" w:cs="Times New Roman"/>
                <w:sz w:val="20"/>
                <w:szCs w:val="20"/>
              </w:rPr>
            </w:pPr>
          </w:p>
        </w:tc>
        <w:tc>
          <w:tcPr>
            <w:tcW w:w="1701" w:type="dxa"/>
          </w:tcPr>
          <w:p w14:paraId="2BC61A6D"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- 30 mins</w:t>
            </w:r>
          </w:p>
        </w:tc>
        <w:tc>
          <w:tcPr>
            <w:tcW w:w="3969" w:type="dxa"/>
          </w:tcPr>
          <w:p w14:paraId="69F09B97"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4% SDS + 1% AcOH </w:t>
            </w:r>
          </w:p>
        </w:tc>
        <w:tc>
          <w:tcPr>
            <w:tcW w:w="1439" w:type="dxa"/>
          </w:tcPr>
          <w:p w14:paraId="4E8DE172"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0%</w:t>
            </w:r>
          </w:p>
        </w:tc>
        <w:tc>
          <w:tcPr>
            <w:tcW w:w="1949" w:type="dxa"/>
          </w:tcPr>
          <w:p w14:paraId="340EBA57"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r w:rsidR="00B252E4" w:rsidRPr="00BD14CD" w14:paraId="326DB34C" w14:textId="77777777" w:rsidTr="00BD14CD">
        <w:tc>
          <w:tcPr>
            <w:tcW w:w="1668" w:type="dxa"/>
            <w:vMerge/>
          </w:tcPr>
          <w:p w14:paraId="4FBA8C5A" w14:textId="77777777" w:rsidR="00B252E4" w:rsidRPr="00BD14CD" w:rsidRDefault="00B252E4" w:rsidP="00B252E4">
            <w:pPr>
              <w:spacing w:line="240" w:lineRule="auto"/>
              <w:rPr>
                <w:rFonts w:eastAsia="Calibri" w:cs="Times New Roman"/>
                <w:sz w:val="20"/>
                <w:szCs w:val="20"/>
              </w:rPr>
            </w:pPr>
          </w:p>
        </w:tc>
        <w:tc>
          <w:tcPr>
            <w:tcW w:w="1559" w:type="dxa"/>
            <w:vMerge/>
          </w:tcPr>
          <w:p w14:paraId="42A746FD" w14:textId="77777777" w:rsidR="00B252E4" w:rsidRPr="00BD14CD" w:rsidRDefault="00B252E4" w:rsidP="00B252E4">
            <w:pPr>
              <w:spacing w:line="240" w:lineRule="auto"/>
              <w:rPr>
                <w:rFonts w:eastAsia="Calibri" w:cs="Times New Roman"/>
                <w:sz w:val="20"/>
                <w:szCs w:val="20"/>
              </w:rPr>
            </w:pPr>
          </w:p>
        </w:tc>
        <w:tc>
          <w:tcPr>
            <w:tcW w:w="1701" w:type="dxa"/>
          </w:tcPr>
          <w:p w14:paraId="265B4023" w14:textId="77777777" w:rsidR="00B252E4" w:rsidRPr="00BD14CD" w:rsidRDefault="00B252E4" w:rsidP="00B252E4">
            <w:pPr>
              <w:spacing w:line="240" w:lineRule="auto"/>
              <w:rPr>
                <w:rFonts w:eastAsia="Calibri" w:cs="Times New Roman"/>
                <w:sz w:val="20"/>
                <w:szCs w:val="20"/>
              </w:rPr>
            </w:pPr>
            <w:r w:rsidRPr="00BD14CD">
              <w:rPr>
                <w:rFonts w:eastAsia="Calibri" w:cs="Times New Roman"/>
                <w:sz w:val="20"/>
                <w:szCs w:val="20"/>
              </w:rPr>
              <w:t>134</w:t>
            </w:r>
            <w:r w:rsidRPr="00BD14CD">
              <w:rPr>
                <w:rFonts w:eastAsia="Calibri" w:cs="Times New Roman"/>
                <w:sz w:val="20"/>
                <w:szCs w:val="20"/>
                <w:vertAlign w:val="superscript"/>
              </w:rPr>
              <w:t>°</w:t>
            </w:r>
            <w:r w:rsidRPr="00BD14CD">
              <w:rPr>
                <w:rFonts w:eastAsia="Calibri" w:cs="Times New Roman"/>
                <w:sz w:val="20"/>
                <w:szCs w:val="20"/>
              </w:rPr>
              <w:t>C - 120 mins</w:t>
            </w:r>
          </w:p>
        </w:tc>
        <w:tc>
          <w:tcPr>
            <w:tcW w:w="3969" w:type="dxa"/>
          </w:tcPr>
          <w:p w14:paraId="15B84B98"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 xml:space="preserve">4% SDS + 1% AcOH </w:t>
            </w:r>
          </w:p>
        </w:tc>
        <w:tc>
          <w:tcPr>
            <w:tcW w:w="1439" w:type="dxa"/>
          </w:tcPr>
          <w:p w14:paraId="5A38C7A1"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0%</w:t>
            </w:r>
          </w:p>
        </w:tc>
        <w:tc>
          <w:tcPr>
            <w:tcW w:w="1949" w:type="dxa"/>
          </w:tcPr>
          <w:p w14:paraId="4F4F5B48" w14:textId="77777777" w:rsidR="00B252E4" w:rsidRPr="00BD14CD" w:rsidRDefault="00B252E4" w:rsidP="00B252E4">
            <w:pPr>
              <w:spacing w:line="240" w:lineRule="auto"/>
              <w:rPr>
                <w:rFonts w:ascii="Calibri" w:eastAsia="Calibri" w:hAnsi="Calibri" w:cs="Times New Roman"/>
              </w:rPr>
            </w:pPr>
            <w:r w:rsidRPr="00BD14CD">
              <w:rPr>
                <w:rFonts w:eastAsia="Calibri" w:cs="Times New Roman"/>
                <w:sz w:val="20"/>
                <w:szCs w:val="20"/>
              </w:rPr>
              <w:t>&gt;500</w:t>
            </w:r>
          </w:p>
        </w:tc>
      </w:tr>
    </w:tbl>
    <w:p w14:paraId="358431CB" w14:textId="6EC2ECE0" w:rsidR="00BD14CD" w:rsidRPr="00BD14CD" w:rsidRDefault="00BD14CD" w:rsidP="00A27868">
      <w:pPr>
        <w:jc w:val="both"/>
        <w:rPr>
          <w:rFonts w:eastAsia="Calibri" w:cs="Times New Roman"/>
          <w:sz w:val="18"/>
          <w:szCs w:val="18"/>
        </w:rPr>
      </w:pPr>
      <w:r w:rsidRPr="00BD14CD">
        <w:rPr>
          <w:rFonts w:eastAsia="Calibri" w:cs="Times New Roman"/>
          <w:sz w:val="18"/>
          <w:szCs w:val="18"/>
        </w:rPr>
        <w:t xml:space="preserve">BH: Brain homogenate; RML: Rocky Mountain Laboratory; PMCA: protein misfolding cyclic amplification; NaOH: Sodium Hydroxide; NaOCl: Sodium Hypocholorite; SDS: Sodium dodecyl sulfate; TICUw: tissue culture infectious units on wires; *In vivo; †By far the least effective – more ineffective than autoclaving, or Rely-On for prionzyme, or 2 M </w:t>
      </w:r>
      <w:r w:rsidR="00CA619B" w:rsidRPr="00BD14CD">
        <w:rPr>
          <w:rFonts w:eastAsia="Calibri" w:cs="Times New Roman"/>
          <w:sz w:val="18"/>
          <w:szCs w:val="18"/>
        </w:rPr>
        <w:t>NaOH;</w:t>
      </w:r>
      <w:r w:rsidRPr="00BD14CD">
        <w:rPr>
          <w:rFonts w:eastAsia="Calibri" w:cs="Times New Roman"/>
          <w:sz w:val="18"/>
          <w:szCs w:val="18"/>
        </w:rPr>
        <w:t xml:space="preserve"> Total numbers infected (but only apparent post-mortem): a=2/6, b=1/4; c=4/5, d=1/5 </w:t>
      </w:r>
      <w:r w:rsidR="003F302D" w:rsidRPr="0031052F">
        <w:rPr>
          <w:rFonts w:eastAsia="Calibri" w:cs="Times New Roman"/>
          <w:sz w:val="18"/>
          <w:szCs w:val="18"/>
        </w:rPr>
        <w:t>† All animals in these groups were clinically sound when euthanized at 466 days</w:t>
      </w:r>
      <w:r w:rsidR="003F302D">
        <w:rPr>
          <w:rFonts w:eastAsia="Calibri" w:cs="Times New Roman"/>
          <w:sz w:val="18"/>
          <w:szCs w:val="18"/>
        </w:rPr>
        <w:t xml:space="preserve"> </w:t>
      </w:r>
      <w:r w:rsidRPr="00BD14CD">
        <w:rPr>
          <w:rFonts w:eastAsia="Calibri" w:cs="Times New Roman"/>
          <w:sz w:val="18"/>
          <w:szCs w:val="18"/>
        </w:rPr>
        <w:t>*Wires being placed in partially sealed glass tubes appears to have impaired the autoclaving process §The data for decontamination at 121</w:t>
      </w:r>
      <w:r w:rsidRPr="00BD14CD">
        <w:rPr>
          <w:rFonts w:eastAsia="Calibri" w:cs="Times New Roman"/>
          <w:sz w:val="18"/>
          <w:szCs w:val="18"/>
          <w:vertAlign w:val="superscript"/>
        </w:rPr>
        <w:t>°</w:t>
      </w:r>
      <w:r w:rsidRPr="00BD14CD">
        <w:rPr>
          <w:rFonts w:eastAsia="Calibri" w:cs="Times New Roman"/>
          <w:sz w:val="18"/>
          <w:szCs w:val="18"/>
        </w:rPr>
        <w:t>C are the same data as reported in Peretz 2006</w:t>
      </w:r>
      <w:r w:rsidRPr="00BD14CD">
        <w:rPr>
          <w:rFonts w:eastAsia="Calibri" w:cs="Times New Roman"/>
          <w:sz w:val="20"/>
          <w:szCs w:val="20"/>
        </w:rPr>
        <w:t>.</w:t>
      </w:r>
    </w:p>
    <w:p w14:paraId="2355EFB1" w14:textId="77777777" w:rsidR="00931EC4" w:rsidRDefault="00931EC4" w:rsidP="00A27868">
      <w:pPr>
        <w:jc w:val="both"/>
        <w:rPr>
          <w:rFonts w:eastAsia="Calibri" w:cs="Times New Roman"/>
          <w:lang w:val="en"/>
        </w:rPr>
        <w:sectPr w:rsidR="00931EC4" w:rsidSect="00931EC4">
          <w:pgSz w:w="16838" w:h="11906" w:orient="landscape"/>
          <w:pgMar w:top="1440" w:right="1440" w:bottom="1440" w:left="1440" w:header="708" w:footer="708" w:gutter="0"/>
          <w:cols w:space="708"/>
          <w:docGrid w:linePitch="360"/>
        </w:sectPr>
      </w:pPr>
    </w:p>
    <w:p w14:paraId="5FA81ADE" w14:textId="48147F07" w:rsidR="00500F8B" w:rsidRPr="00F1300C" w:rsidRDefault="00641A81" w:rsidP="00334E96">
      <w:pPr>
        <w:pStyle w:val="Heading4"/>
        <w:rPr>
          <w:rFonts w:eastAsia="Calibri"/>
          <w:sz w:val="22"/>
        </w:rPr>
      </w:pPr>
      <w:r w:rsidRPr="00F1300C">
        <w:rPr>
          <w:rFonts w:eastAsia="Calibri"/>
          <w:sz w:val="22"/>
          <w:lang w:val="en"/>
        </w:rPr>
        <w:t xml:space="preserve">Supplementary evidence: </w:t>
      </w:r>
      <w:r w:rsidRPr="00F1300C">
        <w:rPr>
          <w:rFonts w:eastAsia="Calibri"/>
          <w:sz w:val="22"/>
        </w:rPr>
        <w:t>Studies reporting evidence for levels of protein residue on surgical instruments after cleaning</w:t>
      </w:r>
    </w:p>
    <w:p w14:paraId="741AEDE8" w14:textId="77777777" w:rsidR="004B69F5" w:rsidRPr="00BF3AB2" w:rsidRDefault="004B69F5" w:rsidP="004B69F5">
      <w:pPr>
        <w:jc w:val="both"/>
        <w:rPr>
          <w:rFonts w:cs="Times New Roman"/>
          <w:i/>
        </w:rPr>
      </w:pPr>
      <w:r>
        <w:rPr>
          <w:rFonts w:cs="Times New Roman"/>
          <w:i/>
        </w:rPr>
        <w:t xml:space="preserve">Studies reporting </w:t>
      </w:r>
      <w:r w:rsidRPr="00695812">
        <w:rPr>
          <w:rFonts w:cs="Times New Roman"/>
          <w:i/>
        </w:rPr>
        <w:t xml:space="preserve">evidence </w:t>
      </w:r>
      <w:r>
        <w:rPr>
          <w:rFonts w:cs="Times New Roman"/>
          <w:i/>
        </w:rPr>
        <w:t>for levels of protein residue on surgical instruments after cleaning</w:t>
      </w:r>
    </w:p>
    <w:p w14:paraId="4825D385" w14:textId="068C2854" w:rsidR="004B69F5" w:rsidRDefault="004B69F5" w:rsidP="004B69F5">
      <w:pPr>
        <w:jc w:val="both"/>
        <w:rPr>
          <w:rFonts w:cs="Times New Roman"/>
          <w:lang w:val="en"/>
        </w:rPr>
      </w:pPr>
      <w:r>
        <w:rPr>
          <w:rFonts w:cs="Times New Roman"/>
          <w:lang w:val="en"/>
        </w:rPr>
        <w:t xml:space="preserve">Nine studies reported this outcome after autoclaving with and without other decontamination processes (see </w:t>
      </w:r>
      <w:r w:rsidR="003A0D62">
        <w:rPr>
          <w:rFonts w:cs="Times New Roman"/>
          <w:lang w:val="en"/>
        </w:rPr>
        <w:fldChar w:fldCharType="begin"/>
      </w:r>
      <w:r w:rsidR="003A0D62">
        <w:rPr>
          <w:rFonts w:cs="Times New Roman"/>
          <w:lang w:val="en"/>
        </w:rPr>
        <w:instrText xml:space="preserve"> REF _Ref520707058 \h </w:instrText>
      </w:r>
      <w:r w:rsidR="003A0D62">
        <w:rPr>
          <w:rFonts w:cs="Times New Roman"/>
          <w:lang w:val="en"/>
        </w:rPr>
      </w:r>
      <w:r w:rsidR="003A0D62">
        <w:rPr>
          <w:rFonts w:cs="Times New Roman"/>
          <w:lang w:val="en"/>
        </w:rPr>
        <w:fldChar w:fldCharType="separate"/>
      </w:r>
      <w:r w:rsidR="00690541">
        <w:t xml:space="preserve">Table </w:t>
      </w:r>
      <w:r w:rsidR="00690541">
        <w:rPr>
          <w:noProof/>
        </w:rPr>
        <w:t>18</w:t>
      </w:r>
      <w:r w:rsidR="003A0D62">
        <w:rPr>
          <w:rFonts w:cs="Times New Roman"/>
          <w:lang w:val="en"/>
        </w:rPr>
        <w:fldChar w:fldCharType="end"/>
      </w:r>
      <w:r>
        <w:rPr>
          <w:rFonts w:cs="Times New Roman"/>
          <w:lang w:val="en"/>
        </w:rPr>
        <w:t>): seven studies for surgical instruments and two studies for endoscopes (Herve 2013</w:t>
      </w:r>
      <w:r w:rsidR="003A0D62">
        <w:rPr>
          <w:rFonts w:cs="Times New Roman"/>
          <w:lang w:val="en"/>
        </w:rPr>
        <w:fldChar w:fldCharType="begin"/>
      </w:r>
      <w:r w:rsidR="0076576E">
        <w:rPr>
          <w:rFonts w:cs="Times New Roman"/>
          <w:lang w:val="en"/>
        </w:rPr>
        <w:instrText xml:space="preserve"> ADDIN EN.CITE &lt;EndNote&gt;&lt;Cite&gt;&lt;Author&gt;Herve&lt;/Author&gt;&lt;Year&gt;2013&lt;/Year&gt;&lt;RecNum&gt;8158&lt;/RecNum&gt;&lt;DisplayText&gt;&lt;style face="superscript"&gt;177&lt;/style&gt;&lt;/DisplayText&gt;&lt;record&gt;&lt;rec-number&gt;8158&lt;/rec-number&gt;&lt;foreign-keys&gt;&lt;key app="EN" db-id="vrp0pptazv05wtesfz5vrzsj2p0rv09ttsa9" timestamp="1506588735" guid="7917bccb-14b0-47c5-8c45-64caf8bd4aab"&gt;8158&lt;/key&gt;&lt;/foreign-keys&gt;&lt;ref-type name="Journal Article"&gt;17&lt;/ref-type&gt;&lt;contributors&gt;&lt;authors&gt;&lt;author&gt;Herve, R.&lt;/author&gt;&lt;author&gt;Keevil, C. W.&lt;/author&gt;&lt;/authors&gt;&lt;/contributors&gt;&lt;titles&gt;&lt;title&gt;Current limitations about the cleaning of luminal endoscopes&lt;/title&gt;&lt;secondary-title&gt;Journal of Hospital Infection&lt;/secondary-title&gt;&lt;/titles&gt;&lt;periodical&gt;&lt;full-title&gt;Journal of Hospital Infection&lt;/full-title&gt;&lt;/periodical&gt;&lt;pages&gt;22-29&lt;/pages&gt;&lt;volume&gt;83&lt;/volume&gt;&lt;number&gt;1&lt;/number&gt;&lt;keywords&gt;&lt;keyword&gt;$$CJD relevant&lt;/keyword&gt;&lt;keyword&gt;$$5_instrument decontamination&lt;/keyword&gt;&lt;keyword&gt;$$5_protein&lt;/keyword&gt;&lt;/keywords&gt;&lt;dates&gt;&lt;year&gt;2013&lt;/year&gt;&lt;pub-dates&gt;&lt;date&gt;Jan&lt;/date&gt;&lt;/pub-dates&gt;&lt;/dates&gt;&lt;isbn&gt;0195-6701&lt;/isbn&gt;&lt;accession-num&gt;WOS:000312394600003&lt;/accession-num&gt;&lt;urls&gt;&lt;related-urls&gt;&lt;url&gt;&amp;lt;Go to ISI&amp;gt;://WOS:000312394600003&lt;/url&gt;&lt;/related-urls&gt;&lt;/urls&gt;&lt;electronic-resource-num&gt;10.1016/j.jhin.2012.08.008&lt;/electronic-resource-num&gt;&lt;/record&gt;&lt;/Cite&gt;&lt;/EndNote&gt;</w:instrText>
      </w:r>
      <w:r w:rsidR="003A0D62">
        <w:rPr>
          <w:rFonts w:cs="Times New Roman"/>
          <w:lang w:val="en"/>
        </w:rPr>
        <w:fldChar w:fldCharType="separate"/>
      </w:r>
      <w:r w:rsidR="0076576E" w:rsidRPr="0076576E">
        <w:rPr>
          <w:rFonts w:cs="Times New Roman"/>
          <w:noProof/>
          <w:vertAlign w:val="superscript"/>
          <w:lang w:val="en"/>
        </w:rPr>
        <w:t>177</w:t>
      </w:r>
      <w:r w:rsidR="003A0D62">
        <w:rPr>
          <w:rFonts w:cs="Times New Roman"/>
          <w:lang w:val="en"/>
        </w:rPr>
        <w:fldChar w:fldCharType="end"/>
      </w:r>
      <w:r>
        <w:rPr>
          <w:rFonts w:cs="Times New Roman"/>
          <w:lang w:val="en"/>
        </w:rPr>
        <w:t>, 2016</w:t>
      </w:r>
      <w:r w:rsidR="003A0D62">
        <w:rPr>
          <w:rFonts w:cs="Times New Roman"/>
          <w:lang w:val="en"/>
        </w:rPr>
        <w:fldChar w:fldCharType="begin"/>
      </w:r>
      <w:r w:rsidR="0076576E">
        <w:rPr>
          <w:rFonts w:cs="Times New Roman"/>
          <w:lang w:val="en"/>
        </w:rPr>
        <w:instrText xml:space="preserve"> ADDIN EN.CITE &lt;EndNote&gt;&lt;Cite&gt;&lt;Author&gt;Herve&lt;/Author&gt;&lt;Year&gt;2016&lt;/Year&gt;&lt;RecNum&gt;8212&lt;/RecNum&gt;&lt;DisplayText&gt;&lt;style face="superscript"&gt;186&lt;/style&gt;&lt;/DisplayText&gt;&lt;record&gt;&lt;rec-number&gt;8212&lt;/rec-number&gt;&lt;foreign-keys&gt;&lt;key app="EN" db-id="vrp0pptazv05wtesfz5vrzsj2p0rv09ttsa9" timestamp="1506588755" guid="ee7d6354-5c97-484f-9b74-11ba8d2fb507"&gt;8212&lt;/key&gt;&lt;/foreign-keys&gt;&lt;ref-type name="Journal Article"&gt;17&lt;/ref-type&gt;&lt;contributors&gt;&lt;authors&gt;&lt;author&gt;Herve, R. C.&lt;/author&gt;&lt;author&gt;Keevil, C. W.&lt;/author&gt;&lt;/authors&gt;&lt;/contributors&gt;&lt;titles&gt;&lt;title&gt;Persistent residual contamination in endoscope channels; a fluorescence epimicroscopy study&lt;/title&gt;&lt;secondary-title&gt;Endoscopy&lt;/secondary-title&gt;&lt;/titles&gt;&lt;periodical&gt;&lt;full-title&gt;Endoscopy&lt;/full-title&gt;&lt;/periodical&gt;&lt;pages&gt;609-616&lt;/pages&gt;&lt;volume&gt;48&lt;/volume&gt;&lt;number&gt;7&lt;/number&gt;&lt;keywords&gt;&lt;keyword&gt;$$CJD relevant&lt;/keyword&gt;&lt;keyword&gt;$$5_instrument decontamination&lt;/keyword&gt;&lt;keyword&gt;$$5_protein&lt;/keyword&gt;&lt;/keywords&gt;&lt;dates&gt;&lt;year&gt;2016&lt;/year&gt;&lt;pub-dates&gt;&lt;date&gt;Jul&lt;/date&gt;&lt;/pub-dates&gt;&lt;/dates&gt;&lt;isbn&gt;1438-8812&lt;/isbn&gt;&lt;accession-num&gt;27110695&lt;/accession-num&gt;&lt;urls&gt;&lt;related-urls&gt;&lt;url&gt;http://ovidsp.ovid.com/ovidweb.cgi?T=JS&amp;amp;CSC=Y&amp;amp;NEWS=N&amp;amp;PAGE=fulltext&amp;amp;D=prem&amp;amp;AN=27110695http://resolver.shef.ac.uk/?http://find.shef.ac.uk/openurl/44SFD/44SFD_services_page?sid=OVID:medline&amp;amp;id=pmid:27110695&amp;amp;id=doi:10.1055%2Fs-0042-105744&amp;amp;issn=0013-726X&amp;amp;isbn=&amp;amp;volume=48&amp;amp;issue=7&amp;amp;spage=609&amp;amp;pages=609-16&amp;amp;date=2016&amp;amp;title=Endoscopy&amp;amp;atitle=Persistent+residual+contamination+in+endoscope+channels%3B+a+fluorescence+epimicroscopy+study.&amp;amp;aulast=Herve&amp;amp;pid=%3Cauthor%3EHerve+RC%3BKeevil+CW%3C%2Fauthor%3E%3CAN%3E27110695%3C%2FAN%3E%3CDT%3EJournal+Article%3C%2FDT%3E&lt;/url&gt;&lt;/related-urls&gt;&lt;/urls&gt;&lt;electronic-resource-num&gt;https://dx.doi.org/10.1055/s-0042-105744&lt;/electronic-resource-num&gt;&lt;/record&gt;&lt;/Cite&gt;&lt;/EndNote&gt;</w:instrText>
      </w:r>
      <w:r w:rsidR="003A0D62">
        <w:rPr>
          <w:rFonts w:cs="Times New Roman"/>
          <w:lang w:val="en"/>
        </w:rPr>
        <w:fldChar w:fldCharType="separate"/>
      </w:r>
      <w:r w:rsidR="0076576E" w:rsidRPr="0076576E">
        <w:rPr>
          <w:rFonts w:cs="Times New Roman"/>
          <w:noProof/>
          <w:vertAlign w:val="superscript"/>
          <w:lang w:val="en"/>
        </w:rPr>
        <w:t>186</w:t>
      </w:r>
      <w:r w:rsidR="003A0D62">
        <w:rPr>
          <w:rFonts w:cs="Times New Roman"/>
          <w:lang w:val="en"/>
        </w:rPr>
        <w:fldChar w:fldCharType="end"/>
      </w:r>
      <w:r>
        <w:rPr>
          <w:rFonts w:cs="Times New Roman"/>
          <w:lang w:val="en"/>
        </w:rPr>
        <w:t>). All studies were conducted in the UK: seven studies reported on protein residue on instruments acquired from between one and nine NHS trusts; the number of trusts involved was not reported in two studies (Baxter R, 2006</w:t>
      </w:r>
      <w:r w:rsidR="003A0D62">
        <w:rPr>
          <w:rFonts w:cs="Times New Roman"/>
          <w:lang w:val="en"/>
        </w:rPr>
        <w:fldChar w:fldCharType="begin"/>
      </w:r>
      <w:r w:rsidR="0076576E">
        <w:rPr>
          <w:rFonts w:cs="Times New Roman"/>
          <w:lang w:val="en"/>
        </w:rPr>
        <w:instrText xml:space="preserve"> ADDIN EN.CITE &lt;EndNote&gt;&lt;Cite&gt;&lt;Author&gt;Baxter&lt;/Author&gt;&lt;Year&gt;2006&lt;/Year&gt;&lt;RecNum&gt;1978&lt;/RecNum&gt;&lt;DisplayText&gt;&lt;style face="superscript"&gt;187&lt;/style&gt;&lt;/DisplayText&gt;&lt;record&gt;&lt;rec-number&gt;1978&lt;/rec-number&gt;&lt;foreign-keys&gt;&lt;key app="EN" db-id="vrp0pptazv05wtesfz5vrzsj2p0rv09ttsa9" timestamp="1506587024" guid="ec71f170-19a4-4319-9c55-c391e10d247a"&gt;1978&lt;/key&gt;&lt;/foreign-keys&gt;&lt;ref-type name="Journal Article"&gt;17&lt;/ref-type&gt;&lt;contributors&gt;&lt;authors&gt;&lt;author&gt;Baxter, R. L.&lt;/author&gt;&lt;author&gt;Baxter, H. C.&lt;/author&gt;&lt;author&gt;Campbell, G. A.&lt;/author&gt;&lt;author&gt;Grant, K.&lt;/author&gt;&lt;author&gt;Jones, A.&lt;/author&gt;&lt;author&gt;Richardson, P.&lt;/author&gt;&lt;author&gt;Whittaker, G.&lt;/author&gt;&lt;/authors&gt;&lt;/contributors&gt;&lt;titles&gt;&lt;title&gt;Quantitative analysis of residual protein contamination on reprocessed surgical instruments&lt;/title&gt;&lt;secondary-title&gt;Journal of Hospital Infection&lt;/secondary-title&gt;&lt;/titles&gt;&lt;periodical&gt;&lt;full-title&gt;Journal of Hospital Infection&lt;/full-title&gt;&lt;/periodical&gt;&lt;pages&gt;439-444&lt;/pages&gt;&lt;volume&gt;63&lt;/volume&gt;&lt;number&gt;4&lt;/number&gt;&lt;keywords&gt;&lt;keyword&gt;$$CJD relevant&lt;/keyword&gt;&lt;keyword&gt;$$5_instrument decontamination&lt;/keyword&gt;&lt;keyword&gt;$$Committee recommended&lt;/keyword&gt;&lt;keyword&gt;$$5_protein&lt;/keyword&gt;&lt;/keywords&gt;&lt;dates&gt;&lt;year&gt;2006&lt;/year&gt;&lt;pub-dates&gt;&lt;date&gt;Aug&lt;/date&gt;&lt;/pub-dates&gt;&lt;/dates&gt;&lt;isbn&gt;0195-6701&lt;/isbn&gt;&lt;accession-num&gt;WOS:000239541400014&lt;/accession-num&gt;&lt;urls&gt;&lt;related-urls&gt;&lt;url&gt;&amp;lt;Go to ISI&amp;gt;://WOS:000239541400014&lt;/url&gt;&lt;/related-urls&gt;&lt;/urls&gt;&lt;electronic-resource-num&gt;10.1016/j.jhin.2006.03.011&lt;/electronic-resource-num&gt;&lt;/record&gt;&lt;/Cite&gt;&lt;/EndNote&gt;</w:instrText>
      </w:r>
      <w:r w:rsidR="003A0D62">
        <w:rPr>
          <w:rFonts w:cs="Times New Roman"/>
          <w:lang w:val="en"/>
        </w:rPr>
        <w:fldChar w:fldCharType="separate"/>
      </w:r>
      <w:r w:rsidR="0076576E" w:rsidRPr="0076576E">
        <w:rPr>
          <w:rFonts w:cs="Times New Roman"/>
          <w:noProof/>
          <w:vertAlign w:val="superscript"/>
          <w:lang w:val="en"/>
        </w:rPr>
        <w:t>187</w:t>
      </w:r>
      <w:r w:rsidR="003A0D62">
        <w:rPr>
          <w:rFonts w:cs="Times New Roman"/>
          <w:lang w:val="en"/>
        </w:rPr>
        <w:fldChar w:fldCharType="end"/>
      </w:r>
      <w:r>
        <w:rPr>
          <w:rFonts w:cs="Times New Roman"/>
          <w:lang w:val="en"/>
        </w:rPr>
        <w:t>; Herve 2016</w:t>
      </w:r>
      <w:r w:rsidR="003A0D62">
        <w:rPr>
          <w:rFonts w:cs="Times New Roman"/>
          <w:lang w:val="en"/>
        </w:rPr>
        <w:fldChar w:fldCharType="begin"/>
      </w:r>
      <w:r w:rsidR="0076576E">
        <w:rPr>
          <w:rFonts w:cs="Times New Roman"/>
          <w:lang w:val="en"/>
        </w:rPr>
        <w:instrText xml:space="preserve"> ADDIN EN.CITE &lt;EndNote&gt;&lt;Cite&gt;&lt;Author&gt;Herve&lt;/Author&gt;&lt;Year&gt;2016&lt;/Year&gt;&lt;RecNum&gt;8212&lt;/RecNum&gt;&lt;DisplayText&gt;&lt;style face="superscript"&gt;186&lt;/style&gt;&lt;/DisplayText&gt;&lt;record&gt;&lt;rec-number&gt;8212&lt;/rec-number&gt;&lt;foreign-keys&gt;&lt;key app="EN" db-id="vrp0pptazv05wtesfz5vrzsj2p0rv09ttsa9" timestamp="1506588755" guid="ee7d6354-5c97-484f-9b74-11ba8d2fb507"&gt;8212&lt;/key&gt;&lt;/foreign-keys&gt;&lt;ref-type name="Journal Article"&gt;17&lt;/ref-type&gt;&lt;contributors&gt;&lt;authors&gt;&lt;author&gt;Herve, R. C.&lt;/author&gt;&lt;author&gt;Keevil, C. W.&lt;/author&gt;&lt;/authors&gt;&lt;/contributors&gt;&lt;titles&gt;&lt;title&gt;Persistent residual contamination in endoscope channels; a fluorescence epimicroscopy study&lt;/title&gt;&lt;secondary-title&gt;Endoscopy&lt;/secondary-title&gt;&lt;/titles&gt;&lt;periodical&gt;&lt;full-title&gt;Endoscopy&lt;/full-title&gt;&lt;/periodical&gt;&lt;pages&gt;609-616&lt;/pages&gt;&lt;volume&gt;48&lt;/volume&gt;&lt;number&gt;7&lt;/number&gt;&lt;keywords&gt;&lt;keyword&gt;$$CJD relevant&lt;/keyword&gt;&lt;keyword&gt;$$5_instrument decontamination&lt;/keyword&gt;&lt;keyword&gt;$$5_protein&lt;/keyword&gt;&lt;/keywords&gt;&lt;dates&gt;&lt;year&gt;2016&lt;/year&gt;&lt;pub-dates&gt;&lt;date&gt;Jul&lt;/date&gt;&lt;/pub-dates&gt;&lt;/dates&gt;&lt;isbn&gt;1438-8812&lt;/isbn&gt;&lt;accession-num&gt;27110695&lt;/accession-num&gt;&lt;urls&gt;&lt;related-urls&gt;&lt;url&gt;http://ovidsp.ovid.com/ovidweb.cgi?T=JS&amp;amp;CSC=Y&amp;amp;NEWS=N&amp;amp;PAGE=fulltext&amp;amp;D=prem&amp;amp;AN=27110695http://resolver.shef.ac.uk/?http://find.shef.ac.uk/openurl/44SFD/44SFD_services_page?sid=OVID:medline&amp;amp;id=pmid:27110695&amp;amp;id=doi:10.1055%2Fs-0042-105744&amp;amp;issn=0013-726X&amp;amp;isbn=&amp;amp;volume=48&amp;amp;issue=7&amp;amp;spage=609&amp;amp;pages=609-16&amp;amp;date=2016&amp;amp;title=Endoscopy&amp;amp;atitle=Persistent+residual+contamination+in+endoscope+channels%3B+a+fluorescence+epimicroscopy+study.&amp;amp;aulast=Herve&amp;amp;pid=%3Cauthor%3EHerve+RC%3BKeevil+CW%3C%2Fauthor%3E%3CAN%3E27110695%3C%2FAN%3E%3CDT%3EJournal+Article%3C%2FDT%3E&lt;/url&gt;&lt;/related-urls&gt;&lt;/urls&gt;&lt;electronic-resource-num&gt;https://dx.doi.org/10.1055/s-0042-105744&lt;/electronic-resource-num&gt;&lt;/record&gt;&lt;/Cite&gt;&lt;/EndNote&gt;</w:instrText>
      </w:r>
      <w:r w:rsidR="003A0D62">
        <w:rPr>
          <w:rFonts w:cs="Times New Roman"/>
          <w:lang w:val="en"/>
        </w:rPr>
        <w:fldChar w:fldCharType="separate"/>
      </w:r>
      <w:r w:rsidR="0076576E" w:rsidRPr="0076576E">
        <w:rPr>
          <w:rFonts w:cs="Times New Roman"/>
          <w:noProof/>
          <w:vertAlign w:val="superscript"/>
          <w:lang w:val="en"/>
        </w:rPr>
        <w:t>186</w:t>
      </w:r>
      <w:r w:rsidR="003A0D62">
        <w:rPr>
          <w:rFonts w:cs="Times New Roman"/>
          <w:lang w:val="en"/>
        </w:rPr>
        <w:fldChar w:fldCharType="end"/>
      </w:r>
      <w:r>
        <w:rPr>
          <w:rFonts w:cs="Times New Roman"/>
          <w:lang w:val="en"/>
        </w:rPr>
        <w:t>). All studies reported that cleaning essentially involved conventional procedures for the equipment concerned. With the exception of two studies (Baxter R, 2006</w:t>
      </w:r>
      <w:r w:rsidR="003A0D62">
        <w:rPr>
          <w:rFonts w:cs="Times New Roman"/>
          <w:lang w:val="en"/>
        </w:rPr>
        <w:fldChar w:fldCharType="begin"/>
      </w:r>
      <w:r w:rsidR="0076576E">
        <w:rPr>
          <w:rFonts w:cs="Times New Roman"/>
          <w:lang w:val="en"/>
        </w:rPr>
        <w:instrText xml:space="preserve"> ADDIN EN.CITE &lt;EndNote&gt;&lt;Cite&gt;&lt;Author&gt;Baxter&lt;/Author&gt;&lt;Year&gt;2006&lt;/Year&gt;&lt;RecNum&gt;1978&lt;/RecNum&gt;&lt;DisplayText&gt;&lt;style face="superscript"&gt;187&lt;/style&gt;&lt;/DisplayText&gt;&lt;record&gt;&lt;rec-number&gt;1978&lt;/rec-number&gt;&lt;foreign-keys&gt;&lt;key app="EN" db-id="vrp0pptazv05wtesfz5vrzsj2p0rv09ttsa9" timestamp="1506587024" guid="ec71f170-19a4-4319-9c55-c391e10d247a"&gt;1978&lt;/key&gt;&lt;/foreign-keys&gt;&lt;ref-type name="Journal Article"&gt;17&lt;/ref-type&gt;&lt;contributors&gt;&lt;authors&gt;&lt;author&gt;Baxter, R. L.&lt;/author&gt;&lt;author&gt;Baxter, H. C.&lt;/author&gt;&lt;author&gt;Campbell, G. A.&lt;/author&gt;&lt;author&gt;Grant, K.&lt;/author&gt;&lt;author&gt;Jones, A.&lt;/author&gt;&lt;author&gt;Richardson, P.&lt;/author&gt;&lt;author&gt;Whittaker, G.&lt;/author&gt;&lt;/authors&gt;&lt;/contributors&gt;&lt;titles&gt;&lt;title&gt;Quantitative analysis of residual protein contamination on reprocessed surgical instruments&lt;/title&gt;&lt;secondary-title&gt;Journal of Hospital Infection&lt;/secondary-title&gt;&lt;/titles&gt;&lt;periodical&gt;&lt;full-title&gt;Journal of Hospital Infection&lt;/full-title&gt;&lt;/periodical&gt;&lt;pages&gt;439-444&lt;/pages&gt;&lt;volume&gt;63&lt;/volume&gt;&lt;number&gt;4&lt;/number&gt;&lt;keywords&gt;&lt;keyword&gt;$$CJD relevant&lt;/keyword&gt;&lt;keyword&gt;$$5_instrument decontamination&lt;/keyword&gt;&lt;keyword&gt;$$Committee recommended&lt;/keyword&gt;&lt;keyword&gt;$$5_protein&lt;/keyword&gt;&lt;/keywords&gt;&lt;dates&gt;&lt;year&gt;2006&lt;/year&gt;&lt;pub-dates&gt;&lt;date&gt;Aug&lt;/date&gt;&lt;/pub-dates&gt;&lt;/dates&gt;&lt;isbn&gt;0195-6701&lt;/isbn&gt;&lt;accession-num&gt;WOS:000239541400014&lt;/accession-num&gt;&lt;urls&gt;&lt;related-urls&gt;&lt;url&gt;&amp;lt;Go to ISI&amp;gt;://WOS:000239541400014&lt;/url&gt;&lt;/related-urls&gt;&lt;/urls&gt;&lt;electronic-resource-num&gt;10.1016/j.jhin.2006.03.011&lt;/electronic-resource-num&gt;&lt;/record&gt;&lt;/Cite&gt;&lt;/EndNote&gt;</w:instrText>
      </w:r>
      <w:r w:rsidR="003A0D62">
        <w:rPr>
          <w:rFonts w:cs="Times New Roman"/>
          <w:lang w:val="en"/>
        </w:rPr>
        <w:fldChar w:fldCharType="separate"/>
      </w:r>
      <w:r w:rsidR="0076576E" w:rsidRPr="0076576E">
        <w:rPr>
          <w:rFonts w:cs="Times New Roman"/>
          <w:noProof/>
          <w:vertAlign w:val="superscript"/>
          <w:lang w:val="en"/>
        </w:rPr>
        <w:t>187</w:t>
      </w:r>
      <w:r w:rsidR="003A0D62">
        <w:rPr>
          <w:rFonts w:cs="Times New Roman"/>
          <w:lang w:val="en"/>
        </w:rPr>
        <w:fldChar w:fldCharType="end"/>
      </w:r>
      <w:r>
        <w:rPr>
          <w:rFonts w:cs="Times New Roman"/>
          <w:lang w:val="en"/>
        </w:rPr>
        <w:t>; Murdoch, 2006</w:t>
      </w:r>
      <w:r w:rsidR="003A0D62">
        <w:rPr>
          <w:rFonts w:cs="Times New Roman"/>
          <w:lang w:val="en"/>
        </w:rPr>
        <w:fldChar w:fldCharType="begin">
          <w:fldData xml:space="preserve">PEVuZE5vdGU+PENpdGU+PEF1dGhvcj5NdXJkb2NoPC9BdXRob3I+PFllYXI+MjAwNjwvWWVhcj48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PEVuZE5vdGU+PENpdGU+PEF1dGhvcj5NdXJkb2NoPC9BdXRob3I+PFllYXI+MjAwNjwvWWVhcj48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188</w:t>
      </w:r>
      <w:r w:rsidR="003A0D62">
        <w:rPr>
          <w:rFonts w:cs="Times New Roman"/>
          <w:lang w:val="en"/>
        </w:rPr>
        <w:fldChar w:fldCharType="end"/>
      </w:r>
      <w:r>
        <w:rPr>
          <w:rFonts w:cs="Times New Roman"/>
          <w:lang w:val="en"/>
        </w:rPr>
        <w:t xml:space="preserve">), the assay appears to have involved detection of proteins </w:t>
      </w:r>
      <w:r w:rsidRPr="00A173B5">
        <w:rPr>
          <w:rFonts w:cs="Times New Roman"/>
          <w:i/>
          <w:lang w:val="en"/>
        </w:rPr>
        <w:t>in situ</w:t>
      </w:r>
      <w:r>
        <w:rPr>
          <w:rFonts w:cs="Times New Roman"/>
          <w:lang w:val="en"/>
        </w:rPr>
        <w:t xml:space="preserve"> on the instruments. Where reported, the number of instruments ranged from two to 1000. </w:t>
      </w:r>
    </w:p>
    <w:p w14:paraId="6E3060EB" w14:textId="77777777" w:rsidR="004B69F5" w:rsidRDefault="004B69F5" w:rsidP="004B69F5">
      <w:pPr>
        <w:jc w:val="both"/>
        <w:rPr>
          <w:rFonts w:cs="Times New Roman"/>
          <w:lang w:val="en"/>
        </w:rPr>
      </w:pPr>
    </w:p>
    <w:p w14:paraId="5102FBC6" w14:textId="434AE022" w:rsidR="004B69F5" w:rsidRPr="00790CC7" w:rsidRDefault="004B69F5" w:rsidP="004B69F5">
      <w:pPr>
        <w:autoSpaceDE w:val="0"/>
        <w:autoSpaceDN w:val="0"/>
        <w:adjustRightInd w:val="0"/>
        <w:jc w:val="both"/>
        <w:rPr>
          <w:rFonts w:cs="Times New Roman"/>
          <w:lang w:val="en"/>
        </w:rPr>
      </w:pPr>
      <w:r>
        <w:rPr>
          <w:rFonts w:cs="Times New Roman"/>
          <w:lang w:val="en"/>
        </w:rPr>
        <w:t xml:space="preserve">There was no consistency in the measures used to quantify and report the </w:t>
      </w:r>
      <w:r w:rsidRPr="00764355">
        <w:rPr>
          <w:rFonts w:cs="Times New Roman"/>
          <w:lang w:val="en"/>
        </w:rPr>
        <w:t>residual protein contamination of surgical instruments after conventional clean</w:t>
      </w:r>
      <w:r>
        <w:rPr>
          <w:rFonts w:cs="Times New Roman"/>
          <w:lang w:val="en"/>
        </w:rPr>
        <w:t>ing and sterilis</w:t>
      </w:r>
      <w:r w:rsidRPr="00764355">
        <w:rPr>
          <w:rFonts w:cs="Times New Roman"/>
          <w:lang w:val="en"/>
        </w:rPr>
        <w:t>ation in a sterile service department (SSD). Murdoch (2006</w:t>
      </w:r>
      <w:r w:rsidR="003A0D62">
        <w:rPr>
          <w:rFonts w:cs="Times New Roman"/>
          <w:lang w:val="en"/>
        </w:rPr>
        <w:fldChar w:fldCharType="begin">
          <w:fldData xml:space="preserve">PEVuZE5vdGU+PENpdGU+PEF1dGhvcj5NdXJkb2NoPC9BdXRob3I+PFllYXI+MjAwNjwvWWVhcj48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PEVuZE5vdGU+PENpdGU+PEF1dGhvcj5NdXJkb2NoPC9BdXRob3I+PFllYXI+MjAwNjwvWWVhcj48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188</w:t>
      </w:r>
      <w:r w:rsidR="003A0D62">
        <w:rPr>
          <w:rFonts w:cs="Times New Roman"/>
          <w:lang w:val="en"/>
        </w:rPr>
        <w:fldChar w:fldCharType="end"/>
      </w:r>
      <w:r w:rsidRPr="00764355">
        <w:rPr>
          <w:rFonts w:cs="Times New Roman"/>
          <w:lang w:val="en"/>
        </w:rPr>
        <w:t xml:space="preserve">) reported a mean </w:t>
      </w:r>
      <w:r>
        <w:rPr>
          <w:rFonts w:cs="Times New Roman"/>
          <w:lang w:val="en"/>
        </w:rPr>
        <w:t>protein per instrument of 71.67</w:t>
      </w:r>
      <w:r w:rsidRPr="00764355">
        <w:rPr>
          <w:rFonts w:cs="Times New Roman"/>
          <w:lang w:val="en"/>
        </w:rPr>
        <w:t>µg (range, 8-91 µg); R Baxter (2006</w:t>
      </w:r>
      <w:r w:rsidR="003A0D62">
        <w:rPr>
          <w:rFonts w:cs="Times New Roman"/>
          <w:lang w:val="en"/>
        </w:rPr>
        <w:fldChar w:fldCharType="begin"/>
      </w:r>
      <w:r w:rsidR="0076576E">
        <w:rPr>
          <w:rFonts w:cs="Times New Roman"/>
          <w:lang w:val="en"/>
        </w:rPr>
        <w:instrText xml:space="preserve"> ADDIN EN.CITE &lt;EndNote&gt;&lt;Cite&gt;&lt;Author&gt;Baxter&lt;/Author&gt;&lt;Year&gt;2006&lt;/Year&gt;&lt;RecNum&gt;1978&lt;/RecNum&gt;&lt;DisplayText&gt;&lt;style face="superscript"&gt;187&lt;/style&gt;&lt;/DisplayText&gt;&lt;record&gt;&lt;rec-number&gt;1978&lt;/rec-number&gt;&lt;foreign-keys&gt;&lt;key app="EN" db-id="vrp0pptazv05wtesfz5vrzsj2p0rv09ttsa9" timestamp="1506587024" guid="ec71f170-19a4-4319-9c55-c391e10d247a"&gt;1978&lt;/key&gt;&lt;/foreign-keys&gt;&lt;ref-type name="Journal Article"&gt;17&lt;/ref-type&gt;&lt;contributors&gt;&lt;authors&gt;&lt;author&gt;Baxter, R. L.&lt;/author&gt;&lt;author&gt;Baxter, H. C.&lt;/author&gt;&lt;author&gt;Campbell, G. A.&lt;/author&gt;&lt;author&gt;Grant, K.&lt;/author&gt;&lt;author&gt;Jones, A.&lt;/author&gt;&lt;author&gt;Richardson, P.&lt;/author&gt;&lt;author&gt;Whittaker, G.&lt;/author&gt;&lt;/authors&gt;&lt;/contributors&gt;&lt;titles&gt;&lt;title&gt;Quantitative analysis of residual protein contamination on reprocessed surgical instruments&lt;/title&gt;&lt;secondary-title&gt;Journal of Hospital Infection&lt;/secondary-title&gt;&lt;/titles&gt;&lt;periodical&gt;&lt;full-title&gt;Journal of Hospital Infection&lt;/full-title&gt;&lt;/periodical&gt;&lt;pages&gt;439-444&lt;/pages&gt;&lt;volume&gt;63&lt;/volume&gt;&lt;number&gt;4&lt;/number&gt;&lt;keywords&gt;&lt;keyword&gt;$$CJD relevant&lt;/keyword&gt;&lt;keyword&gt;$$5_instrument decontamination&lt;/keyword&gt;&lt;keyword&gt;$$Committee recommended&lt;/keyword&gt;&lt;keyword&gt;$$5_protein&lt;/keyword&gt;&lt;/keywords&gt;&lt;dates&gt;&lt;year&gt;2006&lt;/year&gt;&lt;pub-dates&gt;&lt;date&gt;Aug&lt;/date&gt;&lt;/pub-dates&gt;&lt;/dates&gt;&lt;isbn&gt;0195-6701&lt;/isbn&gt;&lt;accession-num&gt;WOS:000239541400014&lt;/accession-num&gt;&lt;urls&gt;&lt;related-urls&gt;&lt;url&gt;&amp;lt;Go to ISI&amp;gt;://WOS:000239541400014&lt;/url&gt;&lt;/related-urls&gt;&lt;/urls&gt;&lt;electronic-resource-num&gt;10.1016/j.jhin.2006.03.011&lt;/electronic-resource-num&gt;&lt;/record&gt;&lt;/Cite&gt;&lt;/EndNote&gt;</w:instrText>
      </w:r>
      <w:r w:rsidR="003A0D62">
        <w:rPr>
          <w:rFonts w:cs="Times New Roman"/>
          <w:lang w:val="en"/>
        </w:rPr>
        <w:fldChar w:fldCharType="separate"/>
      </w:r>
      <w:r w:rsidR="0076576E" w:rsidRPr="0076576E">
        <w:rPr>
          <w:rFonts w:cs="Times New Roman"/>
          <w:noProof/>
          <w:vertAlign w:val="superscript"/>
          <w:lang w:val="en"/>
        </w:rPr>
        <w:t>187</w:t>
      </w:r>
      <w:r w:rsidR="003A0D62">
        <w:rPr>
          <w:rFonts w:cs="Times New Roman"/>
          <w:lang w:val="en"/>
        </w:rPr>
        <w:fldChar w:fldCharType="end"/>
      </w:r>
      <w:r w:rsidRPr="00764355">
        <w:rPr>
          <w:rFonts w:cs="Times New Roman"/>
          <w:lang w:val="en"/>
        </w:rPr>
        <w:t>) reported a median range of 163-75</w:t>
      </w:r>
      <w:r>
        <w:rPr>
          <w:rFonts w:cs="Times New Roman"/>
          <w:lang w:val="en"/>
        </w:rPr>
        <w:t>6</w:t>
      </w:r>
      <w:r w:rsidRPr="00764355">
        <w:rPr>
          <w:rFonts w:cs="Times New Roman"/>
          <w:lang w:val="en"/>
        </w:rPr>
        <w:t>µg per instrument; Lipscomb (2006a</w:t>
      </w:r>
      <w:r w:rsidR="003A0D62">
        <w:rPr>
          <w:rFonts w:cs="Times New Roman"/>
          <w:lang w:val="en"/>
        </w:rPr>
        <w:fldChar w:fldCharType="begin">
          <w:fldData xml:space="preserve">PEVuZE5vdGU+PENpdGU+PEF1dGhvcj5MaXBzY29tYjwvQXV0aG9yPjxZZWFyPjIwMDZhPC9ZZWFy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PEVuZE5vdGU+PENpdGU+PEF1dGhvcj5MaXBzY29tYjwvQXV0aG9yPjxZZWFyPjIwMDZhPC9ZZWFy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189</w:t>
      </w:r>
      <w:r w:rsidR="003A0D62">
        <w:rPr>
          <w:rFonts w:cs="Times New Roman"/>
          <w:lang w:val="en"/>
        </w:rPr>
        <w:fldChar w:fldCharType="end"/>
      </w:r>
      <w:r w:rsidRPr="00764355">
        <w:rPr>
          <w:rFonts w:cs="Times New Roman"/>
          <w:lang w:val="en"/>
        </w:rPr>
        <w:t xml:space="preserve"> &amp; b</w:t>
      </w:r>
      <w:r w:rsidR="003A0D62">
        <w:rPr>
          <w:rFonts w:cs="Times New Roman"/>
          <w:lang w:val="en"/>
        </w:rPr>
        <w:fldChar w:fldCharType="begin">
          <w:fldData xml:space="preserve">PEVuZE5vdGU+PENpdGU+PEF1dGhvcj5MaXBzY29tYjwvQXV0aG9yPjxZZWFyPjIwMDZiPC9ZZWFy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PEVuZE5vdGU+PENpdGU+PEF1dGhvcj5MaXBzY29tYjwvQXV0aG9yPjxZZWFyPjIwMDZiPC9ZZWFy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190</w:t>
      </w:r>
      <w:r w:rsidR="003A0D62">
        <w:rPr>
          <w:rFonts w:cs="Times New Roman"/>
          <w:lang w:val="en"/>
        </w:rPr>
        <w:fldChar w:fldCharType="end"/>
      </w:r>
      <w:r w:rsidRPr="00764355">
        <w:rPr>
          <w:rFonts w:cs="Times New Roman"/>
          <w:lang w:val="en"/>
        </w:rPr>
        <w:t xml:space="preserve">) reported residual </w:t>
      </w:r>
      <w:r w:rsidRPr="00790CC7">
        <w:rPr>
          <w:rFonts w:cs="Times New Roman"/>
          <w:lang w:val="en"/>
        </w:rPr>
        <w:t>contamination using an un-validated ‘Contamination Index’ (CI) and reported that 56% of instruments (</w:t>
      </w:r>
      <w:r>
        <w:rPr>
          <w:rFonts w:cs="Times New Roman"/>
          <w:lang w:val="en"/>
        </w:rPr>
        <w:t xml:space="preserve">out of a total of </w:t>
      </w:r>
      <w:r w:rsidRPr="00790CC7">
        <w:rPr>
          <w:rFonts w:cs="Times New Roman"/>
          <w:lang w:val="en"/>
        </w:rPr>
        <w:t xml:space="preserve">23) from a single NHS trust showed severe contamination (CI score, &gt;3 to 4) in at least one of the sample regions, while 66% of </w:t>
      </w:r>
      <w:r w:rsidRPr="0029596C">
        <w:rPr>
          <w:rFonts w:cs="Times New Roman"/>
          <w:lang w:val="en"/>
        </w:rPr>
        <w:t xml:space="preserve">instruments (n=260) from nine NHS primary care trusts showed equivalent severe contamination (CI score, &gt;3 to 4). According to this CI, a classification of 3 represents 0.42-4.2 </w:t>
      </w:r>
      <w:r w:rsidRPr="0029596C">
        <w:rPr>
          <w:rFonts w:cs="Times New Roman"/>
        </w:rPr>
        <w:t>µ</w:t>
      </w:r>
      <w:r w:rsidRPr="0029596C">
        <w:rPr>
          <w:rFonts w:cs="Times New Roman"/>
          <w:lang w:val="en"/>
        </w:rPr>
        <w:t>g of protein/mm</w:t>
      </w:r>
      <w:r w:rsidRPr="0029596C">
        <w:rPr>
          <w:rFonts w:cs="Times New Roman"/>
          <w:vertAlign w:val="superscript"/>
          <w:lang w:val="en"/>
        </w:rPr>
        <w:t>2</w:t>
      </w:r>
      <w:r w:rsidRPr="0029596C">
        <w:rPr>
          <w:rFonts w:cs="Times New Roman"/>
          <w:lang w:val="en"/>
        </w:rPr>
        <w:t xml:space="preserve"> and 4 is &gt;4.4</w:t>
      </w:r>
      <w:r w:rsidRPr="0029596C">
        <w:rPr>
          <w:rFonts w:cs="Times New Roman"/>
        </w:rPr>
        <w:t>µ</w:t>
      </w:r>
      <w:r w:rsidRPr="0029596C">
        <w:rPr>
          <w:rFonts w:cs="Times New Roman"/>
          <w:lang w:val="en"/>
        </w:rPr>
        <w:t>g/mm</w:t>
      </w:r>
      <w:r w:rsidRPr="0029596C">
        <w:rPr>
          <w:rFonts w:cs="Times New Roman"/>
          <w:vertAlign w:val="superscript"/>
          <w:lang w:val="en"/>
        </w:rPr>
        <w:t>2</w:t>
      </w:r>
      <w:r w:rsidRPr="0029596C">
        <w:rPr>
          <w:rFonts w:cs="Times New Roman"/>
          <w:lang w:val="en"/>
        </w:rPr>
        <w:t>.</w:t>
      </w:r>
      <w:r w:rsidR="00010E7E">
        <w:rPr>
          <w:rFonts w:cs="Times New Roman"/>
          <w:lang w:val="en"/>
        </w:rPr>
        <w:t xml:space="preserve"> </w:t>
      </w:r>
      <w:r w:rsidRPr="0029596C">
        <w:rPr>
          <w:rFonts w:cs="Times New Roman"/>
          <w:lang w:val="en"/>
        </w:rPr>
        <w:t>The most</w:t>
      </w:r>
      <w:r w:rsidRPr="00790CC7">
        <w:rPr>
          <w:rFonts w:cs="Times New Roman"/>
          <w:lang w:val="en"/>
        </w:rPr>
        <w:t xml:space="preserve"> recent study, Smith </w:t>
      </w:r>
      <w:r w:rsidR="00B301D6" w:rsidRPr="00B301D6">
        <w:rPr>
          <w:rFonts w:cs="Times New Roman"/>
          <w:i/>
          <w:lang w:val="en"/>
        </w:rPr>
        <w:t>et al</w:t>
      </w:r>
      <w:r w:rsidRPr="00790CC7">
        <w:rPr>
          <w:rFonts w:cs="Times New Roman"/>
          <w:lang w:val="en"/>
        </w:rPr>
        <w:t xml:space="preserve"> (2018</w:t>
      </w:r>
      <w:r w:rsidR="003A0D62">
        <w:rPr>
          <w:rFonts w:cs="Times New Roman"/>
          <w:lang w:val="en"/>
        </w:rPr>
        <w:fldChar w:fldCharType="begin"/>
      </w:r>
      <w:r w:rsidR="0076576E">
        <w:rPr>
          <w:rFonts w:cs="Times New Roman"/>
          <w:lang w:val="en"/>
        </w:rPr>
        <w:instrText xml:space="preserve"> ADDIN EN.CITE &lt;EndNote&gt;&lt;Cite&gt;&lt;Author&gt;Smith&lt;/Author&gt;&lt;Year&gt;2018&lt;/Year&gt;&lt;RecNum&gt;10282&lt;/RecNum&gt;&lt;DisplayText&gt;&lt;style face="superscript"&gt;191&lt;/style&gt;&lt;/DisplayText&gt;&lt;record&gt;&lt;rec-number&gt;10282&lt;/rec-number&gt;&lt;foreign-keys&gt;&lt;key app="EN" db-id="vrp0pptazv05wtesfz5vrzsj2p0rv09ttsa9" timestamp="1526283106" guid="ad6f63a4-a0b9-472e-8996-8638b28ea0d3"&gt;10282&lt;/key&gt;&lt;/foreign-keys&gt;&lt;ref-type name="Journal Article"&gt;17&lt;/ref-type&gt;&lt;contributors&gt;&lt;authors&gt;&lt;author&gt;Smith, A.&lt;/author&gt;&lt;author&gt;Winter, S.&lt;/author&gt;&lt;author&gt;Lappin, D.&lt;/author&gt;&lt;author&gt;Sherriff, A.&lt;/author&gt;&lt;author&gt;McIvor, I.&lt;/author&gt;&lt;author&gt;Philp, P.&lt;/author&gt;&lt;author&gt;Suttner, N.&lt;/author&gt;&lt;author&gt;Holmes, S.&lt;/author&gt;&lt;author&gt;Stewart, A.&lt;/author&gt;&lt;/authors&gt;&lt;/contributors&gt;&lt;titles&gt;&lt;title&gt;Reducing the risk of iatrogenic CJD by improving the cleaning of neurosurgical instruments&lt;/title&gt;&lt;secondary-title&gt;Journal of Hospital Infection&lt;/secondary-title&gt;&lt;/titles&gt;&lt;periodical&gt;&lt;full-title&gt;Journal of Hospital Infection&lt;/full-title&gt;&lt;/periodical&gt;&lt;volume&gt;epub&lt;/volume&gt;&lt;keywords&gt;&lt;keyword&gt;$$5_instrument decontamination&lt;/keyword&gt;&lt;keyword&gt;$$Committee recommended&lt;/keyword&gt;&lt;keyword&gt;$$5_protein&lt;/keyword&gt;&lt;/keywords&gt;&lt;dates&gt;&lt;year&gt;2018&lt;/year&gt;&lt;/dates&gt;&lt;urls&gt;&lt;/urls&gt;&lt;electronic-resource-num&gt;doi: 10.1016/j.jhin.2018.03.001&lt;/electronic-resource-num&gt;&lt;/record&gt;&lt;/Cite&gt;&lt;/EndNote&gt;</w:instrText>
      </w:r>
      <w:r w:rsidR="003A0D62">
        <w:rPr>
          <w:rFonts w:cs="Times New Roman"/>
          <w:lang w:val="en"/>
        </w:rPr>
        <w:fldChar w:fldCharType="separate"/>
      </w:r>
      <w:r w:rsidR="0076576E" w:rsidRPr="0076576E">
        <w:rPr>
          <w:rFonts w:cs="Times New Roman"/>
          <w:noProof/>
          <w:vertAlign w:val="superscript"/>
          <w:lang w:val="en"/>
        </w:rPr>
        <w:t>191</w:t>
      </w:r>
      <w:r w:rsidR="003A0D62">
        <w:rPr>
          <w:rFonts w:cs="Times New Roman"/>
          <w:lang w:val="en"/>
        </w:rPr>
        <w:fldChar w:fldCharType="end"/>
      </w:r>
      <w:r w:rsidRPr="00790CC7">
        <w:rPr>
          <w:rFonts w:cs="Times New Roman"/>
          <w:lang w:val="en"/>
        </w:rPr>
        <w:t>), reported residue ‘per instrument side’ for evaluated instruments from cranioto</w:t>
      </w:r>
      <w:r>
        <w:rPr>
          <w:rFonts w:cs="Times New Roman"/>
          <w:lang w:val="en"/>
        </w:rPr>
        <w:t>my sets (n=187): 87% were found to have &lt;5</w:t>
      </w:r>
      <w:r w:rsidRPr="00790CC7">
        <w:rPr>
          <w:rFonts w:cs="Times New Roman"/>
          <w:lang w:val="en"/>
        </w:rPr>
        <w:t>µg per in</w:t>
      </w:r>
      <w:r>
        <w:rPr>
          <w:rFonts w:cs="Times New Roman"/>
          <w:lang w:val="en"/>
        </w:rPr>
        <w:t>strument side and 96% &lt;10</w:t>
      </w:r>
      <w:r w:rsidRPr="00790CC7">
        <w:rPr>
          <w:rFonts w:cs="Times New Roman"/>
          <w:lang w:val="en"/>
        </w:rPr>
        <w:t>µg per instrument side.</w:t>
      </w:r>
      <w:r>
        <w:rPr>
          <w:rFonts w:cs="Times New Roman"/>
          <w:lang w:val="en"/>
        </w:rPr>
        <w:t xml:space="preserve"> </w:t>
      </w:r>
      <w:r w:rsidRPr="00790CC7">
        <w:rPr>
          <w:rFonts w:cs="Times New Roman"/>
          <w:lang w:val="en"/>
        </w:rPr>
        <w:t>Two papers did not explicitly quantify the residual protein but only noted its presence (Baxter H 2006</w:t>
      </w:r>
      <w:r w:rsidR="003A0D62">
        <w:rPr>
          <w:rFonts w:cs="Times New Roman"/>
          <w:lang w:val="en"/>
        </w:rPr>
        <w:fldChar w:fldCharType="begin"/>
      </w:r>
      <w:r w:rsidR="0076576E">
        <w:rPr>
          <w:rFonts w:cs="Times New Roman"/>
          <w:lang w:val="en"/>
        </w:rPr>
        <w:instrText xml:space="preserve"> ADDIN EN.CITE &lt;EndNote&gt;&lt;Cite&gt;&lt;Author&gt;Baxter&lt;/Author&gt;&lt;Year&gt;2006&lt;/Year&gt;&lt;RecNum&gt;1918&lt;/RecNum&gt;&lt;DisplayText&gt;&lt;style face="superscript"&gt;192&lt;/style&gt;&lt;/DisplayText&gt;&lt;record&gt;&lt;rec-number&gt;1918&lt;/rec-number&gt;&lt;foreign-keys&gt;&lt;key app="EN" db-id="vrp0pptazv05wtesfz5vrzsj2p0rv09ttsa9" timestamp="1506587006" guid="205d40d1-b6a9-447d-8e11-957bdf35f61b"&gt;1918&lt;/key&gt;&lt;/foreign-keys&gt;&lt;ref-type name="Journal Article"&gt;17&lt;/ref-type&gt;&lt;contributors&gt;&lt;authors&gt;&lt;author&gt;Baxter, H. C.&lt;/author&gt;&lt;author&gt;Campbell, G. A.&lt;/author&gt;&lt;author&gt;Richardson, P. R.&lt;/author&gt;&lt;author&gt;Jones, A. C.&lt;/author&gt;&lt;author&gt;Whittle, I. R.&lt;/author&gt;&lt;author&gt;Casey, M.&lt;/author&gt;&lt;author&gt;Whittaker, A. G.&lt;/author&gt;&lt;author&gt;Baxter, R. L.&lt;/author&gt;&lt;/authors&gt;&lt;/contributors&gt;&lt;titles&gt;&lt;title&gt;Surgical instrument decontamination: Efficacy of introducing an argon : oxygen RF gas-plasma cleaning step as part of the cleaning cycle for stainless steel instruments&lt;/title&gt;&lt;secondary-title&gt;Ieee Transactions on Plasma Science&lt;/secondary-title&gt;&lt;/titles&gt;&lt;periodical&gt;&lt;full-title&gt;Ieee Transactions on Plasma Science&lt;/full-title&gt;&lt;/periodical&gt;&lt;pages&gt;1337-1344&lt;/pages&gt;&lt;volume&gt;34&lt;/volume&gt;&lt;number&gt;4&lt;/number&gt;&lt;keywords&gt;&lt;keyword&gt;$$CJD relevant&lt;/keyword&gt;&lt;keyword&gt;$$5_instrument decontamination&lt;/keyword&gt;&lt;keyword&gt;$$5_protein&lt;/keyword&gt;&lt;/keywords&gt;&lt;dates&gt;&lt;year&gt;2006&lt;/year&gt;&lt;pub-dates&gt;&lt;date&gt;Aug&lt;/date&gt;&lt;/pub-dates&gt;&lt;/dates&gt;&lt;isbn&gt;0093-3813&lt;/isbn&gt;&lt;accession-num&gt;WOS:000239976200014&lt;/accession-num&gt;&lt;urls&gt;&lt;related-urls&gt;&lt;url&gt;&amp;lt;Go to ISI&amp;gt;://WOS:000239976200014&lt;/url&gt;&lt;/related-urls&gt;&lt;/urls&gt;&lt;electronic-resource-num&gt;10.1109/tps.2006.878387&lt;/electronic-resource-num&gt;&lt;/record&gt;&lt;/Cite&gt;&lt;/EndNote&gt;</w:instrText>
      </w:r>
      <w:r w:rsidR="003A0D62">
        <w:rPr>
          <w:rFonts w:cs="Times New Roman"/>
          <w:lang w:val="en"/>
        </w:rPr>
        <w:fldChar w:fldCharType="separate"/>
      </w:r>
      <w:r w:rsidR="0076576E" w:rsidRPr="0076576E">
        <w:rPr>
          <w:rFonts w:cs="Times New Roman"/>
          <w:noProof/>
          <w:vertAlign w:val="superscript"/>
          <w:lang w:val="en"/>
        </w:rPr>
        <w:t>192</w:t>
      </w:r>
      <w:r w:rsidR="003A0D62">
        <w:rPr>
          <w:rFonts w:cs="Times New Roman"/>
          <w:lang w:val="en"/>
        </w:rPr>
        <w:fldChar w:fldCharType="end"/>
      </w:r>
      <w:r w:rsidRPr="00790CC7">
        <w:rPr>
          <w:rFonts w:cs="Times New Roman"/>
          <w:lang w:val="en"/>
        </w:rPr>
        <w:t xml:space="preserve"> &amp; 2009</w:t>
      </w:r>
      <w:r w:rsidR="003A0D62">
        <w:rPr>
          <w:rFonts w:cs="Times New Roman"/>
          <w:lang w:val="en"/>
        </w:rPr>
        <w:fldChar w:fldCharType="begin">
          <w:fldData xml:space="preserve">PEVuZE5vdGU+PENpdGU+PEF1dGhvcj5CYXh0ZXI8L0F1dGhvcj48WWVhcj4yMDA5PC9ZZWFyPjxS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PEVuZE5vdGU+PENpdGU+PEF1dGhvcj5CYXh0ZXI8L0F1dGhvcj48WWVhcj4yMDA5PC9ZZWFyPjxS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193</w:t>
      </w:r>
      <w:r w:rsidR="003A0D62">
        <w:rPr>
          <w:rFonts w:cs="Times New Roman"/>
          <w:lang w:val="en"/>
        </w:rPr>
        <w:fldChar w:fldCharType="end"/>
      </w:r>
      <w:r w:rsidRPr="00790CC7">
        <w:rPr>
          <w:rFonts w:cs="Times New Roman"/>
          <w:lang w:val="en"/>
        </w:rPr>
        <w:t>). The studies assessin</w:t>
      </w:r>
      <w:r>
        <w:rPr>
          <w:rFonts w:cs="Times New Roman"/>
          <w:lang w:val="en"/>
        </w:rPr>
        <w:t>g endoscopes reported either &lt;10</w:t>
      </w:r>
      <w:r w:rsidRPr="00790CC7">
        <w:rPr>
          <w:rFonts w:cs="Times New Roman"/>
          <w:lang w:val="en"/>
        </w:rPr>
        <w:t>ng/mm</w:t>
      </w:r>
      <w:r w:rsidRPr="00790CC7">
        <w:rPr>
          <w:rFonts w:cs="Times New Roman"/>
          <w:vertAlign w:val="superscript"/>
          <w:lang w:val="en"/>
        </w:rPr>
        <w:t>2</w:t>
      </w:r>
      <w:r w:rsidRPr="00790CC7">
        <w:rPr>
          <w:rFonts w:cs="Times New Roman"/>
          <w:lang w:val="en"/>
        </w:rPr>
        <w:t xml:space="preserve"> </w:t>
      </w:r>
      <w:r>
        <w:rPr>
          <w:rFonts w:cs="Times New Roman"/>
          <w:lang w:val="en"/>
        </w:rPr>
        <w:t xml:space="preserve">after processing </w:t>
      </w:r>
      <w:r w:rsidRPr="00790CC7">
        <w:rPr>
          <w:rFonts w:cs="Times New Roman"/>
          <w:lang w:val="en"/>
        </w:rPr>
        <w:t>(Herve 2013</w:t>
      </w:r>
      <w:r w:rsidR="003A0D62">
        <w:rPr>
          <w:rFonts w:cs="Times New Roman"/>
          <w:lang w:val="en"/>
        </w:rPr>
        <w:fldChar w:fldCharType="begin"/>
      </w:r>
      <w:r w:rsidR="0076576E">
        <w:rPr>
          <w:rFonts w:cs="Times New Roman"/>
          <w:lang w:val="en"/>
        </w:rPr>
        <w:instrText xml:space="preserve"> ADDIN EN.CITE &lt;EndNote&gt;&lt;Cite&gt;&lt;Author&gt;Herve&lt;/Author&gt;&lt;Year&gt;2013&lt;/Year&gt;&lt;RecNum&gt;8158&lt;/RecNum&gt;&lt;DisplayText&gt;&lt;style face="superscript"&gt;177&lt;/style&gt;&lt;/DisplayText&gt;&lt;record&gt;&lt;rec-number&gt;8158&lt;/rec-number&gt;&lt;foreign-keys&gt;&lt;key app="EN" db-id="vrp0pptazv05wtesfz5vrzsj2p0rv09ttsa9" timestamp="1506588735" guid="7917bccb-14b0-47c5-8c45-64caf8bd4aab"&gt;8158&lt;/key&gt;&lt;/foreign-keys&gt;&lt;ref-type name="Journal Article"&gt;17&lt;/ref-type&gt;&lt;contributors&gt;&lt;authors&gt;&lt;author&gt;Herve, R.&lt;/author&gt;&lt;author&gt;Keevil, C. W.&lt;/author&gt;&lt;/authors&gt;&lt;/contributors&gt;&lt;titles&gt;&lt;title&gt;Current limitations about the cleaning of luminal endoscopes&lt;/title&gt;&lt;secondary-title&gt;Journal of Hospital Infection&lt;/secondary-title&gt;&lt;/titles&gt;&lt;periodical&gt;&lt;full-title&gt;Journal of Hospital Infection&lt;/full-title&gt;&lt;/periodical&gt;&lt;pages&gt;22-29&lt;/pages&gt;&lt;volume&gt;83&lt;/volume&gt;&lt;number&gt;1&lt;/number&gt;&lt;keywords&gt;&lt;keyword&gt;$$CJD relevant&lt;/keyword&gt;&lt;keyword&gt;$$5_instrument decontamination&lt;/keyword&gt;&lt;keyword&gt;$$5_protein&lt;/keyword&gt;&lt;/keywords&gt;&lt;dates&gt;&lt;year&gt;2013&lt;/year&gt;&lt;pub-dates&gt;&lt;date&gt;Jan&lt;/date&gt;&lt;/pub-dates&gt;&lt;/dates&gt;&lt;isbn&gt;0195-6701&lt;/isbn&gt;&lt;accession-num&gt;WOS:000312394600003&lt;/accession-num&gt;&lt;urls&gt;&lt;related-urls&gt;&lt;url&gt;&amp;lt;Go to ISI&amp;gt;://WOS:000312394600003&lt;/url&gt;&lt;/related-urls&gt;&lt;/urls&gt;&lt;electronic-resource-num&gt;10.1016/j.jhin.2012.08.008&lt;/electronic-resource-num&gt;&lt;/record&gt;&lt;/Cite&gt;&lt;/EndNote&gt;</w:instrText>
      </w:r>
      <w:r w:rsidR="003A0D62">
        <w:rPr>
          <w:rFonts w:cs="Times New Roman"/>
          <w:lang w:val="en"/>
        </w:rPr>
        <w:fldChar w:fldCharType="separate"/>
      </w:r>
      <w:r w:rsidR="0076576E" w:rsidRPr="0076576E">
        <w:rPr>
          <w:rFonts w:cs="Times New Roman"/>
          <w:noProof/>
          <w:vertAlign w:val="superscript"/>
          <w:lang w:val="en"/>
        </w:rPr>
        <w:t>177</w:t>
      </w:r>
      <w:r w:rsidR="003A0D62">
        <w:rPr>
          <w:rFonts w:cs="Times New Roman"/>
          <w:lang w:val="en"/>
        </w:rPr>
        <w:fldChar w:fldCharType="end"/>
      </w:r>
      <w:r w:rsidRPr="00790CC7">
        <w:rPr>
          <w:rFonts w:cs="Times New Roman"/>
          <w:lang w:val="en"/>
        </w:rPr>
        <w:t>) or the ‘</w:t>
      </w:r>
      <w:r w:rsidRPr="00313F69">
        <w:rPr>
          <w:rFonts w:cs="Times New Roman"/>
          <w:i/>
        </w:rPr>
        <w:t>equivalent to 1–4µg of proteins per channel, except in one channel which harbored … equivalent to almost 33 µg of residual proteins for the whole channel</w:t>
      </w:r>
      <w:r w:rsidRPr="00790CC7">
        <w:rPr>
          <w:rFonts w:cs="Times New Roman"/>
        </w:rPr>
        <w:t>’ (Herve 2016</w:t>
      </w:r>
      <w:r w:rsidR="003A0D62">
        <w:rPr>
          <w:rFonts w:cs="Times New Roman"/>
        </w:rPr>
        <w:fldChar w:fldCharType="begin"/>
      </w:r>
      <w:r w:rsidR="0076576E">
        <w:rPr>
          <w:rFonts w:cs="Times New Roman"/>
        </w:rPr>
        <w:instrText xml:space="preserve"> ADDIN EN.CITE &lt;EndNote&gt;&lt;Cite&gt;&lt;Author&gt;Herve&lt;/Author&gt;&lt;Year&gt;2016&lt;/Year&gt;&lt;RecNum&gt;8212&lt;/RecNum&gt;&lt;DisplayText&gt;&lt;style face="superscript"&gt;186&lt;/style&gt;&lt;/DisplayText&gt;&lt;record&gt;&lt;rec-number&gt;8212&lt;/rec-number&gt;&lt;foreign-keys&gt;&lt;key app="EN" db-id="vrp0pptazv05wtesfz5vrzsj2p0rv09ttsa9" timestamp="1506588755" guid="ee7d6354-5c97-484f-9b74-11ba8d2fb507"&gt;8212&lt;/key&gt;&lt;/foreign-keys&gt;&lt;ref-type name="Journal Article"&gt;17&lt;/ref-type&gt;&lt;contributors&gt;&lt;authors&gt;&lt;author&gt;Herve, R. C.&lt;/author&gt;&lt;author&gt;Keevil, C. W.&lt;/author&gt;&lt;/authors&gt;&lt;/contributors&gt;&lt;titles&gt;&lt;title&gt;Persistent residual contamination in endoscope channels; a fluorescence epimicroscopy study&lt;/title&gt;&lt;secondary-title&gt;Endoscopy&lt;/secondary-title&gt;&lt;/titles&gt;&lt;periodical&gt;&lt;full-title&gt;Endoscopy&lt;/full-title&gt;&lt;/periodical&gt;&lt;pages&gt;609-616&lt;/pages&gt;&lt;volume&gt;48&lt;/volume&gt;&lt;number&gt;7&lt;/number&gt;&lt;keywords&gt;&lt;keyword&gt;$$CJD relevant&lt;/keyword&gt;&lt;keyword&gt;$$5_instrument decontamination&lt;/keyword&gt;&lt;keyword&gt;$$5_protein&lt;/keyword&gt;&lt;/keywords&gt;&lt;dates&gt;&lt;year&gt;2016&lt;/year&gt;&lt;pub-dates&gt;&lt;date&gt;Jul&lt;/date&gt;&lt;/pub-dates&gt;&lt;/dates&gt;&lt;isbn&gt;1438-8812&lt;/isbn&gt;&lt;accession-num&gt;27110695&lt;/accession-num&gt;&lt;urls&gt;&lt;related-urls&gt;&lt;url&gt;http://ovidsp.ovid.com/ovidweb.cgi?T=JS&amp;amp;CSC=Y&amp;amp;NEWS=N&amp;amp;PAGE=fulltext&amp;amp;D=prem&amp;amp;AN=27110695http://resolver.shef.ac.uk/?http://find.shef.ac.uk/openurl/44SFD/44SFD_services_page?sid=OVID:medline&amp;amp;id=pmid:27110695&amp;amp;id=doi:10.1055%2Fs-0042-105744&amp;amp;issn=0013-726X&amp;amp;isbn=&amp;amp;volume=48&amp;amp;issue=7&amp;amp;spage=609&amp;amp;pages=609-16&amp;amp;date=2016&amp;amp;title=Endoscopy&amp;amp;atitle=Persistent+residual+contamination+in+endoscope+channels%3B+a+fluorescence+epimicroscopy+study.&amp;amp;aulast=Herve&amp;amp;pid=%3Cauthor%3EHerve+RC%3BKeevil+CW%3C%2Fauthor%3E%3CAN%3E27110695%3C%2FAN%3E%3CDT%3EJournal+Article%3C%2FDT%3E&lt;/url&gt;&lt;/related-urls&gt;&lt;/urls&gt;&lt;electronic-resource-num&gt;https://dx.doi.org/10.1055/s-0042-105744&lt;/electronic-resource-num&gt;&lt;/record&gt;&lt;/Cite&gt;&lt;/EndNote&gt;</w:instrText>
      </w:r>
      <w:r w:rsidR="003A0D62">
        <w:rPr>
          <w:rFonts w:cs="Times New Roman"/>
        </w:rPr>
        <w:fldChar w:fldCharType="separate"/>
      </w:r>
      <w:r w:rsidR="0076576E" w:rsidRPr="0076576E">
        <w:rPr>
          <w:rFonts w:cs="Times New Roman"/>
          <w:noProof/>
          <w:vertAlign w:val="superscript"/>
        </w:rPr>
        <w:t>186</w:t>
      </w:r>
      <w:r w:rsidR="003A0D62">
        <w:rPr>
          <w:rFonts w:cs="Times New Roman"/>
        </w:rPr>
        <w:fldChar w:fldCharType="end"/>
      </w:r>
      <w:r w:rsidRPr="00790CC7">
        <w:rPr>
          <w:rFonts w:cs="Times New Roman"/>
        </w:rPr>
        <w:t>).</w:t>
      </w:r>
    </w:p>
    <w:p w14:paraId="7A81C40D" w14:textId="77777777" w:rsidR="004B69F5" w:rsidRDefault="004B69F5" w:rsidP="004B69F5">
      <w:pPr>
        <w:autoSpaceDE w:val="0"/>
        <w:autoSpaceDN w:val="0"/>
        <w:adjustRightInd w:val="0"/>
        <w:jc w:val="both"/>
        <w:rPr>
          <w:rFonts w:cs="Times New Roman"/>
          <w:lang w:val="en"/>
        </w:rPr>
      </w:pPr>
    </w:p>
    <w:p w14:paraId="5F4B20DB" w14:textId="77777777" w:rsidR="004B69F5" w:rsidRPr="00764355" w:rsidRDefault="004B69F5" w:rsidP="004B69F5">
      <w:pPr>
        <w:autoSpaceDE w:val="0"/>
        <w:autoSpaceDN w:val="0"/>
        <w:adjustRightInd w:val="0"/>
        <w:jc w:val="both"/>
        <w:rPr>
          <w:rFonts w:cs="Times New Roman"/>
          <w:lang w:val="en"/>
        </w:rPr>
        <w:sectPr w:rsidR="004B69F5" w:rsidRPr="00764355" w:rsidSect="00931EC4">
          <w:pgSz w:w="11906" w:h="16838"/>
          <w:pgMar w:top="1440" w:right="1440" w:bottom="1440" w:left="1440" w:header="708" w:footer="708" w:gutter="0"/>
          <w:cols w:space="708"/>
          <w:docGrid w:linePitch="360"/>
        </w:sectPr>
      </w:pPr>
    </w:p>
    <w:p w14:paraId="60384E3E" w14:textId="4D4A3EB8" w:rsidR="004B69F5" w:rsidRPr="003A0D62" w:rsidRDefault="003A0D62" w:rsidP="003A0D62">
      <w:pPr>
        <w:pStyle w:val="Caption"/>
        <w:rPr>
          <w:rFonts w:cs="Times New Roman"/>
          <w:b w:val="0"/>
          <w:szCs w:val="22"/>
        </w:rPr>
      </w:pPr>
      <w:bookmarkStart w:id="75" w:name="_Ref520707058"/>
      <w:bookmarkStart w:id="76" w:name="_Toc525106705"/>
      <w:r>
        <w:t xml:space="preserve">Table </w:t>
      </w:r>
      <w:r w:rsidR="00292024">
        <w:rPr>
          <w:noProof/>
        </w:rPr>
        <w:fldChar w:fldCharType="begin"/>
      </w:r>
      <w:r w:rsidR="00292024">
        <w:rPr>
          <w:noProof/>
        </w:rPr>
        <w:instrText xml:space="preserve"> SEQ Table \* ARABIC </w:instrText>
      </w:r>
      <w:r w:rsidR="00292024">
        <w:rPr>
          <w:noProof/>
        </w:rPr>
        <w:fldChar w:fldCharType="separate"/>
      </w:r>
      <w:r w:rsidR="00690541">
        <w:rPr>
          <w:noProof/>
        </w:rPr>
        <w:t>18</w:t>
      </w:r>
      <w:r w:rsidR="00292024">
        <w:rPr>
          <w:noProof/>
        </w:rPr>
        <w:fldChar w:fldCharType="end"/>
      </w:r>
      <w:bookmarkEnd w:id="75"/>
      <w:r>
        <w:t>:</w:t>
      </w:r>
      <w:r>
        <w:tab/>
      </w:r>
      <w:r w:rsidR="004B69F5" w:rsidRPr="003A0D62">
        <w:rPr>
          <w:rFonts w:cs="Times New Roman"/>
          <w:szCs w:val="22"/>
        </w:rPr>
        <w:t>Study characteristics and results</w:t>
      </w:r>
      <w:bookmarkEnd w:id="76"/>
    </w:p>
    <w:tbl>
      <w:tblPr>
        <w:tblStyle w:val="TableGrid"/>
        <w:tblW w:w="0" w:type="auto"/>
        <w:tblLook w:val="04A0" w:firstRow="1" w:lastRow="0" w:firstColumn="1" w:lastColumn="0" w:noHBand="0" w:noVBand="1"/>
      </w:tblPr>
      <w:tblGrid>
        <w:gridCol w:w="1223"/>
        <w:gridCol w:w="939"/>
        <w:gridCol w:w="1456"/>
        <w:gridCol w:w="1305"/>
        <w:gridCol w:w="1316"/>
        <w:gridCol w:w="1327"/>
        <w:gridCol w:w="4594"/>
        <w:gridCol w:w="161"/>
        <w:gridCol w:w="1853"/>
      </w:tblGrid>
      <w:tr w:rsidR="004B69F5" w:rsidRPr="00B01313" w14:paraId="18C63AB6" w14:textId="77777777" w:rsidTr="0015557F">
        <w:trPr>
          <w:tblHeader/>
        </w:trPr>
        <w:tc>
          <w:tcPr>
            <w:tcW w:w="1223" w:type="dxa"/>
            <w:vMerge w:val="restart"/>
            <w:shd w:val="clear" w:color="auto" w:fill="FFFFFF" w:themeFill="background1"/>
          </w:tcPr>
          <w:p w14:paraId="6B1E94CF" w14:textId="77777777" w:rsidR="004B69F5" w:rsidRPr="00B01313" w:rsidRDefault="004B69F5" w:rsidP="000D2CA8">
            <w:pPr>
              <w:spacing w:line="240" w:lineRule="auto"/>
              <w:rPr>
                <w:rFonts w:cs="Times New Roman"/>
                <w:b/>
                <w:sz w:val="20"/>
                <w:szCs w:val="20"/>
              </w:rPr>
            </w:pPr>
            <w:r w:rsidRPr="00B01313">
              <w:rPr>
                <w:rFonts w:cs="Times New Roman"/>
                <w:b/>
                <w:sz w:val="20"/>
                <w:szCs w:val="20"/>
              </w:rPr>
              <w:t>Study</w:t>
            </w:r>
          </w:p>
        </w:tc>
        <w:tc>
          <w:tcPr>
            <w:tcW w:w="939" w:type="dxa"/>
            <w:vMerge w:val="restart"/>
          </w:tcPr>
          <w:p w14:paraId="0F3FC5CF" w14:textId="77777777" w:rsidR="004B69F5" w:rsidRPr="00B01313" w:rsidRDefault="004B69F5" w:rsidP="000D2CA8">
            <w:pPr>
              <w:spacing w:line="240" w:lineRule="auto"/>
              <w:rPr>
                <w:rFonts w:cs="Times New Roman"/>
                <w:b/>
                <w:sz w:val="20"/>
                <w:szCs w:val="20"/>
              </w:rPr>
            </w:pPr>
            <w:r w:rsidRPr="00B01313">
              <w:rPr>
                <w:rFonts w:cs="Times New Roman"/>
                <w:b/>
                <w:sz w:val="20"/>
                <w:szCs w:val="20"/>
              </w:rPr>
              <w:t>Country</w:t>
            </w:r>
          </w:p>
        </w:tc>
        <w:tc>
          <w:tcPr>
            <w:tcW w:w="1456" w:type="dxa"/>
            <w:vMerge w:val="restart"/>
          </w:tcPr>
          <w:p w14:paraId="1C944C60" w14:textId="77777777" w:rsidR="004B69F5" w:rsidRPr="00B01313" w:rsidRDefault="004B69F5" w:rsidP="000D2CA8">
            <w:pPr>
              <w:spacing w:line="240" w:lineRule="auto"/>
              <w:rPr>
                <w:rFonts w:cs="Times New Roman"/>
                <w:b/>
                <w:sz w:val="20"/>
                <w:szCs w:val="20"/>
              </w:rPr>
            </w:pPr>
            <w:r w:rsidRPr="00B01313">
              <w:rPr>
                <w:rFonts w:cs="Times New Roman"/>
                <w:b/>
                <w:sz w:val="20"/>
                <w:szCs w:val="20"/>
              </w:rPr>
              <w:t>Source</w:t>
            </w:r>
          </w:p>
        </w:tc>
        <w:tc>
          <w:tcPr>
            <w:tcW w:w="1305" w:type="dxa"/>
            <w:vMerge w:val="restart"/>
          </w:tcPr>
          <w:p w14:paraId="0042BEDE" w14:textId="77777777" w:rsidR="004B69F5" w:rsidRPr="00B01313" w:rsidRDefault="004B69F5" w:rsidP="000D2CA8">
            <w:pPr>
              <w:spacing w:line="240" w:lineRule="auto"/>
              <w:rPr>
                <w:rFonts w:cs="Times New Roman"/>
                <w:b/>
                <w:sz w:val="20"/>
                <w:szCs w:val="20"/>
              </w:rPr>
            </w:pPr>
            <w:r w:rsidRPr="00B01313">
              <w:rPr>
                <w:rFonts w:cs="Times New Roman"/>
                <w:b/>
                <w:sz w:val="20"/>
                <w:szCs w:val="20"/>
              </w:rPr>
              <w:t>Surgical instruments</w:t>
            </w:r>
          </w:p>
          <w:p w14:paraId="1BA102C6" w14:textId="77777777" w:rsidR="004B69F5" w:rsidRPr="00B01313" w:rsidRDefault="004B69F5" w:rsidP="000D2CA8">
            <w:pPr>
              <w:spacing w:line="240" w:lineRule="auto"/>
              <w:rPr>
                <w:rFonts w:cs="Times New Roman"/>
                <w:b/>
                <w:sz w:val="20"/>
                <w:szCs w:val="20"/>
              </w:rPr>
            </w:pPr>
            <w:r w:rsidRPr="00B01313">
              <w:rPr>
                <w:rFonts w:cs="Times New Roman"/>
                <w:b/>
                <w:sz w:val="20"/>
                <w:szCs w:val="20"/>
              </w:rPr>
              <w:t>(number)</w:t>
            </w:r>
          </w:p>
        </w:tc>
        <w:tc>
          <w:tcPr>
            <w:tcW w:w="1316" w:type="dxa"/>
            <w:vMerge w:val="restart"/>
          </w:tcPr>
          <w:p w14:paraId="0AF41B49" w14:textId="77777777" w:rsidR="004B69F5" w:rsidRPr="00B01313" w:rsidRDefault="004B69F5" w:rsidP="000D2CA8">
            <w:pPr>
              <w:spacing w:line="240" w:lineRule="auto"/>
              <w:rPr>
                <w:rFonts w:cs="Times New Roman"/>
                <w:b/>
                <w:sz w:val="20"/>
                <w:szCs w:val="20"/>
              </w:rPr>
            </w:pPr>
            <w:r>
              <w:rPr>
                <w:rFonts w:cs="Times New Roman"/>
                <w:b/>
                <w:sz w:val="20"/>
                <w:szCs w:val="20"/>
              </w:rPr>
              <w:t>Cleaning</w:t>
            </w:r>
            <w:r w:rsidRPr="00B01313">
              <w:rPr>
                <w:rFonts w:cs="Times New Roman"/>
                <w:b/>
                <w:sz w:val="20"/>
                <w:szCs w:val="20"/>
              </w:rPr>
              <w:t xml:space="preserve"> cycle</w:t>
            </w:r>
          </w:p>
        </w:tc>
        <w:tc>
          <w:tcPr>
            <w:tcW w:w="1327" w:type="dxa"/>
            <w:vMerge w:val="restart"/>
          </w:tcPr>
          <w:p w14:paraId="51C7679B" w14:textId="77777777" w:rsidR="004B69F5" w:rsidRPr="00B01313" w:rsidRDefault="004B69F5" w:rsidP="000D2CA8">
            <w:pPr>
              <w:autoSpaceDE w:val="0"/>
              <w:autoSpaceDN w:val="0"/>
              <w:adjustRightInd w:val="0"/>
              <w:spacing w:line="240" w:lineRule="auto"/>
              <w:rPr>
                <w:rFonts w:cs="Times New Roman"/>
                <w:b/>
                <w:color w:val="000000"/>
                <w:sz w:val="20"/>
                <w:szCs w:val="20"/>
              </w:rPr>
            </w:pPr>
            <w:r>
              <w:rPr>
                <w:rFonts w:cs="Times New Roman"/>
                <w:b/>
                <w:color w:val="000000"/>
                <w:sz w:val="20"/>
                <w:szCs w:val="20"/>
              </w:rPr>
              <w:t>Assay / in situ</w:t>
            </w:r>
          </w:p>
        </w:tc>
        <w:tc>
          <w:tcPr>
            <w:tcW w:w="6608" w:type="dxa"/>
            <w:gridSpan w:val="3"/>
          </w:tcPr>
          <w:p w14:paraId="69DE85F7" w14:textId="77777777" w:rsidR="004B69F5" w:rsidRPr="00B01313" w:rsidRDefault="004B69F5" w:rsidP="000D2CA8">
            <w:pPr>
              <w:autoSpaceDE w:val="0"/>
              <w:autoSpaceDN w:val="0"/>
              <w:adjustRightInd w:val="0"/>
              <w:spacing w:line="240" w:lineRule="auto"/>
              <w:rPr>
                <w:rFonts w:cs="Times New Roman"/>
                <w:b/>
                <w:sz w:val="20"/>
                <w:szCs w:val="20"/>
              </w:rPr>
            </w:pPr>
            <w:r w:rsidRPr="00B01313">
              <w:rPr>
                <w:rFonts w:cs="Times New Roman"/>
                <w:b/>
                <w:color w:val="000000"/>
                <w:sz w:val="20"/>
                <w:szCs w:val="20"/>
              </w:rPr>
              <w:t>Residual protein</w:t>
            </w:r>
            <w:r w:rsidRPr="00B01313">
              <w:rPr>
                <w:rFonts w:cs="Times New Roman"/>
                <w:b/>
                <w:color w:val="000066"/>
                <w:sz w:val="20"/>
                <w:szCs w:val="20"/>
              </w:rPr>
              <w:t xml:space="preserve"> </w:t>
            </w:r>
            <w:r w:rsidRPr="00B01313">
              <w:rPr>
                <w:rFonts w:cs="Times New Roman"/>
                <w:b/>
                <w:color w:val="000000"/>
                <w:sz w:val="20"/>
                <w:szCs w:val="20"/>
              </w:rPr>
              <w:t>contamination of surgical instruments after conventional cleaning and sterilization in a sterile service department (SSD)</w:t>
            </w:r>
          </w:p>
        </w:tc>
      </w:tr>
      <w:tr w:rsidR="004B69F5" w:rsidRPr="004D0FB6" w14:paraId="3379FA01" w14:textId="77777777" w:rsidTr="0015557F">
        <w:trPr>
          <w:tblHeader/>
        </w:trPr>
        <w:tc>
          <w:tcPr>
            <w:tcW w:w="1223" w:type="dxa"/>
            <w:vMerge/>
            <w:shd w:val="clear" w:color="auto" w:fill="FFFFFF" w:themeFill="background1"/>
          </w:tcPr>
          <w:p w14:paraId="07C713C4" w14:textId="77777777" w:rsidR="004B69F5" w:rsidRPr="00FF2CED" w:rsidRDefault="004B69F5" w:rsidP="000D2CA8">
            <w:pPr>
              <w:spacing w:line="240" w:lineRule="auto"/>
              <w:rPr>
                <w:rFonts w:cs="Times New Roman"/>
                <w:b/>
                <w:sz w:val="20"/>
                <w:szCs w:val="20"/>
              </w:rPr>
            </w:pPr>
          </w:p>
        </w:tc>
        <w:tc>
          <w:tcPr>
            <w:tcW w:w="939" w:type="dxa"/>
            <w:vMerge/>
          </w:tcPr>
          <w:p w14:paraId="7B4DE9CA" w14:textId="77777777" w:rsidR="004B69F5" w:rsidRPr="00FF2CED" w:rsidRDefault="004B69F5" w:rsidP="000D2CA8">
            <w:pPr>
              <w:spacing w:line="240" w:lineRule="auto"/>
              <w:rPr>
                <w:rFonts w:cs="Times New Roman"/>
                <w:b/>
                <w:sz w:val="20"/>
                <w:szCs w:val="20"/>
              </w:rPr>
            </w:pPr>
          </w:p>
        </w:tc>
        <w:tc>
          <w:tcPr>
            <w:tcW w:w="1456" w:type="dxa"/>
            <w:vMerge/>
          </w:tcPr>
          <w:p w14:paraId="770EF54C" w14:textId="77777777" w:rsidR="004B69F5" w:rsidRPr="00FF2CED" w:rsidRDefault="004B69F5" w:rsidP="000D2CA8">
            <w:pPr>
              <w:spacing w:line="240" w:lineRule="auto"/>
              <w:rPr>
                <w:rFonts w:cs="Times New Roman"/>
                <w:b/>
                <w:sz w:val="20"/>
                <w:szCs w:val="20"/>
              </w:rPr>
            </w:pPr>
          </w:p>
        </w:tc>
        <w:tc>
          <w:tcPr>
            <w:tcW w:w="1305" w:type="dxa"/>
            <w:vMerge/>
          </w:tcPr>
          <w:p w14:paraId="13E55BAC" w14:textId="77777777" w:rsidR="004B69F5" w:rsidRPr="00FF2CED" w:rsidRDefault="004B69F5" w:rsidP="000D2CA8">
            <w:pPr>
              <w:spacing w:line="240" w:lineRule="auto"/>
              <w:rPr>
                <w:rFonts w:cs="Times New Roman"/>
                <w:b/>
                <w:sz w:val="20"/>
                <w:szCs w:val="20"/>
              </w:rPr>
            </w:pPr>
          </w:p>
        </w:tc>
        <w:tc>
          <w:tcPr>
            <w:tcW w:w="1316" w:type="dxa"/>
            <w:vMerge/>
            <w:tcBorders>
              <w:bottom w:val="single" w:sz="4" w:space="0" w:color="auto"/>
            </w:tcBorders>
          </w:tcPr>
          <w:p w14:paraId="60FAA116" w14:textId="77777777" w:rsidR="004B69F5" w:rsidRPr="00FF2CED" w:rsidRDefault="004B69F5" w:rsidP="000D2CA8">
            <w:pPr>
              <w:spacing w:line="240" w:lineRule="auto"/>
              <w:rPr>
                <w:rFonts w:cs="Times New Roman"/>
                <w:b/>
                <w:sz w:val="20"/>
                <w:szCs w:val="20"/>
              </w:rPr>
            </w:pPr>
          </w:p>
        </w:tc>
        <w:tc>
          <w:tcPr>
            <w:tcW w:w="1327" w:type="dxa"/>
            <w:vMerge/>
          </w:tcPr>
          <w:p w14:paraId="0A02AD66" w14:textId="77777777" w:rsidR="004B69F5" w:rsidRPr="006C525E" w:rsidRDefault="004B69F5" w:rsidP="000D2CA8">
            <w:pPr>
              <w:autoSpaceDE w:val="0"/>
              <w:autoSpaceDN w:val="0"/>
              <w:adjustRightInd w:val="0"/>
              <w:spacing w:line="240" w:lineRule="auto"/>
              <w:jc w:val="center"/>
              <w:rPr>
                <w:rFonts w:cs="Times New Roman"/>
                <w:b/>
                <w:color w:val="000000"/>
                <w:sz w:val="20"/>
                <w:szCs w:val="20"/>
              </w:rPr>
            </w:pPr>
          </w:p>
        </w:tc>
        <w:tc>
          <w:tcPr>
            <w:tcW w:w="4594" w:type="dxa"/>
          </w:tcPr>
          <w:p w14:paraId="23C2E4D1" w14:textId="77777777" w:rsidR="004B69F5" w:rsidRPr="006C525E" w:rsidRDefault="004B69F5" w:rsidP="000D2CA8">
            <w:pPr>
              <w:autoSpaceDE w:val="0"/>
              <w:autoSpaceDN w:val="0"/>
              <w:adjustRightInd w:val="0"/>
              <w:spacing w:line="240" w:lineRule="auto"/>
              <w:jc w:val="center"/>
              <w:rPr>
                <w:rFonts w:cs="Times New Roman"/>
                <w:b/>
                <w:sz w:val="20"/>
                <w:szCs w:val="20"/>
              </w:rPr>
            </w:pPr>
            <w:r w:rsidRPr="006C525E">
              <w:rPr>
                <w:rFonts w:cs="Times New Roman"/>
                <w:b/>
                <w:color w:val="000000"/>
                <w:sz w:val="20"/>
                <w:szCs w:val="20"/>
              </w:rPr>
              <w:t xml:space="preserve">Mean </w:t>
            </w:r>
            <w:r w:rsidRPr="006C525E">
              <w:rPr>
                <w:rFonts w:cs="Times New Roman"/>
                <w:b/>
                <w:sz w:val="20"/>
                <w:szCs w:val="20"/>
              </w:rPr>
              <w:t>protein</w:t>
            </w:r>
          </w:p>
          <w:p w14:paraId="06D0F9B3" w14:textId="77777777" w:rsidR="004B69F5" w:rsidRPr="006C525E" w:rsidRDefault="004B69F5" w:rsidP="000D2CA8">
            <w:pPr>
              <w:autoSpaceDE w:val="0"/>
              <w:autoSpaceDN w:val="0"/>
              <w:adjustRightInd w:val="0"/>
              <w:spacing w:line="240" w:lineRule="auto"/>
              <w:jc w:val="center"/>
              <w:rPr>
                <w:rFonts w:cs="Times New Roman"/>
                <w:b/>
                <w:color w:val="000000"/>
                <w:sz w:val="20"/>
                <w:szCs w:val="20"/>
              </w:rPr>
            </w:pPr>
            <w:r w:rsidRPr="006C525E">
              <w:rPr>
                <w:rFonts w:cs="Times New Roman"/>
                <w:b/>
                <w:sz w:val="20"/>
                <w:szCs w:val="20"/>
              </w:rPr>
              <w:t>per instrument (µg)</w:t>
            </w:r>
          </w:p>
        </w:tc>
        <w:tc>
          <w:tcPr>
            <w:tcW w:w="2014" w:type="dxa"/>
            <w:gridSpan w:val="2"/>
          </w:tcPr>
          <w:p w14:paraId="1A07FE5A" w14:textId="77777777" w:rsidR="004B69F5" w:rsidRPr="001D1C67" w:rsidRDefault="004B69F5" w:rsidP="000D2CA8">
            <w:pPr>
              <w:autoSpaceDE w:val="0"/>
              <w:autoSpaceDN w:val="0"/>
              <w:adjustRightInd w:val="0"/>
              <w:spacing w:line="240" w:lineRule="auto"/>
              <w:jc w:val="center"/>
              <w:rPr>
                <w:rFonts w:cs="Times New Roman"/>
                <w:b/>
                <w:sz w:val="20"/>
                <w:szCs w:val="20"/>
                <w:lang w:val="sv-SE"/>
              </w:rPr>
            </w:pPr>
            <w:r w:rsidRPr="001D1C67">
              <w:rPr>
                <w:rFonts w:cs="Times New Roman"/>
                <w:b/>
                <w:sz w:val="20"/>
                <w:szCs w:val="20"/>
                <w:lang w:val="sv-SE"/>
              </w:rPr>
              <w:t>Median protein</w:t>
            </w:r>
          </w:p>
          <w:p w14:paraId="3FB5909F" w14:textId="77777777" w:rsidR="004B69F5" w:rsidRPr="001D1C67" w:rsidRDefault="004B69F5" w:rsidP="000D2CA8">
            <w:pPr>
              <w:autoSpaceDE w:val="0"/>
              <w:autoSpaceDN w:val="0"/>
              <w:adjustRightInd w:val="0"/>
              <w:spacing w:line="240" w:lineRule="auto"/>
              <w:jc w:val="center"/>
              <w:rPr>
                <w:rFonts w:cs="Times New Roman"/>
                <w:b/>
                <w:color w:val="000000"/>
                <w:sz w:val="20"/>
                <w:szCs w:val="20"/>
                <w:lang w:val="sv-SE"/>
              </w:rPr>
            </w:pPr>
            <w:r w:rsidRPr="001D1C67">
              <w:rPr>
                <w:rFonts w:cs="Times New Roman"/>
                <w:b/>
                <w:sz w:val="20"/>
                <w:szCs w:val="20"/>
                <w:lang w:val="sv-SE"/>
              </w:rPr>
              <w:t>per instrument (µg)</w:t>
            </w:r>
          </w:p>
        </w:tc>
      </w:tr>
      <w:tr w:rsidR="004B69F5" w:rsidRPr="00FF2CED" w14:paraId="6D6DBF9C" w14:textId="77777777" w:rsidTr="0015557F">
        <w:tc>
          <w:tcPr>
            <w:tcW w:w="1223" w:type="dxa"/>
            <w:shd w:val="clear" w:color="auto" w:fill="FFFFFF" w:themeFill="background1"/>
          </w:tcPr>
          <w:p w14:paraId="6978D4D3" w14:textId="48E9C67C" w:rsidR="004B69F5" w:rsidRPr="00FF2CED" w:rsidRDefault="004B69F5" w:rsidP="0076576E">
            <w:pPr>
              <w:spacing w:line="240" w:lineRule="auto"/>
              <w:rPr>
                <w:rFonts w:cs="Times New Roman"/>
                <w:sz w:val="20"/>
                <w:szCs w:val="20"/>
              </w:rPr>
            </w:pPr>
            <w:r w:rsidRPr="00FF2CED">
              <w:rPr>
                <w:rFonts w:cs="Times New Roman"/>
                <w:sz w:val="20"/>
                <w:szCs w:val="20"/>
              </w:rPr>
              <w:t>Baxter R</w:t>
            </w:r>
            <w:r>
              <w:rPr>
                <w:rFonts w:cs="Times New Roman"/>
                <w:sz w:val="20"/>
                <w:szCs w:val="20"/>
              </w:rPr>
              <w:t>,</w:t>
            </w:r>
            <w:r w:rsidRPr="00FF2CED">
              <w:rPr>
                <w:rFonts w:cs="Times New Roman"/>
                <w:sz w:val="20"/>
                <w:szCs w:val="20"/>
              </w:rPr>
              <w:t xml:space="preserve"> 2006</w:t>
            </w:r>
            <w:r w:rsidR="003A0D62">
              <w:rPr>
                <w:rFonts w:cs="Times New Roman"/>
                <w:sz w:val="20"/>
                <w:szCs w:val="20"/>
              </w:rPr>
              <w:fldChar w:fldCharType="begin"/>
            </w:r>
            <w:r w:rsidR="0076576E">
              <w:rPr>
                <w:rFonts w:cs="Times New Roman"/>
                <w:sz w:val="20"/>
                <w:szCs w:val="20"/>
              </w:rPr>
              <w:instrText xml:space="preserve"> ADDIN EN.CITE &lt;EndNote&gt;&lt;Cite&gt;&lt;Author&gt;Baxter&lt;/Author&gt;&lt;Year&gt;2006&lt;/Year&gt;&lt;RecNum&gt;1978&lt;/RecNum&gt;&lt;DisplayText&gt;&lt;style face="superscript"&gt;187&lt;/style&gt;&lt;/DisplayText&gt;&lt;record&gt;&lt;rec-number&gt;1978&lt;/rec-number&gt;&lt;foreign-keys&gt;&lt;key app="EN" db-id="vrp0pptazv05wtesfz5vrzsj2p0rv09ttsa9" timestamp="1506587024" guid="ec71f170-19a4-4319-9c55-c391e10d247a"&gt;1978&lt;/key&gt;&lt;/foreign-keys&gt;&lt;ref-type name="Journal Article"&gt;17&lt;/ref-type&gt;&lt;contributors&gt;&lt;authors&gt;&lt;author&gt;Baxter, R. L.&lt;/author&gt;&lt;author&gt;Baxter, H. C.&lt;/author&gt;&lt;author&gt;Campbell, G. A.&lt;/author&gt;&lt;author&gt;Grant, K.&lt;/author&gt;&lt;author&gt;Jones, A.&lt;/author&gt;&lt;author&gt;Richardson, P.&lt;/author&gt;&lt;author&gt;Whittaker, G.&lt;/author&gt;&lt;/authors&gt;&lt;/contributors&gt;&lt;titles&gt;&lt;title&gt;Quantitative analysis of residual protein contamination on reprocessed surgical instruments&lt;/title&gt;&lt;secondary-title&gt;Journal of Hospital Infection&lt;/secondary-title&gt;&lt;/titles&gt;&lt;periodical&gt;&lt;full-title&gt;Journal of Hospital Infection&lt;/full-title&gt;&lt;/periodical&gt;&lt;pages&gt;439-444&lt;/pages&gt;&lt;volume&gt;63&lt;/volume&gt;&lt;number&gt;4&lt;/number&gt;&lt;keywords&gt;&lt;keyword&gt;$$CJD relevant&lt;/keyword&gt;&lt;keyword&gt;$$5_instrument decontamination&lt;/keyword&gt;&lt;keyword&gt;$$Committee recommended&lt;/keyword&gt;&lt;keyword&gt;$$5_protein&lt;/keyword&gt;&lt;/keywords&gt;&lt;dates&gt;&lt;year&gt;2006&lt;/year&gt;&lt;pub-dates&gt;&lt;date&gt;Aug&lt;/date&gt;&lt;/pub-dates&gt;&lt;/dates&gt;&lt;isbn&gt;0195-6701&lt;/isbn&gt;&lt;accession-num&gt;WOS:000239541400014&lt;/accession-num&gt;&lt;urls&gt;&lt;related-urls&gt;&lt;url&gt;&amp;lt;Go to ISI&amp;gt;://WOS:000239541400014&lt;/url&gt;&lt;/related-urls&gt;&lt;/urls&gt;&lt;electronic-resource-num&gt;10.1016/j.jhin.2006.03.011&lt;/electronic-resource-num&gt;&lt;/record&gt;&lt;/Cite&gt;&lt;/EndNote&gt;</w:instrText>
            </w:r>
            <w:r w:rsidR="003A0D62">
              <w:rPr>
                <w:rFonts w:cs="Times New Roman"/>
                <w:sz w:val="20"/>
                <w:szCs w:val="20"/>
              </w:rPr>
              <w:fldChar w:fldCharType="separate"/>
            </w:r>
            <w:r w:rsidR="0076576E" w:rsidRPr="0076576E">
              <w:rPr>
                <w:rFonts w:cs="Times New Roman"/>
                <w:noProof/>
                <w:sz w:val="20"/>
                <w:szCs w:val="20"/>
                <w:vertAlign w:val="superscript"/>
              </w:rPr>
              <w:t>187</w:t>
            </w:r>
            <w:r w:rsidR="003A0D62">
              <w:rPr>
                <w:rFonts w:cs="Times New Roman"/>
                <w:sz w:val="20"/>
                <w:szCs w:val="20"/>
              </w:rPr>
              <w:fldChar w:fldCharType="end"/>
            </w:r>
          </w:p>
        </w:tc>
        <w:tc>
          <w:tcPr>
            <w:tcW w:w="939" w:type="dxa"/>
          </w:tcPr>
          <w:p w14:paraId="5B898209" w14:textId="77777777" w:rsidR="004B69F5" w:rsidRPr="00FF2CED" w:rsidRDefault="004B69F5" w:rsidP="000D2CA8">
            <w:pPr>
              <w:spacing w:line="240" w:lineRule="auto"/>
              <w:rPr>
                <w:rFonts w:cs="Times New Roman"/>
                <w:sz w:val="20"/>
                <w:szCs w:val="20"/>
              </w:rPr>
            </w:pPr>
            <w:r>
              <w:rPr>
                <w:rFonts w:cs="Times New Roman"/>
                <w:sz w:val="20"/>
                <w:szCs w:val="20"/>
              </w:rPr>
              <w:t>UK</w:t>
            </w:r>
          </w:p>
        </w:tc>
        <w:tc>
          <w:tcPr>
            <w:tcW w:w="1456" w:type="dxa"/>
          </w:tcPr>
          <w:p w14:paraId="454E75E0" w14:textId="77777777" w:rsidR="004B69F5" w:rsidRDefault="004B69F5" w:rsidP="000D2CA8">
            <w:pPr>
              <w:spacing w:line="240" w:lineRule="auto"/>
              <w:rPr>
                <w:rFonts w:cs="Times New Roman"/>
                <w:sz w:val="20"/>
                <w:szCs w:val="20"/>
              </w:rPr>
            </w:pPr>
            <w:r>
              <w:rPr>
                <w:rFonts w:cs="Times New Roman"/>
                <w:sz w:val="20"/>
                <w:szCs w:val="20"/>
              </w:rPr>
              <w:t>SSDs from a random sample of NHS trusts</w:t>
            </w:r>
          </w:p>
        </w:tc>
        <w:tc>
          <w:tcPr>
            <w:tcW w:w="1305" w:type="dxa"/>
          </w:tcPr>
          <w:p w14:paraId="6E0CEDB6" w14:textId="77777777" w:rsidR="004B69F5" w:rsidRPr="00FF2CED" w:rsidRDefault="004B69F5" w:rsidP="000D2CA8">
            <w:pPr>
              <w:spacing w:line="240" w:lineRule="auto"/>
              <w:rPr>
                <w:rFonts w:cs="Times New Roman"/>
                <w:sz w:val="20"/>
                <w:szCs w:val="20"/>
              </w:rPr>
            </w:pPr>
            <w:r>
              <w:rPr>
                <w:rFonts w:cs="Times New Roman"/>
                <w:sz w:val="20"/>
                <w:szCs w:val="20"/>
              </w:rPr>
              <w:t>Five trays (n=120)</w:t>
            </w:r>
          </w:p>
        </w:tc>
        <w:tc>
          <w:tcPr>
            <w:tcW w:w="1316" w:type="dxa"/>
            <w:shd w:val="clear" w:color="auto" w:fill="FFFFFF" w:themeFill="background1"/>
          </w:tcPr>
          <w:p w14:paraId="01084912" w14:textId="77777777" w:rsidR="004B69F5" w:rsidRPr="00FF2CED" w:rsidRDefault="004B69F5" w:rsidP="000D2CA8">
            <w:pPr>
              <w:spacing w:line="240" w:lineRule="auto"/>
              <w:rPr>
                <w:rFonts w:cs="Times New Roman"/>
                <w:sz w:val="20"/>
                <w:szCs w:val="20"/>
              </w:rPr>
            </w:pPr>
            <w:r>
              <w:rPr>
                <w:rFonts w:cs="Times New Roman"/>
                <w:sz w:val="20"/>
                <w:szCs w:val="20"/>
              </w:rPr>
              <w:t>‘</w:t>
            </w:r>
            <w:r>
              <w:rPr>
                <w:rFonts w:ascii="AdvTrebu-R" w:hAnsi="AdvTrebu-R" w:cs="AdvTrebu-R"/>
                <w:sz w:val="20"/>
                <w:szCs w:val="20"/>
              </w:rPr>
              <w:t>routine hospital cleaning and sterilization</w:t>
            </w:r>
            <w:r>
              <w:rPr>
                <w:rFonts w:cs="Times New Roman"/>
                <w:sz w:val="20"/>
                <w:szCs w:val="20"/>
              </w:rPr>
              <w:t>’</w:t>
            </w:r>
            <w:r w:rsidRPr="00FF2CED">
              <w:rPr>
                <w:rFonts w:cs="Times New Roman"/>
                <w:sz w:val="20"/>
                <w:szCs w:val="20"/>
              </w:rPr>
              <w:t xml:space="preserve"> </w:t>
            </w:r>
          </w:p>
        </w:tc>
        <w:tc>
          <w:tcPr>
            <w:tcW w:w="1327" w:type="dxa"/>
            <w:shd w:val="clear" w:color="auto" w:fill="FFFFFF" w:themeFill="background1"/>
          </w:tcPr>
          <w:p w14:paraId="35E7E4DF" w14:textId="77777777" w:rsidR="004B69F5" w:rsidRDefault="004B69F5" w:rsidP="000D2CA8">
            <w:pPr>
              <w:spacing w:line="240" w:lineRule="auto"/>
              <w:rPr>
                <w:rFonts w:cs="Times New Roman"/>
                <w:sz w:val="20"/>
                <w:szCs w:val="20"/>
              </w:rPr>
            </w:pPr>
            <w:r>
              <w:rPr>
                <w:rFonts w:cs="Times New Roman"/>
                <w:sz w:val="20"/>
                <w:szCs w:val="20"/>
              </w:rPr>
              <w:t xml:space="preserve">Ninhydrin / </w:t>
            </w:r>
          </w:p>
          <w:p w14:paraId="1C4414BC" w14:textId="77777777" w:rsidR="004B69F5" w:rsidRDefault="004B69F5" w:rsidP="000D2CA8">
            <w:pPr>
              <w:spacing w:line="240" w:lineRule="auto"/>
              <w:rPr>
                <w:rFonts w:cs="Times New Roman"/>
                <w:sz w:val="20"/>
                <w:szCs w:val="20"/>
              </w:rPr>
            </w:pPr>
          </w:p>
          <w:p w14:paraId="7ADC2771" w14:textId="77777777" w:rsidR="004B69F5" w:rsidRDefault="004B69F5" w:rsidP="000D2CA8">
            <w:pPr>
              <w:spacing w:line="240" w:lineRule="auto"/>
              <w:rPr>
                <w:rFonts w:cs="Times New Roman"/>
                <w:sz w:val="20"/>
                <w:szCs w:val="20"/>
              </w:rPr>
            </w:pPr>
          </w:p>
          <w:p w14:paraId="6AE20E43" w14:textId="77777777" w:rsidR="004B69F5" w:rsidRDefault="004B69F5" w:rsidP="000D2CA8">
            <w:pPr>
              <w:spacing w:line="240" w:lineRule="auto"/>
              <w:rPr>
                <w:rFonts w:cs="Times New Roman"/>
                <w:sz w:val="20"/>
                <w:szCs w:val="20"/>
              </w:rPr>
            </w:pPr>
            <w:r>
              <w:rPr>
                <w:rFonts w:ascii="AdvTrebu-R" w:hAnsi="AdvTrebu-R" w:cs="AdvTrebu-R"/>
                <w:sz w:val="20"/>
                <w:szCs w:val="20"/>
                <w:lang w:val="en"/>
              </w:rPr>
              <w:t>Acid stripping of surfaces and hydrolysing of proteins</w:t>
            </w:r>
          </w:p>
        </w:tc>
        <w:tc>
          <w:tcPr>
            <w:tcW w:w="4594" w:type="dxa"/>
            <w:shd w:val="clear" w:color="auto" w:fill="FFFFFF" w:themeFill="background1"/>
          </w:tcPr>
          <w:p w14:paraId="7D4A160C" w14:textId="77777777" w:rsidR="004B69F5" w:rsidRDefault="004B69F5" w:rsidP="000D2CA8">
            <w:pPr>
              <w:spacing w:line="240" w:lineRule="auto"/>
              <w:jc w:val="center"/>
              <w:rPr>
                <w:rFonts w:cs="Times New Roman"/>
                <w:sz w:val="20"/>
                <w:szCs w:val="20"/>
              </w:rPr>
            </w:pPr>
          </w:p>
          <w:p w14:paraId="1E3CD85A" w14:textId="77777777" w:rsidR="004B69F5" w:rsidRPr="00FF2CED" w:rsidRDefault="004B69F5" w:rsidP="000D2CA8">
            <w:pPr>
              <w:spacing w:line="240" w:lineRule="auto"/>
              <w:jc w:val="center"/>
              <w:rPr>
                <w:rFonts w:cs="Times New Roman"/>
                <w:sz w:val="20"/>
                <w:szCs w:val="20"/>
              </w:rPr>
            </w:pPr>
            <w:r>
              <w:rPr>
                <w:rFonts w:cs="Times New Roman"/>
                <w:sz w:val="20"/>
                <w:szCs w:val="20"/>
              </w:rPr>
              <w:t>NR</w:t>
            </w:r>
          </w:p>
        </w:tc>
        <w:tc>
          <w:tcPr>
            <w:tcW w:w="2014" w:type="dxa"/>
            <w:gridSpan w:val="2"/>
            <w:shd w:val="clear" w:color="auto" w:fill="FFFFFF" w:themeFill="background1"/>
          </w:tcPr>
          <w:p w14:paraId="1F44B044" w14:textId="77777777" w:rsidR="004B69F5" w:rsidRDefault="004B69F5" w:rsidP="000D2CA8">
            <w:pPr>
              <w:spacing w:line="240" w:lineRule="auto"/>
              <w:jc w:val="center"/>
              <w:rPr>
                <w:rFonts w:cs="Times New Roman"/>
                <w:sz w:val="20"/>
                <w:szCs w:val="20"/>
              </w:rPr>
            </w:pPr>
          </w:p>
          <w:p w14:paraId="292AE3B1" w14:textId="77777777" w:rsidR="004B69F5" w:rsidRPr="00FF2CED" w:rsidRDefault="004B69F5" w:rsidP="000D2CA8">
            <w:pPr>
              <w:spacing w:line="240" w:lineRule="auto"/>
              <w:jc w:val="center"/>
              <w:rPr>
                <w:rFonts w:cs="Times New Roman"/>
                <w:sz w:val="20"/>
                <w:szCs w:val="20"/>
              </w:rPr>
            </w:pPr>
            <w:r w:rsidRPr="00FF2CED">
              <w:rPr>
                <w:rFonts w:cs="Times New Roman"/>
                <w:sz w:val="20"/>
                <w:szCs w:val="20"/>
              </w:rPr>
              <w:t>163-756</w:t>
            </w:r>
            <w:r w:rsidRPr="00275165">
              <w:rPr>
                <w:rFonts w:cs="Times New Roman"/>
                <w:sz w:val="20"/>
                <w:szCs w:val="20"/>
              </w:rPr>
              <w:t xml:space="preserve"> µg</w:t>
            </w:r>
            <w:r w:rsidRPr="00FF2CED">
              <w:rPr>
                <w:rFonts w:cs="Times New Roman"/>
                <w:sz w:val="20"/>
                <w:szCs w:val="20"/>
              </w:rPr>
              <w:t xml:space="preserve"> (range)</w:t>
            </w:r>
            <w:r>
              <w:rPr>
                <w:rFonts w:cs="Times New Roman"/>
                <w:sz w:val="20"/>
                <w:szCs w:val="20"/>
              </w:rPr>
              <w:t>§</w:t>
            </w:r>
          </w:p>
        </w:tc>
      </w:tr>
      <w:tr w:rsidR="004B69F5" w:rsidRPr="00FF2CED" w14:paraId="0F6A83D3" w14:textId="77777777" w:rsidTr="0015557F">
        <w:tc>
          <w:tcPr>
            <w:tcW w:w="1223" w:type="dxa"/>
            <w:shd w:val="clear" w:color="auto" w:fill="FFFFFF" w:themeFill="background1"/>
          </w:tcPr>
          <w:p w14:paraId="265CBA5C" w14:textId="47A7B7CC" w:rsidR="004B69F5" w:rsidRPr="00FF2CED" w:rsidRDefault="004B69F5" w:rsidP="0076576E">
            <w:pPr>
              <w:spacing w:line="240" w:lineRule="auto"/>
              <w:rPr>
                <w:rFonts w:cs="Times New Roman"/>
                <w:sz w:val="20"/>
                <w:szCs w:val="20"/>
              </w:rPr>
            </w:pPr>
            <w:r w:rsidRPr="0020784B">
              <w:rPr>
                <w:rFonts w:cs="Times New Roman"/>
                <w:sz w:val="20"/>
                <w:szCs w:val="20"/>
              </w:rPr>
              <w:t>Lipscomb 2006</w:t>
            </w:r>
            <w:r>
              <w:rPr>
                <w:rFonts w:cs="Times New Roman"/>
                <w:sz w:val="20"/>
                <w:szCs w:val="20"/>
              </w:rPr>
              <w:t>a</w:t>
            </w:r>
            <w:r w:rsidR="003A0D62">
              <w:rPr>
                <w:rFonts w:cs="Times New Roman"/>
                <w:sz w:val="20"/>
                <w:szCs w:val="20"/>
              </w:rPr>
              <w:fldChar w:fldCharType="begin">
                <w:fldData xml:space="preserve">PEVuZE5vdGU+PENpdGU+PEF1dGhvcj5MaXBzY29tYjwvQXV0aG9yPjxZZWFyPjIwMDZhPC9ZZWFy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</w:fldData>
              </w:fldChar>
            </w:r>
            <w:r w:rsidR="0076576E">
              <w:rPr>
                <w:rFonts w:cs="Times New Roman"/>
                <w:sz w:val="20"/>
                <w:szCs w:val="20"/>
              </w:rPr>
              <w:instrText xml:space="preserve"> ADDIN EN.CITE </w:instrText>
            </w:r>
            <w:r w:rsidR="0076576E">
              <w:rPr>
                <w:rFonts w:cs="Times New Roman"/>
                <w:sz w:val="20"/>
                <w:szCs w:val="20"/>
              </w:rPr>
              <w:fldChar w:fldCharType="begin">
                <w:fldData xml:space="preserve">PEVuZE5vdGU+PENpdGU+PEF1dGhvcj5MaXBzY29tYjwvQXV0aG9yPjxZZWFyPjIwMDZhPC9ZZWFy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</w:fldData>
              </w:fldChar>
            </w:r>
            <w:r w:rsidR="0076576E">
              <w:rPr>
                <w:rFonts w:cs="Times New Roman"/>
                <w:sz w:val="20"/>
                <w:szCs w:val="20"/>
              </w:rPr>
              <w:instrText xml:space="preserve"> ADDIN EN.CITE.DATA </w:instrText>
            </w:r>
            <w:r w:rsidR="0076576E">
              <w:rPr>
                <w:rFonts w:cs="Times New Roman"/>
                <w:sz w:val="20"/>
                <w:szCs w:val="20"/>
              </w:rPr>
            </w:r>
            <w:r w:rsidR="0076576E">
              <w:rPr>
                <w:rFonts w:cs="Times New Roman"/>
                <w:sz w:val="20"/>
                <w:szCs w:val="20"/>
              </w:rPr>
              <w:fldChar w:fldCharType="end"/>
            </w:r>
            <w:r w:rsidR="003A0D62">
              <w:rPr>
                <w:rFonts w:cs="Times New Roman"/>
                <w:sz w:val="20"/>
                <w:szCs w:val="20"/>
              </w:rPr>
            </w:r>
            <w:r w:rsidR="003A0D62">
              <w:rPr>
                <w:rFonts w:cs="Times New Roman"/>
                <w:sz w:val="20"/>
                <w:szCs w:val="20"/>
              </w:rPr>
              <w:fldChar w:fldCharType="separate"/>
            </w:r>
            <w:r w:rsidR="0076576E" w:rsidRPr="0076576E">
              <w:rPr>
                <w:rFonts w:cs="Times New Roman"/>
                <w:noProof/>
                <w:sz w:val="20"/>
                <w:szCs w:val="20"/>
                <w:vertAlign w:val="superscript"/>
              </w:rPr>
              <w:t>189</w:t>
            </w:r>
            <w:r w:rsidR="003A0D62">
              <w:rPr>
                <w:rFonts w:cs="Times New Roman"/>
                <w:sz w:val="20"/>
                <w:szCs w:val="20"/>
              </w:rPr>
              <w:fldChar w:fldCharType="end"/>
            </w:r>
            <w:r>
              <w:rPr>
                <w:rFonts w:cs="Times New Roman"/>
                <w:sz w:val="20"/>
                <w:szCs w:val="20"/>
              </w:rPr>
              <w:t>*</w:t>
            </w:r>
          </w:p>
        </w:tc>
        <w:tc>
          <w:tcPr>
            <w:tcW w:w="939" w:type="dxa"/>
          </w:tcPr>
          <w:p w14:paraId="4E662A78" w14:textId="77777777" w:rsidR="004B69F5" w:rsidRDefault="004B69F5" w:rsidP="000D2CA8">
            <w:pPr>
              <w:spacing w:line="240" w:lineRule="auto"/>
              <w:rPr>
                <w:rFonts w:cs="Times New Roman"/>
                <w:sz w:val="20"/>
                <w:szCs w:val="20"/>
              </w:rPr>
            </w:pPr>
            <w:r>
              <w:rPr>
                <w:rFonts w:cs="Times New Roman"/>
                <w:sz w:val="20"/>
                <w:szCs w:val="20"/>
              </w:rPr>
              <w:t>UK</w:t>
            </w:r>
          </w:p>
        </w:tc>
        <w:tc>
          <w:tcPr>
            <w:tcW w:w="1456" w:type="dxa"/>
          </w:tcPr>
          <w:p w14:paraId="40782FA3" w14:textId="77777777" w:rsidR="004B69F5" w:rsidRDefault="004B69F5" w:rsidP="000D2CA8">
            <w:pPr>
              <w:spacing w:line="240" w:lineRule="auto"/>
              <w:rPr>
                <w:rFonts w:cs="Times New Roman"/>
                <w:sz w:val="20"/>
                <w:szCs w:val="20"/>
              </w:rPr>
            </w:pPr>
            <w:r>
              <w:rPr>
                <w:rFonts w:cs="Times New Roman"/>
                <w:sz w:val="20"/>
                <w:szCs w:val="20"/>
              </w:rPr>
              <w:t>SSD from one NHS trust</w:t>
            </w:r>
          </w:p>
        </w:tc>
        <w:tc>
          <w:tcPr>
            <w:tcW w:w="1305" w:type="dxa"/>
          </w:tcPr>
          <w:p w14:paraId="5DC84539" w14:textId="77777777" w:rsidR="004B69F5" w:rsidRPr="00FF2CED" w:rsidRDefault="004B69F5" w:rsidP="000D2CA8">
            <w:pPr>
              <w:spacing w:line="240" w:lineRule="auto"/>
              <w:rPr>
                <w:rFonts w:cs="Times New Roman"/>
                <w:sz w:val="20"/>
                <w:szCs w:val="20"/>
              </w:rPr>
            </w:pPr>
            <w:r>
              <w:rPr>
                <w:rFonts w:cs="Times New Roman"/>
                <w:sz w:val="20"/>
                <w:szCs w:val="20"/>
              </w:rPr>
              <w:t>Ranged in shape and size (n=23)</w:t>
            </w:r>
          </w:p>
        </w:tc>
        <w:tc>
          <w:tcPr>
            <w:tcW w:w="1316" w:type="dxa"/>
            <w:shd w:val="clear" w:color="auto" w:fill="FFFFFF" w:themeFill="background1"/>
          </w:tcPr>
          <w:p w14:paraId="671480B5" w14:textId="77777777" w:rsidR="004B69F5" w:rsidRPr="00FF2CED" w:rsidRDefault="004B69F5" w:rsidP="000D2CA8">
            <w:pPr>
              <w:spacing w:line="240" w:lineRule="auto"/>
              <w:rPr>
                <w:rFonts w:cs="Times New Roman"/>
                <w:sz w:val="20"/>
                <w:szCs w:val="20"/>
              </w:rPr>
            </w:pPr>
            <w:r>
              <w:rPr>
                <w:rFonts w:cs="Times New Roman"/>
                <w:sz w:val="20"/>
                <w:szCs w:val="20"/>
              </w:rPr>
              <w:t>‘T</w:t>
            </w:r>
            <w:r w:rsidRPr="00334E19">
              <w:rPr>
                <w:rFonts w:cs="Times New Roman"/>
                <w:sz w:val="20"/>
                <w:szCs w:val="20"/>
              </w:rPr>
              <w:t>raditional machine washer-disinfector cleaning procedures’</w:t>
            </w:r>
          </w:p>
        </w:tc>
        <w:tc>
          <w:tcPr>
            <w:tcW w:w="1327" w:type="dxa"/>
            <w:shd w:val="clear" w:color="auto" w:fill="FFFFFF" w:themeFill="background1"/>
          </w:tcPr>
          <w:p w14:paraId="189A9A44" w14:textId="77777777" w:rsidR="004B69F5" w:rsidRDefault="004B69F5" w:rsidP="000D2CA8">
            <w:pPr>
              <w:spacing w:line="240" w:lineRule="auto"/>
              <w:rPr>
                <w:rFonts w:cs="Times New Roman"/>
                <w:sz w:val="20"/>
                <w:szCs w:val="20"/>
                <w:lang w:val="en"/>
              </w:rPr>
            </w:pPr>
            <w:r w:rsidRPr="006620DA">
              <w:rPr>
                <w:rFonts w:cs="Times New Roman"/>
                <w:sz w:val="20"/>
                <w:szCs w:val="20"/>
                <w:lang w:val="en"/>
              </w:rPr>
              <w:t>SYPRO Ruby and EDIC/EF microscopy</w:t>
            </w:r>
          </w:p>
          <w:p w14:paraId="7E1CD580" w14:textId="77777777" w:rsidR="004B69F5" w:rsidRDefault="004B69F5" w:rsidP="000D2CA8">
            <w:pPr>
              <w:spacing w:line="240" w:lineRule="auto"/>
              <w:rPr>
                <w:rFonts w:cs="Times New Roman"/>
                <w:sz w:val="20"/>
                <w:szCs w:val="20"/>
                <w:lang w:val="en"/>
              </w:rPr>
            </w:pPr>
          </w:p>
          <w:p w14:paraId="3337958C" w14:textId="77777777" w:rsidR="004B69F5" w:rsidRPr="006620DA" w:rsidRDefault="004B69F5" w:rsidP="000D2CA8">
            <w:pPr>
              <w:spacing w:line="240" w:lineRule="auto"/>
              <w:rPr>
                <w:rFonts w:cs="Times New Roman"/>
                <w:sz w:val="20"/>
                <w:szCs w:val="20"/>
                <w:lang w:val="en"/>
              </w:rPr>
            </w:pPr>
            <w:r>
              <w:rPr>
                <w:rFonts w:ascii="Times-Roman" w:hAnsi="Times-Roman" w:cs="Times-Roman"/>
                <w:sz w:val="20"/>
                <w:szCs w:val="20"/>
                <w:lang w:val="en"/>
              </w:rPr>
              <w:t>Unclear</w:t>
            </w:r>
            <w:r w:rsidRPr="002E3BA1">
              <w:rPr>
                <w:rFonts w:ascii="Times-Roman" w:hAnsi="Times-Roman" w:cs="Times-Roman"/>
                <w:sz w:val="20"/>
                <w:szCs w:val="20"/>
                <w:vertAlign w:val="superscript"/>
                <w:lang w:val="en"/>
              </w:rPr>
              <w:t>b</w:t>
            </w:r>
          </w:p>
        </w:tc>
        <w:tc>
          <w:tcPr>
            <w:tcW w:w="6608" w:type="dxa"/>
            <w:gridSpan w:val="3"/>
            <w:shd w:val="clear" w:color="auto" w:fill="FFFFFF" w:themeFill="background1"/>
          </w:tcPr>
          <w:p w14:paraId="7670F40C" w14:textId="77777777" w:rsidR="004B69F5" w:rsidRDefault="004B69F5" w:rsidP="000D2CA8">
            <w:pPr>
              <w:spacing w:line="240" w:lineRule="auto"/>
              <w:rPr>
                <w:rFonts w:cs="Times New Roman"/>
                <w:sz w:val="20"/>
                <w:szCs w:val="20"/>
                <w:lang w:val="en"/>
              </w:rPr>
            </w:pPr>
            <w:r>
              <w:rPr>
                <w:rFonts w:cs="Times New Roman"/>
                <w:sz w:val="20"/>
                <w:szCs w:val="20"/>
                <w:lang w:val="en"/>
              </w:rPr>
              <w:t xml:space="preserve">Results indicated that over half (56%) of the instruments inspected showed severe (classes 3–4) contamination in at least one of the sample regions, 35% were moderately contaminated (class 3), and only 9% displayed low-level deposition (class 0–2). The overall mean CI value for all the instruments was 2.8. </w:t>
            </w:r>
          </w:p>
          <w:p w14:paraId="664F688B" w14:textId="77777777" w:rsidR="004B69F5" w:rsidRPr="0071437F" w:rsidRDefault="004B69F5" w:rsidP="000D2CA8">
            <w:pPr>
              <w:spacing w:line="240" w:lineRule="auto"/>
              <w:rPr>
                <w:rFonts w:cs="Times New Roman"/>
                <w:i/>
                <w:sz w:val="20"/>
                <w:szCs w:val="20"/>
              </w:rPr>
            </w:pPr>
            <w:r w:rsidRPr="0071437F">
              <w:rPr>
                <w:rFonts w:cs="Times New Roman"/>
                <w:i/>
                <w:sz w:val="20"/>
                <w:szCs w:val="20"/>
                <w:lang w:val="en"/>
              </w:rPr>
              <w:t xml:space="preserve">Contamination index (CI): class 3 is 0.42-4.2 </w:t>
            </w:r>
            <w:r w:rsidRPr="0071437F">
              <w:rPr>
                <w:rFonts w:cs="Times New Roman"/>
                <w:i/>
                <w:sz w:val="20"/>
                <w:szCs w:val="20"/>
              </w:rPr>
              <w:t>µ</w:t>
            </w:r>
            <w:r w:rsidRPr="0071437F">
              <w:rPr>
                <w:rFonts w:cs="Times New Roman"/>
                <w:i/>
                <w:sz w:val="20"/>
                <w:szCs w:val="20"/>
                <w:lang w:val="en"/>
              </w:rPr>
              <w:t>g of protein/mm</w:t>
            </w:r>
            <w:r w:rsidRPr="0071437F">
              <w:rPr>
                <w:rFonts w:cs="Times New Roman"/>
                <w:i/>
                <w:sz w:val="20"/>
                <w:szCs w:val="20"/>
                <w:vertAlign w:val="superscript"/>
                <w:lang w:val="en"/>
              </w:rPr>
              <w:t>2</w:t>
            </w:r>
            <w:r w:rsidRPr="0071437F">
              <w:rPr>
                <w:rFonts w:cs="Times New Roman"/>
                <w:i/>
                <w:sz w:val="20"/>
                <w:szCs w:val="20"/>
                <w:lang w:val="en"/>
              </w:rPr>
              <w:t xml:space="preserve"> and class 4 is &gt;4.4</w:t>
            </w:r>
            <w:r w:rsidRPr="0071437F">
              <w:rPr>
                <w:rFonts w:cs="Times New Roman"/>
                <w:i/>
                <w:sz w:val="20"/>
                <w:szCs w:val="20"/>
              </w:rPr>
              <w:t>µ</w:t>
            </w:r>
            <w:r w:rsidRPr="0071437F">
              <w:rPr>
                <w:rFonts w:cs="Times New Roman"/>
                <w:i/>
                <w:sz w:val="20"/>
                <w:szCs w:val="20"/>
                <w:lang w:val="en"/>
              </w:rPr>
              <w:t>g/mm</w:t>
            </w:r>
            <w:r w:rsidRPr="0071437F">
              <w:rPr>
                <w:rFonts w:cs="Times New Roman"/>
                <w:i/>
                <w:sz w:val="20"/>
                <w:szCs w:val="20"/>
                <w:vertAlign w:val="superscript"/>
                <w:lang w:val="en"/>
              </w:rPr>
              <w:t>2</w:t>
            </w:r>
            <w:r w:rsidRPr="0071437F">
              <w:rPr>
                <w:rFonts w:cs="Times New Roman"/>
                <w:i/>
                <w:sz w:val="20"/>
                <w:szCs w:val="20"/>
                <w:lang w:val="en"/>
              </w:rPr>
              <w:t>.</w:t>
            </w:r>
          </w:p>
        </w:tc>
      </w:tr>
      <w:tr w:rsidR="004B69F5" w:rsidRPr="00FF2CED" w14:paraId="2FE26065" w14:textId="77777777" w:rsidTr="0015557F">
        <w:tc>
          <w:tcPr>
            <w:tcW w:w="1223" w:type="dxa"/>
            <w:shd w:val="clear" w:color="auto" w:fill="FFFFFF" w:themeFill="background1"/>
          </w:tcPr>
          <w:p w14:paraId="044FFBA4" w14:textId="0B81F26E" w:rsidR="004B69F5" w:rsidRPr="00FF2CED" w:rsidRDefault="004B69F5" w:rsidP="0076576E">
            <w:pPr>
              <w:spacing w:line="240" w:lineRule="auto"/>
              <w:rPr>
                <w:rFonts w:cs="Times New Roman"/>
                <w:sz w:val="20"/>
                <w:szCs w:val="20"/>
              </w:rPr>
            </w:pPr>
            <w:r w:rsidRPr="0020784B">
              <w:rPr>
                <w:rFonts w:cs="Times New Roman"/>
                <w:sz w:val="20"/>
                <w:szCs w:val="20"/>
              </w:rPr>
              <w:t>Lipscomb 2006</w:t>
            </w:r>
            <w:r>
              <w:rPr>
                <w:rFonts w:cs="Times New Roman"/>
                <w:sz w:val="20"/>
                <w:szCs w:val="20"/>
              </w:rPr>
              <w:t>b</w:t>
            </w:r>
            <w:r w:rsidR="003A0D62">
              <w:rPr>
                <w:rFonts w:cs="Times New Roman"/>
                <w:sz w:val="20"/>
                <w:szCs w:val="20"/>
              </w:rPr>
              <w:fldChar w:fldCharType="begin">
                <w:fldData xml:space="preserve">PEVuZE5vdGU+PENpdGU+PEF1dGhvcj5MaXBzY29tYjwvQXV0aG9yPjxZZWFyPjIwMDZiPC9ZZWFy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</w:fldData>
              </w:fldChar>
            </w:r>
            <w:r w:rsidR="0076576E">
              <w:rPr>
                <w:rFonts w:cs="Times New Roman"/>
                <w:sz w:val="20"/>
                <w:szCs w:val="20"/>
              </w:rPr>
              <w:instrText xml:space="preserve"> ADDIN EN.CITE </w:instrText>
            </w:r>
            <w:r w:rsidR="0076576E">
              <w:rPr>
                <w:rFonts w:cs="Times New Roman"/>
                <w:sz w:val="20"/>
                <w:szCs w:val="20"/>
              </w:rPr>
              <w:fldChar w:fldCharType="begin">
                <w:fldData xml:space="preserve">PEVuZE5vdGU+PENpdGU+PEF1dGhvcj5MaXBzY29tYjwvQXV0aG9yPjxZZWFyPjIwMDZiPC9ZZWFy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</w:fldData>
              </w:fldChar>
            </w:r>
            <w:r w:rsidR="0076576E">
              <w:rPr>
                <w:rFonts w:cs="Times New Roman"/>
                <w:sz w:val="20"/>
                <w:szCs w:val="20"/>
              </w:rPr>
              <w:instrText xml:space="preserve"> ADDIN EN.CITE.DATA </w:instrText>
            </w:r>
            <w:r w:rsidR="0076576E">
              <w:rPr>
                <w:rFonts w:cs="Times New Roman"/>
                <w:sz w:val="20"/>
                <w:szCs w:val="20"/>
              </w:rPr>
            </w:r>
            <w:r w:rsidR="0076576E">
              <w:rPr>
                <w:rFonts w:cs="Times New Roman"/>
                <w:sz w:val="20"/>
                <w:szCs w:val="20"/>
              </w:rPr>
              <w:fldChar w:fldCharType="end"/>
            </w:r>
            <w:r w:rsidR="003A0D62">
              <w:rPr>
                <w:rFonts w:cs="Times New Roman"/>
                <w:sz w:val="20"/>
                <w:szCs w:val="20"/>
              </w:rPr>
            </w:r>
            <w:r w:rsidR="003A0D62">
              <w:rPr>
                <w:rFonts w:cs="Times New Roman"/>
                <w:sz w:val="20"/>
                <w:szCs w:val="20"/>
              </w:rPr>
              <w:fldChar w:fldCharType="separate"/>
            </w:r>
            <w:r w:rsidR="0076576E" w:rsidRPr="0076576E">
              <w:rPr>
                <w:rFonts w:cs="Times New Roman"/>
                <w:noProof/>
                <w:sz w:val="20"/>
                <w:szCs w:val="20"/>
                <w:vertAlign w:val="superscript"/>
              </w:rPr>
              <w:t>190</w:t>
            </w:r>
            <w:r w:rsidR="003A0D62">
              <w:rPr>
                <w:rFonts w:cs="Times New Roman"/>
                <w:sz w:val="20"/>
                <w:szCs w:val="20"/>
              </w:rPr>
              <w:fldChar w:fldCharType="end"/>
            </w:r>
            <w:r>
              <w:rPr>
                <w:rFonts w:cs="Times New Roman"/>
                <w:sz w:val="20"/>
                <w:szCs w:val="20"/>
              </w:rPr>
              <w:t>*</w:t>
            </w:r>
          </w:p>
        </w:tc>
        <w:tc>
          <w:tcPr>
            <w:tcW w:w="939" w:type="dxa"/>
          </w:tcPr>
          <w:p w14:paraId="0B7568B8" w14:textId="77777777" w:rsidR="004B69F5" w:rsidRPr="00FF2CED" w:rsidRDefault="004B69F5" w:rsidP="000D2CA8">
            <w:pPr>
              <w:spacing w:line="240" w:lineRule="auto"/>
              <w:rPr>
                <w:rFonts w:cs="Times New Roman"/>
                <w:sz w:val="20"/>
                <w:szCs w:val="20"/>
              </w:rPr>
            </w:pPr>
            <w:r>
              <w:rPr>
                <w:rFonts w:cs="Times New Roman"/>
                <w:sz w:val="20"/>
                <w:szCs w:val="20"/>
              </w:rPr>
              <w:t>UK</w:t>
            </w:r>
          </w:p>
        </w:tc>
        <w:tc>
          <w:tcPr>
            <w:tcW w:w="1456" w:type="dxa"/>
          </w:tcPr>
          <w:p w14:paraId="323F1FC7" w14:textId="77777777" w:rsidR="004B69F5" w:rsidRPr="00FF2CED" w:rsidRDefault="004B69F5" w:rsidP="000D2CA8">
            <w:pPr>
              <w:spacing w:line="240" w:lineRule="auto"/>
              <w:rPr>
                <w:rFonts w:cs="Times New Roman"/>
                <w:sz w:val="20"/>
                <w:szCs w:val="20"/>
              </w:rPr>
            </w:pPr>
            <w:r>
              <w:rPr>
                <w:rFonts w:cs="Times New Roman"/>
                <w:sz w:val="20"/>
                <w:szCs w:val="20"/>
              </w:rPr>
              <w:t>SSDs from nine anonymous NHS primary care trusts</w:t>
            </w:r>
          </w:p>
        </w:tc>
        <w:tc>
          <w:tcPr>
            <w:tcW w:w="1305" w:type="dxa"/>
          </w:tcPr>
          <w:p w14:paraId="3AB2F354" w14:textId="77777777" w:rsidR="004B69F5" w:rsidRPr="00FF2CED" w:rsidRDefault="004B69F5" w:rsidP="000D2CA8">
            <w:pPr>
              <w:spacing w:line="240" w:lineRule="auto"/>
              <w:rPr>
                <w:rFonts w:cs="Times New Roman"/>
                <w:sz w:val="20"/>
                <w:szCs w:val="20"/>
              </w:rPr>
            </w:pPr>
            <w:r>
              <w:rPr>
                <w:rFonts w:cs="Times New Roman"/>
                <w:sz w:val="20"/>
                <w:szCs w:val="20"/>
              </w:rPr>
              <w:t>Nine sets (n=260)</w:t>
            </w:r>
          </w:p>
        </w:tc>
        <w:tc>
          <w:tcPr>
            <w:tcW w:w="1316" w:type="dxa"/>
            <w:shd w:val="clear" w:color="auto" w:fill="FFFFFF" w:themeFill="background1"/>
          </w:tcPr>
          <w:p w14:paraId="7E2DB5C7" w14:textId="77777777" w:rsidR="004B69F5" w:rsidRPr="00FF2CED" w:rsidRDefault="004B69F5" w:rsidP="000D2CA8">
            <w:pPr>
              <w:spacing w:line="240" w:lineRule="auto"/>
              <w:rPr>
                <w:rFonts w:cs="Times New Roman"/>
                <w:sz w:val="20"/>
                <w:szCs w:val="20"/>
              </w:rPr>
            </w:pPr>
            <w:r>
              <w:rPr>
                <w:rFonts w:cs="Times New Roman"/>
                <w:sz w:val="20"/>
                <w:szCs w:val="20"/>
              </w:rPr>
              <w:t>‘T</w:t>
            </w:r>
            <w:r w:rsidRPr="00334E19">
              <w:rPr>
                <w:rFonts w:cs="Times New Roman"/>
                <w:sz w:val="20"/>
                <w:szCs w:val="20"/>
              </w:rPr>
              <w:t>raditional machine washer-disinfector cleaning procedures’</w:t>
            </w:r>
          </w:p>
        </w:tc>
        <w:tc>
          <w:tcPr>
            <w:tcW w:w="1327" w:type="dxa"/>
            <w:shd w:val="clear" w:color="auto" w:fill="FFFFFF" w:themeFill="background1"/>
          </w:tcPr>
          <w:p w14:paraId="3AA39272" w14:textId="77777777" w:rsidR="004B69F5" w:rsidRDefault="004B69F5" w:rsidP="000D2CA8">
            <w:pPr>
              <w:autoSpaceDE w:val="0"/>
              <w:autoSpaceDN w:val="0"/>
              <w:adjustRightInd w:val="0"/>
              <w:spacing w:line="240" w:lineRule="auto"/>
              <w:rPr>
                <w:rFonts w:cs="Times New Roman"/>
                <w:sz w:val="20"/>
                <w:szCs w:val="20"/>
                <w:lang w:val="en"/>
              </w:rPr>
            </w:pPr>
            <w:r w:rsidRPr="006620DA">
              <w:rPr>
                <w:rFonts w:cs="Times New Roman"/>
                <w:sz w:val="20"/>
                <w:szCs w:val="20"/>
                <w:lang w:val="en"/>
              </w:rPr>
              <w:t>SYPRO Ruby and EDIC/EF microscopy</w:t>
            </w:r>
          </w:p>
          <w:p w14:paraId="303602B2" w14:textId="77777777" w:rsidR="004B69F5" w:rsidRDefault="004B69F5" w:rsidP="000D2CA8">
            <w:pPr>
              <w:autoSpaceDE w:val="0"/>
              <w:autoSpaceDN w:val="0"/>
              <w:adjustRightInd w:val="0"/>
              <w:spacing w:line="240" w:lineRule="auto"/>
              <w:rPr>
                <w:rFonts w:cs="Times New Roman"/>
                <w:sz w:val="20"/>
                <w:szCs w:val="20"/>
                <w:lang w:val="en"/>
              </w:rPr>
            </w:pPr>
          </w:p>
          <w:p w14:paraId="231233FE" w14:textId="77777777" w:rsidR="004B69F5" w:rsidRPr="001B1357" w:rsidRDefault="004B69F5" w:rsidP="000D2CA8">
            <w:pPr>
              <w:autoSpaceDE w:val="0"/>
              <w:autoSpaceDN w:val="0"/>
              <w:adjustRightInd w:val="0"/>
              <w:spacing w:line="240" w:lineRule="auto"/>
              <w:rPr>
                <w:rFonts w:cs="Times New Roman"/>
                <w:i/>
                <w:sz w:val="20"/>
                <w:szCs w:val="20"/>
                <w:lang w:val="en"/>
              </w:rPr>
            </w:pPr>
            <w:r w:rsidRPr="001B1357">
              <w:rPr>
                <w:rFonts w:ascii="Times-Roman" w:hAnsi="Times-Roman" w:cs="Times-Roman"/>
                <w:i/>
                <w:sz w:val="20"/>
                <w:szCs w:val="20"/>
                <w:lang w:val="en"/>
              </w:rPr>
              <w:t>In situ</w:t>
            </w:r>
          </w:p>
        </w:tc>
        <w:tc>
          <w:tcPr>
            <w:tcW w:w="6608" w:type="dxa"/>
            <w:gridSpan w:val="3"/>
            <w:shd w:val="clear" w:color="auto" w:fill="FFFFFF" w:themeFill="background1"/>
          </w:tcPr>
          <w:p w14:paraId="0C615C23" w14:textId="77777777" w:rsidR="004B69F5" w:rsidRDefault="004B69F5" w:rsidP="000D2CA8">
            <w:pPr>
              <w:autoSpaceDE w:val="0"/>
              <w:autoSpaceDN w:val="0"/>
              <w:adjustRightInd w:val="0"/>
              <w:spacing w:line="240" w:lineRule="auto"/>
              <w:rPr>
                <w:rFonts w:cs="Times New Roman"/>
                <w:sz w:val="20"/>
                <w:szCs w:val="20"/>
                <w:lang w:val="en"/>
              </w:rPr>
            </w:pPr>
            <w:r>
              <w:rPr>
                <w:rFonts w:cs="Times New Roman"/>
                <w:sz w:val="20"/>
                <w:szCs w:val="20"/>
                <w:lang w:val="en"/>
              </w:rPr>
              <w:t>The scores were averaged for each instrument; the results indicated that 66% of all the instruments inspected showed severe (CI score, &gt;3 to 4) contamination in at least one of the sample regions, 27% were moderately contaminated (CI score, &gt;2 to 3), and only 7% displayed low-level soiling (CI score, 0 to 2). The mean CI per instrument set differed among the nine trays (range, 2.4 to 3.6), with the overall mean CI value for all the instruments being 3.2.</w:t>
            </w:r>
          </w:p>
          <w:p w14:paraId="0E185B6C" w14:textId="77777777" w:rsidR="004B69F5" w:rsidRPr="0071437F" w:rsidRDefault="004B69F5" w:rsidP="000D2CA8">
            <w:pPr>
              <w:spacing w:line="240" w:lineRule="auto"/>
              <w:rPr>
                <w:rFonts w:cs="Times New Roman"/>
                <w:i/>
                <w:sz w:val="20"/>
                <w:szCs w:val="20"/>
                <w:lang w:val="en"/>
              </w:rPr>
            </w:pPr>
            <w:r w:rsidRPr="0071437F">
              <w:rPr>
                <w:rFonts w:cs="Times New Roman"/>
                <w:i/>
                <w:sz w:val="20"/>
                <w:szCs w:val="20"/>
                <w:lang w:val="en"/>
              </w:rPr>
              <w:t xml:space="preserve">Contamination index (CI): class 3 is 0.42-4.2 </w:t>
            </w:r>
            <w:r w:rsidRPr="0071437F">
              <w:rPr>
                <w:rFonts w:cs="Times New Roman"/>
                <w:i/>
                <w:sz w:val="20"/>
                <w:szCs w:val="20"/>
              </w:rPr>
              <w:t>µ</w:t>
            </w:r>
            <w:r w:rsidRPr="0071437F">
              <w:rPr>
                <w:rFonts w:cs="Times New Roman"/>
                <w:i/>
                <w:sz w:val="20"/>
                <w:szCs w:val="20"/>
                <w:lang w:val="en"/>
              </w:rPr>
              <w:t>g of protein/mm</w:t>
            </w:r>
            <w:r w:rsidRPr="0071437F">
              <w:rPr>
                <w:rFonts w:cs="Times New Roman"/>
                <w:i/>
                <w:sz w:val="20"/>
                <w:szCs w:val="20"/>
                <w:vertAlign w:val="superscript"/>
                <w:lang w:val="en"/>
              </w:rPr>
              <w:t>2</w:t>
            </w:r>
            <w:r w:rsidRPr="0071437F">
              <w:rPr>
                <w:rFonts w:cs="Times New Roman"/>
                <w:i/>
                <w:sz w:val="20"/>
                <w:szCs w:val="20"/>
                <w:lang w:val="en"/>
              </w:rPr>
              <w:t xml:space="preserve"> and class 4 is &gt;4.4</w:t>
            </w:r>
            <w:r w:rsidRPr="0071437F">
              <w:rPr>
                <w:rFonts w:cs="Times New Roman"/>
                <w:i/>
                <w:sz w:val="20"/>
                <w:szCs w:val="20"/>
              </w:rPr>
              <w:t>µ</w:t>
            </w:r>
            <w:r w:rsidRPr="0071437F">
              <w:rPr>
                <w:rFonts w:cs="Times New Roman"/>
                <w:i/>
                <w:sz w:val="20"/>
                <w:szCs w:val="20"/>
                <w:lang w:val="en"/>
              </w:rPr>
              <w:t>g/mm</w:t>
            </w:r>
            <w:r w:rsidRPr="0071437F">
              <w:rPr>
                <w:rFonts w:cs="Times New Roman"/>
                <w:i/>
                <w:sz w:val="20"/>
                <w:szCs w:val="20"/>
                <w:vertAlign w:val="superscript"/>
                <w:lang w:val="en"/>
              </w:rPr>
              <w:t>2</w:t>
            </w:r>
            <w:r w:rsidRPr="0071437F">
              <w:rPr>
                <w:rFonts w:cs="Times New Roman"/>
                <w:i/>
                <w:sz w:val="20"/>
                <w:szCs w:val="20"/>
                <w:lang w:val="en"/>
              </w:rPr>
              <w:t>.</w:t>
            </w:r>
          </w:p>
          <w:p w14:paraId="5777F442" w14:textId="77777777" w:rsidR="004B69F5" w:rsidRPr="00FF2CED" w:rsidRDefault="004B69F5" w:rsidP="000D2CA8">
            <w:pPr>
              <w:spacing w:line="240" w:lineRule="auto"/>
              <w:rPr>
                <w:rFonts w:cs="Times New Roman"/>
                <w:sz w:val="20"/>
                <w:szCs w:val="20"/>
              </w:rPr>
            </w:pPr>
            <w:r>
              <w:rPr>
                <w:rFonts w:cs="Times New Roman"/>
                <w:sz w:val="20"/>
                <w:szCs w:val="20"/>
                <w:lang w:val="en"/>
              </w:rPr>
              <w:t>Statistical analysis indicated that there was significant difference in the levels of contamination between the different types of instrument, with needle holders and tissue forceps (as hinged instruments) showing contamination levels significantly higher than some other instruments. ​</w:t>
            </w:r>
          </w:p>
        </w:tc>
      </w:tr>
      <w:tr w:rsidR="004B69F5" w:rsidRPr="00FF2CED" w14:paraId="6E1C8135" w14:textId="77777777" w:rsidTr="0015557F">
        <w:tc>
          <w:tcPr>
            <w:tcW w:w="1223" w:type="dxa"/>
            <w:shd w:val="clear" w:color="auto" w:fill="FFFFFF" w:themeFill="background1"/>
          </w:tcPr>
          <w:p w14:paraId="1A98C30F" w14:textId="67904F4D" w:rsidR="004B69F5" w:rsidRPr="00FF2CED" w:rsidRDefault="004B69F5" w:rsidP="0076576E">
            <w:pPr>
              <w:spacing w:line="240" w:lineRule="auto"/>
              <w:rPr>
                <w:rFonts w:cs="Times New Roman"/>
                <w:sz w:val="20"/>
                <w:szCs w:val="20"/>
              </w:rPr>
            </w:pPr>
            <w:r w:rsidRPr="00FF2CED">
              <w:rPr>
                <w:rFonts w:cs="Times New Roman"/>
                <w:sz w:val="20"/>
                <w:szCs w:val="20"/>
              </w:rPr>
              <w:t>Murdoch 2006</w:t>
            </w:r>
            <w:r w:rsidR="003A0D62">
              <w:rPr>
                <w:rFonts w:cs="Times New Roman"/>
                <w:sz w:val="20"/>
                <w:szCs w:val="20"/>
              </w:rPr>
              <w:fldChar w:fldCharType="begin">
                <w:fldData xml:space="preserve">PEVuZE5vdGU+PENpdGU+PEF1dGhvcj5NdXJkb2NoPC9BdXRob3I+PFllYXI+MjAwNjwvWWVhcj48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</w:fldData>
              </w:fldChar>
            </w:r>
            <w:r w:rsidR="0076576E">
              <w:rPr>
                <w:rFonts w:cs="Times New Roman"/>
                <w:sz w:val="20"/>
                <w:szCs w:val="20"/>
              </w:rPr>
              <w:instrText xml:space="preserve"> ADDIN EN.CITE </w:instrText>
            </w:r>
            <w:r w:rsidR="0076576E">
              <w:rPr>
                <w:rFonts w:cs="Times New Roman"/>
                <w:sz w:val="20"/>
                <w:szCs w:val="20"/>
              </w:rPr>
              <w:fldChar w:fldCharType="begin">
                <w:fldData xml:space="preserve">PEVuZE5vdGU+PENpdGU+PEF1dGhvcj5NdXJkb2NoPC9BdXRob3I+PFllYXI+MjAwNjwvWWVhcj48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</w:fldData>
              </w:fldChar>
            </w:r>
            <w:r w:rsidR="0076576E">
              <w:rPr>
                <w:rFonts w:cs="Times New Roman"/>
                <w:sz w:val="20"/>
                <w:szCs w:val="20"/>
              </w:rPr>
              <w:instrText xml:space="preserve"> ADDIN EN.CITE.DATA </w:instrText>
            </w:r>
            <w:r w:rsidR="0076576E">
              <w:rPr>
                <w:rFonts w:cs="Times New Roman"/>
                <w:sz w:val="20"/>
                <w:szCs w:val="20"/>
              </w:rPr>
            </w:r>
            <w:r w:rsidR="0076576E">
              <w:rPr>
                <w:rFonts w:cs="Times New Roman"/>
                <w:sz w:val="20"/>
                <w:szCs w:val="20"/>
              </w:rPr>
              <w:fldChar w:fldCharType="end"/>
            </w:r>
            <w:r w:rsidR="003A0D62">
              <w:rPr>
                <w:rFonts w:cs="Times New Roman"/>
                <w:sz w:val="20"/>
                <w:szCs w:val="20"/>
              </w:rPr>
            </w:r>
            <w:r w:rsidR="003A0D62">
              <w:rPr>
                <w:rFonts w:cs="Times New Roman"/>
                <w:sz w:val="20"/>
                <w:szCs w:val="20"/>
              </w:rPr>
              <w:fldChar w:fldCharType="separate"/>
            </w:r>
            <w:r w:rsidR="0076576E" w:rsidRPr="0076576E">
              <w:rPr>
                <w:rFonts w:cs="Times New Roman"/>
                <w:noProof/>
                <w:sz w:val="20"/>
                <w:szCs w:val="20"/>
                <w:vertAlign w:val="superscript"/>
              </w:rPr>
              <w:t>188</w:t>
            </w:r>
            <w:r w:rsidR="003A0D62">
              <w:rPr>
                <w:rFonts w:cs="Times New Roman"/>
                <w:sz w:val="20"/>
                <w:szCs w:val="20"/>
              </w:rPr>
              <w:fldChar w:fldCharType="end"/>
            </w:r>
          </w:p>
        </w:tc>
        <w:tc>
          <w:tcPr>
            <w:tcW w:w="939" w:type="dxa"/>
          </w:tcPr>
          <w:p w14:paraId="717FCB0C" w14:textId="77777777" w:rsidR="004B69F5" w:rsidRPr="00FF2CED" w:rsidRDefault="004B69F5" w:rsidP="000D2CA8">
            <w:pPr>
              <w:spacing w:line="240" w:lineRule="auto"/>
              <w:rPr>
                <w:rFonts w:cs="Times New Roman"/>
                <w:sz w:val="20"/>
                <w:szCs w:val="20"/>
              </w:rPr>
            </w:pPr>
            <w:r>
              <w:rPr>
                <w:rFonts w:cs="Times New Roman"/>
                <w:sz w:val="20"/>
                <w:szCs w:val="20"/>
              </w:rPr>
              <w:t>UK</w:t>
            </w:r>
          </w:p>
        </w:tc>
        <w:tc>
          <w:tcPr>
            <w:tcW w:w="1456" w:type="dxa"/>
          </w:tcPr>
          <w:p w14:paraId="4E9D78D4" w14:textId="77777777" w:rsidR="004B69F5" w:rsidRPr="00FF2CED" w:rsidRDefault="004B69F5" w:rsidP="000D2CA8">
            <w:pPr>
              <w:spacing w:line="240" w:lineRule="auto"/>
              <w:rPr>
                <w:rFonts w:cs="Times New Roman"/>
                <w:sz w:val="20"/>
                <w:szCs w:val="20"/>
              </w:rPr>
            </w:pPr>
            <w:r>
              <w:rPr>
                <w:rFonts w:cs="Times New Roman"/>
                <w:sz w:val="20"/>
                <w:szCs w:val="20"/>
              </w:rPr>
              <w:t xml:space="preserve">Five Department of Health hospitals </w:t>
            </w:r>
          </w:p>
        </w:tc>
        <w:tc>
          <w:tcPr>
            <w:tcW w:w="1305" w:type="dxa"/>
          </w:tcPr>
          <w:p w14:paraId="0A314565" w14:textId="77777777" w:rsidR="004B69F5" w:rsidRPr="00FF2CED" w:rsidRDefault="004B69F5" w:rsidP="000D2CA8">
            <w:pPr>
              <w:spacing w:line="240" w:lineRule="auto"/>
              <w:rPr>
                <w:rFonts w:cs="Times New Roman"/>
                <w:sz w:val="20"/>
                <w:szCs w:val="20"/>
              </w:rPr>
            </w:pPr>
            <w:r>
              <w:rPr>
                <w:rFonts w:cs="Times New Roman"/>
                <w:sz w:val="20"/>
                <w:szCs w:val="20"/>
              </w:rPr>
              <w:t>A range of instruments (n=43)</w:t>
            </w:r>
          </w:p>
        </w:tc>
        <w:tc>
          <w:tcPr>
            <w:tcW w:w="1316" w:type="dxa"/>
            <w:shd w:val="clear" w:color="auto" w:fill="FFFFFF" w:themeFill="background1"/>
          </w:tcPr>
          <w:p w14:paraId="1F3FE825" w14:textId="77777777" w:rsidR="004B69F5" w:rsidRPr="00FF2CED" w:rsidRDefault="004B69F5" w:rsidP="000D2CA8">
            <w:pPr>
              <w:spacing w:line="240" w:lineRule="auto"/>
              <w:rPr>
                <w:rFonts w:cs="Times New Roman"/>
                <w:sz w:val="20"/>
                <w:szCs w:val="20"/>
              </w:rPr>
            </w:pPr>
            <w:r>
              <w:rPr>
                <w:rFonts w:cs="Times New Roman"/>
                <w:sz w:val="20"/>
                <w:szCs w:val="20"/>
              </w:rPr>
              <w:t>‘autoclaved’</w:t>
            </w:r>
          </w:p>
        </w:tc>
        <w:tc>
          <w:tcPr>
            <w:tcW w:w="1327" w:type="dxa"/>
            <w:shd w:val="clear" w:color="auto" w:fill="FFFFFF" w:themeFill="background1"/>
          </w:tcPr>
          <w:p w14:paraId="71B98C9C" w14:textId="77777777" w:rsidR="004B69F5" w:rsidRDefault="004B69F5" w:rsidP="000D2CA8">
            <w:pPr>
              <w:spacing w:line="240" w:lineRule="auto"/>
              <w:rPr>
                <w:rFonts w:cs="Times New Roman"/>
                <w:sz w:val="20"/>
                <w:szCs w:val="20"/>
              </w:rPr>
            </w:pPr>
            <w:r>
              <w:rPr>
                <w:rFonts w:cs="Times New Roman"/>
                <w:sz w:val="20"/>
                <w:szCs w:val="20"/>
                <w:lang w:val="en"/>
              </w:rPr>
              <w:t>'protein extraction and quantification methods', i.e. levels of protein removed from instruments and identified in the ‘buffer’ or ‘'wash'</w:t>
            </w:r>
          </w:p>
        </w:tc>
        <w:tc>
          <w:tcPr>
            <w:tcW w:w="4594" w:type="dxa"/>
            <w:shd w:val="clear" w:color="auto" w:fill="FFFFFF" w:themeFill="background1"/>
          </w:tcPr>
          <w:p w14:paraId="76542D36" w14:textId="77777777" w:rsidR="004B69F5" w:rsidRDefault="004B69F5" w:rsidP="000D2CA8">
            <w:pPr>
              <w:spacing w:line="240" w:lineRule="auto"/>
              <w:jc w:val="center"/>
              <w:rPr>
                <w:rFonts w:cs="Times New Roman"/>
                <w:sz w:val="20"/>
                <w:szCs w:val="20"/>
              </w:rPr>
            </w:pPr>
          </w:p>
          <w:p w14:paraId="16576A14" w14:textId="77777777" w:rsidR="004B69F5" w:rsidRDefault="004B69F5" w:rsidP="000D2CA8">
            <w:pPr>
              <w:spacing w:line="240" w:lineRule="auto"/>
              <w:jc w:val="center"/>
              <w:rPr>
                <w:rFonts w:cs="Times New Roman"/>
                <w:sz w:val="20"/>
                <w:szCs w:val="20"/>
              </w:rPr>
            </w:pPr>
            <w:r>
              <w:rPr>
                <w:rFonts w:cs="Times New Roman"/>
                <w:sz w:val="20"/>
                <w:szCs w:val="20"/>
              </w:rPr>
              <w:t>71.67</w:t>
            </w:r>
            <w:r w:rsidRPr="00275165">
              <w:rPr>
                <w:rFonts w:cs="Times New Roman"/>
                <w:sz w:val="20"/>
                <w:szCs w:val="20"/>
              </w:rPr>
              <w:t xml:space="preserve"> µg</w:t>
            </w:r>
            <w:r>
              <w:rPr>
                <w:rFonts w:cs="Times New Roman"/>
                <w:sz w:val="20"/>
                <w:szCs w:val="20"/>
              </w:rPr>
              <w:t xml:space="preserve"> ‡</w:t>
            </w:r>
          </w:p>
          <w:p w14:paraId="328D45AD" w14:textId="77777777" w:rsidR="004B69F5" w:rsidRPr="00FF2CED" w:rsidRDefault="004B69F5" w:rsidP="000D2CA8">
            <w:pPr>
              <w:spacing w:line="240" w:lineRule="auto"/>
              <w:jc w:val="center"/>
              <w:rPr>
                <w:rFonts w:cs="Times New Roman"/>
                <w:sz w:val="20"/>
                <w:szCs w:val="20"/>
              </w:rPr>
            </w:pPr>
            <w:r>
              <w:rPr>
                <w:rFonts w:cs="Times New Roman"/>
                <w:sz w:val="20"/>
                <w:szCs w:val="20"/>
              </w:rPr>
              <w:t>8-91</w:t>
            </w:r>
            <w:r w:rsidRPr="00275165">
              <w:rPr>
                <w:rFonts w:cs="Times New Roman"/>
                <w:sz w:val="20"/>
                <w:szCs w:val="20"/>
              </w:rPr>
              <w:t xml:space="preserve"> µg</w:t>
            </w:r>
            <w:r>
              <w:rPr>
                <w:rFonts w:cs="Times New Roman"/>
                <w:sz w:val="20"/>
                <w:szCs w:val="20"/>
              </w:rPr>
              <w:t xml:space="preserve"> (range)†</w:t>
            </w:r>
          </w:p>
        </w:tc>
        <w:tc>
          <w:tcPr>
            <w:tcW w:w="2014" w:type="dxa"/>
            <w:gridSpan w:val="2"/>
            <w:shd w:val="clear" w:color="auto" w:fill="FFFFFF" w:themeFill="background1"/>
          </w:tcPr>
          <w:p w14:paraId="70B6D177" w14:textId="77777777" w:rsidR="004B69F5" w:rsidRDefault="004B69F5" w:rsidP="000D2CA8">
            <w:pPr>
              <w:spacing w:line="240" w:lineRule="auto"/>
              <w:jc w:val="center"/>
              <w:rPr>
                <w:rFonts w:cs="Times New Roman"/>
                <w:sz w:val="20"/>
                <w:szCs w:val="20"/>
              </w:rPr>
            </w:pPr>
          </w:p>
          <w:p w14:paraId="308EB758" w14:textId="77777777" w:rsidR="004B69F5" w:rsidRPr="00FF2CED" w:rsidRDefault="004B69F5" w:rsidP="000D2CA8">
            <w:pPr>
              <w:spacing w:line="240" w:lineRule="auto"/>
              <w:jc w:val="center"/>
              <w:rPr>
                <w:rFonts w:cs="Times New Roman"/>
                <w:sz w:val="20"/>
                <w:szCs w:val="20"/>
              </w:rPr>
            </w:pPr>
            <w:r>
              <w:rPr>
                <w:rFonts w:cs="Times New Roman"/>
                <w:sz w:val="20"/>
                <w:szCs w:val="20"/>
              </w:rPr>
              <w:t>NR</w:t>
            </w:r>
          </w:p>
        </w:tc>
      </w:tr>
      <w:tr w:rsidR="004B69F5" w:rsidRPr="00FF2CED" w14:paraId="31785AB0" w14:textId="77777777" w:rsidTr="0015557F">
        <w:tc>
          <w:tcPr>
            <w:tcW w:w="1223" w:type="dxa"/>
            <w:tcBorders>
              <w:bottom w:val="single" w:sz="4" w:space="0" w:color="auto"/>
            </w:tcBorders>
            <w:shd w:val="clear" w:color="auto" w:fill="FFFFFF" w:themeFill="background1"/>
          </w:tcPr>
          <w:p w14:paraId="5695D114" w14:textId="26BA29D8" w:rsidR="004B69F5" w:rsidRPr="00FF2CED" w:rsidRDefault="004B69F5" w:rsidP="0076576E">
            <w:pPr>
              <w:spacing w:line="240" w:lineRule="auto"/>
              <w:rPr>
                <w:rFonts w:cs="Times New Roman"/>
                <w:sz w:val="20"/>
                <w:szCs w:val="20"/>
              </w:rPr>
            </w:pPr>
            <w:r w:rsidRPr="00FF2CED">
              <w:rPr>
                <w:rFonts w:cs="Times New Roman"/>
                <w:sz w:val="20"/>
                <w:szCs w:val="20"/>
              </w:rPr>
              <w:t xml:space="preserve">Baxter </w:t>
            </w:r>
            <w:r>
              <w:rPr>
                <w:rFonts w:cs="Times New Roman"/>
                <w:sz w:val="20"/>
                <w:szCs w:val="20"/>
              </w:rPr>
              <w:t xml:space="preserve">H, </w:t>
            </w:r>
            <w:r w:rsidRPr="00FF2CED">
              <w:rPr>
                <w:rFonts w:cs="Times New Roman"/>
                <w:sz w:val="20"/>
                <w:szCs w:val="20"/>
              </w:rPr>
              <w:t>2006</w:t>
            </w:r>
            <w:r w:rsidR="003A0D62">
              <w:rPr>
                <w:rFonts w:cs="Times New Roman"/>
                <w:sz w:val="20"/>
                <w:szCs w:val="20"/>
              </w:rPr>
              <w:fldChar w:fldCharType="begin"/>
            </w:r>
            <w:r w:rsidR="0076576E">
              <w:rPr>
                <w:rFonts w:cs="Times New Roman"/>
                <w:sz w:val="20"/>
                <w:szCs w:val="20"/>
              </w:rPr>
              <w:instrText xml:space="preserve"> ADDIN EN.CITE &lt;EndNote&gt;&lt;Cite&gt;&lt;Author&gt;Baxter&lt;/Author&gt;&lt;Year&gt;2006&lt;/Year&gt;&lt;RecNum&gt;1918&lt;/RecNum&gt;&lt;DisplayText&gt;&lt;style face="superscript"&gt;192&lt;/style&gt;&lt;/DisplayText&gt;&lt;record&gt;&lt;rec-number&gt;1918&lt;/rec-number&gt;&lt;foreign-keys&gt;&lt;key app="EN" db-id="vrp0pptazv05wtesfz5vrzsj2p0rv09ttsa9" timestamp="1506587006" guid="205d40d1-b6a9-447d-8e11-957bdf35f61b"&gt;1918&lt;/key&gt;&lt;/foreign-keys&gt;&lt;ref-type name="Journal Article"&gt;17&lt;/ref-type&gt;&lt;contributors&gt;&lt;authors&gt;&lt;author&gt;Baxter, H. C.&lt;/author&gt;&lt;author&gt;Campbell, G. A.&lt;/author&gt;&lt;author&gt;Richardson, P. R.&lt;/author&gt;&lt;author&gt;Jones, A. C.&lt;/author&gt;&lt;author&gt;Whittle, I. R.&lt;/author&gt;&lt;author&gt;Casey, M.&lt;/author&gt;&lt;author&gt;Whittaker, A. G.&lt;/author&gt;&lt;author&gt;Baxter, R. L.&lt;/author&gt;&lt;/authors&gt;&lt;/contributors&gt;&lt;titles&gt;&lt;title&gt;Surgical instrument decontamination: Efficacy of introducing an argon : oxygen RF gas-plasma cleaning step as part of the cleaning cycle for stainless steel instruments&lt;/title&gt;&lt;secondary-title&gt;Ieee Transactions on Plasma Science&lt;/secondary-title&gt;&lt;/titles&gt;&lt;periodical&gt;&lt;full-title&gt;Ieee Transactions on Plasma Science&lt;/full-title&gt;&lt;/periodical&gt;&lt;pages&gt;1337-1344&lt;/pages&gt;&lt;volume&gt;34&lt;/volume&gt;&lt;number&gt;4&lt;/number&gt;&lt;keywords&gt;&lt;keyword&gt;$$CJD relevant&lt;/keyword&gt;&lt;keyword&gt;$$5_instrument decontamination&lt;/keyword&gt;&lt;keyword&gt;$$5_protein&lt;/keyword&gt;&lt;/keywords&gt;&lt;dates&gt;&lt;year&gt;2006&lt;/year&gt;&lt;pub-dates&gt;&lt;date&gt;Aug&lt;/date&gt;&lt;/pub-dates&gt;&lt;/dates&gt;&lt;isbn&gt;0093-3813&lt;/isbn&gt;&lt;accession-num&gt;WOS:000239976200014&lt;/accession-num&gt;&lt;urls&gt;&lt;related-urls&gt;&lt;url&gt;&amp;lt;Go to ISI&amp;gt;://WOS:000239976200014&lt;/url&gt;&lt;/related-urls&gt;&lt;/urls&gt;&lt;electronic-resource-num&gt;10.1109/tps.2006.878387&lt;/electronic-resource-num&gt;&lt;/record&gt;&lt;/Cite&gt;&lt;/EndNote&gt;</w:instrText>
            </w:r>
            <w:r w:rsidR="003A0D62">
              <w:rPr>
                <w:rFonts w:cs="Times New Roman"/>
                <w:sz w:val="20"/>
                <w:szCs w:val="20"/>
              </w:rPr>
              <w:fldChar w:fldCharType="separate"/>
            </w:r>
            <w:r w:rsidR="0076576E" w:rsidRPr="0076576E">
              <w:rPr>
                <w:rFonts w:cs="Times New Roman"/>
                <w:noProof/>
                <w:sz w:val="20"/>
                <w:szCs w:val="20"/>
                <w:vertAlign w:val="superscript"/>
              </w:rPr>
              <w:t>192</w:t>
            </w:r>
            <w:r w:rsidR="003A0D62">
              <w:rPr>
                <w:rFonts w:cs="Times New Roman"/>
                <w:sz w:val="20"/>
                <w:szCs w:val="20"/>
              </w:rPr>
              <w:fldChar w:fldCharType="end"/>
            </w:r>
          </w:p>
        </w:tc>
        <w:tc>
          <w:tcPr>
            <w:tcW w:w="939" w:type="dxa"/>
            <w:tcBorders>
              <w:bottom w:val="single" w:sz="4" w:space="0" w:color="auto"/>
            </w:tcBorders>
          </w:tcPr>
          <w:p w14:paraId="4C82CBA6" w14:textId="77777777" w:rsidR="004B69F5" w:rsidRPr="00FF2CED" w:rsidRDefault="004B69F5" w:rsidP="000D2CA8">
            <w:pPr>
              <w:spacing w:line="240" w:lineRule="auto"/>
              <w:rPr>
                <w:rFonts w:cs="Times New Roman"/>
                <w:sz w:val="20"/>
                <w:szCs w:val="20"/>
              </w:rPr>
            </w:pPr>
            <w:r>
              <w:rPr>
                <w:rFonts w:cs="Times New Roman"/>
                <w:sz w:val="20"/>
                <w:szCs w:val="20"/>
              </w:rPr>
              <w:t>UK</w:t>
            </w:r>
          </w:p>
        </w:tc>
        <w:tc>
          <w:tcPr>
            <w:tcW w:w="1456" w:type="dxa"/>
            <w:tcBorders>
              <w:bottom w:val="single" w:sz="4" w:space="0" w:color="auto"/>
            </w:tcBorders>
          </w:tcPr>
          <w:p w14:paraId="50CB81E9" w14:textId="77777777" w:rsidR="004B69F5" w:rsidRPr="00FF2CED" w:rsidRDefault="004B69F5" w:rsidP="000D2CA8">
            <w:pPr>
              <w:spacing w:line="240" w:lineRule="auto"/>
              <w:rPr>
                <w:rFonts w:cs="Times New Roman"/>
                <w:sz w:val="20"/>
                <w:szCs w:val="20"/>
              </w:rPr>
            </w:pPr>
            <w:r>
              <w:rPr>
                <w:rFonts w:cs="Times New Roman"/>
                <w:sz w:val="20"/>
                <w:szCs w:val="20"/>
              </w:rPr>
              <w:t>One NHS trust</w:t>
            </w:r>
          </w:p>
        </w:tc>
        <w:tc>
          <w:tcPr>
            <w:tcW w:w="1305" w:type="dxa"/>
            <w:tcBorders>
              <w:bottom w:val="single" w:sz="4" w:space="0" w:color="auto"/>
            </w:tcBorders>
          </w:tcPr>
          <w:p w14:paraId="2A43A2FC" w14:textId="77777777" w:rsidR="004B69F5" w:rsidRPr="00FF2CED" w:rsidRDefault="004B69F5" w:rsidP="000D2CA8">
            <w:pPr>
              <w:spacing w:line="240" w:lineRule="auto"/>
              <w:rPr>
                <w:rFonts w:cs="Times New Roman"/>
                <w:sz w:val="20"/>
                <w:szCs w:val="20"/>
              </w:rPr>
            </w:pPr>
            <w:r>
              <w:rPr>
                <w:rFonts w:cs="Times New Roman"/>
                <w:sz w:val="20"/>
                <w:szCs w:val="20"/>
              </w:rPr>
              <w:t>A basic neurosurgical tray in regular use (n=6)</w:t>
            </w:r>
          </w:p>
        </w:tc>
        <w:tc>
          <w:tcPr>
            <w:tcW w:w="1316" w:type="dxa"/>
            <w:tcBorders>
              <w:bottom w:val="single" w:sz="4" w:space="0" w:color="auto"/>
            </w:tcBorders>
            <w:shd w:val="clear" w:color="auto" w:fill="FFFFFF" w:themeFill="background1"/>
          </w:tcPr>
          <w:p w14:paraId="7FD06121" w14:textId="77777777" w:rsidR="004B69F5" w:rsidRPr="00FF2CED" w:rsidRDefault="004B69F5" w:rsidP="000D2CA8">
            <w:pPr>
              <w:spacing w:line="240" w:lineRule="auto"/>
              <w:rPr>
                <w:rFonts w:cs="Times New Roman"/>
                <w:sz w:val="20"/>
                <w:szCs w:val="20"/>
              </w:rPr>
            </w:pPr>
            <w:r>
              <w:rPr>
                <w:rFonts w:cs="Times New Roman"/>
                <w:sz w:val="20"/>
                <w:szCs w:val="20"/>
              </w:rPr>
              <w:t>‘conventional hospital SSD procedures’ [washing and autoclaving] n=3;</w:t>
            </w:r>
            <w:r w:rsidRPr="00FF2CED">
              <w:rPr>
                <w:rFonts w:cs="Times New Roman"/>
                <w:sz w:val="20"/>
                <w:szCs w:val="20"/>
              </w:rPr>
              <w:t xml:space="preserve"> </w:t>
            </w:r>
            <w:r>
              <w:rPr>
                <w:rFonts w:cs="Times New Roman"/>
                <w:sz w:val="20"/>
                <w:szCs w:val="20"/>
              </w:rPr>
              <w:t>‘conventional hospital SSD procedures’ + RF gas plasma, n=3</w:t>
            </w:r>
          </w:p>
        </w:tc>
        <w:tc>
          <w:tcPr>
            <w:tcW w:w="1327" w:type="dxa"/>
            <w:shd w:val="clear" w:color="auto" w:fill="FFFFFF" w:themeFill="background1"/>
          </w:tcPr>
          <w:p w14:paraId="782B290B" w14:textId="77777777" w:rsidR="004B69F5" w:rsidRDefault="004B69F5" w:rsidP="000D2CA8">
            <w:pPr>
              <w:spacing w:line="240" w:lineRule="auto"/>
              <w:rPr>
                <w:rFonts w:ascii="Times-Roman" w:hAnsi="Times-Roman" w:cs="Times-Roman"/>
                <w:sz w:val="20"/>
                <w:szCs w:val="20"/>
                <w:lang w:val="en"/>
              </w:rPr>
            </w:pPr>
            <w:r>
              <w:rPr>
                <w:rFonts w:ascii="Times-Roman" w:hAnsi="Times-Roman" w:cs="Times-Roman"/>
                <w:sz w:val="20"/>
                <w:szCs w:val="20"/>
                <w:lang w:val="en"/>
              </w:rPr>
              <w:t xml:space="preserve">EDX </w:t>
            </w:r>
          </w:p>
          <w:p w14:paraId="2AD28727" w14:textId="77777777" w:rsidR="004B69F5" w:rsidRDefault="004B69F5" w:rsidP="000D2CA8">
            <w:pPr>
              <w:spacing w:line="240" w:lineRule="auto"/>
              <w:rPr>
                <w:rFonts w:ascii="Times-Roman" w:hAnsi="Times-Roman" w:cs="Times-Roman"/>
                <w:sz w:val="20"/>
                <w:szCs w:val="20"/>
                <w:lang w:val="en"/>
              </w:rPr>
            </w:pPr>
          </w:p>
          <w:p w14:paraId="6997BC41" w14:textId="77777777" w:rsidR="004B69F5" w:rsidRDefault="004B69F5" w:rsidP="000D2CA8">
            <w:pPr>
              <w:spacing w:line="240" w:lineRule="auto"/>
              <w:rPr>
                <w:rFonts w:ascii="Times-Roman" w:hAnsi="Times-Roman" w:cs="Times-Roman"/>
                <w:sz w:val="20"/>
                <w:szCs w:val="20"/>
                <w:lang w:val="en"/>
              </w:rPr>
            </w:pPr>
          </w:p>
          <w:p w14:paraId="7D1E08B0" w14:textId="77777777" w:rsidR="004B69F5" w:rsidRDefault="004B69F5" w:rsidP="000D2CA8">
            <w:pPr>
              <w:spacing w:line="240" w:lineRule="auto"/>
              <w:rPr>
                <w:rFonts w:ascii="Times-Roman" w:hAnsi="Times-Roman" w:cs="Times-Roman"/>
                <w:sz w:val="20"/>
                <w:szCs w:val="20"/>
                <w:lang w:val="en"/>
              </w:rPr>
            </w:pPr>
            <w:r>
              <w:rPr>
                <w:rFonts w:ascii="Times-Roman" w:hAnsi="Times-Roman" w:cs="Times-Roman"/>
                <w:sz w:val="20"/>
                <w:szCs w:val="20"/>
                <w:lang w:val="en"/>
              </w:rPr>
              <w:t>Unclear</w:t>
            </w:r>
            <w:r w:rsidRPr="002E3BA1">
              <w:rPr>
                <w:rFonts w:ascii="Times-Roman" w:hAnsi="Times-Roman" w:cs="Times-Roman"/>
                <w:sz w:val="20"/>
                <w:szCs w:val="20"/>
                <w:vertAlign w:val="superscript"/>
                <w:lang w:val="en"/>
              </w:rPr>
              <w:t>b</w:t>
            </w:r>
          </w:p>
        </w:tc>
        <w:tc>
          <w:tcPr>
            <w:tcW w:w="6608" w:type="dxa"/>
            <w:gridSpan w:val="3"/>
            <w:shd w:val="clear" w:color="auto" w:fill="FFFFFF" w:themeFill="background1"/>
          </w:tcPr>
          <w:p w14:paraId="04404A8B" w14:textId="77777777" w:rsidR="004B69F5" w:rsidRPr="00FF2CED" w:rsidRDefault="004B69F5" w:rsidP="000D2CA8">
            <w:pPr>
              <w:spacing w:line="240" w:lineRule="auto"/>
              <w:rPr>
                <w:rFonts w:cs="Times New Roman"/>
                <w:sz w:val="20"/>
                <w:szCs w:val="20"/>
              </w:rPr>
            </w:pPr>
            <w:r>
              <w:rPr>
                <w:rFonts w:ascii="Times-Roman" w:hAnsi="Times-Roman" w:cs="Times-Roman"/>
                <w:sz w:val="20"/>
                <w:szCs w:val="20"/>
                <w:lang w:val="en"/>
              </w:rPr>
              <w:t xml:space="preserve">Protein contamination on instruments was identified after the </w:t>
            </w:r>
            <w:r>
              <w:rPr>
                <w:rFonts w:cs="Times New Roman"/>
                <w:sz w:val="20"/>
                <w:szCs w:val="20"/>
              </w:rPr>
              <w:t xml:space="preserve">conventional SSD procedure, but </w:t>
            </w:r>
            <w:r>
              <w:rPr>
                <w:rFonts w:ascii="Times-Roman" w:hAnsi="Times-Roman" w:cs="Times-Roman"/>
                <w:sz w:val="20"/>
                <w:szCs w:val="20"/>
                <w:lang w:val="en"/>
              </w:rPr>
              <w:t>was 'not directly quantified ... the analyses simply show the elemental composition of these residues'.</w:t>
            </w:r>
          </w:p>
        </w:tc>
      </w:tr>
      <w:tr w:rsidR="004B69F5" w:rsidRPr="00FF2CED" w14:paraId="0C0F33E2" w14:textId="77777777" w:rsidTr="0015557F">
        <w:tc>
          <w:tcPr>
            <w:tcW w:w="1223" w:type="dxa"/>
            <w:shd w:val="clear" w:color="auto" w:fill="FFFFFF" w:themeFill="background1"/>
          </w:tcPr>
          <w:p w14:paraId="713BE182" w14:textId="4C6CD153" w:rsidR="004B69F5" w:rsidRPr="00FF2CED" w:rsidRDefault="004B69F5" w:rsidP="0076576E">
            <w:pPr>
              <w:spacing w:line="240" w:lineRule="auto"/>
              <w:rPr>
                <w:rFonts w:cs="Times New Roman"/>
                <w:sz w:val="20"/>
                <w:szCs w:val="20"/>
              </w:rPr>
            </w:pPr>
            <w:r w:rsidRPr="00FF2CED">
              <w:rPr>
                <w:rFonts w:cs="Times New Roman"/>
                <w:sz w:val="20"/>
                <w:szCs w:val="20"/>
              </w:rPr>
              <w:t>Baxter</w:t>
            </w:r>
            <w:r>
              <w:rPr>
                <w:rFonts w:cs="Times New Roman"/>
                <w:sz w:val="20"/>
                <w:szCs w:val="20"/>
              </w:rPr>
              <w:t xml:space="preserve"> H,</w:t>
            </w:r>
            <w:r w:rsidRPr="00FF2CED">
              <w:rPr>
                <w:rFonts w:cs="Times New Roman"/>
                <w:sz w:val="20"/>
                <w:szCs w:val="20"/>
              </w:rPr>
              <w:t xml:space="preserve"> 20</w:t>
            </w:r>
            <w:r>
              <w:rPr>
                <w:rFonts w:cs="Times New Roman"/>
                <w:sz w:val="20"/>
                <w:szCs w:val="20"/>
              </w:rPr>
              <w:t>09</w:t>
            </w:r>
            <w:r w:rsidR="003A0D62">
              <w:rPr>
                <w:rFonts w:cs="Times New Roman"/>
                <w:sz w:val="20"/>
                <w:szCs w:val="20"/>
              </w:rPr>
              <w:fldChar w:fldCharType="begin">
                <w:fldData xml:space="preserve">PEVuZE5vdGU+PENpdGU+PEF1dGhvcj5CYXh0ZXI8L0F1dGhvcj48WWVhcj4yMDA5PC9ZZWFyPjxS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</w:fldData>
              </w:fldChar>
            </w:r>
            <w:r w:rsidR="0076576E">
              <w:rPr>
                <w:rFonts w:cs="Times New Roman"/>
                <w:sz w:val="20"/>
                <w:szCs w:val="20"/>
              </w:rPr>
              <w:instrText xml:space="preserve"> ADDIN EN.CITE </w:instrText>
            </w:r>
            <w:r w:rsidR="0076576E">
              <w:rPr>
                <w:rFonts w:cs="Times New Roman"/>
                <w:sz w:val="20"/>
                <w:szCs w:val="20"/>
              </w:rPr>
              <w:fldChar w:fldCharType="begin">
                <w:fldData xml:space="preserve">PEVuZE5vdGU+PENpdGU+PEF1dGhvcj5CYXh0ZXI8L0F1dGhvcj48WWVhcj4yMDA5PC9ZZWFyPjxS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</w:fldData>
              </w:fldChar>
            </w:r>
            <w:r w:rsidR="0076576E">
              <w:rPr>
                <w:rFonts w:cs="Times New Roman"/>
                <w:sz w:val="20"/>
                <w:szCs w:val="20"/>
              </w:rPr>
              <w:instrText xml:space="preserve"> ADDIN EN.CITE.DATA </w:instrText>
            </w:r>
            <w:r w:rsidR="0076576E">
              <w:rPr>
                <w:rFonts w:cs="Times New Roman"/>
                <w:sz w:val="20"/>
                <w:szCs w:val="20"/>
              </w:rPr>
            </w:r>
            <w:r w:rsidR="0076576E">
              <w:rPr>
                <w:rFonts w:cs="Times New Roman"/>
                <w:sz w:val="20"/>
                <w:szCs w:val="20"/>
              </w:rPr>
              <w:fldChar w:fldCharType="end"/>
            </w:r>
            <w:r w:rsidR="003A0D62">
              <w:rPr>
                <w:rFonts w:cs="Times New Roman"/>
                <w:sz w:val="20"/>
                <w:szCs w:val="20"/>
              </w:rPr>
            </w:r>
            <w:r w:rsidR="003A0D62">
              <w:rPr>
                <w:rFonts w:cs="Times New Roman"/>
                <w:sz w:val="20"/>
                <w:szCs w:val="20"/>
              </w:rPr>
              <w:fldChar w:fldCharType="separate"/>
            </w:r>
            <w:r w:rsidR="0076576E" w:rsidRPr="0076576E">
              <w:rPr>
                <w:rFonts w:cs="Times New Roman"/>
                <w:noProof/>
                <w:sz w:val="20"/>
                <w:szCs w:val="20"/>
                <w:vertAlign w:val="superscript"/>
              </w:rPr>
              <w:t>193</w:t>
            </w:r>
            <w:r w:rsidR="003A0D62">
              <w:rPr>
                <w:rFonts w:cs="Times New Roman"/>
                <w:sz w:val="20"/>
                <w:szCs w:val="20"/>
              </w:rPr>
              <w:fldChar w:fldCharType="end"/>
            </w:r>
          </w:p>
        </w:tc>
        <w:tc>
          <w:tcPr>
            <w:tcW w:w="939" w:type="dxa"/>
          </w:tcPr>
          <w:p w14:paraId="214734AF" w14:textId="77777777" w:rsidR="004B69F5" w:rsidRPr="00FF2CED" w:rsidRDefault="004B69F5" w:rsidP="000D2CA8">
            <w:pPr>
              <w:spacing w:line="240" w:lineRule="auto"/>
              <w:rPr>
                <w:rFonts w:cs="Times New Roman"/>
                <w:sz w:val="20"/>
                <w:szCs w:val="20"/>
              </w:rPr>
            </w:pPr>
            <w:r>
              <w:rPr>
                <w:rFonts w:cs="Times New Roman"/>
                <w:sz w:val="20"/>
                <w:szCs w:val="20"/>
              </w:rPr>
              <w:t>UK</w:t>
            </w:r>
          </w:p>
        </w:tc>
        <w:tc>
          <w:tcPr>
            <w:tcW w:w="1456" w:type="dxa"/>
          </w:tcPr>
          <w:p w14:paraId="43BCEC2D" w14:textId="77777777" w:rsidR="004B69F5" w:rsidRPr="00916477" w:rsidRDefault="004B69F5" w:rsidP="000D2CA8">
            <w:pPr>
              <w:spacing w:line="240" w:lineRule="auto"/>
              <w:rPr>
                <w:rFonts w:cs="Times New Roman"/>
                <w:b/>
                <w:sz w:val="20"/>
                <w:szCs w:val="20"/>
              </w:rPr>
            </w:pPr>
            <w:r>
              <w:rPr>
                <w:rFonts w:cs="Times New Roman"/>
                <w:sz w:val="20"/>
                <w:szCs w:val="20"/>
              </w:rPr>
              <w:t>One NHS trust</w:t>
            </w:r>
          </w:p>
        </w:tc>
        <w:tc>
          <w:tcPr>
            <w:tcW w:w="1305" w:type="dxa"/>
          </w:tcPr>
          <w:p w14:paraId="41BD4294" w14:textId="77777777" w:rsidR="004B69F5" w:rsidRPr="00FF2CED" w:rsidRDefault="004B69F5" w:rsidP="000D2CA8">
            <w:pPr>
              <w:spacing w:line="240" w:lineRule="auto"/>
              <w:rPr>
                <w:rFonts w:cs="Times New Roman"/>
                <w:sz w:val="20"/>
                <w:szCs w:val="20"/>
              </w:rPr>
            </w:pPr>
            <w:r>
              <w:rPr>
                <w:rFonts w:cs="Times New Roman"/>
                <w:sz w:val="20"/>
                <w:szCs w:val="20"/>
              </w:rPr>
              <w:t>Forceps (n=2)</w:t>
            </w:r>
          </w:p>
        </w:tc>
        <w:tc>
          <w:tcPr>
            <w:tcW w:w="1316" w:type="dxa"/>
            <w:shd w:val="clear" w:color="auto" w:fill="FFFFFF" w:themeFill="background1"/>
          </w:tcPr>
          <w:p w14:paraId="14B00581" w14:textId="77777777" w:rsidR="004B69F5" w:rsidRPr="00FF2CED" w:rsidRDefault="004B69F5" w:rsidP="000D2CA8">
            <w:pPr>
              <w:spacing w:line="240" w:lineRule="auto"/>
              <w:rPr>
                <w:rFonts w:cs="Times New Roman"/>
                <w:sz w:val="20"/>
                <w:szCs w:val="20"/>
              </w:rPr>
            </w:pPr>
            <w:r>
              <w:rPr>
                <w:rFonts w:cs="Times New Roman"/>
                <w:sz w:val="20"/>
                <w:szCs w:val="20"/>
              </w:rPr>
              <w:t>‘conventional hospital SSD procedures’ [washing and autoclaving]</w:t>
            </w:r>
          </w:p>
        </w:tc>
        <w:tc>
          <w:tcPr>
            <w:tcW w:w="1327" w:type="dxa"/>
            <w:shd w:val="clear" w:color="auto" w:fill="FFFFFF" w:themeFill="background1"/>
          </w:tcPr>
          <w:p w14:paraId="3FCFE241" w14:textId="77777777" w:rsidR="004B69F5" w:rsidRDefault="004B69F5" w:rsidP="000D2CA8">
            <w:pPr>
              <w:spacing w:line="240" w:lineRule="auto"/>
              <w:rPr>
                <w:rFonts w:cs="Times New Roman"/>
                <w:sz w:val="20"/>
                <w:szCs w:val="20"/>
              </w:rPr>
            </w:pPr>
            <w:r>
              <w:rPr>
                <w:rFonts w:cs="Times New Roman"/>
                <w:sz w:val="20"/>
                <w:szCs w:val="20"/>
              </w:rPr>
              <w:t>EDX</w:t>
            </w:r>
          </w:p>
          <w:p w14:paraId="2527C0E4" w14:textId="77777777" w:rsidR="004B69F5" w:rsidRDefault="004B69F5" w:rsidP="000D2CA8">
            <w:pPr>
              <w:spacing w:line="240" w:lineRule="auto"/>
              <w:rPr>
                <w:rFonts w:cs="Times New Roman"/>
                <w:sz w:val="20"/>
                <w:szCs w:val="20"/>
              </w:rPr>
            </w:pPr>
          </w:p>
          <w:p w14:paraId="011FA62D" w14:textId="77777777" w:rsidR="004B69F5" w:rsidRDefault="004B69F5" w:rsidP="000D2CA8">
            <w:pPr>
              <w:spacing w:line="240" w:lineRule="auto"/>
              <w:rPr>
                <w:rFonts w:cs="Times New Roman"/>
                <w:sz w:val="20"/>
                <w:szCs w:val="20"/>
              </w:rPr>
            </w:pPr>
          </w:p>
          <w:p w14:paraId="3636BA6E" w14:textId="77777777" w:rsidR="004B69F5" w:rsidRDefault="004B69F5" w:rsidP="000D2CA8">
            <w:pPr>
              <w:spacing w:line="240" w:lineRule="auto"/>
              <w:rPr>
                <w:rFonts w:cs="Times New Roman"/>
                <w:sz w:val="20"/>
                <w:szCs w:val="20"/>
              </w:rPr>
            </w:pPr>
            <w:r>
              <w:rPr>
                <w:rFonts w:cs="Times New Roman"/>
                <w:sz w:val="20"/>
                <w:szCs w:val="20"/>
              </w:rPr>
              <w:t xml:space="preserve"> </w:t>
            </w:r>
            <w:r w:rsidRPr="002E3BA1">
              <w:rPr>
                <w:rFonts w:cs="Times New Roman"/>
                <w:i/>
                <w:sz w:val="20"/>
                <w:szCs w:val="20"/>
              </w:rPr>
              <w:t>in situ</w:t>
            </w:r>
          </w:p>
        </w:tc>
        <w:tc>
          <w:tcPr>
            <w:tcW w:w="6608" w:type="dxa"/>
            <w:gridSpan w:val="3"/>
            <w:shd w:val="clear" w:color="auto" w:fill="FFFFFF" w:themeFill="background1"/>
          </w:tcPr>
          <w:p w14:paraId="6C9ADCA2" w14:textId="77777777" w:rsidR="004B69F5" w:rsidRPr="00FF2CED" w:rsidRDefault="004B69F5" w:rsidP="000D2CA8">
            <w:pPr>
              <w:spacing w:line="240" w:lineRule="auto"/>
              <w:rPr>
                <w:rFonts w:cs="Times New Roman"/>
                <w:sz w:val="20"/>
                <w:szCs w:val="20"/>
              </w:rPr>
            </w:pPr>
            <w:r>
              <w:rPr>
                <w:rFonts w:cs="Times New Roman"/>
                <w:sz w:val="20"/>
                <w:szCs w:val="20"/>
              </w:rPr>
              <w:t>Measure of residual protein is by units of fluorescence after conventional SSD processes, but before and after RF gas plasma treatment</w:t>
            </w:r>
          </w:p>
        </w:tc>
      </w:tr>
      <w:tr w:rsidR="004B69F5" w:rsidRPr="00FF2CED" w14:paraId="4477B164" w14:textId="77777777" w:rsidTr="0015557F">
        <w:tc>
          <w:tcPr>
            <w:tcW w:w="1223" w:type="dxa"/>
            <w:shd w:val="clear" w:color="auto" w:fill="FFFFFF" w:themeFill="background1"/>
          </w:tcPr>
          <w:p w14:paraId="3E461056" w14:textId="00302615" w:rsidR="004B69F5" w:rsidRPr="00FF2CED" w:rsidRDefault="004B69F5" w:rsidP="0076576E">
            <w:pPr>
              <w:spacing w:line="240" w:lineRule="auto"/>
              <w:rPr>
                <w:rFonts w:cs="Times New Roman"/>
                <w:sz w:val="20"/>
                <w:szCs w:val="20"/>
              </w:rPr>
            </w:pPr>
            <w:r>
              <w:rPr>
                <w:rFonts w:cs="Times New Roman"/>
                <w:sz w:val="20"/>
                <w:szCs w:val="20"/>
              </w:rPr>
              <w:t>Smith, 2018</w:t>
            </w:r>
            <w:r w:rsidR="003A0D62">
              <w:rPr>
                <w:rFonts w:cs="Times New Roman"/>
                <w:sz w:val="20"/>
                <w:szCs w:val="20"/>
              </w:rPr>
              <w:fldChar w:fldCharType="begin"/>
            </w:r>
            <w:r w:rsidR="0076576E">
              <w:rPr>
                <w:rFonts w:cs="Times New Roman"/>
                <w:sz w:val="20"/>
                <w:szCs w:val="20"/>
              </w:rPr>
              <w:instrText xml:space="preserve"> ADDIN EN.CITE &lt;EndNote&gt;&lt;Cite&gt;&lt;Author&gt;Smith&lt;/Author&gt;&lt;Year&gt;2018&lt;/Year&gt;&lt;RecNum&gt;10282&lt;/RecNum&gt;&lt;DisplayText&gt;&lt;style face="superscript"&gt;191&lt;/style&gt;&lt;/DisplayText&gt;&lt;record&gt;&lt;rec-number&gt;10282&lt;/rec-number&gt;&lt;foreign-keys&gt;&lt;key app="EN" db-id="vrp0pptazv05wtesfz5vrzsj2p0rv09ttsa9" timestamp="1526283106" guid="ad6f63a4-a0b9-472e-8996-8638b28ea0d3"&gt;10282&lt;/key&gt;&lt;/foreign-keys&gt;&lt;ref-type name="Journal Article"&gt;17&lt;/ref-type&gt;&lt;contributors&gt;&lt;authors&gt;&lt;author&gt;Smith, A.&lt;/author&gt;&lt;author&gt;Winter, S.&lt;/author&gt;&lt;author&gt;Lappin, D.&lt;/author&gt;&lt;author&gt;Sherriff, A.&lt;/author&gt;&lt;author&gt;McIvor, I.&lt;/author&gt;&lt;author&gt;Philp, P.&lt;/author&gt;&lt;author&gt;Suttner, N.&lt;/author&gt;&lt;author&gt;Holmes, S.&lt;/author&gt;&lt;author&gt;Stewart, A.&lt;/author&gt;&lt;/authors&gt;&lt;/contributors&gt;&lt;titles&gt;&lt;title&gt;Reducing the risk of iatrogenic CJD by improving the cleaning of neurosurgical instruments&lt;/title&gt;&lt;secondary-title&gt;Journal of Hospital Infection&lt;/secondary-title&gt;&lt;/titles&gt;&lt;periodical&gt;&lt;full-title&gt;Journal of Hospital Infection&lt;/full-title&gt;&lt;/periodical&gt;&lt;volume&gt;epub&lt;/volume&gt;&lt;keywords&gt;&lt;keyword&gt;$$5_instrument decontamination&lt;/keyword&gt;&lt;keyword&gt;$$Committee recommended&lt;/keyword&gt;&lt;keyword&gt;$$5_protein&lt;/keyword&gt;&lt;/keywords&gt;&lt;dates&gt;&lt;year&gt;2018&lt;/year&gt;&lt;/dates&gt;&lt;urls&gt;&lt;/urls&gt;&lt;electronic-resource-num&gt;doi: 10.1016/j.jhin.2018.03.001&lt;/electronic-resource-num&gt;&lt;/record&gt;&lt;/Cite&gt;&lt;/EndNote&gt;</w:instrText>
            </w:r>
            <w:r w:rsidR="003A0D62">
              <w:rPr>
                <w:rFonts w:cs="Times New Roman"/>
                <w:sz w:val="20"/>
                <w:szCs w:val="20"/>
              </w:rPr>
              <w:fldChar w:fldCharType="separate"/>
            </w:r>
            <w:r w:rsidR="0076576E" w:rsidRPr="0076576E">
              <w:rPr>
                <w:rFonts w:cs="Times New Roman"/>
                <w:noProof/>
                <w:sz w:val="20"/>
                <w:szCs w:val="20"/>
                <w:vertAlign w:val="superscript"/>
              </w:rPr>
              <w:t>191</w:t>
            </w:r>
            <w:r w:rsidR="003A0D62">
              <w:rPr>
                <w:rFonts w:cs="Times New Roman"/>
                <w:sz w:val="20"/>
                <w:szCs w:val="20"/>
              </w:rPr>
              <w:fldChar w:fldCharType="end"/>
            </w:r>
          </w:p>
        </w:tc>
        <w:tc>
          <w:tcPr>
            <w:tcW w:w="939" w:type="dxa"/>
          </w:tcPr>
          <w:p w14:paraId="20ED85AA" w14:textId="77777777" w:rsidR="004B69F5" w:rsidRDefault="004B69F5" w:rsidP="000D2CA8">
            <w:pPr>
              <w:spacing w:line="240" w:lineRule="auto"/>
              <w:rPr>
                <w:rFonts w:cs="Times New Roman"/>
                <w:sz w:val="20"/>
                <w:szCs w:val="20"/>
              </w:rPr>
            </w:pPr>
            <w:r>
              <w:rPr>
                <w:rFonts w:cs="Times New Roman"/>
                <w:sz w:val="20"/>
                <w:szCs w:val="20"/>
              </w:rPr>
              <w:t>UK</w:t>
            </w:r>
          </w:p>
        </w:tc>
        <w:tc>
          <w:tcPr>
            <w:tcW w:w="1456" w:type="dxa"/>
          </w:tcPr>
          <w:p w14:paraId="532D9D1A" w14:textId="77777777" w:rsidR="004B69F5" w:rsidRDefault="004B69F5" w:rsidP="000D2CA8">
            <w:pPr>
              <w:spacing w:line="240" w:lineRule="auto"/>
              <w:rPr>
                <w:rFonts w:cs="Times New Roman"/>
                <w:sz w:val="20"/>
                <w:szCs w:val="20"/>
              </w:rPr>
            </w:pPr>
            <w:r>
              <w:rPr>
                <w:rFonts w:cs="Times New Roman"/>
                <w:sz w:val="20"/>
                <w:szCs w:val="20"/>
              </w:rPr>
              <w:t xml:space="preserve">One NHS trust. </w:t>
            </w:r>
          </w:p>
          <w:p w14:paraId="17F0E030" w14:textId="77777777" w:rsidR="004B69F5" w:rsidRDefault="004B69F5" w:rsidP="000D2CA8">
            <w:pPr>
              <w:spacing w:line="240" w:lineRule="auto"/>
              <w:rPr>
                <w:rFonts w:cs="Times New Roman"/>
                <w:sz w:val="20"/>
                <w:szCs w:val="20"/>
              </w:rPr>
            </w:pPr>
          </w:p>
          <w:p w14:paraId="0ED560F1" w14:textId="77777777" w:rsidR="004B69F5" w:rsidRDefault="004B69F5" w:rsidP="000D2CA8">
            <w:pPr>
              <w:spacing w:line="240" w:lineRule="auto"/>
              <w:rPr>
                <w:rFonts w:cs="Times New Roman"/>
                <w:sz w:val="20"/>
                <w:szCs w:val="20"/>
              </w:rPr>
            </w:pPr>
            <w:r>
              <w:rPr>
                <w:rFonts w:cs="Times New Roman"/>
                <w:sz w:val="20"/>
                <w:szCs w:val="20"/>
              </w:rPr>
              <w:t>Some instruments ‘artificially soiled’ with Edinburgh soil</w:t>
            </w:r>
          </w:p>
        </w:tc>
        <w:tc>
          <w:tcPr>
            <w:tcW w:w="1305" w:type="dxa"/>
          </w:tcPr>
          <w:p w14:paraId="2AF4A650" w14:textId="77777777" w:rsidR="004B69F5" w:rsidRDefault="004B69F5" w:rsidP="000D2CA8">
            <w:pPr>
              <w:spacing w:line="240" w:lineRule="auto"/>
              <w:rPr>
                <w:rFonts w:cs="Times New Roman"/>
                <w:sz w:val="20"/>
                <w:szCs w:val="20"/>
              </w:rPr>
            </w:pPr>
            <w:r>
              <w:rPr>
                <w:rFonts w:cs="Times New Roman"/>
                <w:sz w:val="20"/>
                <w:szCs w:val="20"/>
              </w:rPr>
              <w:t>The five most-commonly used neurosurgery sets (n=1000)</w:t>
            </w:r>
          </w:p>
        </w:tc>
        <w:tc>
          <w:tcPr>
            <w:tcW w:w="1316" w:type="dxa"/>
            <w:shd w:val="clear" w:color="auto" w:fill="FFFFFF" w:themeFill="background1"/>
          </w:tcPr>
          <w:p w14:paraId="069D1DB6" w14:textId="77777777" w:rsidR="004B69F5" w:rsidRDefault="004B69F5" w:rsidP="000D2CA8">
            <w:pPr>
              <w:spacing w:line="240" w:lineRule="auto"/>
              <w:rPr>
                <w:rFonts w:cs="Times New Roman"/>
                <w:sz w:val="20"/>
                <w:szCs w:val="20"/>
              </w:rPr>
            </w:pPr>
            <w:r>
              <w:rPr>
                <w:rFonts w:cs="Times New Roman"/>
                <w:sz w:val="20"/>
                <w:szCs w:val="20"/>
              </w:rPr>
              <w:t>‘automated washer disinfector’ in SSD (untreated), plus instruments treated with two types of wetting agents (Steris pre-klenz and sterile water)</w:t>
            </w:r>
          </w:p>
        </w:tc>
        <w:tc>
          <w:tcPr>
            <w:tcW w:w="1327" w:type="dxa"/>
            <w:shd w:val="clear" w:color="auto" w:fill="FFFFFF" w:themeFill="background1"/>
          </w:tcPr>
          <w:p w14:paraId="54899001" w14:textId="77777777" w:rsidR="004B69F5" w:rsidRDefault="004B69F5" w:rsidP="000D2CA8">
            <w:pPr>
              <w:spacing w:line="240" w:lineRule="auto"/>
              <w:rPr>
                <w:rFonts w:cs="Times New Roman"/>
                <w:sz w:val="20"/>
                <w:szCs w:val="20"/>
              </w:rPr>
            </w:pPr>
            <w:r>
              <w:rPr>
                <w:rFonts w:cs="Times New Roman"/>
                <w:sz w:val="20"/>
                <w:szCs w:val="20"/>
              </w:rPr>
              <w:t>SDS extraction and OPA, ProReveal</w:t>
            </w:r>
          </w:p>
          <w:p w14:paraId="3C665BBE" w14:textId="77777777" w:rsidR="004B69F5" w:rsidRDefault="004B69F5" w:rsidP="000D2CA8">
            <w:pPr>
              <w:spacing w:line="240" w:lineRule="auto"/>
              <w:rPr>
                <w:rFonts w:cs="Times New Roman"/>
                <w:sz w:val="20"/>
                <w:szCs w:val="20"/>
              </w:rPr>
            </w:pPr>
          </w:p>
          <w:p w14:paraId="3DDA58A6" w14:textId="77777777" w:rsidR="004B69F5" w:rsidRDefault="004B69F5" w:rsidP="000D2CA8">
            <w:pPr>
              <w:spacing w:line="240" w:lineRule="auto"/>
              <w:rPr>
                <w:rFonts w:cs="Times New Roman"/>
                <w:sz w:val="20"/>
                <w:szCs w:val="20"/>
              </w:rPr>
            </w:pPr>
            <w:r>
              <w:rPr>
                <w:rFonts w:ascii="Times-Roman" w:hAnsi="Times-Roman" w:cs="Times-Roman"/>
                <w:sz w:val="20"/>
                <w:szCs w:val="20"/>
                <w:lang w:val="en"/>
              </w:rPr>
              <w:t>Unclear</w:t>
            </w:r>
            <w:r w:rsidRPr="002E3BA1">
              <w:rPr>
                <w:rFonts w:ascii="Times-Roman" w:hAnsi="Times-Roman" w:cs="Times-Roman"/>
                <w:sz w:val="20"/>
                <w:szCs w:val="20"/>
                <w:vertAlign w:val="superscript"/>
                <w:lang w:val="en"/>
              </w:rPr>
              <w:t>b</w:t>
            </w:r>
          </w:p>
        </w:tc>
        <w:tc>
          <w:tcPr>
            <w:tcW w:w="4755" w:type="dxa"/>
            <w:gridSpan w:val="2"/>
            <w:shd w:val="clear" w:color="auto" w:fill="FFFFFF" w:themeFill="background1"/>
          </w:tcPr>
          <w:p w14:paraId="7C879CDC" w14:textId="77777777" w:rsidR="004B69F5" w:rsidRDefault="004B69F5" w:rsidP="000D2CA8">
            <w:pPr>
              <w:spacing w:line="240" w:lineRule="auto"/>
              <w:rPr>
                <w:rFonts w:cs="Times New Roman"/>
                <w:sz w:val="20"/>
                <w:szCs w:val="20"/>
              </w:rPr>
            </w:pPr>
            <w:r>
              <w:rPr>
                <w:rFonts w:cs="Times New Roman"/>
                <w:sz w:val="20"/>
                <w:szCs w:val="20"/>
              </w:rPr>
              <w:t xml:space="preserve">10 craniotomy sets only: instruments, n=305 (OPA assay, and includes 40 artificially-soiled instruments): </w:t>
            </w:r>
          </w:p>
          <w:p w14:paraId="7999ABD7" w14:textId="77777777" w:rsidR="004B69F5" w:rsidRDefault="004B69F5" w:rsidP="000D2CA8">
            <w:pPr>
              <w:spacing w:line="240" w:lineRule="auto"/>
              <w:rPr>
                <w:rFonts w:cs="Times New Roman"/>
                <w:sz w:val="20"/>
                <w:szCs w:val="20"/>
                <w:vertAlign w:val="superscript"/>
              </w:rPr>
            </w:pPr>
            <w:r>
              <w:rPr>
                <w:rFonts w:cs="Times New Roman"/>
                <w:sz w:val="20"/>
                <w:szCs w:val="20"/>
              </w:rPr>
              <w:t>&lt;30</w:t>
            </w:r>
            <w:r w:rsidRPr="00275165">
              <w:rPr>
                <w:rFonts w:cs="Times New Roman"/>
                <w:sz w:val="20"/>
                <w:szCs w:val="20"/>
              </w:rPr>
              <w:t xml:space="preserve"> µg</w:t>
            </w:r>
            <w:r>
              <w:rPr>
                <w:rFonts w:cs="Times New Roman"/>
                <w:sz w:val="20"/>
                <w:szCs w:val="20"/>
              </w:rPr>
              <w:t>, except for one untreated instrument: sharp elevator: 44.02</w:t>
            </w:r>
            <w:r w:rsidRPr="00275165">
              <w:rPr>
                <w:rFonts w:cs="Times New Roman"/>
                <w:sz w:val="20"/>
                <w:szCs w:val="20"/>
              </w:rPr>
              <w:t xml:space="preserve"> µg</w:t>
            </w:r>
            <w:r w:rsidRPr="00CA4662">
              <w:rPr>
                <w:rFonts w:cs="Times New Roman"/>
                <w:sz w:val="20"/>
                <w:szCs w:val="20"/>
                <w:vertAlign w:val="superscript"/>
              </w:rPr>
              <w:t xml:space="preserve"> a</w:t>
            </w:r>
          </w:p>
          <w:p w14:paraId="176243FB" w14:textId="77777777" w:rsidR="004B69F5" w:rsidRDefault="004B69F5" w:rsidP="000D2CA8">
            <w:pPr>
              <w:spacing w:line="240" w:lineRule="auto"/>
              <w:rPr>
                <w:rFonts w:cs="Times New Roman"/>
                <w:sz w:val="20"/>
                <w:szCs w:val="20"/>
              </w:rPr>
            </w:pPr>
          </w:p>
          <w:p w14:paraId="2FD6A4D0" w14:textId="77777777" w:rsidR="004B69F5" w:rsidRDefault="004B69F5" w:rsidP="000D2CA8">
            <w:pPr>
              <w:spacing w:line="240" w:lineRule="auto"/>
              <w:rPr>
                <w:rFonts w:cs="Times New Roman"/>
                <w:sz w:val="20"/>
                <w:szCs w:val="20"/>
              </w:rPr>
            </w:pPr>
            <w:r>
              <w:rPr>
                <w:rFonts w:cs="Times New Roman"/>
                <w:sz w:val="20"/>
                <w:szCs w:val="20"/>
              </w:rPr>
              <w:t xml:space="preserve"> </w:t>
            </w:r>
          </w:p>
          <w:p w14:paraId="587D94FB" w14:textId="77777777" w:rsidR="004B69F5" w:rsidRDefault="004B69F5" w:rsidP="000D2CA8">
            <w:pPr>
              <w:spacing w:line="240" w:lineRule="auto"/>
              <w:rPr>
                <w:rFonts w:cs="Times New Roman"/>
                <w:sz w:val="20"/>
                <w:szCs w:val="20"/>
              </w:rPr>
            </w:pPr>
            <w:r>
              <w:rPr>
                <w:rFonts w:cs="Times New Roman"/>
                <w:sz w:val="20"/>
                <w:szCs w:val="20"/>
              </w:rPr>
              <w:t>Different sets: instruments n=187 (ProReveal assay): 87% (163/187): &lt;5</w:t>
            </w:r>
            <w:r w:rsidRPr="006C525E">
              <w:rPr>
                <w:rFonts w:cs="Times New Roman"/>
                <w:b/>
                <w:sz w:val="20"/>
                <w:szCs w:val="20"/>
              </w:rPr>
              <w:t xml:space="preserve"> </w:t>
            </w:r>
            <w:r w:rsidRPr="00275165">
              <w:rPr>
                <w:rFonts w:cs="Times New Roman"/>
                <w:sz w:val="20"/>
                <w:szCs w:val="20"/>
              </w:rPr>
              <w:t>µg per instrument side</w:t>
            </w:r>
            <w:r>
              <w:rPr>
                <w:rFonts w:cs="Times New Roman"/>
                <w:sz w:val="20"/>
                <w:szCs w:val="20"/>
              </w:rPr>
              <w:t xml:space="preserve">; </w:t>
            </w:r>
          </w:p>
          <w:p w14:paraId="64C93DB8" w14:textId="77777777" w:rsidR="004B69F5" w:rsidRDefault="004B69F5" w:rsidP="000D2CA8">
            <w:pPr>
              <w:spacing w:line="240" w:lineRule="auto"/>
              <w:rPr>
                <w:rFonts w:cs="Times New Roman"/>
                <w:sz w:val="20"/>
                <w:szCs w:val="20"/>
              </w:rPr>
            </w:pPr>
            <w:r>
              <w:rPr>
                <w:rFonts w:cs="Times New Roman"/>
                <w:sz w:val="20"/>
                <w:szCs w:val="20"/>
              </w:rPr>
              <w:t>96% (179/187): &lt;10</w:t>
            </w:r>
            <w:r w:rsidRPr="006C525E">
              <w:rPr>
                <w:rFonts w:cs="Times New Roman"/>
                <w:b/>
                <w:sz w:val="20"/>
                <w:szCs w:val="20"/>
              </w:rPr>
              <w:t xml:space="preserve"> </w:t>
            </w:r>
            <w:r w:rsidRPr="00275165">
              <w:rPr>
                <w:rFonts w:cs="Times New Roman"/>
                <w:sz w:val="20"/>
                <w:szCs w:val="20"/>
              </w:rPr>
              <w:t>µg per instrument side</w:t>
            </w:r>
          </w:p>
          <w:p w14:paraId="1751A233" w14:textId="77777777" w:rsidR="004B69F5" w:rsidRDefault="004B69F5" w:rsidP="000D2CA8">
            <w:pPr>
              <w:spacing w:line="240" w:lineRule="auto"/>
              <w:rPr>
                <w:rFonts w:cs="Times New Roman"/>
                <w:sz w:val="20"/>
                <w:szCs w:val="20"/>
              </w:rPr>
            </w:pPr>
          </w:p>
          <w:p w14:paraId="31C836A6" w14:textId="77777777" w:rsidR="004B69F5" w:rsidRDefault="004B69F5" w:rsidP="000D2CA8">
            <w:pPr>
              <w:spacing w:line="240" w:lineRule="auto"/>
              <w:rPr>
                <w:rFonts w:cs="Times New Roman"/>
                <w:sz w:val="20"/>
                <w:szCs w:val="20"/>
              </w:rPr>
            </w:pPr>
          </w:p>
        </w:tc>
        <w:tc>
          <w:tcPr>
            <w:tcW w:w="1853" w:type="dxa"/>
            <w:shd w:val="clear" w:color="auto" w:fill="FFFFFF" w:themeFill="background1"/>
          </w:tcPr>
          <w:p w14:paraId="68E55A04" w14:textId="77777777" w:rsidR="004B69F5" w:rsidRDefault="004B69F5" w:rsidP="000D2CA8">
            <w:pPr>
              <w:spacing w:line="240" w:lineRule="auto"/>
              <w:jc w:val="center"/>
              <w:rPr>
                <w:rFonts w:cs="Times New Roman"/>
                <w:sz w:val="20"/>
                <w:szCs w:val="20"/>
              </w:rPr>
            </w:pPr>
          </w:p>
          <w:p w14:paraId="41BB31E1" w14:textId="77777777" w:rsidR="004B69F5" w:rsidRDefault="004B69F5" w:rsidP="000D2CA8">
            <w:pPr>
              <w:spacing w:line="240" w:lineRule="auto"/>
              <w:jc w:val="center"/>
              <w:rPr>
                <w:rFonts w:cs="Times New Roman"/>
                <w:sz w:val="20"/>
                <w:szCs w:val="20"/>
              </w:rPr>
            </w:pPr>
          </w:p>
          <w:p w14:paraId="45756A31" w14:textId="77777777" w:rsidR="004B69F5" w:rsidRDefault="004B69F5" w:rsidP="000D2CA8">
            <w:pPr>
              <w:spacing w:line="240" w:lineRule="auto"/>
              <w:jc w:val="center"/>
              <w:rPr>
                <w:rFonts w:cs="Times New Roman"/>
                <w:sz w:val="20"/>
                <w:szCs w:val="20"/>
              </w:rPr>
            </w:pPr>
            <w:r>
              <w:rPr>
                <w:rFonts w:cs="Times New Roman"/>
                <w:sz w:val="20"/>
                <w:szCs w:val="20"/>
              </w:rPr>
              <w:t>NR</w:t>
            </w:r>
          </w:p>
        </w:tc>
      </w:tr>
      <w:tr w:rsidR="004B69F5" w:rsidRPr="00FF2CED" w14:paraId="5E9C36EB" w14:textId="77777777" w:rsidTr="0015557F">
        <w:trPr>
          <w:trHeight w:val="361"/>
        </w:trPr>
        <w:tc>
          <w:tcPr>
            <w:tcW w:w="14174" w:type="dxa"/>
            <w:gridSpan w:val="9"/>
            <w:shd w:val="clear" w:color="auto" w:fill="FFFFFF" w:themeFill="background1"/>
          </w:tcPr>
          <w:p w14:paraId="7284757D" w14:textId="77777777" w:rsidR="004B69F5" w:rsidRPr="00354E1E" w:rsidRDefault="004B69F5" w:rsidP="000D2CA8">
            <w:pPr>
              <w:spacing w:line="240" w:lineRule="auto"/>
              <w:rPr>
                <w:rFonts w:cs="Times New Roman"/>
                <w:sz w:val="20"/>
                <w:szCs w:val="20"/>
              </w:rPr>
            </w:pPr>
          </w:p>
        </w:tc>
      </w:tr>
      <w:tr w:rsidR="004B69F5" w:rsidRPr="00FF2CED" w14:paraId="495BA1F0" w14:textId="77777777" w:rsidTr="0015557F">
        <w:tc>
          <w:tcPr>
            <w:tcW w:w="1223" w:type="dxa"/>
            <w:shd w:val="clear" w:color="auto" w:fill="FFFFFF" w:themeFill="background1"/>
          </w:tcPr>
          <w:p w14:paraId="29F3AE9D" w14:textId="595B8392" w:rsidR="004B69F5" w:rsidRPr="00FF2CED" w:rsidRDefault="004B69F5" w:rsidP="0076576E">
            <w:pPr>
              <w:spacing w:line="240" w:lineRule="auto"/>
              <w:rPr>
                <w:rFonts w:cs="Times New Roman"/>
                <w:sz w:val="20"/>
                <w:szCs w:val="20"/>
              </w:rPr>
            </w:pPr>
            <w:r w:rsidRPr="0020784B">
              <w:rPr>
                <w:rFonts w:cs="Times New Roman"/>
                <w:sz w:val="20"/>
                <w:szCs w:val="20"/>
              </w:rPr>
              <w:t>Herve 2013</w:t>
            </w:r>
            <w:r w:rsidR="003A0D62">
              <w:rPr>
                <w:rFonts w:cs="Times New Roman"/>
                <w:sz w:val="20"/>
                <w:szCs w:val="20"/>
              </w:rPr>
              <w:fldChar w:fldCharType="begin"/>
            </w:r>
            <w:r w:rsidR="0076576E">
              <w:rPr>
                <w:rFonts w:cs="Times New Roman"/>
                <w:sz w:val="20"/>
                <w:szCs w:val="20"/>
              </w:rPr>
              <w:instrText xml:space="preserve"> ADDIN EN.CITE &lt;EndNote&gt;&lt;Cite&gt;&lt;Author&gt;Herve&lt;/Author&gt;&lt;Year&gt;2013&lt;/Year&gt;&lt;RecNum&gt;8158&lt;/RecNum&gt;&lt;DisplayText&gt;&lt;style face="superscript"&gt;177&lt;/style&gt;&lt;/DisplayText&gt;&lt;record&gt;&lt;rec-number&gt;8158&lt;/rec-number&gt;&lt;foreign-keys&gt;&lt;key app="EN" db-id="vrp0pptazv05wtesfz5vrzsj2p0rv09ttsa9" timestamp="1506588735" guid="7917bccb-14b0-47c5-8c45-64caf8bd4aab"&gt;8158&lt;/key&gt;&lt;/foreign-keys&gt;&lt;ref-type name="Journal Article"&gt;17&lt;/ref-type&gt;&lt;contributors&gt;&lt;authors&gt;&lt;author&gt;Herve, R.&lt;/author&gt;&lt;author&gt;Keevil, C. W.&lt;/author&gt;&lt;/authors&gt;&lt;/contributors&gt;&lt;titles&gt;&lt;title&gt;Current limitations about the cleaning of luminal endoscopes&lt;/title&gt;&lt;secondary-title&gt;Journal of Hospital Infection&lt;/secondary-title&gt;&lt;/titles&gt;&lt;periodical&gt;&lt;full-title&gt;Journal of Hospital Infection&lt;/full-title&gt;&lt;/periodical&gt;&lt;pages&gt;22-29&lt;/pages&gt;&lt;volume&gt;83&lt;/volume&gt;&lt;number&gt;1&lt;/number&gt;&lt;keywords&gt;&lt;keyword&gt;$$CJD relevant&lt;/keyword&gt;&lt;keyword&gt;$$5_instrument decontamination&lt;/keyword&gt;&lt;keyword&gt;$$5_protein&lt;/keyword&gt;&lt;/keywords&gt;&lt;dates&gt;&lt;year&gt;2013&lt;/year&gt;&lt;pub-dates&gt;&lt;date&gt;Jan&lt;/date&gt;&lt;/pub-dates&gt;&lt;/dates&gt;&lt;isbn&gt;0195-6701&lt;/isbn&gt;&lt;accession-num&gt;WOS:000312394600003&lt;/accession-num&gt;&lt;urls&gt;&lt;related-urls&gt;&lt;url&gt;&amp;lt;Go to ISI&amp;gt;://WOS:000312394600003&lt;/url&gt;&lt;/related-urls&gt;&lt;/urls&gt;&lt;electronic-resource-num&gt;10.1016/j.jhin.2012.08.008&lt;/electronic-resource-num&gt;&lt;/record&gt;&lt;/Cite&gt;&lt;/EndNote&gt;</w:instrText>
            </w:r>
            <w:r w:rsidR="003A0D62">
              <w:rPr>
                <w:rFonts w:cs="Times New Roman"/>
                <w:sz w:val="20"/>
                <w:szCs w:val="20"/>
              </w:rPr>
              <w:fldChar w:fldCharType="separate"/>
            </w:r>
            <w:r w:rsidR="0076576E" w:rsidRPr="0076576E">
              <w:rPr>
                <w:rFonts w:cs="Times New Roman"/>
                <w:noProof/>
                <w:sz w:val="20"/>
                <w:szCs w:val="20"/>
                <w:vertAlign w:val="superscript"/>
              </w:rPr>
              <w:t>177</w:t>
            </w:r>
            <w:r w:rsidR="003A0D62">
              <w:rPr>
                <w:rFonts w:cs="Times New Roman"/>
                <w:sz w:val="20"/>
                <w:szCs w:val="20"/>
              </w:rPr>
              <w:fldChar w:fldCharType="end"/>
            </w:r>
          </w:p>
        </w:tc>
        <w:tc>
          <w:tcPr>
            <w:tcW w:w="939" w:type="dxa"/>
            <w:shd w:val="clear" w:color="auto" w:fill="FFFFFF" w:themeFill="background1"/>
          </w:tcPr>
          <w:p w14:paraId="047E7D54" w14:textId="77777777" w:rsidR="004B69F5" w:rsidRPr="00FF2CED" w:rsidRDefault="004B69F5" w:rsidP="000D2CA8">
            <w:pPr>
              <w:spacing w:line="240" w:lineRule="auto"/>
              <w:rPr>
                <w:rFonts w:cs="Times New Roman"/>
                <w:sz w:val="20"/>
                <w:szCs w:val="20"/>
              </w:rPr>
            </w:pPr>
            <w:r>
              <w:rPr>
                <w:rFonts w:cs="Times New Roman"/>
                <w:sz w:val="20"/>
                <w:szCs w:val="20"/>
              </w:rPr>
              <w:t>UK</w:t>
            </w:r>
          </w:p>
        </w:tc>
        <w:tc>
          <w:tcPr>
            <w:tcW w:w="1456" w:type="dxa"/>
            <w:shd w:val="clear" w:color="auto" w:fill="FFFFFF" w:themeFill="background1"/>
          </w:tcPr>
          <w:p w14:paraId="039AAD27" w14:textId="77777777" w:rsidR="004B69F5" w:rsidRPr="00FF2CED" w:rsidRDefault="004B69F5" w:rsidP="000D2CA8">
            <w:pPr>
              <w:spacing w:line="240" w:lineRule="auto"/>
              <w:rPr>
                <w:rFonts w:cs="Times New Roman"/>
                <w:sz w:val="20"/>
                <w:szCs w:val="20"/>
              </w:rPr>
            </w:pPr>
            <w:r>
              <w:rPr>
                <w:rFonts w:cs="Times New Roman"/>
                <w:sz w:val="20"/>
                <w:szCs w:val="20"/>
              </w:rPr>
              <w:t>Manufacturer, contaminated with ‘Edinburgh soil’</w:t>
            </w:r>
          </w:p>
        </w:tc>
        <w:tc>
          <w:tcPr>
            <w:tcW w:w="1305" w:type="dxa"/>
            <w:tcBorders>
              <w:bottom w:val="single" w:sz="4" w:space="0" w:color="auto"/>
            </w:tcBorders>
            <w:shd w:val="clear" w:color="auto" w:fill="FFFFFF" w:themeFill="background1"/>
          </w:tcPr>
          <w:p w14:paraId="5FF15608" w14:textId="77777777" w:rsidR="004B69F5" w:rsidRPr="00FF2CED" w:rsidRDefault="004B69F5" w:rsidP="000D2CA8">
            <w:pPr>
              <w:spacing w:line="240" w:lineRule="auto"/>
              <w:rPr>
                <w:rFonts w:cs="Times New Roman"/>
                <w:sz w:val="20"/>
                <w:szCs w:val="20"/>
              </w:rPr>
            </w:pPr>
            <w:r>
              <w:rPr>
                <w:rFonts w:cs="Times New Roman"/>
                <w:sz w:val="20"/>
                <w:szCs w:val="20"/>
              </w:rPr>
              <w:t>E</w:t>
            </w:r>
            <w:r w:rsidRPr="00FF2CED">
              <w:rPr>
                <w:rFonts w:cs="Times New Roman"/>
                <w:sz w:val="20"/>
                <w:szCs w:val="20"/>
              </w:rPr>
              <w:t>ndoscopes</w:t>
            </w:r>
            <w:r>
              <w:rPr>
                <w:rFonts w:cs="Times New Roman"/>
                <w:sz w:val="20"/>
                <w:szCs w:val="20"/>
              </w:rPr>
              <w:t xml:space="preserve"> (n=NR)</w:t>
            </w:r>
          </w:p>
        </w:tc>
        <w:tc>
          <w:tcPr>
            <w:tcW w:w="1316" w:type="dxa"/>
            <w:tcBorders>
              <w:bottom w:val="single" w:sz="4" w:space="0" w:color="auto"/>
            </w:tcBorders>
            <w:shd w:val="clear" w:color="auto" w:fill="FFFFFF" w:themeFill="background1"/>
          </w:tcPr>
          <w:p w14:paraId="487E58D5" w14:textId="77777777" w:rsidR="004B69F5" w:rsidRPr="00FF2CED" w:rsidRDefault="004B69F5" w:rsidP="000D2CA8">
            <w:pPr>
              <w:spacing w:line="240" w:lineRule="auto"/>
              <w:rPr>
                <w:rFonts w:cs="Times New Roman"/>
                <w:sz w:val="20"/>
                <w:szCs w:val="20"/>
              </w:rPr>
            </w:pPr>
            <w:r w:rsidRPr="00DD0C89">
              <w:rPr>
                <w:rFonts w:cs="Times New Roman"/>
                <w:sz w:val="20"/>
                <w:szCs w:val="20"/>
              </w:rPr>
              <w:t>An ‘enzymatic cleaner used in a number of endoscopy units’</w:t>
            </w:r>
          </w:p>
        </w:tc>
        <w:tc>
          <w:tcPr>
            <w:tcW w:w="1327" w:type="dxa"/>
            <w:shd w:val="clear" w:color="auto" w:fill="FFFFFF" w:themeFill="background1"/>
          </w:tcPr>
          <w:p w14:paraId="3222BABF" w14:textId="77777777" w:rsidR="004B69F5" w:rsidRDefault="004B69F5" w:rsidP="000D2CA8">
            <w:pPr>
              <w:spacing w:line="240" w:lineRule="auto"/>
              <w:rPr>
                <w:rFonts w:cs="Times New Roman"/>
                <w:sz w:val="20"/>
                <w:szCs w:val="20"/>
                <w:lang w:val="en"/>
              </w:rPr>
            </w:pPr>
            <w:r w:rsidRPr="006620DA">
              <w:rPr>
                <w:rFonts w:cs="Times New Roman"/>
                <w:sz w:val="20"/>
                <w:szCs w:val="20"/>
                <w:lang w:val="en"/>
              </w:rPr>
              <w:t>SYPRO Ruby and EDIC/EF microscopy</w:t>
            </w:r>
          </w:p>
          <w:p w14:paraId="79630348" w14:textId="77777777" w:rsidR="004B69F5" w:rsidRDefault="004B69F5" w:rsidP="000D2CA8">
            <w:pPr>
              <w:spacing w:line="240" w:lineRule="auto"/>
              <w:rPr>
                <w:rFonts w:cs="Times New Roman"/>
                <w:sz w:val="20"/>
                <w:szCs w:val="20"/>
                <w:lang w:val="en"/>
              </w:rPr>
            </w:pPr>
          </w:p>
          <w:p w14:paraId="6681CF73" w14:textId="77777777" w:rsidR="004B69F5" w:rsidRDefault="004B69F5" w:rsidP="000D2CA8">
            <w:pPr>
              <w:spacing w:line="240" w:lineRule="auto"/>
              <w:rPr>
                <w:rFonts w:cs="Times New Roman"/>
                <w:sz w:val="20"/>
                <w:szCs w:val="20"/>
                <w:lang w:val="en"/>
              </w:rPr>
            </w:pPr>
            <w:r>
              <w:rPr>
                <w:rFonts w:cs="Times New Roman"/>
                <w:sz w:val="20"/>
                <w:szCs w:val="20"/>
                <w:lang w:val="en"/>
              </w:rPr>
              <w:t>Unclear</w:t>
            </w:r>
          </w:p>
          <w:p w14:paraId="1D005701" w14:textId="77777777" w:rsidR="004B69F5" w:rsidRPr="00354E1E" w:rsidRDefault="004B69F5" w:rsidP="000D2CA8">
            <w:pPr>
              <w:spacing w:line="240" w:lineRule="auto"/>
              <w:rPr>
                <w:rFonts w:cs="Times New Roman"/>
                <w:sz w:val="20"/>
                <w:szCs w:val="20"/>
              </w:rPr>
            </w:pPr>
          </w:p>
        </w:tc>
        <w:tc>
          <w:tcPr>
            <w:tcW w:w="6608" w:type="dxa"/>
            <w:gridSpan w:val="3"/>
            <w:shd w:val="clear" w:color="auto" w:fill="FFFFFF" w:themeFill="background1"/>
          </w:tcPr>
          <w:p w14:paraId="31168E3E" w14:textId="77777777" w:rsidR="004B69F5" w:rsidRPr="00FF2CED" w:rsidRDefault="004B69F5" w:rsidP="000D2CA8">
            <w:pPr>
              <w:spacing w:line="240" w:lineRule="auto"/>
              <w:rPr>
                <w:rFonts w:cs="Times New Roman"/>
                <w:sz w:val="20"/>
                <w:szCs w:val="20"/>
              </w:rPr>
            </w:pPr>
            <w:r w:rsidRPr="00354E1E">
              <w:rPr>
                <w:rFonts w:cs="Times New Roman"/>
                <w:sz w:val="20"/>
                <w:szCs w:val="20"/>
              </w:rPr>
              <w:t>Contamination was &lt; 10 ng/mm</w:t>
            </w:r>
            <w:r w:rsidRPr="00354E1E">
              <w:rPr>
                <w:rFonts w:cs="Times New Roman"/>
                <w:sz w:val="20"/>
                <w:szCs w:val="20"/>
                <w:vertAlign w:val="superscript"/>
              </w:rPr>
              <w:t>2</w:t>
            </w:r>
            <w:r w:rsidRPr="00354E1E">
              <w:rPr>
                <w:rFonts w:cs="Times New Roman"/>
                <w:sz w:val="20"/>
                <w:szCs w:val="20"/>
              </w:rPr>
              <w:t xml:space="preserve"> after standard cleaning</w:t>
            </w:r>
            <w:r>
              <w:rPr>
                <w:rFonts w:cs="Times New Roman"/>
                <w:sz w:val="20"/>
                <w:szCs w:val="20"/>
              </w:rPr>
              <w:t xml:space="preserve"> (see Figure 3 in paper for details)</w:t>
            </w:r>
          </w:p>
        </w:tc>
      </w:tr>
      <w:tr w:rsidR="004B69F5" w:rsidRPr="00FF2CED" w14:paraId="3BFDA9FB" w14:textId="77777777" w:rsidTr="0015557F">
        <w:tc>
          <w:tcPr>
            <w:tcW w:w="1223" w:type="dxa"/>
            <w:shd w:val="clear" w:color="auto" w:fill="FFFFFF" w:themeFill="background1"/>
          </w:tcPr>
          <w:p w14:paraId="5B603D9E" w14:textId="23DE4918" w:rsidR="004B69F5" w:rsidRPr="00FF2CED" w:rsidRDefault="004B69F5" w:rsidP="0076576E">
            <w:pPr>
              <w:spacing w:line="240" w:lineRule="auto"/>
              <w:rPr>
                <w:rFonts w:cs="Times New Roman"/>
                <w:sz w:val="20"/>
                <w:szCs w:val="20"/>
              </w:rPr>
            </w:pPr>
            <w:r w:rsidRPr="0020784B">
              <w:rPr>
                <w:rFonts w:cs="Times New Roman"/>
                <w:sz w:val="20"/>
                <w:szCs w:val="20"/>
              </w:rPr>
              <w:t>Herve 2016</w:t>
            </w:r>
            <w:r w:rsidR="003A0D62">
              <w:rPr>
                <w:rFonts w:cs="Times New Roman"/>
                <w:sz w:val="20"/>
                <w:szCs w:val="20"/>
              </w:rPr>
              <w:fldChar w:fldCharType="begin"/>
            </w:r>
            <w:r w:rsidR="0076576E">
              <w:rPr>
                <w:rFonts w:cs="Times New Roman"/>
                <w:sz w:val="20"/>
                <w:szCs w:val="20"/>
              </w:rPr>
              <w:instrText xml:space="preserve"> ADDIN EN.CITE &lt;EndNote&gt;&lt;Cite&gt;&lt;Author&gt;Herve&lt;/Author&gt;&lt;Year&gt;2016&lt;/Year&gt;&lt;RecNum&gt;8212&lt;/RecNum&gt;&lt;DisplayText&gt;&lt;style face="superscript"&gt;186&lt;/style&gt;&lt;/DisplayText&gt;&lt;record&gt;&lt;rec-number&gt;8212&lt;/rec-number&gt;&lt;foreign-keys&gt;&lt;key app="EN" db-id="vrp0pptazv05wtesfz5vrzsj2p0rv09ttsa9" timestamp="1506588755" guid="ee7d6354-5c97-484f-9b74-11ba8d2fb507"&gt;8212&lt;/key&gt;&lt;/foreign-keys&gt;&lt;ref-type name="Journal Article"&gt;17&lt;/ref-type&gt;&lt;contributors&gt;&lt;authors&gt;&lt;author&gt;Herve, R. C.&lt;/author&gt;&lt;author&gt;Keevil, C. W.&lt;/author&gt;&lt;/authors&gt;&lt;/contributors&gt;&lt;titles&gt;&lt;title&gt;Persistent residual contamination in endoscope channels; a fluorescence epimicroscopy study&lt;/title&gt;&lt;secondary-title&gt;Endoscopy&lt;/secondary-title&gt;&lt;/titles&gt;&lt;periodical&gt;&lt;full-title&gt;Endoscopy&lt;/full-title&gt;&lt;/periodical&gt;&lt;pages&gt;609-616&lt;/pages&gt;&lt;volume&gt;48&lt;/volume&gt;&lt;number&gt;7&lt;/number&gt;&lt;keywords&gt;&lt;keyword&gt;$$CJD relevant&lt;/keyword&gt;&lt;keyword&gt;$$5_instrument decontamination&lt;/keyword&gt;&lt;keyword&gt;$$5_protein&lt;/keyword&gt;&lt;/keywords&gt;&lt;dates&gt;&lt;year&gt;2016&lt;/year&gt;&lt;pub-dates&gt;&lt;date&gt;Jul&lt;/date&gt;&lt;/pub-dates&gt;&lt;/dates&gt;&lt;isbn&gt;1438-8812&lt;/isbn&gt;&lt;accession-num&gt;27110695&lt;/accession-num&gt;&lt;urls&gt;&lt;related-urls&gt;&lt;url&gt;http://ovidsp.ovid.com/ovidweb.cgi?T=JS&amp;amp;CSC=Y&amp;amp;NEWS=N&amp;amp;PAGE=fulltext&amp;amp;D=prem&amp;amp;AN=27110695http://resolver.shef.ac.uk/?http://find.shef.ac.uk/openurl/44SFD/44SFD_services_page?sid=OVID:medline&amp;amp;id=pmid:27110695&amp;amp;id=doi:10.1055%2Fs-0042-105744&amp;amp;issn=0013-726X&amp;amp;isbn=&amp;amp;volume=48&amp;amp;issue=7&amp;amp;spage=609&amp;amp;pages=609-16&amp;amp;date=2016&amp;amp;title=Endoscopy&amp;amp;atitle=Persistent+residual+contamination+in+endoscope+channels%3B+a+fluorescence+epimicroscopy+study.&amp;amp;aulast=Herve&amp;amp;pid=%3Cauthor%3EHerve+RC%3BKeevil+CW%3C%2Fauthor%3E%3CAN%3E27110695%3C%2FAN%3E%3CDT%3EJournal+Article%3C%2FDT%3E&lt;/url&gt;&lt;/related-urls&gt;&lt;/urls&gt;&lt;electronic-resource-num&gt;https://dx.doi.org/10.1055/s-0042-105744&lt;/electronic-resource-num&gt;&lt;/record&gt;&lt;/Cite&gt;&lt;/EndNote&gt;</w:instrText>
            </w:r>
            <w:r w:rsidR="003A0D62">
              <w:rPr>
                <w:rFonts w:cs="Times New Roman"/>
                <w:sz w:val="20"/>
                <w:szCs w:val="20"/>
              </w:rPr>
              <w:fldChar w:fldCharType="separate"/>
            </w:r>
            <w:r w:rsidR="0076576E" w:rsidRPr="0076576E">
              <w:rPr>
                <w:rFonts w:cs="Times New Roman"/>
                <w:noProof/>
                <w:sz w:val="20"/>
                <w:szCs w:val="20"/>
                <w:vertAlign w:val="superscript"/>
              </w:rPr>
              <w:t>186</w:t>
            </w:r>
            <w:r w:rsidR="003A0D62">
              <w:rPr>
                <w:rFonts w:cs="Times New Roman"/>
                <w:sz w:val="20"/>
                <w:szCs w:val="20"/>
              </w:rPr>
              <w:fldChar w:fldCharType="end"/>
            </w:r>
          </w:p>
        </w:tc>
        <w:tc>
          <w:tcPr>
            <w:tcW w:w="939" w:type="dxa"/>
            <w:shd w:val="clear" w:color="auto" w:fill="FFFFFF" w:themeFill="background1"/>
          </w:tcPr>
          <w:p w14:paraId="1628B08A" w14:textId="77777777" w:rsidR="004B69F5" w:rsidRPr="00FF2CED" w:rsidRDefault="004B69F5" w:rsidP="000D2CA8">
            <w:pPr>
              <w:spacing w:line="240" w:lineRule="auto"/>
              <w:rPr>
                <w:rFonts w:cs="Times New Roman"/>
                <w:sz w:val="20"/>
                <w:szCs w:val="20"/>
              </w:rPr>
            </w:pPr>
            <w:r>
              <w:rPr>
                <w:rFonts w:cs="Times New Roman"/>
                <w:sz w:val="20"/>
                <w:szCs w:val="20"/>
              </w:rPr>
              <w:t>UK</w:t>
            </w:r>
          </w:p>
        </w:tc>
        <w:tc>
          <w:tcPr>
            <w:tcW w:w="1456" w:type="dxa"/>
            <w:shd w:val="clear" w:color="auto" w:fill="FFFFFF" w:themeFill="background1"/>
          </w:tcPr>
          <w:p w14:paraId="32096551" w14:textId="77777777" w:rsidR="004B69F5" w:rsidRPr="00FF2CED" w:rsidRDefault="004B69F5" w:rsidP="000D2CA8">
            <w:pPr>
              <w:spacing w:line="240" w:lineRule="auto"/>
              <w:rPr>
                <w:rFonts w:cs="Times New Roman"/>
                <w:sz w:val="20"/>
                <w:szCs w:val="20"/>
              </w:rPr>
            </w:pPr>
            <w:r>
              <w:rPr>
                <w:rFonts w:cs="Times New Roman"/>
                <w:sz w:val="20"/>
                <w:szCs w:val="20"/>
              </w:rPr>
              <w:t>Unknown number of ‘hospital-based endoscopy units’ (n=6)</w:t>
            </w:r>
          </w:p>
        </w:tc>
        <w:tc>
          <w:tcPr>
            <w:tcW w:w="1305" w:type="dxa"/>
            <w:shd w:val="clear" w:color="auto" w:fill="FFFFFF" w:themeFill="background1"/>
          </w:tcPr>
          <w:p w14:paraId="2D809D55" w14:textId="77777777" w:rsidR="004B69F5" w:rsidRPr="00FF2CED" w:rsidRDefault="004B69F5" w:rsidP="000D2CA8">
            <w:pPr>
              <w:spacing w:line="240" w:lineRule="auto"/>
              <w:rPr>
                <w:rFonts w:cs="Times New Roman"/>
                <w:sz w:val="20"/>
                <w:szCs w:val="20"/>
              </w:rPr>
            </w:pPr>
            <w:r>
              <w:rPr>
                <w:rFonts w:cs="Times New Roman"/>
                <w:sz w:val="20"/>
                <w:szCs w:val="20"/>
              </w:rPr>
              <w:t>E</w:t>
            </w:r>
            <w:r w:rsidRPr="00FF2CED">
              <w:rPr>
                <w:rFonts w:cs="Times New Roman"/>
                <w:sz w:val="20"/>
                <w:szCs w:val="20"/>
              </w:rPr>
              <w:t>ndoscopes</w:t>
            </w:r>
            <w:r>
              <w:rPr>
                <w:rFonts w:cs="Times New Roman"/>
                <w:sz w:val="20"/>
                <w:szCs w:val="20"/>
              </w:rPr>
              <w:t xml:space="preserve"> (n=6)</w:t>
            </w:r>
          </w:p>
        </w:tc>
        <w:tc>
          <w:tcPr>
            <w:tcW w:w="1316" w:type="dxa"/>
            <w:tcBorders>
              <w:bottom w:val="single" w:sz="4" w:space="0" w:color="auto"/>
            </w:tcBorders>
            <w:shd w:val="clear" w:color="auto" w:fill="FFFFFF" w:themeFill="background1"/>
          </w:tcPr>
          <w:p w14:paraId="3A20959A" w14:textId="77777777" w:rsidR="004B69F5" w:rsidRPr="00FF2CED" w:rsidRDefault="004B69F5" w:rsidP="000D2CA8">
            <w:pPr>
              <w:spacing w:line="240" w:lineRule="auto"/>
              <w:rPr>
                <w:rFonts w:cs="Times New Roman"/>
                <w:sz w:val="20"/>
                <w:szCs w:val="20"/>
              </w:rPr>
            </w:pPr>
            <w:r w:rsidRPr="00DD0C89">
              <w:rPr>
                <w:rFonts w:cs="Times New Roman"/>
                <w:sz w:val="20"/>
                <w:szCs w:val="20"/>
              </w:rPr>
              <w:t>An ‘</w:t>
            </w:r>
            <w:r>
              <w:rPr>
                <w:rFonts w:cs="Times New Roman"/>
                <w:sz w:val="20"/>
                <w:szCs w:val="20"/>
              </w:rPr>
              <w:t>enzymatic cleaner: Enzol’</w:t>
            </w:r>
          </w:p>
        </w:tc>
        <w:tc>
          <w:tcPr>
            <w:tcW w:w="1327" w:type="dxa"/>
            <w:shd w:val="clear" w:color="auto" w:fill="FFFFFF" w:themeFill="background1"/>
          </w:tcPr>
          <w:p w14:paraId="0F1818FA" w14:textId="77777777" w:rsidR="004B69F5" w:rsidRDefault="004B69F5" w:rsidP="000D2CA8">
            <w:pPr>
              <w:spacing w:line="240" w:lineRule="auto"/>
              <w:rPr>
                <w:rFonts w:cs="Times New Roman"/>
                <w:sz w:val="20"/>
                <w:szCs w:val="20"/>
                <w:lang w:val="en"/>
              </w:rPr>
            </w:pPr>
            <w:r w:rsidRPr="006620DA">
              <w:rPr>
                <w:rFonts w:cs="Times New Roman"/>
                <w:sz w:val="20"/>
                <w:szCs w:val="20"/>
                <w:lang w:val="en"/>
              </w:rPr>
              <w:t>SYPRO Ruby and EDIC/EF microscopy</w:t>
            </w:r>
          </w:p>
          <w:p w14:paraId="2A82F51B" w14:textId="77777777" w:rsidR="004B69F5" w:rsidRDefault="004B69F5" w:rsidP="000D2CA8">
            <w:pPr>
              <w:spacing w:line="240" w:lineRule="auto"/>
              <w:rPr>
                <w:rFonts w:cs="Times New Roman"/>
                <w:sz w:val="20"/>
                <w:szCs w:val="20"/>
                <w:lang w:val="en"/>
              </w:rPr>
            </w:pPr>
          </w:p>
          <w:p w14:paraId="7D01CED1" w14:textId="77777777" w:rsidR="004B69F5" w:rsidRPr="001B1357" w:rsidRDefault="004B69F5" w:rsidP="000D2CA8">
            <w:pPr>
              <w:spacing w:line="240" w:lineRule="auto"/>
              <w:rPr>
                <w:rFonts w:cs="Times New Roman"/>
                <w:sz w:val="20"/>
                <w:szCs w:val="20"/>
                <w:lang w:val="en"/>
              </w:rPr>
            </w:pPr>
            <w:r>
              <w:rPr>
                <w:rFonts w:cs="Times New Roman"/>
                <w:sz w:val="20"/>
                <w:szCs w:val="20"/>
                <w:lang w:val="en"/>
              </w:rPr>
              <w:t>Unclear</w:t>
            </w:r>
          </w:p>
        </w:tc>
        <w:tc>
          <w:tcPr>
            <w:tcW w:w="6608" w:type="dxa"/>
            <w:gridSpan w:val="3"/>
            <w:shd w:val="clear" w:color="auto" w:fill="FFFFFF" w:themeFill="background1"/>
          </w:tcPr>
          <w:p w14:paraId="4968291A" w14:textId="77777777" w:rsidR="004B69F5" w:rsidRPr="0008598B" w:rsidRDefault="004B69F5" w:rsidP="000D2CA8">
            <w:pPr>
              <w:spacing w:line="240" w:lineRule="auto"/>
              <w:rPr>
                <w:rFonts w:cs="Times New Roman"/>
                <w:sz w:val="20"/>
                <w:szCs w:val="20"/>
              </w:rPr>
            </w:pPr>
            <w:r>
              <w:rPr>
                <w:rFonts w:cs="Times New Roman"/>
                <w:sz w:val="20"/>
                <w:szCs w:val="20"/>
              </w:rPr>
              <w:t>‘basal level of microdecontamination … ab</w:t>
            </w:r>
            <w:r w:rsidRPr="0008598B">
              <w:rPr>
                <w:rFonts w:cs="Times New Roman"/>
                <w:sz w:val="20"/>
                <w:szCs w:val="20"/>
              </w:rPr>
              <w:t xml:space="preserve">sorbed on the luminal surface early in the endoscope’s life’: 0.1–0.9 µg of proteins per metre. Protein residues remained under …values </w:t>
            </w:r>
            <w:r>
              <w:rPr>
                <w:rFonts w:cs="Times New Roman"/>
                <w:sz w:val="20"/>
                <w:szCs w:val="20"/>
              </w:rPr>
              <w:t>…</w:t>
            </w:r>
            <w:r w:rsidRPr="0008598B">
              <w:rPr>
                <w:rFonts w:cs="Times New Roman"/>
                <w:sz w:val="20"/>
                <w:szCs w:val="20"/>
              </w:rPr>
              <w:t xml:space="preserve"> equivalent to 1–4 µg </w:t>
            </w:r>
            <w:r>
              <w:rPr>
                <w:rFonts w:cs="Times New Roman"/>
                <w:sz w:val="20"/>
                <w:szCs w:val="20"/>
              </w:rPr>
              <w:t>of proteins per channel</w:t>
            </w:r>
            <w:r w:rsidRPr="0008598B">
              <w:rPr>
                <w:rFonts w:cs="Times New Roman"/>
                <w:sz w:val="20"/>
                <w:szCs w:val="20"/>
              </w:rPr>
              <w:t xml:space="preserve">, except in one channel which harbored </w:t>
            </w:r>
            <w:r>
              <w:rPr>
                <w:rFonts w:cs="Times New Roman"/>
                <w:sz w:val="20"/>
                <w:szCs w:val="20"/>
              </w:rPr>
              <w:t>… equivalent</w:t>
            </w:r>
            <w:r w:rsidRPr="0008598B">
              <w:rPr>
                <w:rFonts w:cs="Times New Roman"/>
                <w:sz w:val="20"/>
                <w:szCs w:val="20"/>
              </w:rPr>
              <w:t xml:space="preserve"> to almost 33 µg of residual</w:t>
            </w:r>
            <w:r>
              <w:rPr>
                <w:rFonts w:cs="Times New Roman"/>
                <w:sz w:val="20"/>
                <w:szCs w:val="20"/>
              </w:rPr>
              <w:t xml:space="preserve"> proteins for the whole channel</w:t>
            </w:r>
            <w:r w:rsidRPr="0008598B">
              <w:rPr>
                <w:rFonts w:cs="Times New Roman"/>
                <w:sz w:val="20"/>
                <w:szCs w:val="20"/>
              </w:rPr>
              <w:t>.</w:t>
            </w:r>
            <w:r>
              <w:rPr>
                <w:rFonts w:cs="Times New Roman"/>
                <w:sz w:val="20"/>
                <w:szCs w:val="20"/>
              </w:rPr>
              <w:t>’</w:t>
            </w:r>
          </w:p>
        </w:tc>
      </w:tr>
    </w:tbl>
    <w:p w14:paraId="0D6ECC5E" w14:textId="77777777" w:rsidR="004B69F5" w:rsidRPr="00EA638E" w:rsidRDefault="004B69F5" w:rsidP="004B69F5">
      <w:pPr>
        <w:rPr>
          <w:rFonts w:cs="Times New Roman"/>
          <w:sz w:val="16"/>
          <w:szCs w:val="16"/>
        </w:rPr>
      </w:pPr>
      <w:r w:rsidRPr="00EA638E">
        <w:rPr>
          <w:rFonts w:cs="Times New Roman"/>
          <w:sz w:val="16"/>
          <w:szCs w:val="16"/>
        </w:rPr>
        <w:t xml:space="preserve">Abbreviations: SSD: Sterile Service Department; NR: Not reported; EDIC/EF: </w:t>
      </w:r>
      <w:r w:rsidRPr="00EA638E">
        <w:rPr>
          <w:rFonts w:cs="Times New Roman"/>
          <w:sz w:val="16"/>
          <w:szCs w:val="16"/>
          <w:lang w:val="en"/>
        </w:rPr>
        <w:t xml:space="preserve">Episcopic differential interference contrast/epifluorescence; </w:t>
      </w:r>
      <w:r w:rsidRPr="00EA638E">
        <w:rPr>
          <w:rFonts w:cs="Times New Roman"/>
          <w:sz w:val="16"/>
          <w:szCs w:val="16"/>
        </w:rPr>
        <w:t xml:space="preserve">EDX: </w:t>
      </w:r>
      <w:r w:rsidRPr="00EA638E">
        <w:rPr>
          <w:rFonts w:cs="Times New Roman"/>
          <w:sz w:val="16"/>
          <w:szCs w:val="16"/>
          <w:lang w:val="en"/>
        </w:rPr>
        <w:t>Energy dispersive X-ray</w:t>
      </w:r>
      <w:r w:rsidRPr="00EA638E">
        <w:rPr>
          <w:rFonts w:ascii="Times-Roman" w:hAnsi="Times-Roman" w:cs="Times-Roman"/>
          <w:sz w:val="16"/>
          <w:szCs w:val="16"/>
          <w:lang w:val="en"/>
        </w:rPr>
        <w:t xml:space="preserve"> spectroscopic; </w:t>
      </w:r>
      <w:r w:rsidRPr="00EA638E">
        <w:rPr>
          <w:rFonts w:cs="Times New Roman"/>
          <w:sz w:val="16"/>
          <w:szCs w:val="16"/>
        </w:rPr>
        <w:t xml:space="preserve">OPA: </w:t>
      </w:r>
      <w:r w:rsidRPr="00EA638E">
        <w:rPr>
          <w:rFonts w:ascii="Times-Roman" w:hAnsi="Times-Roman" w:cs="Times-Roman"/>
          <w:sz w:val="16"/>
          <w:szCs w:val="16"/>
          <w:lang w:val="en"/>
        </w:rPr>
        <w:t>Orthophthaladehyde; SDS: Sodium Dodecyl Sulphate</w:t>
      </w:r>
    </w:p>
    <w:p w14:paraId="6EA2DEE1" w14:textId="3EB67DC0" w:rsidR="004B69F5" w:rsidRPr="00EA638E" w:rsidRDefault="004B69F5" w:rsidP="004B69F5">
      <w:pPr>
        <w:autoSpaceDE w:val="0"/>
        <w:autoSpaceDN w:val="0"/>
        <w:adjustRightInd w:val="0"/>
        <w:spacing w:line="240" w:lineRule="auto"/>
        <w:rPr>
          <w:rFonts w:cs="Times New Roman"/>
          <w:sz w:val="16"/>
          <w:szCs w:val="16"/>
        </w:rPr>
      </w:pPr>
      <w:r w:rsidRPr="00EA638E">
        <w:rPr>
          <w:rFonts w:cs="Times New Roman"/>
          <w:sz w:val="16"/>
          <w:szCs w:val="16"/>
        </w:rPr>
        <w:t xml:space="preserve">*Contamination index (see screen-shot below) §A significant difference was observed in mean levels of protein contamination between trays (p&lt;0.0001) ‡Calculated from Table II: 3082 (total protein µg per instrument / 43 (total number of instruments) †A significant difference was observed in mean levels of protein contamination between hospitals (p&lt;0.0001) </w:t>
      </w:r>
      <w:r w:rsidRPr="00EA638E">
        <w:rPr>
          <w:rFonts w:cs="Times New Roman"/>
          <w:sz w:val="16"/>
          <w:szCs w:val="16"/>
          <w:vertAlign w:val="superscript"/>
        </w:rPr>
        <w:t>a</w:t>
      </w:r>
      <w:r w:rsidRPr="00EA638E">
        <w:rPr>
          <w:rFonts w:cs="Times New Roman"/>
          <w:sz w:val="16"/>
          <w:szCs w:val="16"/>
        </w:rPr>
        <w:t>Smith 2018</w:t>
      </w:r>
      <w:r w:rsidR="003A0D62" w:rsidRPr="00EA638E">
        <w:rPr>
          <w:rFonts w:cs="Times New Roman"/>
          <w:sz w:val="16"/>
          <w:szCs w:val="16"/>
        </w:rPr>
        <w:fldChar w:fldCharType="begin"/>
      </w:r>
      <w:r w:rsidR="0076576E">
        <w:rPr>
          <w:rFonts w:cs="Times New Roman"/>
          <w:sz w:val="16"/>
          <w:szCs w:val="16"/>
        </w:rPr>
        <w:instrText xml:space="preserve"> ADDIN EN.CITE &lt;EndNote&gt;&lt;Cite&gt;&lt;Author&gt;Smith&lt;/Author&gt;&lt;Year&gt;2018&lt;/Year&gt;&lt;RecNum&gt;10282&lt;/RecNum&gt;&lt;DisplayText&gt;&lt;style face="superscript"&gt;191&lt;/style&gt;&lt;/DisplayText&gt;&lt;record&gt;&lt;rec-number&gt;10282&lt;/rec-number&gt;&lt;foreign-keys&gt;&lt;key app="EN" db-id="vrp0pptazv05wtesfz5vrzsj2p0rv09ttsa9" timestamp="1526283106" guid="ad6f63a4-a0b9-472e-8996-8638b28ea0d3"&gt;10282&lt;/key&gt;&lt;/foreign-keys&gt;&lt;ref-type name="Journal Article"&gt;17&lt;/ref-type&gt;&lt;contributors&gt;&lt;authors&gt;&lt;author&gt;Smith, A.&lt;/author&gt;&lt;author&gt;Winter, S.&lt;/author&gt;&lt;author&gt;Lappin, D.&lt;/author&gt;&lt;author&gt;Sherriff, A.&lt;/author&gt;&lt;author&gt;McIvor, I.&lt;/author&gt;&lt;author&gt;Philp, P.&lt;/author&gt;&lt;author&gt;Suttner, N.&lt;/author&gt;&lt;author&gt;Holmes, S.&lt;/author&gt;&lt;author&gt;Stewart, A.&lt;/author&gt;&lt;/authors&gt;&lt;/contributors&gt;&lt;titles&gt;&lt;title&gt;Reducing the risk of iatrogenic CJD by improving the cleaning of neurosurgical instruments&lt;/title&gt;&lt;secondary-title&gt;Journal of Hospital Infection&lt;/secondary-title&gt;&lt;/titles&gt;&lt;periodical&gt;&lt;full-title&gt;Journal of Hospital Infection&lt;/full-title&gt;&lt;/periodical&gt;&lt;volume&gt;epub&lt;/volume&gt;&lt;keywords&gt;&lt;keyword&gt;$$5_instrument decontamination&lt;/keyword&gt;&lt;keyword&gt;$$Committee recommended&lt;/keyword&gt;&lt;keyword&gt;$$5_protein&lt;/keyword&gt;&lt;/keywords&gt;&lt;dates&gt;&lt;year&gt;2018&lt;/year&gt;&lt;/dates&gt;&lt;urls&gt;&lt;/urls&gt;&lt;electronic-resource-num&gt;doi: 10.1016/j.jhin.2018.03.001&lt;/electronic-resource-num&gt;&lt;/record&gt;&lt;/Cite&gt;&lt;/EndNote&gt;</w:instrText>
      </w:r>
      <w:r w:rsidR="003A0D62" w:rsidRPr="00EA638E">
        <w:rPr>
          <w:rFonts w:cs="Times New Roman"/>
          <w:sz w:val="16"/>
          <w:szCs w:val="16"/>
        </w:rPr>
        <w:fldChar w:fldCharType="separate"/>
      </w:r>
      <w:r w:rsidR="0076576E" w:rsidRPr="0076576E">
        <w:rPr>
          <w:rFonts w:cs="Times New Roman"/>
          <w:noProof/>
          <w:sz w:val="16"/>
          <w:szCs w:val="16"/>
          <w:vertAlign w:val="superscript"/>
        </w:rPr>
        <w:t>191</w:t>
      </w:r>
      <w:r w:rsidR="003A0D62" w:rsidRPr="00EA638E">
        <w:rPr>
          <w:rFonts w:cs="Times New Roman"/>
          <w:sz w:val="16"/>
          <w:szCs w:val="16"/>
        </w:rPr>
        <w:fldChar w:fldCharType="end"/>
      </w:r>
      <w:r w:rsidRPr="00EA638E">
        <w:rPr>
          <w:rFonts w:cs="Times New Roman"/>
          <w:sz w:val="16"/>
          <w:szCs w:val="16"/>
        </w:rPr>
        <w:t xml:space="preserve">, Supplemental table XV.  </w:t>
      </w:r>
    </w:p>
    <w:p w14:paraId="794D486F" w14:textId="77777777" w:rsidR="004B69F5" w:rsidRPr="00EA638E" w:rsidRDefault="004B69F5" w:rsidP="004B69F5">
      <w:pPr>
        <w:autoSpaceDE w:val="0"/>
        <w:autoSpaceDN w:val="0"/>
        <w:adjustRightInd w:val="0"/>
        <w:spacing w:line="240" w:lineRule="auto"/>
        <w:rPr>
          <w:rFonts w:cs="Times New Roman"/>
          <w:sz w:val="16"/>
          <w:szCs w:val="16"/>
        </w:rPr>
      </w:pPr>
      <w:r w:rsidRPr="00EA638E">
        <w:rPr>
          <w:rFonts w:cs="Times New Roman"/>
          <w:sz w:val="16"/>
          <w:szCs w:val="16"/>
          <w:vertAlign w:val="superscript"/>
        </w:rPr>
        <w:t>b</w:t>
      </w:r>
      <w:r w:rsidRPr="00EA638E">
        <w:rPr>
          <w:rFonts w:cs="Times New Roman"/>
          <w:sz w:val="16"/>
          <w:szCs w:val="16"/>
          <w:lang w:val="en"/>
        </w:rPr>
        <w:t xml:space="preserve">Unclear: not reported in Methods, but detection methods indicate evaluation of proteins </w:t>
      </w:r>
      <w:r w:rsidRPr="00EA638E">
        <w:rPr>
          <w:rFonts w:cs="Times New Roman"/>
          <w:i/>
          <w:sz w:val="16"/>
          <w:szCs w:val="16"/>
          <w:lang w:val="en"/>
        </w:rPr>
        <w:t>in situ</w:t>
      </w:r>
      <w:r w:rsidRPr="00EA638E">
        <w:rPr>
          <w:rFonts w:cs="Times New Roman"/>
          <w:sz w:val="16"/>
          <w:szCs w:val="16"/>
          <w:lang w:val="en"/>
        </w:rPr>
        <w:t xml:space="preserve">. </w:t>
      </w:r>
    </w:p>
    <w:p w14:paraId="24E0BD57" w14:textId="77777777" w:rsidR="004B69F5" w:rsidRDefault="004B69F5" w:rsidP="004B69F5">
      <w:pPr>
        <w:jc w:val="both"/>
        <w:rPr>
          <w:rFonts w:cs="Times New Roman"/>
          <w:lang w:val="en"/>
        </w:rPr>
      </w:pPr>
    </w:p>
    <w:p w14:paraId="5CCC858D" w14:textId="77777777" w:rsidR="004B69F5" w:rsidRDefault="004B69F5" w:rsidP="004B69F5">
      <w:pPr>
        <w:jc w:val="both"/>
        <w:rPr>
          <w:rFonts w:cs="Times New Roman"/>
          <w:lang w:val="en"/>
        </w:rPr>
        <w:sectPr w:rsidR="004B69F5" w:rsidSect="00931EC4">
          <w:pgSz w:w="16838" w:h="11906" w:orient="landscape"/>
          <w:pgMar w:top="1440" w:right="1440" w:bottom="1440" w:left="1440" w:header="708" w:footer="708" w:gutter="0"/>
          <w:cols w:space="708"/>
          <w:docGrid w:linePitch="360"/>
        </w:sectPr>
      </w:pPr>
    </w:p>
    <w:p w14:paraId="270F348D" w14:textId="200D02B1" w:rsidR="00334E96" w:rsidRPr="002D4EA3" w:rsidRDefault="00F70CC2" w:rsidP="00334E96">
      <w:pPr>
        <w:pStyle w:val="Heading3"/>
        <w:rPr>
          <w:b w:val="0"/>
          <w:i/>
          <w:szCs w:val="22"/>
        </w:rPr>
      </w:pPr>
      <w:r w:rsidRPr="00AB3D40">
        <w:rPr>
          <w:b w:val="0"/>
          <w:i/>
          <w:szCs w:val="22"/>
        </w:rPr>
        <w:t>2.6.2</w:t>
      </w:r>
      <w:r w:rsidRPr="00AB3D40">
        <w:rPr>
          <w:b w:val="0"/>
          <w:i/>
          <w:szCs w:val="22"/>
        </w:rPr>
        <w:tab/>
      </w:r>
      <w:r w:rsidR="00334E96" w:rsidRPr="002D4EA3">
        <w:rPr>
          <w:b w:val="0"/>
          <w:i/>
          <w:szCs w:val="22"/>
        </w:rPr>
        <w:t>Residual mass/protein studies</w:t>
      </w:r>
    </w:p>
    <w:p w14:paraId="59A52A5B" w14:textId="07A8FAFE" w:rsidR="00334E96" w:rsidRPr="00F1300C" w:rsidRDefault="00334E96" w:rsidP="00B77DB4">
      <w:pPr>
        <w:pStyle w:val="Heading4"/>
        <w:jc w:val="both"/>
        <w:rPr>
          <w:sz w:val="22"/>
          <w:szCs w:val="22"/>
        </w:rPr>
      </w:pPr>
      <w:r w:rsidRPr="00F1300C">
        <w:rPr>
          <w:sz w:val="22"/>
          <w:szCs w:val="22"/>
        </w:rPr>
        <w:t>Studies reporting</w:t>
      </w:r>
      <w:r w:rsidR="004B69F5" w:rsidRPr="00F1300C">
        <w:rPr>
          <w:sz w:val="22"/>
          <w:szCs w:val="22"/>
        </w:rPr>
        <w:t xml:space="preserve"> the impact on protein absorption and/or the relative efficacy of cleaning when keeping instruments wet or dry before processing</w:t>
      </w:r>
      <w:r w:rsidRPr="00F1300C">
        <w:rPr>
          <w:sz w:val="22"/>
          <w:szCs w:val="22"/>
        </w:rPr>
        <w:t xml:space="preserve"> </w:t>
      </w:r>
    </w:p>
    <w:p w14:paraId="17DEEE72" w14:textId="2E3D31EF" w:rsidR="004B69F5" w:rsidRDefault="004B69F5" w:rsidP="004B69F5">
      <w:pPr>
        <w:jc w:val="both"/>
        <w:rPr>
          <w:rFonts w:cs="Times New Roman"/>
          <w:lang w:val="en"/>
        </w:rPr>
      </w:pPr>
      <w:r w:rsidRPr="00AE4E74">
        <w:rPr>
          <w:rFonts w:cs="Times New Roman"/>
          <w:lang w:val="en"/>
        </w:rPr>
        <w:t>Four studies (five papers) reported a comparison between ‘wet’ and ‘dry’ instruments in terms of pre-cleaning protein absorption or post-</w:t>
      </w:r>
      <w:r>
        <w:rPr>
          <w:rFonts w:cs="Times New Roman"/>
          <w:lang w:val="en"/>
        </w:rPr>
        <w:t xml:space="preserve">soaking or </w:t>
      </w:r>
      <w:r w:rsidRPr="00AE4E74">
        <w:rPr>
          <w:rFonts w:cs="Times New Roman"/>
          <w:lang w:val="en"/>
        </w:rPr>
        <w:t xml:space="preserve">cleaning protein residue. All studies were conducted in the UK, used steel tokens or wires and the same contaminant: </w:t>
      </w:r>
      <w:r w:rsidRPr="00AE4E74">
        <w:rPr>
          <w:rFonts w:cs="Times New Roman"/>
        </w:rPr>
        <w:t xml:space="preserve">1µL drops of ME7-infected brain homogenate. Detection was made of </w:t>
      </w:r>
      <w:r w:rsidRPr="00AE4E74">
        <w:rPr>
          <w:rFonts w:cs="Times New Roman"/>
          <w:i/>
        </w:rPr>
        <w:t>in situ</w:t>
      </w:r>
      <w:r w:rsidRPr="00AE4E74">
        <w:rPr>
          <w:rFonts w:cs="Times New Roman"/>
        </w:rPr>
        <w:t xml:space="preserve"> contamination using the same techniques: </w:t>
      </w:r>
      <w:r w:rsidRPr="00AE4E74">
        <w:rPr>
          <w:rFonts w:cs="Times New Roman"/>
          <w:lang w:val="en"/>
        </w:rPr>
        <w:t>SYPOR Ruby and EDIC/EF microscopy.</w:t>
      </w:r>
      <w:r>
        <w:rPr>
          <w:rFonts w:cs="Times New Roman"/>
          <w:lang w:val="en"/>
        </w:rPr>
        <w:t xml:space="preserve"> Across the studies, drying times before assessment ranged from 15 minutes (Secker 2015</w:t>
      </w:r>
      <w:r w:rsidR="003A0D62">
        <w:rPr>
          <w:rFonts w:cs="Times New Roman"/>
          <w:lang w:val="e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194</w:t>
      </w:r>
      <w:r w:rsidR="003A0D62">
        <w:rPr>
          <w:rFonts w:cs="Times New Roman"/>
          <w:lang w:val="en"/>
        </w:rPr>
        <w:fldChar w:fldCharType="end"/>
      </w:r>
      <w:r>
        <w:rPr>
          <w:rFonts w:cs="Times New Roman"/>
          <w:lang w:val="en"/>
        </w:rPr>
        <w:t>) to 24 hours (Secker 2011</w:t>
      </w:r>
      <w:r w:rsidR="003A0D62">
        <w:rPr>
          <w:rFonts w:cs="Times New Roman"/>
          <w:lang w:val="e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195</w:t>
      </w:r>
      <w:r w:rsidR="003A0D62">
        <w:rPr>
          <w:rFonts w:cs="Times New Roman"/>
          <w:lang w:val="en"/>
        </w:rPr>
        <w:fldChar w:fldCharType="end"/>
      </w:r>
      <w:r>
        <w:rPr>
          <w:rFonts w:cs="Times New Roman"/>
          <w:lang w:val="en"/>
        </w:rPr>
        <w:t>, Secker 2015</w:t>
      </w:r>
      <w:r w:rsidR="003A0D62">
        <w:rPr>
          <w:rFonts w:cs="Times New Roman"/>
          <w:lang w:val="e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194</w:t>
      </w:r>
      <w:r w:rsidR="003A0D62">
        <w:rPr>
          <w:rFonts w:cs="Times New Roman"/>
          <w:lang w:val="en"/>
        </w:rPr>
        <w:fldChar w:fldCharType="end"/>
      </w:r>
      <w:r>
        <w:rPr>
          <w:rFonts w:cs="Times New Roman"/>
          <w:lang w:val="en"/>
        </w:rPr>
        <w:t>).</w:t>
      </w:r>
    </w:p>
    <w:p w14:paraId="5E6E372C" w14:textId="77777777" w:rsidR="004B69F5" w:rsidRPr="00612585" w:rsidRDefault="004B69F5" w:rsidP="004B69F5">
      <w:pPr>
        <w:jc w:val="both"/>
        <w:rPr>
          <w:rFonts w:cs="Times New Roman"/>
          <w:lang w:val="en"/>
        </w:rPr>
      </w:pPr>
    </w:p>
    <w:p w14:paraId="45476FD2" w14:textId="1DF52707" w:rsidR="004B69F5" w:rsidRPr="004F2A4C" w:rsidRDefault="004B69F5" w:rsidP="004B69F5">
      <w:pPr>
        <w:autoSpaceDE w:val="0"/>
        <w:autoSpaceDN w:val="0"/>
        <w:adjustRightInd w:val="0"/>
        <w:jc w:val="both"/>
        <w:rPr>
          <w:rFonts w:cs="Times New Roman"/>
        </w:rPr>
      </w:pPr>
      <w:r w:rsidRPr="00612585">
        <w:rPr>
          <w:rFonts w:cs="Times New Roman"/>
          <w:lang w:val="en"/>
        </w:rPr>
        <w:t>The process to keep steel tokens or wires ‘wet’ w</w:t>
      </w:r>
      <w:r>
        <w:rPr>
          <w:rFonts w:cs="Times New Roman"/>
          <w:lang w:val="en"/>
        </w:rPr>
        <w:t>as</w:t>
      </w:r>
      <w:r w:rsidRPr="00612585">
        <w:rPr>
          <w:rFonts w:cs="Times New Roman"/>
          <w:lang w:val="en"/>
        </w:rPr>
        <w:t xml:space="preserve"> different in each study: Secker </w:t>
      </w:r>
      <w:r>
        <w:rPr>
          <w:rFonts w:cs="Times New Roman"/>
          <w:lang w:val="en"/>
        </w:rPr>
        <w:t>(</w:t>
      </w:r>
      <w:r w:rsidRPr="00612585">
        <w:rPr>
          <w:rFonts w:cs="Times New Roman"/>
          <w:lang w:val="en"/>
        </w:rPr>
        <w:t>2015</w:t>
      </w:r>
      <w:r w:rsidR="003A0D62">
        <w:rPr>
          <w:rFonts w:cs="Times New Roman"/>
          <w:lang w:val="e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194</w:t>
      </w:r>
      <w:r w:rsidR="003A0D62">
        <w:rPr>
          <w:rFonts w:cs="Times New Roman"/>
          <w:lang w:val="en"/>
        </w:rPr>
        <w:fldChar w:fldCharType="end"/>
      </w:r>
      <w:r>
        <w:rPr>
          <w:rFonts w:cs="Times New Roman"/>
          <w:lang w:val="en"/>
        </w:rPr>
        <w:t>)</w:t>
      </w:r>
      <w:r w:rsidRPr="00612585">
        <w:rPr>
          <w:rFonts w:cs="Times New Roman"/>
          <w:lang w:val="en"/>
        </w:rPr>
        <w:t xml:space="preserve"> used a ‘wet bag’ (Humibag), </w:t>
      </w:r>
      <w:r>
        <w:rPr>
          <w:rFonts w:cs="Times New Roman"/>
          <w:lang w:val="en"/>
        </w:rPr>
        <w:t xml:space="preserve">i.e. </w:t>
      </w:r>
      <w:r w:rsidRPr="00612585">
        <w:rPr>
          <w:rFonts w:cs="Times New Roman"/>
          <w:lang w:val="en"/>
        </w:rPr>
        <w:t xml:space="preserve">a </w:t>
      </w:r>
      <w:r w:rsidRPr="00612585">
        <w:rPr>
          <w:rFonts w:cs="Times New Roman"/>
        </w:rPr>
        <w:t>sealed bag containing 35ml distilled water</w:t>
      </w:r>
      <w:r>
        <w:rPr>
          <w:rFonts w:cs="Times New Roman"/>
        </w:rPr>
        <w:t xml:space="preserve"> for set time periods</w:t>
      </w:r>
      <w:r w:rsidRPr="00612585">
        <w:rPr>
          <w:rFonts w:cs="Times New Roman"/>
          <w:lang w:val="en"/>
        </w:rPr>
        <w:t xml:space="preserve">; Secker </w:t>
      </w:r>
      <w:r>
        <w:rPr>
          <w:rFonts w:cs="Times New Roman"/>
          <w:lang w:val="en"/>
        </w:rPr>
        <w:t>(</w:t>
      </w:r>
      <w:r w:rsidRPr="00612585">
        <w:rPr>
          <w:rFonts w:cs="Times New Roman"/>
          <w:lang w:val="en"/>
        </w:rPr>
        <w:t>2011</w:t>
      </w:r>
      <w:r w:rsidR="003A0D62">
        <w:rPr>
          <w:rFonts w:cs="Times New Roman"/>
          <w:lang w:val="e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195</w:t>
      </w:r>
      <w:r w:rsidR="003A0D62">
        <w:rPr>
          <w:rFonts w:cs="Times New Roman"/>
          <w:lang w:val="en"/>
        </w:rPr>
        <w:fldChar w:fldCharType="end"/>
      </w:r>
      <w:r>
        <w:rPr>
          <w:rFonts w:cs="Times New Roman"/>
          <w:lang w:val="en"/>
        </w:rPr>
        <w:t>)</w:t>
      </w:r>
      <w:r w:rsidRPr="00612585">
        <w:rPr>
          <w:rFonts w:cs="Times New Roman"/>
          <w:lang w:val="en"/>
        </w:rPr>
        <w:t xml:space="preserve"> used an </w:t>
      </w:r>
      <w:r w:rsidR="00CA619B">
        <w:rPr>
          <w:rFonts w:cs="Times New Roman"/>
          <w:lang w:val="en"/>
        </w:rPr>
        <w:t>a</w:t>
      </w:r>
      <w:r w:rsidRPr="00612585">
        <w:rPr>
          <w:rFonts w:cs="Times New Roman"/>
        </w:rPr>
        <w:t>ir-tight container lined with moist tissue</w:t>
      </w:r>
      <w:r>
        <w:rPr>
          <w:rFonts w:cs="Times New Roman"/>
        </w:rPr>
        <w:t xml:space="preserve"> for 17 hours</w:t>
      </w:r>
      <w:r w:rsidRPr="00612585">
        <w:rPr>
          <w:rFonts w:cs="Times New Roman"/>
        </w:rPr>
        <w:t>; Howlin (2010</w:t>
      </w:r>
      <w:r w:rsidR="003A0D62">
        <w:rPr>
          <w:rFonts w:cs="Times New Roma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rPr>
        <w:instrText xml:space="preserve"> ADDIN EN.CITE </w:instrText>
      </w:r>
      <w:r w:rsidR="0076576E">
        <w:rPr>
          <w:rFonts w:cs="Times New Roma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3A0D62">
        <w:rPr>
          <w:rFonts w:cs="Times New Roman"/>
        </w:rPr>
      </w:r>
      <w:r w:rsidR="003A0D62">
        <w:rPr>
          <w:rFonts w:cs="Times New Roman"/>
        </w:rPr>
        <w:fldChar w:fldCharType="separate"/>
      </w:r>
      <w:r w:rsidR="0076576E" w:rsidRPr="0076576E">
        <w:rPr>
          <w:rFonts w:cs="Times New Roman"/>
          <w:noProof/>
          <w:vertAlign w:val="superscript"/>
        </w:rPr>
        <w:t>178</w:t>
      </w:r>
      <w:r w:rsidR="003A0D62">
        <w:rPr>
          <w:rFonts w:cs="Times New Roman"/>
        </w:rPr>
        <w:fldChar w:fldCharType="end"/>
      </w:r>
      <w:r w:rsidRPr="00612585">
        <w:rPr>
          <w:rFonts w:cs="Times New Roman"/>
        </w:rPr>
        <w:t xml:space="preserve">) treated </w:t>
      </w:r>
      <w:r>
        <w:rPr>
          <w:rFonts w:cs="Times New Roman"/>
        </w:rPr>
        <w:t xml:space="preserve">steel </w:t>
      </w:r>
      <w:r w:rsidRPr="00612585">
        <w:rPr>
          <w:rFonts w:cs="Times New Roman"/>
        </w:rPr>
        <w:t>wires immediately, rather than all</w:t>
      </w:r>
      <w:r>
        <w:rPr>
          <w:rFonts w:cs="Times New Roman"/>
        </w:rPr>
        <w:t>owing them to dry; and Lipscomb</w:t>
      </w:r>
      <w:r w:rsidRPr="00612585">
        <w:rPr>
          <w:rFonts w:cs="Times New Roman"/>
        </w:rPr>
        <w:t xml:space="preserve"> </w:t>
      </w:r>
      <w:r>
        <w:rPr>
          <w:rFonts w:cs="Times New Roman"/>
        </w:rPr>
        <w:t>(</w:t>
      </w:r>
      <w:r w:rsidRPr="00612585">
        <w:rPr>
          <w:rFonts w:cs="Times New Roman"/>
        </w:rPr>
        <w:t>2007</w:t>
      </w:r>
      <w:r w:rsidR="003A0D62">
        <w:rPr>
          <w:rFonts w:cs="Times New Roman"/>
        </w:rPr>
        <w:fldChar w:fldCharType="begin">
          <w:fldData xml:space="preserve">PEVuZE5vdGU+PENpdGU+PEF1dGhvcj5MaXBzY29tYjwvQXV0aG9yPjxZZWFyPjIwMDc8L1llYXI+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PEVuZE5vdGU+PENpdGU+PEF1dGhvcj5MaXBzY29tYjwvQXV0aG9yPjxZZWFyPjIwMDc8L1llYXI+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3A0D62">
        <w:rPr>
          <w:rFonts w:cs="Times New Roman"/>
        </w:rPr>
      </w:r>
      <w:r w:rsidR="003A0D62">
        <w:rPr>
          <w:rFonts w:cs="Times New Roman"/>
        </w:rPr>
        <w:fldChar w:fldCharType="separate"/>
      </w:r>
      <w:r w:rsidR="0076576E" w:rsidRPr="0076576E">
        <w:rPr>
          <w:rFonts w:cs="Times New Roman"/>
          <w:noProof/>
          <w:vertAlign w:val="superscript"/>
        </w:rPr>
        <w:t>196</w:t>
      </w:r>
      <w:r w:rsidR="003A0D62">
        <w:rPr>
          <w:rFonts w:cs="Times New Roman"/>
        </w:rPr>
        <w:fldChar w:fldCharType="end"/>
      </w:r>
      <w:r w:rsidRPr="00612585">
        <w:rPr>
          <w:rFonts w:cs="Times New Roman"/>
        </w:rPr>
        <w:t>) treated steel tokens with one of four pre-soak treatments</w:t>
      </w:r>
      <w:r>
        <w:rPr>
          <w:rFonts w:cs="Times New Roman"/>
        </w:rPr>
        <w:t xml:space="preserve"> for 5 minutes, followed by 17 hours’ drying time</w:t>
      </w:r>
      <w:r w:rsidRPr="00612585">
        <w:rPr>
          <w:rFonts w:cs="Times New Roman"/>
        </w:rPr>
        <w:t>.</w:t>
      </w:r>
      <w:r>
        <w:rPr>
          <w:rFonts w:cs="Times New Roman"/>
        </w:rPr>
        <w:t xml:space="preserve"> The dry conditions for comparison were: air dry or a ‘dry bag’ for comparable times to the ‘wet bag’ (Secker 2015</w:t>
      </w:r>
      <w:r w:rsidR="003A0D62">
        <w:rPr>
          <w:rFonts w:cs="Times New Roma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3A0D62">
        <w:rPr>
          <w:rFonts w:cs="Times New Roman"/>
        </w:rPr>
      </w:r>
      <w:r w:rsidR="003A0D62">
        <w:rPr>
          <w:rFonts w:cs="Times New Roman"/>
        </w:rPr>
        <w:fldChar w:fldCharType="separate"/>
      </w:r>
      <w:r w:rsidR="0076576E" w:rsidRPr="0076576E">
        <w:rPr>
          <w:rFonts w:cs="Times New Roman"/>
          <w:noProof/>
          <w:vertAlign w:val="superscript"/>
        </w:rPr>
        <w:t>194</w:t>
      </w:r>
      <w:r w:rsidR="003A0D62">
        <w:rPr>
          <w:rFonts w:cs="Times New Roman"/>
        </w:rPr>
        <w:fldChar w:fldCharType="end"/>
      </w:r>
      <w:r>
        <w:rPr>
          <w:rFonts w:cs="Times New Roman"/>
        </w:rPr>
        <w:t>); air dry for 24 hours (Secker 2011</w:t>
      </w:r>
      <w:r w:rsidR="003A0D62">
        <w:rPr>
          <w:rFonts w:cs="Times New Roma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3A0D62">
        <w:rPr>
          <w:rFonts w:cs="Times New Roman"/>
        </w:rPr>
      </w:r>
      <w:r w:rsidR="003A0D62">
        <w:rPr>
          <w:rFonts w:cs="Times New Roman"/>
        </w:rPr>
        <w:fldChar w:fldCharType="separate"/>
      </w:r>
      <w:r w:rsidR="0076576E" w:rsidRPr="0076576E">
        <w:rPr>
          <w:rFonts w:cs="Times New Roman"/>
          <w:noProof/>
          <w:vertAlign w:val="superscript"/>
        </w:rPr>
        <w:t>195</w:t>
      </w:r>
      <w:r w:rsidR="003A0D62">
        <w:rPr>
          <w:rFonts w:cs="Times New Roman"/>
        </w:rPr>
        <w:fldChar w:fldCharType="end"/>
      </w:r>
      <w:r>
        <w:rPr>
          <w:rFonts w:cs="Times New Roman"/>
        </w:rPr>
        <w:t>); air dry for 16 hours (Howlin 2010</w:t>
      </w:r>
      <w:r w:rsidR="003A0D62">
        <w:rPr>
          <w:rFonts w:cs="Times New Roma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rPr>
        <w:instrText xml:space="preserve"> ADDIN EN.CITE </w:instrText>
      </w:r>
      <w:r w:rsidR="0076576E">
        <w:rPr>
          <w:rFonts w:cs="Times New Roma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3A0D62">
        <w:rPr>
          <w:rFonts w:cs="Times New Roman"/>
        </w:rPr>
      </w:r>
      <w:r w:rsidR="003A0D62">
        <w:rPr>
          <w:rFonts w:cs="Times New Roman"/>
        </w:rPr>
        <w:fldChar w:fldCharType="separate"/>
      </w:r>
      <w:r w:rsidR="0076576E" w:rsidRPr="0076576E">
        <w:rPr>
          <w:rFonts w:cs="Times New Roman"/>
          <w:noProof/>
          <w:vertAlign w:val="superscript"/>
        </w:rPr>
        <w:t>178</w:t>
      </w:r>
      <w:r w:rsidR="003A0D62">
        <w:rPr>
          <w:rFonts w:cs="Times New Roman"/>
        </w:rPr>
        <w:fldChar w:fldCharType="end"/>
      </w:r>
      <w:r>
        <w:rPr>
          <w:rFonts w:cs="Times New Roman"/>
        </w:rPr>
        <w:t>) and air dry for 17 hours (Lipscomb 2007</w:t>
      </w:r>
      <w:r w:rsidR="003A0D62">
        <w:rPr>
          <w:rFonts w:cs="Times New Roman"/>
        </w:rPr>
        <w:fldChar w:fldCharType="begin">
          <w:fldData xml:space="preserve">PEVuZE5vdGU+PENpdGU+PEF1dGhvcj5MaXBzY29tYjwvQXV0aG9yPjxZZWFyPjIwMDc8L1llYXI+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PEVuZE5vdGU+PENpdGU+PEF1dGhvcj5MaXBzY29tYjwvQXV0aG9yPjxZZWFyPjIwMDc8L1llYXI+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3A0D62">
        <w:rPr>
          <w:rFonts w:cs="Times New Roman"/>
        </w:rPr>
      </w:r>
      <w:r w:rsidR="003A0D62">
        <w:rPr>
          <w:rFonts w:cs="Times New Roman"/>
        </w:rPr>
        <w:fldChar w:fldCharType="separate"/>
      </w:r>
      <w:r w:rsidR="0076576E" w:rsidRPr="0076576E">
        <w:rPr>
          <w:rFonts w:cs="Times New Roman"/>
          <w:noProof/>
          <w:vertAlign w:val="superscript"/>
        </w:rPr>
        <w:t>196</w:t>
      </w:r>
      <w:r w:rsidR="003A0D62">
        <w:rPr>
          <w:rFonts w:cs="Times New Roman"/>
        </w:rPr>
        <w:fldChar w:fldCharType="end"/>
      </w:r>
      <w:r>
        <w:rPr>
          <w:rFonts w:cs="Times New Roman"/>
        </w:rPr>
        <w:t xml:space="preserve">). Different temperatures were evaluated but this text will only focus on the findings for room temperature (or the closest available data) across studies. Three of the four studies used the enzymatic </w:t>
      </w:r>
      <w:r w:rsidRPr="004F2A4C">
        <w:rPr>
          <w:rFonts w:cs="Times New Roman"/>
        </w:rPr>
        <w:t xml:space="preserve">cleaner Klenzyme. </w:t>
      </w:r>
    </w:p>
    <w:p w14:paraId="6099A726" w14:textId="77777777" w:rsidR="004B69F5" w:rsidRPr="004F2A4C" w:rsidRDefault="004B69F5" w:rsidP="004B69F5">
      <w:pPr>
        <w:autoSpaceDE w:val="0"/>
        <w:autoSpaceDN w:val="0"/>
        <w:adjustRightInd w:val="0"/>
        <w:jc w:val="both"/>
        <w:rPr>
          <w:rFonts w:cs="Times New Roman"/>
        </w:rPr>
      </w:pPr>
    </w:p>
    <w:p w14:paraId="01AE512C" w14:textId="39A716BE" w:rsidR="004B69F5" w:rsidRPr="004F2A4C" w:rsidRDefault="004B69F5" w:rsidP="004B69F5">
      <w:pPr>
        <w:jc w:val="both"/>
        <w:rPr>
          <w:rFonts w:cs="Times New Roman"/>
          <w:lang w:val="en"/>
        </w:rPr>
      </w:pPr>
      <w:r w:rsidRPr="004F2A4C">
        <w:rPr>
          <w:rFonts w:cs="Times New Roman"/>
        </w:rPr>
        <w:t>Both Secker studies (201</w:t>
      </w:r>
      <w:r>
        <w:rPr>
          <w:rFonts w:cs="Times New Roman"/>
        </w:rPr>
        <w:t>1</w:t>
      </w:r>
      <w:r w:rsidR="003A0D62">
        <w:rPr>
          <w:rFonts w:cs="Times New Roma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3A0D62">
        <w:rPr>
          <w:rFonts w:cs="Times New Roman"/>
        </w:rPr>
      </w:r>
      <w:r w:rsidR="003A0D62">
        <w:rPr>
          <w:rFonts w:cs="Times New Roman"/>
        </w:rPr>
        <w:fldChar w:fldCharType="separate"/>
      </w:r>
      <w:r w:rsidR="0076576E" w:rsidRPr="0076576E">
        <w:rPr>
          <w:rFonts w:cs="Times New Roman"/>
          <w:noProof/>
          <w:vertAlign w:val="superscript"/>
        </w:rPr>
        <w:t>195</w:t>
      </w:r>
      <w:r w:rsidR="003A0D62">
        <w:rPr>
          <w:rFonts w:cs="Times New Roman"/>
        </w:rPr>
        <w:fldChar w:fldCharType="end"/>
      </w:r>
      <w:r w:rsidRPr="004F2A4C">
        <w:rPr>
          <w:rFonts w:cs="Times New Roman"/>
        </w:rPr>
        <w:t>, 201</w:t>
      </w:r>
      <w:r>
        <w:rPr>
          <w:rFonts w:cs="Times New Roman"/>
        </w:rPr>
        <w:t>5</w:t>
      </w:r>
      <w:r w:rsidR="003A0D62">
        <w:rPr>
          <w:rFonts w:cs="Times New Roma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sidR="003A0D62">
        <w:rPr>
          <w:rFonts w:cs="Times New Roman"/>
        </w:rPr>
      </w:r>
      <w:r w:rsidR="003A0D62">
        <w:rPr>
          <w:rFonts w:cs="Times New Roman"/>
        </w:rPr>
        <w:fldChar w:fldCharType="separate"/>
      </w:r>
      <w:r w:rsidR="0076576E" w:rsidRPr="0076576E">
        <w:rPr>
          <w:rFonts w:cs="Times New Roman"/>
          <w:noProof/>
          <w:vertAlign w:val="superscript"/>
        </w:rPr>
        <w:t>194</w:t>
      </w:r>
      <w:r w:rsidR="003A0D62">
        <w:rPr>
          <w:rFonts w:cs="Times New Roman"/>
        </w:rPr>
        <w:fldChar w:fldCharType="end"/>
      </w:r>
      <w:r w:rsidRPr="004F2A4C">
        <w:rPr>
          <w:rFonts w:cs="Times New Roman"/>
        </w:rPr>
        <w:t>) reported</w:t>
      </w:r>
      <w:r>
        <w:rPr>
          <w:rFonts w:cs="Times New Roman"/>
        </w:rPr>
        <w:t xml:space="preserve"> on</w:t>
      </w:r>
      <w:r w:rsidRPr="004F2A4C">
        <w:rPr>
          <w:rFonts w:cs="Times New Roman"/>
        </w:rPr>
        <w:t xml:space="preserve"> protein residue after 24 hours at room temperature before cleaning: </w:t>
      </w:r>
      <w:r w:rsidRPr="004F2A4C">
        <w:rPr>
          <w:rFonts w:cs="Times New Roman"/>
          <w:lang w:val="en"/>
        </w:rPr>
        <w:t>324.7±15.0 ng/mm</w:t>
      </w:r>
      <w:r w:rsidRPr="004F2A4C">
        <w:rPr>
          <w:rFonts w:cs="Times New Roman"/>
          <w:vertAlign w:val="superscript"/>
          <w:lang w:val="en"/>
        </w:rPr>
        <w:t xml:space="preserve">2 </w:t>
      </w:r>
      <w:r w:rsidRPr="004F2A4C">
        <w:rPr>
          <w:rFonts w:cs="Times New Roman"/>
          <w:lang w:val="en"/>
        </w:rPr>
        <w:t>for the</w:t>
      </w:r>
      <w:r>
        <w:rPr>
          <w:rFonts w:cs="Times New Roman"/>
          <w:lang w:val="en"/>
        </w:rPr>
        <w:t xml:space="preserve"> air</w:t>
      </w:r>
      <w:r w:rsidRPr="004F2A4C">
        <w:rPr>
          <w:rFonts w:cs="Times New Roman"/>
          <w:lang w:val="en"/>
        </w:rPr>
        <w:t xml:space="preserve"> dry </w:t>
      </w:r>
      <w:r>
        <w:rPr>
          <w:rFonts w:cs="Times New Roman"/>
          <w:lang w:val="en"/>
        </w:rPr>
        <w:t xml:space="preserve">conditions </w:t>
      </w:r>
      <w:r w:rsidRPr="004F2A4C">
        <w:rPr>
          <w:rFonts w:cs="Times New Roman"/>
          <w:lang w:val="en"/>
        </w:rPr>
        <w:t>compared with 6.0±3.5 ng/mm</w:t>
      </w:r>
      <w:r w:rsidRPr="004F2A4C">
        <w:rPr>
          <w:rFonts w:cs="Times New Roman"/>
          <w:vertAlign w:val="superscript"/>
          <w:lang w:val="en"/>
        </w:rPr>
        <w:t>2</w:t>
      </w:r>
      <w:r w:rsidRPr="004F2A4C">
        <w:rPr>
          <w:rFonts w:cs="Times New Roman"/>
          <w:lang w:val="en"/>
        </w:rPr>
        <w:t xml:space="preserve"> for the wet conditions</w:t>
      </w:r>
      <w:r>
        <w:rPr>
          <w:rFonts w:cs="Times New Roman"/>
          <w:lang w:val="en"/>
        </w:rPr>
        <w:t xml:space="preserve"> </w:t>
      </w:r>
      <w:r w:rsidRPr="004F2A4C">
        <w:rPr>
          <w:rFonts w:cs="Times New Roman"/>
          <w:lang w:val="en"/>
        </w:rPr>
        <w:t>(98.2% reduction compared to air dry, p</w:t>
      </w:r>
      <w:r w:rsidRPr="004F2A4C">
        <w:rPr>
          <w:rFonts w:cs="Times New Roman"/>
          <w:u w:val="single"/>
          <w:lang w:val="en"/>
        </w:rPr>
        <w:t>&lt;</w:t>
      </w:r>
      <w:r w:rsidRPr="004F2A4C">
        <w:rPr>
          <w:rFonts w:cs="Times New Roman"/>
          <w:lang w:val="en"/>
        </w:rPr>
        <w:t>0.001)  (Secker 2011</w:t>
      </w:r>
      <w:r w:rsidR="003A0D62">
        <w:rPr>
          <w:rFonts w:cs="Times New Roman"/>
          <w:lang w:val="e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195</w:t>
      </w:r>
      <w:r w:rsidR="003A0D62">
        <w:rPr>
          <w:rFonts w:cs="Times New Roman"/>
          <w:lang w:val="en"/>
        </w:rPr>
        <w:fldChar w:fldCharType="end"/>
      </w:r>
      <w:r w:rsidRPr="004F2A4C">
        <w:rPr>
          <w:rFonts w:cs="Times New Roman"/>
          <w:lang w:val="en"/>
        </w:rPr>
        <w:t>) and 1000±205.0 ng/mm</w:t>
      </w:r>
      <w:r w:rsidRPr="004F2A4C">
        <w:rPr>
          <w:rFonts w:cs="Times New Roman"/>
          <w:vertAlign w:val="superscript"/>
          <w:lang w:val="en"/>
        </w:rPr>
        <w:t>2</w:t>
      </w:r>
      <w:r w:rsidRPr="004F2A4C">
        <w:rPr>
          <w:rFonts w:cs="Times New Roman"/>
          <w:lang w:val="en"/>
        </w:rPr>
        <w:t xml:space="preserve"> </w:t>
      </w:r>
      <w:r>
        <w:rPr>
          <w:rFonts w:cs="Times New Roman"/>
          <w:lang w:val="en"/>
        </w:rPr>
        <w:t xml:space="preserve">for the air dry conditions </w:t>
      </w:r>
      <w:r w:rsidRPr="004F2A4C">
        <w:rPr>
          <w:rFonts w:cs="Times New Roman"/>
          <w:lang w:val="en"/>
        </w:rPr>
        <w:t>compared with 31.9±5.3 ng/mm</w:t>
      </w:r>
      <w:r w:rsidRPr="004F2A4C">
        <w:rPr>
          <w:rFonts w:cs="Times New Roman"/>
          <w:vertAlign w:val="superscript"/>
          <w:lang w:val="en"/>
        </w:rPr>
        <w:t xml:space="preserve">2 </w:t>
      </w:r>
      <w:r w:rsidRPr="004F2A4C">
        <w:rPr>
          <w:rFonts w:cs="Times New Roman"/>
          <w:lang w:val="en"/>
        </w:rPr>
        <w:t>for wet conditions (Secker 2015</w:t>
      </w:r>
      <w:r w:rsidR="003A0D62">
        <w:rPr>
          <w:rFonts w:cs="Times New Roman"/>
          <w:lang w:val="e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194</w:t>
      </w:r>
      <w:r w:rsidR="003A0D62">
        <w:rPr>
          <w:rFonts w:cs="Times New Roman"/>
          <w:lang w:val="en"/>
        </w:rPr>
        <w:fldChar w:fldCharType="end"/>
      </w:r>
      <w:r w:rsidRPr="004F2A4C">
        <w:rPr>
          <w:rFonts w:cs="Times New Roman"/>
          <w:lang w:val="en"/>
        </w:rPr>
        <w:t>). After the application of pre-soaks or cleaners, Lipscomb (2007</w:t>
      </w:r>
      <w:r w:rsidR="003A0D62">
        <w:rPr>
          <w:rFonts w:cs="Times New Roman"/>
          <w:lang w:val="en"/>
        </w:rPr>
        <w:fldChar w:fldCharType="begin">
          <w:fldData xml:space="preserve">PEVuZE5vdGU+PENpdGU+PEF1dGhvcj5MaXBzY29tYjwvQXV0aG9yPjxZZWFyPjIwMDc8L1llYXI+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PEVuZE5vdGU+PENpdGU+PEF1dGhvcj5MaXBzY29tYjwvQXV0aG9yPjxZZWFyPjIwMDc8L1llYXI+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196</w:t>
      </w:r>
      <w:r w:rsidR="003A0D62">
        <w:rPr>
          <w:rFonts w:cs="Times New Roman"/>
          <w:lang w:val="en"/>
        </w:rPr>
        <w:fldChar w:fldCharType="end"/>
      </w:r>
      <w:r w:rsidRPr="004F2A4C">
        <w:rPr>
          <w:rFonts w:cs="Times New Roman"/>
          <w:lang w:val="en"/>
        </w:rPr>
        <w:t xml:space="preserve">) reported a reduction in protein between 64% and 96% </w:t>
      </w:r>
      <w:r>
        <w:rPr>
          <w:rFonts w:cs="Times New Roman"/>
          <w:lang w:val="en"/>
        </w:rPr>
        <w:t xml:space="preserve">on the pre-soaked or treated tokens </w:t>
      </w:r>
      <w:r w:rsidRPr="004F2A4C">
        <w:rPr>
          <w:rFonts w:cs="Times New Roman"/>
          <w:lang w:val="en"/>
        </w:rPr>
        <w:t>compared to</w:t>
      </w:r>
      <w:r>
        <w:rPr>
          <w:rFonts w:cs="Times New Roman"/>
          <w:lang w:val="en"/>
        </w:rPr>
        <w:t xml:space="preserve"> the dry</w:t>
      </w:r>
      <w:r w:rsidRPr="004F2A4C">
        <w:rPr>
          <w:rFonts w:cs="Times New Roman"/>
          <w:lang w:val="en"/>
        </w:rPr>
        <w:t xml:space="preserve">, untreated controls; </w:t>
      </w:r>
      <w:r>
        <w:rPr>
          <w:rFonts w:cs="Times New Roman"/>
          <w:lang w:val="en"/>
        </w:rPr>
        <w:t xml:space="preserve">and </w:t>
      </w:r>
      <w:r w:rsidRPr="004F2A4C">
        <w:rPr>
          <w:rFonts w:cs="Times New Roman"/>
          <w:lang w:val="en"/>
        </w:rPr>
        <w:t>Howlin (2010</w:t>
      </w:r>
      <w:r w:rsidR="003A0D62">
        <w:rPr>
          <w:rFonts w:cs="Times New Roman"/>
          <w:lang w:val="e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178</w:t>
      </w:r>
      <w:r w:rsidR="003A0D62">
        <w:rPr>
          <w:rFonts w:cs="Times New Roman"/>
          <w:lang w:val="en"/>
        </w:rPr>
        <w:fldChar w:fldCharType="end"/>
      </w:r>
      <w:r w:rsidRPr="004F2A4C">
        <w:rPr>
          <w:rFonts w:cs="Times New Roman"/>
          <w:lang w:val="en"/>
        </w:rPr>
        <w:t>)</w:t>
      </w:r>
      <w:r>
        <w:rPr>
          <w:rFonts w:cs="Times New Roman"/>
          <w:lang w:val="en"/>
        </w:rPr>
        <w:t xml:space="preserve"> reported</w:t>
      </w:r>
      <w:r w:rsidRPr="004F2A4C">
        <w:rPr>
          <w:rFonts w:cs="Times New Roman"/>
          <w:lang w:val="en"/>
        </w:rPr>
        <w:t xml:space="preserve"> a reduction of </w:t>
      </w:r>
      <w:r>
        <w:rPr>
          <w:rFonts w:cs="Times New Roman"/>
          <w:lang w:val="en"/>
        </w:rPr>
        <w:t>approximately 2</w:t>
      </w:r>
      <w:r w:rsidRPr="004F2A4C">
        <w:rPr>
          <w:rFonts w:cs="Times New Roman"/>
          <w:lang w:val="en"/>
        </w:rPr>
        <w:t xml:space="preserve"> logs in protein residue</w:t>
      </w:r>
      <w:r>
        <w:rPr>
          <w:rFonts w:cs="Times New Roman"/>
          <w:lang w:val="en"/>
        </w:rPr>
        <w:t xml:space="preserve"> for tokens treated immediately (not allowed to dry) with the pre-klenz pre-soak compared with wires that were allowed to dry for 16 hours. Secker (2015</w:t>
      </w:r>
      <w:r w:rsidR="003A0D62">
        <w:rPr>
          <w:rFonts w:cs="Times New Roman"/>
          <w:lang w:val="e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194</w:t>
      </w:r>
      <w:r w:rsidR="003A0D62">
        <w:rPr>
          <w:rFonts w:cs="Times New Roman"/>
          <w:lang w:val="en"/>
        </w:rPr>
        <w:fldChar w:fldCharType="end"/>
      </w:r>
      <w:r>
        <w:rPr>
          <w:rFonts w:cs="Times New Roman"/>
          <w:lang w:val="en"/>
        </w:rPr>
        <w:t>) and Lipscomb (2007</w:t>
      </w:r>
      <w:r w:rsidR="003A0D62">
        <w:rPr>
          <w:rFonts w:cs="Times New Roman"/>
          <w:lang w:val="en"/>
        </w:rPr>
        <w:fldChar w:fldCharType="begin">
          <w:fldData xml:space="preserve">PEVuZE5vdGU+PENpdGU+PEF1dGhvcj5MaXBzY29tYjwvQXV0aG9yPjxZZWFyPjIwMDc8L1llYXI+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PEVuZE5vdGU+PENpdGU+PEF1dGhvcj5MaXBzY29tYjwvQXV0aG9yPjxZZWFyPjIwMDc8L1llYXI+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196</w:t>
      </w:r>
      <w:r w:rsidR="003A0D62">
        <w:rPr>
          <w:rFonts w:cs="Times New Roman"/>
          <w:lang w:val="en"/>
        </w:rPr>
        <w:fldChar w:fldCharType="end"/>
      </w:r>
      <w:r>
        <w:rPr>
          <w:rFonts w:cs="Times New Roman"/>
          <w:lang w:val="en"/>
        </w:rPr>
        <w:t>) also reported that the longer the drying times, the more difficult it was to remove the contamination.</w:t>
      </w:r>
    </w:p>
    <w:p w14:paraId="176CBBD6" w14:textId="77777777" w:rsidR="004B69F5" w:rsidRPr="00C62C24" w:rsidRDefault="004B69F5" w:rsidP="004B69F5">
      <w:pPr>
        <w:autoSpaceDE w:val="0"/>
        <w:autoSpaceDN w:val="0"/>
        <w:adjustRightInd w:val="0"/>
        <w:jc w:val="both"/>
        <w:rPr>
          <w:rFonts w:cs="Times New Roman"/>
          <w:lang w:val="en"/>
        </w:rPr>
      </w:pPr>
    </w:p>
    <w:p w14:paraId="416EB2B9" w14:textId="77777777" w:rsidR="004B69F5" w:rsidRPr="00612585" w:rsidRDefault="004B69F5" w:rsidP="004B69F5">
      <w:pPr>
        <w:autoSpaceDE w:val="0"/>
        <w:autoSpaceDN w:val="0"/>
        <w:adjustRightInd w:val="0"/>
        <w:jc w:val="both"/>
        <w:rPr>
          <w:rFonts w:cs="Times New Roman"/>
          <w:lang w:val="en"/>
        </w:rPr>
        <w:sectPr w:rsidR="004B69F5" w:rsidRPr="00612585" w:rsidSect="00931EC4">
          <w:pgSz w:w="11906" w:h="16838"/>
          <w:pgMar w:top="1440" w:right="1440" w:bottom="1440" w:left="1440" w:header="709" w:footer="709" w:gutter="0"/>
          <w:cols w:space="708"/>
          <w:docGrid w:linePitch="360"/>
        </w:sectPr>
      </w:pPr>
    </w:p>
    <w:p w14:paraId="4ECB339B" w14:textId="76F92330" w:rsidR="004B69F5" w:rsidRPr="006620DA" w:rsidRDefault="003A0D62" w:rsidP="003A0D62">
      <w:pPr>
        <w:pStyle w:val="Caption"/>
        <w:rPr>
          <w:rFonts w:cs="Times New Roman"/>
          <w:b w:val="0"/>
          <w:sz w:val="20"/>
          <w:szCs w:val="20"/>
        </w:rPr>
      </w:pPr>
      <w:bookmarkStart w:id="77" w:name="_Toc525106706"/>
      <w:r>
        <w:t xml:space="preserve">Table </w:t>
      </w:r>
      <w:r w:rsidR="00292024">
        <w:rPr>
          <w:noProof/>
        </w:rPr>
        <w:fldChar w:fldCharType="begin"/>
      </w:r>
      <w:r w:rsidR="00292024">
        <w:rPr>
          <w:noProof/>
        </w:rPr>
        <w:instrText xml:space="preserve"> SEQ Table \* ARABIC </w:instrText>
      </w:r>
      <w:r w:rsidR="00292024">
        <w:rPr>
          <w:noProof/>
        </w:rPr>
        <w:fldChar w:fldCharType="separate"/>
      </w:r>
      <w:r w:rsidR="00690541">
        <w:rPr>
          <w:noProof/>
        </w:rPr>
        <w:t>19</w:t>
      </w:r>
      <w:r w:rsidR="00292024">
        <w:rPr>
          <w:noProof/>
        </w:rPr>
        <w:fldChar w:fldCharType="end"/>
      </w:r>
      <w:r w:rsidR="004B69F5" w:rsidRPr="006620DA">
        <w:rPr>
          <w:rFonts w:cs="Times New Roman"/>
          <w:b w:val="0"/>
          <w:sz w:val="20"/>
          <w:szCs w:val="20"/>
        </w:rPr>
        <w:t>:</w:t>
      </w:r>
      <w:r>
        <w:rPr>
          <w:rFonts w:cs="Times New Roman"/>
          <w:b w:val="0"/>
          <w:sz w:val="20"/>
          <w:szCs w:val="20"/>
        </w:rPr>
        <w:tab/>
      </w:r>
      <w:r w:rsidR="004B69F5" w:rsidRPr="003A0D62">
        <w:rPr>
          <w:rFonts w:cs="Times New Roman"/>
          <w:szCs w:val="22"/>
        </w:rPr>
        <w:t>Study characteristics and results</w:t>
      </w:r>
      <w:bookmarkEnd w:id="77"/>
    </w:p>
    <w:tbl>
      <w:tblPr>
        <w:tblStyle w:val="TableGrid"/>
        <w:tblW w:w="14567" w:type="dxa"/>
        <w:tblLook w:val="04A0" w:firstRow="1" w:lastRow="0" w:firstColumn="1" w:lastColumn="0" w:noHBand="0" w:noVBand="1"/>
      </w:tblPr>
      <w:tblGrid>
        <w:gridCol w:w="1160"/>
        <w:gridCol w:w="939"/>
        <w:gridCol w:w="1116"/>
        <w:gridCol w:w="959"/>
        <w:gridCol w:w="1141"/>
        <w:gridCol w:w="1289"/>
        <w:gridCol w:w="1442"/>
        <w:gridCol w:w="1843"/>
        <w:gridCol w:w="2410"/>
        <w:gridCol w:w="2268"/>
      </w:tblGrid>
      <w:tr w:rsidR="004B69F5" w:rsidRPr="00E05192" w14:paraId="507D1B7A" w14:textId="77777777" w:rsidTr="0015557F">
        <w:trPr>
          <w:trHeight w:val="470"/>
          <w:tblHeader/>
        </w:trPr>
        <w:tc>
          <w:tcPr>
            <w:tcW w:w="1160" w:type="dxa"/>
            <w:shd w:val="clear" w:color="auto" w:fill="FFFFFF" w:themeFill="background1"/>
          </w:tcPr>
          <w:p w14:paraId="64879753" w14:textId="77777777" w:rsidR="004B69F5" w:rsidRPr="00E05192" w:rsidRDefault="004B69F5" w:rsidP="000D2CA8">
            <w:pPr>
              <w:spacing w:line="240" w:lineRule="auto"/>
              <w:rPr>
                <w:rFonts w:cs="Times New Roman"/>
                <w:b/>
                <w:sz w:val="20"/>
                <w:szCs w:val="20"/>
              </w:rPr>
            </w:pPr>
            <w:r w:rsidRPr="00E05192">
              <w:rPr>
                <w:rFonts w:cs="Times New Roman"/>
                <w:b/>
                <w:sz w:val="20"/>
                <w:szCs w:val="20"/>
              </w:rPr>
              <w:t>Study</w:t>
            </w:r>
          </w:p>
        </w:tc>
        <w:tc>
          <w:tcPr>
            <w:tcW w:w="939" w:type="dxa"/>
          </w:tcPr>
          <w:p w14:paraId="40C53913" w14:textId="77777777" w:rsidR="004B69F5" w:rsidRPr="00E05192" w:rsidRDefault="004B69F5" w:rsidP="000D2CA8">
            <w:pPr>
              <w:spacing w:line="240" w:lineRule="auto"/>
              <w:rPr>
                <w:rFonts w:cs="Times New Roman"/>
                <w:b/>
                <w:sz w:val="20"/>
                <w:szCs w:val="20"/>
              </w:rPr>
            </w:pPr>
            <w:r w:rsidRPr="00E05192">
              <w:rPr>
                <w:rFonts w:cs="Times New Roman"/>
                <w:b/>
                <w:sz w:val="20"/>
                <w:szCs w:val="20"/>
              </w:rPr>
              <w:t>Country</w:t>
            </w:r>
          </w:p>
        </w:tc>
        <w:tc>
          <w:tcPr>
            <w:tcW w:w="1116" w:type="dxa"/>
          </w:tcPr>
          <w:p w14:paraId="692B5349" w14:textId="77777777" w:rsidR="004B69F5" w:rsidRDefault="004B69F5" w:rsidP="000D2CA8">
            <w:pPr>
              <w:spacing w:line="240" w:lineRule="auto"/>
              <w:rPr>
                <w:rFonts w:cs="Times New Roman"/>
                <w:b/>
                <w:sz w:val="20"/>
                <w:szCs w:val="20"/>
              </w:rPr>
            </w:pPr>
            <w:r w:rsidRPr="00E05192">
              <w:rPr>
                <w:rFonts w:cs="Times New Roman"/>
                <w:b/>
                <w:sz w:val="20"/>
                <w:szCs w:val="20"/>
              </w:rPr>
              <w:t>Contam</w:t>
            </w:r>
            <w:r>
              <w:rPr>
                <w:rFonts w:cs="Times New Roman"/>
                <w:b/>
                <w:sz w:val="20"/>
                <w:szCs w:val="20"/>
              </w:rPr>
              <w:t>-</w:t>
            </w:r>
          </w:p>
          <w:p w14:paraId="3E26F900" w14:textId="77777777" w:rsidR="004B69F5" w:rsidRPr="00E05192" w:rsidRDefault="004B69F5" w:rsidP="000D2CA8">
            <w:pPr>
              <w:spacing w:line="240" w:lineRule="auto"/>
              <w:rPr>
                <w:rFonts w:cs="Times New Roman"/>
                <w:b/>
                <w:sz w:val="20"/>
                <w:szCs w:val="20"/>
              </w:rPr>
            </w:pPr>
            <w:r w:rsidRPr="00E05192">
              <w:rPr>
                <w:rFonts w:cs="Times New Roman"/>
                <w:b/>
                <w:sz w:val="20"/>
                <w:szCs w:val="20"/>
              </w:rPr>
              <w:t>inant</w:t>
            </w:r>
          </w:p>
        </w:tc>
        <w:tc>
          <w:tcPr>
            <w:tcW w:w="959" w:type="dxa"/>
          </w:tcPr>
          <w:p w14:paraId="782B5AE6" w14:textId="77777777" w:rsidR="004B69F5" w:rsidRPr="00E05192" w:rsidRDefault="004B69F5" w:rsidP="000D2CA8">
            <w:pPr>
              <w:spacing w:line="240" w:lineRule="auto"/>
              <w:rPr>
                <w:rFonts w:cs="Times New Roman"/>
                <w:b/>
                <w:sz w:val="20"/>
                <w:szCs w:val="20"/>
              </w:rPr>
            </w:pPr>
            <w:r w:rsidRPr="00E05192">
              <w:rPr>
                <w:rFonts w:cs="Times New Roman"/>
                <w:b/>
                <w:sz w:val="20"/>
                <w:szCs w:val="20"/>
              </w:rPr>
              <w:t>Steel</w:t>
            </w:r>
            <w:r>
              <w:rPr>
                <w:rFonts w:cs="Times New Roman"/>
                <w:b/>
                <w:sz w:val="20"/>
                <w:szCs w:val="20"/>
              </w:rPr>
              <w:t xml:space="preserve"> medium</w:t>
            </w:r>
            <w:r w:rsidRPr="00E05192">
              <w:rPr>
                <w:rFonts w:cs="Times New Roman"/>
                <w:b/>
                <w:sz w:val="20"/>
                <w:szCs w:val="20"/>
              </w:rPr>
              <w:t xml:space="preserve"> </w:t>
            </w:r>
          </w:p>
        </w:tc>
        <w:tc>
          <w:tcPr>
            <w:tcW w:w="1141" w:type="dxa"/>
          </w:tcPr>
          <w:p w14:paraId="324B2AF5" w14:textId="77777777" w:rsidR="004B69F5" w:rsidRPr="00E05192" w:rsidRDefault="004B69F5" w:rsidP="000D2CA8">
            <w:pPr>
              <w:spacing w:line="240" w:lineRule="auto"/>
              <w:rPr>
                <w:rFonts w:cs="Times New Roman"/>
                <w:b/>
                <w:sz w:val="20"/>
                <w:szCs w:val="20"/>
              </w:rPr>
            </w:pPr>
            <w:r>
              <w:rPr>
                <w:rFonts w:cs="Times New Roman"/>
                <w:b/>
                <w:sz w:val="20"/>
                <w:szCs w:val="20"/>
              </w:rPr>
              <w:t>Pre-treatment</w:t>
            </w:r>
          </w:p>
        </w:tc>
        <w:tc>
          <w:tcPr>
            <w:tcW w:w="1289" w:type="dxa"/>
          </w:tcPr>
          <w:p w14:paraId="08BBC728" w14:textId="77777777" w:rsidR="004B69F5" w:rsidRPr="00E05192" w:rsidRDefault="004B69F5" w:rsidP="000D2CA8">
            <w:pPr>
              <w:autoSpaceDE w:val="0"/>
              <w:autoSpaceDN w:val="0"/>
              <w:adjustRightInd w:val="0"/>
              <w:spacing w:line="240" w:lineRule="auto"/>
              <w:rPr>
                <w:rFonts w:cs="Times New Roman"/>
                <w:b/>
                <w:color w:val="000000"/>
                <w:sz w:val="20"/>
                <w:szCs w:val="20"/>
              </w:rPr>
            </w:pPr>
            <w:r w:rsidRPr="00E05192">
              <w:rPr>
                <w:rFonts w:cs="Times New Roman"/>
                <w:b/>
                <w:color w:val="000000"/>
                <w:sz w:val="20"/>
                <w:szCs w:val="20"/>
              </w:rPr>
              <w:t>Assay</w:t>
            </w:r>
            <w:r>
              <w:rPr>
                <w:rFonts w:cs="Times New Roman"/>
                <w:b/>
                <w:color w:val="000000"/>
                <w:sz w:val="20"/>
                <w:szCs w:val="20"/>
              </w:rPr>
              <w:t xml:space="preserve"> / in situ</w:t>
            </w:r>
          </w:p>
        </w:tc>
        <w:tc>
          <w:tcPr>
            <w:tcW w:w="1442" w:type="dxa"/>
          </w:tcPr>
          <w:p w14:paraId="26D40E51" w14:textId="77777777" w:rsidR="004B69F5" w:rsidRPr="00E05192" w:rsidRDefault="004B69F5" w:rsidP="000D2CA8">
            <w:pPr>
              <w:spacing w:line="240" w:lineRule="auto"/>
              <w:jc w:val="center"/>
              <w:rPr>
                <w:rFonts w:cs="Times New Roman"/>
                <w:b/>
                <w:sz w:val="20"/>
                <w:szCs w:val="20"/>
              </w:rPr>
            </w:pPr>
            <w:r>
              <w:rPr>
                <w:rFonts w:cs="Times New Roman"/>
                <w:b/>
                <w:sz w:val="20"/>
                <w:szCs w:val="20"/>
              </w:rPr>
              <w:t>Dry</w:t>
            </w:r>
          </w:p>
        </w:tc>
        <w:tc>
          <w:tcPr>
            <w:tcW w:w="1843" w:type="dxa"/>
          </w:tcPr>
          <w:p w14:paraId="30360987" w14:textId="77777777" w:rsidR="004B69F5" w:rsidRPr="00E05192" w:rsidRDefault="004B69F5" w:rsidP="000D2CA8">
            <w:pPr>
              <w:spacing w:line="240" w:lineRule="auto"/>
              <w:jc w:val="center"/>
              <w:rPr>
                <w:rFonts w:cs="Times New Roman"/>
                <w:b/>
                <w:sz w:val="20"/>
                <w:szCs w:val="20"/>
              </w:rPr>
            </w:pPr>
            <w:r>
              <w:rPr>
                <w:rFonts w:cs="Times New Roman"/>
                <w:b/>
                <w:sz w:val="20"/>
                <w:szCs w:val="20"/>
              </w:rPr>
              <w:t>Wet</w:t>
            </w:r>
          </w:p>
        </w:tc>
        <w:tc>
          <w:tcPr>
            <w:tcW w:w="4678" w:type="dxa"/>
            <w:gridSpan w:val="2"/>
          </w:tcPr>
          <w:p w14:paraId="24183A30" w14:textId="77777777" w:rsidR="004B69F5" w:rsidRPr="00E05192" w:rsidRDefault="004B69F5" w:rsidP="000D2CA8">
            <w:pPr>
              <w:autoSpaceDE w:val="0"/>
              <w:autoSpaceDN w:val="0"/>
              <w:adjustRightInd w:val="0"/>
              <w:spacing w:line="240" w:lineRule="auto"/>
              <w:rPr>
                <w:rFonts w:cs="Times New Roman"/>
                <w:b/>
                <w:sz w:val="20"/>
                <w:szCs w:val="20"/>
              </w:rPr>
            </w:pPr>
            <w:r>
              <w:rPr>
                <w:rFonts w:cs="Times New Roman"/>
                <w:b/>
                <w:color w:val="000000"/>
                <w:sz w:val="20"/>
                <w:szCs w:val="20"/>
              </w:rPr>
              <w:t>Differences in r</w:t>
            </w:r>
            <w:r w:rsidRPr="00E05192">
              <w:rPr>
                <w:rFonts w:cs="Times New Roman"/>
                <w:b/>
                <w:color w:val="000000"/>
                <w:sz w:val="20"/>
                <w:szCs w:val="20"/>
              </w:rPr>
              <w:t>esidual protein</w:t>
            </w:r>
            <w:r w:rsidRPr="00E05192">
              <w:rPr>
                <w:rFonts w:cs="Times New Roman"/>
                <w:b/>
                <w:color w:val="000066"/>
                <w:sz w:val="20"/>
                <w:szCs w:val="20"/>
              </w:rPr>
              <w:t xml:space="preserve"> </w:t>
            </w:r>
            <w:r w:rsidRPr="000528CB">
              <w:rPr>
                <w:rFonts w:cs="Times New Roman"/>
                <w:b/>
                <w:sz w:val="20"/>
                <w:szCs w:val="20"/>
              </w:rPr>
              <w:t>(ng/mm</w:t>
            </w:r>
            <w:r w:rsidRPr="000528CB">
              <w:rPr>
                <w:rFonts w:cs="Times New Roman"/>
                <w:b/>
                <w:sz w:val="20"/>
                <w:szCs w:val="20"/>
                <w:vertAlign w:val="superscript"/>
              </w:rPr>
              <w:t>2</w:t>
            </w:r>
            <w:r w:rsidRPr="000528CB">
              <w:rPr>
                <w:rFonts w:cs="Times New Roman"/>
                <w:b/>
                <w:sz w:val="20"/>
                <w:szCs w:val="20"/>
              </w:rPr>
              <w:t xml:space="preserve">) </w:t>
            </w:r>
            <w:r w:rsidRPr="00E05192">
              <w:rPr>
                <w:rFonts w:cs="Times New Roman"/>
                <w:b/>
                <w:color w:val="000000"/>
                <w:sz w:val="20"/>
                <w:szCs w:val="20"/>
              </w:rPr>
              <w:t xml:space="preserve">contamination of wires or </w:t>
            </w:r>
            <w:r>
              <w:rPr>
                <w:rFonts w:cs="Times New Roman"/>
                <w:b/>
                <w:color w:val="000000"/>
                <w:sz w:val="20"/>
                <w:szCs w:val="20"/>
              </w:rPr>
              <w:t xml:space="preserve">tokens </w:t>
            </w:r>
          </w:p>
        </w:tc>
      </w:tr>
      <w:tr w:rsidR="004B69F5" w:rsidRPr="00E05192" w14:paraId="7FAEDA7B" w14:textId="77777777" w:rsidTr="0015557F">
        <w:trPr>
          <w:trHeight w:val="470"/>
          <w:tblHeader/>
        </w:trPr>
        <w:tc>
          <w:tcPr>
            <w:tcW w:w="1160" w:type="dxa"/>
            <w:shd w:val="clear" w:color="auto" w:fill="FFFFFF" w:themeFill="background1"/>
          </w:tcPr>
          <w:p w14:paraId="6A940191" w14:textId="77777777" w:rsidR="004B69F5" w:rsidRPr="00E05192" w:rsidRDefault="004B69F5" w:rsidP="000D2CA8">
            <w:pPr>
              <w:spacing w:line="240" w:lineRule="auto"/>
              <w:rPr>
                <w:rFonts w:cs="Times New Roman"/>
                <w:b/>
                <w:sz w:val="20"/>
                <w:szCs w:val="20"/>
              </w:rPr>
            </w:pPr>
          </w:p>
        </w:tc>
        <w:tc>
          <w:tcPr>
            <w:tcW w:w="939" w:type="dxa"/>
          </w:tcPr>
          <w:p w14:paraId="4B0D073E" w14:textId="77777777" w:rsidR="004B69F5" w:rsidRPr="00E05192" w:rsidRDefault="004B69F5" w:rsidP="000D2CA8">
            <w:pPr>
              <w:spacing w:line="240" w:lineRule="auto"/>
              <w:rPr>
                <w:rFonts w:cs="Times New Roman"/>
                <w:b/>
                <w:sz w:val="20"/>
                <w:szCs w:val="20"/>
              </w:rPr>
            </w:pPr>
          </w:p>
        </w:tc>
        <w:tc>
          <w:tcPr>
            <w:tcW w:w="1116" w:type="dxa"/>
          </w:tcPr>
          <w:p w14:paraId="4DDBC11F" w14:textId="77777777" w:rsidR="004B69F5" w:rsidRPr="00E05192" w:rsidRDefault="004B69F5" w:rsidP="000D2CA8">
            <w:pPr>
              <w:spacing w:line="240" w:lineRule="auto"/>
              <w:rPr>
                <w:rFonts w:cs="Times New Roman"/>
                <w:b/>
                <w:sz w:val="20"/>
                <w:szCs w:val="20"/>
              </w:rPr>
            </w:pPr>
          </w:p>
        </w:tc>
        <w:tc>
          <w:tcPr>
            <w:tcW w:w="959" w:type="dxa"/>
          </w:tcPr>
          <w:p w14:paraId="028C95D0" w14:textId="77777777" w:rsidR="004B69F5" w:rsidRPr="00E05192" w:rsidRDefault="004B69F5" w:rsidP="000D2CA8">
            <w:pPr>
              <w:spacing w:line="240" w:lineRule="auto"/>
              <w:rPr>
                <w:rFonts w:cs="Times New Roman"/>
                <w:b/>
                <w:sz w:val="20"/>
                <w:szCs w:val="20"/>
              </w:rPr>
            </w:pPr>
          </w:p>
        </w:tc>
        <w:tc>
          <w:tcPr>
            <w:tcW w:w="1141" w:type="dxa"/>
          </w:tcPr>
          <w:p w14:paraId="665BEDFA" w14:textId="77777777" w:rsidR="004B69F5" w:rsidRDefault="004B69F5" w:rsidP="000D2CA8">
            <w:pPr>
              <w:spacing w:line="240" w:lineRule="auto"/>
              <w:rPr>
                <w:rFonts w:cs="Times New Roman"/>
                <w:b/>
                <w:sz w:val="20"/>
                <w:szCs w:val="20"/>
              </w:rPr>
            </w:pPr>
          </w:p>
        </w:tc>
        <w:tc>
          <w:tcPr>
            <w:tcW w:w="1289" w:type="dxa"/>
          </w:tcPr>
          <w:p w14:paraId="6FC59079" w14:textId="77777777" w:rsidR="004B69F5" w:rsidRPr="00E05192" w:rsidRDefault="004B69F5" w:rsidP="000D2CA8">
            <w:pPr>
              <w:autoSpaceDE w:val="0"/>
              <w:autoSpaceDN w:val="0"/>
              <w:adjustRightInd w:val="0"/>
              <w:spacing w:line="240" w:lineRule="auto"/>
              <w:rPr>
                <w:rFonts w:cs="Times New Roman"/>
                <w:b/>
                <w:color w:val="000000"/>
                <w:sz w:val="20"/>
                <w:szCs w:val="20"/>
              </w:rPr>
            </w:pPr>
          </w:p>
        </w:tc>
        <w:tc>
          <w:tcPr>
            <w:tcW w:w="1442" w:type="dxa"/>
          </w:tcPr>
          <w:p w14:paraId="09445E15" w14:textId="77777777" w:rsidR="004B69F5" w:rsidRDefault="004B69F5" w:rsidP="000D2CA8">
            <w:pPr>
              <w:spacing w:line="240" w:lineRule="auto"/>
              <w:jc w:val="center"/>
              <w:rPr>
                <w:rFonts w:cs="Times New Roman"/>
                <w:b/>
                <w:sz w:val="20"/>
                <w:szCs w:val="20"/>
              </w:rPr>
            </w:pPr>
          </w:p>
        </w:tc>
        <w:tc>
          <w:tcPr>
            <w:tcW w:w="1843" w:type="dxa"/>
          </w:tcPr>
          <w:p w14:paraId="1EDA034E" w14:textId="77777777" w:rsidR="004B69F5" w:rsidRDefault="004B69F5" w:rsidP="000D2CA8">
            <w:pPr>
              <w:spacing w:line="240" w:lineRule="auto"/>
              <w:jc w:val="center"/>
              <w:rPr>
                <w:rFonts w:cs="Times New Roman"/>
                <w:b/>
                <w:sz w:val="20"/>
                <w:szCs w:val="20"/>
              </w:rPr>
            </w:pPr>
          </w:p>
        </w:tc>
        <w:tc>
          <w:tcPr>
            <w:tcW w:w="2410" w:type="dxa"/>
          </w:tcPr>
          <w:p w14:paraId="2CBD793D" w14:textId="77777777" w:rsidR="004B69F5" w:rsidRDefault="004B69F5" w:rsidP="000D2CA8">
            <w:pPr>
              <w:autoSpaceDE w:val="0"/>
              <w:autoSpaceDN w:val="0"/>
              <w:adjustRightInd w:val="0"/>
              <w:spacing w:line="240" w:lineRule="auto"/>
              <w:rPr>
                <w:rFonts w:cs="Times New Roman"/>
                <w:b/>
                <w:color w:val="000000"/>
                <w:sz w:val="20"/>
                <w:szCs w:val="20"/>
              </w:rPr>
            </w:pPr>
            <w:r>
              <w:rPr>
                <w:rFonts w:cs="Times New Roman"/>
                <w:b/>
                <w:color w:val="000000"/>
                <w:sz w:val="20"/>
                <w:szCs w:val="20"/>
              </w:rPr>
              <w:t>Dry</w:t>
            </w:r>
          </w:p>
        </w:tc>
        <w:tc>
          <w:tcPr>
            <w:tcW w:w="2268" w:type="dxa"/>
          </w:tcPr>
          <w:p w14:paraId="7BE0F1F2" w14:textId="77777777" w:rsidR="004B69F5" w:rsidRDefault="004B69F5" w:rsidP="000D2CA8">
            <w:pPr>
              <w:autoSpaceDE w:val="0"/>
              <w:autoSpaceDN w:val="0"/>
              <w:adjustRightInd w:val="0"/>
              <w:spacing w:line="240" w:lineRule="auto"/>
              <w:rPr>
                <w:rFonts w:cs="Times New Roman"/>
                <w:b/>
                <w:color w:val="000000"/>
                <w:sz w:val="20"/>
                <w:szCs w:val="20"/>
              </w:rPr>
            </w:pPr>
            <w:r>
              <w:rPr>
                <w:rFonts w:cs="Times New Roman"/>
                <w:b/>
                <w:color w:val="000000"/>
                <w:sz w:val="20"/>
                <w:szCs w:val="20"/>
              </w:rPr>
              <w:t>Wet</w:t>
            </w:r>
          </w:p>
        </w:tc>
      </w:tr>
      <w:tr w:rsidR="004B69F5" w:rsidRPr="00E05192" w14:paraId="682C6EF1" w14:textId="77777777" w:rsidTr="0015557F">
        <w:trPr>
          <w:trHeight w:val="2286"/>
        </w:trPr>
        <w:tc>
          <w:tcPr>
            <w:tcW w:w="1160" w:type="dxa"/>
            <w:shd w:val="clear" w:color="auto" w:fill="FFFFFF" w:themeFill="background1"/>
          </w:tcPr>
          <w:p w14:paraId="72008D67" w14:textId="70D4B1FB" w:rsidR="004B69F5" w:rsidRPr="00E05192" w:rsidRDefault="004B69F5" w:rsidP="0076576E">
            <w:pPr>
              <w:spacing w:line="240" w:lineRule="auto"/>
              <w:rPr>
                <w:rFonts w:cs="Times New Roman"/>
                <w:sz w:val="20"/>
                <w:szCs w:val="20"/>
              </w:rPr>
            </w:pPr>
            <w:r>
              <w:rPr>
                <w:rFonts w:cs="Times New Roman"/>
                <w:sz w:val="20"/>
                <w:szCs w:val="20"/>
              </w:rPr>
              <w:t xml:space="preserve">Lipscomb </w:t>
            </w:r>
            <w:r w:rsidRPr="00E05192">
              <w:rPr>
                <w:rFonts w:cs="Times New Roman"/>
                <w:sz w:val="20"/>
                <w:szCs w:val="20"/>
              </w:rPr>
              <w:t>2007</w:t>
            </w:r>
            <w:r w:rsidR="003A0D62">
              <w:rPr>
                <w:rFonts w:cs="Times New Roman"/>
                <w:sz w:val="20"/>
                <w:szCs w:val="20"/>
              </w:rPr>
              <w:fldChar w:fldCharType="begin">
                <w:fldData xml:space="preserve">PEVuZE5vdGU+PENpdGU+PEF1dGhvcj5MaXBzY29tYjwvQXV0aG9yPjxZZWFyPjIwMDc8L1llYXI+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</w:fldData>
              </w:fldChar>
            </w:r>
            <w:r w:rsidR="0076576E">
              <w:rPr>
                <w:rFonts w:cs="Times New Roman"/>
                <w:sz w:val="20"/>
                <w:szCs w:val="20"/>
              </w:rPr>
              <w:instrText xml:space="preserve"> ADDIN EN.CITE </w:instrText>
            </w:r>
            <w:r w:rsidR="0076576E">
              <w:rPr>
                <w:rFonts w:cs="Times New Roman"/>
                <w:sz w:val="20"/>
                <w:szCs w:val="20"/>
              </w:rPr>
              <w:fldChar w:fldCharType="begin">
                <w:fldData xml:space="preserve">PEVuZE5vdGU+PENpdGU+PEF1dGhvcj5MaXBzY29tYjwvQXV0aG9yPjxZZWFyPjIwMDc8L1llYXI+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</w:fldData>
              </w:fldChar>
            </w:r>
            <w:r w:rsidR="0076576E">
              <w:rPr>
                <w:rFonts w:cs="Times New Roman"/>
                <w:sz w:val="20"/>
                <w:szCs w:val="20"/>
              </w:rPr>
              <w:instrText xml:space="preserve"> ADDIN EN.CITE.DATA </w:instrText>
            </w:r>
            <w:r w:rsidR="0076576E">
              <w:rPr>
                <w:rFonts w:cs="Times New Roman"/>
                <w:sz w:val="20"/>
                <w:szCs w:val="20"/>
              </w:rPr>
            </w:r>
            <w:r w:rsidR="0076576E">
              <w:rPr>
                <w:rFonts w:cs="Times New Roman"/>
                <w:sz w:val="20"/>
                <w:szCs w:val="20"/>
              </w:rPr>
              <w:fldChar w:fldCharType="end"/>
            </w:r>
            <w:r w:rsidR="003A0D62">
              <w:rPr>
                <w:rFonts w:cs="Times New Roman"/>
                <w:sz w:val="20"/>
                <w:szCs w:val="20"/>
              </w:rPr>
            </w:r>
            <w:r w:rsidR="003A0D62">
              <w:rPr>
                <w:rFonts w:cs="Times New Roman"/>
                <w:sz w:val="20"/>
                <w:szCs w:val="20"/>
              </w:rPr>
              <w:fldChar w:fldCharType="separate"/>
            </w:r>
            <w:r w:rsidR="0076576E" w:rsidRPr="0076576E">
              <w:rPr>
                <w:rFonts w:cs="Times New Roman"/>
                <w:noProof/>
                <w:sz w:val="20"/>
                <w:szCs w:val="20"/>
                <w:vertAlign w:val="superscript"/>
              </w:rPr>
              <w:t>196</w:t>
            </w:r>
            <w:r w:rsidR="003A0D62">
              <w:rPr>
                <w:rFonts w:cs="Times New Roman"/>
                <w:sz w:val="20"/>
                <w:szCs w:val="20"/>
              </w:rPr>
              <w:fldChar w:fldCharType="end"/>
            </w:r>
          </w:p>
        </w:tc>
        <w:tc>
          <w:tcPr>
            <w:tcW w:w="939" w:type="dxa"/>
          </w:tcPr>
          <w:p w14:paraId="1A3D97D7" w14:textId="77777777" w:rsidR="004B69F5" w:rsidRPr="00E05192" w:rsidRDefault="004B69F5" w:rsidP="000D2CA8">
            <w:pPr>
              <w:spacing w:line="240" w:lineRule="auto"/>
              <w:rPr>
                <w:rFonts w:cs="Times New Roman"/>
                <w:sz w:val="20"/>
                <w:szCs w:val="20"/>
              </w:rPr>
            </w:pPr>
            <w:r>
              <w:rPr>
                <w:rFonts w:cs="Times New Roman"/>
                <w:sz w:val="20"/>
                <w:szCs w:val="20"/>
              </w:rPr>
              <w:t>UK</w:t>
            </w:r>
          </w:p>
        </w:tc>
        <w:tc>
          <w:tcPr>
            <w:tcW w:w="1116" w:type="dxa"/>
          </w:tcPr>
          <w:p w14:paraId="47F6CA7A" w14:textId="77777777" w:rsidR="004B69F5" w:rsidRPr="007F0131" w:rsidRDefault="004B69F5" w:rsidP="000D2CA8">
            <w:pPr>
              <w:spacing w:line="240" w:lineRule="auto"/>
              <w:rPr>
                <w:rFonts w:cs="Times New Roman"/>
                <w:sz w:val="20"/>
                <w:szCs w:val="20"/>
              </w:rPr>
            </w:pPr>
            <w:r>
              <w:rPr>
                <w:rFonts w:cs="Times New Roman"/>
                <w:sz w:val="20"/>
                <w:szCs w:val="20"/>
              </w:rPr>
              <w:t>1µL drops of ME7-infected BH</w:t>
            </w:r>
          </w:p>
        </w:tc>
        <w:tc>
          <w:tcPr>
            <w:tcW w:w="959" w:type="dxa"/>
          </w:tcPr>
          <w:p w14:paraId="61C28D13"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Surgical 316L grade SS tokens (10mm x 25mm)</w:t>
            </w:r>
          </w:p>
        </w:tc>
        <w:tc>
          <w:tcPr>
            <w:tcW w:w="1141" w:type="dxa"/>
            <w:shd w:val="clear" w:color="auto" w:fill="FFFFFF" w:themeFill="background1"/>
          </w:tcPr>
          <w:p w14:paraId="7FAAFB2C" w14:textId="77777777" w:rsidR="004B69F5" w:rsidRDefault="004B69F5" w:rsidP="000D2CA8">
            <w:pPr>
              <w:spacing w:line="240" w:lineRule="auto"/>
              <w:rPr>
                <w:rFonts w:cs="Times New Roman"/>
                <w:sz w:val="20"/>
                <w:szCs w:val="20"/>
              </w:rPr>
            </w:pPr>
            <w:r>
              <w:rPr>
                <w:rFonts w:cs="Times New Roman"/>
                <w:sz w:val="20"/>
                <w:szCs w:val="20"/>
              </w:rPr>
              <w:t>Klenzyme;</w:t>
            </w:r>
          </w:p>
          <w:p w14:paraId="5D72CF0D" w14:textId="77777777" w:rsidR="004B69F5" w:rsidRDefault="004B69F5" w:rsidP="000D2CA8">
            <w:pPr>
              <w:spacing w:line="240" w:lineRule="auto"/>
              <w:rPr>
                <w:rFonts w:cs="Times New Roman"/>
                <w:sz w:val="20"/>
                <w:szCs w:val="20"/>
              </w:rPr>
            </w:pPr>
            <w:r>
              <w:rPr>
                <w:rFonts w:cs="Times New Roman"/>
                <w:sz w:val="20"/>
                <w:szCs w:val="20"/>
              </w:rPr>
              <w:t>Endozyme AW;</w:t>
            </w:r>
          </w:p>
          <w:p w14:paraId="187E2088" w14:textId="77777777" w:rsidR="004B69F5" w:rsidRDefault="004B69F5" w:rsidP="000D2CA8">
            <w:pPr>
              <w:spacing w:line="240" w:lineRule="auto"/>
              <w:rPr>
                <w:rFonts w:cs="Times New Roman"/>
                <w:sz w:val="20"/>
                <w:szCs w:val="20"/>
              </w:rPr>
            </w:pPr>
            <w:r>
              <w:rPr>
                <w:rFonts w:cs="Times New Roman"/>
                <w:sz w:val="20"/>
                <w:szCs w:val="20"/>
              </w:rPr>
              <w:t>Enzol;</w:t>
            </w:r>
          </w:p>
          <w:p w14:paraId="39B2D015" w14:textId="77777777" w:rsidR="004B69F5" w:rsidRPr="00E05192" w:rsidRDefault="004B69F5" w:rsidP="000D2CA8">
            <w:pPr>
              <w:spacing w:line="240" w:lineRule="auto"/>
              <w:rPr>
                <w:rFonts w:cs="Times New Roman"/>
                <w:sz w:val="20"/>
                <w:szCs w:val="20"/>
              </w:rPr>
            </w:pPr>
            <w:r>
              <w:rPr>
                <w:rFonts w:cs="Times New Roman"/>
                <w:sz w:val="20"/>
                <w:szCs w:val="20"/>
              </w:rPr>
              <w:t>Liquid 52</w:t>
            </w:r>
          </w:p>
        </w:tc>
        <w:tc>
          <w:tcPr>
            <w:tcW w:w="1289" w:type="dxa"/>
            <w:shd w:val="clear" w:color="auto" w:fill="FFFFFF" w:themeFill="background1"/>
          </w:tcPr>
          <w:p w14:paraId="1BE584D5" w14:textId="77777777" w:rsidR="004B69F5" w:rsidRDefault="004B69F5" w:rsidP="000D2CA8">
            <w:pPr>
              <w:spacing w:line="240" w:lineRule="auto"/>
              <w:rPr>
                <w:rFonts w:cs="Times New Roman"/>
                <w:sz w:val="20"/>
                <w:szCs w:val="20"/>
                <w:lang w:val="en"/>
              </w:rPr>
            </w:pPr>
            <w:r w:rsidRPr="00E05192">
              <w:rPr>
                <w:rFonts w:cs="Times New Roman"/>
                <w:sz w:val="20"/>
                <w:szCs w:val="20"/>
                <w:lang w:val="en"/>
              </w:rPr>
              <w:t>SYPRO Ruby and EDIC/EF microscopy</w:t>
            </w:r>
          </w:p>
          <w:p w14:paraId="4F2592A1" w14:textId="77777777" w:rsidR="004B69F5" w:rsidRDefault="004B69F5" w:rsidP="000D2CA8">
            <w:pPr>
              <w:spacing w:line="240" w:lineRule="auto"/>
              <w:rPr>
                <w:rFonts w:cs="Times New Roman"/>
                <w:sz w:val="20"/>
                <w:szCs w:val="20"/>
                <w:lang w:val="en"/>
              </w:rPr>
            </w:pPr>
          </w:p>
          <w:p w14:paraId="6F770D9E" w14:textId="77777777" w:rsidR="004B69F5" w:rsidRPr="00F01631" w:rsidRDefault="004B69F5" w:rsidP="000D2CA8">
            <w:pPr>
              <w:spacing w:line="240" w:lineRule="auto"/>
              <w:rPr>
                <w:rFonts w:cs="Times New Roman"/>
                <w:i/>
                <w:sz w:val="20"/>
                <w:szCs w:val="20"/>
                <w:lang w:val="en"/>
              </w:rPr>
            </w:pPr>
            <w:r w:rsidRPr="00F01631">
              <w:rPr>
                <w:rFonts w:cs="Times New Roman"/>
                <w:i/>
                <w:sz w:val="20"/>
                <w:szCs w:val="20"/>
                <w:lang w:val="en"/>
              </w:rPr>
              <w:t>In situ</w:t>
            </w:r>
          </w:p>
        </w:tc>
        <w:tc>
          <w:tcPr>
            <w:tcW w:w="1442" w:type="dxa"/>
            <w:shd w:val="clear" w:color="auto" w:fill="FFFFFF" w:themeFill="background1"/>
          </w:tcPr>
          <w:p w14:paraId="45524C27" w14:textId="77777777" w:rsidR="004B69F5" w:rsidRDefault="004B69F5" w:rsidP="000D2CA8">
            <w:pPr>
              <w:spacing w:line="240" w:lineRule="auto"/>
              <w:rPr>
                <w:rFonts w:cs="Times New Roman"/>
                <w:sz w:val="20"/>
                <w:szCs w:val="20"/>
              </w:rPr>
            </w:pPr>
            <w:r>
              <w:rPr>
                <w:rFonts w:cs="Times New Roman"/>
                <w:sz w:val="20"/>
                <w:szCs w:val="20"/>
              </w:rPr>
              <w:t>DT =17h</w:t>
            </w:r>
          </w:p>
          <w:p w14:paraId="01404146" w14:textId="77777777" w:rsidR="004B69F5" w:rsidRDefault="004B69F5" w:rsidP="000D2CA8">
            <w:pPr>
              <w:spacing w:line="240" w:lineRule="auto"/>
              <w:rPr>
                <w:rFonts w:cs="Times New Roman"/>
                <w:sz w:val="20"/>
                <w:szCs w:val="20"/>
              </w:rPr>
            </w:pPr>
            <w:r>
              <w:rPr>
                <w:rFonts w:cs="Times New Roman"/>
                <w:sz w:val="20"/>
                <w:szCs w:val="20"/>
              </w:rPr>
              <w:t>No pre-soak / pre-treatment</w:t>
            </w:r>
          </w:p>
        </w:tc>
        <w:tc>
          <w:tcPr>
            <w:tcW w:w="1843" w:type="dxa"/>
            <w:shd w:val="clear" w:color="auto" w:fill="FFFFFF" w:themeFill="background1"/>
          </w:tcPr>
          <w:p w14:paraId="1914CA63" w14:textId="77777777" w:rsidR="004B69F5" w:rsidRDefault="004B69F5" w:rsidP="000D2CA8">
            <w:pPr>
              <w:spacing w:line="240" w:lineRule="auto"/>
              <w:rPr>
                <w:rFonts w:cs="Times New Roman"/>
                <w:sz w:val="20"/>
                <w:szCs w:val="20"/>
              </w:rPr>
            </w:pPr>
            <w:r>
              <w:rPr>
                <w:rFonts w:cs="Times New Roman"/>
                <w:sz w:val="20"/>
                <w:szCs w:val="20"/>
              </w:rPr>
              <w:t>DT=17h</w:t>
            </w:r>
          </w:p>
          <w:p w14:paraId="4DA4F508" w14:textId="77777777" w:rsidR="004B69F5" w:rsidRDefault="004B69F5" w:rsidP="000D2CA8">
            <w:pPr>
              <w:spacing w:line="240" w:lineRule="auto"/>
              <w:rPr>
                <w:rFonts w:cs="Times New Roman"/>
                <w:sz w:val="20"/>
                <w:szCs w:val="20"/>
              </w:rPr>
            </w:pPr>
            <w:r>
              <w:rPr>
                <w:rFonts w:cs="Times New Roman"/>
                <w:sz w:val="20"/>
                <w:szCs w:val="20"/>
              </w:rPr>
              <w:t>5 minutes for each:</w:t>
            </w:r>
          </w:p>
          <w:p w14:paraId="4C591AAC" w14:textId="77777777" w:rsidR="004B69F5" w:rsidRDefault="004B69F5" w:rsidP="000D2CA8">
            <w:pPr>
              <w:spacing w:line="240" w:lineRule="auto"/>
              <w:rPr>
                <w:rFonts w:cs="Times New Roman"/>
                <w:sz w:val="20"/>
                <w:szCs w:val="20"/>
              </w:rPr>
            </w:pPr>
            <w:r>
              <w:rPr>
                <w:rFonts w:cs="Times New Roman"/>
                <w:sz w:val="20"/>
                <w:szCs w:val="20"/>
              </w:rPr>
              <w:t>Klenzyme, 8ml/L;</w:t>
            </w:r>
          </w:p>
          <w:p w14:paraId="116103CA" w14:textId="77777777" w:rsidR="004B69F5" w:rsidRDefault="004B69F5" w:rsidP="000D2CA8">
            <w:pPr>
              <w:spacing w:line="240" w:lineRule="auto"/>
              <w:rPr>
                <w:rFonts w:cs="Times New Roman"/>
                <w:sz w:val="20"/>
                <w:szCs w:val="20"/>
              </w:rPr>
            </w:pPr>
            <w:r>
              <w:rPr>
                <w:rFonts w:cs="Times New Roman"/>
                <w:sz w:val="20"/>
                <w:szCs w:val="20"/>
              </w:rPr>
              <w:t>Endozyme AW, 4ml/L;</w:t>
            </w:r>
          </w:p>
          <w:p w14:paraId="51DB24EA" w14:textId="77777777" w:rsidR="004B69F5" w:rsidRPr="00F1300C" w:rsidRDefault="004B69F5" w:rsidP="000D2CA8">
            <w:pPr>
              <w:spacing w:line="240" w:lineRule="auto"/>
              <w:rPr>
                <w:rFonts w:cs="Times New Roman"/>
                <w:sz w:val="20"/>
                <w:szCs w:val="20"/>
              </w:rPr>
            </w:pPr>
            <w:r w:rsidRPr="00F1300C">
              <w:rPr>
                <w:rFonts w:cs="Times New Roman"/>
                <w:sz w:val="20"/>
                <w:szCs w:val="20"/>
              </w:rPr>
              <w:t>Enzol, 8ml/L;</w:t>
            </w:r>
          </w:p>
          <w:p w14:paraId="5F23F840" w14:textId="77777777" w:rsidR="004B69F5" w:rsidRPr="00F1300C" w:rsidRDefault="004B69F5" w:rsidP="000D2CA8">
            <w:pPr>
              <w:spacing w:line="240" w:lineRule="auto"/>
              <w:rPr>
                <w:rFonts w:cs="Times New Roman"/>
                <w:sz w:val="20"/>
                <w:szCs w:val="20"/>
              </w:rPr>
            </w:pPr>
            <w:r w:rsidRPr="00F1300C">
              <w:rPr>
                <w:rFonts w:cs="Times New Roman"/>
                <w:sz w:val="20"/>
                <w:szCs w:val="20"/>
              </w:rPr>
              <w:t>Liquid 52, 8ml/L</w:t>
            </w:r>
          </w:p>
        </w:tc>
        <w:tc>
          <w:tcPr>
            <w:tcW w:w="2410" w:type="dxa"/>
            <w:shd w:val="clear" w:color="auto" w:fill="FFFFFF" w:themeFill="background1"/>
          </w:tcPr>
          <w:p w14:paraId="01F7A7E3" w14:textId="77777777" w:rsidR="004B69F5" w:rsidRDefault="004B69F5" w:rsidP="000D2CA8">
            <w:pPr>
              <w:spacing w:line="240" w:lineRule="auto"/>
              <w:rPr>
                <w:rFonts w:cs="Times New Roman"/>
                <w:sz w:val="20"/>
                <w:szCs w:val="20"/>
              </w:rPr>
            </w:pPr>
            <w:r w:rsidRPr="00C105E5">
              <w:rPr>
                <w:rFonts w:cs="Times New Roman"/>
                <w:sz w:val="20"/>
                <w:szCs w:val="20"/>
              </w:rPr>
              <w:t>Final residual protein contamination</w:t>
            </w:r>
            <w:r>
              <w:rPr>
                <w:rFonts w:cs="Times New Roman"/>
                <w:sz w:val="20"/>
                <w:szCs w:val="20"/>
              </w:rPr>
              <w:t xml:space="preserve"> at 22</w:t>
            </w:r>
            <w:r w:rsidRPr="00C105E5">
              <w:rPr>
                <w:rFonts w:cs="Times New Roman"/>
                <w:sz w:val="20"/>
                <w:szCs w:val="20"/>
                <w:vertAlign w:val="superscript"/>
              </w:rPr>
              <w:t>o</w:t>
            </w:r>
            <w:r>
              <w:rPr>
                <w:rFonts w:cs="Times New Roman"/>
                <w:sz w:val="20"/>
                <w:szCs w:val="20"/>
              </w:rPr>
              <w:t>C*</w:t>
            </w:r>
            <w:r w:rsidRPr="00C105E5">
              <w:rPr>
                <w:rFonts w:cs="Times New Roman"/>
                <w:sz w:val="20"/>
                <w:szCs w:val="20"/>
              </w:rPr>
              <w:t xml:space="preserve">: </w:t>
            </w:r>
          </w:p>
          <w:p w14:paraId="14F073E1" w14:textId="77777777" w:rsidR="004B69F5" w:rsidRDefault="004B69F5" w:rsidP="000D2CA8">
            <w:pPr>
              <w:spacing w:line="240" w:lineRule="auto"/>
              <w:rPr>
                <w:rFonts w:cs="Times New Roman"/>
                <w:sz w:val="20"/>
                <w:szCs w:val="20"/>
              </w:rPr>
            </w:pPr>
          </w:p>
          <w:p w14:paraId="679A2BFF" w14:textId="77777777" w:rsidR="004B69F5" w:rsidRDefault="004B69F5" w:rsidP="000D2CA8">
            <w:pPr>
              <w:spacing w:line="240" w:lineRule="auto"/>
              <w:rPr>
                <w:rFonts w:cs="Times New Roman"/>
                <w:sz w:val="20"/>
                <w:szCs w:val="20"/>
              </w:rPr>
            </w:pPr>
            <w:r w:rsidRPr="00C105E5">
              <w:rPr>
                <w:rFonts w:cs="Times New Roman"/>
                <w:sz w:val="20"/>
                <w:szCs w:val="20"/>
              </w:rPr>
              <w:t xml:space="preserve">Control </w:t>
            </w:r>
            <w:r>
              <w:rPr>
                <w:rFonts w:cs="Times New Roman"/>
                <w:sz w:val="20"/>
                <w:szCs w:val="20"/>
              </w:rPr>
              <w:t>= 100%</w:t>
            </w:r>
          </w:p>
        </w:tc>
        <w:tc>
          <w:tcPr>
            <w:tcW w:w="2268" w:type="dxa"/>
            <w:shd w:val="clear" w:color="auto" w:fill="FFFFFF" w:themeFill="background1"/>
          </w:tcPr>
          <w:p w14:paraId="2096BB64" w14:textId="77777777" w:rsidR="004B69F5" w:rsidRDefault="004B69F5" w:rsidP="000D2CA8">
            <w:pPr>
              <w:spacing w:line="240" w:lineRule="auto"/>
              <w:rPr>
                <w:rFonts w:cs="Times New Roman"/>
                <w:sz w:val="20"/>
                <w:szCs w:val="20"/>
              </w:rPr>
            </w:pPr>
            <w:r>
              <w:rPr>
                <w:rFonts w:cs="Times New Roman"/>
                <w:sz w:val="20"/>
                <w:szCs w:val="20"/>
                <w:lang w:val="en"/>
              </w:rPr>
              <w:t xml:space="preserve">Percentage of </w:t>
            </w:r>
            <w:r>
              <w:rPr>
                <w:rFonts w:cs="Times New Roman"/>
                <w:sz w:val="20"/>
                <w:szCs w:val="20"/>
              </w:rPr>
              <w:t>f</w:t>
            </w:r>
            <w:r w:rsidRPr="00C105E5">
              <w:rPr>
                <w:rFonts w:cs="Times New Roman"/>
                <w:sz w:val="20"/>
                <w:szCs w:val="20"/>
              </w:rPr>
              <w:t xml:space="preserve">inal </w:t>
            </w:r>
            <w:r>
              <w:rPr>
                <w:rFonts w:cs="Times New Roman"/>
                <w:sz w:val="20"/>
                <w:szCs w:val="20"/>
              </w:rPr>
              <w:t>residual protein contamination compared with control at 22</w:t>
            </w:r>
            <w:r w:rsidRPr="00C105E5">
              <w:rPr>
                <w:rFonts w:cs="Times New Roman"/>
                <w:sz w:val="20"/>
                <w:szCs w:val="20"/>
                <w:vertAlign w:val="superscript"/>
              </w:rPr>
              <w:t>o</w:t>
            </w:r>
            <w:r>
              <w:rPr>
                <w:rFonts w:cs="Times New Roman"/>
                <w:sz w:val="20"/>
                <w:szCs w:val="20"/>
              </w:rPr>
              <w:t>C*:</w:t>
            </w:r>
          </w:p>
          <w:p w14:paraId="519FB86E" w14:textId="77777777" w:rsidR="004B69F5" w:rsidRDefault="004B69F5" w:rsidP="000D2CA8">
            <w:pPr>
              <w:spacing w:line="240" w:lineRule="auto"/>
              <w:rPr>
                <w:rFonts w:cs="Times New Roman"/>
                <w:sz w:val="20"/>
                <w:szCs w:val="20"/>
              </w:rPr>
            </w:pPr>
            <w:r>
              <w:rPr>
                <w:rFonts w:cs="Times New Roman"/>
                <w:sz w:val="20"/>
                <w:szCs w:val="20"/>
              </w:rPr>
              <w:t>Klenzyme = 19%</w:t>
            </w:r>
          </w:p>
          <w:p w14:paraId="77732A46" w14:textId="77777777" w:rsidR="004B69F5" w:rsidRPr="00C105E5" w:rsidRDefault="004B69F5" w:rsidP="000D2CA8">
            <w:pPr>
              <w:spacing w:line="240" w:lineRule="auto"/>
              <w:rPr>
                <w:rFonts w:cs="Times New Roman"/>
                <w:sz w:val="20"/>
                <w:szCs w:val="20"/>
              </w:rPr>
            </w:pPr>
            <w:r>
              <w:rPr>
                <w:rFonts w:cs="Times New Roman"/>
                <w:sz w:val="20"/>
                <w:szCs w:val="20"/>
              </w:rPr>
              <w:t>Endozyme AW=36%</w:t>
            </w:r>
          </w:p>
          <w:p w14:paraId="1829C93A" w14:textId="77777777" w:rsidR="004B69F5" w:rsidRDefault="004B69F5" w:rsidP="000D2CA8">
            <w:pPr>
              <w:spacing w:line="240" w:lineRule="auto"/>
              <w:rPr>
                <w:rFonts w:cs="Times New Roman"/>
                <w:sz w:val="20"/>
                <w:szCs w:val="20"/>
              </w:rPr>
            </w:pPr>
            <w:r>
              <w:rPr>
                <w:rFonts w:cs="Times New Roman"/>
                <w:sz w:val="20"/>
                <w:szCs w:val="20"/>
              </w:rPr>
              <w:t>Enzol=4%</w:t>
            </w:r>
          </w:p>
          <w:p w14:paraId="16196B0C" w14:textId="77777777" w:rsidR="004B69F5" w:rsidRPr="00C105E5" w:rsidRDefault="004B69F5" w:rsidP="000D2CA8">
            <w:pPr>
              <w:spacing w:line="240" w:lineRule="auto"/>
              <w:rPr>
                <w:rFonts w:cs="Times New Roman"/>
                <w:sz w:val="20"/>
                <w:szCs w:val="20"/>
              </w:rPr>
            </w:pPr>
            <w:r>
              <w:rPr>
                <w:rFonts w:cs="Times New Roman"/>
                <w:sz w:val="20"/>
                <w:szCs w:val="20"/>
              </w:rPr>
              <w:t>Liquid 52= 17%</w:t>
            </w:r>
          </w:p>
        </w:tc>
      </w:tr>
      <w:tr w:rsidR="004B69F5" w:rsidRPr="00E05192" w14:paraId="6EFEEB6B" w14:textId="77777777" w:rsidTr="0015557F">
        <w:trPr>
          <w:trHeight w:val="896"/>
        </w:trPr>
        <w:tc>
          <w:tcPr>
            <w:tcW w:w="1160" w:type="dxa"/>
            <w:shd w:val="clear" w:color="auto" w:fill="FFFFFF" w:themeFill="background1"/>
          </w:tcPr>
          <w:p w14:paraId="0BA90D9D" w14:textId="5E4B3DCB" w:rsidR="004B69F5" w:rsidRPr="00E05192" w:rsidRDefault="004B69F5" w:rsidP="0076576E">
            <w:pPr>
              <w:spacing w:line="240" w:lineRule="auto"/>
              <w:rPr>
                <w:rFonts w:cs="Times New Roman"/>
                <w:sz w:val="20"/>
                <w:szCs w:val="20"/>
              </w:rPr>
            </w:pPr>
            <w:r w:rsidRPr="00E05192">
              <w:rPr>
                <w:rFonts w:cs="Times New Roman"/>
                <w:sz w:val="20"/>
                <w:szCs w:val="20"/>
              </w:rPr>
              <w:t>Howlin 2010</w:t>
            </w:r>
            <w:r w:rsidR="003A0D62">
              <w:rPr>
                <w:rFonts w:cs="Times New Roman"/>
                <w:sz w:val="20"/>
                <w:szCs w:val="20"/>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sz w:val="20"/>
                <w:szCs w:val="20"/>
              </w:rPr>
              <w:instrText xml:space="preserve"> ADDIN EN.CITE </w:instrText>
            </w:r>
            <w:r w:rsidR="0076576E">
              <w:rPr>
                <w:rFonts w:cs="Times New Roman"/>
                <w:sz w:val="20"/>
                <w:szCs w:val="20"/>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sz w:val="20"/>
                <w:szCs w:val="20"/>
              </w:rPr>
              <w:instrText xml:space="preserve"> ADDIN EN.CITE.DATA </w:instrText>
            </w:r>
            <w:r w:rsidR="0076576E">
              <w:rPr>
                <w:rFonts w:cs="Times New Roman"/>
                <w:sz w:val="20"/>
                <w:szCs w:val="20"/>
              </w:rPr>
            </w:r>
            <w:r w:rsidR="0076576E">
              <w:rPr>
                <w:rFonts w:cs="Times New Roman"/>
                <w:sz w:val="20"/>
                <w:szCs w:val="20"/>
              </w:rPr>
              <w:fldChar w:fldCharType="end"/>
            </w:r>
            <w:r w:rsidR="003A0D62">
              <w:rPr>
                <w:rFonts w:cs="Times New Roman"/>
                <w:sz w:val="20"/>
                <w:szCs w:val="20"/>
              </w:rPr>
            </w:r>
            <w:r w:rsidR="003A0D62">
              <w:rPr>
                <w:rFonts w:cs="Times New Roman"/>
                <w:sz w:val="20"/>
                <w:szCs w:val="20"/>
              </w:rPr>
              <w:fldChar w:fldCharType="separate"/>
            </w:r>
            <w:r w:rsidR="0076576E" w:rsidRPr="0076576E">
              <w:rPr>
                <w:rFonts w:cs="Times New Roman"/>
                <w:noProof/>
                <w:sz w:val="20"/>
                <w:szCs w:val="20"/>
                <w:vertAlign w:val="superscript"/>
              </w:rPr>
              <w:t>178</w:t>
            </w:r>
            <w:r w:rsidR="003A0D62">
              <w:rPr>
                <w:rFonts w:cs="Times New Roman"/>
                <w:sz w:val="20"/>
                <w:szCs w:val="20"/>
              </w:rPr>
              <w:fldChar w:fldCharType="end"/>
            </w:r>
          </w:p>
        </w:tc>
        <w:tc>
          <w:tcPr>
            <w:tcW w:w="939" w:type="dxa"/>
          </w:tcPr>
          <w:p w14:paraId="6F7BEF63" w14:textId="77777777" w:rsidR="004B69F5" w:rsidRPr="00E05192" w:rsidRDefault="004B69F5" w:rsidP="000D2CA8">
            <w:pPr>
              <w:spacing w:line="240" w:lineRule="auto"/>
              <w:rPr>
                <w:rFonts w:cs="Times New Roman"/>
                <w:sz w:val="20"/>
                <w:szCs w:val="20"/>
              </w:rPr>
            </w:pPr>
            <w:r>
              <w:rPr>
                <w:rFonts w:cs="Times New Roman"/>
                <w:sz w:val="20"/>
                <w:szCs w:val="20"/>
              </w:rPr>
              <w:t>UK</w:t>
            </w:r>
          </w:p>
        </w:tc>
        <w:tc>
          <w:tcPr>
            <w:tcW w:w="1116" w:type="dxa"/>
          </w:tcPr>
          <w:p w14:paraId="009BA161" w14:textId="77777777" w:rsidR="004B69F5" w:rsidRPr="007F0131" w:rsidRDefault="004B69F5" w:rsidP="000D2CA8">
            <w:pPr>
              <w:spacing w:line="240" w:lineRule="auto"/>
              <w:rPr>
                <w:rFonts w:cs="Times New Roman"/>
                <w:sz w:val="20"/>
                <w:szCs w:val="20"/>
              </w:rPr>
            </w:pPr>
            <w:r>
              <w:rPr>
                <w:rFonts w:cs="Times New Roman"/>
                <w:sz w:val="20"/>
                <w:szCs w:val="20"/>
              </w:rPr>
              <w:t>1µL</w:t>
            </w:r>
            <w:r w:rsidRPr="007F0131">
              <w:rPr>
                <w:rFonts w:cs="Times New Roman"/>
                <w:sz w:val="20"/>
                <w:szCs w:val="20"/>
              </w:rPr>
              <w:t xml:space="preserve"> drops of ME7-infected BH </w:t>
            </w:r>
          </w:p>
        </w:tc>
        <w:tc>
          <w:tcPr>
            <w:tcW w:w="959" w:type="dxa"/>
          </w:tcPr>
          <w:p w14:paraId="6D8AB5D1"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Surgical 316L grade SS wires (5mm x 0.16mm)</w:t>
            </w:r>
          </w:p>
        </w:tc>
        <w:tc>
          <w:tcPr>
            <w:tcW w:w="1141" w:type="dxa"/>
            <w:shd w:val="clear" w:color="auto" w:fill="FFFFFF" w:themeFill="background1"/>
          </w:tcPr>
          <w:p w14:paraId="7D6DF9E0" w14:textId="77777777" w:rsidR="004B69F5" w:rsidRDefault="004B69F5" w:rsidP="000D2CA8">
            <w:pPr>
              <w:spacing w:line="240" w:lineRule="auto"/>
              <w:rPr>
                <w:rFonts w:cs="Times New Roman"/>
                <w:sz w:val="20"/>
                <w:szCs w:val="20"/>
              </w:rPr>
            </w:pPr>
            <w:r>
              <w:rPr>
                <w:rFonts w:cs="Times New Roman"/>
                <w:sz w:val="20"/>
                <w:szCs w:val="20"/>
              </w:rPr>
              <w:t>Klenzyme;</w:t>
            </w:r>
          </w:p>
          <w:p w14:paraId="7F1801C7" w14:textId="77777777" w:rsidR="004B69F5" w:rsidRPr="00E05192" w:rsidRDefault="004B69F5" w:rsidP="000D2CA8">
            <w:pPr>
              <w:spacing w:line="240" w:lineRule="auto"/>
              <w:rPr>
                <w:rFonts w:cs="Times New Roman"/>
                <w:sz w:val="20"/>
                <w:szCs w:val="20"/>
              </w:rPr>
            </w:pPr>
            <w:r>
              <w:rPr>
                <w:rFonts w:cs="Times New Roman"/>
                <w:sz w:val="20"/>
                <w:szCs w:val="20"/>
              </w:rPr>
              <w:t>Pre-Klenz (pre-soak gel)</w:t>
            </w:r>
          </w:p>
        </w:tc>
        <w:tc>
          <w:tcPr>
            <w:tcW w:w="1289" w:type="dxa"/>
            <w:shd w:val="clear" w:color="auto" w:fill="FFFFFF" w:themeFill="background1"/>
          </w:tcPr>
          <w:p w14:paraId="570935CA" w14:textId="77777777" w:rsidR="004B69F5" w:rsidRDefault="004B69F5" w:rsidP="000D2CA8">
            <w:pPr>
              <w:spacing w:line="240" w:lineRule="auto"/>
              <w:rPr>
                <w:rFonts w:cs="Times New Roman"/>
                <w:sz w:val="20"/>
                <w:szCs w:val="20"/>
                <w:lang w:val="en"/>
              </w:rPr>
            </w:pPr>
            <w:r>
              <w:rPr>
                <w:rFonts w:cs="Times New Roman"/>
                <w:sz w:val="20"/>
                <w:szCs w:val="20"/>
                <w:lang w:val="en"/>
              </w:rPr>
              <w:t>Western blot</w:t>
            </w:r>
          </w:p>
          <w:p w14:paraId="17616206" w14:textId="77777777" w:rsidR="004B69F5" w:rsidRDefault="004B69F5" w:rsidP="000D2CA8">
            <w:pPr>
              <w:spacing w:line="240" w:lineRule="auto"/>
              <w:rPr>
                <w:rFonts w:cs="Times New Roman"/>
                <w:sz w:val="20"/>
                <w:szCs w:val="20"/>
                <w:lang w:val="en"/>
              </w:rPr>
            </w:pPr>
          </w:p>
          <w:p w14:paraId="0DFA3947" w14:textId="77777777" w:rsidR="004B69F5" w:rsidRPr="00E05192" w:rsidRDefault="004B69F5" w:rsidP="000D2CA8">
            <w:pPr>
              <w:spacing w:line="240" w:lineRule="auto"/>
              <w:rPr>
                <w:rFonts w:cs="Times New Roman"/>
                <w:sz w:val="20"/>
                <w:szCs w:val="20"/>
                <w:lang w:val="en"/>
              </w:rPr>
            </w:pPr>
            <w:r w:rsidRPr="00F01631">
              <w:rPr>
                <w:rFonts w:cs="Times New Roman"/>
                <w:i/>
                <w:sz w:val="20"/>
                <w:szCs w:val="20"/>
                <w:lang w:val="en"/>
              </w:rPr>
              <w:t>In situ</w:t>
            </w:r>
            <w:r>
              <w:rPr>
                <w:rFonts w:cs="Times New Roman"/>
                <w:sz w:val="20"/>
                <w:szCs w:val="20"/>
              </w:rPr>
              <w:t>§</w:t>
            </w:r>
          </w:p>
        </w:tc>
        <w:tc>
          <w:tcPr>
            <w:tcW w:w="1442" w:type="dxa"/>
            <w:shd w:val="clear" w:color="auto" w:fill="FFFFFF" w:themeFill="background1"/>
          </w:tcPr>
          <w:p w14:paraId="53741C01" w14:textId="77777777" w:rsidR="004B69F5" w:rsidRDefault="004B69F5" w:rsidP="000D2CA8">
            <w:pPr>
              <w:spacing w:line="240" w:lineRule="auto"/>
              <w:rPr>
                <w:rFonts w:cs="Times New Roman"/>
                <w:sz w:val="20"/>
                <w:szCs w:val="20"/>
              </w:rPr>
            </w:pPr>
            <w:r>
              <w:rPr>
                <w:rFonts w:cs="Times New Roman"/>
                <w:sz w:val="20"/>
                <w:szCs w:val="20"/>
              </w:rPr>
              <w:t>DT=16h followed by pre-treatments</w:t>
            </w:r>
          </w:p>
          <w:p w14:paraId="28632995" w14:textId="77777777" w:rsidR="004B69F5" w:rsidRDefault="004B69F5" w:rsidP="000D2CA8">
            <w:pPr>
              <w:spacing w:line="240" w:lineRule="auto"/>
              <w:rPr>
                <w:rFonts w:cs="Times New Roman"/>
                <w:sz w:val="20"/>
                <w:szCs w:val="20"/>
              </w:rPr>
            </w:pPr>
          </w:p>
        </w:tc>
        <w:tc>
          <w:tcPr>
            <w:tcW w:w="1843" w:type="dxa"/>
            <w:shd w:val="clear" w:color="auto" w:fill="FFFFFF" w:themeFill="background1"/>
          </w:tcPr>
          <w:p w14:paraId="7F3EFD16" w14:textId="77777777" w:rsidR="004B69F5" w:rsidRPr="00E05192" w:rsidRDefault="004B69F5" w:rsidP="000D2CA8">
            <w:pPr>
              <w:spacing w:line="240" w:lineRule="auto"/>
              <w:rPr>
                <w:rFonts w:cs="Times New Roman"/>
                <w:sz w:val="20"/>
                <w:szCs w:val="20"/>
              </w:rPr>
            </w:pPr>
            <w:r>
              <w:rPr>
                <w:rFonts w:cs="Times New Roman"/>
                <w:sz w:val="20"/>
                <w:szCs w:val="20"/>
              </w:rPr>
              <w:t>DT = 0h (immediate treatment)</w:t>
            </w:r>
          </w:p>
        </w:tc>
        <w:tc>
          <w:tcPr>
            <w:tcW w:w="4678" w:type="dxa"/>
            <w:gridSpan w:val="2"/>
            <w:shd w:val="clear" w:color="auto" w:fill="FFFFFF" w:themeFill="background1"/>
          </w:tcPr>
          <w:p w14:paraId="2E802B88" w14:textId="77777777" w:rsidR="004B69F5" w:rsidRDefault="004B69F5" w:rsidP="000D2CA8">
            <w:pPr>
              <w:spacing w:line="240" w:lineRule="auto"/>
              <w:rPr>
                <w:rFonts w:cs="Times New Roman"/>
                <w:sz w:val="20"/>
                <w:szCs w:val="20"/>
                <w:lang w:val="en"/>
              </w:rPr>
            </w:pPr>
            <w:r>
              <w:rPr>
                <w:rFonts w:cs="Times New Roman"/>
                <w:sz w:val="20"/>
                <w:szCs w:val="20"/>
                <w:lang w:val="en"/>
              </w:rPr>
              <w:t>Total protein removal (ng/mm</w:t>
            </w:r>
            <w:r w:rsidRPr="001A54C8">
              <w:rPr>
                <w:rFonts w:cs="Times New Roman"/>
                <w:sz w:val="20"/>
                <w:szCs w:val="20"/>
                <w:vertAlign w:val="superscript"/>
                <w:lang w:val="en"/>
              </w:rPr>
              <w:t>2</w:t>
            </w:r>
            <w:r>
              <w:rPr>
                <w:rFonts w:cs="Times New Roman"/>
                <w:sz w:val="20"/>
                <w:szCs w:val="20"/>
                <w:lang w:val="en"/>
              </w:rPr>
              <w:t>):</w:t>
            </w:r>
          </w:p>
          <w:p w14:paraId="0612C186" w14:textId="77777777" w:rsidR="004B69F5" w:rsidRDefault="004B69F5" w:rsidP="000D2CA8">
            <w:pPr>
              <w:spacing w:line="240" w:lineRule="auto"/>
              <w:rPr>
                <w:rFonts w:cs="Times New Roman"/>
                <w:sz w:val="20"/>
                <w:szCs w:val="20"/>
                <w:lang w:val="en"/>
              </w:rPr>
            </w:pPr>
          </w:p>
          <w:p w14:paraId="1896DF3D" w14:textId="77777777" w:rsidR="004B69F5" w:rsidRPr="00E05192" w:rsidRDefault="004B69F5" w:rsidP="000D2CA8">
            <w:pPr>
              <w:spacing w:line="240" w:lineRule="auto"/>
              <w:rPr>
                <w:rFonts w:cs="Times New Roman"/>
                <w:sz w:val="20"/>
                <w:szCs w:val="20"/>
                <w:lang w:val="en"/>
              </w:rPr>
            </w:pPr>
            <w:r>
              <w:rPr>
                <w:rFonts w:cs="Times New Roman"/>
                <w:sz w:val="20"/>
                <w:szCs w:val="20"/>
                <w:lang w:val="en"/>
              </w:rPr>
              <w:t>Immediate treatment with Pre-Klenz, produced a 2 log reduction compared with ‘dry’ controls</w:t>
            </w:r>
          </w:p>
        </w:tc>
      </w:tr>
      <w:tr w:rsidR="004B69F5" w:rsidRPr="00E05192" w14:paraId="07C39BF3" w14:textId="77777777" w:rsidTr="0015557F">
        <w:trPr>
          <w:trHeight w:val="600"/>
        </w:trPr>
        <w:tc>
          <w:tcPr>
            <w:tcW w:w="1160" w:type="dxa"/>
            <w:shd w:val="clear" w:color="auto" w:fill="FFFFFF" w:themeFill="background1"/>
          </w:tcPr>
          <w:p w14:paraId="449A53EB" w14:textId="169024CC" w:rsidR="004B69F5" w:rsidRDefault="004B69F5" w:rsidP="000D2CA8">
            <w:pPr>
              <w:spacing w:line="240" w:lineRule="auto"/>
              <w:rPr>
                <w:rFonts w:cs="Times New Roman"/>
                <w:sz w:val="20"/>
                <w:szCs w:val="20"/>
              </w:rPr>
            </w:pPr>
            <w:r>
              <w:rPr>
                <w:rFonts w:cs="Times New Roman"/>
                <w:sz w:val="20"/>
                <w:szCs w:val="20"/>
              </w:rPr>
              <w:t>Secker 2011</w:t>
            </w:r>
            <w:r w:rsidR="003A0D62">
              <w:rPr>
                <w:rFonts w:cs="Times New Roman"/>
                <w:sz w:val="20"/>
                <w:szCs w:val="20"/>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sz w:val="20"/>
                <w:szCs w:val="20"/>
              </w:rPr>
              <w:instrText xml:space="preserve"> ADDIN EN.CITE </w:instrText>
            </w:r>
            <w:r w:rsidR="0076576E">
              <w:rPr>
                <w:rFonts w:cs="Times New Roman"/>
                <w:sz w:val="20"/>
                <w:szCs w:val="20"/>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sz w:val="20"/>
                <w:szCs w:val="20"/>
              </w:rPr>
              <w:instrText xml:space="preserve"> ADDIN EN.CITE.DATA </w:instrText>
            </w:r>
            <w:r w:rsidR="0076576E">
              <w:rPr>
                <w:rFonts w:cs="Times New Roman"/>
                <w:sz w:val="20"/>
                <w:szCs w:val="20"/>
              </w:rPr>
            </w:r>
            <w:r w:rsidR="0076576E">
              <w:rPr>
                <w:rFonts w:cs="Times New Roman"/>
                <w:sz w:val="20"/>
                <w:szCs w:val="20"/>
              </w:rPr>
              <w:fldChar w:fldCharType="end"/>
            </w:r>
            <w:r w:rsidR="003A0D62">
              <w:rPr>
                <w:rFonts w:cs="Times New Roman"/>
                <w:sz w:val="20"/>
                <w:szCs w:val="20"/>
              </w:rPr>
            </w:r>
            <w:r w:rsidR="003A0D62">
              <w:rPr>
                <w:rFonts w:cs="Times New Roman"/>
                <w:sz w:val="20"/>
                <w:szCs w:val="20"/>
              </w:rPr>
              <w:fldChar w:fldCharType="separate"/>
            </w:r>
            <w:r w:rsidR="0076576E" w:rsidRPr="0076576E">
              <w:rPr>
                <w:rFonts w:cs="Times New Roman"/>
                <w:noProof/>
                <w:sz w:val="20"/>
                <w:szCs w:val="20"/>
                <w:vertAlign w:val="superscript"/>
              </w:rPr>
              <w:t>195</w:t>
            </w:r>
            <w:r w:rsidR="003A0D62">
              <w:rPr>
                <w:rFonts w:cs="Times New Roman"/>
                <w:sz w:val="20"/>
                <w:szCs w:val="20"/>
              </w:rPr>
              <w:fldChar w:fldCharType="end"/>
            </w:r>
            <w:r>
              <w:rPr>
                <w:rFonts w:cs="Times New Roman"/>
                <w:sz w:val="20"/>
                <w:szCs w:val="20"/>
              </w:rPr>
              <w:t>*</w:t>
            </w:r>
          </w:p>
          <w:p w14:paraId="6F92355C" w14:textId="77777777" w:rsidR="004B69F5" w:rsidRDefault="004B69F5" w:rsidP="000D2CA8">
            <w:pPr>
              <w:spacing w:line="240" w:lineRule="auto"/>
              <w:rPr>
                <w:rFonts w:cs="Times New Roman"/>
                <w:sz w:val="20"/>
                <w:szCs w:val="20"/>
              </w:rPr>
            </w:pPr>
          </w:p>
          <w:p w14:paraId="57160634" w14:textId="77777777" w:rsidR="004B69F5" w:rsidRDefault="004B69F5" w:rsidP="000D2CA8">
            <w:pPr>
              <w:spacing w:line="240" w:lineRule="auto"/>
              <w:rPr>
                <w:rFonts w:cs="Times New Roman"/>
                <w:sz w:val="20"/>
                <w:szCs w:val="20"/>
              </w:rPr>
            </w:pPr>
          </w:p>
          <w:p w14:paraId="02F8D56E" w14:textId="77777777" w:rsidR="004B69F5" w:rsidRDefault="004B69F5" w:rsidP="000D2CA8">
            <w:pPr>
              <w:spacing w:line="240" w:lineRule="auto"/>
              <w:rPr>
                <w:rFonts w:cs="Times New Roman"/>
                <w:sz w:val="20"/>
                <w:szCs w:val="20"/>
              </w:rPr>
            </w:pPr>
          </w:p>
          <w:p w14:paraId="1F209CF4" w14:textId="77777777" w:rsidR="004B69F5" w:rsidRDefault="004B69F5" w:rsidP="000D2CA8">
            <w:pPr>
              <w:spacing w:line="240" w:lineRule="auto"/>
              <w:rPr>
                <w:rFonts w:cs="Times New Roman"/>
                <w:sz w:val="20"/>
                <w:szCs w:val="20"/>
              </w:rPr>
            </w:pPr>
          </w:p>
          <w:p w14:paraId="4131F4C4" w14:textId="77777777" w:rsidR="004B69F5" w:rsidRDefault="004B69F5" w:rsidP="000D2CA8">
            <w:pPr>
              <w:spacing w:line="240" w:lineRule="auto"/>
              <w:rPr>
                <w:rFonts w:cs="Times New Roman"/>
                <w:sz w:val="20"/>
                <w:szCs w:val="20"/>
              </w:rPr>
            </w:pPr>
          </w:p>
          <w:p w14:paraId="3487CF8E" w14:textId="77777777" w:rsidR="004B69F5" w:rsidRDefault="004B69F5" w:rsidP="000D2CA8">
            <w:pPr>
              <w:spacing w:line="240" w:lineRule="auto"/>
              <w:rPr>
                <w:rFonts w:cs="Times New Roman"/>
                <w:sz w:val="20"/>
                <w:szCs w:val="20"/>
              </w:rPr>
            </w:pPr>
          </w:p>
          <w:p w14:paraId="593257F2" w14:textId="77777777" w:rsidR="004B69F5" w:rsidRDefault="004B69F5" w:rsidP="000D2CA8">
            <w:pPr>
              <w:spacing w:line="240" w:lineRule="auto"/>
              <w:rPr>
                <w:rFonts w:cs="Times New Roman"/>
                <w:sz w:val="20"/>
                <w:szCs w:val="20"/>
              </w:rPr>
            </w:pPr>
          </w:p>
          <w:p w14:paraId="7B64C530" w14:textId="77777777" w:rsidR="004B69F5" w:rsidRDefault="004B69F5" w:rsidP="000D2CA8">
            <w:pPr>
              <w:spacing w:line="240" w:lineRule="auto"/>
              <w:rPr>
                <w:rFonts w:cs="Times New Roman"/>
                <w:sz w:val="20"/>
                <w:szCs w:val="20"/>
              </w:rPr>
            </w:pPr>
          </w:p>
          <w:p w14:paraId="63EDC051" w14:textId="77777777" w:rsidR="004B69F5" w:rsidRDefault="004B69F5" w:rsidP="000D2CA8">
            <w:pPr>
              <w:spacing w:line="240" w:lineRule="auto"/>
              <w:rPr>
                <w:rFonts w:cs="Times New Roman"/>
                <w:sz w:val="20"/>
                <w:szCs w:val="20"/>
              </w:rPr>
            </w:pPr>
          </w:p>
          <w:p w14:paraId="32F7C343" w14:textId="77777777" w:rsidR="004B69F5" w:rsidRDefault="004B69F5" w:rsidP="000D2CA8">
            <w:pPr>
              <w:spacing w:line="240" w:lineRule="auto"/>
              <w:rPr>
                <w:rFonts w:cs="Times New Roman"/>
                <w:sz w:val="20"/>
                <w:szCs w:val="20"/>
              </w:rPr>
            </w:pPr>
          </w:p>
          <w:p w14:paraId="660AA107" w14:textId="77777777" w:rsidR="004B69F5" w:rsidRDefault="004B69F5" w:rsidP="000D2CA8">
            <w:pPr>
              <w:spacing w:line="240" w:lineRule="auto"/>
              <w:rPr>
                <w:rFonts w:cs="Times New Roman"/>
                <w:sz w:val="20"/>
                <w:szCs w:val="20"/>
              </w:rPr>
            </w:pPr>
          </w:p>
          <w:p w14:paraId="40D07285" w14:textId="77777777" w:rsidR="004B69F5" w:rsidRDefault="004B69F5" w:rsidP="000D2CA8">
            <w:pPr>
              <w:spacing w:line="240" w:lineRule="auto"/>
              <w:rPr>
                <w:rFonts w:cs="Times New Roman"/>
                <w:sz w:val="20"/>
                <w:szCs w:val="20"/>
              </w:rPr>
            </w:pPr>
          </w:p>
          <w:p w14:paraId="17C61E27" w14:textId="77777777" w:rsidR="004B69F5" w:rsidRDefault="004B69F5" w:rsidP="000D2CA8">
            <w:pPr>
              <w:spacing w:line="240" w:lineRule="auto"/>
              <w:rPr>
                <w:rFonts w:cs="Times New Roman"/>
                <w:sz w:val="20"/>
                <w:szCs w:val="20"/>
              </w:rPr>
            </w:pPr>
          </w:p>
          <w:p w14:paraId="267F7CBC" w14:textId="77777777" w:rsidR="004B69F5" w:rsidRPr="00E05192" w:rsidRDefault="004B69F5" w:rsidP="000D2CA8">
            <w:pPr>
              <w:spacing w:line="240" w:lineRule="auto"/>
              <w:rPr>
                <w:rFonts w:cs="Times New Roman"/>
                <w:sz w:val="20"/>
                <w:szCs w:val="20"/>
              </w:rPr>
            </w:pPr>
          </w:p>
        </w:tc>
        <w:tc>
          <w:tcPr>
            <w:tcW w:w="939" w:type="dxa"/>
          </w:tcPr>
          <w:p w14:paraId="03E1057A" w14:textId="77777777" w:rsidR="004B69F5" w:rsidRPr="00E05192" w:rsidRDefault="004B69F5" w:rsidP="000D2CA8">
            <w:pPr>
              <w:spacing w:line="240" w:lineRule="auto"/>
              <w:rPr>
                <w:rFonts w:cs="Times New Roman"/>
                <w:sz w:val="20"/>
                <w:szCs w:val="20"/>
              </w:rPr>
            </w:pPr>
            <w:r>
              <w:rPr>
                <w:rFonts w:cs="Times New Roman"/>
                <w:sz w:val="20"/>
                <w:szCs w:val="20"/>
              </w:rPr>
              <w:t>UK</w:t>
            </w:r>
          </w:p>
        </w:tc>
        <w:tc>
          <w:tcPr>
            <w:tcW w:w="1116" w:type="dxa"/>
          </w:tcPr>
          <w:p w14:paraId="6A9BD03E" w14:textId="77777777" w:rsidR="004B69F5" w:rsidRPr="007F0131" w:rsidRDefault="004B69F5" w:rsidP="000D2CA8">
            <w:pPr>
              <w:spacing w:line="240" w:lineRule="auto"/>
              <w:rPr>
                <w:rFonts w:cs="Times New Roman"/>
                <w:sz w:val="20"/>
                <w:szCs w:val="20"/>
              </w:rPr>
            </w:pPr>
            <w:r>
              <w:rPr>
                <w:rFonts w:cs="Times New Roman"/>
                <w:sz w:val="20"/>
                <w:szCs w:val="20"/>
              </w:rPr>
              <w:t xml:space="preserve">1µL </w:t>
            </w:r>
            <w:r w:rsidRPr="007F0131">
              <w:rPr>
                <w:rFonts w:cs="Times New Roman"/>
                <w:sz w:val="20"/>
                <w:szCs w:val="20"/>
              </w:rPr>
              <w:t xml:space="preserve">drops of ME7-infected BH </w:t>
            </w:r>
          </w:p>
        </w:tc>
        <w:tc>
          <w:tcPr>
            <w:tcW w:w="959" w:type="dxa"/>
          </w:tcPr>
          <w:p w14:paraId="7690B9D4"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Surgical 316L grade SS tokens (25mm x 75mm)</w:t>
            </w:r>
          </w:p>
        </w:tc>
        <w:tc>
          <w:tcPr>
            <w:tcW w:w="1141" w:type="dxa"/>
            <w:shd w:val="clear" w:color="auto" w:fill="FFFFFF" w:themeFill="background1"/>
          </w:tcPr>
          <w:p w14:paraId="2935FC05" w14:textId="77777777" w:rsidR="004B69F5" w:rsidRDefault="004B69F5" w:rsidP="000D2CA8">
            <w:pPr>
              <w:spacing w:line="240" w:lineRule="auto"/>
              <w:rPr>
                <w:rFonts w:cs="Times New Roman"/>
                <w:sz w:val="20"/>
                <w:szCs w:val="20"/>
              </w:rPr>
            </w:pPr>
            <w:r>
              <w:rPr>
                <w:rFonts w:cs="Times New Roman"/>
                <w:sz w:val="20"/>
                <w:szCs w:val="20"/>
              </w:rPr>
              <w:t>Klenzyme;</w:t>
            </w:r>
          </w:p>
          <w:p w14:paraId="171204FD" w14:textId="77777777" w:rsidR="004B69F5" w:rsidRPr="00E05192" w:rsidRDefault="004B69F5" w:rsidP="000D2CA8">
            <w:pPr>
              <w:spacing w:line="240" w:lineRule="auto"/>
              <w:rPr>
                <w:rFonts w:cs="Times New Roman"/>
                <w:sz w:val="20"/>
                <w:szCs w:val="20"/>
              </w:rPr>
            </w:pPr>
            <w:r>
              <w:rPr>
                <w:rFonts w:cs="Times New Roman"/>
                <w:sz w:val="20"/>
                <w:szCs w:val="20"/>
              </w:rPr>
              <w:t>Endozime</w:t>
            </w:r>
          </w:p>
        </w:tc>
        <w:tc>
          <w:tcPr>
            <w:tcW w:w="1289" w:type="dxa"/>
            <w:shd w:val="clear" w:color="auto" w:fill="FFFFFF" w:themeFill="background1"/>
          </w:tcPr>
          <w:p w14:paraId="29562817" w14:textId="77777777" w:rsidR="004B69F5" w:rsidRDefault="004B69F5" w:rsidP="000D2CA8">
            <w:pPr>
              <w:spacing w:line="240" w:lineRule="auto"/>
              <w:rPr>
                <w:rFonts w:cs="Times New Roman"/>
                <w:sz w:val="20"/>
                <w:szCs w:val="20"/>
                <w:lang w:val="en"/>
              </w:rPr>
            </w:pPr>
            <w:r>
              <w:rPr>
                <w:rFonts w:cs="Times New Roman"/>
                <w:sz w:val="20"/>
                <w:szCs w:val="20"/>
                <w:lang w:val="en"/>
              </w:rPr>
              <w:t xml:space="preserve">SYPOR Ruby and Thioflavin T, </w:t>
            </w:r>
            <w:r w:rsidRPr="00E05192">
              <w:rPr>
                <w:rFonts w:cs="Times New Roman"/>
                <w:sz w:val="20"/>
                <w:szCs w:val="20"/>
                <w:lang w:val="en"/>
              </w:rPr>
              <w:t>EDIC/EF microscopy</w:t>
            </w:r>
          </w:p>
          <w:p w14:paraId="694CCD73" w14:textId="77777777" w:rsidR="004B69F5" w:rsidRDefault="004B69F5" w:rsidP="000D2CA8">
            <w:pPr>
              <w:spacing w:line="240" w:lineRule="auto"/>
              <w:rPr>
                <w:rFonts w:cs="Times New Roman"/>
                <w:sz w:val="20"/>
                <w:szCs w:val="20"/>
                <w:lang w:val="en"/>
              </w:rPr>
            </w:pPr>
          </w:p>
          <w:p w14:paraId="42729F7A" w14:textId="77777777" w:rsidR="004B69F5" w:rsidRPr="00F01631" w:rsidRDefault="004B69F5" w:rsidP="000D2CA8">
            <w:pPr>
              <w:spacing w:line="240" w:lineRule="auto"/>
              <w:rPr>
                <w:rFonts w:cs="Times New Roman"/>
                <w:sz w:val="20"/>
                <w:szCs w:val="20"/>
                <w:lang w:val="en"/>
              </w:rPr>
            </w:pPr>
            <w:r w:rsidRPr="00F01631">
              <w:rPr>
                <w:rFonts w:cs="Times New Roman"/>
                <w:i/>
                <w:sz w:val="20"/>
                <w:szCs w:val="20"/>
                <w:lang w:val="en"/>
              </w:rPr>
              <w:t>In situ</w:t>
            </w:r>
            <w:r>
              <w:rPr>
                <w:rFonts w:cs="Times New Roman"/>
                <w:sz w:val="20"/>
                <w:szCs w:val="20"/>
              </w:rPr>
              <w:t>§</w:t>
            </w:r>
          </w:p>
        </w:tc>
        <w:tc>
          <w:tcPr>
            <w:tcW w:w="1442" w:type="dxa"/>
            <w:shd w:val="clear" w:color="auto" w:fill="FFFFFF" w:themeFill="background1"/>
          </w:tcPr>
          <w:p w14:paraId="425CD7F9" w14:textId="77777777" w:rsidR="004B69F5" w:rsidRDefault="004B69F5" w:rsidP="000D2CA8">
            <w:pPr>
              <w:spacing w:line="240" w:lineRule="auto"/>
              <w:rPr>
                <w:rFonts w:cs="Times New Roman"/>
                <w:sz w:val="20"/>
                <w:szCs w:val="20"/>
              </w:rPr>
            </w:pPr>
            <w:r>
              <w:rPr>
                <w:rFonts w:cs="Times New Roman"/>
                <w:sz w:val="20"/>
                <w:szCs w:val="20"/>
              </w:rPr>
              <w:t>DT=24h</w:t>
            </w:r>
          </w:p>
          <w:p w14:paraId="7ED63E53" w14:textId="77777777" w:rsidR="004B69F5" w:rsidRDefault="004B69F5" w:rsidP="000D2CA8">
            <w:pPr>
              <w:spacing w:line="240" w:lineRule="auto"/>
              <w:rPr>
                <w:rFonts w:cs="Times New Roman"/>
                <w:sz w:val="20"/>
                <w:szCs w:val="20"/>
              </w:rPr>
            </w:pPr>
            <w:r>
              <w:rPr>
                <w:rFonts w:cs="Times New Roman"/>
                <w:sz w:val="20"/>
                <w:szCs w:val="20"/>
              </w:rPr>
              <w:t>Air</w:t>
            </w:r>
          </w:p>
          <w:p w14:paraId="7C21F24E" w14:textId="77777777" w:rsidR="004B69F5" w:rsidRDefault="004B69F5" w:rsidP="000D2CA8">
            <w:pPr>
              <w:spacing w:line="240" w:lineRule="auto"/>
              <w:rPr>
                <w:rFonts w:cs="Times New Roman"/>
                <w:sz w:val="20"/>
                <w:szCs w:val="20"/>
              </w:rPr>
            </w:pPr>
            <w:r>
              <w:rPr>
                <w:rFonts w:cs="Times New Roman"/>
                <w:sz w:val="20"/>
                <w:szCs w:val="20"/>
              </w:rPr>
              <w:t>RT or F (4</w:t>
            </w:r>
            <w:r w:rsidRPr="00712AF5">
              <w:rPr>
                <w:rFonts w:cs="Times New Roman"/>
                <w:sz w:val="20"/>
                <w:szCs w:val="20"/>
                <w:vertAlign w:val="superscript"/>
              </w:rPr>
              <w:t>o</w:t>
            </w:r>
            <w:r>
              <w:rPr>
                <w:rFonts w:cs="Times New Roman"/>
                <w:sz w:val="20"/>
                <w:szCs w:val="20"/>
              </w:rPr>
              <w:t>C-8</w:t>
            </w:r>
            <w:r w:rsidRPr="00712AF5">
              <w:rPr>
                <w:rFonts w:cs="Times New Roman"/>
                <w:sz w:val="20"/>
                <w:szCs w:val="20"/>
                <w:vertAlign w:val="superscript"/>
              </w:rPr>
              <w:t>o</w:t>
            </w:r>
            <w:r>
              <w:rPr>
                <w:rFonts w:cs="Times New Roman"/>
                <w:sz w:val="20"/>
                <w:szCs w:val="20"/>
              </w:rPr>
              <w:t>C)</w:t>
            </w:r>
          </w:p>
        </w:tc>
        <w:tc>
          <w:tcPr>
            <w:tcW w:w="1843" w:type="dxa"/>
            <w:shd w:val="clear" w:color="auto" w:fill="FFFFFF" w:themeFill="background1"/>
          </w:tcPr>
          <w:p w14:paraId="3D5999CA" w14:textId="77777777" w:rsidR="004B69F5" w:rsidRDefault="004B69F5" w:rsidP="000D2CA8">
            <w:pPr>
              <w:spacing w:line="240" w:lineRule="auto"/>
              <w:rPr>
                <w:rFonts w:cs="Times New Roman"/>
                <w:sz w:val="20"/>
                <w:szCs w:val="20"/>
              </w:rPr>
            </w:pPr>
            <w:r>
              <w:rPr>
                <w:rFonts w:cs="Times New Roman"/>
                <w:sz w:val="20"/>
                <w:szCs w:val="20"/>
              </w:rPr>
              <w:t>DT=24h</w:t>
            </w:r>
          </w:p>
          <w:p w14:paraId="316DB32D" w14:textId="77777777" w:rsidR="004B69F5" w:rsidRDefault="004B69F5" w:rsidP="000D2CA8">
            <w:pPr>
              <w:spacing w:line="240" w:lineRule="auto"/>
              <w:rPr>
                <w:rFonts w:cs="Times New Roman"/>
                <w:sz w:val="20"/>
                <w:szCs w:val="20"/>
              </w:rPr>
            </w:pPr>
            <w:r>
              <w:rPr>
                <w:rFonts w:cs="Times New Roman"/>
                <w:sz w:val="20"/>
                <w:szCs w:val="20"/>
              </w:rPr>
              <w:t>Moist: Air-tight container lined with moist tissue</w:t>
            </w:r>
          </w:p>
          <w:p w14:paraId="587F8230" w14:textId="77777777" w:rsidR="004B69F5" w:rsidRPr="00E05192" w:rsidRDefault="004B69F5" w:rsidP="000D2CA8">
            <w:pPr>
              <w:spacing w:line="240" w:lineRule="auto"/>
              <w:rPr>
                <w:rFonts w:cs="Times New Roman"/>
                <w:sz w:val="20"/>
                <w:szCs w:val="20"/>
              </w:rPr>
            </w:pPr>
            <w:r>
              <w:rPr>
                <w:rFonts w:cs="Times New Roman"/>
                <w:sz w:val="20"/>
                <w:szCs w:val="20"/>
              </w:rPr>
              <w:t>RT or F (4</w:t>
            </w:r>
            <w:r w:rsidRPr="00712AF5">
              <w:rPr>
                <w:rFonts w:cs="Times New Roman"/>
                <w:sz w:val="20"/>
                <w:szCs w:val="20"/>
                <w:vertAlign w:val="superscript"/>
              </w:rPr>
              <w:t>o</w:t>
            </w:r>
            <w:r>
              <w:rPr>
                <w:rFonts w:cs="Times New Roman"/>
                <w:sz w:val="20"/>
                <w:szCs w:val="20"/>
              </w:rPr>
              <w:t>C-8</w:t>
            </w:r>
            <w:r w:rsidRPr="00712AF5">
              <w:rPr>
                <w:rFonts w:cs="Times New Roman"/>
                <w:sz w:val="20"/>
                <w:szCs w:val="20"/>
                <w:vertAlign w:val="superscript"/>
              </w:rPr>
              <w:t>o</w:t>
            </w:r>
            <w:r>
              <w:rPr>
                <w:rFonts w:cs="Times New Roman"/>
                <w:sz w:val="20"/>
                <w:szCs w:val="20"/>
              </w:rPr>
              <w:t>C)</w:t>
            </w:r>
          </w:p>
        </w:tc>
        <w:tc>
          <w:tcPr>
            <w:tcW w:w="2410" w:type="dxa"/>
            <w:shd w:val="clear" w:color="auto" w:fill="FFFFFF" w:themeFill="background1"/>
          </w:tcPr>
          <w:p w14:paraId="2EB25829" w14:textId="77777777" w:rsidR="004B69F5" w:rsidRDefault="004B69F5" w:rsidP="000D2CA8">
            <w:pPr>
              <w:spacing w:line="240" w:lineRule="auto"/>
              <w:rPr>
                <w:rFonts w:cs="Times New Roman"/>
                <w:sz w:val="20"/>
                <w:szCs w:val="20"/>
                <w:lang w:val="en"/>
              </w:rPr>
            </w:pPr>
            <w:r>
              <w:rPr>
                <w:rFonts w:cs="Times New Roman"/>
                <w:sz w:val="20"/>
                <w:szCs w:val="20"/>
                <w:lang w:val="en"/>
              </w:rPr>
              <w:t>RT=324.7±15.0 ng/mm</w:t>
            </w:r>
            <w:r w:rsidRPr="001A54C8">
              <w:rPr>
                <w:rFonts w:cs="Times New Roman"/>
                <w:sz w:val="20"/>
                <w:szCs w:val="20"/>
                <w:vertAlign w:val="superscript"/>
                <w:lang w:val="en"/>
              </w:rPr>
              <w:t>2</w:t>
            </w:r>
            <w:r>
              <w:rPr>
                <w:rFonts w:cs="Times New Roman"/>
                <w:sz w:val="20"/>
                <w:szCs w:val="20"/>
                <w:lang w:val="en"/>
              </w:rPr>
              <w:t xml:space="preserve"> </w:t>
            </w:r>
          </w:p>
          <w:p w14:paraId="0AECE5E1" w14:textId="77777777" w:rsidR="004B69F5" w:rsidRDefault="004B69F5" w:rsidP="000D2CA8">
            <w:pPr>
              <w:spacing w:line="240" w:lineRule="auto"/>
              <w:rPr>
                <w:rFonts w:cs="Times New Roman"/>
                <w:sz w:val="20"/>
                <w:szCs w:val="20"/>
                <w:lang w:val="en"/>
              </w:rPr>
            </w:pPr>
          </w:p>
          <w:p w14:paraId="3D3B9911" w14:textId="77777777" w:rsidR="004B69F5" w:rsidRDefault="004B69F5" w:rsidP="000D2CA8">
            <w:pPr>
              <w:spacing w:line="240" w:lineRule="auto"/>
              <w:rPr>
                <w:rFonts w:cs="Times New Roman"/>
                <w:sz w:val="20"/>
                <w:szCs w:val="20"/>
                <w:lang w:val="en"/>
              </w:rPr>
            </w:pPr>
          </w:p>
          <w:p w14:paraId="326C0116" w14:textId="77777777" w:rsidR="004B69F5" w:rsidRDefault="004B69F5" w:rsidP="000D2CA8">
            <w:pPr>
              <w:spacing w:line="240" w:lineRule="auto"/>
              <w:rPr>
                <w:rFonts w:cs="Times New Roman"/>
                <w:sz w:val="20"/>
                <w:szCs w:val="20"/>
                <w:lang w:val="en"/>
              </w:rPr>
            </w:pPr>
          </w:p>
          <w:p w14:paraId="74726FA6" w14:textId="77777777" w:rsidR="004B69F5" w:rsidRDefault="004B69F5" w:rsidP="000D2CA8">
            <w:pPr>
              <w:spacing w:line="240" w:lineRule="auto"/>
              <w:rPr>
                <w:rFonts w:cs="Times New Roman"/>
                <w:sz w:val="20"/>
                <w:szCs w:val="20"/>
                <w:lang w:val="en"/>
              </w:rPr>
            </w:pPr>
          </w:p>
          <w:p w14:paraId="65321828" w14:textId="77777777" w:rsidR="004B69F5" w:rsidRDefault="004B69F5" w:rsidP="000D2CA8">
            <w:pPr>
              <w:spacing w:line="240" w:lineRule="auto"/>
              <w:rPr>
                <w:rFonts w:cs="Times New Roman"/>
                <w:sz w:val="20"/>
                <w:szCs w:val="20"/>
                <w:vertAlign w:val="superscript"/>
                <w:lang w:val="en"/>
              </w:rPr>
            </w:pPr>
            <w:r>
              <w:rPr>
                <w:rFonts w:cs="Times New Roman"/>
                <w:sz w:val="20"/>
                <w:szCs w:val="20"/>
                <w:lang w:val="en"/>
              </w:rPr>
              <w:t>F=243.8±17.9 ng/mm</w:t>
            </w:r>
            <w:r w:rsidRPr="001A54C8">
              <w:rPr>
                <w:rFonts w:cs="Times New Roman"/>
                <w:sz w:val="20"/>
                <w:szCs w:val="20"/>
                <w:vertAlign w:val="superscript"/>
                <w:lang w:val="en"/>
              </w:rPr>
              <w:t>2</w:t>
            </w:r>
          </w:p>
          <w:p w14:paraId="4DD5A31A" w14:textId="77777777" w:rsidR="004B69F5" w:rsidRDefault="004B69F5" w:rsidP="000D2CA8">
            <w:pPr>
              <w:spacing w:line="240" w:lineRule="auto"/>
              <w:rPr>
                <w:rFonts w:cs="Times New Roman"/>
                <w:sz w:val="20"/>
                <w:szCs w:val="20"/>
                <w:vertAlign w:val="superscript"/>
                <w:lang w:val="en"/>
              </w:rPr>
            </w:pPr>
          </w:p>
          <w:p w14:paraId="17DEFDDB" w14:textId="77777777" w:rsidR="004B69F5" w:rsidRDefault="004B69F5" w:rsidP="000D2CA8">
            <w:pPr>
              <w:spacing w:line="240" w:lineRule="auto"/>
              <w:rPr>
                <w:rFonts w:cs="Times New Roman"/>
                <w:sz w:val="20"/>
                <w:szCs w:val="20"/>
                <w:vertAlign w:val="superscript"/>
                <w:lang w:val="en"/>
              </w:rPr>
            </w:pPr>
          </w:p>
          <w:p w14:paraId="60BD7321" w14:textId="77777777" w:rsidR="004B69F5" w:rsidRDefault="004B69F5" w:rsidP="000D2CA8">
            <w:pPr>
              <w:spacing w:line="240" w:lineRule="auto"/>
              <w:rPr>
                <w:rFonts w:cs="Times New Roman"/>
                <w:sz w:val="20"/>
                <w:szCs w:val="20"/>
                <w:vertAlign w:val="superscript"/>
                <w:lang w:val="en"/>
              </w:rPr>
            </w:pPr>
          </w:p>
          <w:p w14:paraId="5EF69825" w14:textId="77777777" w:rsidR="004B69F5" w:rsidRDefault="004B69F5" w:rsidP="000D2CA8">
            <w:pPr>
              <w:spacing w:line="240" w:lineRule="auto"/>
              <w:rPr>
                <w:rFonts w:cs="Times New Roman"/>
                <w:sz w:val="20"/>
                <w:szCs w:val="20"/>
                <w:vertAlign w:val="superscript"/>
                <w:lang w:val="en"/>
              </w:rPr>
            </w:pPr>
          </w:p>
          <w:p w14:paraId="3537B782" w14:textId="77777777" w:rsidR="004B69F5" w:rsidRDefault="004B69F5" w:rsidP="000D2CA8">
            <w:pPr>
              <w:spacing w:line="240" w:lineRule="auto"/>
              <w:rPr>
                <w:rFonts w:cs="Times New Roman"/>
                <w:sz w:val="20"/>
                <w:szCs w:val="20"/>
                <w:lang w:val="en"/>
              </w:rPr>
            </w:pPr>
            <w:r>
              <w:rPr>
                <w:rFonts w:cs="Times New Roman"/>
                <w:sz w:val="20"/>
                <w:szCs w:val="20"/>
                <w:lang w:val="en"/>
              </w:rPr>
              <w:t>Klenzyme applied after 2h: RT=18.0±9.3 ng/mm</w:t>
            </w:r>
            <w:r w:rsidRPr="001A54C8">
              <w:rPr>
                <w:rFonts w:cs="Times New Roman"/>
                <w:sz w:val="20"/>
                <w:szCs w:val="20"/>
                <w:vertAlign w:val="superscript"/>
                <w:lang w:val="en"/>
              </w:rPr>
              <w:t>2</w:t>
            </w:r>
            <w:r>
              <w:rPr>
                <w:rFonts w:cs="Times New Roman"/>
                <w:sz w:val="20"/>
                <w:szCs w:val="20"/>
                <w:vertAlign w:val="superscript"/>
                <w:lang w:val="en"/>
              </w:rPr>
              <w:t xml:space="preserve"> </w:t>
            </w:r>
            <w:r>
              <w:rPr>
                <w:rFonts w:cs="Times New Roman"/>
                <w:sz w:val="20"/>
                <w:szCs w:val="20"/>
                <w:lang w:val="en"/>
              </w:rPr>
              <w:t xml:space="preserve">(90.1% reduction compared to untreated air dry control)  </w:t>
            </w:r>
          </w:p>
          <w:p w14:paraId="3587B791" w14:textId="77777777" w:rsidR="004B69F5" w:rsidRDefault="004B69F5" w:rsidP="000D2CA8">
            <w:pPr>
              <w:spacing w:line="240" w:lineRule="auto"/>
              <w:rPr>
                <w:rFonts w:cs="Times New Roman"/>
                <w:sz w:val="20"/>
                <w:szCs w:val="20"/>
                <w:lang w:val="en"/>
              </w:rPr>
            </w:pPr>
          </w:p>
          <w:p w14:paraId="3299F823" w14:textId="77777777" w:rsidR="004B69F5" w:rsidRPr="00916019" w:rsidRDefault="004B69F5" w:rsidP="000D2CA8">
            <w:pPr>
              <w:spacing w:line="240" w:lineRule="auto"/>
              <w:rPr>
                <w:rFonts w:cs="Times New Roman"/>
                <w:sz w:val="20"/>
                <w:szCs w:val="20"/>
                <w:lang w:val="en"/>
              </w:rPr>
            </w:pPr>
            <w:r>
              <w:rPr>
                <w:rFonts w:cs="Times New Roman"/>
                <w:sz w:val="20"/>
                <w:szCs w:val="20"/>
                <w:lang w:val="en"/>
              </w:rPr>
              <w:t>Endozime applied after 2h: RT=194.3±7.9 ng/mm</w:t>
            </w:r>
            <w:r w:rsidRPr="001A54C8">
              <w:rPr>
                <w:rFonts w:cs="Times New Roman"/>
                <w:sz w:val="20"/>
                <w:szCs w:val="20"/>
                <w:vertAlign w:val="superscript"/>
                <w:lang w:val="en"/>
              </w:rPr>
              <w:t>2</w:t>
            </w:r>
            <w:r>
              <w:rPr>
                <w:rFonts w:cs="Times New Roman"/>
                <w:sz w:val="20"/>
                <w:szCs w:val="20"/>
                <w:vertAlign w:val="superscript"/>
                <w:lang w:val="en"/>
              </w:rPr>
              <w:t xml:space="preserve"> </w:t>
            </w:r>
          </w:p>
        </w:tc>
        <w:tc>
          <w:tcPr>
            <w:tcW w:w="2268" w:type="dxa"/>
            <w:shd w:val="clear" w:color="auto" w:fill="FFFFFF" w:themeFill="background1"/>
          </w:tcPr>
          <w:p w14:paraId="57D134F9" w14:textId="77777777" w:rsidR="004B69F5" w:rsidRDefault="004B69F5" w:rsidP="000D2CA8">
            <w:pPr>
              <w:spacing w:line="240" w:lineRule="auto"/>
              <w:rPr>
                <w:rFonts w:cs="Times New Roman"/>
                <w:sz w:val="20"/>
                <w:szCs w:val="20"/>
                <w:lang w:val="en"/>
              </w:rPr>
            </w:pPr>
            <w:r>
              <w:rPr>
                <w:rFonts w:cs="Times New Roman"/>
                <w:sz w:val="20"/>
                <w:szCs w:val="20"/>
                <w:lang w:val="en"/>
              </w:rPr>
              <w:t>RT=6.0±3.5 ng/mm</w:t>
            </w:r>
            <w:r w:rsidRPr="001A54C8">
              <w:rPr>
                <w:rFonts w:cs="Times New Roman"/>
                <w:sz w:val="20"/>
                <w:szCs w:val="20"/>
                <w:vertAlign w:val="superscript"/>
                <w:lang w:val="en"/>
              </w:rPr>
              <w:t>2</w:t>
            </w:r>
            <w:r>
              <w:rPr>
                <w:rFonts w:cs="Times New Roman"/>
                <w:sz w:val="20"/>
                <w:szCs w:val="20"/>
                <w:lang w:val="en"/>
              </w:rPr>
              <w:t xml:space="preserve"> (98.2% reduction compared to dry, p</w:t>
            </w:r>
            <w:r w:rsidRPr="00BE11F7">
              <w:rPr>
                <w:rFonts w:cs="Times New Roman"/>
                <w:sz w:val="20"/>
                <w:szCs w:val="20"/>
                <w:u w:val="single"/>
                <w:lang w:val="en"/>
              </w:rPr>
              <w:t>&lt;</w:t>
            </w:r>
            <w:r>
              <w:rPr>
                <w:rFonts w:cs="Times New Roman"/>
                <w:sz w:val="20"/>
                <w:szCs w:val="20"/>
                <w:lang w:val="en"/>
              </w:rPr>
              <w:t xml:space="preserve">0.001) </w:t>
            </w:r>
          </w:p>
          <w:p w14:paraId="0FEA21A1" w14:textId="77777777" w:rsidR="004B69F5" w:rsidRDefault="004B69F5" w:rsidP="000D2CA8">
            <w:pPr>
              <w:spacing w:line="240" w:lineRule="auto"/>
              <w:rPr>
                <w:rFonts w:cs="Times New Roman"/>
                <w:sz w:val="20"/>
                <w:szCs w:val="20"/>
                <w:lang w:val="en"/>
              </w:rPr>
            </w:pPr>
          </w:p>
          <w:p w14:paraId="2418E9EB" w14:textId="77777777" w:rsidR="004B69F5" w:rsidRPr="00F916F7" w:rsidRDefault="004B69F5" w:rsidP="000D2CA8">
            <w:pPr>
              <w:spacing w:line="240" w:lineRule="auto"/>
              <w:rPr>
                <w:rFonts w:cs="Times New Roman"/>
                <w:sz w:val="20"/>
                <w:szCs w:val="20"/>
                <w:lang w:val="en"/>
              </w:rPr>
            </w:pPr>
            <w:r>
              <w:rPr>
                <w:rFonts w:cs="Times New Roman"/>
                <w:sz w:val="20"/>
                <w:szCs w:val="20"/>
                <w:lang w:val="en"/>
              </w:rPr>
              <w:t>F=56.8±12.9 ng/mm</w:t>
            </w:r>
            <w:r w:rsidRPr="001A54C8">
              <w:rPr>
                <w:rFonts w:cs="Times New Roman"/>
                <w:sz w:val="20"/>
                <w:szCs w:val="20"/>
                <w:vertAlign w:val="superscript"/>
                <w:lang w:val="en"/>
              </w:rPr>
              <w:t>2</w:t>
            </w:r>
            <w:r>
              <w:rPr>
                <w:rFonts w:cs="Times New Roman"/>
                <w:sz w:val="20"/>
                <w:szCs w:val="20"/>
                <w:lang w:val="en"/>
              </w:rPr>
              <w:t xml:space="preserve"> (76.7% reduction compared to dry, p</w:t>
            </w:r>
            <w:r w:rsidRPr="00BE11F7">
              <w:rPr>
                <w:rFonts w:cs="Times New Roman"/>
                <w:sz w:val="20"/>
                <w:szCs w:val="20"/>
                <w:u w:val="single"/>
                <w:lang w:val="en"/>
              </w:rPr>
              <w:t>&lt;</w:t>
            </w:r>
            <w:r>
              <w:rPr>
                <w:rFonts w:cs="Times New Roman"/>
                <w:sz w:val="20"/>
                <w:szCs w:val="20"/>
                <w:lang w:val="en"/>
              </w:rPr>
              <w:t>0.001)</w:t>
            </w:r>
          </w:p>
          <w:p w14:paraId="6AD29A56" w14:textId="77777777" w:rsidR="004B69F5" w:rsidRDefault="004B69F5" w:rsidP="000D2CA8">
            <w:pPr>
              <w:spacing w:line="240" w:lineRule="auto"/>
              <w:rPr>
                <w:rFonts w:cs="Times New Roman"/>
                <w:sz w:val="20"/>
                <w:szCs w:val="20"/>
                <w:lang w:val="en"/>
              </w:rPr>
            </w:pPr>
          </w:p>
          <w:p w14:paraId="2C77B766" w14:textId="77777777" w:rsidR="004B69F5" w:rsidRPr="00F916F7" w:rsidRDefault="004B69F5" w:rsidP="000D2CA8">
            <w:pPr>
              <w:spacing w:line="240" w:lineRule="auto"/>
              <w:rPr>
                <w:rFonts w:cs="Times New Roman"/>
                <w:sz w:val="20"/>
                <w:szCs w:val="20"/>
                <w:lang w:val="en"/>
              </w:rPr>
            </w:pPr>
          </w:p>
        </w:tc>
      </w:tr>
      <w:tr w:rsidR="004B69F5" w:rsidRPr="00E05192" w14:paraId="72979D3D" w14:textId="77777777" w:rsidTr="0015557F">
        <w:trPr>
          <w:trHeight w:val="335"/>
        </w:trPr>
        <w:tc>
          <w:tcPr>
            <w:tcW w:w="1160" w:type="dxa"/>
            <w:vMerge w:val="restart"/>
            <w:shd w:val="clear" w:color="auto" w:fill="FFFFFF" w:themeFill="background1"/>
          </w:tcPr>
          <w:p w14:paraId="76426F39" w14:textId="5D20BAE4" w:rsidR="004B69F5" w:rsidRPr="00E05192" w:rsidRDefault="004B69F5" w:rsidP="0076576E">
            <w:pPr>
              <w:spacing w:line="240" w:lineRule="auto"/>
              <w:rPr>
                <w:rFonts w:cs="Times New Roman"/>
                <w:sz w:val="20"/>
                <w:szCs w:val="20"/>
              </w:rPr>
            </w:pPr>
            <w:r w:rsidRPr="00E05192">
              <w:rPr>
                <w:rFonts w:cs="Times New Roman"/>
                <w:sz w:val="20"/>
                <w:szCs w:val="20"/>
              </w:rPr>
              <w:t>Secker 2015</w:t>
            </w:r>
            <w:r w:rsidR="003A0D62">
              <w:rPr>
                <w:rFonts w:cs="Times New Roman"/>
                <w:sz w:val="20"/>
                <w:szCs w:val="20"/>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sz w:val="20"/>
                <w:szCs w:val="20"/>
              </w:rPr>
              <w:instrText xml:space="preserve"> ADDIN EN.CITE </w:instrText>
            </w:r>
            <w:r w:rsidR="0076576E">
              <w:rPr>
                <w:rFonts w:cs="Times New Roman"/>
                <w:sz w:val="20"/>
                <w:szCs w:val="20"/>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sz w:val="20"/>
                <w:szCs w:val="20"/>
              </w:rPr>
              <w:instrText xml:space="preserve"> ADDIN EN.CITE.DATA </w:instrText>
            </w:r>
            <w:r w:rsidR="0076576E">
              <w:rPr>
                <w:rFonts w:cs="Times New Roman"/>
                <w:sz w:val="20"/>
                <w:szCs w:val="20"/>
              </w:rPr>
            </w:r>
            <w:r w:rsidR="0076576E">
              <w:rPr>
                <w:rFonts w:cs="Times New Roman"/>
                <w:sz w:val="20"/>
                <w:szCs w:val="20"/>
              </w:rPr>
              <w:fldChar w:fldCharType="end"/>
            </w:r>
            <w:r w:rsidR="003A0D62">
              <w:rPr>
                <w:rFonts w:cs="Times New Roman"/>
                <w:sz w:val="20"/>
                <w:szCs w:val="20"/>
              </w:rPr>
            </w:r>
            <w:r w:rsidR="003A0D62">
              <w:rPr>
                <w:rFonts w:cs="Times New Roman"/>
                <w:sz w:val="20"/>
                <w:szCs w:val="20"/>
              </w:rPr>
              <w:fldChar w:fldCharType="separate"/>
            </w:r>
            <w:r w:rsidR="0076576E" w:rsidRPr="0076576E">
              <w:rPr>
                <w:rFonts w:cs="Times New Roman"/>
                <w:noProof/>
                <w:sz w:val="20"/>
                <w:szCs w:val="20"/>
                <w:vertAlign w:val="superscript"/>
              </w:rPr>
              <w:t>194</w:t>
            </w:r>
            <w:r w:rsidR="003A0D62">
              <w:rPr>
                <w:rFonts w:cs="Times New Roman"/>
                <w:sz w:val="20"/>
                <w:szCs w:val="20"/>
              </w:rPr>
              <w:fldChar w:fldCharType="end"/>
            </w:r>
          </w:p>
        </w:tc>
        <w:tc>
          <w:tcPr>
            <w:tcW w:w="939" w:type="dxa"/>
            <w:vMerge w:val="restart"/>
          </w:tcPr>
          <w:p w14:paraId="6DB1D584" w14:textId="77777777" w:rsidR="004B69F5" w:rsidRPr="00E05192" w:rsidRDefault="004B69F5" w:rsidP="000D2CA8">
            <w:pPr>
              <w:spacing w:line="240" w:lineRule="auto"/>
              <w:rPr>
                <w:rFonts w:cs="Times New Roman"/>
                <w:sz w:val="20"/>
                <w:szCs w:val="20"/>
              </w:rPr>
            </w:pPr>
            <w:r>
              <w:rPr>
                <w:rFonts w:cs="Times New Roman"/>
                <w:sz w:val="20"/>
                <w:szCs w:val="20"/>
              </w:rPr>
              <w:t>UK</w:t>
            </w:r>
          </w:p>
        </w:tc>
        <w:tc>
          <w:tcPr>
            <w:tcW w:w="1116" w:type="dxa"/>
            <w:vMerge w:val="restart"/>
          </w:tcPr>
          <w:p w14:paraId="5A5913E0" w14:textId="77777777" w:rsidR="004B69F5" w:rsidRPr="007F0131" w:rsidRDefault="004B69F5" w:rsidP="000D2CA8">
            <w:pPr>
              <w:spacing w:line="240" w:lineRule="auto"/>
              <w:rPr>
                <w:rFonts w:cs="Times New Roman"/>
                <w:sz w:val="20"/>
                <w:szCs w:val="20"/>
              </w:rPr>
            </w:pPr>
            <w:r>
              <w:rPr>
                <w:rFonts w:cs="Times New Roman"/>
                <w:sz w:val="20"/>
                <w:szCs w:val="20"/>
              </w:rPr>
              <w:t>1µl</w:t>
            </w:r>
            <w:r w:rsidRPr="007F0131">
              <w:rPr>
                <w:rFonts w:cs="Times New Roman"/>
                <w:sz w:val="20"/>
                <w:szCs w:val="20"/>
              </w:rPr>
              <w:t xml:space="preserve"> drops of ME7-infected BH (equivalent to 1µg total protein)</w:t>
            </w:r>
          </w:p>
        </w:tc>
        <w:tc>
          <w:tcPr>
            <w:tcW w:w="959" w:type="dxa"/>
            <w:vMerge w:val="restart"/>
          </w:tcPr>
          <w:p w14:paraId="265C5A02"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Surgical 316L grade SS tokens (10mm x 30mm)</w:t>
            </w:r>
          </w:p>
        </w:tc>
        <w:tc>
          <w:tcPr>
            <w:tcW w:w="1141" w:type="dxa"/>
            <w:vMerge w:val="restart"/>
            <w:shd w:val="clear" w:color="auto" w:fill="FFFFFF" w:themeFill="background1"/>
          </w:tcPr>
          <w:p w14:paraId="3FF5CC34" w14:textId="77777777" w:rsidR="004B69F5" w:rsidRDefault="004B69F5" w:rsidP="000D2CA8">
            <w:pPr>
              <w:spacing w:line="240" w:lineRule="auto"/>
              <w:rPr>
                <w:rFonts w:cs="Times New Roman"/>
                <w:sz w:val="20"/>
                <w:szCs w:val="20"/>
              </w:rPr>
            </w:pPr>
            <w:r>
              <w:rPr>
                <w:rFonts w:cs="Times New Roman"/>
                <w:sz w:val="20"/>
                <w:szCs w:val="20"/>
              </w:rPr>
              <w:t>Prolystica 2x alkaline detergent, working pH 10.1</w:t>
            </w:r>
          </w:p>
          <w:p w14:paraId="53A7B9AF" w14:textId="77777777" w:rsidR="004B69F5" w:rsidRDefault="004B69F5" w:rsidP="000D2CA8">
            <w:pPr>
              <w:spacing w:line="240" w:lineRule="auto"/>
              <w:rPr>
                <w:rFonts w:cs="Times New Roman"/>
                <w:sz w:val="20"/>
                <w:szCs w:val="20"/>
              </w:rPr>
            </w:pPr>
          </w:p>
          <w:p w14:paraId="648B63C3" w14:textId="77777777" w:rsidR="004B69F5" w:rsidRDefault="004B69F5" w:rsidP="000D2CA8">
            <w:pPr>
              <w:spacing w:line="240" w:lineRule="auto"/>
              <w:rPr>
                <w:rFonts w:cs="Times New Roman"/>
                <w:sz w:val="20"/>
                <w:szCs w:val="20"/>
              </w:rPr>
            </w:pPr>
          </w:p>
          <w:p w14:paraId="527F0CFA" w14:textId="77777777" w:rsidR="004B69F5" w:rsidRDefault="004B69F5" w:rsidP="000D2CA8">
            <w:pPr>
              <w:spacing w:line="240" w:lineRule="auto"/>
              <w:rPr>
                <w:rFonts w:cs="Times New Roman"/>
                <w:sz w:val="20"/>
                <w:szCs w:val="20"/>
              </w:rPr>
            </w:pPr>
          </w:p>
          <w:p w14:paraId="6F21A431" w14:textId="77777777" w:rsidR="004B69F5" w:rsidRDefault="004B69F5" w:rsidP="000D2CA8">
            <w:pPr>
              <w:spacing w:line="240" w:lineRule="auto"/>
              <w:rPr>
                <w:rFonts w:cs="Times New Roman"/>
                <w:sz w:val="20"/>
                <w:szCs w:val="20"/>
              </w:rPr>
            </w:pPr>
          </w:p>
          <w:p w14:paraId="78A4CFAD" w14:textId="77777777" w:rsidR="004B69F5" w:rsidRDefault="004B69F5" w:rsidP="000D2CA8">
            <w:pPr>
              <w:spacing w:line="240" w:lineRule="auto"/>
              <w:rPr>
                <w:rFonts w:cs="Times New Roman"/>
                <w:sz w:val="20"/>
                <w:szCs w:val="20"/>
              </w:rPr>
            </w:pPr>
            <w:r>
              <w:rPr>
                <w:rFonts w:cs="Times New Roman"/>
                <w:sz w:val="20"/>
                <w:szCs w:val="20"/>
              </w:rPr>
              <w:t>Or</w:t>
            </w:r>
          </w:p>
          <w:p w14:paraId="65C024FE" w14:textId="77777777" w:rsidR="004B69F5" w:rsidRDefault="004B69F5" w:rsidP="000D2CA8">
            <w:pPr>
              <w:spacing w:line="240" w:lineRule="auto"/>
              <w:rPr>
                <w:rFonts w:cs="Times New Roman"/>
                <w:sz w:val="20"/>
                <w:szCs w:val="20"/>
              </w:rPr>
            </w:pPr>
          </w:p>
          <w:p w14:paraId="17581BF0" w14:textId="77777777" w:rsidR="004B69F5" w:rsidRDefault="004B69F5" w:rsidP="000D2CA8">
            <w:pPr>
              <w:spacing w:line="240" w:lineRule="auto"/>
              <w:rPr>
                <w:rFonts w:cs="Times New Roman"/>
                <w:sz w:val="20"/>
                <w:szCs w:val="20"/>
              </w:rPr>
            </w:pPr>
          </w:p>
          <w:p w14:paraId="2A347CBD" w14:textId="77777777" w:rsidR="004B69F5" w:rsidRDefault="004B69F5" w:rsidP="000D2CA8">
            <w:pPr>
              <w:spacing w:line="240" w:lineRule="auto"/>
              <w:rPr>
                <w:rFonts w:cs="Times New Roman"/>
                <w:sz w:val="20"/>
                <w:szCs w:val="20"/>
              </w:rPr>
            </w:pPr>
          </w:p>
          <w:p w14:paraId="3AA21B21" w14:textId="77777777" w:rsidR="004B69F5" w:rsidRPr="00E05192" w:rsidRDefault="004B69F5" w:rsidP="000D2CA8">
            <w:pPr>
              <w:spacing w:line="240" w:lineRule="auto"/>
              <w:rPr>
                <w:rFonts w:cs="Times New Roman"/>
                <w:sz w:val="20"/>
                <w:szCs w:val="20"/>
              </w:rPr>
            </w:pPr>
            <w:r>
              <w:rPr>
                <w:rFonts w:cs="Times New Roman"/>
                <w:sz w:val="20"/>
                <w:szCs w:val="20"/>
              </w:rPr>
              <w:t>Progenica detergent, working pH 10.9</w:t>
            </w:r>
          </w:p>
        </w:tc>
        <w:tc>
          <w:tcPr>
            <w:tcW w:w="1289" w:type="dxa"/>
            <w:vMerge w:val="restart"/>
            <w:shd w:val="clear" w:color="auto" w:fill="FFFFFF" w:themeFill="background1"/>
          </w:tcPr>
          <w:p w14:paraId="77F78ADD" w14:textId="77777777" w:rsidR="004B69F5" w:rsidRDefault="004B69F5" w:rsidP="000D2CA8">
            <w:pPr>
              <w:spacing w:line="240" w:lineRule="auto"/>
              <w:rPr>
                <w:rFonts w:cs="Times New Roman"/>
                <w:sz w:val="20"/>
                <w:szCs w:val="20"/>
                <w:lang w:val="en"/>
              </w:rPr>
            </w:pPr>
            <w:r>
              <w:rPr>
                <w:rFonts w:cs="Times New Roman"/>
                <w:sz w:val="20"/>
                <w:szCs w:val="20"/>
                <w:lang w:val="en"/>
              </w:rPr>
              <w:t>SYPOR Ruby and Thioflavin T,</w:t>
            </w:r>
          </w:p>
          <w:p w14:paraId="6E97443B" w14:textId="77777777" w:rsidR="004B69F5" w:rsidRDefault="004B69F5" w:rsidP="000D2CA8">
            <w:pPr>
              <w:spacing w:line="240" w:lineRule="auto"/>
              <w:rPr>
                <w:rFonts w:cs="Times New Roman"/>
                <w:sz w:val="20"/>
                <w:szCs w:val="20"/>
                <w:lang w:val="en"/>
              </w:rPr>
            </w:pPr>
            <w:r w:rsidRPr="00E05192">
              <w:rPr>
                <w:rFonts w:cs="Times New Roman"/>
                <w:sz w:val="20"/>
                <w:szCs w:val="20"/>
                <w:lang w:val="en"/>
              </w:rPr>
              <w:t>EDIC/EF microscopy</w:t>
            </w:r>
          </w:p>
          <w:p w14:paraId="3C2186B1" w14:textId="77777777" w:rsidR="004B69F5" w:rsidRDefault="004B69F5" w:rsidP="000D2CA8">
            <w:pPr>
              <w:spacing w:line="240" w:lineRule="auto"/>
              <w:rPr>
                <w:rFonts w:cs="Times New Roman"/>
                <w:sz w:val="20"/>
                <w:szCs w:val="20"/>
                <w:lang w:val="en"/>
              </w:rPr>
            </w:pPr>
          </w:p>
          <w:p w14:paraId="6D39067F" w14:textId="77777777" w:rsidR="004B69F5" w:rsidRPr="00E05192" w:rsidRDefault="004B69F5" w:rsidP="000D2CA8">
            <w:pPr>
              <w:spacing w:line="240" w:lineRule="auto"/>
              <w:rPr>
                <w:rFonts w:cs="Times New Roman"/>
                <w:sz w:val="20"/>
                <w:szCs w:val="20"/>
                <w:lang w:val="en"/>
              </w:rPr>
            </w:pPr>
            <w:r w:rsidRPr="00F01631">
              <w:rPr>
                <w:rFonts w:cs="Times New Roman"/>
                <w:i/>
                <w:sz w:val="20"/>
                <w:szCs w:val="20"/>
                <w:lang w:val="en"/>
              </w:rPr>
              <w:t>In situ</w:t>
            </w:r>
            <w:r>
              <w:rPr>
                <w:rFonts w:cs="Times New Roman"/>
                <w:sz w:val="20"/>
                <w:szCs w:val="20"/>
              </w:rPr>
              <w:t>§</w:t>
            </w:r>
          </w:p>
        </w:tc>
        <w:tc>
          <w:tcPr>
            <w:tcW w:w="1442" w:type="dxa"/>
            <w:shd w:val="clear" w:color="auto" w:fill="FFFFFF" w:themeFill="background1"/>
          </w:tcPr>
          <w:p w14:paraId="3FBB19F1" w14:textId="77777777" w:rsidR="004B69F5" w:rsidRDefault="004B69F5" w:rsidP="000D2CA8">
            <w:pPr>
              <w:spacing w:line="240" w:lineRule="auto"/>
              <w:rPr>
                <w:rFonts w:cs="Times New Roman"/>
                <w:sz w:val="20"/>
                <w:szCs w:val="20"/>
              </w:rPr>
            </w:pPr>
            <w:r>
              <w:rPr>
                <w:rFonts w:cs="Times New Roman"/>
                <w:sz w:val="20"/>
                <w:szCs w:val="20"/>
              </w:rPr>
              <w:t xml:space="preserve">Air for (DT): 15mins, 30mins, 1h, 2h, 24h </w:t>
            </w:r>
          </w:p>
          <w:p w14:paraId="07DF0A4C" w14:textId="77777777" w:rsidR="004B69F5" w:rsidRDefault="004B69F5" w:rsidP="000D2CA8">
            <w:pPr>
              <w:spacing w:line="240" w:lineRule="auto"/>
              <w:rPr>
                <w:rFonts w:cs="Times New Roman"/>
                <w:sz w:val="20"/>
                <w:szCs w:val="20"/>
              </w:rPr>
            </w:pPr>
            <w:r>
              <w:rPr>
                <w:rFonts w:cs="Times New Roman"/>
                <w:sz w:val="20"/>
                <w:szCs w:val="20"/>
              </w:rPr>
              <w:t>(RT and F)</w:t>
            </w:r>
          </w:p>
          <w:p w14:paraId="129AADA0" w14:textId="77777777" w:rsidR="004B69F5" w:rsidRDefault="004B69F5" w:rsidP="000D2CA8">
            <w:pPr>
              <w:spacing w:line="240" w:lineRule="auto"/>
              <w:rPr>
                <w:rFonts w:cs="Times New Roman"/>
                <w:sz w:val="20"/>
                <w:szCs w:val="20"/>
              </w:rPr>
            </w:pPr>
          </w:p>
          <w:p w14:paraId="53038673" w14:textId="77777777" w:rsidR="004B69F5" w:rsidRDefault="004B69F5" w:rsidP="000D2CA8">
            <w:pPr>
              <w:spacing w:line="240" w:lineRule="auto"/>
              <w:rPr>
                <w:rFonts w:cs="Times New Roman"/>
                <w:sz w:val="20"/>
                <w:szCs w:val="20"/>
              </w:rPr>
            </w:pPr>
          </w:p>
          <w:p w14:paraId="4949D3E0" w14:textId="77777777" w:rsidR="004B69F5" w:rsidRDefault="004B69F5" w:rsidP="000D2CA8">
            <w:pPr>
              <w:spacing w:line="240" w:lineRule="auto"/>
              <w:rPr>
                <w:rFonts w:cs="Times New Roman"/>
                <w:sz w:val="20"/>
                <w:szCs w:val="20"/>
              </w:rPr>
            </w:pPr>
          </w:p>
          <w:p w14:paraId="30521A02" w14:textId="77777777" w:rsidR="004B69F5" w:rsidRDefault="004B69F5" w:rsidP="000D2CA8">
            <w:pPr>
              <w:spacing w:line="240" w:lineRule="auto"/>
              <w:rPr>
                <w:rFonts w:cs="Times New Roman"/>
                <w:sz w:val="20"/>
                <w:szCs w:val="20"/>
              </w:rPr>
            </w:pPr>
          </w:p>
          <w:p w14:paraId="58BC8C34" w14:textId="77777777" w:rsidR="004B69F5" w:rsidRDefault="004B69F5" w:rsidP="000D2CA8">
            <w:pPr>
              <w:spacing w:line="240" w:lineRule="auto"/>
              <w:rPr>
                <w:rFonts w:cs="Times New Roman"/>
                <w:sz w:val="20"/>
                <w:szCs w:val="20"/>
              </w:rPr>
            </w:pPr>
          </w:p>
          <w:p w14:paraId="545B79AF" w14:textId="77777777" w:rsidR="004B69F5" w:rsidRDefault="004B69F5" w:rsidP="000D2CA8">
            <w:pPr>
              <w:spacing w:line="240" w:lineRule="auto"/>
              <w:rPr>
                <w:rFonts w:cs="Times New Roman"/>
                <w:sz w:val="20"/>
                <w:szCs w:val="20"/>
              </w:rPr>
            </w:pPr>
          </w:p>
          <w:p w14:paraId="545823C3" w14:textId="77777777" w:rsidR="004B69F5" w:rsidRDefault="004B69F5" w:rsidP="000D2CA8">
            <w:pPr>
              <w:spacing w:line="240" w:lineRule="auto"/>
              <w:rPr>
                <w:rFonts w:cs="Times New Roman"/>
                <w:sz w:val="20"/>
                <w:szCs w:val="20"/>
              </w:rPr>
            </w:pPr>
          </w:p>
          <w:p w14:paraId="5460CCFA" w14:textId="77777777" w:rsidR="004B69F5" w:rsidRDefault="004B69F5" w:rsidP="000D2CA8">
            <w:pPr>
              <w:spacing w:line="240" w:lineRule="auto"/>
              <w:rPr>
                <w:rFonts w:cs="Times New Roman"/>
                <w:sz w:val="20"/>
                <w:szCs w:val="20"/>
              </w:rPr>
            </w:pPr>
          </w:p>
          <w:p w14:paraId="20A46432" w14:textId="77777777" w:rsidR="004B69F5" w:rsidRDefault="004B69F5" w:rsidP="000D2CA8">
            <w:pPr>
              <w:spacing w:line="240" w:lineRule="auto"/>
              <w:rPr>
                <w:rFonts w:cs="Times New Roman"/>
                <w:sz w:val="20"/>
                <w:szCs w:val="20"/>
              </w:rPr>
            </w:pPr>
          </w:p>
          <w:p w14:paraId="5DA48FAE" w14:textId="77777777" w:rsidR="004B69F5" w:rsidRDefault="004B69F5" w:rsidP="000D2CA8">
            <w:pPr>
              <w:spacing w:line="240" w:lineRule="auto"/>
              <w:rPr>
                <w:rFonts w:cs="Times New Roman"/>
                <w:sz w:val="20"/>
                <w:szCs w:val="20"/>
              </w:rPr>
            </w:pPr>
          </w:p>
          <w:p w14:paraId="0D28E4EC" w14:textId="77777777" w:rsidR="004B69F5" w:rsidRDefault="004B69F5" w:rsidP="000D2CA8">
            <w:pPr>
              <w:spacing w:line="240" w:lineRule="auto"/>
              <w:rPr>
                <w:rFonts w:cs="Times New Roman"/>
                <w:sz w:val="20"/>
                <w:szCs w:val="20"/>
              </w:rPr>
            </w:pPr>
          </w:p>
          <w:p w14:paraId="74E2FBFC" w14:textId="77777777" w:rsidR="004B69F5" w:rsidRDefault="004B69F5" w:rsidP="000D2CA8">
            <w:pPr>
              <w:spacing w:line="240" w:lineRule="auto"/>
              <w:rPr>
                <w:rFonts w:cs="Times New Roman"/>
                <w:sz w:val="20"/>
                <w:szCs w:val="20"/>
              </w:rPr>
            </w:pPr>
          </w:p>
          <w:p w14:paraId="42E9F2F9" w14:textId="77777777" w:rsidR="004B69F5" w:rsidRDefault="004B69F5" w:rsidP="000D2CA8">
            <w:pPr>
              <w:spacing w:line="240" w:lineRule="auto"/>
              <w:rPr>
                <w:rFonts w:cs="Times New Roman"/>
                <w:sz w:val="20"/>
                <w:szCs w:val="20"/>
              </w:rPr>
            </w:pPr>
          </w:p>
          <w:p w14:paraId="241B2109" w14:textId="77777777" w:rsidR="004B69F5" w:rsidRDefault="004B69F5" w:rsidP="000D2CA8">
            <w:pPr>
              <w:spacing w:line="240" w:lineRule="auto"/>
              <w:rPr>
                <w:rFonts w:cs="Times New Roman"/>
                <w:sz w:val="20"/>
                <w:szCs w:val="20"/>
              </w:rPr>
            </w:pPr>
          </w:p>
          <w:p w14:paraId="3FCF234C" w14:textId="77777777" w:rsidR="004B69F5" w:rsidRDefault="004B69F5" w:rsidP="000D2CA8">
            <w:pPr>
              <w:spacing w:line="240" w:lineRule="auto"/>
              <w:rPr>
                <w:rFonts w:cs="Times New Roman"/>
                <w:sz w:val="20"/>
                <w:szCs w:val="20"/>
              </w:rPr>
            </w:pPr>
          </w:p>
          <w:p w14:paraId="0889E9F6" w14:textId="77777777" w:rsidR="004B69F5" w:rsidRDefault="004B69F5" w:rsidP="000D2CA8">
            <w:pPr>
              <w:spacing w:line="240" w:lineRule="auto"/>
              <w:rPr>
                <w:rFonts w:cs="Times New Roman"/>
                <w:sz w:val="20"/>
                <w:szCs w:val="20"/>
              </w:rPr>
            </w:pPr>
          </w:p>
          <w:p w14:paraId="2DE1438E" w14:textId="77777777" w:rsidR="004B69F5" w:rsidRDefault="004B69F5" w:rsidP="000D2CA8">
            <w:pPr>
              <w:spacing w:line="240" w:lineRule="auto"/>
              <w:rPr>
                <w:rFonts w:cs="Times New Roman"/>
                <w:sz w:val="20"/>
                <w:szCs w:val="20"/>
              </w:rPr>
            </w:pPr>
          </w:p>
        </w:tc>
        <w:tc>
          <w:tcPr>
            <w:tcW w:w="1843" w:type="dxa"/>
            <w:vMerge w:val="restart"/>
            <w:shd w:val="clear" w:color="auto" w:fill="FFFFFF" w:themeFill="background1"/>
          </w:tcPr>
          <w:p w14:paraId="35E9797A" w14:textId="77777777" w:rsidR="004B69F5" w:rsidRDefault="004B69F5" w:rsidP="000D2CA8">
            <w:pPr>
              <w:spacing w:line="240" w:lineRule="auto"/>
              <w:rPr>
                <w:rFonts w:cs="Times New Roman"/>
                <w:sz w:val="20"/>
                <w:szCs w:val="20"/>
              </w:rPr>
            </w:pPr>
            <w:r>
              <w:rPr>
                <w:rFonts w:cs="Times New Roman"/>
                <w:sz w:val="20"/>
                <w:szCs w:val="20"/>
              </w:rPr>
              <w:t>Wet bag: Sealed bag with 35ml distilled water for (DT):</w:t>
            </w:r>
          </w:p>
          <w:p w14:paraId="58E5FD75" w14:textId="77777777" w:rsidR="004B69F5" w:rsidRDefault="004B69F5" w:rsidP="000D2CA8">
            <w:pPr>
              <w:spacing w:line="240" w:lineRule="auto"/>
              <w:rPr>
                <w:rFonts w:cs="Times New Roman"/>
                <w:sz w:val="20"/>
                <w:szCs w:val="20"/>
              </w:rPr>
            </w:pPr>
            <w:r>
              <w:rPr>
                <w:rFonts w:cs="Times New Roman"/>
                <w:sz w:val="20"/>
                <w:szCs w:val="20"/>
              </w:rPr>
              <w:t xml:space="preserve">15mins, 30mins, 1h, 2h, 24h </w:t>
            </w:r>
          </w:p>
          <w:p w14:paraId="0A395DEE" w14:textId="77777777" w:rsidR="004B69F5" w:rsidRPr="00E05192" w:rsidRDefault="004B69F5" w:rsidP="000D2CA8">
            <w:pPr>
              <w:spacing w:line="240" w:lineRule="auto"/>
              <w:rPr>
                <w:rFonts w:cs="Times New Roman"/>
                <w:sz w:val="20"/>
                <w:szCs w:val="20"/>
              </w:rPr>
            </w:pPr>
            <w:r>
              <w:rPr>
                <w:rFonts w:cs="Times New Roman"/>
                <w:sz w:val="20"/>
                <w:szCs w:val="20"/>
              </w:rPr>
              <w:t>(RT and F)</w:t>
            </w:r>
          </w:p>
        </w:tc>
        <w:tc>
          <w:tcPr>
            <w:tcW w:w="2410" w:type="dxa"/>
            <w:shd w:val="clear" w:color="auto" w:fill="FFFFFF" w:themeFill="background1"/>
          </w:tcPr>
          <w:p w14:paraId="55D52091" w14:textId="77777777" w:rsidR="004B69F5" w:rsidRDefault="004B69F5" w:rsidP="000D2CA8">
            <w:pPr>
              <w:spacing w:line="240" w:lineRule="auto"/>
              <w:rPr>
                <w:rFonts w:cs="Times New Roman"/>
                <w:sz w:val="20"/>
                <w:szCs w:val="20"/>
                <w:lang w:val="en"/>
              </w:rPr>
            </w:pPr>
            <w:r>
              <w:rPr>
                <w:rFonts w:cs="Times New Roman"/>
                <w:sz w:val="20"/>
                <w:szCs w:val="20"/>
                <w:lang w:val="en"/>
              </w:rPr>
              <w:t xml:space="preserve">24h Humidity: </w:t>
            </w:r>
          </w:p>
          <w:p w14:paraId="6C4F41DA" w14:textId="77777777" w:rsidR="004B69F5" w:rsidRDefault="004B69F5" w:rsidP="000D2CA8">
            <w:pPr>
              <w:spacing w:line="240" w:lineRule="auto"/>
              <w:rPr>
                <w:rFonts w:cs="Times New Roman"/>
                <w:sz w:val="20"/>
                <w:szCs w:val="20"/>
                <w:lang w:val="en"/>
              </w:rPr>
            </w:pPr>
            <w:r>
              <w:rPr>
                <w:rFonts w:cs="Times New Roman"/>
                <w:sz w:val="20"/>
                <w:szCs w:val="20"/>
                <w:lang w:val="en"/>
              </w:rPr>
              <w:t>RT: 55%-70%</w:t>
            </w:r>
          </w:p>
          <w:p w14:paraId="379E269B" w14:textId="77777777" w:rsidR="004B69F5" w:rsidRDefault="004B69F5" w:rsidP="000D2CA8">
            <w:pPr>
              <w:spacing w:line="240" w:lineRule="auto"/>
              <w:rPr>
                <w:rFonts w:cs="Times New Roman"/>
                <w:sz w:val="20"/>
                <w:szCs w:val="20"/>
                <w:lang w:val="en"/>
              </w:rPr>
            </w:pPr>
            <w:r>
              <w:rPr>
                <w:rFonts w:cs="Times New Roman"/>
                <w:sz w:val="20"/>
                <w:szCs w:val="20"/>
                <w:lang w:val="en"/>
              </w:rPr>
              <w:t>F: 46%-69%</w:t>
            </w:r>
          </w:p>
          <w:p w14:paraId="493BDD0D" w14:textId="77777777" w:rsidR="004B69F5" w:rsidRDefault="004B69F5" w:rsidP="000D2CA8">
            <w:pPr>
              <w:spacing w:line="240" w:lineRule="auto"/>
              <w:rPr>
                <w:rFonts w:cs="Times New Roman"/>
                <w:sz w:val="20"/>
                <w:szCs w:val="20"/>
                <w:lang w:val="en"/>
              </w:rPr>
            </w:pPr>
          </w:p>
          <w:p w14:paraId="189C2646" w14:textId="77777777" w:rsidR="004B69F5" w:rsidRDefault="004B69F5" w:rsidP="000D2CA8">
            <w:pPr>
              <w:spacing w:line="240" w:lineRule="auto"/>
              <w:rPr>
                <w:rFonts w:cs="Times New Roman"/>
                <w:sz w:val="20"/>
                <w:szCs w:val="20"/>
                <w:lang w:val="en"/>
              </w:rPr>
            </w:pPr>
            <w:r>
              <w:rPr>
                <w:rFonts w:cs="Times New Roman"/>
                <w:sz w:val="20"/>
                <w:szCs w:val="20"/>
                <w:lang w:val="en"/>
              </w:rPr>
              <w:t>Protein absorption pre-cleaning(RT):</w:t>
            </w:r>
          </w:p>
          <w:p w14:paraId="39750A25"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15mins: 15.3±4.8 ng/mm</w:t>
            </w:r>
            <w:r w:rsidRPr="001D1C67">
              <w:rPr>
                <w:rFonts w:cs="Times New Roman"/>
                <w:sz w:val="20"/>
                <w:szCs w:val="20"/>
                <w:vertAlign w:val="superscript"/>
                <w:lang w:val="sv-SE"/>
              </w:rPr>
              <w:t>2</w:t>
            </w:r>
          </w:p>
          <w:p w14:paraId="5A13088E"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24h: 1000±205.0 ng/mm</w:t>
            </w:r>
            <w:r w:rsidRPr="001D1C67">
              <w:rPr>
                <w:rFonts w:cs="Times New Roman"/>
                <w:sz w:val="20"/>
                <w:szCs w:val="20"/>
                <w:vertAlign w:val="superscript"/>
                <w:lang w:val="sv-SE"/>
              </w:rPr>
              <w:t>2</w:t>
            </w:r>
          </w:p>
          <w:p w14:paraId="273C04A2" w14:textId="77777777" w:rsidR="004B69F5" w:rsidRPr="001D1C67" w:rsidRDefault="004B69F5" w:rsidP="000D2CA8">
            <w:pPr>
              <w:spacing w:line="240" w:lineRule="auto"/>
              <w:rPr>
                <w:rFonts w:cs="Times New Roman"/>
                <w:sz w:val="20"/>
                <w:szCs w:val="20"/>
                <w:lang w:val="sv-SE"/>
              </w:rPr>
            </w:pPr>
          </w:p>
          <w:p w14:paraId="448A748C"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Prolystica (RT):</w:t>
            </w:r>
          </w:p>
          <w:p w14:paraId="0EA5F375"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1h: 54.8±13.7 ng/mm</w:t>
            </w:r>
            <w:r w:rsidRPr="001D1C67">
              <w:rPr>
                <w:rFonts w:cs="Times New Roman"/>
                <w:sz w:val="20"/>
                <w:szCs w:val="20"/>
                <w:vertAlign w:val="superscript"/>
                <w:lang w:val="sv-SE"/>
              </w:rPr>
              <w:t>2</w:t>
            </w:r>
          </w:p>
          <w:p w14:paraId="0F7985C1"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2h: 918.6±54.0 ng/mm</w:t>
            </w:r>
            <w:r w:rsidRPr="001D1C67">
              <w:rPr>
                <w:rFonts w:cs="Times New Roman"/>
                <w:sz w:val="20"/>
                <w:szCs w:val="20"/>
                <w:vertAlign w:val="superscript"/>
                <w:lang w:val="sv-SE"/>
              </w:rPr>
              <w:t>2</w:t>
            </w:r>
          </w:p>
          <w:p w14:paraId="440D0412"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24h: 1026.1±92.5 ng/mm</w:t>
            </w:r>
            <w:r w:rsidRPr="001D1C67">
              <w:rPr>
                <w:rFonts w:cs="Times New Roman"/>
                <w:sz w:val="20"/>
                <w:szCs w:val="20"/>
                <w:vertAlign w:val="superscript"/>
                <w:lang w:val="sv-SE"/>
              </w:rPr>
              <w:t>2</w:t>
            </w:r>
          </w:p>
          <w:p w14:paraId="426200E7" w14:textId="77777777" w:rsidR="004B69F5" w:rsidRPr="001D1C67" w:rsidRDefault="004B69F5" w:rsidP="000D2CA8">
            <w:pPr>
              <w:spacing w:line="240" w:lineRule="auto"/>
              <w:rPr>
                <w:rFonts w:cs="Times New Roman"/>
                <w:sz w:val="20"/>
                <w:szCs w:val="20"/>
                <w:lang w:val="sv-SE"/>
              </w:rPr>
            </w:pPr>
          </w:p>
          <w:p w14:paraId="44C97A01"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Prolystica (F):</w:t>
            </w:r>
          </w:p>
          <w:p w14:paraId="005A5B46"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1h: Data NR</w:t>
            </w:r>
          </w:p>
          <w:p w14:paraId="256C36EA"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2h: Data NR</w:t>
            </w:r>
          </w:p>
          <w:p w14:paraId="43838879" w14:textId="77777777" w:rsidR="004B69F5" w:rsidRPr="001D1C67" w:rsidRDefault="004B69F5" w:rsidP="000D2CA8">
            <w:pPr>
              <w:spacing w:line="240" w:lineRule="auto"/>
              <w:rPr>
                <w:rFonts w:cs="Times New Roman"/>
                <w:sz w:val="20"/>
                <w:szCs w:val="20"/>
                <w:lang w:val="it-IT"/>
              </w:rPr>
            </w:pPr>
            <w:r w:rsidRPr="001D1C67">
              <w:rPr>
                <w:rFonts w:cs="Times New Roman"/>
                <w:sz w:val="20"/>
                <w:szCs w:val="20"/>
                <w:lang w:val="it-IT"/>
              </w:rPr>
              <w:t>24h: 605.1±89.5 ng/mm</w:t>
            </w:r>
            <w:r w:rsidRPr="001D1C67">
              <w:rPr>
                <w:rFonts w:cs="Times New Roman"/>
                <w:sz w:val="20"/>
                <w:szCs w:val="20"/>
                <w:vertAlign w:val="superscript"/>
                <w:lang w:val="it-IT"/>
              </w:rPr>
              <w:t>2</w:t>
            </w:r>
          </w:p>
          <w:p w14:paraId="28176D8A" w14:textId="77777777" w:rsidR="004B69F5" w:rsidRPr="001D1C67" w:rsidRDefault="004B69F5" w:rsidP="000D2CA8">
            <w:pPr>
              <w:spacing w:line="240" w:lineRule="auto"/>
              <w:rPr>
                <w:rFonts w:cs="Times New Roman"/>
                <w:sz w:val="20"/>
                <w:szCs w:val="20"/>
                <w:lang w:val="it-IT"/>
              </w:rPr>
            </w:pPr>
          </w:p>
          <w:p w14:paraId="25D209F9" w14:textId="77777777" w:rsidR="004B69F5" w:rsidRPr="001D1C67" w:rsidRDefault="004B69F5" w:rsidP="000D2CA8">
            <w:pPr>
              <w:spacing w:line="240" w:lineRule="auto"/>
              <w:rPr>
                <w:rFonts w:cs="Times New Roman"/>
                <w:sz w:val="20"/>
                <w:szCs w:val="20"/>
                <w:lang w:val="it-IT"/>
              </w:rPr>
            </w:pPr>
            <w:r w:rsidRPr="001D1C67">
              <w:rPr>
                <w:rFonts w:cs="Times New Roman"/>
                <w:sz w:val="20"/>
                <w:szCs w:val="20"/>
                <w:lang w:val="it-IT"/>
              </w:rPr>
              <w:t>Progenica (RT):</w:t>
            </w:r>
          </w:p>
          <w:p w14:paraId="05D549D6" w14:textId="77777777" w:rsidR="004B69F5" w:rsidRDefault="004B69F5" w:rsidP="000D2CA8">
            <w:pPr>
              <w:spacing w:line="240" w:lineRule="auto"/>
              <w:rPr>
                <w:rFonts w:cs="Times New Roman"/>
                <w:sz w:val="20"/>
                <w:szCs w:val="20"/>
                <w:lang w:val="en"/>
              </w:rPr>
            </w:pPr>
            <w:r>
              <w:rPr>
                <w:rFonts w:cs="Times New Roman"/>
                <w:sz w:val="20"/>
                <w:szCs w:val="20"/>
                <w:lang w:val="en"/>
              </w:rPr>
              <w:t>1h: Data NR</w:t>
            </w:r>
          </w:p>
          <w:p w14:paraId="627E48F1" w14:textId="77777777" w:rsidR="004B69F5" w:rsidRDefault="004B69F5" w:rsidP="000D2CA8">
            <w:pPr>
              <w:spacing w:line="240" w:lineRule="auto"/>
              <w:rPr>
                <w:rFonts w:cs="Times New Roman"/>
                <w:sz w:val="20"/>
                <w:szCs w:val="20"/>
                <w:lang w:val="en"/>
              </w:rPr>
            </w:pPr>
            <w:r>
              <w:rPr>
                <w:rFonts w:cs="Times New Roman"/>
                <w:sz w:val="20"/>
                <w:szCs w:val="20"/>
                <w:lang w:val="en"/>
              </w:rPr>
              <w:t>2h: 112.0±41.4 ng/mm</w:t>
            </w:r>
            <w:r w:rsidRPr="001A54C8">
              <w:rPr>
                <w:rFonts w:cs="Times New Roman"/>
                <w:sz w:val="20"/>
                <w:szCs w:val="20"/>
                <w:vertAlign w:val="superscript"/>
                <w:lang w:val="en"/>
              </w:rPr>
              <w:t>2</w:t>
            </w:r>
          </w:p>
          <w:p w14:paraId="21C13A37" w14:textId="77777777" w:rsidR="004B69F5" w:rsidRDefault="004B69F5" w:rsidP="000D2CA8">
            <w:pPr>
              <w:spacing w:line="240" w:lineRule="auto"/>
              <w:rPr>
                <w:rFonts w:cs="Times New Roman"/>
                <w:sz w:val="20"/>
                <w:szCs w:val="20"/>
                <w:lang w:val="en"/>
              </w:rPr>
            </w:pPr>
            <w:r>
              <w:rPr>
                <w:rFonts w:cs="Times New Roman"/>
                <w:sz w:val="20"/>
                <w:szCs w:val="20"/>
                <w:lang w:val="en"/>
              </w:rPr>
              <w:t>24h: 743.2±155.5 ng/mm</w:t>
            </w:r>
            <w:r w:rsidRPr="001A54C8">
              <w:rPr>
                <w:rFonts w:cs="Times New Roman"/>
                <w:sz w:val="20"/>
                <w:szCs w:val="20"/>
                <w:vertAlign w:val="superscript"/>
                <w:lang w:val="en"/>
              </w:rPr>
              <w:t>2</w:t>
            </w:r>
          </w:p>
          <w:p w14:paraId="0CE322B4" w14:textId="77777777" w:rsidR="004B69F5" w:rsidRDefault="004B69F5" w:rsidP="000D2CA8">
            <w:pPr>
              <w:spacing w:line="240" w:lineRule="auto"/>
              <w:rPr>
                <w:rFonts w:cs="Times New Roman"/>
                <w:sz w:val="20"/>
                <w:szCs w:val="20"/>
                <w:lang w:val="en"/>
              </w:rPr>
            </w:pPr>
          </w:p>
          <w:p w14:paraId="00B71B40" w14:textId="77777777" w:rsidR="004B69F5" w:rsidRDefault="004B69F5" w:rsidP="000D2CA8">
            <w:pPr>
              <w:spacing w:line="240" w:lineRule="auto"/>
              <w:rPr>
                <w:rFonts w:cs="Times New Roman"/>
                <w:sz w:val="20"/>
                <w:szCs w:val="20"/>
                <w:lang w:val="en"/>
              </w:rPr>
            </w:pPr>
            <w:r>
              <w:rPr>
                <w:rFonts w:cs="Times New Roman"/>
                <w:sz w:val="20"/>
                <w:szCs w:val="20"/>
                <w:lang w:val="en"/>
              </w:rPr>
              <w:t>Progenica (F):</w:t>
            </w:r>
          </w:p>
          <w:p w14:paraId="0B9D2126" w14:textId="77777777" w:rsidR="004B69F5" w:rsidRDefault="004B69F5" w:rsidP="000D2CA8">
            <w:pPr>
              <w:spacing w:line="240" w:lineRule="auto"/>
              <w:rPr>
                <w:rFonts w:cs="Times New Roman"/>
                <w:sz w:val="20"/>
                <w:szCs w:val="20"/>
                <w:lang w:val="en"/>
              </w:rPr>
            </w:pPr>
            <w:r>
              <w:rPr>
                <w:rFonts w:cs="Times New Roman"/>
                <w:sz w:val="20"/>
                <w:szCs w:val="20"/>
                <w:lang w:val="en"/>
              </w:rPr>
              <w:t>1h: Data NR</w:t>
            </w:r>
          </w:p>
          <w:p w14:paraId="260D5971" w14:textId="77777777" w:rsidR="004B69F5" w:rsidRDefault="004B69F5" w:rsidP="000D2CA8">
            <w:pPr>
              <w:spacing w:line="240" w:lineRule="auto"/>
              <w:rPr>
                <w:rFonts w:cs="Times New Roman"/>
                <w:sz w:val="20"/>
                <w:szCs w:val="20"/>
                <w:lang w:val="en"/>
              </w:rPr>
            </w:pPr>
            <w:r>
              <w:rPr>
                <w:rFonts w:cs="Times New Roman"/>
                <w:sz w:val="20"/>
                <w:szCs w:val="20"/>
                <w:lang w:val="en"/>
              </w:rPr>
              <w:t>2h: 1095.6±359.1 ng/mm</w:t>
            </w:r>
            <w:r w:rsidRPr="001A54C8">
              <w:rPr>
                <w:rFonts w:cs="Times New Roman"/>
                <w:sz w:val="20"/>
                <w:szCs w:val="20"/>
                <w:vertAlign w:val="superscript"/>
                <w:lang w:val="en"/>
              </w:rPr>
              <w:t>2</w:t>
            </w:r>
          </w:p>
          <w:p w14:paraId="692D1096" w14:textId="77777777" w:rsidR="004B69F5" w:rsidRDefault="004B69F5" w:rsidP="000D2CA8">
            <w:pPr>
              <w:spacing w:line="240" w:lineRule="auto"/>
              <w:rPr>
                <w:rFonts w:cs="Times New Roman"/>
                <w:sz w:val="20"/>
                <w:szCs w:val="20"/>
                <w:lang w:val="en"/>
              </w:rPr>
            </w:pPr>
            <w:r>
              <w:rPr>
                <w:rFonts w:cs="Times New Roman"/>
                <w:sz w:val="20"/>
                <w:szCs w:val="20"/>
                <w:lang w:val="en"/>
              </w:rPr>
              <w:t>24h: 1247.9±132.1 ng/mm</w:t>
            </w:r>
            <w:r w:rsidRPr="001A54C8">
              <w:rPr>
                <w:rFonts w:cs="Times New Roman"/>
                <w:sz w:val="20"/>
                <w:szCs w:val="20"/>
                <w:vertAlign w:val="superscript"/>
                <w:lang w:val="en"/>
              </w:rPr>
              <w:t>2</w:t>
            </w:r>
          </w:p>
          <w:p w14:paraId="00E24C76" w14:textId="77777777" w:rsidR="004B69F5" w:rsidRDefault="004B69F5" w:rsidP="000D2CA8">
            <w:pPr>
              <w:spacing w:line="240" w:lineRule="auto"/>
              <w:rPr>
                <w:rFonts w:cs="Times New Roman"/>
                <w:sz w:val="20"/>
                <w:szCs w:val="20"/>
                <w:lang w:val="en"/>
              </w:rPr>
            </w:pPr>
          </w:p>
        </w:tc>
        <w:tc>
          <w:tcPr>
            <w:tcW w:w="2268" w:type="dxa"/>
            <w:shd w:val="clear" w:color="auto" w:fill="FFFFFF" w:themeFill="background1"/>
          </w:tcPr>
          <w:p w14:paraId="049BED57" w14:textId="77777777" w:rsidR="004B69F5" w:rsidRDefault="004B69F5" w:rsidP="000D2CA8">
            <w:pPr>
              <w:spacing w:line="240" w:lineRule="auto"/>
              <w:rPr>
                <w:rFonts w:cs="Times New Roman"/>
                <w:sz w:val="20"/>
                <w:szCs w:val="20"/>
                <w:lang w:val="en"/>
              </w:rPr>
            </w:pPr>
            <w:r>
              <w:rPr>
                <w:rFonts w:cs="Times New Roman"/>
                <w:sz w:val="20"/>
                <w:szCs w:val="20"/>
                <w:lang w:val="en"/>
              </w:rPr>
              <w:t xml:space="preserve">24h Humidity: </w:t>
            </w:r>
          </w:p>
          <w:p w14:paraId="6CECC4FF" w14:textId="77777777" w:rsidR="004B69F5" w:rsidRDefault="004B69F5" w:rsidP="000D2CA8">
            <w:pPr>
              <w:spacing w:line="240" w:lineRule="auto"/>
              <w:rPr>
                <w:rFonts w:cs="Times New Roman"/>
                <w:sz w:val="20"/>
                <w:szCs w:val="20"/>
                <w:lang w:val="en"/>
              </w:rPr>
            </w:pPr>
            <w:r>
              <w:rPr>
                <w:rFonts w:cs="Times New Roman"/>
                <w:sz w:val="20"/>
                <w:szCs w:val="20"/>
                <w:lang w:val="en"/>
              </w:rPr>
              <w:t>RT: 90%</w:t>
            </w:r>
          </w:p>
          <w:p w14:paraId="524E5E4A" w14:textId="77777777" w:rsidR="004B69F5" w:rsidRDefault="004B69F5" w:rsidP="000D2CA8">
            <w:pPr>
              <w:spacing w:line="240" w:lineRule="auto"/>
              <w:rPr>
                <w:rFonts w:cs="Times New Roman"/>
                <w:sz w:val="20"/>
                <w:szCs w:val="20"/>
                <w:lang w:val="en"/>
              </w:rPr>
            </w:pPr>
            <w:r>
              <w:rPr>
                <w:rFonts w:cs="Times New Roman"/>
                <w:sz w:val="20"/>
                <w:szCs w:val="20"/>
                <w:lang w:val="en"/>
              </w:rPr>
              <w:t>F: 90%</w:t>
            </w:r>
          </w:p>
          <w:p w14:paraId="2384117B" w14:textId="77777777" w:rsidR="004B69F5" w:rsidRDefault="004B69F5" w:rsidP="000D2CA8">
            <w:pPr>
              <w:spacing w:line="240" w:lineRule="auto"/>
              <w:rPr>
                <w:rFonts w:cs="Times New Roman"/>
                <w:sz w:val="20"/>
                <w:szCs w:val="20"/>
                <w:lang w:val="en"/>
              </w:rPr>
            </w:pPr>
          </w:p>
          <w:p w14:paraId="1C9F51EF" w14:textId="77777777" w:rsidR="004B69F5" w:rsidRDefault="004B69F5" w:rsidP="000D2CA8">
            <w:pPr>
              <w:spacing w:line="240" w:lineRule="auto"/>
              <w:rPr>
                <w:rFonts w:cs="Times New Roman"/>
                <w:sz w:val="20"/>
                <w:szCs w:val="20"/>
                <w:lang w:val="en"/>
              </w:rPr>
            </w:pPr>
            <w:r>
              <w:rPr>
                <w:rFonts w:cs="Times New Roman"/>
                <w:sz w:val="20"/>
                <w:szCs w:val="20"/>
                <w:lang w:val="en"/>
              </w:rPr>
              <w:t>Protein absorption pre-cleaning(RT):</w:t>
            </w:r>
          </w:p>
          <w:p w14:paraId="271704C8"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15mins:18.5±4.2 ng/mm</w:t>
            </w:r>
            <w:r w:rsidRPr="001D1C67">
              <w:rPr>
                <w:rFonts w:cs="Times New Roman"/>
                <w:sz w:val="20"/>
                <w:szCs w:val="20"/>
                <w:vertAlign w:val="superscript"/>
                <w:lang w:val="sv-SE"/>
              </w:rPr>
              <w:t>2</w:t>
            </w:r>
          </w:p>
          <w:p w14:paraId="391F4705"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24h: 31.9±5.3 ng/mm</w:t>
            </w:r>
            <w:r w:rsidRPr="001D1C67">
              <w:rPr>
                <w:rFonts w:cs="Times New Roman"/>
                <w:sz w:val="20"/>
                <w:szCs w:val="20"/>
                <w:vertAlign w:val="superscript"/>
                <w:lang w:val="sv-SE"/>
              </w:rPr>
              <w:t>2</w:t>
            </w:r>
          </w:p>
          <w:p w14:paraId="7FF466E6" w14:textId="77777777" w:rsidR="004B69F5" w:rsidRPr="001D1C67" w:rsidRDefault="004B69F5" w:rsidP="000D2CA8">
            <w:pPr>
              <w:spacing w:line="240" w:lineRule="auto"/>
              <w:rPr>
                <w:rFonts w:cs="Times New Roman"/>
                <w:sz w:val="20"/>
                <w:szCs w:val="20"/>
                <w:lang w:val="sv-SE"/>
              </w:rPr>
            </w:pPr>
          </w:p>
          <w:p w14:paraId="5E1C8ED2"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Prolystica (RT):</w:t>
            </w:r>
          </w:p>
          <w:p w14:paraId="08A00581"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1h: Data NR</w:t>
            </w:r>
          </w:p>
          <w:p w14:paraId="7DFFD8F6"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2h: Data NR †</w:t>
            </w:r>
          </w:p>
          <w:p w14:paraId="5B3350EC"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24h: Data NR †</w:t>
            </w:r>
          </w:p>
          <w:p w14:paraId="5AB45BCD" w14:textId="77777777" w:rsidR="004B69F5" w:rsidRPr="001D1C67" w:rsidRDefault="004B69F5" w:rsidP="000D2CA8">
            <w:pPr>
              <w:spacing w:line="240" w:lineRule="auto"/>
              <w:rPr>
                <w:rFonts w:cs="Times New Roman"/>
                <w:sz w:val="20"/>
                <w:szCs w:val="20"/>
                <w:lang w:val="pt-PT"/>
              </w:rPr>
            </w:pPr>
          </w:p>
          <w:p w14:paraId="5432C128"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Prolystica (F):</w:t>
            </w:r>
          </w:p>
          <w:p w14:paraId="3A28F4C6"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1h: Data NR</w:t>
            </w:r>
          </w:p>
          <w:p w14:paraId="50431038"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2h: Data NR †</w:t>
            </w:r>
          </w:p>
          <w:p w14:paraId="37D20857"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24h: Data NR †</w:t>
            </w:r>
          </w:p>
          <w:p w14:paraId="0F96BCD6" w14:textId="77777777" w:rsidR="004B69F5" w:rsidRPr="001D1C67" w:rsidRDefault="004B69F5" w:rsidP="000D2CA8">
            <w:pPr>
              <w:spacing w:line="240" w:lineRule="auto"/>
              <w:rPr>
                <w:rFonts w:cs="Times New Roman"/>
                <w:sz w:val="20"/>
                <w:szCs w:val="20"/>
                <w:lang w:val="pt-PT"/>
              </w:rPr>
            </w:pPr>
          </w:p>
          <w:p w14:paraId="24D71F4E"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Progenica (RT):</w:t>
            </w:r>
          </w:p>
          <w:p w14:paraId="6BD8CAB3"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1h: Data NR</w:t>
            </w:r>
          </w:p>
          <w:p w14:paraId="76E52D49"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2h: Data NR</w:t>
            </w:r>
          </w:p>
          <w:p w14:paraId="510737E3"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 xml:space="preserve">24h: Data NR† </w:t>
            </w:r>
          </w:p>
          <w:p w14:paraId="1CF7EEBC" w14:textId="77777777" w:rsidR="004B69F5" w:rsidRPr="001D1C67" w:rsidRDefault="004B69F5" w:rsidP="000D2CA8">
            <w:pPr>
              <w:spacing w:line="240" w:lineRule="auto"/>
              <w:rPr>
                <w:rFonts w:cs="Times New Roman"/>
                <w:sz w:val="20"/>
                <w:szCs w:val="20"/>
                <w:lang w:val="pt-PT"/>
              </w:rPr>
            </w:pPr>
          </w:p>
          <w:p w14:paraId="6E8E7205" w14:textId="77777777" w:rsidR="004B69F5" w:rsidRPr="001D1C67" w:rsidRDefault="004B69F5" w:rsidP="000D2CA8">
            <w:pPr>
              <w:spacing w:line="240" w:lineRule="auto"/>
              <w:rPr>
                <w:rFonts w:cs="Times New Roman"/>
                <w:sz w:val="20"/>
                <w:szCs w:val="20"/>
                <w:lang w:val="it-IT"/>
              </w:rPr>
            </w:pPr>
            <w:r w:rsidRPr="001D1C67">
              <w:rPr>
                <w:rFonts w:cs="Times New Roman"/>
                <w:sz w:val="20"/>
                <w:szCs w:val="20"/>
                <w:lang w:val="it-IT"/>
              </w:rPr>
              <w:t>Progenica (F):</w:t>
            </w:r>
          </w:p>
          <w:p w14:paraId="69B90DD8" w14:textId="77777777" w:rsidR="004B69F5" w:rsidRPr="001D1C67" w:rsidRDefault="004B69F5" w:rsidP="000D2CA8">
            <w:pPr>
              <w:spacing w:line="240" w:lineRule="auto"/>
              <w:rPr>
                <w:rFonts w:cs="Times New Roman"/>
                <w:sz w:val="20"/>
                <w:szCs w:val="20"/>
                <w:lang w:val="it-IT"/>
              </w:rPr>
            </w:pPr>
            <w:r w:rsidRPr="001D1C67">
              <w:rPr>
                <w:rFonts w:cs="Times New Roman"/>
                <w:sz w:val="20"/>
                <w:szCs w:val="20"/>
                <w:lang w:val="it-IT"/>
              </w:rPr>
              <w:t>1h: Data NR</w:t>
            </w:r>
          </w:p>
          <w:p w14:paraId="7B550430" w14:textId="77777777" w:rsidR="004B69F5" w:rsidRPr="001D1C67" w:rsidRDefault="004B69F5" w:rsidP="000D2CA8">
            <w:pPr>
              <w:spacing w:line="240" w:lineRule="auto"/>
              <w:rPr>
                <w:rFonts w:cs="Times New Roman"/>
                <w:sz w:val="20"/>
                <w:szCs w:val="20"/>
                <w:lang w:val="it-IT"/>
              </w:rPr>
            </w:pPr>
            <w:r w:rsidRPr="001D1C67">
              <w:rPr>
                <w:rFonts w:cs="Times New Roman"/>
                <w:sz w:val="20"/>
                <w:szCs w:val="20"/>
                <w:lang w:val="it-IT"/>
              </w:rPr>
              <w:t>2h: Data NR</w:t>
            </w:r>
          </w:p>
          <w:p w14:paraId="078E94C9" w14:textId="77777777" w:rsidR="004B69F5" w:rsidRDefault="004B69F5" w:rsidP="000D2CA8">
            <w:pPr>
              <w:spacing w:line="240" w:lineRule="auto"/>
              <w:rPr>
                <w:rFonts w:cs="Times New Roman"/>
                <w:sz w:val="20"/>
                <w:szCs w:val="20"/>
                <w:lang w:val="en"/>
              </w:rPr>
            </w:pPr>
            <w:r>
              <w:rPr>
                <w:rFonts w:cs="Times New Roman"/>
                <w:sz w:val="20"/>
                <w:szCs w:val="20"/>
                <w:lang w:val="en"/>
              </w:rPr>
              <w:t xml:space="preserve">24h: Data NR† </w:t>
            </w:r>
          </w:p>
          <w:p w14:paraId="03EE935A" w14:textId="77777777" w:rsidR="004B69F5" w:rsidRPr="00E05192" w:rsidRDefault="004B69F5" w:rsidP="000D2CA8">
            <w:pPr>
              <w:spacing w:line="240" w:lineRule="auto"/>
              <w:rPr>
                <w:rFonts w:cs="Times New Roman"/>
                <w:sz w:val="20"/>
                <w:szCs w:val="20"/>
                <w:lang w:val="en"/>
              </w:rPr>
            </w:pPr>
          </w:p>
        </w:tc>
      </w:tr>
      <w:tr w:rsidR="004B69F5" w:rsidRPr="00E05192" w14:paraId="58F97980" w14:textId="77777777" w:rsidTr="0015557F">
        <w:trPr>
          <w:trHeight w:val="1840"/>
        </w:trPr>
        <w:tc>
          <w:tcPr>
            <w:tcW w:w="1160" w:type="dxa"/>
            <w:vMerge/>
            <w:shd w:val="clear" w:color="auto" w:fill="FFFFFF" w:themeFill="background1"/>
          </w:tcPr>
          <w:p w14:paraId="3D781A2E" w14:textId="77777777" w:rsidR="004B69F5" w:rsidRPr="00E05192" w:rsidRDefault="004B69F5" w:rsidP="000D2CA8">
            <w:pPr>
              <w:spacing w:line="240" w:lineRule="auto"/>
              <w:rPr>
                <w:rFonts w:cs="Times New Roman"/>
                <w:sz w:val="20"/>
                <w:szCs w:val="20"/>
              </w:rPr>
            </w:pPr>
          </w:p>
        </w:tc>
        <w:tc>
          <w:tcPr>
            <w:tcW w:w="939" w:type="dxa"/>
            <w:vMerge/>
          </w:tcPr>
          <w:p w14:paraId="43913BA4" w14:textId="77777777" w:rsidR="004B69F5" w:rsidRPr="00E05192" w:rsidRDefault="004B69F5" w:rsidP="000D2CA8">
            <w:pPr>
              <w:spacing w:line="240" w:lineRule="auto"/>
              <w:rPr>
                <w:rFonts w:cs="Times New Roman"/>
                <w:sz w:val="20"/>
                <w:szCs w:val="20"/>
              </w:rPr>
            </w:pPr>
          </w:p>
        </w:tc>
        <w:tc>
          <w:tcPr>
            <w:tcW w:w="1116" w:type="dxa"/>
            <w:vMerge/>
          </w:tcPr>
          <w:p w14:paraId="35A9CFC1" w14:textId="77777777" w:rsidR="004B69F5" w:rsidRPr="00E05192" w:rsidRDefault="004B69F5" w:rsidP="000D2CA8">
            <w:pPr>
              <w:spacing w:line="240" w:lineRule="auto"/>
              <w:rPr>
                <w:rFonts w:cs="Times New Roman"/>
                <w:sz w:val="20"/>
                <w:szCs w:val="20"/>
              </w:rPr>
            </w:pPr>
          </w:p>
        </w:tc>
        <w:tc>
          <w:tcPr>
            <w:tcW w:w="959" w:type="dxa"/>
            <w:vMerge/>
          </w:tcPr>
          <w:p w14:paraId="4E93FC66" w14:textId="77777777" w:rsidR="004B69F5" w:rsidRPr="00E05192" w:rsidRDefault="004B69F5" w:rsidP="000D2CA8">
            <w:pPr>
              <w:spacing w:line="240" w:lineRule="auto"/>
              <w:rPr>
                <w:rFonts w:cs="Times New Roman"/>
                <w:sz w:val="20"/>
                <w:szCs w:val="20"/>
              </w:rPr>
            </w:pPr>
          </w:p>
        </w:tc>
        <w:tc>
          <w:tcPr>
            <w:tcW w:w="1141" w:type="dxa"/>
            <w:vMerge/>
            <w:shd w:val="clear" w:color="auto" w:fill="FFFFFF" w:themeFill="background1"/>
          </w:tcPr>
          <w:p w14:paraId="1E46B45E" w14:textId="77777777" w:rsidR="004B69F5" w:rsidRPr="00E05192" w:rsidRDefault="004B69F5" w:rsidP="000D2CA8">
            <w:pPr>
              <w:spacing w:line="240" w:lineRule="auto"/>
              <w:rPr>
                <w:rFonts w:cs="Times New Roman"/>
                <w:sz w:val="20"/>
                <w:szCs w:val="20"/>
              </w:rPr>
            </w:pPr>
          </w:p>
        </w:tc>
        <w:tc>
          <w:tcPr>
            <w:tcW w:w="1289" w:type="dxa"/>
            <w:vMerge/>
            <w:shd w:val="clear" w:color="auto" w:fill="FFFFFF" w:themeFill="background1"/>
          </w:tcPr>
          <w:p w14:paraId="19822F6D" w14:textId="77777777" w:rsidR="004B69F5" w:rsidRPr="00E05192" w:rsidRDefault="004B69F5" w:rsidP="000D2CA8">
            <w:pPr>
              <w:spacing w:line="240" w:lineRule="auto"/>
              <w:rPr>
                <w:rFonts w:cs="Times New Roman"/>
                <w:sz w:val="20"/>
                <w:szCs w:val="20"/>
                <w:lang w:val="en"/>
              </w:rPr>
            </w:pPr>
          </w:p>
        </w:tc>
        <w:tc>
          <w:tcPr>
            <w:tcW w:w="1442" w:type="dxa"/>
            <w:shd w:val="clear" w:color="auto" w:fill="FFFFFF" w:themeFill="background1"/>
          </w:tcPr>
          <w:p w14:paraId="326221B2" w14:textId="77777777" w:rsidR="004B69F5" w:rsidRDefault="004B69F5" w:rsidP="000D2CA8">
            <w:pPr>
              <w:spacing w:line="240" w:lineRule="auto"/>
              <w:rPr>
                <w:rFonts w:cs="Times New Roman"/>
                <w:sz w:val="20"/>
                <w:szCs w:val="20"/>
              </w:rPr>
            </w:pPr>
            <w:r>
              <w:rPr>
                <w:rFonts w:cs="Times New Roman"/>
                <w:sz w:val="20"/>
                <w:szCs w:val="20"/>
              </w:rPr>
              <w:t>Dry bag: Tied clear polythene bag for (DT):</w:t>
            </w:r>
          </w:p>
          <w:p w14:paraId="79B36CDF" w14:textId="77777777" w:rsidR="004B69F5" w:rsidRDefault="004B69F5" w:rsidP="000D2CA8">
            <w:pPr>
              <w:spacing w:line="240" w:lineRule="auto"/>
              <w:rPr>
                <w:rFonts w:cs="Times New Roman"/>
                <w:sz w:val="20"/>
                <w:szCs w:val="20"/>
              </w:rPr>
            </w:pPr>
            <w:r>
              <w:rPr>
                <w:rFonts w:cs="Times New Roman"/>
                <w:sz w:val="20"/>
                <w:szCs w:val="20"/>
              </w:rPr>
              <w:t>15mins, 30mins, 1h, 2h, 24h (RT and F)</w:t>
            </w:r>
          </w:p>
        </w:tc>
        <w:tc>
          <w:tcPr>
            <w:tcW w:w="1843" w:type="dxa"/>
            <w:vMerge/>
            <w:shd w:val="clear" w:color="auto" w:fill="FFFFFF" w:themeFill="background1"/>
          </w:tcPr>
          <w:p w14:paraId="7364A497" w14:textId="77777777" w:rsidR="004B69F5" w:rsidRPr="00E05192" w:rsidRDefault="004B69F5" w:rsidP="000D2CA8">
            <w:pPr>
              <w:spacing w:line="240" w:lineRule="auto"/>
              <w:rPr>
                <w:rFonts w:cs="Times New Roman"/>
                <w:sz w:val="20"/>
                <w:szCs w:val="20"/>
              </w:rPr>
            </w:pPr>
          </w:p>
        </w:tc>
        <w:tc>
          <w:tcPr>
            <w:tcW w:w="2410" w:type="dxa"/>
            <w:shd w:val="clear" w:color="auto" w:fill="FFFFFF" w:themeFill="background1"/>
          </w:tcPr>
          <w:p w14:paraId="770B1F2D" w14:textId="77777777" w:rsidR="004B69F5" w:rsidRDefault="004B69F5" w:rsidP="000D2CA8">
            <w:pPr>
              <w:spacing w:line="240" w:lineRule="auto"/>
              <w:rPr>
                <w:rFonts w:cs="Times New Roman"/>
                <w:sz w:val="20"/>
                <w:szCs w:val="20"/>
                <w:lang w:val="en"/>
              </w:rPr>
            </w:pPr>
          </w:p>
          <w:p w14:paraId="00B7F7F7" w14:textId="77777777" w:rsidR="004B69F5" w:rsidRDefault="004B69F5" w:rsidP="000D2CA8">
            <w:pPr>
              <w:spacing w:line="240" w:lineRule="auto"/>
              <w:rPr>
                <w:rFonts w:cs="Times New Roman"/>
                <w:sz w:val="20"/>
                <w:szCs w:val="20"/>
                <w:lang w:val="en"/>
              </w:rPr>
            </w:pPr>
            <w:r>
              <w:rPr>
                <w:rFonts w:cs="Times New Roman"/>
                <w:sz w:val="20"/>
                <w:szCs w:val="20"/>
                <w:lang w:val="en"/>
              </w:rPr>
              <w:t xml:space="preserve">24 h Humidity: </w:t>
            </w:r>
          </w:p>
          <w:p w14:paraId="2CB06086" w14:textId="77777777" w:rsidR="004B69F5" w:rsidRDefault="004B69F5" w:rsidP="000D2CA8">
            <w:pPr>
              <w:spacing w:line="240" w:lineRule="auto"/>
              <w:rPr>
                <w:rFonts w:cs="Times New Roman"/>
                <w:sz w:val="20"/>
                <w:szCs w:val="20"/>
                <w:lang w:val="en"/>
              </w:rPr>
            </w:pPr>
            <w:r>
              <w:rPr>
                <w:rFonts w:cs="Times New Roman"/>
                <w:sz w:val="20"/>
                <w:szCs w:val="20"/>
                <w:lang w:val="en"/>
              </w:rPr>
              <w:t>RT: 55%-80%</w:t>
            </w:r>
          </w:p>
          <w:p w14:paraId="0573CB74" w14:textId="77777777" w:rsidR="004B69F5" w:rsidRDefault="004B69F5" w:rsidP="000D2CA8">
            <w:pPr>
              <w:spacing w:line="240" w:lineRule="auto"/>
              <w:rPr>
                <w:rFonts w:cs="Times New Roman"/>
                <w:sz w:val="20"/>
                <w:szCs w:val="20"/>
                <w:lang w:val="en"/>
              </w:rPr>
            </w:pPr>
            <w:r>
              <w:rPr>
                <w:rFonts w:cs="Times New Roman"/>
                <w:sz w:val="20"/>
                <w:szCs w:val="20"/>
                <w:lang w:val="en"/>
              </w:rPr>
              <w:t>F: 47%-90%</w:t>
            </w:r>
          </w:p>
          <w:p w14:paraId="4650C6CB" w14:textId="77777777" w:rsidR="004B69F5" w:rsidRDefault="004B69F5" w:rsidP="000D2CA8">
            <w:pPr>
              <w:spacing w:line="240" w:lineRule="auto"/>
              <w:rPr>
                <w:rFonts w:cs="Times New Roman"/>
                <w:sz w:val="20"/>
                <w:szCs w:val="20"/>
                <w:lang w:val="en"/>
              </w:rPr>
            </w:pPr>
          </w:p>
          <w:p w14:paraId="23E72AEF" w14:textId="77777777" w:rsidR="004B69F5" w:rsidRDefault="004B69F5" w:rsidP="000D2CA8">
            <w:pPr>
              <w:spacing w:line="240" w:lineRule="auto"/>
              <w:rPr>
                <w:rFonts w:cs="Times New Roman"/>
                <w:sz w:val="20"/>
                <w:szCs w:val="20"/>
                <w:lang w:val="en"/>
              </w:rPr>
            </w:pPr>
            <w:r>
              <w:rPr>
                <w:rFonts w:cs="Times New Roman"/>
                <w:sz w:val="20"/>
                <w:szCs w:val="20"/>
                <w:lang w:val="en"/>
              </w:rPr>
              <w:t>Protein absorption pre-cleaning(RT):</w:t>
            </w:r>
          </w:p>
          <w:p w14:paraId="7666D223"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15mins: 30.6±27.7 ng/mm</w:t>
            </w:r>
            <w:r w:rsidRPr="001D1C67">
              <w:rPr>
                <w:rFonts w:cs="Times New Roman"/>
                <w:sz w:val="20"/>
                <w:szCs w:val="20"/>
                <w:vertAlign w:val="superscript"/>
                <w:lang w:val="sv-SE"/>
              </w:rPr>
              <w:t>2</w:t>
            </w:r>
          </w:p>
          <w:p w14:paraId="61987536"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24h: 785.6±310.8 ng/mm</w:t>
            </w:r>
            <w:r w:rsidRPr="001D1C67">
              <w:rPr>
                <w:rFonts w:cs="Times New Roman"/>
                <w:sz w:val="20"/>
                <w:szCs w:val="20"/>
                <w:vertAlign w:val="superscript"/>
                <w:lang w:val="sv-SE"/>
              </w:rPr>
              <w:t>2</w:t>
            </w:r>
          </w:p>
          <w:p w14:paraId="30D5730F" w14:textId="77777777" w:rsidR="004B69F5" w:rsidRPr="001D1C67" w:rsidRDefault="004B69F5" w:rsidP="000D2CA8">
            <w:pPr>
              <w:spacing w:line="240" w:lineRule="auto"/>
              <w:rPr>
                <w:rFonts w:cs="Times New Roman"/>
                <w:sz w:val="20"/>
                <w:szCs w:val="20"/>
                <w:lang w:val="sv-SE"/>
              </w:rPr>
            </w:pPr>
          </w:p>
          <w:p w14:paraId="07ABC325"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Prolystica (RT):</w:t>
            </w:r>
          </w:p>
          <w:p w14:paraId="636A1ADC"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1h: 84.7±30.9 ng/mm</w:t>
            </w:r>
            <w:r w:rsidRPr="001D1C67">
              <w:rPr>
                <w:rFonts w:cs="Times New Roman"/>
                <w:sz w:val="20"/>
                <w:szCs w:val="20"/>
                <w:vertAlign w:val="superscript"/>
                <w:lang w:val="sv-SE"/>
              </w:rPr>
              <w:t>2</w:t>
            </w:r>
          </w:p>
          <w:p w14:paraId="78956181"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2h: Data NR†</w:t>
            </w:r>
          </w:p>
          <w:p w14:paraId="15CA8E2C"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 xml:space="preserve">24h: Data NR† </w:t>
            </w:r>
          </w:p>
          <w:p w14:paraId="16BCEEA6" w14:textId="77777777" w:rsidR="004B69F5" w:rsidRPr="001D1C67" w:rsidRDefault="004B69F5" w:rsidP="000D2CA8">
            <w:pPr>
              <w:spacing w:line="240" w:lineRule="auto"/>
              <w:rPr>
                <w:rFonts w:cs="Times New Roman"/>
                <w:sz w:val="20"/>
                <w:szCs w:val="20"/>
                <w:lang w:val="sv-SE"/>
              </w:rPr>
            </w:pPr>
          </w:p>
          <w:p w14:paraId="691C26C7"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Prolystica (F):</w:t>
            </w:r>
          </w:p>
          <w:p w14:paraId="78087D47"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 xml:space="preserve">1h: Data NR </w:t>
            </w:r>
          </w:p>
          <w:p w14:paraId="78BAF697"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2h: Data NR†</w:t>
            </w:r>
          </w:p>
          <w:p w14:paraId="3792EAFA" w14:textId="77777777" w:rsidR="004B69F5" w:rsidRPr="001D1C67" w:rsidRDefault="004B69F5" w:rsidP="000D2CA8">
            <w:pPr>
              <w:spacing w:line="240" w:lineRule="auto"/>
              <w:rPr>
                <w:rFonts w:cs="Times New Roman"/>
                <w:sz w:val="20"/>
                <w:szCs w:val="20"/>
                <w:lang w:val="it-IT"/>
              </w:rPr>
            </w:pPr>
            <w:r w:rsidRPr="001D1C67">
              <w:rPr>
                <w:rFonts w:cs="Times New Roman"/>
                <w:sz w:val="20"/>
                <w:szCs w:val="20"/>
                <w:lang w:val="it-IT"/>
              </w:rPr>
              <w:t>24h: 181.5±39.4 ng/mm</w:t>
            </w:r>
            <w:r w:rsidRPr="001D1C67">
              <w:rPr>
                <w:rFonts w:cs="Times New Roman"/>
                <w:sz w:val="20"/>
                <w:szCs w:val="20"/>
                <w:vertAlign w:val="superscript"/>
                <w:lang w:val="it-IT"/>
              </w:rPr>
              <w:t>2</w:t>
            </w:r>
            <w:r w:rsidRPr="001D1C67">
              <w:rPr>
                <w:rFonts w:cs="Times New Roman"/>
                <w:sz w:val="20"/>
                <w:szCs w:val="20"/>
                <w:lang w:val="it-IT"/>
              </w:rPr>
              <w:t>†</w:t>
            </w:r>
          </w:p>
          <w:p w14:paraId="1A4D56DC" w14:textId="77777777" w:rsidR="004B69F5" w:rsidRPr="001D1C67" w:rsidRDefault="004B69F5" w:rsidP="000D2CA8">
            <w:pPr>
              <w:spacing w:line="240" w:lineRule="auto"/>
              <w:rPr>
                <w:rFonts w:cs="Times New Roman"/>
                <w:sz w:val="20"/>
                <w:szCs w:val="20"/>
                <w:lang w:val="it-IT"/>
              </w:rPr>
            </w:pPr>
          </w:p>
          <w:p w14:paraId="2409E7D3" w14:textId="77777777" w:rsidR="004B69F5" w:rsidRPr="001D1C67" w:rsidRDefault="004B69F5" w:rsidP="000D2CA8">
            <w:pPr>
              <w:spacing w:line="240" w:lineRule="auto"/>
              <w:rPr>
                <w:rFonts w:cs="Times New Roman"/>
                <w:sz w:val="20"/>
                <w:szCs w:val="20"/>
                <w:lang w:val="it-IT"/>
              </w:rPr>
            </w:pPr>
            <w:r w:rsidRPr="001D1C67">
              <w:rPr>
                <w:rFonts w:cs="Times New Roman"/>
                <w:sz w:val="20"/>
                <w:szCs w:val="20"/>
                <w:lang w:val="it-IT"/>
              </w:rPr>
              <w:t>Progenica (RT):</w:t>
            </w:r>
          </w:p>
          <w:p w14:paraId="2B0F6272" w14:textId="77777777" w:rsidR="004B69F5" w:rsidRDefault="004B69F5" w:rsidP="000D2CA8">
            <w:pPr>
              <w:spacing w:line="240" w:lineRule="auto"/>
              <w:rPr>
                <w:rFonts w:cs="Times New Roman"/>
                <w:sz w:val="20"/>
                <w:szCs w:val="20"/>
                <w:lang w:val="en"/>
              </w:rPr>
            </w:pPr>
            <w:r>
              <w:rPr>
                <w:rFonts w:cs="Times New Roman"/>
                <w:sz w:val="20"/>
                <w:szCs w:val="20"/>
                <w:lang w:val="en"/>
              </w:rPr>
              <w:t>1h: Data NR</w:t>
            </w:r>
          </w:p>
          <w:p w14:paraId="08406C42" w14:textId="77777777" w:rsidR="004B69F5" w:rsidRDefault="004B69F5" w:rsidP="000D2CA8">
            <w:pPr>
              <w:spacing w:line="240" w:lineRule="auto"/>
              <w:rPr>
                <w:rFonts w:cs="Times New Roman"/>
                <w:sz w:val="20"/>
                <w:szCs w:val="20"/>
                <w:lang w:val="en"/>
              </w:rPr>
            </w:pPr>
            <w:r>
              <w:rPr>
                <w:rFonts w:cs="Times New Roman"/>
                <w:sz w:val="20"/>
                <w:szCs w:val="20"/>
                <w:lang w:val="en"/>
              </w:rPr>
              <w:t>2h: Data NR</w:t>
            </w:r>
          </w:p>
          <w:p w14:paraId="2A85E656" w14:textId="77777777" w:rsidR="004B69F5" w:rsidRDefault="004B69F5" w:rsidP="000D2CA8">
            <w:pPr>
              <w:spacing w:line="240" w:lineRule="auto"/>
              <w:rPr>
                <w:rFonts w:cs="Times New Roman"/>
                <w:sz w:val="20"/>
                <w:szCs w:val="20"/>
                <w:lang w:val="en"/>
              </w:rPr>
            </w:pPr>
            <w:r>
              <w:rPr>
                <w:rFonts w:cs="Times New Roman"/>
                <w:sz w:val="20"/>
                <w:szCs w:val="20"/>
                <w:lang w:val="en"/>
              </w:rPr>
              <w:t>24h: 154.5±7.0 ng/mm</w:t>
            </w:r>
            <w:r w:rsidRPr="001A54C8">
              <w:rPr>
                <w:rFonts w:cs="Times New Roman"/>
                <w:sz w:val="20"/>
                <w:szCs w:val="20"/>
                <w:vertAlign w:val="superscript"/>
                <w:lang w:val="en"/>
              </w:rPr>
              <w:t>2</w:t>
            </w:r>
            <w:r>
              <w:rPr>
                <w:rFonts w:cs="Times New Roman"/>
                <w:sz w:val="20"/>
                <w:szCs w:val="20"/>
                <w:lang w:val="en"/>
              </w:rPr>
              <w:t>†</w:t>
            </w:r>
          </w:p>
          <w:p w14:paraId="6DE23A38" w14:textId="77777777" w:rsidR="004B69F5" w:rsidRDefault="004B69F5" w:rsidP="000D2CA8">
            <w:pPr>
              <w:spacing w:line="240" w:lineRule="auto"/>
              <w:rPr>
                <w:rFonts w:cs="Times New Roman"/>
                <w:sz w:val="20"/>
                <w:szCs w:val="20"/>
                <w:lang w:val="en"/>
              </w:rPr>
            </w:pPr>
          </w:p>
          <w:p w14:paraId="1AE07367" w14:textId="77777777" w:rsidR="004B69F5" w:rsidRDefault="004B69F5" w:rsidP="000D2CA8">
            <w:pPr>
              <w:spacing w:line="240" w:lineRule="auto"/>
              <w:rPr>
                <w:rFonts w:cs="Times New Roman"/>
                <w:sz w:val="20"/>
                <w:szCs w:val="20"/>
                <w:lang w:val="en"/>
              </w:rPr>
            </w:pPr>
            <w:r>
              <w:rPr>
                <w:rFonts w:cs="Times New Roman"/>
                <w:sz w:val="20"/>
                <w:szCs w:val="20"/>
                <w:lang w:val="en"/>
              </w:rPr>
              <w:t>Progenica (F):</w:t>
            </w:r>
          </w:p>
          <w:p w14:paraId="2FB7F00A" w14:textId="77777777" w:rsidR="004B69F5" w:rsidRDefault="004B69F5" w:rsidP="000D2CA8">
            <w:pPr>
              <w:spacing w:line="240" w:lineRule="auto"/>
              <w:rPr>
                <w:rFonts w:cs="Times New Roman"/>
                <w:sz w:val="20"/>
                <w:szCs w:val="20"/>
                <w:lang w:val="en"/>
              </w:rPr>
            </w:pPr>
            <w:r>
              <w:rPr>
                <w:rFonts w:cs="Times New Roman"/>
                <w:sz w:val="20"/>
                <w:szCs w:val="20"/>
                <w:lang w:val="en"/>
              </w:rPr>
              <w:t>1h: Data NR</w:t>
            </w:r>
          </w:p>
          <w:p w14:paraId="3E807D42" w14:textId="77777777" w:rsidR="004B69F5" w:rsidRDefault="004B69F5" w:rsidP="000D2CA8">
            <w:pPr>
              <w:spacing w:line="240" w:lineRule="auto"/>
              <w:rPr>
                <w:rFonts w:cs="Times New Roman"/>
                <w:sz w:val="20"/>
                <w:szCs w:val="20"/>
                <w:lang w:val="en"/>
              </w:rPr>
            </w:pPr>
            <w:r>
              <w:rPr>
                <w:rFonts w:cs="Times New Roman"/>
                <w:sz w:val="20"/>
                <w:szCs w:val="20"/>
                <w:lang w:val="en"/>
              </w:rPr>
              <w:t>2h: Data NR</w:t>
            </w:r>
          </w:p>
          <w:p w14:paraId="62522DB5" w14:textId="77777777" w:rsidR="004B69F5" w:rsidRDefault="004B69F5" w:rsidP="000D2CA8">
            <w:pPr>
              <w:spacing w:line="240" w:lineRule="auto"/>
              <w:rPr>
                <w:rFonts w:cs="Times New Roman"/>
                <w:sz w:val="20"/>
                <w:szCs w:val="20"/>
                <w:lang w:val="en"/>
              </w:rPr>
            </w:pPr>
            <w:r>
              <w:rPr>
                <w:rFonts w:cs="Times New Roman"/>
                <w:sz w:val="20"/>
                <w:szCs w:val="20"/>
                <w:lang w:val="en"/>
              </w:rPr>
              <w:t>24h: Data NR †</w:t>
            </w:r>
          </w:p>
        </w:tc>
        <w:tc>
          <w:tcPr>
            <w:tcW w:w="2268" w:type="dxa"/>
            <w:shd w:val="clear" w:color="auto" w:fill="FFFFFF" w:themeFill="background1"/>
          </w:tcPr>
          <w:p w14:paraId="05B065B4" w14:textId="77777777" w:rsidR="004B69F5" w:rsidRPr="00173391" w:rsidRDefault="004B69F5" w:rsidP="000D2CA8">
            <w:pPr>
              <w:spacing w:line="240" w:lineRule="auto"/>
              <w:rPr>
                <w:rFonts w:cs="Times New Roman"/>
                <w:i/>
                <w:sz w:val="20"/>
                <w:szCs w:val="20"/>
                <w:lang w:val="en"/>
              </w:rPr>
            </w:pPr>
            <w:r w:rsidRPr="00173391">
              <w:rPr>
                <w:rFonts w:cs="Times New Roman"/>
                <w:i/>
                <w:sz w:val="20"/>
                <w:szCs w:val="20"/>
                <w:lang w:val="en"/>
              </w:rPr>
              <w:t>(Repeat from above)</w:t>
            </w:r>
          </w:p>
          <w:p w14:paraId="5B3A61E9" w14:textId="77777777" w:rsidR="004B69F5" w:rsidRDefault="004B69F5" w:rsidP="000D2CA8">
            <w:pPr>
              <w:spacing w:line="240" w:lineRule="auto"/>
              <w:rPr>
                <w:rFonts w:cs="Times New Roman"/>
                <w:sz w:val="20"/>
                <w:szCs w:val="20"/>
                <w:lang w:val="en"/>
              </w:rPr>
            </w:pPr>
            <w:r>
              <w:rPr>
                <w:rFonts w:cs="Times New Roman"/>
                <w:sz w:val="20"/>
                <w:szCs w:val="20"/>
                <w:lang w:val="en"/>
              </w:rPr>
              <w:t xml:space="preserve">24h Humidity: </w:t>
            </w:r>
          </w:p>
          <w:p w14:paraId="69CB1856" w14:textId="77777777" w:rsidR="004B69F5" w:rsidRDefault="004B69F5" w:rsidP="000D2CA8">
            <w:pPr>
              <w:spacing w:line="240" w:lineRule="auto"/>
              <w:rPr>
                <w:rFonts w:cs="Times New Roman"/>
                <w:sz w:val="20"/>
                <w:szCs w:val="20"/>
                <w:lang w:val="en"/>
              </w:rPr>
            </w:pPr>
            <w:r>
              <w:rPr>
                <w:rFonts w:cs="Times New Roman"/>
                <w:sz w:val="20"/>
                <w:szCs w:val="20"/>
                <w:lang w:val="en"/>
              </w:rPr>
              <w:t>RT: 90%</w:t>
            </w:r>
          </w:p>
          <w:p w14:paraId="2F717C47" w14:textId="77777777" w:rsidR="004B69F5" w:rsidRDefault="004B69F5" w:rsidP="000D2CA8">
            <w:pPr>
              <w:spacing w:line="240" w:lineRule="auto"/>
              <w:rPr>
                <w:rFonts w:cs="Times New Roman"/>
                <w:sz w:val="20"/>
                <w:szCs w:val="20"/>
                <w:lang w:val="en"/>
              </w:rPr>
            </w:pPr>
            <w:r>
              <w:rPr>
                <w:rFonts w:cs="Times New Roman"/>
                <w:sz w:val="20"/>
                <w:szCs w:val="20"/>
                <w:lang w:val="en"/>
              </w:rPr>
              <w:t>F: 90%</w:t>
            </w:r>
          </w:p>
          <w:p w14:paraId="2FB96BE3" w14:textId="77777777" w:rsidR="004B69F5" w:rsidRDefault="004B69F5" w:rsidP="000D2CA8">
            <w:pPr>
              <w:spacing w:line="240" w:lineRule="auto"/>
              <w:rPr>
                <w:rFonts w:cs="Times New Roman"/>
                <w:sz w:val="20"/>
                <w:szCs w:val="20"/>
                <w:lang w:val="en"/>
              </w:rPr>
            </w:pPr>
          </w:p>
          <w:p w14:paraId="776CB0DD" w14:textId="77777777" w:rsidR="004B69F5" w:rsidRDefault="004B69F5" w:rsidP="000D2CA8">
            <w:pPr>
              <w:spacing w:line="240" w:lineRule="auto"/>
              <w:rPr>
                <w:rFonts w:cs="Times New Roman"/>
                <w:sz w:val="20"/>
                <w:szCs w:val="20"/>
                <w:lang w:val="en"/>
              </w:rPr>
            </w:pPr>
            <w:r>
              <w:rPr>
                <w:rFonts w:cs="Times New Roman"/>
                <w:sz w:val="20"/>
                <w:szCs w:val="20"/>
                <w:lang w:val="en"/>
              </w:rPr>
              <w:t>Protein absorption pre-cleaning(RT):</w:t>
            </w:r>
          </w:p>
          <w:p w14:paraId="1FCA007A"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15mins:18.5±4.2 ng/mm</w:t>
            </w:r>
            <w:r w:rsidRPr="001D1C67">
              <w:rPr>
                <w:rFonts w:cs="Times New Roman"/>
                <w:sz w:val="20"/>
                <w:szCs w:val="20"/>
                <w:vertAlign w:val="superscript"/>
                <w:lang w:val="sv-SE"/>
              </w:rPr>
              <w:t>2</w:t>
            </w:r>
          </w:p>
          <w:p w14:paraId="23811B45" w14:textId="77777777" w:rsidR="004B69F5" w:rsidRPr="001D1C67" w:rsidRDefault="004B69F5" w:rsidP="000D2CA8">
            <w:pPr>
              <w:spacing w:line="240" w:lineRule="auto"/>
              <w:rPr>
                <w:rFonts w:cs="Times New Roman"/>
                <w:sz w:val="20"/>
                <w:szCs w:val="20"/>
                <w:lang w:val="sv-SE"/>
              </w:rPr>
            </w:pPr>
            <w:r w:rsidRPr="001D1C67">
              <w:rPr>
                <w:rFonts w:cs="Times New Roman"/>
                <w:sz w:val="20"/>
                <w:szCs w:val="20"/>
                <w:lang w:val="sv-SE"/>
              </w:rPr>
              <w:t>24h: 31.9±5.3 ng/mm</w:t>
            </w:r>
            <w:r w:rsidRPr="001D1C67">
              <w:rPr>
                <w:rFonts w:cs="Times New Roman"/>
                <w:sz w:val="20"/>
                <w:szCs w:val="20"/>
                <w:vertAlign w:val="superscript"/>
                <w:lang w:val="sv-SE"/>
              </w:rPr>
              <w:t>2</w:t>
            </w:r>
          </w:p>
          <w:p w14:paraId="2AFFDC77" w14:textId="77777777" w:rsidR="004B69F5" w:rsidRPr="001D1C67" w:rsidRDefault="004B69F5" w:rsidP="000D2CA8">
            <w:pPr>
              <w:spacing w:line="240" w:lineRule="auto"/>
              <w:rPr>
                <w:rFonts w:cs="Times New Roman"/>
                <w:sz w:val="20"/>
                <w:szCs w:val="20"/>
                <w:lang w:val="sv-SE"/>
              </w:rPr>
            </w:pPr>
          </w:p>
          <w:p w14:paraId="34B99620"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Prolystica (RT):</w:t>
            </w:r>
          </w:p>
          <w:p w14:paraId="4EC11BBF"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1h: Data NR</w:t>
            </w:r>
          </w:p>
          <w:p w14:paraId="61524B39"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2h: Data NR †</w:t>
            </w:r>
          </w:p>
          <w:p w14:paraId="2D1CA592"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24h: Data NR †</w:t>
            </w:r>
          </w:p>
          <w:p w14:paraId="3F08A00A" w14:textId="77777777" w:rsidR="004B69F5" w:rsidRPr="001D1C67" w:rsidRDefault="004B69F5" w:rsidP="000D2CA8">
            <w:pPr>
              <w:spacing w:line="240" w:lineRule="auto"/>
              <w:rPr>
                <w:rFonts w:cs="Times New Roman"/>
                <w:sz w:val="20"/>
                <w:szCs w:val="20"/>
                <w:lang w:val="pt-PT"/>
              </w:rPr>
            </w:pPr>
          </w:p>
          <w:p w14:paraId="48F07CD8"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Prolystica (F):</w:t>
            </w:r>
          </w:p>
          <w:p w14:paraId="4CF242CF"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1h: Data NR</w:t>
            </w:r>
          </w:p>
          <w:p w14:paraId="04F9DEF6"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2h: Data NR †</w:t>
            </w:r>
          </w:p>
          <w:p w14:paraId="00EB3C18"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24h: Data NR †</w:t>
            </w:r>
          </w:p>
          <w:p w14:paraId="5B6D0516" w14:textId="77777777" w:rsidR="004B69F5" w:rsidRPr="001D1C67" w:rsidRDefault="004B69F5" w:rsidP="000D2CA8">
            <w:pPr>
              <w:spacing w:line="240" w:lineRule="auto"/>
              <w:rPr>
                <w:rFonts w:cs="Times New Roman"/>
                <w:sz w:val="20"/>
                <w:szCs w:val="20"/>
                <w:lang w:val="pt-PT"/>
              </w:rPr>
            </w:pPr>
          </w:p>
          <w:p w14:paraId="006908D2"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Progenica (RT):</w:t>
            </w:r>
          </w:p>
          <w:p w14:paraId="5884077A"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1h: Data NR</w:t>
            </w:r>
          </w:p>
          <w:p w14:paraId="5C1FAD16"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2h: Data NR</w:t>
            </w:r>
          </w:p>
          <w:p w14:paraId="463FFE15" w14:textId="77777777" w:rsidR="004B69F5" w:rsidRPr="001D1C67" w:rsidRDefault="004B69F5" w:rsidP="000D2CA8">
            <w:pPr>
              <w:spacing w:line="240" w:lineRule="auto"/>
              <w:rPr>
                <w:rFonts w:cs="Times New Roman"/>
                <w:sz w:val="20"/>
                <w:szCs w:val="20"/>
                <w:lang w:val="pt-PT"/>
              </w:rPr>
            </w:pPr>
            <w:r w:rsidRPr="001D1C67">
              <w:rPr>
                <w:rFonts w:cs="Times New Roman"/>
                <w:sz w:val="20"/>
                <w:szCs w:val="20"/>
                <w:lang w:val="pt-PT"/>
              </w:rPr>
              <w:t xml:space="preserve">24h: Data NR† </w:t>
            </w:r>
          </w:p>
          <w:p w14:paraId="20034459" w14:textId="77777777" w:rsidR="004B69F5" w:rsidRPr="001D1C67" w:rsidRDefault="004B69F5" w:rsidP="000D2CA8">
            <w:pPr>
              <w:spacing w:line="240" w:lineRule="auto"/>
              <w:rPr>
                <w:rFonts w:cs="Times New Roman"/>
                <w:sz w:val="20"/>
                <w:szCs w:val="20"/>
                <w:lang w:val="pt-PT"/>
              </w:rPr>
            </w:pPr>
          </w:p>
          <w:p w14:paraId="3861C035" w14:textId="77777777" w:rsidR="004B69F5" w:rsidRPr="001D1C67" w:rsidRDefault="004B69F5" w:rsidP="000D2CA8">
            <w:pPr>
              <w:spacing w:line="240" w:lineRule="auto"/>
              <w:rPr>
                <w:rFonts w:cs="Times New Roman"/>
                <w:sz w:val="20"/>
                <w:szCs w:val="20"/>
                <w:lang w:val="it-IT"/>
              </w:rPr>
            </w:pPr>
            <w:r w:rsidRPr="001D1C67">
              <w:rPr>
                <w:rFonts w:cs="Times New Roman"/>
                <w:sz w:val="20"/>
                <w:szCs w:val="20"/>
                <w:lang w:val="it-IT"/>
              </w:rPr>
              <w:t>Progenica (F):</w:t>
            </w:r>
          </w:p>
          <w:p w14:paraId="19177BBC" w14:textId="77777777" w:rsidR="004B69F5" w:rsidRPr="001D1C67" w:rsidRDefault="004B69F5" w:rsidP="000D2CA8">
            <w:pPr>
              <w:spacing w:line="240" w:lineRule="auto"/>
              <w:rPr>
                <w:rFonts w:cs="Times New Roman"/>
                <w:sz w:val="20"/>
                <w:szCs w:val="20"/>
                <w:lang w:val="it-IT"/>
              </w:rPr>
            </w:pPr>
            <w:r w:rsidRPr="001D1C67">
              <w:rPr>
                <w:rFonts w:cs="Times New Roman"/>
                <w:sz w:val="20"/>
                <w:szCs w:val="20"/>
                <w:lang w:val="it-IT"/>
              </w:rPr>
              <w:t>1h: Data NR</w:t>
            </w:r>
          </w:p>
          <w:p w14:paraId="34F2A3E7" w14:textId="77777777" w:rsidR="004B69F5" w:rsidRPr="001D1C67" w:rsidRDefault="004B69F5" w:rsidP="000D2CA8">
            <w:pPr>
              <w:spacing w:line="240" w:lineRule="auto"/>
              <w:rPr>
                <w:rFonts w:cs="Times New Roman"/>
                <w:sz w:val="20"/>
                <w:szCs w:val="20"/>
                <w:lang w:val="it-IT"/>
              </w:rPr>
            </w:pPr>
            <w:r w:rsidRPr="001D1C67">
              <w:rPr>
                <w:rFonts w:cs="Times New Roman"/>
                <w:sz w:val="20"/>
                <w:szCs w:val="20"/>
                <w:lang w:val="it-IT"/>
              </w:rPr>
              <w:t>2h: Data NR</w:t>
            </w:r>
          </w:p>
          <w:p w14:paraId="5B86AF21" w14:textId="77777777" w:rsidR="004B69F5" w:rsidRPr="00E05192" w:rsidRDefault="004B69F5" w:rsidP="000D2CA8">
            <w:pPr>
              <w:spacing w:line="240" w:lineRule="auto"/>
              <w:rPr>
                <w:rFonts w:cs="Times New Roman"/>
                <w:sz w:val="20"/>
                <w:szCs w:val="20"/>
                <w:lang w:val="en"/>
              </w:rPr>
            </w:pPr>
            <w:r>
              <w:rPr>
                <w:rFonts w:cs="Times New Roman"/>
                <w:sz w:val="20"/>
                <w:szCs w:val="20"/>
                <w:lang w:val="en"/>
              </w:rPr>
              <w:t xml:space="preserve">24h: Data NR† </w:t>
            </w:r>
          </w:p>
        </w:tc>
      </w:tr>
    </w:tbl>
    <w:p w14:paraId="75B70EA5" w14:textId="77777777" w:rsidR="004B69F5" w:rsidRPr="00EA638E" w:rsidRDefault="004B69F5" w:rsidP="004B69F5">
      <w:pPr>
        <w:rPr>
          <w:rFonts w:ascii="Times-Roman" w:hAnsi="Times-Roman" w:cs="Times-Roman"/>
          <w:sz w:val="16"/>
          <w:szCs w:val="16"/>
          <w:lang w:val="en"/>
        </w:rPr>
      </w:pPr>
      <w:r w:rsidRPr="00EA638E">
        <w:rPr>
          <w:rFonts w:cs="Times New Roman"/>
          <w:sz w:val="16"/>
          <w:szCs w:val="16"/>
        </w:rPr>
        <w:t xml:space="preserve">Abbreviations: SS: Stainless Steel; DT: Drying time; BH: Brain Homegenate: RT: Room Temperature; F: Refrigerated; h: hour(s); NR: Not reported; EDIC/EF: </w:t>
      </w:r>
      <w:r w:rsidRPr="00EA638E">
        <w:rPr>
          <w:rFonts w:cs="Times New Roman"/>
          <w:sz w:val="16"/>
          <w:szCs w:val="16"/>
          <w:lang w:val="en"/>
        </w:rPr>
        <w:t xml:space="preserve">Episcopic differential interference contrast/epifluorescence; </w:t>
      </w:r>
      <w:r w:rsidRPr="00EA638E">
        <w:rPr>
          <w:rFonts w:cs="Times New Roman"/>
          <w:sz w:val="16"/>
          <w:szCs w:val="16"/>
        </w:rPr>
        <w:t xml:space="preserve">EDX: </w:t>
      </w:r>
      <w:r w:rsidRPr="00EA638E">
        <w:rPr>
          <w:rFonts w:cs="Times New Roman"/>
          <w:sz w:val="16"/>
          <w:szCs w:val="16"/>
          <w:lang w:val="en"/>
        </w:rPr>
        <w:t>Energy dispersive X-ray</w:t>
      </w:r>
      <w:r w:rsidRPr="00EA638E">
        <w:rPr>
          <w:rFonts w:ascii="Times-Roman" w:hAnsi="Times-Roman" w:cs="Times-Roman"/>
          <w:sz w:val="16"/>
          <w:szCs w:val="16"/>
          <w:lang w:val="en"/>
        </w:rPr>
        <w:t xml:space="preserve"> spectroscopic; </w:t>
      </w:r>
    </w:p>
    <w:p w14:paraId="13FD3E01" w14:textId="0A0E9E79" w:rsidR="004B69F5" w:rsidRDefault="004B69F5" w:rsidP="000D2CA8">
      <w:pPr>
        <w:autoSpaceDE w:val="0"/>
        <w:autoSpaceDN w:val="0"/>
        <w:adjustRightInd w:val="0"/>
        <w:spacing w:line="240" w:lineRule="auto"/>
        <w:rPr>
          <w:rFonts w:cs="Times New Roman"/>
          <w:lang w:val="en"/>
        </w:rPr>
      </w:pPr>
      <w:r w:rsidRPr="00EA638E">
        <w:rPr>
          <w:rFonts w:cs="Times New Roman"/>
          <w:sz w:val="16"/>
          <w:szCs w:val="16"/>
          <w:lang w:val="en"/>
        </w:rPr>
        <w:t>**Secker 2010</w:t>
      </w:r>
      <w:r w:rsidR="003A0D62" w:rsidRPr="00EA638E">
        <w:rPr>
          <w:rFonts w:cs="Times New Roman"/>
          <w:sz w:val="16"/>
          <w:szCs w:val="16"/>
          <w:lang w:val="en"/>
        </w:rPr>
        <w:fldChar w:fldCharType="begin">
          <w:fldData xml:space="preserve">PEVuZE5vdGU+PENpdGU+PEF1dGhvcj5TZWNrZXI8L0F1dGhvcj48WWVhcj4yMDEwPC9ZZWFyPjxS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</w:fldData>
        </w:fldChar>
      </w:r>
      <w:r w:rsidR="0076576E">
        <w:rPr>
          <w:rFonts w:cs="Times New Roman"/>
          <w:sz w:val="16"/>
          <w:szCs w:val="16"/>
          <w:lang w:val="en"/>
        </w:rPr>
        <w:instrText xml:space="preserve"> ADDIN EN.CITE </w:instrText>
      </w:r>
      <w:r w:rsidR="0076576E">
        <w:rPr>
          <w:rFonts w:cs="Times New Roman"/>
          <w:sz w:val="16"/>
          <w:szCs w:val="16"/>
          <w:lang w:val="en"/>
        </w:rPr>
        <w:fldChar w:fldCharType="begin">
          <w:fldData xml:space="preserve">PEVuZE5vdGU+PENpdGU+PEF1dGhvcj5TZWNrZXI8L0F1dGhvcj48WWVhcj4yMDEwPC9ZZWFyPjxS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</w:fldData>
        </w:fldChar>
      </w:r>
      <w:r w:rsidR="0076576E">
        <w:rPr>
          <w:rFonts w:cs="Times New Roman"/>
          <w:sz w:val="16"/>
          <w:szCs w:val="16"/>
          <w:lang w:val="en"/>
        </w:rPr>
        <w:instrText xml:space="preserve"> ADDIN EN.CITE.DATA </w:instrText>
      </w:r>
      <w:r w:rsidR="0076576E">
        <w:rPr>
          <w:rFonts w:cs="Times New Roman"/>
          <w:sz w:val="16"/>
          <w:szCs w:val="16"/>
          <w:lang w:val="en"/>
        </w:rPr>
      </w:r>
      <w:r w:rsidR="0076576E">
        <w:rPr>
          <w:rFonts w:cs="Times New Roman"/>
          <w:sz w:val="16"/>
          <w:szCs w:val="16"/>
          <w:lang w:val="en"/>
        </w:rPr>
        <w:fldChar w:fldCharType="end"/>
      </w:r>
      <w:r w:rsidR="003A0D62" w:rsidRPr="00EA638E">
        <w:rPr>
          <w:rFonts w:cs="Times New Roman"/>
          <w:sz w:val="16"/>
          <w:szCs w:val="16"/>
          <w:lang w:val="en"/>
        </w:rPr>
      </w:r>
      <w:r w:rsidR="003A0D62" w:rsidRPr="00EA638E">
        <w:rPr>
          <w:rFonts w:cs="Times New Roman"/>
          <w:sz w:val="16"/>
          <w:szCs w:val="16"/>
          <w:lang w:val="en"/>
        </w:rPr>
        <w:fldChar w:fldCharType="separate"/>
      </w:r>
      <w:r w:rsidR="0076576E" w:rsidRPr="0076576E">
        <w:rPr>
          <w:rFonts w:cs="Times New Roman"/>
          <w:noProof/>
          <w:sz w:val="16"/>
          <w:szCs w:val="16"/>
          <w:vertAlign w:val="superscript"/>
          <w:lang w:val="en"/>
        </w:rPr>
        <w:t>197</w:t>
      </w:r>
      <w:r w:rsidR="003A0D62" w:rsidRPr="00EA638E">
        <w:rPr>
          <w:rFonts w:cs="Times New Roman"/>
          <w:sz w:val="16"/>
          <w:szCs w:val="16"/>
          <w:lang w:val="en"/>
        </w:rPr>
        <w:fldChar w:fldCharType="end"/>
      </w:r>
      <w:r w:rsidRPr="00EA638E">
        <w:rPr>
          <w:rFonts w:cs="Times New Roman"/>
          <w:sz w:val="16"/>
          <w:szCs w:val="16"/>
          <w:lang w:val="en"/>
        </w:rPr>
        <w:t>, abstract too *Data for 30</w:t>
      </w:r>
      <w:r w:rsidRPr="00EA638E">
        <w:rPr>
          <w:rFonts w:cs="Times New Roman"/>
          <w:sz w:val="16"/>
          <w:szCs w:val="16"/>
          <w:vertAlign w:val="superscript"/>
          <w:lang w:val="en"/>
        </w:rPr>
        <w:t>o</w:t>
      </w:r>
      <w:r w:rsidRPr="00EA638E">
        <w:rPr>
          <w:rFonts w:cs="Times New Roman"/>
          <w:sz w:val="16"/>
          <w:szCs w:val="16"/>
          <w:lang w:val="en"/>
        </w:rPr>
        <w:t>C too but ‘efficacy changes little between the ambient temperatures’ †Level of difference is p</w:t>
      </w:r>
      <w:r w:rsidRPr="00EA638E">
        <w:rPr>
          <w:rFonts w:cs="Times New Roman"/>
          <w:sz w:val="16"/>
          <w:szCs w:val="16"/>
          <w:u w:val="single"/>
          <w:lang w:val="en"/>
        </w:rPr>
        <w:t>&lt;</w:t>
      </w:r>
      <w:r w:rsidRPr="00EA638E">
        <w:rPr>
          <w:rFonts w:cs="Times New Roman"/>
          <w:sz w:val="16"/>
          <w:szCs w:val="16"/>
          <w:lang w:val="en"/>
        </w:rPr>
        <w:t xml:space="preserve">0.05 compared with the RT Air sample for same time point (data for dry bag and wet bag indicate statistically significantly reduced levels of residual protein). </w:t>
      </w:r>
      <w:r w:rsidRPr="00EA638E">
        <w:rPr>
          <w:rFonts w:cs="Times New Roman"/>
          <w:sz w:val="16"/>
          <w:szCs w:val="16"/>
        </w:rPr>
        <w:t>§</w:t>
      </w:r>
      <w:r w:rsidRPr="00EA638E">
        <w:rPr>
          <w:rFonts w:cs="Times New Roman"/>
          <w:sz w:val="16"/>
          <w:szCs w:val="16"/>
          <w:lang w:val="en"/>
        </w:rPr>
        <w:t>Unclear: not reported in Methods, but comments in Discussion sections of papers indicate measurement was of in situ proteins, e.g. Howlin (2010</w:t>
      </w:r>
      <w:r w:rsidR="003A0D62" w:rsidRPr="00EA638E">
        <w:rPr>
          <w:rFonts w:cs="Times New Roman"/>
          <w:sz w:val="16"/>
          <w:szCs w:val="16"/>
          <w:lang w:val="e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sz w:val="16"/>
          <w:szCs w:val="16"/>
          <w:lang w:val="en"/>
        </w:rPr>
        <w:instrText xml:space="preserve"> ADDIN EN.CITE </w:instrText>
      </w:r>
      <w:r w:rsidR="0076576E">
        <w:rPr>
          <w:rFonts w:cs="Times New Roman"/>
          <w:sz w:val="16"/>
          <w:szCs w:val="16"/>
          <w:lang w:val="en"/>
        </w:rPr>
        <w:fldChar w:fldCharType="begin">
          <w:fldData xml:space="preserve">PEVuZE5vdGU+PENpdGU+PEF1dGhvcj5Ib3dsaW48L0F1dGhvcj48WWVhcj4yMDEwPC9ZZWFyPjxS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</w:fldData>
        </w:fldChar>
      </w:r>
      <w:r w:rsidR="0076576E">
        <w:rPr>
          <w:rFonts w:cs="Times New Roman"/>
          <w:sz w:val="16"/>
          <w:szCs w:val="16"/>
          <w:lang w:val="en"/>
        </w:rPr>
        <w:instrText xml:space="preserve"> ADDIN EN.CITE.DATA </w:instrText>
      </w:r>
      <w:r w:rsidR="0076576E">
        <w:rPr>
          <w:rFonts w:cs="Times New Roman"/>
          <w:sz w:val="16"/>
          <w:szCs w:val="16"/>
          <w:lang w:val="en"/>
        </w:rPr>
      </w:r>
      <w:r w:rsidR="0076576E">
        <w:rPr>
          <w:rFonts w:cs="Times New Roman"/>
          <w:sz w:val="16"/>
          <w:szCs w:val="16"/>
          <w:lang w:val="en"/>
        </w:rPr>
        <w:fldChar w:fldCharType="end"/>
      </w:r>
      <w:r w:rsidR="003A0D62" w:rsidRPr="00EA638E">
        <w:rPr>
          <w:rFonts w:cs="Times New Roman"/>
          <w:sz w:val="16"/>
          <w:szCs w:val="16"/>
          <w:lang w:val="en"/>
        </w:rPr>
      </w:r>
      <w:r w:rsidR="003A0D62" w:rsidRPr="00EA638E">
        <w:rPr>
          <w:rFonts w:cs="Times New Roman"/>
          <w:sz w:val="16"/>
          <w:szCs w:val="16"/>
          <w:lang w:val="en"/>
        </w:rPr>
        <w:fldChar w:fldCharType="separate"/>
      </w:r>
      <w:r w:rsidR="0076576E" w:rsidRPr="0076576E">
        <w:rPr>
          <w:rFonts w:cs="Times New Roman"/>
          <w:noProof/>
          <w:sz w:val="16"/>
          <w:szCs w:val="16"/>
          <w:vertAlign w:val="superscript"/>
          <w:lang w:val="en"/>
        </w:rPr>
        <w:t>178</w:t>
      </w:r>
      <w:r w:rsidR="003A0D62" w:rsidRPr="00EA638E">
        <w:rPr>
          <w:rFonts w:cs="Times New Roman"/>
          <w:sz w:val="16"/>
          <w:szCs w:val="16"/>
          <w:lang w:val="en"/>
        </w:rPr>
        <w:fldChar w:fldCharType="end"/>
      </w:r>
      <w:r w:rsidRPr="00EA638E">
        <w:rPr>
          <w:rFonts w:cs="Times New Roman"/>
          <w:sz w:val="16"/>
          <w:szCs w:val="16"/>
          <w:lang w:val="en"/>
        </w:rPr>
        <w:t>): ‘</w:t>
      </w:r>
      <w:r w:rsidRPr="00EA638E">
        <w:rPr>
          <w:rFonts w:cs="Times New Roman"/>
          <w:sz w:val="16"/>
          <w:szCs w:val="16"/>
        </w:rPr>
        <w:t>A concentration of 0.03 ng/mm</w:t>
      </w:r>
      <w:r w:rsidRPr="00EA638E">
        <w:rPr>
          <w:rFonts w:cs="Times New Roman"/>
          <w:sz w:val="16"/>
          <w:szCs w:val="16"/>
          <w:vertAlign w:val="superscript"/>
        </w:rPr>
        <w:t>2</w:t>
      </w:r>
      <w:r w:rsidRPr="00EA638E">
        <w:rPr>
          <w:rFonts w:cs="Times New Roman"/>
          <w:sz w:val="16"/>
          <w:szCs w:val="16"/>
        </w:rPr>
        <w:t xml:space="preserve"> prion-associated amyloid was detected in situ on the wires’; Secker (2015</w:t>
      </w:r>
      <w:r w:rsidR="003A0D62" w:rsidRPr="00EA638E">
        <w:rPr>
          <w:rFonts w:cs="Times New Roman"/>
          <w:sz w:val="16"/>
          <w:szCs w:val="16"/>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sz w:val="16"/>
          <w:szCs w:val="16"/>
        </w:rPr>
        <w:instrText xml:space="preserve"> ADDIN EN.CITE </w:instrText>
      </w:r>
      <w:r w:rsidR="0076576E">
        <w:rPr>
          <w:rFonts w:cs="Times New Roman"/>
          <w:sz w:val="16"/>
          <w:szCs w:val="16"/>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sz w:val="16"/>
          <w:szCs w:val="16"/>
        </w:rPr>
        <w:instrText xml:space="preserve"> ADDIN EN.CITE.DATA </w:instrText>
      </w:r>
      <w:r w:rsidR="0076576E">
        <w:rPr>
          <w:rFonts w:cs="Times New Roman"/>
          <w:sz w:val="16"/>
          <w:szCs w:val="16"/>
        </w:rPr>
      </w:r>
      <w:r w:rsidR="0076576E">
        <w:rPr>
          <w:rFonts w:cs="Times New Roman"/>
          <w:sz w:val="16"/>
          <w:szCs w:val="16"/>
        </w:rPr>
        <w:fldChar w:fldCharType="end"/>
      </w:r>
      <w:r w:rsidR="003A0D62" w:rsidRPr="00EA638E">
        <w:rPr>
          <w:rFonts w:cs="Times New Roman"/>
          <w:sz w:val="16"/>
          <w:szCs w:val="16"/>
        </w:rPr>
      </w:r>
      <w:r w:rsidR="003A0D62" w:rsidRPr="00EA638E">
        <w:rPr>
          <w:rFonts w:cs="Times New Roman"/>
          <w:sz w:val="16"/>
          <w:szCs w:val="16"/>
        </w:rPr>
        <w:fldChar w:fldCharType="separate"/>
      </w:r>
      <w:r w:rsidR="0076576E" w:rsidRPr="0076576E">
        <w:rPr>
          <w:rFonts w:cs="Times New Roman"/>
          <w:noProof/>
          <w:sz w:val="16"/>
          <w:szCs w:val="16"/>
          <w:vertAlign w:val="superscript"/>
        </w:rPr>
        <w:t>194</w:t>
      </w:r>
      <w:r w:rsidR="003A0D62" w:rsidRPr="00EA638E">
        <w:rPr>
          <w:rFonts w:cs="Times New Roman"/>
          <w:sz w:val="16"/>
          <w:szCs w:val="16"/>
        </w:rPr>
        <w:fldChar w:fldCharType="end"/>
      </w:r>
      <w:r w:rsidRPr="00EA638E">
        <w:rPr>
          <w:rFonts w:cs="Times New Roman"/>
          <w:sz w:val="16"/>
          <w:szCs w:val="16"/>
        </w:rPr>
        <w:t xml:space="preserve">): </w:t>
      </w:r>
      <w:r w:rsidRPr="00EA638E">
        <w:rPr>
          <w:rFonts w:cs="Times New Roman"/>
          <w:sz w:val="16"/>
          <w:szCs w:val="16"/>
          <w:lang w:val="en"/>
        </w:rPr>
        <w:t>‘</w:t>
      </w:r>
      <w:r w:rsidRPr="00EA638E">
        <w:rPr>
          <w:rFonts w:cs="Times New Roman"/>
          <w:sz w:val="16"/>
          <w:szCs w:val="16"/>
        </w:rPr>
        <w:t>ThT/SR dual stain alongside sensitive EDIC/ EF microscopy was the chosen detection method due to its sensitivity down to the picogram range and its ability to detect in situ amyloid contamination as well as total protein</w:t>
      </w:r>
      <w:r w:rsidRPr="00EA638E">
        <w:rPr>
          <w:rFonts w:cs="Times New Roman"/>
          <w:sz w:val="16"/>
          <w:szCs w:val="16"/>
          <w:lang w:val="en"/>
        </w:rPr>
        <w:t xml:space="preserve">’. </w:t>
      </w:r>
    </w:p>
    <w:p w14:paraId="75406502" w14:textId="77777777" w:rsidR="004B69F5" w:rsidRDefault="004B69F5" w:rsidP="004B69F5">
      <w:pPr>
        <w:jc w:val="both"/>
        <w:rPr>
          <w:rFonts w:cs="Times New Roman"/>
          <w:lang w:val="en"/>
        </w:rPr>
        <w:sectPr w:rsidR="004B69F5" w:rsidSect="00931EC4">
          <w:pgSz w:w="16838" w:h="11906" w:orient="landscape"/>
          <w:pgMar w:top="1440" w:right="1440" w:bottom="1440" w:left="1440" w:header="708" w:footer="708" w:gutter="0"/>
          <w:cols w:space="708"/>
          <w:docGrid w:linePitch="360"/>
        </w:sectPr>
      </w:pPr>
    </w:p>
    <w:p w14:paraId="426FE3DB" w14:textId="3353DCEF" w:rsidR="004B69F5" w:rsidRPr="00F84738" w:rsidRDefault="00F70CC2" w:rsidP="00334E96">
      <w:pPr>
        <w:pStyle w:val="Heading3"/>
        <w:rPr>
          <w:b w:val="0"/>
          <w:i/>
          <w:lang w:val="en"/>
        </w:rPr>
      </w:pPr>
      <w:r w:rsidRPr="00F84738">
        <w:rPr>
          <w:b w:val="0"/>
          <w:i/>
          <w:lang w:val="en"/>
        </w:rPr>
        <w:t>2.6.3</w:t>
      </w:r>
      <w:r w:rsidRPr="00F84738">
        <w:rPr>
          <w:b w:val="0"/>
          <w:i/>
          <w:lang w:val="en"/>
        </w:rPr>
        <w:tab/>
      </w:r>
      <w:r w:rsidR="002849E9">
        <w:rPr>
          <w:b w:val="0"/>
          <w:i/>
        </w:rPr>
        <w:t>Discussion/ s</w:t>
      </w:r>
      <w:r w:rsidR="002849E9" w:rsidRPr="00F84738">
        <w:rPr>
          <w:b w:val="0"/>
          <w:i/>
        </w:rPr>
        <w:t>ummary</w:t>
      </w:r>
      <w:r w:rsidR="00334E96" w:rsidRPr="00F84738">
        <w:rPr>
          <w:b w:val="0"/>
          <w:i/>
          <w:lang w:val="en"/>
        </w:rPr>
        <w:t xml:space="preserve"> of studies on residual mass and decontamination</w:t>
      </w:r>
    </w:p>
    <w:p w14:paraId="7273FB32" w14:textId="54B4FDA1" w:rsidR="00500F8B" w:rsidRDefault="004B69F5" w:rsidP="00334E96">
      <w:pPr>
        <w:autoSpaceDE w:val="0"/>
        <w:autoSpaceDN w:val="0"/>
        <w:adjustRightInd w:val="0"/>
        <w:jc w:val="both"/>
        <w:rPr>
          <w:rFonts w:cs="Times New Roman"/>
          <w:lang w:val="en"/>
        </w:rPr>
      </w:pPr>
      <w:r w:rsidRPr="00483A7C">
        <w:rPr>
          <w:rFonts w:cs="Times New Roman"/>
          <w:lang w:val="en"/>
        </w:rPr>
        <w:t xml:space="preserve">The published evidence suggests that standard cleaning practices within SSDs do not achieve levels of </w:t>
      </w:r>
      <w:r w:rsidRPr="00483A7C">
        <w:rPr>
          <w:rFonts w:cs="Times New Roman"/>
          <w:u w:val="single"/>
          <w:lang w:val="en"/>
        </w:rPr>
        <w:t>&lt;</w:t>
      </w:r>
      <w:r w:rsidRPr="00483A7C">
        <w:rPr>
          <w:rFonts w:cs="Times New Roman"/>
          <w:lang w:val="en"/>
        </w:rPr>
        <w:t>5</w:t>
      </w:r>
      <w:r w:rsidRPr="00483A7C">
        <w:rPr>
          <w:rFonts w:cs="Times New Roman"/>
        </w:rPr>
        <w:t xml:space="preserve">µg </w:t>
      </w:r>
      <w:r>
        <w:rPr>
          <w:rFonts w:cs="Times New Roman"/>
        </w:rPr>
        <w:t xml:space="preserve">residual protein </w:t>
      </w:r>
      <w:r w:rsidRPr="00483A7C">
        <w:rPr>
          <w:rFonts w:cs="Times New Roman"/>
        </w:rPr>
        <w:t>per instrument</w:t>
      </w:r>
      <w:r w:rsidRPr="00483A7C">
        <w:rPr>
          <w:rFonts w:cs="Times New Roman"/>
          <w:lang w:val="en"/>
        </w:rPr>
        <w:t xml:space="preserve"> for all instruments, as required by current guidance (</w:t>
      </w:r>
      <w:r>
        <w:rPr>
          <w:rFonts w:cs="Times New Roman"/>
          <w:lang w:val="en"/>
        </w:rPr>
        <w:t>Department of Health and Social Care, 2016</w:t>
      </w:r>
      <w:r w:rsidR="003A0D62">
        <w:rPr>
          <w:rFonts w:cs="Times New Roman"/>
          <w:lang w:val="en"/>
        </w:rPr>
        <w:fldChar w:fldCharType="begin"/>
      </w:r>
      <w:r w:rsidR="0076576E">
        <w:rPr>
          <w:rFonts w:cs="Times New Roman"/>
          <w:lang w:val="en"/>
        </w:rPr>
        <w:instrText xml:space="preserve"> ADDIN EN.CITE &lt;EndNote&gt;&lt;Cite&gt;&lt;Author&gt;Department of Health and Social Care&lt;/Author&gt;&lt;Year&gt;2016&lt;/Year&gt;&lt;RecNum&gt;10288&lt;/RecNum&gt;&lt;DisplayText&gt;&lt;style face="superscript"&gt;198&lt;/style&gt;&lt;/DisplayText&gt;&lt;record&gt;&lt;rec-number&gt;10288&lt;/rec-number&gt;&lt;foreign-keys&gt;&lt;key app="EN" db-id="vrp0pptazv05wtesfz5vrzsj2p0rv09ttsa9" timestamp="1532939754" guid="ddb4a8a5-7cc0-4800-b450-2fc86504d648"&gt;10288&lt;/key&gt;&lt;/foreign-keys&gt;&lt;ref-type name="Journal Article"&gt;17&lt;/ref-type&gt;&lt;contributors&gt;&lt;authors&gt;&lt;author&gt;Department of Health and Social Care,&lt;/author&gt;&lt;/authors&gt;&lt;/contributors&gt;&lt;titles&gt;&lt;title&gt;CFPP-01-01: Decontamination of surgical instruments (HTM 01-01) Health Technical Memorandum (HTM) 01-01: management and decontamination of surgical instruments (medical devices) used in acute care. Part B: Common elements.&lt;/title&gt;&lt;/titles&gt;&lt;dates&gt;&lt;year&gt;2016&lt;/year&gt;&lt;/dates&gt;&lt;urls&gt;&lt;/urls&gt;&lt;/record&gt;&lt;/Cite&gt;&lt;/EndNote&gt;</w:instrText>
      </w:r>
      <w:r w:rsidR="003A0D62">
        <w:rPr>
          <w:rFonts w:cs="Times New Roman"/>
          <w:lang w:val="en"/>
        </w:rPr>
        <w:fldChar w:fldCharType="separate"/>
      </w:r>
      <w:r w:rsidR="0076576E" w:rsidRPr="0076576E">
        <w:rPr>
          <w:rFonts w:cs="Times New Roman"/>
          <w:noProof/>
          <w:vertAlign w:val="superscript"/>
          <w:lang w:val="en"/>
        </w:rPr>
        <w:t>198</w:t>
      </w:r>
      <w:r w:rsidR="003A0D62">
        <w:rPr>
          <w:rFonts w:cs="Times New Roman"/>
          <w:lang w:val="en"/>
        </w:rPr>
        <w:fldChar w:fldCharType="end"/>
      </w:r>
      <w:r w:rsidRPr="00483A7C">
        <w:rPr>
          <w:rFonts w:cs="Times New Roman"/>
          <w:lang w:val="en"/>
        </w:rPr>
        <w:t xml:space="preserve">). However, these published data are based on different assays and detection methods and the most recent data (Smith </w:t>
      </w:r>
      <w:r w:rsidR="00B301D6" w:rsidRPr="00B301D6">
        <w:rPr>
          <w:rFonts w:cs="Times New Roman"/>
          <w:i/>
          <w:lang w:val="en"/>
        </w:rPr>
        <w:t>et al</w:t>
      </w:r>
      <w:r w:rsidRPr="00483A7C">
        <w:rPr>
          <w:rFonts w:cs="Times New Roman"/>
          <w:lang w:val="en"/>
        </w:rPr>
        <w:t xml:space="preserve"> 2018</w:t>
      </w:r>
      <w:r w:rsidR="003A0D62">
        <w:rPr>
          <w:rFonts w:cs="Times New Roman"/>
          <w:lang w:val="en"/>
        </w:rPr>
        <w:fldChar w:fldCharType="begin"/>
      </w:r>
      <w:r w:rsidR="0076576E">
        <w:rPr>
          <w:rFonts w:cs="Times New Roman"/>
          <w:lang w:val="en"/>
        </w:rPr>
        <w:instrText xml:space="preserve"> ADDIN EN.CITE &lt;EndNote&gt;&lt;Cite&gt;&lt;Author&gt;Smith&lt;/Author&gt;&lt;Year&gt;2018&lt;/Year&gt;&lt;RecNum&gt;10282&lt;/RecNum&gt;&lt;DisplayText&gt;&lt;style face="superscript"&gt;191&lt;/style&gt;&lt;/DisplayText&gt;&lt;record&gt;&lt;rec-number&gt;10282&lt;/rec-number&gt;&lt;foreign-keys&gt;&lt;key app="EN" db-id="vrp0pptazv05wtesfz5vrzsj2p0rv09ttsa9" timestamp="1526283106" guid="ad6f63a4-a0b9-472e-8996-8638b28ea0d3"&gt;10282&lt;/key&gt;&lt;/foreign-keys&gt;&lt;ref-type name="Journal Article"&gt;17&lt;/ref-type&gt;&lt;contributors&gt;&lt;authors&gt;&lt;author&gt;Smith, A.&lt;/author&gt;&lt;author&gt;Winter, S.&lt;/author&gt;&lt;author&gt;Lappin, D.&lt;/author&gt;&lt;author&gt;Sherriff, A.&lt;/author&gt;&lt;author&gt;McIvor, I.&lt;/author&gt;&lt;author&gt;Philp, P.&lt;/author&gt;&lt;author&gt;Suttner, N.&lt;/author&gt;&lt;author&gt;Holmes, S.&lt;/author&gt;&lt;author&gt;Stewart, A.&lt;/author&gt;&lt;/authors&gt;&lt;/contributors&gt;&lt;titles&gt;&lt;title&gt;Reducing the risk of iatrogenic CJD by improving the cleaning of neurosurgical instruments&lt;/title&gt;&lt;secondary-title&gt;Journal of Hospital Infection&lt;/secondary-title&gt;&lt;/titles&gt;&lt;periodical&gt;&lt;full-title&gt;Journal of Hospital Infection&lt;/full-title&gt;&lt;/periodical&gt;&lt;volume&gt;epub&lt;/volume&gt;&lt;keywords&gt;&lt;keyword&gt;$$5_instrument decontamination&lt;/keyword&gt;&lt;keyword&gt;$$Committee recommended&lt;/keyword&gt;&lt;keyword&gt;$$5_protein&lt;/keyword&gt;&lt;/keywords&gt;&lt;dates&gt;&lt;year&gt;2018&lt;/year&gt;&lt;/dates&gt;&lt;urls&gt;&lt;/urls&gt;&lt;electronic-resource-num&gt;doi: 10.1016/j.jhin.2018.03.001&lt;/electronic-resource-num&gt;&lt;/record&gt;&lt;/Cite&gt;&lt;/EndNote&gt;</w:instrText>
      </w:r>
      <w:r w:rsidR="003A0D62">
        <w:rPr>
          <w:rFonts w:cs="Times New Roman"/>
          <w:lang w:val="en"/>
        </w:rPr>
        <w:fldChar w:fldCharType="separate"/>
      </w:r>
      <w:r w:rsidR="0076576E" w:rsidRPr="0076576E">
        <w:rPr>
          <w:rFonts w:cs="Times New Roman"/>
          <w:noProof/>
          <w:vertAlign w:val="superscript"/>
          <w:lang w:val="en"/>
        </w:rPr>
        <w:t>191</w:t>
      </w:r>
      <w:r w:rsidR="003A0D62">
        <w:rPr>
          <w:rFonts w:cs="Times New Roman"/>
          <w:lang w:val="en"/>
        </w:rPr>
        <w:fldChar w:fldCharType="end"/>
      </w:r>
      <w:r w:rsidRPr="00483A7C">
        <w:rPr>
          <w:rFonts w:cs="Times New Roman"/>
          <w:lang w:val="en"/>
        </w:rPr>
        <w:t xml:space="preserve">) suggest that as much as </w:t>
      </w:r>
      <w:r w:rsidRPr="00483A7C">
        <w:rPr>
          <w:rFonts w:cs="Times New Roman"/>
        </w:rPr>
        <w:t>87% of assessed instrument</w:t>
      </w:r>
      <w:r w:rsidR="00F1300C">
        <w:rPr>
          <w:rFonts w:cs="Times New Roman"/>
        </w:rPr>
        <w:t>s</w:t>
      </w:r>
      <w:r w:rsidRPr="00483A7C">
        <w:rPr>
          <w:rFonts w:cs="Times New Roman"/>
        </w:rPr>
        <w:t xml:space="preserve"> might have </w:t>
      </w:r>
      <w:r>
        <w:rPr>
          <w:rFonts w:cs="Times New Roman"/>
        </w:rPr>
        <w:t xml:space="preserve">protein </w:t>
      </w:r>
      <w:r w:rsidRPr="00483A7C">
        <w:rPr>
          <w:rFonts w:cs="Times New Roman"/>
        </w:rPr>
        <w:t xml:space="preserve">residue of &lt;5µg per instrument side, and </w:t>
      </w:r>
      <w:r w:rsidRPr="00483A7C">
        <w:rPr>
          <w:rFonts w:cs="Times New Roman"/>
          <w:lang w:val="en"/>
        </w:rPr>
        <w:t xml:space="preserve">96% might have residue of </w:t>
      </w:r>
      <w:r w:rsidRPr="00483A7C">
        <w:rPr>
          <w:rFonts w:cs="Times New Roman"/>
        </w:rPr>
        <w:t>&lt;10µg per instrument side.</w:t>
      </w:r>
      <w:r w:rsidRPr="00483A7C">
        <w:rPr>
          <w:rFonts w:cs="Times New Roman"/>
          <w:lang w:val="en"/>
        </w:rPr>
        <w:t xml:space="preserve"> Recent papers (Secker 2011</w:t>
      </w:r>
      <w:r w:rsidR="003A0D62">
        <w:rPr>
          <w:rFonts w:cs="Times New Roman"/>
          <w:lang w:val="e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195</w:t>
      </w:r>
      <w:r w:rsidR="003A0D62">
        <w:rPr>
          <w:rFonts w:cs="Times New Roman"/>
          <w:lang w:val="en"/>
        </w:rPr>
        <w:fldChar w:fldCharType="end"/>
      </w:r>
      <w:r w:rsidRPr="00483A7C">
        <w:rPr>
          <w:rFonts w:cs="Times New Roman"/>
          <w:lang w:val="en"/>
        </w:rPr>
        <w:t>, 2015</w:t>
      </w:r>
      <w:r w:rsidR="003A0D62">
        <w:rPr>
          <w:rFonts w:cs="Times New Roman"/>
          <w:lang w:val="e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PEVuZE5vdGU+PENpdGU+PEF1dGhvcj5TZWNrZXI8L0F1dGhvcj48WWVhcj4yMDE1PC9ZZWFyPjxS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==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194</w:t>
      </w:r>
      <w:r w:rsidR="003A0D62">
        <w:rPr>
          <w:rFonts w:cs="Times New Roman"/>
          <w:lang w:val="en"/>
        </w:rPr>
        <w:fldChar w:fldCharType="end"/>
      </w:r>
      <w:r w:rsidRPr="00483A7C">
        <w:rPr>
          <w:rFonts w:cs="Times New Roman"/>
          <w:lang w:val="en"/>
        </w:rPr>
        <w:t>) also report very large differences in protein absorption on instruments kept in dry or wet conditions, with the latter producing as much as a 98.2% reduction in protein absorption compared to dry conditions (p</w:t>
      </w:r>
      <w:r w:rsidRPr="00483A7C">
        <w:rPr>
          <w:rFonts w:cs="Times New Roman"/>
          <w:u w:val="single"/>
          <w:lang w:val="en"/>
        </w:rPr>
        <w:t>&lt;</w:t>
      </w:r>
      <w:r w:rsidRPr="00483A7C">
        <w:rPr>
          <w:rFonts w:cs="Times New Roman"/>
          <w:lang w:val="en"/>
        </w:rPr>
        <w:t>0.001) (Secker 2011</w:t>
      </w:r>
      <w:r w:rsidR="003A0D62">
        <w:rPr>
          <w:rFonts w:cs="Times New Roman"/>
          <w:lang w:val="e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lang w:val="en"/>
        </w:rPr>
        <w:instrText xml:space="preserve"> ADDIN EN.CITE </w:instrText>
      </w:r>
      <w:r w:rsidR="0076576E">
        <w:rPr>
          <w:rFonts w:cs="Times New Roman"/>
          <w:lang w:val="en"/>
        </w:rPr>
        <w:fldChar w:fldCharType="begin">
          <w:fldData xml:space="preserve">PEVuZE5vdGU+PENpdGU+PEF1dGhvcj5TZWNrZXI8L0F1dGhvcj48WWVhcj4yMDExPC9ZZWFyPjxS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</w:fldData>
        </w:fldChar>
      </w:r>
      <w:r w:rsidR="0076576E">
        <w:rPr>
          <w:rFonts w:cs="Times New Roman"/>
          <w:lang w:val="en"/>
        </w:rPr>
        <w:instrText xml:space="preserve"> ADDIN EN.CITE.DATA </w:instrText>
      </w:r>
      <w:r w:rsidR="0076576E">
        <w:rPr>
          <w:rFonts w:cs="Times New Roman"/>
          <w:lang w:val="en"/>
        </w:rPr>
      </w:r>
      <w:r w:rsidR="0076576E">
        <w:rPr>
          <w:rFonts w:cs="Times New Roman"/>
          <w:lang w:val="en"/>
        </w:rPr>
        <w:fldChar w:fldCharType="end"/>
      </w:r>
      <w:r w:rsidR="003A0D62">
        <w:rPr>
          <w:rFonts w:cs="Times New Roman"/>
          <w:lang w:val="en"/>
        </w:rPr>
      </w:r>
      <w:r w:rsidR="003A0D62">
        <w:rPr>
          <w:rFonts w:cs="Times New Roman"/>
          <w:lang w:val="en"/>
        </w:rPr>
        <w:fldChar w:fldCharType="separate"/>
      </w:r>
      <w:r w:rsidR="0076576E" w:rsidRPr="0076576E">
        <w:rPr>
          <w:rFonts w:cs="Times New Roman"/>
          <w:noProof/>
          <w:vertAlign w:val="superscript"/>
          <w:lang w:val="en"/>
        </w:rPr>
        <w:t>195</w:t>
      </w:r>
      <w:r w:rsidR="003A0D62">
        <w:rPr>
          <w:rFonts w:cs="Times New Roman"/>
          <w:lang w:val="en"/>
        </w:rPr>
        <w:fldChar w:fldCharType="end"/>
      </w:r>
      <w:r w:rsidRPr="00483A7C">
        <w:rPr>
          <w:rFonts w:cs="Times New Roman"/>
          <w:lang w:val="en"/>
        </w:rPr>
        <w:t xml:space="preserve">). Standard cleaning in SSDs might </w:t>
      </w:r>
      <w:r w:rsidR="007568C7" w:rsidRPr="00483A7C">
        <w:rPr>
          <w:rFonts w:cs="Times New Roman"/>
          <w:lang w:val="en"/>
        </w:rPr>
        <w:t xml:space="preserve">therefore </w:t>
      </w:r>
      <w:r w:rsidRPr="00483A7C">
        <w:rPr>
          <w:rFonts w:cs="Times New Roman"/>
          <w:lang w:val="en"/>
        </w:rPr>
        <w:t xml:space="preserve">be expected to produce </w:t>
      </w:r>
      <w:r>
        <w:rPr>
          <w:rFonts w:cs="Times New Roman"/>
          <w:lang w:val="en"/>
        </w:rPr>
        <w:t xml:space="preserve">residual protein </w:t>
      </w:r>
      <w:r w:rsidRPr="00483A7C">
        <w:rPr>
          <w:rFonts w:cs="Times New Roman"/>
          <w:lang w:val="en"/>
        </w:rPr>
        <w:t xml:space="preserve">levels of </w:t>
      </w:r>
      <w:r w:rsidRPr="00483A7C">
        <w:rPr>
          <w:rFonts w:cs="Times New Roman"/>
          <w:u w:val="single"/>
          <w:lang w:val="en"/>
        </w:rPr>
        <w:t>&lt;</w:t>
      </w:r>
      <w:r w:rsidRPr="00483A7C">
        <w:rPr>
          <w:rFonts w:cs="Times New Roman"/>
          <w:lang w:val="en"/>
        </w:rPr>
        <w:t>5</w:t>
      </w:r>
      <w:r w:rsidRPr="00483A7C">
        <w:rPr>
          <w:rFonts w:cs="Times New Roman"/>
        </w:rPr>
        <w:t>µg per instrument</w:t>
      </w:r>
      <w:r w:rsidRPr="00483A7C">
        <w:rPr>
          <w:rFonts w:cs="Times New Roman"/>
          <w:lang w:val="en"/>
        </w:rPr>
        <w:t xml:space="preserve"> </w:t>
      </w:r>
      <w:r>
        <w:rPr>
          <w:rFonts w:cs="Times New Roman"/>
          <w:lang w:val="en"/>
        </w:rPr>
        <w:t xml:space="preserve">side </w:t>
      </w:r>
      <w:r w:rsidRPr="00483A7C">
        <w:rPr>
          <w:rFonts w:cs="Times New Roman"/>
          <w:lang w:val="en"/>
        </w:rPr>
        <w:t>for neurosurgical instruments kept in moist or wet conditions before processing. There is also some evidence for reduced contamination of endoscope channels if kept wet, although the evidence is more equivocal (Herve 2013</w:t>
      </w:r>
      <w:r w:rsidR="003A0D62">
        <w:rPr>
          <w:rFonts w:cs="Times New Roman"/>
          <w:lang w:val="en"/>
        </w:rPr>
        <w:fldChar w:fldCharType="begin"/>
      </w:r>
      <w:r w:rsidR="0076576E">
        <w:rPr>
          <w:rFonts w:cs="Times New Roman"/>
          <w:lang w:val="en"/>
        </w:rPr>
        <w:instrText xml:space="preserve"> ADDIN EN.CITE &lt;EndNote&gt;&lt;Cite&gt;&lt;Author&gt;Herve&lt;/Author&gt;&lt;Year&gt;2013&lt;/Year&gt;&lt;RecNum&gt;8158&lt;/RecNum&gt;&lt;DisplayText&gt;&lt;style face="superscript"&gt;177&lt;/style&gt;&lt;/DisplayText&gt;&lt;record&gt;&lt;rec-number&gt;8158&lt;/rec-number&gt;&lt;foreign-keys&gt;&lt;key app="EN" db-id="vrp0pptazv05wtesfz5vrzsj2p0rv09ttsa9" timestamp="1506588735" guid="7917bccb-14b0-47c5-8c45-64caf8bd4aab"&gt;8158&lt;/key&gt;&lt;/foreign-keys&gt;&lt;ref-type name="Journal Article"&gt;17&lt;/ref-type&gt;&lt;contributors&gt;&lt;authors&gt;&lt;author&gt;Herve, R.&lt;/author&gt;&lt;author&gt;Keevil, C. W.&lt;/author&gt;&lt;/authors&gt;&lt;/contributors&gt;&lt;titles&gt;&lt;title&gt;Current limitations about the cleaning of luminal endoscopes&lt;/title&gt;&lt;secondary-title&gt;Journal of Hospital Infection&lt;/secondary-title&gt;&lt;/titles&gt;&lt;periodical&gt;&lt;full-title&gt;Journal of Hospital Infection&lt;/full-title&gt;&lt;/periodical&gt;&lt;pages&gt;22-29&lt;/pages&gt;&lt;volume&gt;83&lt;/volume&gt;&lt;number&gt;1&lt;/number&gt;&lt;keywords&gt;&lt;keyword&gt;$$CJD relevant&lt;/keyword&gt;&lt;keyword&gt;$$5_instrument decontamination&lt;/keyword&gt;&lt;keyword&gt;$$5_protein&lt;/keyword&gt;&lt;/keywords&gt;&lt;dates&gt;&lt;year&gt;2013&lt;/year&gt;&lt;pub-dates&gt;&lt;date&gt;Jan&lt;/date&gt;&lt;/pub-dates&gt;&lt;/dates&gt;&lt;isbn&gt;0195-6701&lt;/isbn&gt;&lt;accession-num&gt;WOS:000312394600003&lt;/accession-num&gt;&lt;urls&gt;&lt;related-urls&gt;&lt;url&gt;&amp;lt;Go to ISI&amp;gt;://WOS:000312394600003&lt;/url&gt;&lt;/related-urls&gt;&lt;/urls&gt;&lt;electronic-resource-num&gt;10.1016/j.jhin.2012.08.008&lt;/electronic-resource-num&gt;&lt;/record&gt;&lt;/Cite&gt;&lt;/EndNote&gt;</w:instrText>
      </w:r>
      <w:r w:rsidR="003A0D62">
        <w:rPr>
          <w:rFonts w:cs="Times New Roman"/>
          <w:lang w:val="en"/>
        </w:rPr>
        <w:fldChar w:fldCharType="separate"/>
      </w:r>
      <w:r w:rsidR="0076576E" w:rsidRPr="0076576E">
        <w:rPr>
          <w:rFonts w:cs="Times New Roman"/>
          <w:noProof/>
          <w:vertAlign w:val="superscript"/>
          <w:lang w:val="en"/>
        </w:rPr>
        <w:t>177</w:t>
      </w:r>
      <w:r w:rsidR="003A0D62">
        <w:rPr>
          <w:rFonts w:cs="Times New Roman"/>
          <w:lang w:val="en"/>
        </w:rPr>
        <w:fldChar w:fldCharType="end"/>
      </w:r>
      <w:r w:rsidRPr="00483A7C">
        <w:rPr>
          <w:rFonts w:cs="Times New Roman"/>
          <w:lang w:val="en"/>
        </w:rPr>
        <w:t>).</w:t>
      </w:r>
    </w:p>
    <w:p w14:paraId="4DE17B33" w14:textId="77777777" w:rsidR="00334E96" w:rsidRPr="00334E96" w:rsidRDefault="00334E96" w:rsidP="00334E96">
      <w:pPr>
        <w:autoSpaceDE w:val="0"/>
        <w:autoSpaceDN w:val="0"/>
        <w:adjustRightInd w:val="0"/>
        <w:jc w:val="both"/>
        <w:rPr>
          <w:rFonts w:cs="Times New Roman"/>
          <w:lang w:val="en"/>
        </w:rPr>
      </w:pPr>
    </w:p>
    <w:p w14:paraId="6678A75F" w14:textId="257D8FE0" w:rsidR="00500F8B" w:rsidRPr="00500F8B" w:rsidRDefault="00500F8B" w:rsidP="00A27868">
      <w:pPr>
        <w:autoSpaceDE w:val="0"/>
        <w:autoSpaceDN w:val="0"/>
        <w:adjustRightInd w:val="0"/>
        <w:jc w:val="both"/>
        <w:rPr>
          <w:rFonts w:eastAsia="Calibri" w:cs="Times New Roman"/>
          <w:lang w:val="en"/>
        </w:rPr>
      </w:pPr>
      <w:r w:rsidRPr="00500F8B">
        <w:rPr>
          <w:rFonts w:eastAsia="Calibri" w:cs="Times New Roman"/>
          <w:lang w:val="en"/>
        </w:rPr>
        <w:t>The findings for autoclaving at 134</w:t>
      </w:r>
      <w:r w:rsidRPr="00500F8B">
        <w:rPr>
          <w:rFonts w:eastAsia="Calibri" w:cs="Times New Roman"/>
          <w:vertAlign w:val="superscript"/>
        </w:rPr>
        <w:t>°</w:t>
      </w:r>
      <w:r w:rsidRPr="00500F8B">
        <w:rPr>
          <w:rFonts w:eastAsia="Calibri" w:cs="Times New Roman"/>
        </w:rPr>
        <w:t>C</w:t>
      </w:r>
      <w:r w:rsidRPr="00500F8B">
        <w:rPr>
          <w:rFonts w:eastAsia="Calibri" w:cs="Times New Roman"/>
          <w:lang w:val="en"/>
        </w:rPr>
        <w:t xml:space="preserve"> for 15-20 minutes in the more recent sample of studies are generally similar to those previously reported for publications up to 2004: log reductions of between 4 and 5, while transmission rates are highly variable (ranging from 0% to 100%) but are generally more than 50%. It is generally accepted that autoclaving alone only partially inactivates TSE prions (Bonda </w:t>
      </w:r>
      <w:r w:rsidR="00B301D6" w:rsidRPr="00B301D6">
        <w:rPr>
          <w:rFonts w:eastAsia="Calibri" w:cs="Times New Roman"/>
          <w:i/>
          <w:lang w:val="en"/>
        </w:rPr>
        <w:t>et al</w:t>
      </w:r>
      <w:r w:rsidR="00246BA0">
        <w:rPr>
          <w:rFonts w:eastAsia="Calibri" w:cs="Times New Roman"/>
          <w:lang w:val="en"/>
        </w:rPr>
        <w:t xml:space="preserve"> (</w:t>
      </w:r>
      <w:r w:rsidRPr="00500F8B">
        <w:rPr>
          <w:rFonts w:eastAsia="Calibri" w:cs="Times New Roman"/>
          <w:lang w:val="en"/>
        </w:rPr>
        <w:t>2016</w:t>
      </w:r>
      <w:r w:rsidR="00246BA0">
        <w:rPr>
          <w:rFonts w:eastAsia="Calibri" w:cs="Times New Roman"/>
          <w:lang w:val="en"/>
        </w:rPr>
        <w:t>)</w:t>
      </w:r>
      <w:r w:rsidR="00972FBD">
        <w:rPr>
          <w:rFonts w:eastAsia="Calibri" w:cs="Times New Roman"/>
          <w:lang w:val="en"/>
        </w:rPr>
        <w:t>,</w:t>
      </w:r>
      <w:r w:rsidR="00DB67C1">
        <w:rPr>
          <w:rFonts w:eastAsia="Calibri" w:cs="Times New Roman"/>
          <w:lang w:val="en"/>
        </w:rPr>
        <w:fldChar w:fldCharType="begin">
          <w:fldData xml:space="preserve">PEVuZE5vdGU+PENpdGU+PEF1dGhvcj5Cb25kYTwvQXV0aG9yPjxZZWFyPjIwMTY8L1llYXI+PFJl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PEVuZE5vdGU+PENpdGU+PEF1dGhvcj5Cb25kYTwvQXV0aG9yPjxZZWFyPjIwMTY8L1llYXI+PFJl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199</w:t>
      </w:r>
      <w:r w:rsidR="00DB67C1">
        <w:rPr>
          <w:rFonts w:eastAsia="Calibri" w:cs="Times New Roman"/>
          <w:lang w:val="en"/>
        </w:rPr>
        <w:fldChar w:fldCharType="end"/>
      </w:r>
      <w:r w:rsidRPr="00500F8B">
        <w:rPr>
          <w:rFonts w:eastAsia="Calibri" w:cs="Times New Roman"/>
          <w:lang w:val="en"/>
        </w:rPr>
        <w:t xml:space="preserve"> Belay </w:t>
      </w:r>
      <w:r w:rsidR="00B301D6" w:rsidRPr="00B301D6">
        <w:rPr>
          <w:rFonts w:eastAsia="Calibri" w:cs="Times New Roman"/>
          <w:i/>
          <w:lang w:val="en"/>
        </w:rPr>
        <w:t>et al</w:t>
      </w:r>
      <w:r w:rsidR="00246BA0">
        <w:rPr>
          <w:rFonts w:eastAsia="Calibri" w:cs="Times New Roman"/>
          <w:lang w:val="en"/>
        </w:rPr>
        <w:t xml:space="preserve"> (</w:t>
      </w:r>
      <w:r w:rsidRPr="00500F8B">
        <w:rPr>
          <w:rFonts w:eastAsia="Calibri" w:cs="Times New Roman"/>
          <w:lang w:val="en"/>
        </w:rPr>
        <w:t>2013</w:t>
      </w:r>
      <w:r w:rsidR="00246BA0">
        <w:rPr>
          <w:rFonts w:eastAsia="Calibri" w:cs="Times New Roman"/>
          <w:lang w:val="en"/>
        </w:rPr>
        <w:t>)</w:t>
      </w:r>
      <w:r w:rsidR="00972FBD">
        <w:rPr>
          <w:rFonts w:eastAsia="Calibri" w:cs="Times New Roman"/>
          <w:lang w:val="en"/>
        </w:rPr>
        <w:t>,</w:t>
      </w:r>
      <w:r w:rsidR="00DB67C1">
        <w:rPr>
          <w:rFonts w:eastAsia="Calibri" w:cs="Times New Roman"/>
          <w:lang w:val="e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115</w:t>
      </w:r>
      <w:r w:rsidR="00DB67C1">
        <w:rPr>
          <w:rFonts w:eastAsia="Calibri" w:cs="Times New Roman"/>
          <w:lang w:val="en"/>
        </w:rPr>
        <w:fldChar w:fldCharType="end"/>
      </w:r>
      <w:r w:rsidR="00246BA0">
        <w:rPr>
          <w:rFonts w:eastAsia="Calibri" w:cs="Times New Roman"/>
          <w:lang w:val="en"/>
        </w:rPr>
        <w:t xml:space="preserve"> Ruta</w:t>
      </w:r>
      <w:r w:rsidRPr="00500F8B">
        <w:rPr>
          <w:rFonts w:eastAsia="Calibri" w:cs="Times New Roman"/>
          <w:lang w:val="en"/>
        </w:rPr>
        <w:t xml:space="preserve">la </w:t>
      </w:r>
      <w:r w:rsidR="00B301D6" w:rsidRPr="00B301D6">
        <w:rPr>
          <w:rFonts w:eastAsia="Calibri" w:cs="Times New Roman"/>
          <w:i/>
          <w:lang w:val="en"/>
        </w:rPr>
        <w:t>et al</w:t>
      </w:r>
      <w:r w:rsidR="00246BA0">
        <w:rPr>
          <w:rFonts w:eastAsia="Calibri" w:cs="Times New Roman"/>
          <w:lang w:val="en"/>
        </w:rPr>
        <w:t xml:space="preserve"> (</w:t>
      </w:r>
      <w:r w:rsidRPr="00500F8B">
        <w:rPr>
          <w:rFonts w:eastAsia="Calibri" w:cs="Times New Roman"/>
          <w:lang w:val="en"/>
        </w:rPr>
        <w:t>2010</w:t>
      </w:r>
      <w:r w:rsidR="00246BA0">
        <w:rPr>
          <w:rFonts w:eastAsia="Calibri" w:cs="Times New Roman"/>
          <w:lang w:val="en"/>
        </w:rPr>
        <w:t>)</w:t>
      </w:r>
      <w:r w:rsidR="00972FBD">
        <w:rPr>
          <w:rFonts w:eastAsia="Calibri" w:cs="Times New Roman"/>
          <w:lang w:val="en"/>
        </w:rPr>
        <w:t>,</w:t>
      </w:r>
      <w:r w:rsidR="00DB67C1">
        <w:rPr>
          <w:rFonts w:eastAsia="Calibri" w:cs="Times New Roman"/>
          <w:lang w:val="en"/>
        </w:rPr>
        <w:fldChar w:fldCharType="begin">
          <w:fldData xml:space="preserve">PEVuZE5vdGU+PENpdGU+PEF1dGhvcj5SdXRhbGE8L0F1dGhvcj48WWVhcj4yMDEwPC9ZZWFyPjxS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PEVuZE5vdGU+PENpdGU+PEF1dGhvcj5SdXRhbGE8L0F1dGhvcj48WWVhcj4yMDEwPC9ZZWFyPjxS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200</w:t>
      </w:r>
      <w:r w:rsidR="00DB67C1">
        <w:rPr>
          <w:rFonts w:eastAsia="Calibri" w:cs="Times New Roman"/>
          <w:lang w:val="en"/>
        </w:rPr>
        <w:fldChar w:fldCharType="end"/>
      </w:r>
      <w:r w:rsidRPr="00500F8B">
        <w:rPr>
          <w:rFonts w:eastAsia="Calibri" w:cs="Times New Roman"/>
          <w:lang w:val="en"/>
        </w:rPr>
        <w:t xml:space="preserve"> Dickinson </w:t>
      </w:r>
      <w:r w:rsidR="00B301D6" w:rsidRPr="00B301D6">
        <w:rPr>
          <w:rFonts w:eastAsia="Calibri" w:cs="Times New Roman"/>
          <w:i/>
          <w:lang w:val="en"/>
        </w:rPr>
        <w:t>et al</w:t>
      </w:r>
      <w:r w:rsidR="00FC569E">
        <w:rPr>
          <w:rFonts w:eastAsia="Calibri" w:cs="Times New Roman"/>
          <w:lang w:val="en"/>
        </w:rPr>
        <w:t xml:space="preserve"> (</w:t>
      </w:r>
      <w:r w:rsidRPr="00500F8B">
        <w:rPr>
          <w:rFonts w:eastAsia="Calibri" w:cs="Times New Roman"/>
          <w:lang w:val="en"/>
        </w:rPr>
        <w:t>2009</w:t>
      </w:r>
      <w:r w:rsidR="00FC569E">
        <w:rPr>
          <w:rFonts w:eastAsia="Calibri" w:cs="Times New Roman"/>
          <w:lang w:val="en"/>
        </w:rPr>
        <w:t>)</w:t>
      </w:r>
      <w:r w:rsidR="00972FBD">
        <w:rPr>
          <w:rFonts w:eastAsia="Calibri" w:cs="Times New Roman"/>
          <w:lang w:val="en"/>
        </w:rPr>
        <w:t>,</w:t>
      </w:r>
      <w:r w:rsidR="00DB67C1">
        <w:rPr>
          <w:rFonts w:eastAsia="Calibri" w:cs="Times New Roman"/>
          <w:lang w:val="en"/>
        </w:rPr>
        <w:fldChar w:fldCharType="begin">
          <w:fldData xml:space="preserve">PEVuZE5vdGU+PENpdGU+PEF1dGhvcj5EaWNraW5zb248L0F1dGhvcj48WWVhcj4yMDA5PC9ZZWFy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PEVuZE5vdGU+PENpdGU+PEF1dGhvcj5EaWNraW5zb248L0F1dGhvcj48WWVhcj4yMDA5PC9ZZWFy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201</w:t>
      </w:r>
      <w:r w:rsidR="00DB67C1">
        <w:rPr>
          <w:rFonts w:eastAsia="Calibri" w:cs="Times New Roman"/>
          <w:lang w:val="en"/>
        </w:rPr>
        <w:fldChar w:fldCharType="end"/>
      </w:r>
      <w:r w:rsidR="00002989">
        <w:rPr>
          <w:rFonts w:eastAsia="Calibri" w:cs="Times New Roman"/>
          <w:lang w:val="en"/>
        </w:rPr>
        <w:t xml:space="preserve"> Fi</w:t>
      </w:r>
      <w:r w:rsidRPr="00500F8B">
        <w:rPr>
          <w:rFonts w:eastAsia="Calibri" w:cs="Times New Roman"/>
          <w:lang w:val="en"/>
        </w:rPr>
        <w:t xml:space="preserve">chet </w:t>
      </w:r>
      <w:r w:rsidR="00B301D6" w:rsidRPr="00B301D6">
        <w:rPr>
          <w:rFonts w:eastAsia="Calibri" w:cs="Times New Roman"/>
          <w:i/>
          <w:lang w:val="en"/>
        </w:rPr>
        <w:t>et al</w:t>
      </w:r>
      <w:r w:rsidR="00FC569E">
        <w:rPr>
          <w:rFonts w:eastAsia="Calibri" w:cs="Times New Roman"/>
          <w:lang w:val="en"/>
        </w:rPr>
        <w:t xml:space="preserve"> (</w:t>
      </w:r>
      <w:r w:rsidRPr="00500F8B">
        <w:rPr>
          <w:rFonts w:eastAsia="Calibri" w:cs="Times New Roman"/>
          <w:lang w:val="en"/>
        </w:rPr>
        <w:t>2004</w:t>
      </w:r>
      <w:r w:rsidR="00002989">
        <w:rPr>
          <w:rFonts w:eastAsia="Calibri" w:cs="Times New Roman"/>
          <w:lang w:val="en"/>
        </w:rPr>
        <w:t>)</w:t>
      </w:r>
      <w:r w:rsidR="00DB67C1">
        <w:rPr>
          <w:rFonts w:eastAsia="Calibri" w:cs="Times New Roman"/>
          <w:lang w:val="en"/>
        </w:rPr>
        <w:fldChar w:fldCharType="begin"/>
      </w:r>
      <w:r w:rsidR="0076576E">
        <w:rPr>
          <w:rFonts w:eastAsia="Calibri" w:cs="Times New Roman"/>
          <w:lang w:val="en"/>
        </w:rPr>
        <w:instrText xml:space="preserve"> ADDIN EN.CITE &lt;EndNote&gt;&lt;Cite&gt;&lt;Author&gt;Fichet&lt;/Author&gt;&lt;Year&gt;2004&lt;/Year&gt;&lt;RecNum&gt;10277&lt;/RecNum&gt;&lt;DisplayText&gt;&lt;style face="superscript"&gt;202&lt;/style&gt;&lt;/DisplayText&gt;&lt;record&gt;&lt;rec-number&gt;10277&lt;/rec-number&gt;&lt;foreign-keys&gt;&lt;key app="EN" db-id="vrp0pptazv05wtesfz5vrzsj2p0rv09ttsa9" timestamp="1521469702" guid="869bdecb-c0b3-4fb3-bba5-79a93d20b3fa"&gt;10277&lt;/key&gt;&lt;/foreign-keys&gt;&lt;ref-type name="Journal Article"&gt;17&lt;/ref-type&gt;&lt;contributors&gt;&lt;authors&gt;&lt;author&gt;Fichet, Guillaume&lt;/author&gt;&lt;author&gt;Comoy, Emmanuel&lt;/author&gt;&lt;author&gt;Duval, Christelle&lt;/author&gt;&lt;author&gt;Antloga, Kathleen&lt;/author&gt;&lt;author&gt;Dehen, Capucine&lt;/author&gt;&lt;author&gt;Charbonnier, Aurore&lt;/author&gt;&lt;author&gt;McDonnell, Gerald&lt;/author&gt;&lt;author&gt;Brown, Paul&lt;/author&gt;&lt;author&gt;Lasmézas, Corinne Ida&lt;/author&gt;&lt;author&gt;Deslys, Jean-Philippe&lt;/author&gt;&lt;/authors&gt;&lt;/contributors&gt;&lt;titles&gt;&lt;title&gt;Novel methods for disinfection of prion-contaminated medical devices&lt;/title&gt;&lt;secondary-title&gt;The Lancet&lt;/secondary-title&gt;&lt;/titles&gt;&lt;periodical&gt;&lt;full-title&gt;The Lancet&lt;/full-title&gt;&lt;/periodical&gt;&lt;pages&gt;521-526&lt;/pages&gt;&lt;volume&gt;364&lt;/volume&gt;&lt;number&gt;9433&lt;/number&gt;&lt;keywords&gt;&lt;keyword&gt;$$5_instrument decontamination&lt;/keyword&gt;&lt;keyword&gt;$$Lesley google&lt;/keyword&gt;&lt;/keywords&gt;&lt;dates&gt;&lt;year&gt;2004&lt;/year&gt;&lt;/dates&gt;&lt;isbn&gt;0140-6736&lt;/isbn&gt;&lt;urls&gt;&lt;/urls&gt;&lt;/record&gt;&lt;/Cite&gt;&lt;/EndNote&gt;</w:instrText>
      </w:r>
      <w:r w:rsidR="00DB67C1">
        <w:rPr>
          <w:rFonts w:eastAsia="Calibri" w:cs="Times New Roman"/>
          <w:lang w:val="en"/>
        </w:rPr>
        <w:fldChar w:fldCharType="separate"/>
      </w:r>
      <w:r w:rsidR="0076576E" w:rsidRPr="0076576E">
        <w:rPr>
          <w:rFonts w:eastAsia="Calibri" w:cs="Times New Roman"/>
          <w:noProof/>
          <w:vertAlign w:val="superscript"/>
          <w:lang w:val="en"/>
        </w:rPr>
        <w:t>202</w:t>
      </w:r>
      <w:r w:rsidR="00DB67C1">
        <w:rPr>
          <w:rFonts w:eastAsia="Calibri" w:cs="Times New Roman"/>
          <w:lang w:val="en"/>
        </w:rPr>
        <w:fldChar w:fldCharType="end"/>
      </w:r>
      <w:r w:rsidRPr="00500F8B">
        <w:rPr>
          <w:rFonts w:eastAsia="Calibri" w:cs="Times New Roman"/>
          <w:lang w:val="en"/>
        </w:rPr>
        <w:t>). The majority of studies published in 2004 and before focused on the 263K scrapie prion strain, while the more recent data have investigated efficiency of autoclaving on a wider range of prions, e.g. RML and various CJD and BSE strains. Some strains, such as the M1000 strain, appear to be more resistant to autoclaving.</w:t>
      </w:r>
    </w:p>
    <w:p w14:paraId="3DB9CB3E" w14:textId="77777777" w:rsidR="00500F8B" w:rsidRPr="00500F8B" w:rsidRDefault="00500F8B" w:rsidP="00A27868">
      <w:pPr>
        <w:autoSpaceDE w:val="0"/>
        <w:autoSpaceDN w:val="0"/>
        <w:adjustRightInd w:val="0"/>
        <w:jc w:val="both"/>
        <w:rPr>
          <w:rFonts w:eastAsia="Calibri" w:cs="Times New Roman"/>
          <w:lang w:val="en"/>
        </w:rPr>
      </w:pPr>
    </w:p>
    <w:p w14:paraId="1BB6DA4C" w14:textId="335CA456" w:rsidR="00500F8B" w:rsidRPr="00500F8B" w:rsidRDefault="00500F8B" w:rsidP="00A27868">
      <w:pPr>
        <w:autoSpaceDE w:val="0"/>
        <w:autoSpaceDN w:val="0"/>
        <w:adjustRightInd w:val="0"/>
        <w:jc w:val="both"/>
        <w:rPr>
          <w:rFonts w:eastAsia="Calibri" w:cs="Times New Roman"/>
        </w:rPr>
      </w:pPr>
      <w:r w:rsidRPr="00500F8B">
        <w:rPr>
          <w:rFonts w:eastAsia="Calibri" w:cs="Times New Roman"/>
          <w:lang w:val="en"/>
        </w:rPr>
        <w:t xml:space="preserve">Certain combinations of autoclaving and enzymatic or alkaline detergents have also been reported to achieve log reductions of infectivity in excess of 5 and transmission rates of 0% in animal assays: </w:t>
      </w:r>
      <w:r w:rsidRPr="00500F8B">
        <w:rPr>
          <w:rFonts w:eastAsia="Calibri" w:cs="Times New Roman"/>
        </w:rPr>
        <w:t>for the 263K, RML, 301V, cattle BSE, Sc237 and sCJD prions strains,</w:t>
      </w:r>
      <w:r w:rsidRPr="00500F8B">
        <w:rPr>
          <w:rFonts w:eastAsia="Calibri" w:cs="Times New Roman"/>
          <w:lang w:val="en"/>
        </w:rPr>
        <w:t xml:space="preserve"> alkaline detergents (</w:t>
      </w:r>
      <w:r w:rsidRPr="00500F8B">
        <w:rPr>
          <w:rFonts w:eastAsia="Calibri" w:cs="Times New Roman"/>
        </w:rPr>
        <w:t>Rogez-Kreuz</w:t>
      </w:r>
      <w:r w:rsidR="00973FD5">
        <w:rPr>
          <w:rFonts w:eastAsia="Calibri" w:cs="Times New Roman"/>
        </w:rPr>
        <w:t xml:space="preserve"> </w:t>
      </w:r>
      <w:r w:rsidR="00B301D6" w:rsidRPr="00B301D6">
        <w:rPr>
          <w:rFonts w:eastAsia="Calibri" w:cs="Times New Roman"/>
          <w:i/>
        </w:rPr>
        <w:t>et al</w:t>
      </w:r>
      <w:r w:rsidR="00973FD5">
        <w:rPr>
          <w:rFonts w:eastAsia="Calibri" w:cs="Times New Roman"/>
        </w:rPr>
        <w:t xml:space="preserve"> (2009)</w:t>
      </w:r>
      <w:r w:rsidRPr="00500F8B">
        <w:rPr>
          <w:rFonts w:eastAsia="Calibri" w:cs="Times New Roman"/>
          <w:lang w:val="en"/>
        </w:rPr>
        <w:t>),</w:t>
      </w:r>
      <w:r w:rsidR="00DB67C1">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170</w:t>
      </w:r>
      <w:r w:rsidR="00DB67C1">
        <w:rPr>
          <w:rFonts w:eastAsia="Calibri" w:cs="Times New Roman"/>
          <w:lang w:val="en"/>
        </w:rPr>
        <w:fldChar w:fldCharType="end"/>
      </w:r>
      <w:r w:rsidR="00DD053F" w:rsidRPr="00500F8B">
        <w:rPr>
          <w:rFonts w:eastAsia="Calibri" w:cs="Times New Roman"/>
          <w:lang w:val="en"/>
        </w:rPr>
        <w:t xml:space="preserve"> </w:t>
      </w:r>
      <w:r w:rsidRPr="00500F8B">
        <w:rPr>
          <w:rFonts w:eastAsia="Calibri" w:cs="Times New Roman"/>
          <w:lang w:val="en"/>
        </w:rPr>
        <w:t xml:space="preserve"> </w:t>
      </w:r>
      <w:r w:rsidRPr="00500F8B">
        <w:rPr>
          <w:rFonts w:eastAsia="Calibri" w:cs="Times New Roman"/>
        </w:rPr>
        <w:t>SDS 0.2%/NaOH 0.3% (</w:t>
      </w:r>
      <w:r w:rsidR="00E35FE6" w:rsidRPr="00500F8B">
        <w:rPr>
          <w:rFonts w:eastAsia="Calibri" w:cs="Times New Roman"/>
          <w:lang w:val="en"/>
        </w:rPr>
        <w:t>Lemmer</w:t>
      </w:r>
      <w:r w:rsidR="00E35FE6">
        <w:rPr>
          <w:rFonts w:eastAsia="Calibri" w:cs="Times New Roman"/>
          <w:lang w:val="en"/>
        </w:rPr>
        <w:t xml:space="preserve"> </w:t>
      </w:r>
      <w:r w:rsidR="00B301D6" w:rsidRPr="00B301D6">
        <w:rPr>
          <w:rFonts w:eastAsia="Calibri" w:cs="Times New Roman"/>
          <w:i/>
          <w:lang w:val="en"/>
        </w:rPr>
        <w:t>et al</w:t>
      </w:r>
      <w:r w:rsidR="00F1300C">
        <w:rPr>
          <w:rFonts w:eastAsia="Calibri" w:cs="Times New Roman"/>
          <w:lang w:val="en"/>
        </w:rPr>
        <w:t xml:space="preserve"> </w:t>
      </w:r>
      <w:r w:rsidR="00E35FE6">
        <w:rPr>
          <w:rFonts w:eastAsia="Calibri" w:cs="Times New Roman"/>
          <w:lang w:val="en"/>
        </w:rPr>
        <w:t>2008)</w:t>
      </w:r>
      <w:r w:rsidR="00DB67C1">
        <w:rPr>
          <w:rFonts w:eastAsia="Calibri" w:cs="Times New Roman"/>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PEVuZE5vdGU+PENpdGU+PEF1dGhvcj5MZW1tZXI8L0F1dGhvcj48WWVhcj4yMDA4PC9ZZWFyPjxS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169</w:t>
      </w:r>
      <w:r w:rsidR="00DB67C1">
        <w:rPr>
          <w:rFonts w:eastAsia="Calibri" w:cs="Times New Roman"/>
          <w:lang w:val="en"/>
        </w:rPr>
        <w:fldChar w:fldCharType="end"/>
      </w:r>
      <w:r w:rsidRPr="00500F8B">
        <w:rPr>
          <w:rFonts w:eastAsia="Calibri" w:cs="Times New Roman"/>
        </w:rPr>
        <w:t>, Rapid Multi Enzyme Cleaner trial formulation (RMEC) B (</w:t>
      </w:r>
      <w:r w:rsidR="00E35FE6" w:rsidRPr="00500F8B">
        <w:rPr>
          <w:rFonts w:eastAsia="Calibri" w:cs="Times New Roman"/>
          <w:lang w:val="en"/>
        </w:rPr>
        <w:t>Lawson</w:t>
      </w:r>
      <w:r w:rsidR="00E35FE6">
        <w:rPr>
          <w:rFonts w:eastAsia="Calibri" w:cs="Times New Roman"/>
          <w:lang w:val="en"/>
        </w:rPr>
        <w:t xml:space="preserve"> </w:t>
      </w:r>
      <w:r w:rsidR="00B301D6" w:rsidRPr="00B301D6">
        <w:rPr>
          <w:rFonts w:eastAsia="Calibri" w:cs="Times New Roman"/>
          <w:i/>
          <w:lang w:val="en"/>
        </w:rPr>
        <w:t>et al</w:t>
      </w:r>
      <w:r w:rsidR="00E35FE6">
        <w:rPr>
          <w:rFonts w:eastAsia="Calibri" w:cs="Times New Roman"/>
          <w:lang w:val="en"/>
        </w:rPr>
        <w:t xml:space="preserve"> 2007</w:t>
      </w:r>
      <w:r w:rsidR="00F1300C">
        <w:rPr>
          <w:rFonts w:eastAsia="Calibri" w:cs="Times New Roman"/>
          <w:lang w:val="en"/>
        </w:rPr>
        <w:t>)</w:t>
      </w:r>
      <w:r w:rsidR="00DB67C1">
        <w:rPr>
          <w:rFonts w:eastAsia="Calibri" w:cs="Times New Roman"/>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PEVuZE5vdGU+PENpdGU+PEF1dGhvcj5MYXdzb248L0F1dGhvcj48WWVhcj4yMDA3PC9ZZWFyPjxS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172</w:t>
      </w:r>
      <w:r w:rsidR="00DB67C1">
        <w:rPr>
          <w:rFonts w:eastAsia="Calibri" w:cs="Times New Roman"/>
          <w:lang w:val="en"/>
        </w:rPr>
        <w:fldChar w:fldCharType="end"/>
      </w:r>
      <w:r w:rsidRPr="00500F8B">
        <w:rPr>
          <w:rFonts w:eastAsia="Calibri" w:cs="Times New Roman"/>
        </w:rPr>
        <w:t>, 4% SDS + 1% AcOH (</w:t>
      </w:r>
      <w:r w:rsidR="00430EFD" w:rsidRPr="00500F8B">
        <w:rPr>
          <w:rFonts w:eastAsia="Calibri" w:cs="Times New Roman"/>
          <w:lang w:val="en"/>
        </w:rPr>
        <w:t>Giles</w:t>
      </w:r>
      <w:r w:rsidR="00430EFD">
        <w:rPr>
          <w:rFonts w:eastAsia="Calibri" w:cs="Times New Roman"/>
          <w:lang w:val="en"/>
        </w:rPr>
        <w:t xml:space="preserve"> </w:t>
      </w:r>
      <w:r w:rsidR="00B301D6" w:rsidRPr="00B301D6">
        <w:rPr>
          <w:rFonts w:eastAsia="Calibri" w:cs="Times New Roman"/>
          <w:i/>
          <w:lang w:val="en"/>
        </w:rPr>
        <w:t>et al</w:t>
      </w:r>
      <w:r w:rsidR="00F1300C">
        <w:rPr>
          <w:rFonts w:eastAsia="Calibri" w:cs="Times New Roman"/>
          <w:lang w:val="en"/>
        </w:rPr>
        <w:t xml:space="preserve"> </w:t>
      </w:r>
      <w:r w:rsidR="00430EFD" w:rsidRPr="00500F8B">
        <w:rPr>
          <w:rFonts w:eastAsia="Calibri" w:cs="Times New Roman"/>
          <w:lang w:val="en"/>
        </w:rPr>
        <w:t>2008)</w:t>
      </w:r>
      <w:r w:rsidR="00DB67C1">
        <w:rPr>
          <w:rFonts w:eastAsia="Calibri" w:cs="Times New Roman"/>
          <w:lang w:val="en"/>
        </w:rPr>
        <w:fldChar w:fldCharType="begin">
          <w:fldData xml:space="preserve">PEVuZE5vdGU+PENpdGU+PEF1dGhvcj5HaWxlczwvQXV0aG9yPjxZZWFyPjIwMDg8L1llYXI+PFJl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PEVuZE5vdGU+PENpdGU+PEF1dGhvcj5HaWxlczwvQXV0aG9yPjxZZWFyPjIwMDg8L1llYXI+PFJl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184</w:t>
      </w:r>
      <w:r w:rsidR="00DB67C1">
        <w:rPr>
          <w:rFonts w:eastAsia="Calibri" w:cs="Times New Roman"/>
          <w:lang w:val="en"/>
        </w:rPr>
        <w:fldChar w:fldCharType="end"/>
      </w:r>
      <w:r w:rsidRPr="00500F8B">
        <w:rPr>
          <w:rFonts w:eastAsia="Calibri" w:cs="Times New Roman"/>
        </w:rPr>
        <w:t xml:space="preserve">, </w:t>
      </w:r>
      <w:r w:rsidR="00464F97" w:rsidRPr="00500F8B">
        <w:rPr>
          <w:rFonts w:eastAsia="Calibri" w:cs="Times New Roman"/>
          <w:lang w:val="en"/>
        </w:rPr>
        <w:t xml:space="preserve">Peretz </w:t>
      </w:r>
      <w:r w:rsidR="00B301D6" w:rsidRPr="00B301D6">
        <w:rPr>
          <w:rFonts w:eastAsia="Calibri" w:cs="Times New Roman"/>
          <w:i/>
          <w:lang w:val="en"/>
        </w:rPr>
        <w:t>et al</w:t>
      </w:r>
      <w:r w:rsidR="00F1300C">
        <w:rPr>
          <w:rFonts w:eastAsia="Calibri" w:cs="Times New Roman"/>
          <w:lang w:val="en"/>
        </w:rPr>
        <w:t xml:space="preserve"> </w:t>
      </w:r>
      <w:r w:rsidR="00464F97" w:rsidRPr="00500F8B">
        <w:rPr>
          <w:rFonts w:eastAsia="Calibri" w:cs="Times New Roman"/>
          <w:lang w:val="en"/>
        </w:rPr>
        <w:t>2006</w:t>
      </w:r>
      <w:r w:rsidR="00F1300C">
        <w:rPr>
          <w:rFonts w:eastAsia="Calibri" w:cs="Times New Roman"/>
          <w:lang w:val="en"/>
        </w:rPr>
        <w:t>)</w:t>
      </w:r>
      <w:r w:rsidR="00DB67C1">
        <w:rPr>
          <w:rFonts w:eastAsia="Calibri" w:cs="Times New Roman"/>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PEVuZE5vdGU+PENpdGU+PEF1dGhvcj5QZXJldHo8L0F1dGhvcj48WWVhcj4yMDA2PC9ZZWFyPjxS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181</w:t>
      </w:r>
      <w:r w:rsidR="00DB67C1">
        <w:rPr>
          <w:rFonts w:eastAsia="Calibri" w:cs="Times New Roman"/>
          <w:lang w:val="en"/>
        </w:rPr>
        <w:fldChar w:fldCharType="end"/>
      </w:r>
      <w:r w:rsidRPr="00500F8B">
        <w:rPr>
          <w:rFonts w:eastAsia="Calibri" w:cs="Times New Roman"/>
        </w:rPr>
        <w:t>, H</w:t>
      </w:r>
      <w:r w:rsidRPr="00500F8B">
        <w:rPr>
          <w:rFonts w:eastAsia="Calibri" w:cs="Times New Roman"/>
          <w:vertAlign w:val="subscript"/>
        </w:rPr>
        <w:t>2</w:t>
      </w:r>
      <w:r w:rsidRPr="00500F8B">
        <w:rPr>
          <w:rFonts w:eastAsia="Calibri" w:cs="Times New Roman"/>
        </w:rPr>
        <w:t>O</w:t>
      </w:r>
      <w:r w:rsidRPr="00500F8B">
        <w:rPr>
          <w:rFonts w:eastAsia="Calibri" w:cs="Times New Roman"/>
          <w:vertAlign w:val="subscript"/>
        </w:rPr>
        <w:t xml:space="preserve">2 </w:t>
      </w:r>
      <w:r w:rsidRPr="00500F8B">
        <w:rPr>
          <w:rFonts w:eastAsia="Calibri" w:cs="Times New Roman"/>
        </w:rPr>
        <w:t>and gas plasma (Sterrad NX1 and 2 cycles) (Rogez-Kreuz</w:t>
      </w:r>
      <w:r w:rsidR="00973FD5">
        <w:rPr>
          <w:rFonts w:eastAsia="Calibri" w:cs="Times New Roman"/>
        </w:rPr>
        <w:t xml:space="preserve"> </w:t>
      </w:r>
      <w:r w:rsidR="00B301D6" w:rsidRPr="00B301D6">
        <w:rPr>
          <w:rFonts w:eastAsia="Calibri" w:cs="Times New Roman"/>
          <w:i/>
        </w:rPr>
        <w:t>et al</w:t>
      </w:r>
      <w:r w:rsidR="00F1300C">
        <w:rPr>
          <w:rFonts w:eastAsia="Calibri" w:cs="Times New Roman"/>
        </w:rPr>
        <w:t xml:space="preserve"> 2009</w:t>
      </w:r>
      <w:r w:rsidRPr="00500F8B">
        <w:rPr>
          <w:rFonts w:eastAsia="Calibri" w:cs="Times New Roman"/>
        </w:rPr>
        <w:t>).</w:t>
      </w:r>
      <w:r w:rsidR="00DD053F" w:rsidRPr="00DD053F">
        <w:rPr>
          <w:rFonts w:eastAsia="Calibri" w:cs="Times New Roman"/>
          <w:lang w:val="en"/>
        </w:rPr>
        <w:t xml:space="preserve"> </w:t>
      </w:r>
      <w:r w:rsidR="00DB67C1">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170</w:t>
      </w:r>
      <w:r w:rsidR="00DB67C1">
        <w:rPr>
          <w:rFonts w:eastAsia="Calibri" w:cs="Times New Roman"/>
          <w:lang w:val="en"/>
        </w:rPr>
        <w:fldChar w:fldCharType="end"/>
      </w:r>
      <w:r w:rsidRPr="00500F8B">
        <w:rPr>
          <w:rFonts w:eastAsia="Calibri" w:cs="Times New Roman"/>
        </w:rPr>
        <w:t xml:space="preserve"> It has been reported that, based on the evidence, the following should be sufficient to achieve adequate levels of inactivation and decontamination for prions bound to steel wires: a combination of an alkaline or enzymatic detergent followed by autoclaving, with each process known to produce</w:t>
      </w:r>
      <w:r w:rsidR="00720259">
        <w:rPr>
          <w:rFonts w:eastAsia="Calibri" w:cs="Times New Roman"/>
        </w:rPr>
        <w:t xml:space="preserve"> a</w:t>
      </w:r>
      <w:r w:rsidRPr="00500F8B">
        <w:rPr>
          <w:rFonts w:eastAsia="Calibri" w:cs="Times New Roman"/>
        </w:rPr>
        <w:t xml:space="preserve"> log reduction of </w:t>
      </w:r>
      <w:r w:rsidRPr="00500F8B">
        <w:rPr>
          <w:rFonts w:eastAsia="Calibri" w:cs="Times New Roman"/>
          <w:u w:val="single"/>
        </w:rPr>
        <w:t>&gt;</w:t>
      </w:r>
      <w:r w:rsidRPr="00500F8B">
        <w:rPr>
          <w:rFonts w:eastAsia="Calibri" w:cs="Times New Roman"/>
        </w:rPr>
        <w:t>5 (</w:t>
      </w:r>
      <w:r w:rsidR="00246BA0">
        <w:rPr>
          <w:rFonts w:eastAsia="Calibri" w:cs="Times New Roman"/>
          <w:lang w:val="en"/>
        </w:rPr>
        <w:t>Ruta</w:t>
      </w:r>
      <w:r w:rsidR="00246BA0" w:rsidRPr="00500F8B">
        <w:rPr>
          <w:rFonts w:eastAsia="Calibri" w:cs="Times New Roman"/>
          <w:lang w:val="en"/>
        </w:rPr>
        <w:t xml:space="preserve">la </w:t>
      </w:r>
      <w:r w:rsidR="00B301D6" w:rsidRPr="00B301D6">
        <w:rPr>
          <w:rFonts w:eastAsia="Calibri" w:cs="Times New Roman"/>
          <w:i/>
          <w:lang w:val="en"/>
        </w:rPr>
        <w:t>et al</w:t>
      </w:r>
      <w:r w:rsidR="00246BA0">
        <w:rPr>
          <w:rFonts w:eastAsia="Calibri" w:cs="Times New Roman"/>
          <w:lang w:val="en"/>
        </w:rPr>
        <w:t xml:space="preserve"> (</w:t>
      </w:r>
      <w:r w:rsidR="00246BA0" w:rsidRPr="00500F8B">
        <w:rPr>
          <w:rFonts w:eastAsia="Calibri" w:cs="Times New Roman"/>
          <w:lang w:val="en"/>
        </w:rPr>
        <w:t>2010</w:t>
      </w:r>
      <w:r w:rsidR="00246BA0">
        <w:rPr>
          <w:rFonts w:eastAsia="Calibri" w:cs="Times New Roman"/>
          <w:lang w:val="en"/>
        </w:rPr>
        <w:t>)</w:t>
      </w:r>
      <w:r w:rsidR="00DB67C1">
        <w:rPr>
          <w:rFonts w:eastAsia="Calibri" w:cs="Times New Roman"/>
          <w:lang w:val="en"/>
        </w:rPr>
        <w:fldChar w:fldCharType="begin">
          <w:fldData xml:space="preserve">PEVuZE5vdGU+PENpdGU+PEF1dGhvcj5SdXRhbGE8L0F1dGhvcj48WWVhcj4yMDEwPC9ZZWFyPjxS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PEVuZE5vdGU+PENpdGU+PEF1dGhvcj5SdXRhbGE8L0F1dGhvcj48WWVhcj4yMDEwPC9ZZWFyPjxS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200</w:t>
      </w:r>
      <w:r w:rsidR="00DB67C1">
        <w:rPr>
          <w:rFonts w:eastAsia="Calibri" w:cs="Times New Roman"/>
          <w:lang w:val="en"/>
        </w:rPr>
        <w:fldChar w:fldCharType="end"/>
      </w:r>
      <w:r w:rsidRPr="00500F8B">
        <w:rPr>
          <w:rFonts w:eastAsia="Calibri" w:cs="Times New Roman"/>
        </w:rPr>
        <w:t>).</w:t>
      </w:r>
    </w:p>
    <w:p w14:paraId="50E1681B" w14:textId="77777777" w:rsidR="00500F8B" w:rsidRPr="00500F8B" w:rsidRDefault="00500F8B" w:rsidP="00A27868">
      <w:pPr>
        <w:autoSpaceDE w:val="0"/>
        <w:autoSpaceDN w:val="0"/>
        <w:adjustRightInd w:val="0"/>
        <w:jc w:val="both"/>
        <w:rPr>
          <w:rFonts w:eastAsia="Calibri" w:cs="Times New Roman"/>
        </w:rPr>
      </w:pPr>
    </w:p>
    <w:p w14:paraId="7263AD1F" w14:textId="60688C3B" w:rsidR="00500F8B" w:rsidRPr="00500F8B" w:rsidRDefault="00500F8B" w:rsidP="00A27868">
      <w:pPr>
        <w:autoSpaceDE w:val="0"/>
        <w:autoSpaceDN w:val="0"/>
        <w:adjustRightInd w:val="0"/>
        <w:jc w:val="both"/>
        <w:rPr>
          <w:rFonts w:eastAsia="Calibri" w:cs="Times New Roman"/>
        </w:rPr>
      </w:pPr>
      <w:r w:rsidRPr="00500F8B">
        <w:rPr>
          <w:rFonts w:eastAsia="Calibri" w:cs="Times New Roman"/>
        </w:rPr>
        <w:t>Within the specified requirements of dose, time and temperature of exposure, a number of decontaminants, without autoclaving, were also reported to achieve log reductions of at least 5 and/or 0% transmission across a range of prion strains. These included Rely+On PI (DuPont) and prionzyme (Genecor) (</w:t>
      </w:r>
      <w:r w:rsidR="0096671F" w:rsidRPr="00500F8B">
        <w:rPr>
          <w:rFonts w:eastAsia="Calibri" w:cs="Times New Roman"/>
          <w:lang w:val="en"/>
        </w:rPr>
        <w:t>Edgeworth</w:t>
      </w:r>
      <w:r w:rsidR="0096671F">
        <w:rPr>
          <w:rFonts w:eastAsia="Calibri" w:cs="Times New Roman"/>
          <w:lang w:val="en"/>
        </w:rPr>
        <w:t xml:space="preserve"> </w:t>
      </w:r>
      <w:r w:rsidR="00B301D6" w:rsidRPr="00B301D6">
        <w:rPr>
          <w:rFonts w:eastAsia="Calibri" w:cs="Times New Roman"/>
          <w:i/>
          <w:lang w:val="en"/>
        </w:rPr>
        <w:t>et al</w:t>
      </w:r>
      <w:r w:rsidR="0096671F">
        <w:rPr>
          <w:rFonts w:eastAsia="Calibri" w:cs="Times New Roman"/>
          <w:lang w:val="en"/>
        </w:rPr>
        <w:t xml:space="preserve"> (2011</w:t>
      </w:r>
      <w:r w:rsidR="0096671F" w:rsidRPr="00500F8B">
        <w:rPr>
          <w:rFonts w:eastAsia="Calibri" w:cs="Times New Roman"/>
          <w:lang w:val="en"/>
        </w:rPr>
        <w:t>)</w:t>
      </w:r>
      <w:r w:rsidR="00DB67C1">
        <w:rPr>
          <w:rFonts w:eastAsia="Calibri" w:cs="Times New Roman"/>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179</w:t>
      </w:r>
      <w:r w:rsidR="00DB67C1">
        <w:rPr>
          <w:rFonts w:eastAsia="Calibri" w:cs="Times New Roman"/>
          <w:lang w:val="en"/>
        </w:rPr>
        <w:fldChar w:fldCharType="end"/>
      </w:r>
      <w:r w:rsidRPr="00500F8B">
        <w:rPr>
          <w:rFonts w:eastAsia="Calibri" w:cs="Times New Roman"/>
        </w:rPr>
        <w:t>); sodium chloride (NaOH) (</w:t>
      </w:r>
      <w:r w:rsidR="00F61DA0" w:rsidRPr="00500F8B">
        <w:rPr>
          <w:rFonts w:eastAsia="Calibri" w:cs="Times New Roman"/>
          <w:lang w:val="en"/>
        </w:rPr>
        <w:t>Edgeworth</w:t>
      </w:r>
      <w:r w:rsidR="00F61DA0">
        <w:rPr>
          <w:rFonts w:eastAsia="Calibri" w:cs="Times New Roman"/>
          <w:lang w:val="en"/>
        </w:rPr>
        <w:t xml:space="preserve"> </w:t>
      </w:r>
      <w:r w:rsidR="00B301D6" w:rsidRPr="00B301D6">
        <w:rPr>
          <w:rFonts w:eastAsia="Calibri" w:cs="Times New Roman"/>
          <w:i/>
          <w:lang w:val="en"/>
        </w:rPr>
        <w:t>et al</w:t>
      </w:r>
      <w:r w:rsidR="00F61DA0">
        <w:rPr>
          <w:rFonts w:eastAsia="Calibri" w:cs="Times New Roman"/>
          <w:lang w:val="en"/>
        </w:rPr>
        <w:t xml:space="preserve"> (2011</w:t>
      </w:r>
      <w:r w:rsidR="00F61DA0" w:rsidRPr="00500F8B">
        <w:rPr>
          <w:rFonts w:eastAsia="Calibri" w:cs="Times New Roman"/>
          <w:lang w:val="en"/>
        </w:rPr>
        <w:t>)</w:t>
      </w:r>
      <w:r w:rsidR="00847502">
        <w:rPr>
          <w:rFonts w:eastAsia="Calibri" w:cs="Times New Roman"/>
          <w:lang w:val="en"/>
        </w:rPr>
        <w:t>,</w:t>
      </w:r>
      <w:r w:rsidR="00DB67C1">
        <w:rPr>
          <w:rFonts w:eastAsia="Calibri" w:cs="Times New Roman"/>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PEVuZE5vdGU+PENpdGU+PEF1dGhvcj5FZGdld29ydGg8L0F1dGhvcj48WWVhcj4yMDExPC9ZZWFy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179</w:t>
      </w:r>
      <w:r w:rsidR="00DB67C1">
        <w:rPr>
          <w:rFonts w:eastAsia="Calibri" w:cs="Times New Roman"/>
          <w:lang w:val="en"/>
        </w:rPr>
        <w:fldChar w:fldCharType="end"/>
      </w:r>
      <w:r w:rsidRPr="00500F8B">
        <w:rPr>
          <w:rFonts w:eastAsia="Calibri" w:cs="Times New Roman"/>
        </w:rPr>
        <w:t xml:space="preserve"> </w:t>
      </w:r>
      <w:r w:rsidR="0096671F" w:rsidRPr="00500F8B">
        <w:rPr>
          <w:rFonts w:eastAsia="Calibri" w:cs="Times New Roman"/>
          <w:lang w:val="en"/>
        </w:rPr>
        <w:t>Bellon</w:t>
      </w:r>
      <w:r w:rsidR="0096671F">
        <w:rPr>
          <w:rFonts w:eastAsia="Calibri" w:cs="Times New Roman"/>
          <w:lang w:val="en"/>
        </w:rPr>
        <w:t xml:space="preserve"> </w:t>
      </w:r>
      <w:r w:rsidR="00B301D6" w:rsidRPr="00B301D6">
        <w:rPr>
          <w:rFonts w:eastAsia="Calibri" w:cs="Times New Roman"/>
          <w:i/>
          <w:lang w:val="en"/>
        </w:rPr>
        <w:t>et al</w:t>
      </w:r>
      <w:r w:rsidR="0096671F">
        <w:rPr>
          <w:rFonts w:eastAsia="Calibri" w:cs="Times New Roman"/>
          <w:lang w:val="en"/>
        </w:rPr>
        <w:t xml:space="preserve"> (2014)</w:t>
      </w:r>
      <w:r w:rsidR="00DB67C1">
        <w:rPr>
          <w:rFonts w:eastAsia="Calibri" w:cs="Times New Roman"/>
          <w:lang w:val="en"/>
        </w:rPr>
        <w:fldChar w:fldCharType="begin">
          <w:fldData xml:space="preserve">PEVuZE5vdGU+PENpdGU+PEF1dGhvcj5CZWxsb248L0F1dGhvcj48WWVhcj4yMDE0PC9ZZWFyPjxS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PEVuZE5vdGU+PENpdGU+PEF1dGhvcj5CZWxsb248L0F1dGhvcj48WWVhcj4yMDE0PC9ZZWFyPjxS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174</w:t>
      </w:r>
      <w:r w:rsidR="00DB67C1">
        <w:rPr>
          <w:rFonts w:eastAsia="Calibri" w:cs="Times New Roman"/>
          <w:lang w:val="en"/>
        </w:rPr>
        <w:fldChar w:fldCharType="end"/>
      </w:r>
      <w:r w:rsidRPr="00500F8B">
        <w:rPr>
          <w:rFonts w:eastAsia="Calibri" w:cs="Times New Roman"/>
        </w:rPr>
        <w:t>); trigene disinfectant and RF gas plasma (</w:t>
      </w:r>
      <w:r w:rsidR="00B277F9" w:rsidRPr="00500F8B">
        <w:rPr>
          <w:rFonts w:eastAsia="Calibri" w:cs="Times New Roman"/>
          <w:lang w:val="en"/>
        </w:rPr>
        <w:t>Baxter</w:t>
      </w:r>
      <w:r w:rsidR="00B277F9">
        <w:rPr>
          <w:rFonts w:eastAsia="Calibri" w:cs="Times New Roman"/>
          <w:lang w:val="en"/>
        </w:rPr>
        <w:t xml:space="preserve"> </w:t>
      </w:r>
      <w:r w:rsidR="00B301D6" w:rsidRPr="00B301D6">
        <w:rPr>
          <w:rFonts w:eastAsia="Calibri" w:cs="Times New Roman"/>
          <w:i/>
          <w:lang w:val="en"/>
        </w:rPr>
        <w:t>et al</w:t>
      </w:r>
      <w:r w:rsidR="00B277F9">
        <w:rPr>
          <w:rFonts w:eastAsia="Calibri" w:cs="Times New Roman"/>
          <w:lang w:val="en"/>
        </w:rPr>
        <w:t xml:space="preserve"> (2005)</w:t>
      </w:r>
      <w:r w:rsidR="00DB67C1">
        <w:rPr>
          <w:rFonts w:eastAsia="Calibri" w:cs="Times New Roman"/>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183</w:t>
      </w:r>
      <w:r w:rsidR="00DB67C1">
        <w:rPr>
          <w:rFonts w:eastAsia="Calibri" w:cs="Times New Roman"/>
          <w:lang w:val="en"/>
        </w:rPr>
        <w:fldChar w:fldCharType="end"/>
      </w:r>
      <w:r w:rsidRPr="00500F8B">
        <w:rPr>
          <w:rFonts w:eastAsia="Calibri" w:cs="Times New Roman"/>
        </w:rPr>
        <w:t>); SDS-PK-Pronase (</w:t>
      </w:r>
      <w:r w:rsidR="00B277F9" w:rsidRPr="00500F8B">
        <w:rPr>
          <w:rFonts w:eastAsia="Calibri" w:cs="Times New Roman"/>
          <w:lang w:val="en"/>
        </w:rPr>
        <w:t xml:space="preserve">Jackson </w:t>
      </w:r>
      <w:r w:rsidR="00B301D6" w:rsidRPr="00B301D6">
        <w:rPr>
          <w:rFonts w:eastAsia="Calibri" w:cs="Times New Roman"/>
          <w:i/>
          <w:lang w:val="en"/>
        </w:rPr>
        <w:t>et al</w:t>
      </w:r>
      <w:r w:rsidR="00B277F9">
        <w:rPr>
          <w:rFonts w:eastAsia="Calibri" w:cs="Times New Roman"/>
          <w:lang w:val="en"/>
        </w:rPr>
        <w:t xml:space="preserve"> (</w:t>
      </w:r>
      <w:r w:rsidR="00B277F9" w:rsidRPr="00500F8B">
        <w:rPr>
          <w:rFonts w:eastAsia="Calibri" w:cs="Times New Roman"/>
          <w:lang w:val="en"/>
        </w:rPr>
        <w:t>2005</w:t>
      </w:r>
      <w:r w:rsidR="00B277F9">
        <w:rPr>
          <w:rFonts w:eastAsia="Calibri" w:cs="Times New Roman"/>
          <w:lang w:val="en"/>
        </w:rPr>
        <w:t>)</w:t>
      </w:r>
      <w:r w:rsidR="00DB67C1">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180</w:t>
      </w:r>
      <w:r w:rsidR="00DB67C1">
        <w:rPr>
          <w:rFonts w:eastAsia="Calibri" w:cs="Times New Roman"/>
          <w:lang w:val="en"/>
        </w:rPr>
        <w:fldChar w:fldCharType="end"/>
      </w:r>
      <w:r w:rsidRPr="00500F8B">
        <w:rPr>
          <w:rFonts w:eastAsia="Calibri" w:cs="Times New Roman"/>
        </w:rPr>
        <w:t>); H</w:t>
      </w:r>
      <w:r w:rsidRPr="00500F8B">
        <w:rPr>
          <w:rFonts w:eastAsia="Calibri" w:cs="Times New Roman"/>
          <w:vertAlign w:val="subscript"/>
        </w:rPr>
        <w:t>2</w:t>
      </w:r>
      <w:r w:rsidRPr="00500F8B">
        <w:rPr>
          <w:rFonts w:eastAsia="Calibri" w:cs="Times New Roman"/>
        </w:rPr>
        <w:t>O</w:t>
      </w:r>
      <w:r w:rsidRPr="00500F8B">
        <w:rPr>
          <w:rFonts w:eastAsia="Calibri" w:cs="Times New Roman"/>
          <w:vertAlign w:val="subscript"/>
        </w:rPr>
        <w:t>2</w:t>
      </w:r>
      <w:r w:rsidRPr="00500F8B">
        <w:rPr>
          <w:rFonts w:eastAsia="Calibri" w:cs="Times New Roman"/>
        </w:rPr>
        <w:t xml:space="preserve"> and gas plasma (Rogez-Kreuz</w:t>
      </w:r>
      <w:r w:rsidR="00F1300C" w:rsidRPr="00F1300C">
        <w:rPr>
          <w:rFonts w:eastAsia="Calibri" w:cs="Times New Roman"/>
          <w:i/>
        </w:rPr>
        <w:t xml:space="preserve"> </w:t>
      </w:r>
      <w:r w:rsidR="00F1300C" w:rsidRPr="00B301D6">
        <w:rPr>
          <w:rFonts w:eastAsia="Calibri" w:cs="Times New Roman"/>
          <w:i/>
        </w:rPr>
        <w:t>et al</w:t>
      </w:r>
      <w:r w:rsidR="00F1300C">
        <w:rPr>
          <w:rFonts w:eastAsia="Calibri" w:cs="Times New Roman"/>
        </w:rPr>
        <w:t xml:space="preserve"> 2009</w:t>
      </w:r>
      <w:r w:rsidRPr="00500F8B">
        <w:rPr>
          <w:rFonts w:eastAsia="Calibri" w:cs="Times New Roman"/>
        </w:rPr>
        <w:t>,</w:t>
      </w:r>
      <w:r w:rsidR="00DB67C1">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170</w:t>
      </w:r>
      <w:r w:rsidR="00DB67C1">
        <w:rPr>
          <w:rFonts w:eastAsia="Calibri" w:cs="Times New Roman"/>
          <w:lang w:val="en"/>
        </w:rPr>
        <w:fldChar w:fldCharType="end"/>
      </w:r>
      <w:r w:rsidRPr="00500F8B">
        <w:rPr>
          <w:rFonts w:eastAsia="Calibri" w:cs="Times New Roman"/>
        </w:rPr>
        <w:t xml:space="preserve"> </w:t>
      </w:r>
      <w:r w:rsidR="00DD053F" w:rsidRPr="00500F8B">
        <w:rPr>
          <w:rFonts w:eastAsia="Calibri" w:cs="Times New Roman"/>
          <w:lang w:val="en"/>
        </w:rPr>
        <w:t>Lehmann</w:t>
      </w:r>
      <w:r w:rsidR="00DD053F">
        <w:rPr>
          <w:rFonts w:eastAsia="Calibri" w:cs="Times New Roman"/>
          <w:lang w:val="en"/>
        </w:rPr>
        <w:t xml:space="preserve"> </w:t>
      </w:r>
      <w:r w:rsidR="00B301D6" w:rsidRPr="00B301D6">
        <w:rPr>
          <w:rFonts w:eastAsia="Calibri" w:cs="Times New Roman"/>
          <w:i/>
          <w:lang w:val="en"/>
        </w:rPr>
        <w:t>et al</w:t>
      </w:r>
      <w:r w:rsidR="00F1300C">
        <w:rPr>
          <w:rFonts w:eastAsia="Calibri" w:cs="Times New Roman"/>
          <w:lang w:val="en"/>
        </w:rPr>
        <w:t xml:space="preserve"> </w:t>
      </w:r>
      <w:r w:rsidR="00DD053F">
        <w:rPr>
          <w:rFonts w:eastAsia="Calibri" w:cs="Times New Roman"/>
          <w:lang w:val="en"/>
        </w:rPr>
        <w:t>2009</w:t>
      </w:r>
      <w:r w:rsidR="00DB67C1">
        <w:rPr>
          <w:rFonts w:eastAsia="Calibri"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168</w:t>
      </w:r>
      <w:r w:rsidR="00DB67C1">
        <w:rPr>
          <w:rFonts w:eastAsia="Calibri" w:cs="Times New Roman"/>
          <w:lang w:val="en"/>
        </w:rPr>
        <w:fldChar w:fldCharType="end"/>
      </w:r>
      <w:r w:rsidRPr="00500F8B">
        <w:rPr>
          <w:rFonts w:eastAsia="Calibri" w:cs="Times New Roman"/>
        </w:rPr>
        <w:t>); and combinations of enzymatic detergents and disinfectants (</w:t>
      </w:r>
      <w:r w:rsidR="00DD053F" w:rsidRPr="00500F8B">
        <w:rPr>
          <w:rFonts w:eastAsia="Calibri" w:cs="Times New Roman"/>
          <w:lang w:val="en"/>
        </w:rPr>
        <w:t>Lehmann</w:t>
      </w:r>
      <w:r w:rsidR="00DD053F">
        <w:rPr>
          <w:rFonts w:eastAsia="Calibri" w:cs="Times New Roman"/>
          <w:lang w:val="en"/>
        </w:rPr>
        <w:t xml:space="preserve"> </w:t>
      </w:r>
      <w:r w:rsidR="00B301D6" w:rsidRPr="00B301D6">
        <w:rPr>
          <w:rFonts w:eastAsia="Calibri" w:cs="Times New Roman"/>
          <w:i/>
          <w:lang w:val="en"/>
        </w:rPr>
        <w:t>et al</w:t>
      </w:r>
      <w:r w:rsidR="00DD053F">
        <w:rPr>
          <w:rFonts w:eastAsia="Calibri" w:cs="Times New Roman"/>
          <w:lang w:val="en"/>
        </w:rPr>
        <w:t xml:space="preserve"> (2009)</w:t>
      </w:r>
      <w:r w:rsidR="00DB67C1">
        <w:rPr>
          <w:rFonts w:eastAsia="Calibri"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168</w:t>
      </w:r>
      <w:r w:rsidR="00DB67C1">
        <w:rPr>
          <w:rFonts w:eastAsia="Calibri" w:cs="Times New Roman"/>
          <w:lang w:val="en"/>
        </w:rPr>
        <w:fldChar w:fldCharType="end"/>
      </w:r>
      <w:r w:rsidRPr="00500F8B">
        <w:rPr>
          <w:rFonts w:eastAsia="Calibri" w:cs="Times New Roman"/>
        </w:rPr>
        <w:t xml:space="preserve">). However, it has also been </w:t>
      </w:r>
      <w:r w:rsidR="00720259">
        <w:rPr>
          <w:rFonts w:eastAsia="Calibri" w:cs="Times New Roman"/>
        </w:rPr>
        <w:t>stated</w:t>
      </w:r>
      <w:r w:rsidRPr="00500F8B">
        <w:rPr>
          <w:rFonts w:eastAsia="Calibri" w:cs="Times New Roman"/>
        </w:rPr>
        <w:t xml:space="preserve"> that sodium hydroxide and sodium hypochlorite, while effective, “</w:t>
      </w:r>
      <w:r w:rsidRPr="00720259">
        <w:rPr>
          <w:rFonts w:eastAsia="Calibri" w:cs="Times New Roman"/>
          <w:i/>
        </w:rPr>
        <w:t>are not compatible with various pieces of medical equipment, and … present a serious handling hazard for healthcare employees</w:t>
      </w:r>
      <w:r w:rsidRPr="00500F8B">
        <w:rPr>
          <w:rFonts w:eastAsia="Calibri" w:cs="Times New Roman"/>
        </w:rPr>
        <w:t>” (</w:t>
      </w:r>
      <w:r w:rsidR="00DD053F" w:rsidRPr="00500F8B">
        <w:rPr>
          <w:rFonts w:eastAsia="Calibri" w:cs="Times New Roman"/>
          <w:lang w:val="en"/>
        </w:rPr>
        <w:t>Lehmann</w:t>
      </w:r>
      <w:r w:rsidR="00DD053F">
        <w:rPr>
          <w:rFonts w:eastAsia="Calibri" w:cs="Times New Roman"/>
          <w:lang w:val="en"/>
        </w:rPr>
        <w:t xml:space="preserve"> </w:t>
      </w:r>
      <w:r w:rsidR="00B301D6" w:rsidRPr="00B301D6">
        <w:rPr>
          <w:rFonts w:eastAsia="Calibri" w:cs="Times New Roman"/>
          <w:i/>
          <w:lang w:val="en"/>
        </w:rPr>
        <w:t>et al</w:t>
      </w:r>
      <w:r w:rsidR="00DD053F">
        <w:rPr>
          <w:rFonts w:eastAsia="Calibri" w:cs="Times New Roman"/>
          <w:lang w:val="en"/>
        </w:rPr>
        <w:t xml:space="preserve"> (2009)</w:t>
      </w:r>
      <w:r w:rsidR="00847502">
        <w:rPr>
          <w:rFonts w:eastAsia="Calibri" w:cs="Times New Roman"/>
          <w:lang w:val="en"/>
        </w:rPr>
        <w:t>,</w:t>
      </w:r>
      <w:r w:rsidR="00DB67C1">
        <w:rPr>
          <w:rFonts w:eastAsia="Calibri"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PEVuZE5vdGU+PENpdGU+PEF1dGhvcj5MZWhtYW5uPC9BdXRob3I+PFllYXI+MjAwOTwvWWVhcj48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168</w:t>
      </w:r>
      <w:r w:rsidR="00DB67C1">
        <w:rPr>
          <w:rFonts w:eastAsia="Calibri" w:cs="Times New Roman"/>
          <w:lang w:val="en"/>
        </w:rPr>
        <w:fldChar w:fldCharType="end"/>
      </w:r>
      <w:r w:rsidRPr="00500F8B">
        <w:rPr>
          <w:rFonts w:eastAsia="Calibri" w:cs="Times New Roman"/>
        </w:rPr>
        <w:t xml:space="preserve"> </w:t>
      </w:r>
      <w:r w:rsidR="00246BA0">
        <w:rPr>
          <w:rFonts w:eastAsia="Calibri" w:cs="Times New Roman"/>
          <w:lang w:val="en"/>
        </w:rPr>
        <w:t>Ruta</w:t>
      </w:r>
      <w:r w:rsidR="00246BA0" w:rsidRPr="00500F8B">
        <w:rPr>
          <w:rFonts w:eastAsia="Calibri" w:cs="Times New Roman"/>
          <w:lang w:val="en"/>
        </w:rPr>
        <w:t xml:space="preserve">la </w:t>
      </w:r>
      <w:r w:rsidR="00B301D6" w:rsidRPr="00B301D6">
        <w:rPr>
          <w:rFonts w:eastAsia="Calibri" w:cs="Times New Roman"/>
          <w:i/>
          <w:lang w:val="en"/>
        </w:rPr>
        <w:t>et al</w:t>
      </w:r>
      <w:r w:rsidR="00246BA0">
        <w:rPr>
          <w:rFonts w:eastAsia="Calibri" w:cs="Times New Roman"/>
          <w:lang w:val="en"/>
        </w:rPr>
        <w:t xml:space="preserve"> (</w:t>
      </w:r>
      <w:r w:rsidR="00246BA0" w:rsidRPr="00500F8B">
        <w:rPr>
          <w:rFonts w:eastAsia="Calibri" w:cs="Times New Roman"/>
          <w:lang w:val="en"/>
        </w:rPr>
        <w:t>2010</w:t>
      </w:r>
      <w:r w:rsidR="00246BA0">
        <w:rPr>
          <w:rFonts w:eastAsia="Calibri" w:cs="Times New Roman"/>
          <w:lang w:val="en"/>
        </w:rPr>
        <w:t>)</w:t>
      </w:r>
      <w:r w:rsidR="00DB67C1">
        <w:rPr>
          <w:rFonts w:eastAsia="Calibri" w:cs="Times New Roman"/>
          <w:lang w:val="en"/>
        </w:rPr>
        <w:fldChar w:fldCharType="begin">
          <w:fldData xml:space="preserve">PEVuZE5vdGU+PENpdGU+PEF1dGhvcj5SdXRhbGE8L0F1dGhvcj48WWVhcj4yMDEwPC9ZZWFyPjxS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PEVuZE5vdGU+PENpdGU+PEF1dGhvcj5SdXRhbGE8L0F1dGhvcj48WWVhcj4yMDEwPC9ZZWFyPjxS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200</w:t>
      </w:r>
      <w:r w:rsidR="00DB67C1">
        <w:rPr>
          <w:rFonts w:eastAsia="Calibri" w:cs="Times New Roman"/>
          <w:lang w:val="en"/>
        </w:rPr>
        <w:fldChar w:fldCharType="end"/>
      </w:r>
      <w:r w:rsidRPr="00500F8B">
        <w:rPr>
          <w:rFonts w:eastAsia="Calibri" w:cs="Times New Roman"/>
        </w:rPr>
        <w:t>), although sodium hydroxide is reported to be less corrosive than sodium hypochlorite (</w:t>
      </w:r>
      <w:r w:rsidR="00246BA0" w:rsidRPr="00500F8B">
        <w:rPr>
          <w:rFonts w:eastAsia="Calibri" w:cs="Times New Roman"/>
          <w:lang w:val="en"/>
        </w:rPr>
        <w:t xml:space="preserve">Belay </w:t>
      </w:r>
      <w:r w:rsidR="00B301D6" w:rsidRPr="00B301D6">
        <w:rPr>
          <w:rFonts w:eastAsia="Calibri" w:cs="Times New Roman"/>
          <w:i/>
          <w:lang w:val="en"/>
        </w:rPr>
        <w:t>et al</w:t>
      </w:r>
      <w:r w:rsidR="00246BA0">
        <w:rPr>
          <w:rFonts w:eastAsia="Calibri" w:cs="Times New Roman"/>
          <w:lang w:val="en"/>
        </w:rPr>
        <w:t xml:space="preserve"> (</w:t>
      </w:r>
      <w:r w:rsidR="00246BA0" w:rsidRPr="00500F8B">
        <w:rPr>
          <w:rFonts w:eastAsia="Calibri" w:cs="Times New Roman"/>
          <w:lang w:val="en"/>
        </w:rPr>
        <w:t>2013</w:t>
      </w:r>
      <w:r w:rsidR="00246BA0">
        <w:rPr>
          <w:rFonts w:eastAsia="Calibri" w:cs="Times New Roman"/>
          <w:lang w:val="en"/>
        </w:rPr>
        <w:t>)</w:t>
      </w:r>
      <w:r w:rsidR="00DB67C1">
        <w:rPr>
          <w:rFonts w:eastAsia="Calibri" w:cs="Times New Roman"/>
          <w:lang w:val="e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115</w:t>
      </w:r>
      <w:r w:rsidR="00DB67C1">
        <w:rPr>
          <w:rFonts w:eastAsia="Calibri" w:cs="Times New Roman"/>
          <w:lang w:val="en"/>
        </w:rPr>
        <w:fldChar w:fldCharType="end"/>
      </w:r>
      <w:r w:rsidRPr="00500F8B">
        <w:rPr>
          <w:rFonts w:eastAsia="Calibri" w:cs="Times New Roman"/>
        </w:rPr>
        <w:t>). A combination of immersion in sodium hydroxide or sodium hypochlorite, followed by autoclaving, is recommended by the WHO (</w:t>
      </w:r>
      <w:r w:rsidR="00246BA0" w:rsidRPr="00500F8B">
        <w:rPr>
          <w:rFonts w:eastAsia="Calibri" w:cs="Times New Roman"/>
          <w:lang w:val="en"/>
        </w:rPr>
        <w:t xml:space="preserve">Belay </w:t>
      </w:r>
      <w:r w:rsidR="00B301D6" w:rsidRPr="00B301D6">
        <w:rPr>
          <w:rFonts w:eastAsia="Calibri" w:cs="Times New Roman"/>
          <w:i/>
          <w:lang w:val="en"/>
        </w:rPr>
        <w:t>et al</w:t>
      </w:r>
      <w:r w:rsidR="00246BA0">
        <w:rPr>
          <w:rFonts w:eastAsia="Calibri" w:cs="Times New Roman"/>
          <w:lang w:val="en"/>
        </w:rPr>
        <w:t xml:space="preserve"> (</w:t>
      </w:r>
      <w:r w:rsidR="00246BA0" w:rsidRPr="00500F8B">
        <w:rPr>
          <w:rFonts w:eastAsia="Calibri" w:cs="Times New Roman"/>
          <w:lang w:val="en"/>
        </w:rPr>
        <w:t>2013</w:t>
      </w:r>
      <w:r w:rsidR="00246BA0">
        <w:rPr>
          <w:rFonts w:eastAsia="Calibri" w:cs="Times New Roman"/>
          <w:lang w:val="en"/>
        </w:rPr>
        <w:t>)</w:t>
      </w:r>
      <w:r w:rsidR="00DB67C1">
        <w:rPr>
          <w:rFonts w:eastAsia="Calibri" w:cs="Times New Roman"/>
          <w:lang w:val="e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115</w:t>
      </w:r>
      <w:r w:rsidR="00DB67C1">
        <w:rPr>
          <w:rFonts w:eastAsia="Calibri" w:cs="Times New Roman"/>
          <w:lang w:val="en"/>
        </w:rPr>
        <w:fldChar w:fldCharType="end"/>
      </w:r>
      <w:r w:rsidRPr="00500F8B">
        <w:rPr>
          <w:rFonts w:eastAsia="Calibri" w:cs="Times New Roman"/>
        </w:rPr>
        <w:t>; WHO).</w:t>
      </w:r>
    </w:p>
    <w:p w14:paraId="74F56BE1" w14:textId="77777777" w:rsidR="00500F8B" w:rsidRPr="00500F8B" w:rsidRDefault="00500F8B" w:rsidP="00A27868">
      <w:pPr>
        <w:autoSpaceDE w:val="0"/>
        <w:autoSpaceDN w:val="0"/>
        <w:adjustRightInd w:val="0"/>
        <w:jc w:val="both"/>
        <w:rPr>
          <w:rFonts w:eastAsia="Calibri" w:cs="Times New Roman"/>
        </w:rPr>
      </w:pPr>
    </w:p>
    <w:p w14:paraId="06388D0E" w14:textId="5376DF17" w:rsidR="00500F8B" w:rsidRPr="00500F8B" w:rsidRDefault="00500F8B" w:rsidP="00A27868">
      <w:pPr>
        <w:autoSpaceDE w:val="0"/>
        <w:autoSpaceDN w:val="0"/>
        <w:adjustRightInd w:val="0"/>
        <w:jc w:val="both"/>
        <w:rPr>
          <w:rFonts w:eastAsia="Calibri" w:cs="Times New Roman"/>
        </w:rPr>
      </w:pPr>
      <w:r w:rsidRPr="00500F8B">
        <w:rPr>
          <w:rFonts w:eastAsia="Calibri" w:cs="Times New Roman"/>
        </w:rPr>
        <w:t xml:space="preserve">It has been acknowledged that these studies do not permit a direct comparison of their respective findings and that the findings are, in some cases, contradictory </w:t>
      </w:r>
      <w:r w:rsidR="00720259">
        <w:rPr>
          <w:rFonts w:eastAsia="Calibri" w:cs="Times New Roman"/>
        </w:rPr>
        <w:t xml:space="preserve">or discrepant </w:t>
      </w:r>
      <w:r w:rsidRPr="00500F8B">
        <w:rPr>
          <w:rFonts w:eastAsia="Calibri" w:cs="Times New Roman"/>
        </w:rPr>
        <w:t>because they have been conducted under different conditions (</w:t>
      </w:r>
      <w:r w:rsidR="00720259">
        <w:rPr>
          <w:rFonts w:eastAsia="Calibri" w:cs="Times New Roman"/>
        </w:rPr>
        <w:t xml:space="preserve">such as differing </w:t>
      </w:r>
      <w:r w:rsidRPr="00500F8B">
        <w:rPr>
          <w:rFonts w:eastAsia="Calibri" w:cs="Times New Roman"/>
        </w:rPr>
        <w:t>prion strain</w:t>
      </w:r>
      <w:r w:rsidR="00720259">
        <w:rPr>
          <w:rFonts w:eastAsia="Calibri" w:cs="Times New Roman"/>
        </w:rPr>
        <w:t>s</w:t>
      </w:r>
      <w:r w:rsidRPr="00500F8B">
        <w:rPr>
          <w:rFonts w:eastAsia="Calibri" w:cs="Times New Roman"/>
        </w:rPr>
        <w:t xml:space="preserve">, drying times, whether </w:t>
      </w:r>
      <w:r w:rsidRPr="00500F8B">
        <w:rPr>
          <w:rFonts w:eastAsia="Calibri" w:cs="Times New Roman"/>
          <w:i/>
        </w:rPr>
        <w:t>in vitro</w:t>
      </w:r>
      <w:r w:rsidRPr="00500F8B">
        <w:rPr>
          <w:rFonts w:eastAsia="Calibri" w:cs="Times New Roman"/>
        </w:rPr>
        <w:t xml:space="preserve"> or </w:t>
      </w:r>
      <w:r w:rsidRPr="00500F8B">
        <w:rPr>
          <w:rFonts w:eastAsia="Calibri" w:cs="Times New Roman"/>
          <w:i/>
        </w:rPr>
        <w:t>in vivo</w:t>
      </w:r>
      <w:r w:rsidRPr="00500F8B">
        <w:rPr>
          <w:rFonts w:eastAsia="Calibri" w:cs="Times New Roman"/>
        </w:rPr>
        <w:t>, different animal</w:t>
      </w:r>
      <w:r w:rsidR="00272B7D">
        <w:rPr>
          <w:rFonts w:eastAsia="Calibri" w:cs="Times New Roman"/>
        </w:rPr>
        <w:t xml:space="preserve"> assay</w:t>
      </w:r>
      <w:r w:rsidRPr="00500F8B">
        <w:rPr>
          <w:rFonts w:eastAsia="Calibri" w:cs="Times New Roman"/>
        </w:rPr>
        <w:t>s, infectious titre of the material used, time and temperature of the exposure to the decontaminant, dose of the decontaminant, observation period, substrate used, infectivity detection method used (</w:t>
      </w:r>
      <w:r w:rsidR="00246BA0" w:rsidRPr="00500F8B">
        <w:rPr>
          <w:rFonts w:eastAsia="Calibri" w:cs="Times New Roman"/>
          <w:lang w:val="en"/>
        </w:rPr>
        <w:t xml:space="preserve">Belay </w:t>
      </w:r>
      <w:r w:rsidR="00B301D6" w:rsidRPr="00B301D6">
        <w:rPr>
          <w:rFonts w:eastAsia="Calibri" w:cs="Times New Roman"/>
          <w:i/>
          <w:lang w:val="en"/>
        </w:rPr>
        <w:t>et al</w:t>
      </w:r>
      <w:r w:rsidR="00246BA0">
        <w:rPr>
          <w:rFonts w:eastAsia="Calibri" w:cs="Times New Roman"/>
          <w:lang w:val="en"/>
        </w:rPr>
        <w:t xml:space="preserve"> (</w:t>
      </w:r>
      <w:r w:rsidR="00246BA0" w:rsidRPr="00500F8B">
        <w:rPr>
          <w:rFonts w:eastAsia="Calibri" w:cs="Times New Roman"/>
          <w:lang w:val="en"/>
        </w:rPr>
        <w:t>2013</w:t>
      </w:r>
      <w:r w:rsidR="00246BA0">
        <w:rPr>
          <w:rFonts w:eastAsia="Calibri" w:cs="Times New Roman"/>
          <w:lang w:val="en"/>
        </w:rPr>
        <w:t>)</w:t>
      </w:r>
      <w:r w:rsidR="005F5678">
        <w:rPr>
          <w:rFonts w:eastAsia="Calibri" w:cs="Times New Roman"/>
          <w:lang w:val="en"/>
        </w:rPr>
        <w:t>,</w:t>
      </w:r>
      <w:r w:rsidR="00DB67C1">
        <w:rPr>
          <w:rFonts w:eastAsia="Calibri" w:cs="Times New Roman"/>
          <w:lang w:val="e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115</w:t>
      </w:r>
      <w:r w:rsidR="00DB67C1">
        <w:rPr>
          <w:rFonts w:eastAsia="Calibri" w:cs="Times New Roman"/>
          <w:lang w:val="en"/>
        </w:rPr>
        <w:fldChar w:fldCharType="end"/>
      </w:r>
      <w:r w:rsidRPr="00500F8B">
        <w:rPr>
          <w:rFonts w:eastAsia="Calibri" w:cs="Times New Roman"/>
          <w:lang w:val="en"/>
        </w:rPr>
        <w:t xml:space="preserve"> </w:t>
      </w:r>
      <w:r w:rsidR="00246BA0">
        <w:rPr>
          <w:rFonts w:eastAsia="Calibri" w:cs="Times New Roman"/>
          <w:lang w:val="en"/>
        </w:rPr>
        <w:t>Ruta</w:t>
      </w:r>
      <w:r w:rsidR="00246BA0" w:rsidRPr="00500F8B">
        <w:rPr>
          <w:rFonts w:eastAsia="Calibri" w:cs="Times New Roman"/>
          <w:lang w:val="en"/>
        </w:rPr>
        <w:t xml:space="preserve">la </w:t>
      </w:r>
      <w:r w:rsidR="00B301D6" w:rsidRPr="00B301D6">
        <w:rPr>
          <w:rFonts w:eastAsia="Calibri" w:cs="Times New Roman"/>
          <w:i/>
          <w:lang w:val="en"/>
        </w:rPr>
        <w:t>et al</w:t>
      </w:r>
      <w:r w:rsidR="00246BA0">
        <w:rPr>
          <w:rFonts w:eastAsia="Calibri" w:cs="Times New Roman"/>
          <w:lang w:val="en"/>
        </w:rPr>
        <w:t xml:space="preserve"> (</w:t>
      </w:r>
      <w:r w:rsidR="00246BA0" w:rsidRPr="00500F8B">
        <w:rPr>
          <w:rFonts w:eastAsia="Calibri" w:cs="Times New Roman"/>
          <w:lang w:val="en"/>
        </w:rPr>
        <w:t>2010</w:t>
      </w:r>
      <w:r w:rsidR="00246BA0">
        <w:rPr>
          <w:rFonts w:eastAsia="Calibri" w:cs="Times New Roman"/>
          <w:lang w:val="en"/>
        </w:rPr>
        <w:t>)</w:t>
      </w:r>
      <w:r w:rsidR="005F5678">
        <w:rPr>
          <w:rFonts w:eastAsia="Calibri" w:cs="Times New Roman"/>
          <w:lang w:val="en"/>
        </w:rPr>
        <w:t>,</w:t>
      </w:r>
      <w:r w:rsidR="00DB67C1">
        <w:rPr>
          <w:rFonts w:eastAsia="Calibri" w:cs="Times New Roman"/>
          <w:lang w:val="en"/>
        </w:rPr>
        <w:fldChar w:fldCharType="begin">
          <w:fldData xml:space="preserve">PEVuZE5vdGU+PENpdGU+PEF1dGhvcj5SdXRhbGE8L0F1dGhvcj48WWVhcj4yMDEwPC9ZZWFyPjxS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PEVuZE5vdGU+PENpdGU+PEF1dGhvcj5SdXRhbGE8L0F1dGhvcj48WWVhcj4yMDEwPC9ZZWFyPjxS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200</w:t>
      </w:r>
      <w:r w:rsidR="00DB67C1">
        <w:rPr>
          <w:rFonts w:eastAsia="Calibri" w:cs="Times New Roman"/>
          <w:lang w:val="en"/>
        </w:rPr>
        <w:fldChar w:fldCharType="end"/>
      </w:r>
      <w:r w:rsidRPr="00500F8B">
        <w:rPr>
          <w:rFonts w:eastAsia="Calibri" w:cs="Times New Roman"/>
          <w:lang w:val="en"/>
        </w:rPr>
        <w:t xml:space="preserve"> </w:t>
      </w:r>
      <w:r w:rsidRPr="00500F8B">
        <w:rPr>
          <w:rFonts w:eastAsia="Calibri" w:cs="Times New Roman"/>
        </w:rPr>
        <w:t xml:space="preserve">Rochefort </w:t>
      </w:r>
      <w:r w:rsidR="005E091E">
        <w:rPr>
          <w:rFonts w:eastAsia="Calibri" w:cs="Times New Roman"/>
          <w:i/>
        </w:rPr>
        <w:t>et al (</w:t>
      </w:r>
      <w:r w:rsidRPr="00500F8B">
        <w:rPr>
          <w:rFonts w:eastAsia="Calibri" w:cs="Times New Roman"/>
        </w:rPr>
        <w:t>2010</w:t>
      </w:r>
      <w:r w:rsidR="005E091E">
        <w:rPr>
          <w:rFonts w:eastAsia="Calibri" w:cs="Times New Roman"/>
        </w:rPr>
        <w:t>),</w:t>
      </w:r>
      <w:r w:rsidR="005E091E">
        <w:rPr>
          <w:rFonts w:eastAsia="Calibri" w:cs="Times New Roman"/>
        </w:rPr>
        <w:fldChar w:fldCharType="begin">
          <w:fldData xml:space="preserve">PEVuZE5vdGU+PENpdGU+PEF1dGhvcj5Sb2NoZWZvcnQ8L0F1dGhvcj48WWVhcj4yMDEwPC9ZZWFy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PEVuZE5vdGU+PENpdGU+PEF1dGhvcj5Sb2NoZWZvcnQ8L0F1dGhvcj48WWVhcj4yMDEwPC9ZZWFy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5E091E">
        <w:rPr>
          <w:rFonts w:eastAsia="Calibri" w:cs="Times New Roman"/>
        </w:rPr>
      </w:r>
      <w:r w:rsidR="005E091E">
        <w:rPr>
          <w:rFonts w:eastAsia="Calibri" w:cs="Times New Roman"/>
        </w:rPr>
        <w:fldChar w:fldCharType="separate"/>
      </w:r>
      <w:r w:rsidR="0076576E" w:rsidRPr="0076576E">
        <w:rPr>
          <w:rFonts w:eastAsia="Calibri" w:cs="Times New Roman"/>
          <w:noProof/>
          <w:vertAlign w:val="superscript"/>
        </w:rPr>
        <w:t>203</w:t>
      </w:r>
      <w:r w:rsidR="005E091E">
        <w:rPr>
          <w:rFonts w:eastAsia="Calibri" w:cs="Times New Roman"/>
        </w:rPr>
        <w:fldChar w:fldCharType="end"/>
      </w:r>
      <w:r w:rsidRPr="00500F8B">
        <w:rPr>
          <w:rFonts w:eastAsia="Calibri" w:cs="Times New Roman"/>
        </w:rPr>
        <w:t xml:space="preserve"> </w:t>
      </w:r>
      <w:r w:rsidR="00B277F9" w:rsidRPr="00500F8B">
        <w:rPr>
          <w:rFonts w:eastAsia="Calibri" w:cs="Times New Roman"/>
          <w:lang w:val="en"/>
        </w:rPr>
        <w:t xml:space="preserve">Jackson </w:t>
      </w:r>
      <w:r w:rsidR="00B301D6" w:rsidRPr="00B301D6">
        <w:rPr>
          <w:rFonts w:eastAsia="Calibri" w:cs="Times New Roman"/>
          <w:i/>
          <w:lang w:val="en"/>
        </w:rPr>
        <w:t>et al</w:t>
      </w:r>
      <w:r w:rsidR="00B277F9">
        <w:rPr>
          <w:rFonts w:eastAsia="Calibri" w:cs="Times New Roman"/>
          <w:lang w:val="en"/>
        </w:rPr>
        <w:t xml:space="preserve"> (</w:t>
      </w:r>
      <w:r w:rsidR="00B277F9" w:rsidRPr="00500F8B">
        <w:rPr>
          <w:rFonts w:eastAsia="Calibri" w:cs="Times New Roman"/>
          <w:lang w:val="en"/>
        </w:rPr>
        <w:t>2005</w:t>
      </w:r>
      <w:r w:rsidR="00B277F9">
        <w:rPr>
          <w:rFonts w:eastAsia="Calibri" w:cs="Times New Roman"/>
          <w:lang w:val="en"/>
        </w:rPr>
        <w:t>)</w:t>
      </w:r>
      <w:r w:rsidR="005F5678">
        <w:rPr>
          <w:rFonts w:eastAsia="Calibri" w:cs="Times New Roman"/>
          <w:lang w:val="en"/>
        </w:rPr>
        <w:t>,</w:t>
      </w:r>
      <w:r w:rsidR="00DB67C1">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PEVuZE5vdGU+PENpdGU+PEF1dGhvcj5KYWNrc29uPC9BdXRob3I+PFllYXI+MjAwNTwvWWVhcj48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180</w:t>
      </w:r>
      <w:r w:rsidR="00DB67C1">
        <w:rPr>
          <w:rFonts w:eastAsia="Calibri" w:cs="Times New Roman"/>
          <w:lang w:val="en"/>
        </w:rPr>
        <w:fldChar w:fldCharType="end"/>
      </w:r>
      <w:r w:rsidRPr="00500F8B">
        <w:rPr>
          <w:rFonts w:eastAsia="Calibri" w:cs="Times New Roman"/>
        </w:rPr>
        <w:t xml:space="preserve"> Rogez-Kreuz </w:t>
      </w:r>
      <w:r w:rsidR="00B301D6" w:rsidRPr="00B301D6">
        <w:rPr>
          <w:rFonts w:eastAsia="Calibri" w:cs="Times New Roman"/>
          <w:i/>
        </w:rPr>
        <w:t>et al</w:t>
      </w:r>
      <w:r w:rsidR="00DD053F">
        <w:rPr>
          <w:rFonts w:eastAsia="Calibri" w:cs="Times New Roman"/>
        </w:rPr>
        <w:t xml:space="preserve"> (</w:t>
      </w:r>
      <w:r w:rsidRPr="00500F8B">
        <w:rPr>
          <w:rFonts w:eastAsia="Calibri" w:cs="Times New Roman"/>
        </w:rPr>
        <w:t>2009</w:t>
      </w:r>
      <w:r w:rsidR="00DD053F">
        <w:rPr>
          <w:rFonts w:eastAsia="Calibri" w:cs="Times New Roman"/>
        </w:rPr>
        <w:t>)</w:t>
      </w:r>
      <w:r w:rsidR="00DB67C1">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PEVuZE5vdGU+PENpdGU+PEF1dGhvcj5Sb2dlei1LcmV1ejwvQXV0aG9yPjxZZWFyPjIwMDk8L1ll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170</w:t>
      </w:r>
      <w:r w:rsidR="00DB67C1">
        <w:rPr>
          <w:rFonts w:eastAsia="Calibri" w:cs="Times New Roman"/>
          <w:lang w:val="en"/>
        </w:rPr>
        <w:fldChar w:fldCharType="end"/>
      </w:r>
      <w:r w:rsidR="00DD053F" w:rsidRPr="00500F8B">
        <w:rPr>
          <w:rFonts w:eastAsia="Calibri" w:cs="Times New Roman"/>
          <w:lang w:val="en"/>
        </w:rPr>
        <w:t xml:space="preserve"> </w:t>
      </w:r>
      <w:r w:rsidR="00DD053F">
        <w:rPr>
          <w:rFonts w:eastAsia="Calibri" w:cs="Times New Roman"/>
          <w:lang w:val="en"/>
        </w:rPr>
        <w:t xml:space="preserve">and </w:t>
      </w:r>
      <w:r w:rsidR="00246BA0" w:rsidRPr="00500F8B">
        <w:rPr>
          <w:rFonts w:eastAsia="Calibri" w:cs="Times New Roman"/>
          <w:lang w:val="en"/>
        </w:rPr>
        <w:t xml:space="preserve">Bonda </w:t>
      </w:r>
      <w:r w:rsidR="00B301D6" w:rsidRPr="00B301D6">
        <w:rPr>
          <w:rFonts w:eastAsia="Calibri" w:cs="Times New Roman"/>
          <w:i/>
          <w:lang w:val="en"/>
        </w:rPr>
        <w:t>et al</w:t>
      </w:r>
      <w:r w:rsidR="00246BA0">
        <w:rPr>
          <w:rFonts w:eastAsia="Calibri" w:cs="Times New Roman"/>
          <w:lang w:val="en"/>
        </w:rPr>
        <w:t xml:space="preserve"> (</w:t>
      </w:r>
      <w:r w:rsidR="00246BA0" w:rsidRPr="00500F8B">
        <w:rPr>
          <w:rFonts w:eastAsia="Calibri" w:cs="Times New Roman"/>
          <w:lang w:val="en"/>
        </w:rPr>
        <w:t>2016</w:t>
      </w:r>
      <w:r w:rsidR="00246BA0">
        <w:rPr>
          <w:rFonts w:eastAsia="Calibri" w:cs="Times New Roman"/>
          <w:lang w:val="en"/>
        </w:rPr>
        <w:t>)</w:t>
      </w:r>
      <w:r w:rsidR="00DB67C1">
        <w:rPr>
          <w:rFonts w:eastAsia="Calibri" w:cs="Times New Roman"/>
          <w:lang w:val="en"/>
        </w:rPr>
        <w:fldChar w:fldCharType="begin">
          <w:fldData xml:space="preserve">PEVuZE5vdGU+PENpdGU+PEF1dGhvcj5Cb25kYTwvQXV0aG9yPjxZZWFyPjIwMTY8L1llYXI+PFJl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PEVuZE5vdGU+PENpdGU+PEF1dGhvcj5Cb25kYTwvQXV0aG9yPjxZZWFyPjIwMTY8L1llYXI+PFJl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199</w:t>
      </w:r>
      <w:r w:rsidR="00DB67C1">
        <w:rPr>
          <w:rFonts w:eastAsia="Calibri" w:cs="Times New Roman"/>
          <w:lang w:val="en"/>
        </w:rPr>
        <w:fldChar w:fldCharType="end"/>
      </w:r>
      <w:r w:rsidRPr="00500F8B">
        <w:rPr>
          <w:rFonts w:eastAsia="Calibri" w:cs="Times New Roman"/>
        </w:rPr>
        <w:t xml:space="preserve">). Such differences also make direct comparison between findings </w:t>
      </w:r>
      <w:r w:rsidR="00F1300C">
        <w:rPr>
          <w:rFonts w:eastAsia="Calibri" w:cs="Times New Roman"/>
        </w:rPr>
        <w:t xml:space="preserve">difficult </w:t>
      </w:r>
      <w:r w:rsidRPr="00500F8B">
        <w:rPr>
          <w:rFonts w:eastAsia="Calibri" w:cs="Times New Roman"/>
        </w:rPr>
        <w:t>for human prions and other TSE prions (</w:t>
      </w:r>
      <w:r w:rsidR="000C3E82" w:rsidRPr="00500F8B">
        <w:rPr>
          <w:rFonts w:eastAsia="Calibri" w:cs="Times New Roman"/>
          <w:lang w:val="en"/>
        </w:rPr>
        <w:t>Belondrade</w:t>
      </w:r>
      <w:r w:rsidR="000C3E82">
        <w:rPr>
          <w:rFonts w:eastAsia="Calibri" w:cs="Times New Roman"/>
          <w:lang w:val="en"/>
        </w:rPr>
        <w:t xml:space="preserve"> </w:t>
      </w:r>
      <w:r w:rsidR="00B301D6" w:rsidRPr="00B301D6">
        <w:rPr>
          <w:rFonts w:eastAsia="Calibri" w:cs="Times New Roman"/>
          <w:i/>
          <w:lang w:val="en"/>
        </w:rPr>
        <w:t>et al</w:t>
      </w:r>
      <w:r w:rsidR="000C3E82">
        <w:rPr>
          <w:rFonts w:eastAsia="Calibri" w:cs="Times New Roman"/>
          <w:lang w:val="en"/>
        </w:rPr>
        <w:t xml:space="preserve"> (2016)</w:t>
      </w:r>
      <w:r w:rsidR="00DB67C1">
        <w:rPr>
          <w:rFonts w:eastAsia="Calibri" w:cs="Times New Roman"/>
          <w:lang w:val="en"/>
        </w:rPr>
        <w:fldChar w:fldCharType="begin"/>
      </w:r>
      <w:r w:rsidR="0076576E">
        <w:rPr>
          <w:rFonts w:eastAsia="Calibri" w:cs="Times New Roman"/>
          <w:lang w:val="en"/>
        </w:rPr>
        <w:instrText xml:space="preserve"> ADDIN EN.CITE &lt;EndNote&gt;&lt;Cite&gt;&lt;Author&gt;Belondrade&lt;/Author&gt;&lt;Year&gt;2016&lt;/Year&gt;&lt;RecNum&gt;10275&lt;/RecNum&gt;&lt;DisplayText&gt;&lt;style face="superscript"&gt;171&lt;/style&gt;&lt;/DisplayText&gt;&lt;record&gt;&lt;rec-number&gt;10275&lt;/rec-number&gt;&lt;foreign-keys&gt;&lt;key app="EN" db-id="vrp0pptazv05wtesfz5vrzsj2p0rv09ttsa9" timestamp="1521469700" guid="ea0094e7-3c92-4fa9-809d-d65e2d41a3e6"&gt;10275&lt;/key&gt;&lt;/foreign-keys&gt;&lt;ref-type name="Journal Article"&gt;17&lt;/ref-type&gt;&lt;contributors&gt;&lt;authors&gt;&lt;author&gt;Belondrade, Maxime&lt;/author&gt;&lt;author&gt;Nicot, Simon&lt;/author&gt;&lt;author&gt;Béringue, Vincent&lt;/author&gt;&lt;author&gt;Coste, Joliette&lt;/author&gt;&lt;author&gt;Lehmann, Sylvain&lt;/author&gt;&lt;author&gt;Bougard, Daisy&lt;/author&gt;&lt;/authors&gt;&lt;/contributors&gt;&lt;titles&gt;&lt;title&gt;Rapid and highly sensitive detection of variant Creutzfeldt-Jakob disease abnormal prion protein on steel surfaces by protein misfolding cyclic amplification: application to prion decontamination Studies&lt;/title&gt;&lt;secondary-title&gt;PloS one&lt;/secondary-title&gt;&lt;/titles&gt;&lt;periodical&gt;&lt;full-title&gt;PLoS ONE [Electronic Resource]&lt;/full-title&gt;&lt;abbr-1&gt;PLoS ONE&lt;/abbr-1&gt;&lt;/periodical&gt;&lt;pages&gt;e0146833&lt;/pages&gt;&lt;volume&gt;11&lt;/volume&gt;&lt;number&gt;1&lt;/number&gt;&lt;keywords&gt;&lt;keyword&gt;$$CC_5_instrument decontamination&lt;/keyword&gt;&lt;keyword&gt;$$5_instrument decontamination&lt;/keyword&gt;&lt;keyword&gt;$$Lesley google&lt;/keyword&gt;&lt;/keywords&gt;&lt;dates&gt;&lt;year&gt;2016&lt;/year&gt;&lt;/dates&gt;&lt;isbn&gt;1932-6203&lt;/isbn&gt;&lt;urls&gt;&lt;/urls&gt;&lt;/record&gt;&lt;/Cite&gt;&lt;/EndNote&gt;</w:instrText>
      </w:r>
      <w:r w:rsidR="00DB67C1">
        <w:rPr>
          <w:rFonts w:eastAsia="Calibri" w:cs="Times New Roman"/>
          <w:lang w:val="en"/>
        </w:rPr>
        <w:fldChar w:fldCharType="separate"/>
      </w:r>
      <w:r w:rsidR="0076576E" w:rsidRPr="0076576E">
        <w:rPr>
          <w:rFonts w:eastAsia="Calibri" w:cs="Times New Roman"/>
          <w:noProof/>
          <w:vertAlign w:val="superscript"/>
          <w:lang w:val="en"/>
        </w:rPr>
        <w:t>171</w:t>
      </w:r>
      <w:r w:rsidR="00DB67C1">
        <w:rPr>
          <w:rFonts w:eastAsia="Calibri" w:cs="Times New Roman"/>
          <w:lang w:val="en"/>
        </w:rPr>
        <w:fldChar w:fldCharType="end"/>
      </w:r>
      <w:r w:rsidRPr="00500F8B">
        <w:rPr>
          <w:rFonts w:eastAsia="Calibri" w:cs="Times New Roman"/>
        </w:rPr>
        <w:t xml:space="preserve">). It is also noted that all are laboratory studies that do not necessarily reflect procedures used in clinical settings; </w:t>
      </w:r>
      <w:r w:rsidR="00272B7D">
        <w:rPr>
          <w:rFonts w:eastAsia="Calibri" w:cs="Times New Roman"/>
        </w:rPr>
        <w:t>the papers retrieved for this systematic review included</w:t>
      </w:r>
      <w:r w:rsidRPr="00500F8B">
        <w:rPr>
          <w:rFonts w:eastAsia="Calibri" w:cs="Times New Roman"/>
        </w:rPr>
        <w:t xml:space="preserve"> studies of surgical instruments and Sterile Service Departments (SSDs) (</w:t>
      </w:r>
      <w:r w:rsidR="00B277F9" w:rsidRPr="00500F8B">
        <w:rPr>
          <w:rFonts w:eastAsia="Calibri" w:cs="Times New Roman"/>
          <w:lang w:val="en"/>
        </w:rPr>
        <w:t>Baxter</w:t>
      </w:r>
      <w:r w:rsidR="00B277F9">
        <w:rPr>
          <w:rFonts w:eastAsia="Calibri" w:cs="Times New Roman"/>
          <w:lang w:val="en"/>
        </w:rPr>
        <w:t xml:space="preserve"> </w:t>
      </w:r>
      <w:r w:rsidR="00B301D6" w:rsidRPr="00B301D6">
        <w:rPr>
          <w:rFonts w:eastAsia="Calibri" w:cs="Times New Roman"/>
          <w:i/>
          <w:lang w:val="en"/>
        </w:rPr>
        <w:t>et al</w:t>
      </w:r>
      <w:r w:rsidR="00B277F9">
        <w:rPr>
          <w:rFonts w:eastAsia="Calibri" w:cs="Times New Roman"/>
          <w:lang w:val="en"/>
        </w:rPr>
        <w:t xml:space="preserve"> (2005)</w:t>
      </w:r>
      <w:r w:rsidR="005F5678">
        <w:rPr>
          <w:rFonts w:eastAsia="Calibri" w:cs="Times New Roman"/>
          <w:lang w:val="en"/>
        </w:rPr>
        <w:t>,</w:t>
      </w:r>
      <w:r w:rsidR="00DB67C1">
        <w:rPr>
          <w:rFonts w:eastAsia="Calibri" w:cs="Times New Roman"/>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PEVuZE5vdGU+PENpdGU+PEF1dGhvcj5CYXh0ZXI8L0F1dGhvcj48WWVhcj4yMDA1PC9ZZWFyPjxS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183</w:t>
      </w:r>
      <w:r w:rsidR="00DB67C1">
        <w:rPr>
          <w:rFonts w:eastAsia="Calibri" w:cs="Times New Roman"/>
          <w:lang w:val="en"/>
        </w:rPr>
        <w:fldChar w:fldCharType="end"/>
      </w:r>
      <w:r w:rsidRPr="00500F8B">
        <w:rPr>
          <w:rFonts w:eastAsia="Calibri" w:cs="Times New Roman"/>
        </w:rPr>
        <w:t xml:space="preserve"> Murdoch </w:t>
      </w:r>
      <w:r w:rsidR="00B301D6" w:rsidRPr="00B301D6">
        <w:rPr>
          <w:rFonts w:eastAsia="Calibri" w:cs="Times New Roman"/>
          <w:i/>
        </w:rPr>
        <w:t>et al</w:t>
      </w:r>
      <w:r w:rsidR="00973FD5">
        <w:rPr>
          <w:rFonts w:eastAsia="Calibri" w:cs="Times New Roman"/>
        </w:rPr>
        <w:t xml:space="preserve"> (</w:t>
      </w:r>
      <w:r w:rsidRPr="00500F8B">
        <w:rPr>
          <w:rFonts w:eastAsia="Calibri" w:cs="Times New Roman"/>
        </w:rPr>
        <w:t>2006</w:t>
      </w:r>
      <w:r w:rsidR="00973FD5">
        <w:rPr>
          <w:rFonts w:eastAsia="Calibri" w:cs="Times New Roman"/>
        </w:rPr>
        <w:t>)</w:t>
      </w:r>
      <w:r w:rsidR="005F5678">
        <w:rPr>
          <w:rFonts w:eastAsia="Calibri" w:cs="Times New Roman"/>
        </w:rPr>
        <w:t>,</w:t>
      </w:r>
      <w:r w:rsidR="00DB67C1">
        <w:rPr>
          <w:rFonts w:eastAsia="Calibri" w:cs="Times New Roman"/>
        </w:rPr>
        <w:fldChar w:fldCharType="begin">
          <w:fldData xml:space="preserve">PEVuZE5vdGU+PENpdGU+PEF1dGhvcj5NdXJkb2NoPC9BdXRob3I+PFllYXI+MjAwNjwvWWVhcj48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PEVuZE5vdGU+PENpdGU+PEF1dGhvcj5NdXJkb2NoPC9BdXRob3I+PFllYXI+MjAwNjwvWWVhcj48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DB67C1">
        <w:rPr>
          <w:rFonts w:eastAsia="Calibri" w:cs="Times New Roman"/>
        </w:rPr>
      </w:r>
      <w:r w:rsidR="00DB67C1">
        <w:rPr>
          <w:rFonts w:eastAsia="Calibri" w:cs="Times New Roman"/>
        </w:rPr>
        <w:fldChar w:fldCharType="separate"/>
      </w:r>
      <w:r w:rsidR="0076576E" w:rsidRPr="0076576E">
        <w:rPr>
          <w:rFonts w:eastAsia="Calibri" w:cs="Times New Roman"/>
          <w:noProof/>
          <w:vertAlign w:val="superscript"/>
        </w:rPr>
        <w:t>188</w:t>
      </w:r>
      <w:r w:rsidR="00DB67C1">
        <w:rPr>
          <w:rFonts w:eastAsia="Calibri" w:cs="Times New Roman"/>
        </w:rPr>
        <w:fldChar w:fldCharType="end"/>
      </w:r>
      <w:r w:rsidRPr="00500F8B">
        <w:rPr>
          <w:rFonts w:eastAsia="Calibri" w:cs="Times New Roman"/>
        </w:rPr>
        <w:t xml:space="preserve"> </w:t>
      </w:r>
      <w:r w:rsidR="008F39A2" w:rsidRPr="00500F8B">
        <w:rPr>
          <w:rFonts w:eastAsia="Calibri" w:cs="Times New Roman"/>
          <w:lang w:val="en"/>
        </w:rPr>
        <w:t>Herve</w:t>
      </w:r>
      <w:r w:rsidR="008F39A2">
        <w:rPr>
          <w:rFonts w:eastAsia="Calibri" w:cs="Times New Roman"/>
          <w:lang w:val="en"/>
        </w:rPr>
        <w:t xml:space="preserve"> </w:t>
      </w:r>
      <w:r w:rsidR="00B301D6" w:rsidRPr="00B301D6">
        <w:rPr>
          <w:rFonts w:eastAsia="Calibri" w:cs="Times New Roman"/>
          <w:i/>
          <w:lang w:val="en"/>
        </w:rPr>
        <w:t>et al</w:t>
      </w:r>
      <w:r w:rsidR="008F39A2">
        <w:rPr>
          <w:rFonts w:eastAsia="Calibri" w:cs="Times New Roman"/>
          <w:lang w:val="en"/>
        </w:rPr>
        <w:t xml:space="preserve"> (2010)</w:t>
      </w:r>
      <w:r w:rsidR="00DB67C1">
        <w:rPr>
          <w:rFonts w:eastAsia="Calibri" w:cs="Times New Roman"/>
          <w:lang w:val="en"/>
        </w:rPr>
        <w:fldChar w:fldCharType="begin">
          <w:fldData xml:space="preserve">PEVuZE5vdGU+PENpdGU+PEF1dGhvcj5IZXJ2ZTwvQXV0aG9yPjxZZWFyPjIwMTA8L1llYXI+PFJl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PEVuZE5vdGU+PENpdGU+PEF1dGhvcj5IZXJ2ZTwvQXV0aG9yPjxZZWFyPjIwMTA8L1llYXI+PFJl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204</w:t>
      </w:r>
      <w:r w:rsidR="00DB67C1">
        <w:rPr>
          <w:rFonts w:eastAsia="Calibri" w:cs="Times New Roman"/>
          <w:lang w:val="en"/>
        </w:rPr>
        <w:fldChar w:fldCharType="end"/>
      </w:r>
      <w:r w:rsidRPr="00500F8B">
        <w:rPr>
          <w:rFonts w:eastAsia="Calibri" w:cs="Times New Roman"/>
        </w:rPr>
        <w:t xml:space="preserve">), but they only report contamination with proteins </w:t>
      </w:r>
      <w:r w:rsidR="00272B7D">
        <w:rPr>
          <w:rFonts w:eastAsia="Calibri" w:cs="Times New Roman"/>
        </w:rPr>
        <w:t xml:space="preserve">(not prions) </w:t>
      </w:r>
      <w:r w:rsidRPr="00500F8B">
        <w:rPr>
          <w:rFonts w:eastAsia="Calibri" w:cs="Times New Roman"/>
        </w:rPr>
        <w:t>after standard decontamination processes. While steel wires are generally accepted to be the most useful simulator to test prion adherence to steel surgical instruments, it is also recognised that they do not clean in the same manner as larger, more complicated surfaces (</w:t>
      </w:r>
      <w:r w:rsidR="008F39A2" w:rsidRPr="00500F8B">
        <w:rPr>
          <w:rFonts w:eastAsia="Calibri" w:cs="Times New Roman"/>
          <w:lang w:val="en"/>
        </w:rPr>
        <w:t>Herve</w:t>
      </w:r>
      <w:r w:rsidR="008F39A2">
        <w:rPr>
          <w:rFonts w:eastAsia="Calibri" w:cs="Times New Roman"/>
          <w:lang w:val="en"/>
        </w:rPr>
        <w:t xml:space="preserve"> </w:t>
      </w:r>
      <w:r w:rsidR="00B301D6" w:rsidRPr="00B301D6">
        <w:rPr>
          <w:rFonts w:eastAsia="Calibri" w:cs="Times New Roman"/>
          <w:i/>
          <w:lang w:val="en"/>
        </w:rPr>
        <w:t>et al</w:t>
      </w:r>
      <w:r w:rsidR="008F39A2">
        <w:rPr>
          <w:rFonts w:eastAsia="Calibri" w:cs="Times New Roman"/>
          <w:lang w:val="en"/>
        </w:rPr>
        <w:t xml:space="preserve"> (2010)</w:t>
      </w:r>
      <w:r w:rsidR="005F5678">
        <w:rPr>
          <w:rFonts w:eastAsia="Calibri" w:cs="Times New Roman"/>
          <w:lang w:val="en"/>
        </w:rPr>
        <w:t>,</w:t>
      </w:r>
      <w:r w:rsidR="00DB67C1">
        <w:rPr>
          <w:rFonts w:eastAsia="Calibri" w:cs="Times New Roman"/>
          <w:lang w:val="en"/>
        </w:rPr>
        <w:fldChar w:fldCharType="begin">
          <w:fldData xml:space="preserve">PEVuZE5vdGU+PENpdGU+PEF1dGhvcj5IZXJ2ZTwvQXV0aG9yPjxZZWFyPjIwMTA8L1llYXI+PFJl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PEVuZE5vdGU+PENpdGU+PEF1dGhvcj5IZXJ2ZTwvQXV0aG9yPjxZZWFyPjIwMTA8L1llYXI+PFJl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204</w:t>
      </w:r>
      <w:r w:rsidR="00DB67C1">
        <w:rPr>
          <w:rFonts w:eastAsia="Calibri" w:cs="Times New Roman"/>
          <w:lang w:val="en"/>
        </w:rPr>
        <w:fldChar w:fldCharType="end"/>
      </w:r>
      <w:r w:rsidRPr="00500F8B">
        <w:rPr>
          <w:rFonts w:eastAsia="Calibri" w:cs="Times New Roman"/>
        </w:rPr>
        <w:t xml:space="preserve"> </w:t>
      </w:r>
      <w:r w:rsidR="00FC569E" w:rsidRPr="00500F8B">
        <w:rPr>
          <w:rFonts w:eastAsia="Calibri" w:cs="Times New Roman"/>
          <w:lang w:val="en"/>
        </w:rPr>
        <w:t xml:space="preserve">Dickinson </w:t>
      </w:r>
      <w:r w:rsidR="00B301D6" w:rsidRPr="00B301D6">
        <w:rPr>
          <w:rFonts w:eastAsia="Calibri" w:cs="Times New Roman"/>
          <w:i/>
          <w:lang w:val="en"/>
        </w:rPr>
        <w:t>et al</w:t>
      </w:r>
      <w:r w:rsidR="00FC569E">
        <w:rPr>
          <w:rFonts w:eastAsia="Calibri" w:cs="Times New Roman"/>
          <w:lang w:val="en"/>
        </w:rPr>
        <w:t xml:space="preserve"> (</w:t>
      </w:r>
      <w:r w:rsidR="00FC569E" w:rsidRPr="00500F8B">
        <w:rPr>
          <w:rFonts w:eastAsia="Calibri" w:cs="Times New Roman"/>
          <w:lang w:val="en"/>
        </w:rPr>
        <w:t>2009</w:t>
      </w:r>
      <w:r w:rsidR="00FC569E">
        <w:rPr>
          <w:rFonts w:eastAsia="Calibri" w:cs="Times New Roman"/>
          <w:lang w:val="en"/>
        </w:rPr>
        <w:t>)</w:t>
      </w:r>
      <w:r w:rsidR="00DB67C1">
        <w:rPr>
          <w:rFonts w:eastAsia="Calibri" w:cs="Times New Roman"/>
          <w:lang w:val="en"/>
        </w:rPr>
        <w:fldChar w:fldCharType="begin">
          <w:fldData xml:space="preserve">PEVuZE5vdGU+PENpdGU+PEF1dGhvcj5EaWNraW5zb248L0F1dGhvcj48WWVhcj4yMDA5PC9ZZWFy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PEVuZE5vdGU+PENpdGU+PEF1dGhvcj5EaWNraW5zb248L0F1dGhvcj48WWVhcj4yMDA5PC9ZZWFy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DB67C1">
        <w:rPr>
          <w:rFonts w:eastAsia="Calibri" w:cs="Times New Roman"/>
          <w:lang w:val="en"/>
        </w:rPr>
      </w:r>
      <w:r w:rsidR="00DB67C1">
        <w:rPr>
          <w:rFonts w:eastAsia="Calibri" w:cs="Times New Roman"/>
          <w:lang w:val="en"/>
        </w:rPr>
        <w:fldChar w:fldCharType="separate"/>
      </w:r>
      <w:r w:rsidR="0076576E" w:rsidRPr="0076576E">
        <w:rPr>
          <w:rFonts w:eastAsia="Calibri" w:cs="Times New Roman"/>
          <w:noProof/>
          <w:vertAlign w:val="superscript"/>
          <w:lang w:val="en"/>
        </w:rPr>
        <w:t>201</w:t>
      </w:r>
      <w:r w:rsidR="00DB67C1">
        <w:rPr>
          <w:rFonts w:eastAsia="Calibri" w:cs="Times New Roman"/>
          <w:lang w:val="en"/>
        </w:rPr>
        <w:fldChar w:fldCharType="end"/>
      </w:r>
      <w:r w:rsidRPr="00500F8B">
        <w:rPr>
          <w:rFonts w:eastAsia="Calibri" w:cs="Times New Roman"/>
        </w:rPr>
        <w:t>).</w:t>
      </w:r>
    </w:p>
    <w:p w14:paraId="3FEB031D" w14:textId="77777777" w:rsidR="00767562" w:rsidRPr="009F5584" w:rsidRDefault="00767562" w:rsidP="00A27868">
      <w:pPr>
        <w:autoSpaceDE w:val="0"/>
        <w:autoSpaceDN w:val="0"/>
        <w:adjustRightInd w:val="0"/>
        <w:jc w:val="both"/>
        <w:rPr>
          <w:rFonts w:cs="Times New Roman"/>
          <w:sz w:val="24"/>
          <w:szCs w:val="24"/>
        </w:rPr>
      </w:pPr>
    </w:p>
    <w:p w14:paraId="35E34002" w14:textId="47A5C14F" w:rsidR="00767562" w:rsidRPr="009F5584" w:rsidRDefault="00A27868" w:rsidP="00A27868">
      <w:pPr>
        <w:pStyle w:val="Heading2"/>
        <w:ind w:left="720" w:hanging="720"/>
      </w:pPr>
      <w:bookmarkStart w:id="78" w:name="_Toc525106666"/>
      <w:r>
        <w:t>2.7</w:t>
      </w:r>
      <w:r w:rsidR="00767562" w:rsidRPr="009F5584">
        <w:tab/>
        <w:t>The evidence that instruments used for high-risk procedures remain in their original sets</w:t>
      </w:r>
      <w:r w:rsidR="00F66D4D">
        <w:t xml:space="preserve"> </w:t>
      </w:r>
      <w:r w:rsidR="00F66D4D" w:rsidRPr="00F66D4D">
        <w:t>after decontamination</w:t>
      </w:r>
      <w:bookmarkEnd w:id="78"/>
    </w:p>
    <w:p w14:paraId="3920D950" w14:textId="797F5CA2" w:rsidR="00F66D4D" w:rsidRDefault="00F66D4D" w:rsidP="00305B40">
      <w:pPr>
        <w:autoSpaceDE w:val="0"/>
        <w:autoSpaceDN w:val="0"/>
        <w:adjustRightInd w:val="0"/>
        <w:jc w:val="both"/>
        <w:rPr>
          <w:rFonts w:eastAsia="Calibri" w:cs="Times New Roman"/>
        </w:rPr>
      </w:pPr>
      <w:r w:rsidRPr="00F66D4D">
        <w:rPr>
          <w:rFonts w:eastAsia="Calibri" w:cs="Times New Roman"/>
        </w:rPr>
        <w:t>The purpose of this review was to identify relevant published and unpublished evidence to determine the extent to which instruments used in neurosurgery remain in a specific set after decontamination procedures</w:t>
      </w:r>
      <w:r w:rsidR="0093005E">
        <w:rPr>
          <w:rFonts w:eastAsia="Calibri" w:cs="Times New Roman"/>
        </w:rPr>
        <w:t xml:space="preserve"> as per NICE guidance (IPG196).</w:t>
      </w:r>
      <w:r w:rsidR="00A459C5">
        <w:rPr>
          <w:rFonts w:eastAsia="Calibri" w:cs="Times New Roman"/>
        </w:rPr>
        <w:fldChar w:fldCharType="begin"/>
      </w:r>
      <w:r w:rsidR="00892AF6">
        <w:rPr>
          <w:rFonts w:eastAsia="Calibri" w:cs="Times New Roman"/>
        </w:rPr>
        <w:instrText xml:space="preserve"> ADDIN EN.CITE &lt;EndNote&gt;&lt;Cite&gt;&lt;Author&gt;National Institute for Health and Care Excellence&lt;/Author&gt;&lt;Year&gt;2008&lt;/Year&gt;&lt;RecNum&gt;10250&lt;/RecNum&gt;&lt;DisplayText&gt;&lt;style face="superscript"&gt;14&lt;/style&gt;&lt;/DisplayText&gt;&lt;record&gt;&lt;rec-number&gt;10250&lt;/rec-number&gt;&lt;foreign-keys&gt;&lt;key app="EN" db-id="vrp0pptazv05wtesfz5vrzsj2p0rv09ttsa9" timestamp="1520851583" guid="875b169c-6726-4f90-9c42-19ea7d5d9733"&gt;10250&lt;/key&gt;&lt;/foreign-keys&gt;&lt;ref-type name="Web Page"&gt;12&lt;/ref-type&gt;&lt;contributors&gt;&lt;authors&gt;&lt;author&gt;National Institute for Health and Care Excellence,&lt;/author&gt;&lt;/authors&gt;&lt;/contributors&gt;&lt;titles&gt;&lt;title&gt;NICE interventional procedure guidance 196. Patient safety and reduction of risk of transmission of Creutzfeldt–Jakob disease (CJD) via interventional procedures.&lt;/title&gt;&lt;/titles&gt;&lt;number&gt;02.02.2018&lt;/number&gt;&lt;dates&gt;&lt;year&gt;2008&lt;/year&gt;&lt;/dates&gt;&lt;urls&gt;&lt;related-urls&gt;&lt;url&gt;&lt;style face="underline" font="default" size="100%"&gt;https://www.nice.org.uk/guidance/ipg196/documents/ipg196-patient-safety-and-reduction-of-risk-of-transmission-of-creutzfeldtjakob-disease-cjd-via-interventional-procedures-guidance2&lt;/style&gt;&lt;/url&gt;&lt;/related-urls&gt;&lt;/urls&gt;&lt;/record&gt;&lt;/Cite&gt;&lt;/EndNote&gt;</w:instrText>
      </w:r>
      <w:r w:rsidR="00A459C5">
        <w:rPr>
          <w:rFonts w:eastAsia="Calibri" w:cs="Times New Roman"/>
        </w:rPr>
        <w:fldChar w:fldCharType="separate"/>
      </w:r>
      <w:r w:rsidR="005C50C5" w:rsidRPr="005C50C5">
        <w:rPr>
          <w:rFonts w:eastAsia="Calibri" w:cs="Times New Roman"/>
          <w:noProof/>
          <w:vertAlign w:val="superscript"/>
        </w:rPr>
        <w:t>14</w:t>
      </w:r>
      <w:r w:rsidR="00A459C5">
        <w:rPr>
          <w:rFonts w:eastAsia="Calibri" w:cs="Times New Roman"/>
        </w:rPr>
        <w:fldChar w:fldCharType="end"/>
      </w:r>
      <w:r w:rsidR="0093005E">
        <w:rPr>
          <w:rFonts w:eastAsia="Calibri" w:cs="Times New Roman"/>
        </w:rPr>
        <w:t xml:space="preserve"> Labelling or </w:t>
      </w:r>
      <w:r w:rsidRPr="00F66D4D">
        <w:rPr>
          <w:rFonts w:eastAsia="Calibri" w:cs="Times New Roman"/>
        </w:rPr>
        <w:t xml:space="preserve">tracking systems </w:t>
      </w:r>
      <w:r w:rsidR="00171A16">
        <w:rPr>
          <w:rFonts w:eastAsia="Calibri" w:cs="Times New Roman"/>
        </w:rPr>
        <w:t>may be</w:t>
      </w:r>
      <w:r w:rsidRPr="00F66D4D">
        <w:rPr>
          <w:rFonts w:eastAsia="Calibri" w:cs="Times New Roman"/>
        </w:rPr>
        <w:t xml:space="preserve"> in place to maintain the integrity of such sets and </w:t>
      </w:r>
      <w:r w:rsidR="008D700D">
        <w:rPr>
          <w:rFonts w:eastAsia="Calibri" w:cs="Times New Roman"/>
        </w:rPr>
        <w:t xml:space="preserve">to </w:t>
      </w:r>
      <w:r w:rsidRPr="00F66D4D">
        <w:rPr>
          <w:rFonts w:eastAsia="Calibri" w:cs="Times New Roman"/>
        </w:rPr>
        <w:t>reduce or prevent the migration of instruments between sets. Evidence for the migration of instruments between sets might have implications for the risk of transmission of disease between patients undergoing neurosurgery.</w:t>
      </w:r>
      <w:r w:rsidR="00791CA6">
        <w:rPr>
          <w:rFonts w:eastAsia="Calibri" w:cs="Times New Roman"/>
        </w:rPr>
        <w:t xml:space="preserve"> A r</w:t>
      </w:r>
      <w:r w:rsidR="00791CA6" w:rsidRPr="00791CA6">
        <w:rPr>
          <w:rFonts w:eastAsia="Calibri" w:cs="Times New Roman"/>
        </w:rPr>
        <w:t xml:space="preserve">eport by the Advisory Committee on Dangerous Pathogens' Transmission Spongiform Encephalopathy (ACDP TSE) Subgroup estimated that the likelihood of at least one instrument migrating in or out of a neurosurgical set is 50% </w:t>
      </w:r>
      <w:r w:rsidR="00791CA6">
        <w:rPr>
          <w:rFonts w:eastAsia="Calibri" w:cs="Times New Roman"/>
        </w:rPr>
        <w:t xml:space="preserve">(Bryant </w:t>
      </w:r>
      <w:r w:rsidR="00B301D6" w:rsidRPr="00B301D6">
        <w:rPr>
          <w:rFonts w:eastAsia="Calibri" w:cs="Times New Roman"/>
          <w:i/>
        </w:rPr>
        <w:t>et al</w:t>
      </w:r>
      <w:r w:rsidR="00791CA6">
        <w:rPr>
          <w:rFonts w:eastAsia="Calibri" w:cs="Times New Roman"/>
        </w:rPr>
        <w:t>, 2015)</w:t>
      </w:r>
      <w:r w:rsidR="009B4E5A">
        <w:rPr>
          <w:rFonts w:eastAsia="Calibri" w:cs="Times New Roman"/>
        </w:rPr>
        <w:t>.</w:t>
      </w:r>
      <w:r w:rsidR="00791CA6">
        <w:rPr>
          <w:rFonts w:eastAsia="Calibri" w:cs="Times New Roman"/>
        </w:rPr>
        <w:fldChar w:fldCharType="begin"/>
      </w:r>
      <w:r w:rsidR="0076576E">
        <w:rPr>
          <w:rFonts w:eastAsia="Calibri" w:cs="Times New Roman"/>
        </w:rPr>
        <w:instrText xml:space="preserve"> ADDIN EN.CITE &lt;EndNote&gt;&lt;Cite&gt;&lt;Author&gt;Bryant&lt;/Author&gt;&lt;Year&gt;2015&lt;/Year&gt;&lt;RecNum&gt;10264&lt;/RecNum&gt;&lt;DisplayText&gt;&lt;style face="superscript"&gt;113&lt;/style&gt;&lt;/DisplayText&gt;&lt;record&gt;&lt;rec-number&gt;10264&lt;/rec-number&gt;&lt;foreign-keys&gt;&lt;key app="EN" db-id="vrp0pptazv05wtesfz5vrzsj2p0rv09ttsa9" timestamp="1520851591" guid="c820f3ae-f31e-467b-b33d-95b1b4cf471c"&gt;10264&lt;/key&gt;&lt;/foreign-keys&gt;&lt;ref-type name="Journal Article"&gt;17&lt;/ref-type&gt;&lt;contributors&gt;&lt;authors&gt;&lt;author&gt;Bryant, G&lt;/author&gt;&lt;author&gt;Hewitt, P&lt;/author&gt;&lt;author&gt;Hope, J&lt;/author&gt;&lt;author&gt;Howard, C&lt;/author&gt;&lt;author&gt;Ironside, J&lt;/author&gt;&lt;author&gt;Knight, R&lt;/author&gt;&lt;author&gt;Manson, J&lt;/author&gt;&lt;author&gt;Mead, S&lt;/author&gt;&lt;author&gt;Medley, G&lt;/author&gt;&lt;author&gt;Minor, P&lt;/author&gt;&lt;/authors&gt;&lt;/contributors&gt;&lt;titles&gt;&lt;title&gt;Minimise transmission risk of CJD and vCJD in healthcare settings. Report on the Prevention of CJD and vCJD by Advisory Committee on Dangerous Pathogens&amp;apos; Transmission Spongiform Encephalopathy (ACDP TSE) Subgroup&lt;/title&gt;&lt;/titles&gt;&lt;keywords&gt;&lt;keyword&gt;$$LU_2_surgery transmission risk&lt;/keyword&gt;&lt;keyword&gt;$$CJD relevant&lt;/keyword&gt;&lt;keyword&gt;$$Background&lt;/keyword&gt;&lt;keyword&gt;$$Lesley google&lt;/keyword&gt;&lt;keyword&gt;Infection control&lt;/keyword&gt;&lt;keyword&gt;$$Committee recommended&lt;/keyword&gt;&lt;keyword&gt;$$6_instrument set keeping&lt;/keyword&gt;&lt;/keywords&gt;&lt;dates&gt;&lt;year&gt;2015&lt;/year&gt;&lt;/dates&gt;&lt;urls&gt;&lt;/urls&gt;&lt;/record&gt;&lt;/Cite&gt;&lt;/EndNote&gt;</w:instrText>
      </w:r>
      <w:r w:rsidR="00791CA6">
        <w:rPr>
          <w:rFonts w:eastAsia="Calibri" w:cs="Times New Roman"/>
        </w:rPr>
        <w:fldChar w:fldCharType="separate"/>
      </w:r>
      <w:r w:rsidR="0076576E" w:rsidRPr="0076576E">
        <w:rPr>
          <w:rFonts w:eastAsia="Calibri" w:cs="Times New Roman"/>
          <w:noProof/>
          <w:vertAlign w:val="superscript"/>
        </w:rPr>
        <w:t>113</w:t>
      </w:r>
      <w:r w:rsidR="00791CA6">
        <w:rPr>
          <w:rFonts w:eastAsia="Calibri" w:cs="Times New Roman"/>
        </w:rPr>
        <w:fldChar w:fldCharType="end"/>
      </w:r>
      <w:r w:rsidR="00791CA6">
        <w:rPr>
          <w:rFonts w:eastAsia="Calibri" w:cs="Times New Roman"/>
        </w:rPr>
        <w:t xml:space="preserve"> This document contains a project report and guidance for the Department of Health (DoH) </w:t>
      </w:r>
      <w:r w:rsidR="00791CA6" w:rsidRPr="00614DB8">
        <w:rPr>
          <w:rFonts w:eastAsia="Calibri" w:cs="Times New Roman"/>
        </w:rPr>
        <w:t>to employers on the</w:t>
      </w:r>
      <w:r w:rsidR="00791CA6">
        <w:rPr>
          <w:rFonts w:eastAsia="Calibri" w:cs="Times New Roman"/>
        </w:rPr>
        <w:t xml:space="preserve"> </w:t>
      </w:r>
      <w:r w:rsidR="00791CA6" w:rsidRPr="00614DB8">
        <w:rPr>
          <w:rFonts w:eastAsia="Calibri" w:cs="Times New Roman"/>
        </w:rPr>
        <w:t>precautions to control the risk of exposure of employees and others to TSE</w:t>
      </w:r>
      <w:r w:rsidR="00791CA6">
        <w:rPr>
          <w:rFonts w:eastAsia="Calibri" w:cs="Times New Roman"/>
        </w:rPr>
        <w:t xml:space="preserve"> agents from work activities. Th</w:t>
      </w:r>
      <w:r w:rsidR="009B2F72">
        <w:rPr>
          <w:rFonts w:eastAsia="Calibri" w:cs="Times New Roman"/>
        </w:rPr>
        <w:t>e</w:t>
      </w:r>
      <w:r w:rsidR="00305B40">
        <w:rPr>
          <w:rFonts w:eastAsia="Calibri" w:cs="Times New Roman"/>
        </w:rPr>
        <w:t xml:space="preserve"> estimate</w:t>
      </w:r>
      <w:r w:rsidR="009B2F72">
        <w:rPr>
          <w:rFonts w:eastAsia="Calibri" w:cs="Times New Roman"/>
        </w:rPr>
        <w:t xml:space="preserve"> does not appear to be supported by any evidence. However, if such</w:t>
      </w:r>
      <w:r w:rsidR="00791CA6">
        <w:rPr>
          <w:rFonts w:eastAsia="Calibri" w:cs="Times New Roman"/>
        </w:rPr>
        <w:t xml:space="preserve"> a</w:t>
      </w:r>
      <w:r w:rsidR="00791CA6" w:rsidRPr="007E546A">
        <w:rPr>
          <w:rFonts w:eastAsia="Calibri" w:cs="Times New Roman"/>
        </w:rPr>
        <w:t xml:space="preserve"> high level of migration of instruments during high</w:t>
      </w:r>
      <w:r w:rsidR="008D700D">
        <w:rPr>
          <w:rFonts w:eastAsia="Calibri" w:cs="Times New Roman"/>
        </w:rPr>
        <w:t>-</w:t>
      </w:r>
      <w:r w:rsidR="00791CA6" w:rsidRPr="007E546A">
        <w:rPr>
          <w:rFonts w:eastAsia="Calibri" w:cs="Times New Roman"/>
        </w:rPr>
        <w:t>risk posterior segment surgery</w:t>
      </w:r>
      <w:r w:rsidR="009B2F72">
        <w:rPr>
          <w:rFonts w:eastAsia="Calibri" w:cs="Times New Roman"/>
        </w:rPr>
        <w:t xml:space="preserve"> occurred it could</w:t>
      </w:r>
      <w:r w:rsidR="00791CA6" w:rsidRPr="007E546A">
        <w:rPr>
          <w:rFonts w:eastAsia="Calibri" w:cs="Times New Roman"/>
        </w:rPr>
        <w:t xml:space="preserve"> potential</w:t>
      </w:r>
      <w:r w:rsidR="009B2F72">
        <w:rPr>
          <w:rFonts w:eastAsia="Calibri" w:cs="Times New Roman"/>
        </w:rPr>
        <w:t>ly</w:t>
      </w:r>
      <w:r w:rsidR="00791CA6" w:rsidRPr="007E546A">
        <w:rPr>
          <w:rFonts w:eastAsia="Calibri" w:cs="Times New Roman"/>
        </w:rPr>
        <w:t xml:space="preserve"> to promote a self-sustaining epidemic of CJD or vCJD</w:t>
      </w:r>
      <w:r w:rsidR="00791CA6">
        <w:rPr>
          <w:rFonts w:eastAsia="Calibri" w:cs="Times New Roman"/>
        </w:rPr>
        <w:t>.</w:t>
      </w:r>
    </w:p>
    <w:p w14:paraId="47DA990D" w14:textId="77777777" w:rsidR="00A27868" w:rsidRPr="00F66D4D" w:rsidRDefault="00A27868" w:rsidP="00A27868">
      <w:pPr>
        <w:autoSpaceDE w:val="0"/>
        <w:autoSpaceDN w:val="0"/>
        <w:adjustRightInd w:val="0"/>
        <w:jc w:val="both"/>
        <w:rPr>
          <w:rFonts w:eastAsia="Calibri" w:cs="Times New Roman"/>
        </w:rPr>
      </w:pPr>
    </w:p>
    <w:p w14:paraId="37FEECC9" w14:textId="34F47FEA" w:rsidR="004064F9" w:rsidRPr="00F84738" w:rsidRDefault="00F70CC2" w:rsidP="00F84738">
      <w:pPr>
        <w:pStyle w:val="Heading3"/>
        <w:ind w:left="720" w:hanging="720"/>
        <w:rPr>
          <w:rFonts w:eastAsia="Calibri"/>
          <w:b w:val="0"/>
          <w:i/>
        </w:rPr>
      </w:pPr>
      <w:r w:rsidRPr="00F84738">
        <w:rPr>
          <w:rFonts w:eastAsia="Calibri"/>
          <w:b w:val="0"/>
          <w:i/>
        </w:rPr>
        <w:t>2.7.1</w:t>
      </w:r>
      <w:r w:rsidRPr="00F84738">
        <w:rPr>
          <w:rFonts w:eastAsia="Calibri"/>
          <w:b w:val="0"/>
          <w:i/>
        </w:rPr>
        <w:tab/>
      </w:r>
      <w:r w:rsidR="004064F9" w:rsidRPr="00F84738">
        <w:rPr>
          <w:rFonts w:eastAsia="Calibri"/>
          <w:b w:val="0"/>
          <w:i/>
        </w:rPr>
        <w:t xml:space="preserve">Studies relating to evidence </w:t>
      </w:r>
      <w:r w:rsidR="004064F9" w:rsidRPr="00F84738">
        <w:rPr>
          <w:b w:val="0"/>
          <w:i/>
        </w:rPr>
        <w:t>that instruments used for high-risk procedures remain in their original sets after decontamination</w:t>
      </w:r>
    </w:p>
    <w:p w14:paraId="165290FE" w14:textId="368FED26" w:rsidR="00F66D4D" w:rsidRDefault="00F66D4D" w:rsidP="00A27868">
      <w:pPr>
        <w:jc w:val="both"/>
        <w:rPr>
          <w:rFonts w:eastAsia="Calibri" w:cs="Times New Roman"/>
        </w:rPr>
      </w:pPr>
      <w:r>
        <w:rPr>
          <w:rFonts w:eastAsia="Calibri" w:cs="Times New Roman"/>
        </w:rPr>
        <w:t>The n</w:t>
      </w:r>
      <w:r w:rsidRPr="00F66D4D">
        <w:rPr>
          <w:rFonts w:eastAsia="Calibri" w:cs="Times New Roman"/>
        </w:rPr>
        <w:t>umbe</w:t>
      </w:r>
      <w:r>
        <w:rPr>
          <w:rFonts w:eastAsia="Calibri" w:cs="Times New Roman"/>
        </w:rPr>
        <w:t xml:space="preserve">r and type of included studies are shown in </w:t>
      </w:r>
      <w:r>
        <w:rPr>
          <w:rFonts w:eastAsia="Calibri" w:cs="Times New Roman"/>
        </w:rPr>
        <w:fldChar w:fldCharType="begin"/>
      </w:r>
      <w:r>
        <w:rPr>
          <w:rFonts w:eastAsia="Calibri" w:cs="Times New Roman"/>
        </w:rPr>
        <w:instrText xml:space="preserve"> REF _Ref508887132 \h </w:instrText>
      </w:r>
      <w:r>
        <w:rPr>
          <w:rFonts w:eastAsia="Calibri" w:cs="Times New Roman"/>
        </w:rPr>
      </w:r>
      <w:r>
        <w:rPr>
          <w:rFonts w:eastAsia="Calibri" w:cs="Times New Roman"/>
        </w:rPr>
        <w:fldChar w:fldCharType="separate"/>
      </w:r>
      <w:r w:rsidR="00690541">
        <w:t xml:space="preserve">Table </w:t>
      </w:r>
      <w:r w:rsidR="00690541">
        <w:rPr>
          <w:noProof/>
        </w:rPr>
        <w:t>20</w:t>
      </w:r>
      <w:r>
        <w:rPr>
          <w:rFonts w:eastAsia="Calibri" w:cs="Times New Roman"/>
        </w:rPr>
        <w:fldChar w:fldCharType="end"/>
      </w:r>
      <w:r>
        <w:rPr>
          <w:rFonts w:eastAsia="Calibri" w:cs="Times New Roman"/>
        </w:rPr>
        <w:t>.</w:t>
      </w:r>
    </w:p>
    <w:p w14:paraId="7DC4CB19" w14:textId="77777777" w:rsidR="00A27868" w:rsidRPr="00F66D4D" w:rsidRDefault="00A27868" w:rsidP="00A27868">
      <w:pPr>
        <w:jc w:val="both"/>
        <w:rPr>
          <w:rFonts w:eastAsia="Calibri" w:cs="Times New Roman"/>
          <w:b/>
        </w:rPr>
      </w:pPr>
    </w:p>
    <w:p w14:paraId="057022F8" w14:textId="2A1002E4" w:rsidR="00F66D4D" w:rsidRDefault="00F66D4D" w:rsidP="00A27868">
      <w:pPr>
        <w:pStyle w:val="Caption"/>
        <w:keepNext/>
        <w:spacing w:line="360" w:lineRule="auto"/>
      </w:pPr>
      <w:bookmarkStart w:id="79" w:name="_Ref508887132"/>
      <w:bookmarkStart w:id="80" w:name="_Toc525106707"/>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20</w:t>
      </w:r>
      <w:r w:rsidR="00F62DB8">
        <w:rPr>
          <w:noProof/>
        </w:rPr>
        <w:fldChar w:fldCharType="end"/>
      </w:r>
      <w:bookmarkEnd w:id="79"/>
      <w:r>
        <w:t>:</w:t>
      </w:r>
      <w:r w:rsidR="00A27868">
        <w:tab/>
      </w:r>
      <w:r w:rsidRPr="00922AA3">
        <w:t>Characteristics of included studies</w:t>
      </w:r>
      <w:bookmarkEnd w:id="80"/>
    </w:p>
    <w:tbl>
      <w:tblPr>
        <w:tblStyle w:val="TableGrid5"/>
        <w:tblW w:w="9067" w:type="dxa"/>
        <w:tblLook w:val="04A0" w:firstRow="1" w:lastRow="0" w:firstColumn="1" w:lastColumn="0" w:noHBand="0" w:noVBand="1"/>
      </w:tblPr>
      <w:tblGrid>
        <w:gridCol w:w="1280"/>
        <w:gridCol w:w="996"/>
        <w:gridCol w:w="845"/>
        <w:gridCol w:w="1463"/>
        <w:gridCol w:w="1597"/>
        <w:gridCol w:w="2886"/>
      </w:tblGrid>
      <w:tr w:rsidR="00D81239" w:rsidRPr="00F66D4D" w14:paraId="0303BF7F" w14:textId="77777777" w:rsidTr="00791CA6">
        <w:tc>
          <w:tcPr>
            <w:tcW w:w="1280" w:type="dxa"/>
          </w:tcPr>
          <w:p w14:paraId="78911971" w14:textId="77777777" w:rsidR="00D81239" w:rsidRPr="00F66D4D" w:rsidRDefault="00D81239" w:rsidP="00A27868">
            <w:pPr>
              <w:spacing w:line="240" w:lineRule="auto"/>
              <w:rPr>
                <w:rFonts w:eastAsia="Calibri" w:cs="Times New Roman"/>
              </w:rPr>
            </w:pPr>
            <w:r w:rsidRPr="00F66D4D">
              <w:rPr>
                <w:rFonts w:eastAsia="Calibri" w:cs="Times New Roman"/>
              </w:rPr>
              <w:t>Study</w:t>
            </w:r>
          </w:p>
        </w:tc>
        <w:tc>
          <w:tcPr>
            <w:tcW w:w="996" w:type="dxa"/>
          </w:tcPr>
          <w:p w14:paraId="7189F497" w14:textId="77777777" w:rsidR="00D81239" w:rsidRPr="00F66D4D" w:rsidRDefault="00D81239" w:rsidP="00A27868">
            <w:pPr>
              <w:spacing w:line="240" w:lineRule="auto"/>
              <w:rPr>
                <w:rFonts w:eastAsia="Calibri" w:cs="Times New Roman"/>
              </w:rPr>
            </w:pPr>
            <w:r w:rsidRPr="00F66D4D">
              <w:rPr>
                <w:rFonts w:eastAsia="Calibri" w:cs="Times New Roman"/>
              </w:rPr>
              <w:t>Country</w:t>
            </w:r>
          </w:p>
        </w:tc>
        <w:tc>
          <w:tcPr>
            <w:tcW w:w="845" w:type="dxa"/>
          </w:tcPr>
          <w:p w14:paraId="54793E77" w14:textId="77777777" w:rsidR="00D81239" w:rsidRPr="00F66D4D" w:rsidRDefault="00D81239" w:rsidP="00A27868">
            <w:pPr>
              <w:spacing w:line="240" w:lineRule="auto"/>
              <w:rPr>
                <w:rFonts w:eastAsia="Calibri" w:cs="Times New Roman"/>
              </w:rPr>
            </w:pPr>
            <w:r w:rsidRPr="00F66D4D">
              <w:rPr>
                <w:rFonts w:eastAsia="Calibri" w:cs="Times New Roman"/>
              </w:rPr>
              <w:t>Time period</w:t>
            </w:r>
          </w:p>
        </w:tc>
        <w:tc>
          <w:tcPr>
            <w:tcW w:w="1463" w:type="dxa"/>
          </w:tcPr>
          <w:p w14:paraId="4A5E2D94" w14:textId="77777777" w:rsidR="00D81239" w:rsidRPr="00F66D4D" w:rsidRDefault="00D81239" w:rsidP="00A27868">
            <w:pPr>
              <w:spacing w:line="240" w:lineRule="auto"/>
              <w:rPr>
                <w:rFonts w:eastAsia="Calibri" w:cs="Times New Roman"/>
              </w:rPr>
            </w:pPr>
            <w:r w:rsidRPr="00F66D4D">
              <w:rPr>
                <w:rFonts w:eastAsia="Calibri" w:cs="Times New Roman"/>
              </w:rPr>
              <w:t>Design</w:t>
            </w:r>
          </w:p>
        </w:tc>
        <w:tc>
          <w:tcPr>
            <w:tcW w:w="1597" w:type="dxa"/>
          </w:tcPr>
          <w:p w14:paraId="25E724F1" w14:textId="77777777" w:rsidR="00D81239" w:rsidRPr="00F66D4D" w:rsidRDefault="00D81239" w:rsidP="00A27868">
            <w:pPr>
              <w:spacing w:line="240" w:lineRule="auto"/>
              <w:rPr>
                <w:rFonts w:eastAsia="Calibri" w:cs="Times New Roman"/>
              </w:rPr>
            </w:pPr>
            <w:r w:rsidRPr="00F66D4D">
              <w:rPr>
                <w:rFonts w:eastAsia="Calibri" w:cs="Times New Roman"/>
              </w:rPr>
              <w:t>Strategy</w:t>
            </w:r>
          </w:p>
        </w:tc>
        <w:tc>
          <w:tcPr>
            <w:tcW w:w="2886" w:type="dxa"/>
          </w:tcPr>
          <w:p w14:paraId="2F8100AD" w14:textId="77777777" w:rsidR="00D81239" w:rsidRPr="00F66D4D" w:rsidRDefault="00D81239" w:rsidP="00A27868">
            <w:pPr>
              <w:spacing w:line="240" w:lineRule="auto"/>
              <w:rPr>
                <w:rFonts w:eastAsia="Calibri" w:cs="Times New Roman"/>
              </w:rPr>
            </w:pPr>
            <w:r w:rsidRPr="00F66D4D">
              <w:rPr>
                <w:rFonts w:eastAsia="Calibri" w:cs="Times New Roman"/>
              </w:rPr>
              <w:t>Details</w:t>
            </w:r>
          </w:p>
        </w:tc>
      </w:tr>
      <w:tr w:rsidR="00D81239" w:rsidRPr="00F66D4D" w14:paraId="250BB044" w14:textId="77777777" w:rsidTr="00791CA6">
        <w:tc>
          <w:tcPr>
            <w:tcW w:w="1280" w:type="dxa"/>
          </w:tcPr>
          <w:p w14:paraId="41D62C06" w14:textId="30AB9116" w:rsidR="00D81239" w:rsidRPr="00F66D4D" w:rsidRDefault="00D81239" w:rsidP="0076576E">
            <w:pPr>
              <w:spacing w:line="240" w:lineRule="auto"/>
              <w:rPr>
                <w:rFonts w:eastAsia="Calibri" w:cs="Times New Roman"/>
              </w:rPr>
            </w:pPr>
            <w:r w:rsidRPr="00F66D4D">
              <w:rPr>
                <w:rFonts w:eastAsia="Calibri" w:cs="Times New Roman"/>
              </w:rPr>
              <w:t>Belay</w:t>
            </w:r>
            <w:r w:rsidR="00C85200">
              <w:rPr>
                <w:rFonts w:eastAsia="Calibri" w:cs="Times New Roman"/>
              </w:rPr>
              <w:t xml:space="preserve"> </w:t>
            </w:r>
            <w:r w:rsidR="00B301D6" w:rsidRPr="00B301D6">
              <w:rPr>
                <w:rFonts w:eastAsia="Calibri" w:cs="Times New Roman"/>
                <w:i/>
              </w:rPr>
              <w:t>et al</w:t>
            </w:r>
            <w:r w:rsidR="00C85200">
              <w:rPr>
                <w:rFonts w:eastAsia="Calibri" w:cs="Times New Roman"/>
              </w:rPr>
              <w:t xml:space="preserve"> (</w:t>
            </w:r>
            <w:r w:rsidRPr="00F66D4D">
              <w:rPr>
                <w:rFonts w:eastAsia="Calibri" w:cs="Times New Roman"/>
              </w:rPr>
              <w:t>2013</w:t>
            </w:r>
            <w:r w:rsidR="00C85200">
              <w:rPr>
                <w:rFonts w:eastAsia="Calibri" w:cs="Times New Roman"/>
              </w:rPr>
              <w:t>)</w:t>
            </w:r>
            <w:r w:rsidR="00340971">
              <w:rPr>
                <w:rFonts w:eastAsia="Calibri" w:cs="Times New Roma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40971">
              <w:rPr>
                <w:rFonts w:eastAsia="Calibri" w:cs="Times New Roman"/>
              </w:rPr>
            </w:r>
            <w:r w:rsidR="00340971">
              <w:rPr>
                <w:rFonts w:eastAsia="Calibri" w:cs="Times New Roman"/>
              </w:rPr>
              <w:fldChar w:fldCharType="separate"/>
            </w:r>
            <w:r w:rsidR="0076576E" w:rsidRPr="0076576E">
              <w:rPr>
                <w:rFonts w:eastAsia="Calibri" w:cs="Times New Roman"/>
                <w:noProof/>
                <w:vertAlign w:val="superscript"/>
              </w:rPr>
              <w:t>115</w:t>
            </w:r>
            <w:r w:rsidR="00340971">
              <w:rPr>
                <w:rFonts w:eastAsia="Calibri" w:cs="Times New Roman"/>
              </w:rPr>
              <w:fldChar w:fldCharType="end"/>
            </w:r>
          </w:p>
        </w:tc>
        <w:tc>
          <w:tcPr>
            <w:tcW w:w="996" w:type="dxa"/>
          </w:tcPr>
          <w:p w14:paraId="5063C78F" w14:textId="77777777" w:rsidR="00D81239" w:rsidRPr="00F66D4D" w:rsidRDefault="00D81239" w:rsidP="00A27868">
            <w:pPr>
              <w:spacing w:line="240" w:lineRule="auto"/>
              <w:rPr>
                <w:rFonts w:eastAsia="Calibri" w:cs="Times New Roman"/>
              </w:rPr>
            </w:pPr>
            <w:r w:rsidRPr="00F66D4D">
              <w:rPr>
                <w:rFonts w:eastAsia="Calibri" w:cs="Times New Roman"/>
              </w:rPr>
              <w:t>USA</w:t>
            </w:r>
          </w:p>
        </w:tc>
        <w:tc>
          <w:tcPr>
            <w:tcW w:w="845" w:type="dxa"/>
          </w:tcPr>
          <w:p w14:paraId="1EEBA094" w14:textId="77777777" w:rsidR="00D81239" w:rsidRPr="00F66D4D" w:rsidRDefault="00D81239" w:rsidP="00A27868">
            <w:pPr>
              <w:spacing w:line="240" w:lineRule="auto"/>
              <w:rPr>
                <w:rFonts w:eastAsia="Calibri" w:cs="Times New Roman"/>
              </w:rPr>
            </w:pPr>
            <w:r w:rsidRPr="00F66D4D">
              <w:rPr>
                <w:rFonts w:eastAsia="Calibri" w:cs="Times New Roman"/>
              </w:rPr>
              <w:t>1998-2012</w:t>
            </w:r>
          </w:p>
        </w:tc>
        <w:tc>
          <w:tcPr>
            <w:tcW w:w="1463" w:type="dxa"/>
          </w:tcPr>
          <w:p w14:paraId="507C0942" w14:textId="4CED40CD" w:rsidR="00D81239" w:rsidRPr="00F66D4D" w:rsidRDefault="00D81239" w:rsidP="00A27868">
            <w:pPr>
              <w:autoSpaceDE w:val="0"/>
              <w:autoSpaceDN w:val="0"/>
              <w:adjustRightInd w:val="0"/>
              <w:spacing w:line="240" w:lineRule="auto"/>
              <w:rPr>
                <w:rFonts w:eastAsia="Calibri" w:cs="Times New Roman"/>
              </w:rPr>
            </w:pPr>
            <w:r w:rsidRPr="00F66D4D">
              <w:rPr>
                <w:rFonts w:eastAsia="Calibri" w:cs="Times New Roman"/>
              </w:rPr>
              <w:t>Audit and evaluation</w:t>
            </w:r>
            <w:r>
              <w:rPr>
                <w:rFonts w:eastAsia="Calibri" w:cs="Times New Roman"/>
              </w:rPr>
              <w:t xml:space="preserve"> of n</w:t>
            </w:r>
            <w:r w:rsidRPr="00F66D4D">
              <w:rPr>
                <w:rFonts w:eastAsia="Calibri" w:cs="Times New Roman"/>
              </w:rPr>
              <w:t>eurosurgery performed on CJD patients</w:t>
            </w:r>
          </w:p>
        </w:tc>
        <w:tc>
          <w:tcPr>
            <w:tcW w:w="1597" w:type="dxa"/>
          </w:tcPr>
          <w:p w14:paraId="4ECC8EDB" w14:textId="77777777" w:rsidR="00D81239" w:rsidRPr="00F66D4D" w:rsidRDefault="00D81239" w:rsidP="00A27868">
            <w:pPr>
              <w:spacing w:line="240" w:lineRule="auto"/>
              <w:rPr>
                <w:rFonts w:eastAsia="Calibri" w:cs="Times New Roman"/>
              </w:rPr>
            </w:pPr>
            <w:r w:rsidRPr="00F66D4D">
              <w:rPr>
                <w:rFonts w:eastAsia="Calibri" w:cs="Times New Roman"/>
              </w:rPr>
              <w:t>None</w:t>
            </w:r>
          </w:p>
        </w:tc>
        <w:tc>
          <w:tcPr>
            <w:tcW w:w="2886" w:type="dxa"/>
          </w:tcPr>
          <w:p w14:paraId="18913783" w14:textId="77777777" w:rsidR="00D81239" w:rsidRPr="00F66D4D" w:rsidRDefault="00D81239" w:rsidP="00A27868">
            <w:pPr>
              <w:autoSpaceDE w:val="0"/>
              <w:autoSpaceDN w:val="0"/>
              <w:adjustRightInd w:val="0"/>
              <w:spacing w:line="240" w:lineRule="auto"/>
              <w:rPr>
                <w:rFonts w:eastAsia="Calibri" w:cs="Times New Roman"/>
              </w:rPr>
            </w:pPr>
            <w:r w:rsidRPr="00F66D4D">
              <w:rPr>
                <w:rFonts w:eastAsia="Calibri" w:cs="Times New Roman"/>
              </w:rPr>
              <w:t xml:space="preserve">An audit of the ability of specified centres to identify particular instruments and sets. </w:t>
            </w:r>
          </w:p>
          <w:p w14:paraId="160B48CD" w14:textId="77777777" w:rsidR="00D81239" w:rsidRPr="00F66D4D" w:rsidRDefault="00D81239" w:rsidP="00A27868">
            <w:pPr>
              <w:autoSpaceDE w:val="0"/>
              <w:autoSpaceDN w:val="0"/>
              <w:adjustRightInd w:val="0"/>
              <w:spacing w:line="240" w:lineRule="auto"/>
              <w:rPr>
                <w:rFonts w:eastAsia="Calibri" w:cs="Times New Roman"/>
              </w:rPr>
            </w:pPr>
          </w:p>
          <w:p w14:paraId="49F49A64" w14:textId="77777777" w:rsidR="00D81239" w:rsidRPr="00F66D4D" w:rsidRDefault="00D81239" w:rsidP="00A27868">
            <w:pPr>
              <w:autoSpaceDE w:val="0"/>
              <w:autoSpaceDN w:val="0"/>
              <w:adjustRightInd w:val="0"/>
              <w:spacing w:line="240" w:lineRule="auto"/>
              <w:rPr>
                <w:rFonts w:eastAsia="Calibri" w:cs="Times New Roman"/>
              </w:rPr>
            </w:pPr>
            <w:r w:rsidRPr="00F66D4D">
              <w:rPr>
                <w:rFonts w:eastAsia="Calibri" w:cs="Times New Roman"/>
              </w:rPr>
              <w:t>The study provides limited quantitative evidence on sets and set-splitting.</w:t>
            </w:r>
          </w:p>
          <w:p w14:paraId="47D3D7D4" w14:textId="77777777" w:rsidR="00D81239" w:rsidRPr="00F66D4D" w:rsidRDefault="00D81239" w:rsidP="00A27868">
            <w:pPr>
              <w:autoSpaceDE w:val="0"/>
              <w:autoSpaceDN w:val="0"/>
              <w:adjustRightInd w:val="0"/>
              <w:spacing w:line="240" w:lineRule="auto"/>
              <w:rPr>
                <w:rFonts w:eastAsia="Calibri" w:cs="Times New Roman"/>
              </w:rPr>
            </w:pPr>
          </w:p>
        </w:tc>
      </w:tr>
      <w:tr w:rsidR="00D81239" w:rsidRPr="00F66D4D" w14:paraId="72959DB3" w14:textId="77777777" w:rsidTr="00791CA6">
        <w:tc>
          <w:tcPr>
            <w:tcW w:w="1280" w:type="dxa"/>
          </w:tcPr>
          <w:p w14:paraId="4C75E8C9" w14:textId="2B42AE59" w:rsidR="00D81239" w:rsidRPr="00F66D4D" w:rsidRDefault="00D81239" w:rsidP="0076576E">
            <w:pPr>
              <w:spacing w:line="240" w:lineRule="auto"/>
              <w:rPr>
                <w:rFonts w:eastAsia="Calibri" w:cs="Times New Roman"/>
              </w:rPr>
            </w:pPr>
            <w:r w:rsidRPr="00F66D4D">
              <w:rPr>
                <w:rFonts w:eastAsia="Calibri" w:cs="Times New Roman"/>
              </w:rPr>
              <w:t>NICE 2016</w:t>
            </w:r>
            <w:r w:rsidR="00A459C5">
              <w:rPr>
                <w:rFonts w:eastAsia="Calibri" w:cs="Times New Roman"/>
              </w:rPr>
              <w:fldChar w:fldCharType="begin"/>
            </w:r>
            <w:r w:rsidR="0076576E">
              <w:rPr>
                <w:rFonts w:eastAsia="Calibri" w:cs="Times New Roman"/>
              </w:rPr>
              <w:instrText xml:space="preserve"> ADDIN EN.CITE &lt;EndNote&gt;&lt;Cite&gt;&lt;Author&gt;National Institute for Health and Care Excellence&lt;/Author&gt;&lt;Year&gt;2016&lt;/Year&gt;&lt;RecNum&gt;10286&lt;/RecNum&gt;&lt;DisplayText&gt;&lt;style face="superscript"&gt;205&lt;/style&gt;&lt;/DisplayText&gt;&lt;record&gt;&lt;rec-number&gt;10286&lt;/rec-number&gt;&lt;foreign-keys&gt;&lt;key app="EN" db-id="vrp0pptazv05wtesfz5vrzsj2p0rv09ttsa9" timestamp="1532342324" guid="b441d95a-4971-43c7-9fc2-d27eea25181f"&gt;10286&lt;/key&gt;&lt;/foreign-keys&gt;&lt;ref-type name="Journal Article"&gt;17&lt;/ref-type&gt;&lt;contributors&gt;&lt;authors&gt;&lt;author&gt;National Institute for Health and Care Excellence,&lt;/author&gt;&lt;/authors&gt;&lt;/contributors&gt;&lt;titles&gt;&lt;title&gt;Adoption and Impact Programme. IPG196 Adoption Scoping Report&lt;/title&gt;&lt;/titles&gt;&lt;keywords&gt;&lt;keyword&gt;$$CC_6_instrument set keeping&lt;/keyword&gt;&lt;keyword&gt;$$Background&lt;/keyword&gt;&lt;keyword&gt;$$7_single use vs reusable&lt;/keyword&gt;&lt;keyword&gt;$$Committee recommended&lt;/keyword&gt;&lt;/keywords&gt;&lt;dates&gt;&lt;year&gt;2016&lt;/year&gt;&lt;/dates&gt;&lt;urls&gt;&lt;/urls&gt;&lt;/record&gt;&lt;/Cite&gt;&lt;/EndNote&gt;</w:instrText>
            </w:r>
            <w:r w:rsidR="00A459C5">
              <w:rPr>
                <w:rFonts w:eastAsia="Calibri" w:cs="Times New Roman"/>
              </w:rPr>
              <w:fldChar w:fldCharType="separate"/>
            </w:r>
            <w:r w:rsidR="0076576E" w:rsidRPr="0076576E">
              <w:rPr>
                <w:rFonts w:eastAsia="Calibri" w:cs="Times New Roman"/>
                <w:noProof/>
                <w:vertAlign w:val="superscript"/>
              </w:rPr>
              <w:t>205</w:t>
            </w:r>
            <w:r w:rsidR="00A459C5">
              <w:rPr>
                <w:rFonts w:eastAsia="Calibri" w:cs="Times New Roman"/>
              </w:rPr>
              <w:fldChar w:fldCharType="end"/>
            </w:r>
          </w:p>
        </w:tc>
        <w:tc>
          <w:tcPr>
            <w:tcW w:w="996" w:type="dxa"/>
          </w:tcPr>
          <w:p w14:paraId="627036D1" w14:textId="77777777" w:rsidR="00D81239" w:rsidRPr="00F66D4D" w:rsidRDefault="00D81239" w:rsidP="00A27868">
            <w:pPr>
              <w:spacing w:line="240" w:lineRule="auto"/>
              <w:rPr>
                <w:rFonts w:eastAsia="Calibri" w:cs="Times New Roman"/>
              </w:rPr>
            </w:pPr>
            <w:r w:rsidRPr="00F66D4D">
              <w:rPr>
                <w:rFonts w:eastAsia="Calibri" w:cs="Times New Roman"/>
              </w:rPr>
              <w:t>England</w:t>
            </w:r>
          </w:p>
        </w:tc>
        <w:tc>
          <w:tcPr>
            <w:tcW w:w="845" w:type="dxa"/>
          </w:tcPr>
          <w:p w14:paraId="05F3DAED" w14:textId="77777777" w:rsidR="00D81239" w:rsidRPr="00F66D4D" w:rsidRDefault="00D81239" w:rsidP="00A27868">
            <w:pPr>
              <w:spacing w:line="240" w:lineRule="auto"/>
              <w:rPr>
                <w:rFonts w:eastAsia="Calibri" w:cs="Times New Roman"/>
              </w:rPr>
            </w:pPr>
            <w:r w:rsidRPr="00F66D4D">
              <w:rPr>
                <w:rFonts w:eastAsia="Calibri" w:cs="Times New Roman"/>
              </w:rPr>
              <w:t>NR</w:t>
            </w:r>
          </w:p>
        </w:tc>
        <w:tc>
          <w:tcPr>
            <w:tcW w:w="1463" w:type="dxa"/>
          </w:tcPr>
          <w:p w14:paraId="77227842" w14:textId="1F7E1BDE" w:rsidR="00D81239" w:rsidRPr="00F66D4D" w:rsidRDefault="00D81239" w:rsidP="00A27868">
            <w:pPr>
              <w:autoSpaceDE w:val="0"/>
              <w:autoSpaceDN w:val="0"/>
              <w:adjustRightInd w:val="0"/>
              <w:spacing w:line="240" w:lineRule="auto"/>
              <w:rPr>
                <w:rFonts w:eastAsia="Calibri" w:cs="Times New Roman"/>
              </w:rPr>
            </w:pPr>
            <w:r w:rsidRPr="00F66D4D">
              <w:rPr>
                <w:rFonts w:eastAsia="Calibri" w:cs="Times New Roman"/>
              </w:rPr>
              <w:t>Qualitative and observational: interviews and a single site visit</w:t>
            </w:r>
            <w:r>
              <w:rPr>
                <w:rFonts w:eastAsia="Calibri" w:cs="Times New Roman"/>
              </w:rPr>
              <w:t xml:space="preserve"> for n</w:t>
            </w:r>
            <w:r w:rsidRPr="00F66D4D">
              <w:rPr>
                <w:rFonts w:eastAsia="Calibri" w:cs="Times New Roman"/>
              </w:rPr>
              <w:t>eurosurgery</w:t>
            </w:r>
          </w:p>
        </w:tc>
        <w:tc>
          <w:tcPr>
            <w:tcW w:w="1597" w:type="dxa"/>
          </w:tcPr>
          <w:p w14:paraId="59610B03" w14:textId="77777777" w:rsidR="00D81239" w:rsidRPr="00F66D4D" w:rsidRDefault="00D81239" w:rsidP="00A27868">
            <w:pPr>
              <w:spacing w:line="240" w:lineRule="auto"/>
              <w:rPr>
                <w:rFonts w:eastAsia="Calibri" w:cs="Times New Roman"/>
              </w:rPr>
            </w:pPr>
            <w:r w:rsidRPr="00F66D4D">
              <w:rPr>
                <w:rFonts w:eastAsia="Calibri" w:cs="Times New Roman"/>
              </w:rPr>
              <w:t>The implementation of guidance on maintaining set integrity</w:t>
            </w:r>
          </w:p>
        </w:tc>
        <w:tc>
          <w:tcPr>
            <w:tcW w:w="2886" w:type="dxa"/>
          </w:tcPr>
          <w:p w14:paraId="7AF04AF4" w14:textId="77777777" w:rsidR="00D81239" w:rsidRPr="00F66D4D" w:rsidRDefault="00D81239" w:rsidP="00A27868">
            <w:pPr>
              <w:autoSpaceDE w:val="0"/>
              <w:autoSpaceDN w:val="0"/>
              <w:adjustRightInd w:val="0"/>
              <w:spacing w:line="240" w:lineRule="auto"/>
              <w:rPr>
                <w:rFonts w:eastAsia="Calibri" w:cs="Times New Roman"/>
              </w:rPr>
            </w:pPr>
            <w:r w:rsidRPr="00F66D4D">
              <w:rPr>
                <w:rFonts w:eastAsia="Calibri" w:cs="Times New Roman"/>
              </w:rPr>
              <w:t xml:space="preserve">Qualitative evidence on the barriers to achieving or maintaining set integrity. </w:t>
            </w:r>
          </w:p>
          <w:p w14:paraId="6F786847" w14:textId="77777777" w:rsidR="00D81239" w:rsidRPr="00F66D4D" w:rsidRDefault="00D81239" w:rsidP="00A27868">
            <w:pPr>
              <w:autoSpaceDE w:val="0"/>
              <w:autoSpaceDN w:val="0"/>
              <w:adjustRightInd w:val="0"/>
              <w:spacing w:line="240" w:lineRule="auto"/>
              <w:rPr>
                <w:rFonts w:eastAsia="Calibri" w:cs="Times New Roman"/>
              </w:rPr>
            </w:pPr>
          </w:p>
          <w:p w14:paraId="79454C86" w14:textId="77777777" w:rsidR="00D81239" w:rsidRPr="00F66D4D" w:rsidRDefault="00D81239" w:rsidP="00A27868">
            <w:pPr>
              <w:autoSpaceDE w:val="0"/>
              <w:autoSpaceDN w:val="0"/>
              <w:adjustRightInd w:val="0"/>
              <w:spacing w:line="240" w:lineRule="auto"/>
              <w:rPr>
                <w:rFonts w:eastAsia="Calibri" w:cs="Times New Roman"/>
              </w:rPr>
            </w:pPr>
            <w:r w:rsidRPr="00F66D4D">
              <w:rPr>
                <w:rFonts w:eastAsia="Calibri" w:cs="Times New Roman"/>
              </w:rPr>
              <w:t>The study provides limited qualitative evidence on sets and set-splitting.</w:t>
            </w:r>
          </w:p>
        </w:tc>
      </w:tr>
    </w:tbl>
    <w:p w14:paraId="70CFC0F4" w14:textId="77777777" w:rsidR="00F66D4D" w:rsidRPr="00F66D4D" w:rsidRDefault="00F66D4D" w:rsidP="00F66D4D">
      <w:pPr>
        <w:spacing w:after="200" w:line="276" w:lineRule="auto"/>
        <w:jc w:val="both"/>
        <w:rPr>
          <w:rFonts w:eastAsia="Calibri" w:cs="Times New Roman"/>
        </w:rPr>
      </w:pPr>
    </w:p>
    <w:p w14:paraId="098955F2" w14:textId="50132E11" w:rsidR="00F66D4D" w:rsidRPr="00B77DB4" w:rsidRDefault="00F66D4D" w:rsidP="00690541">
      <w:pPr>
        <w:jc w:val="both"/>
        <w:rPr>
          <w:b/>
          <w:iCs/>
          <w:szCs w:val="18"/>
        </w:rPr>
      </w:pPr>
      <w:r w:rsidRPr="00F66D4D">
        <w:rPr>
          <w:rFonts w:eastAsia="Calibri" w:cs="Times New Roman"/>
          <w:lang w:val="en"/>
        </w:rPr>
        <w:t>Only two studies were identified that provided any evidence on whether instruments for high-risk procedures remain in their original sets (</w:t>
      </w:r>
      <w:r w:rsidR="00104F87" w:rsidRPr="00F66D4D">
        <w:rPr>
          <w:rFonts w:eastAsia="Calibri" w:cs="Times New Roman"/>
        </w:rPr>
        <w:t>Belay</w:t>
      </w:r>
      <w:r w:rsidR="00104F87">
        <w:rPr>
          <w:rFonts w:eastAsia="Calibri" w:cs="Times New Roman"/>
        </w:rPr>
        <w:t xml:space="preserve"> </w:t>
      </w:r>
      <w:r w:rsidR="00B301D6" w:rsidRPr="00B301D6">
        <w:rPr>
          <w:rFonts w:eastAsia="Calibri" w:cs="Times New Roman"/>
          <w:i/>
        </w:rPr>
        <w:t>et al</w:t>
      </w:r>
      <w:r w:rsidR="00104F87">
        <w:rPr>
          <w:rFonts w:eastAsia="Calibri" w:cs="Times New Roman"/>
        </w:rPr>
        <w:t xml:space="preserve"> (</w:t>
      </w:r>
      <w:r w:rsidR="00104F87" w:rsidRPr="00F66D4D">
        <w:rPr>
          <w:rFonts w:eastAsia="Calibri" w:cs="Times New Roman"/>
        </w:rPr>
        <w:t>2013</w:t>
      </w:r>
      <w:r w:rsidR="00104F87">
        <w:rPr>
          <w:rFonts w:eastAsia="Calibri" w:cs="Times New Roman"/>
        </w:rPr>
        <w:t>)</w:t>
      </w:r>
      <w:r w:rsidR="00340971">
        <w:rPr>
          <w:rFonts w:eastAsia="Calibri" w:cs="Times New Roma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40971">
        <w:rPr>
          <w:rFonts w:eastAsia="Calibri" w:cs="Times New Roman"/>
        </w:rPr>
      </w:r>
      <w:r w:rsidR="00340971">
        <w:rPr>
          <w:rFonts w:eastAsia="Calibri" w:cs="Times New Roman"/>
        </w:rPr>
        <w:fldChar w:fldCharType="separate"/>
      </w:r>
      <w:r w:rsidR="0076576E" w:rsidRPr="0076576E">
        <w:rPr>
          <w:rFonts w:eastAsia="Calibri" w:cs="Times New Roman"/>
          <w:noProof/>
          <w:vertAlign w:val="superscript"/>
        </w:rPr>
        <w:t>115</w:t>
      </w:r>
      <w:r w:rsidR="00340971">
        <w:rPr>
          <w:rFonts w:eastAsia="Calibri" w:cs="Times New Roman"/>
        </w:rPr>
        <w:fldChar w:fldCharType="end"/>
      </w:r>
      <w:r w:rsidRPr="00F66D4D">
        <w:rPr>
          <w:rFonts w:eastAsia="Calibri" w:cs="Times New Roman"/>
          <w:lang w:val="en"/>
        </w:rPr>
        <w:t>, NICE 2016)</w:t>
      </w:r>
      <w:r w:rsidR="00A7277A">
        <w:rPr>
          <w:rFonts w:eastAsia="Calibri" w:cs="Times New Roman"/>
          <w:lang w:val="en"/>
        </w:rPr>
        <w:t>.</w:t>
      </w:r>
      <w:r w:rsidR="005E091E">
        <w:rPr>
          <w:rFonts w:eastAsia="Calibri" w:cs="Times New Roman"/>
        </w:rPr>
        <w:fldChar w:fldCharType="begin"/>
      </w:r>
      <w:r w:rsidR="0076576E">
        <w:rPr>
          <w:rFonts w:eastAsia="Calibri" w:cs="Times New Roman"/>
        </w:rPr>
        <w:instrText xml:space="preserve"> ADDIN EN.CITE &lt;EndNote&gt;&lt;Cite&gt;&lt;Author&gt;National Institute for Health and Care Excellence&lt;/Author&gt;&lt;Year&gt;2016&lt;/Year&gt;&lt;RecNum&gt;10286&lt;/RecNum&gt;&lt;DisplayText&gt;&lt;style face="superscript"&gt;205&lt;/style&gt;&lt;/DisplayText&gt;&lt;record&gt;&lt;rec-number&gt;10286&lt;/rec-number&gt;&lt;foreign-keys&gt;&lt;key app="EN" db-id="vrp0pptazv05wtesfz5vrzsj2p0rv09ttsa9" timestamp="1532342324" guid="b441d95a-4971-43c7-9fc2-d27eea25181f"&gt;10286&lt;/key&gt;&lt;/foreign-keys&gt;&lt;ref-type name="Journal Article"&gt;17&lt;/ref-type&gt;&lt;contributors&gt;&lt;authors&gt;&lt;author&gt;National Institute for Health and Care Excellence,&lt;/author&gt;&lt;/authors&gt;&lt;/contributors&gt;&lt;titles&gt;&lt;title&gt;Adoption and Impact Programme. IPG196 Adoption Scoping Report&lt;/title&gt;&lt;/titles&gt;&lt;keywords&gt;&lt;keyword&gt;$$CC_6_instrument set keeping&lt;/keyword&gt;&lt;keyword&gt;$$Background&lt;/keyword&gt;&lt;keyword&gt;$$7_single use vs reusable&lt;/keyword&gt;&lt;keyword&gt;$$Committee recommended&lt;/keyword&gt;&lt;/keywords&gt;&lt;dates&gt;&lt;year&gt;2016&lt;/year&gt;&lt;/dates&gt;&lt;urls&gt;&lt;/urls&gt;&lt;/record&gt;&lt;/Cite&gt;&lt;/EndNote&gt;</w:instrText>
      </w:r>
      <w:r w:rsidR="005E091E">
        <w:rPr>
          <w:rFonts w:eastAsia="Calibri" w:cs="Times New Roman"/>
        </w:rPr>
        <w:fldChar w:fldCharType="separate"/>
      </w:r>
      <w:r w:rsidR="0076576E" w:rsidRPr="0076576E">
        <w:rPr>
          <w:rFonts w:eastAsia="Calibri" w:cs="Times New Roman"/>
          <w:noProof/>
          <w:vertAlign w:val="superscript"/>
        </w:rPr>
        <w:t>205</w:t>
      </w:r>
      <w:r w:rsidR="005E091E">
        <w:rPr>
          <w:rFonts w:eastAsia="Calibri" w:cs="Times New Roman"/>
        </w:rPr>
        <w:fldChar w:fldCharType="end"/>
      </w:r>
      <w:r w:rsidRPr="00F66D4D">
        <w:rPr>
          <w:rFonts w:eastAsia="Calibri" w:cs="Times New Roman"/>
          <w:lang w:val="en"/>
        </w:rPr>
        <w:t xml:space="preserve"> In 2013, an article was published by </w:t>
      </w:r>
      <w:r w:rsidR="00104F87" w:rsidRPr="00F66D4D">
        <w:rPr>
          <w:rFonts w:eastAsia="Calibri" w:cs="Times New Roman"/>
        </w:rPr>
        <w:t>Belay</w:t>
      </w:r>
      <w:r w:rsidR="00104F87">
        <w:rPr>
          <w:rFonts w:eastAsia="Calibri" w:cs="Times New Roman"/>
        </w:rPr>
        <w:t xml:space="preserve"> </w:t>
      </w:r>
      <w:r w:rsidR="00B301D6" w:rsidRPr="00B301D6">
        <w:rPr>
          <w:rFonts w:eastAsia="Calibri" w:cs="Times New Roman"/>
          <w:i/>
        </w:rPr>
        <w:t>et al</w:t>
      </w:r>
      <w:r w:rsidR="00104F87">
        <w:rPr>
          <w:rFonts w:eastAsia="Calibri" w:cs="Times New Roman"/>
        </w:rPr>
        <w:t xml:space="preserve"> (</w:t>
      </w:r>
      <w:r w:rsidR="00104F87" w:rsidRPr="00F66D4D">
        <w:rPr>
          <w:rFonts w:eastAsia="Calibri" w:cs="Times New Roman"/>
        </w:rPr>
        <w:t>2013</w:t>
      </w:r>
      <w:r w:rsidR="00104F87">
        <w:rPr>
          <w:rFonts w:eastAsia="Calibri" w:cs="Times New Roman"/>
        </w:rPr>
        <w:t>)</w:t>
      </w:r>
      <w:r w:rsidR="00340971">
        <w:rPr>
          <w:rFonts w:eastAsia="Calibri" w:cs="Times New Roma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40971">
        <w:rPr>
          <w:rFonts w:eastAsia="Calibri" w:cs="Times New Roman"/>
        </w:rPr>
      </w:r>
      <w:r w:rsidR="00340971">
        <w:rPr>
          <w:rFonts w:eastAsia="Calibri" w:cs="Times New Roman"/>
        </w:rPr>
        <w:fldChar w:fldCharType="separate"/>
      </w:r>
      <w:r w:rsidR="0076576E" w:rsidRPr="0076576E">
        <w:rPr>
          <w:rFonts w:eastAsia="Calibri" w:cs="Times New Roman"/>
          <w:noProof/>
          <w:vertAlign w:val="superscript"/>
        </w:rPr>
        <w:t>115</w:t>
      </w:r>
      <w:r w:rsidR="00340971">
        <w:rPr>
          <w:rFonts w:eastAsia="Calibri" w:cs="Times New Roman"/>
        </w:rPr>
        <w:fldChar w:fldCharType="end"/>
      </w:r>
      <w:r w:rsidR="00104F87">
        <w:rPr>
          <w:rFonts w:eastAsia="Calibri" w:cs="Times New Roman"/>
        </w:rPr>
        <w:t xml:space="preserve"> </w:t>
      </w:r>
      <w:r w:rsidRPr="00F66D4D">
        <w:rPr>
          <w:rFonts w:eastAsia="Calibri" w:cs="Times New Roman"/>
          <w:lang w:val="en"/>
        </w:rPr>
        <w:t xml:space="preserve">reporting an audit to identify instruments and sets of instruments that might have been used on patients known to have CJD. The sample was limited to CJD cases from US hospitals and reported to the US Center for Disease Control and Prevention (CDC). The aim of the audit was to identify patients who subsequently underwent neurosurgery with the same instruments or sets. There was no reported strategy in place to maintain or to evaluate set integrity. The audit reported that a single hospital could have between one and 12 sets of instruments for neurosurgery; that 12 of the 19 affected hospitals had multiple sets; and in 11 of these 12 hospitals those sets used on a CJD patient could not be identified (see </w:t>
      </w:r>
      <w:r>
        <w:rPr>
          <w:rFonts w:eastAsia="Calibri" w:cs="Times New Roman"/>
          <w:lang w:val="en"/>
        </w:rPr>
        <w:fldChar w:fldCharType="begin"/>
      </w:r>
      <w:r>
        <w:rPr>
          <w:rFonts w:eastAsia="Calibri" w:cs="Times New Roman"/>
          <w:lang w:val="en"/>
        </w:rPr>
        <w:instrText xml:space="preserve"> REF _Ref508887268 \h </w:instrText>
      </w:r>
      <w:r w:rsidR="00690541">
        <w:rPr>
          <w:rFonts w:eastAsia="Calibri" w:cs="Times New Roman"/>
          <w:lang w:val="en"/>
        </w:rPr>
        <w:instrText xml:space="preserve"> \* MERGEFORMAT </w:instrText>
      </w:r>
      <w:r>
        <w:rPr>
          <w:rFonts w:eastAsia="Calibri" w:cs="Times New Roman"/>
          <w:lang w:val="en"/>
        </w:rPr>
      </w:r>
      <w:r>
        <w:rPr>
          <w:rFonts w:eastAsia="Calibri" w:cs="Times New Roman"/>
          <w:lang w:val="en"/>
        </w:rPr>
        <w:fldChar w:fldCharType="separate"/>
      </w:r>
      <w:r w:rsidR="00690541">
        <w:t xml:space="preserve">Table </w:t>
      </w:r>
      <w:r w:rsidR="00690541">
        <w:rPr>
          <w:noProof/>
        </w:rPr>
        <w:t>21</w:t>
      </w:r>
      <w:r>
        <w:rPr>
          <w:rFonts w:eastAsia="Calibri" w:cs="Times New Roman"/>
          <w:lang w:val="en"/>
        </w:rPr>
        <w:fldChar w:fldCharType="end"/>
      </w:r>
      <w:r w:rsidRPr="00F66D4D">
        <w:rPr>
          <w:rFonts w:eastAsia="Calibri" w:cs="Times New Roman"/>
          <w:lang w:val="en"/>
        </w:rPr>
        <w:t>).</w:t>
      </w:r>
    </w:p>
    <w:p w14:paraId="06567E42" w14:textId="77777777" w:rsidR="0093622F" w:rsidRDefault="0093622F" w:rsidP="00690541">
      <w:pPr>
        <w:jc w:val="both"/>
        <w:rPr>
          <w:rFonts w:eastAsia="Calibri" w:cs="Times New Roman"/>
          <w:lang w:val="en"/>
        </w:rPr>
      </w:pPr>
    </w:p>
    <w:p w14:paraId="3F96727C" w14:textId="14244FB9" w:rsidR="0093622F" w:rsidRPr="00B77DB4" w:rsidRDefault="0093622F" w:rsidP="00690541">
      <w:pPr>
        <w:jc w:val="both"/>
        <w:rPr>
          <w:b/>
          <w:iCs/>
          <w:szCs w:val="18"/>
        </w:rPr>
      </w:pPr>
      <w:r w:rsidRPr="00F66D4D">
        <w:rPr>
          <w:rFonts w:eastAsia="Calibri" w:cs="Times New Roman"/>
          <w:lang w:val="en"/>
        </w:rPr>
        <w:t>The second study was an unpublished report produced for NICE in 2016. The aim of the study was to explore the barriers and facilitators affecting the implementation of NICE IPG196</w:t>
      </w:r>
      <w:r>
        <w:rPr>
          <w:rFonts w:eastAsia="Calibri" w:cs="Times New Roman"/>
          <w:lang w:val="en"/>
        </w:rPr>
        <w:fldChar w:fldCharType="begin"/>
      </w:r>
      <w:r w:rsidR="00892AF6">
        <w:rPr>
          <w:rFonts w:eastAsia="Calibri" w:cs="Times New Roman"/>
          <w:lang w:val="en"/>
        </w:rPr>
        <w:instrText xml:space="preserve"> ADDIN EN.CITE &lt;EndNote&gt;&lt;Cite&gt;&lt;Author&gt;National Institute for Health and Care Excellence&lt;/Author&gt;&lt;Year&gt;2008&lt;/Year&gt;&lt;RecNum&gt;10250&lt;/RecNum&gt;&lt;DisplayText&gt;&lt;style face="superscript"&gt;14&lt;/style&gt;&lt;/DisplayText&gt;&lt;record&gt;&lt;rec-number&gt;10250&lt;/rec-number&gt;&lt;foreign-keys&gt;&lt;key app="EN" db-id="vrp0pptazv05wtesfz5vrzsj2p0rv09ttsa9" timestamp="1520851583" guid="875b169c-6726-4f90-9c42-19ea7d5d9733"&gt;10250&lt;/key&gt;&lt;/foreign-keys&gt;&lt;ref-type name="Web Page"&gt;12&lt;/ref-type&gt;&lt;contributors&gt;&lt;authors&gt;&lt;author&gt;National Institute for Health and Care Excellence,&lt;/author&gt;&lt;/authors&gt;&lt;/contributors&gt;&lt;titles&gt;&lt;title&gt;NICE interventional procedure guidance 196. Patient safety and reduction of risk of transmission of Creutzfeldt–Jakob disease (CJD) via interventional procedures.&lt;/title&gt;&lt;/titles&gt;&lt;number&gt;02.02.2018&lt;/number&gt;&lt;dates&gt;&lt;year&gt;2008&lt;/year&gt;&lt;/dates&gt;&lt;urls&gt;&lt;related-urls&gt;&lt;url&gt;&lt;style face="underline" font="default" size="100%"&gt;https://www.nice.org.uk/guidance/ipg196/documents/ipg196-patient-safety-and-reduction-of-risk-of-transmission-of-creutzfeldtjakob-disease-cjd-via-interventional-procedures-guidance2&lt;/style&gt;&lt;/url&gt;&lt;/related-urls&gt;&lt;/urls&gt;&lt;/record&gt;&lt;/Cite&gt;&lt;/EndNote&gt;</w:instrText>
      </w:r>
      <w:r>
        <w:rPr>
          <w:rFonts w:eastAsia="Calibri" w:cs="Times New Roman"/>
          <w:lang w:val="en"/>
        </w:rPr>
        <w:fldChar w:fldCharType="separate"/>
      </w:r>
      <w:r w:rsidR="005C50C5" w:rsidRPr="005C50C5">
        <w:rPr>
          <w:rFonts w:eastAsia="Calibri" w:cs="Times New Roman"/>
          <w:noProof/>
          <w:vertAlign w:val="superscript"/>
          <w:lang w:val="en"/>
        </w:rPr>
        <w:t>14</w:t>
      </w:r>
      <w:r>
        <w:rPr>
          <w:rFonts w:eastAsia="Calibri" w:cs="Times New Roman"/>
          <w:lang w:val="en"/>
        </w:rPr>
        <w:fldChar w:fldCharType="end"/>
      </w:r>
      <w:r w:rsidRPr="00F66D4D">
        <w:rPr>
          <w:rFonts w:eastAsia="Calibri" w:cs="Times New Roman"/>
          <w:lang w:val="en"/>
        </w:rPr>
        <w:t xml:space="preserve"> on the surgical transmission of CJD. The document reported findings concerning the identification of at-risk patients and the acquisition of instruments, but also covered the principal perceived barriers to the implementation of the guidance on set integrity, which required keeping all instruments for neurosurgery within their designated sets or ‘kits’. The sample was limited to four NHS trusts in the UK. The report did not provide a detailed methodology for the study. Study participants (‘clinicians and other users’) reported multiple barriers to maintaining set integrity, i.e. guaranteeing that instruments did not migrate between sets</w:t>
      </w:r>
      <w:r>
        <w:rPr>
          <w:rFonts w:eastAsia="Calibri" w:cs="Times New Roman"/>
          <w:lang w:val="en"/>
        </w:rPr>
        <w:t>.</w:t>
      </w:r>
      <w:r w:rsidRPr="00F66D4D">
        <w:rPr>
          <w:rFonts w:eastAsia="Calibri" w:cs="Times New Roman"/>
          <w:lang w:val="en"/>
        </w:rPr>
        <w:t xml:space="preserve"> These </w:t>
      </w:r>
      <w:r>
        <w:rPr>
          <w:rFonts w:eastAsia="Calibri" w:cs="Times New Roman"/>
          <w:lang w:val="en"/>
        </w:rPr>
        <w:t>are detailed in</w:t>
      </w:r>
      <w:r w:rsidRPr="00F66D4D">
        <w:rPr>
          <w:rFonts w:eastAsia="Calibri" w:cs="Times New Roman"/>
          <w:lang w:val="en"/>
        </w:rPr>
        <w:t xml:space="preserve"> </w:t>
      </w:r>
      <w:r>
        <w:rPr>
          <w:rFonts w:eastAsia="Calibri" w:cs="Times New Roman"/>
          <w:lang w:val="en"/>
        </w:rPr>
        <w:fldChar w:fldCharType="begin"/>
      </w:r>
      <w:r>
        <w:rPr>
          <w:rFonts w:eastAsia="Calibri" w:cs="Times New Roman"/>
          <w:lang w:val="en"/>
        </w:rPr>
        <w:instrText xml:space="preserve"> REF _Ref508887268 \h </w:instrText>
      </w:r>
      <w:r>
        <w:rPr>
          <w:rFonts w:eastAsia="Calibri" w:cs="Times New Roman"/>
          <w:lang w:val="en"/>
        </w:rPr>
      </w:r>
      <w:r>
        <w:rPr>
          <w:rFonts w:eastAsia="Calibri" w:cs="Times New Roman"/>
          <w:lang w:val="en"/>
        </w:rPr>
        <w:fldChar w:fldCharType="separate"/>
      </w:r>
      <w:r w:rsidR="00690541">
        <w:t xml:space="preserve">Table </w:t>
      </w:r>
      <w:r w:rsidR="00690541">
        <w:rPr>
          <w:noProof/>
        </w:rPr>
        <w:t>21</w:t>
      </w:r>
      <w:r>
        <w:rPr>
          <w:rFonts w:eastAsia="Calibri" w:cs="Times New Roman"/>
          <w:lang w:val="en"/>
        </w:rPr>
        <w:fldChar w:fldCharType="end"/>
      </w:r>
      <w:r>
        <w:rPr>
          <w:rFonts w:eastAsia="Calibri" w:cs="Times New Roman"/>
          <w:lang w:val="en"/>
        </w:rPr>
        <w:t xml:space="preserve"> and</w:t>
      </w:r>
      <w:r w:rsidRPr="00F66D4D">
        <w:rPr>
          <w:rFonts w:eastAsia="Calibri" w:cs="Times New Roman"/>
          <w:lang w:val="en"/>
        </w:rPr>
        <w:t xml:space="preserve"> included</w:t>
      </w:r>
      <w:r>
        <w:rPr>
          <w:rFonts w:eastAsia="Calibri" w:cs="Times New Roman"/>
          <w:lang w:val="en"/>
        </w:rPr>
        <w:t>:</w:t>
      </w:r>
      <w:r w:rsidRPr="00F66D4D">
        <w:rPr>
          <w:rFonts w:eastAsia="Calibri" w:cs="Times New Roman"/>
          <w:lang w:val="en"/>
        </w:rPr>
        <w:t xml:space="preserve"> the absence of an adequate and reliable instrument tracking system; errors in scanning instruments that did have barcodes; the periodic inaccessibility of tracking systems</w:t>
      </w:r>
      <w:r>
        <w:rPr>
          <w:rFonts w:eastAsia="Calibri" w:cs="Times New Roman"/>
          <w:lang w:val="en"/>
        </w:rPr>
        <w:t>;</w:t>
      </w:r>
      <w:r w:rsidRPr="00F66D4D">
        <w:rPr>
          <w:rFonts w:eastAsia="Calibri" w:cs="Times New Roman"/>
          <w:lang w:val="en"/>
        </w:rPr>
        <w:t xml:space="preserve"> and their failure to be completely integrated with patient records. The study also reported, however, that set integrity had been improved in the sampled settings by stopping the use of supplementary instruments and the increased use of </w:t>
      </w:r>
      <w:r>
        <w:rPr>
          <w:rFonts w:eastAsia="Calibri" w:cs="Times New Roman"/>
          <w:lang w:val="en"/>
        </w:rPr>
        <w:t>single-use</w:t>
      </w:r>
      <w:r w:rsidRPr="00F66D4D">
        <w:rPr>
          <w:rFonts w:eastAsia="Calibri" w:cs="Times New Roman"/>
          <w:lang w:val="en"/>
        </w:rPr>
        <w:t xml:space="preserve"> instruments. It is important to note that the report provided no quantitative evidence on whether instruments for high-risk surgery remained in their sets, but given that participants reported many problems with identifying and tracking certain instruments, the migration of at least some instruments between neurosurgery sets </w:t>
      </w:r>
      <w:r w:rsidR="00F1300C">
        <w:rPr>
          <w:rFonts w:eastAsia="Calibri" w:cs="Times New Roman"/>
          <w:lang w:val="en"/>
        </w:rPr>
        <w:t>is</w:t>
      </w:r>
      <w:r w:rsidRPr="00F66D4D">
        <w:rPr>
          <w:rFonts w:eastAsia="Calibri" w:cs="Times New Roman"/>
          <w:lang w:val="en"/>
        </w:rPr>
        <w:t xml:space="preserve"> </w:t>
      </w:r>
      <w:r>
        <w:rPr>
          <w:rFonts w:eastAsia="Calibri" w:cs="Times New Roman"/>
          <w:lang w:val="en"/>
        </w:rPr>
        <w:t>probable</w:t>
      </w:r>
      <w:r w:rsidRPr="00F66D4D">
        <w:rPr>
          <w:rFonts w:eastAsia="Calibri" w:cs="Times New Roman"/>
          <w:lang w:val="en"/>
        </w:rPr>
        <w:t xml:space="preserve">. </w:t>
      </w:r>
    </w:p>
    <w:p w14:paraId="79220E34" w14:textId="77777777" w:rsidR="0093622F" w:rsidRPr="00F66D4D" w:rsidRDefault="0093622F" w:rsidP="00A27868">
      <w:pPr>
        <w:jc w:val="both"/>
        <w:rPr>
          <w:rFonts w:eastAsia="Calibri" w:cs="Times New Roman"/>
          <w:lang w:val="en"/>
        </w:rPr>
      </w:pPr>
    </w:p>
    <w:p w14:paraId="36FD4E83" w14:textId="77777777" w:rsidR="00176BAD" w:rsidRDefault="00176BAD">
      <w:pPr>
        <w:spacing w:after="160" w:line="259" w:lineRule="auto"/>
        <w:rPr>
          <w:b/>
          <w:iCs/>
          <w:szCs w:val="18"/>
        </w:rPr>
      </w:pPr>
      <w:bookmarkStart w:id="81" w:name="_Ref508887268"/>
      <w:r>
        <w:br w:type="page"/>
      </w:r>
    </w:p>
    <w:p w14:paraId="28D4750F" w14:textId="3B9909A0" w:rsidR="00F66D4D" w:rsidRDefault="00F66D4D" w:rsidP="00A27868">
      <w:pPr>
        <w:pStyle w:val="Caption"/>
        <w:keepNext/>
        <w:spacing w:line="360" w:lineRule="auto"/>
      </w:pPr>
      <w:bookmarkStart w:id="82" w:name="_Toc525106708"/>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21</w:t>
      </w:r>
      <w:r w:rsidR="00F62DB8">
        <w:rPr>
          <w:noProof/>
        </w:rPr>
        <w:fldChar w:fldCharType="end"/>
      </w:r>
      <w:bookmarkEnd w:id="81"/>
      <w:r>
        <w:t>:</w:t>
      </w:r>
      <w:r w:rsidR="00A27868">
        <w:tab/>
      </w:r>
      <w:r w:rsidRPr="00AA4334">
        <w:t>Findings of included studies</w:t>
      </w:r>
      <w:bookmarkEnd w:id="82"/>
    </w:p>
    <w:tbl>
      <w:tblPr>
        <w:tblStyle w:val="TableGrid5"/>
        <w:tblW w:w="0" w:type="auto"/>
        <w:tblLook w:val="04A0" w:firstRow="1" w:lastRow="0" w:firstColumn="1" w:lastColumn="0" w:noHBand="0" w:noVBand="1"/>
      </w:tblPr>
      <w:tblGrid>
        <w:gridCol w:w="1280"/>
        <w:gridCol w:w="7736"/>
      </w:tblGrid>
      <w:tr w:rsidR="00F66D4D" w:rsidRPr="00F66D4D" w14:paraId="528E6C01" w14:textId="77777777" w:rsidTr="00791CA6">
        <w:tc>
          <w:tcPr>
            <w:tcW w:w="1280" w:type="dxa"/>
          </w:tcPr>
          <w:p w14:paraId="0D663785" w14:textId="77777777" w:rsidR="00F66D4D" w:rsidRPr="00F66D4D" w:rsidRDefault="00F66D4D" w:rsidP="00A27868">
            <w:pPr>
              <w:spacing w:line="240" w:lineRule="auto"/>
              <w:rPr>
                <w:rFonts w:eastAsia="Calibri" w:cs="Times New Roman"/>
              </w:rPr>
            </w:pPr>
            <w:r w:rsidRPr="00F66D4D">
              <w:rPr>
                <w:rFonts w:eastAsia="Calibri" w:cs="Times New Roman"/>
              </w:rPr>
              <w:t>Study</w:t>
            </w:r>
          </w:p>
        </w:tc>
        <w:tc>
          <w:tcPr>
            <w:tcW w:w="7736" w:type="dxa"/>
          </w:tcPr>
          <w:p w14:paraId="256C9B4C" w14:textId="77777777" w:rsidR="00F66D4D" w:rsidRPr="00F66D4D" w:rsidRDefault="00F66D4D" w:rsidP="00A27868">
            <w:pPr>
              <w:spacing w:line="240" w:lineRule="auto"/>
              <w:rPr>
                <w:rFonts w:eastAsia="Calibri" w:cs="Times New Roman"/>
              </w:rPr>
            </w:pPr>
            <w:r w:rsidRPr="00F66D4D">
              <w:rPr>
                <w:rFonts w:eastAsia="Calibri" w:cs="Times New Roman"/>
              </w:rPr>
              <w:t>Findings</w:t>
            </w:r>
          </w:p>
        </w:tc>
      </w:tr>
      <w:tr w:rsidR="00F66D4D" w:rsidRPr="00F66D4D" w14:paraId="4BF5B423" w14:textId="77777777" w:rsidTr="00791CA6">
        <w:tc>
          <w:tcPr>
            <w:tcW w:w="1280" w:type="dxa"/>
          </w:tcPr>
          <w:p w14:paraId="3CD24173" w14:textId="43FCCD33" w:rsidR="00F66D4D" w:rsidRPr="00F66D4D" w:rsidRDefault="00104F87" w:rsidP="0076576E">
            <w:pPr>
              <w:spacing w:line="240" w:lineRule="auto"/>
              <w:rPr>
                <w:rFonts w:eastAsia="Calibri" w:cs="Times New Roman"/>
              </w:rPr>
            </w:pPr>
            <w:r w:rsidRPr="00F66D4D">
              <w:rPr>
                <w:rFonts w:eastAsia="Calibri" w:cs="Times New Roman"/>
              </w:rPr>
              <w:t>Belay</w:t>
            </w:r>
            <w:r>
              <w:rPr>
                <w:rFonts w:eastAsia="Calibri" w:cs="Times New Roman"/>
              </w:rPr>
              <w:t xml:space="preserve"> </w:t>
            </w:r>
            <w:r w:rsidR="00B301D6" w:rsidRPr="00B301D6">
              <w:rPr>
                <w:rFonts w:eastAsia="Calibri" w:cs="Times New Roman"/>
                <w:i/>
              </w:rPr>
              <w:t>et al</w:t>
            </w:r>
            <w:r>
              <w:rPr>
                <w:rFonts w:eastAsia="Calibri" w:cs="Times New Roman"/>
              </w:rPr>
              <w:t xml:space="preserve"> (</w:t>
            </w:r>
            <w:r w:rsidRPr="00F66D4D">
              <w:rPr>
                <w:rFonts w:eastAsia="Calibri" w:cs="Times New Roman"/>
              </w:rPr>
              <w:t>2013</w:t>
            </w:r>
            <w:r>
              <w:rPr>
                <w:rFonts w:eastAsia="Calibri" w:cs="Times New Roman"/>
              </w:rPr>
              <w:t>)</w:t>
            </w:r>
            <w:r w:rsidR="00340971">
              <w:rPr>
                <w:rFonts w:eastAsia="Calibri" w:cs="Times New Roma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40971">
              <w:rPr>
                <w:rFonts w:eastAsia="Calibri" w:cs="Times New Roman"/>
              </w:rPr>
            </w:r>
            <w:r w:rsidR="00340971">
              <w:rPr>
                <w:rFonts w:eastAsia="Calibri" w:cs="Times New Roman"/>
              </w:rPr>
              <w:fldChar w:fldCharType="separate"/>
            </w:r>
            <w:r w:rsidR="0076576E" w:rsidRPr="0076576E">
              <w:rPr>
                <w:rFonts w:eastAsia="Calibri" w:cs="Times New Roman"/>
                <w:noProof/>
                <w:vertAlign w:val="superscript"/>
              </w:rPr>
              <w:t>115</w:t>
            </w:r>
            <w:r w:rsidR="00340971">
              <w:rPr>
                <w:rFonts w:eastAsia="Calibri" w:cs="Times New Roman"/>
              </w:rPr>
              <w:fldChar w:fldCharType="end"/>
            </w:r>
          </w:p>
        </w:tc>
        <w:tc>
          <w:tcPr>
            <w:tcW w:w="7736" w:type="dxa"/>
          </w:tcPr>
          <w:p w14:paraId="69259F82" w14:textId="77777777" w:rsidR="00F66D4D" w:rsidRPr="00F66D4D" w:rsidRDefault="00F66D4D" w:rsidP="00A27868">
            <w:pPr>
              <w:numPr>
                <w:ilvl w:val="0"/>
                <w:numId w:val="21"/>
              </w:numPr>
              <w:autoSpaceDE w:val="0"/>
              <w:autoSpaceDN w:val="0"/>
              <w:adjustRightInd w:val="0"/>
              <w:spacing w:line="240" w:lineRule="auto"/>
              <w:contextualSpacing/>
              <w:rPr>
                <w:rFonts w:eastAsia="Calibri" w:cs="Times New Roman"/>
              </w:rPr>
            </w:pPr>
            <w:r w:rsidRPr="00F66D4D">
              <w:rPr>
                <w:rFonts w:eastAsia="Calibri" w:cs="Times New Roman"/>
              </w:rPr>
              <w:t xml:space="preserve">At least 12/19 (63%) hospitals had multiple neurosurgical sets, making identification of contaminated instruments nearly impossible in some hospitals by the time of CJD diagnosis. </w:t>
            </w:r>
          </w:p>
          <w:p w14:paraId="63652A0C" w14:textId="77777777" w:rsidR="00F66D4D" w:rsidRPr="00F66D4D" w:rsidRDefault="00F66D4D" w:rsidP="00A27868">
            <w:pPr>
              <w:autoSpaceDE w:val="0"/>
              <w:autoSpaceDN w:val="0"/>
              <w:adjustRightInd w:val="0"/>
              <w:spacing w:line="240" w:lineRule="auto"/>
              <w:rPr>
                <w:rFonts w:eastAsia="Calibri" w:cs="Times New Roman"/>
              </w:rPr>
            </w:pPr>
          </w:p>
          <w:p w14:paraId="3B0AF6CF" w14:textId="77777777" w:rsidR="00F66D4D" w:rsidRPr="00F66D4D" w:rsidRDefault="00F66D4D" w:rsidP="00A27868">
            <w:pPr>
              <w:numPr>
                <w:ilvl w:val="0"/>
                <w:numId w:val="21"/>
              </w:numPr>
              <w:spacing w:line="240" w:lineRule="auto"/>
              <w:contextualSpacing/>
              <w:rPr>
                <w:rFonts w:eastAsia="Calibri" w:cs="Times New Roman"/>
              </w:rPr>
            </w:pPr>
            <w:r w:rsidRPr="00F66D4D">
              <w:rPr>
                <w:rFonts w:eastAsia="Calibri" w:cs="Times New Roman"/>
              </w:rPr>
              <w:t>For hospitals with available information, the number of neurosurgical sets per hospital ranged from 1 to 12.</w:t>
            </w:r>
          </w:p>
          <w:p w14:paraId="2EAB44FB" w14:textId="77777777" w:rsidR="00F66D4D" w:rsidRPr="00F66D4D" w:rsidRDefault="00F66D4D" w:rsidP="00A27868">
            <w:pPr>
              <w:spacing w:line="240" w:lineRule="auto"/>
              <w:rPr>
                <w:rFonts w:eastAsia="Calibri" w:cs="Times New Roman"/>
              </w:rPr>
            </w:pPr>
          </w:p>
          <w:p w14:paraId="7B822C98" w14:textId="77777777" w:rsidR="00F66D4D" w:rsidRPr="00F66D4D" w:rsidRDefault="00F66D4D" w:rsidP="00A27868">
            <w:pPr>
              <w:numPr>
                <w:ilvl w:val="0"/>
                <w:numId w:val="21"/>
              </w:numPr>
              <w:spacing w:line="240" w:lineRule="auto"/>
              <w:contextualSpacing/>
              <w:rPr>
                <w:rFonts w:eastAsia="Calibri" w:cs="Times New Roman"/>
              </w:rPr>
            </w:pPr>
            <w:r w:rsidRPr="00F66D4D">
              <w:rPr>
                <w:rFonts w:eastAsia="Calibri" w:cs="Times New Roman"/>
              </w:rPr>
              <w:t>Overall, the CJD-contaminated sets could not be identified in 11 (58%) of the 19 hospitals. In these 11 hospitals, the exact number of patients exposed to the instruments used on the index patient could not be determined.</w:t>
            </w:r>
          </w:p>
        </w:tc>
      </w:tr>
      <w:tr w:rsidR="00F66D4D" w:rsidRPr="00F66D4D" w14:paraId="79CACEA1" w14:textId="77777777" w:rsidTr="00791CA6">
        <w:tc>
          <w:tcPr>
            <w:tcW w:w="1280" w:type="dxa"/>
          </w:tcPr>
          <w:p w14:paraId="748C36D8" w14:textId="77777777" w:rsidR="00F66D4D" w:rsidRPr="00F66D4D" w:rsidRDefault="00F66D4D" w:rsidP="00A27868">
            <w:pPr>
              <w:spacing w:line="240" w:lineRule="auto"/>
              <w:rPr>
                <w:rFonts w:eastAsia="Calibri" w:cs="Times New Roman"/>
              </w:rPr>
            </w:pPr>
            <w:r w:rsidRPr="00F66D4D">
              <w:rPr>
                <w:rFonts w:eastAsia="Calibri" w:cs="Times New Roman"/>
              </w:rPr>
              <w:t>NICE 2016</w:t>
            </w:r>
          </w:p>
        </w:tc>
        <w:tc>
          <w:tcPr>
            <w:tcW w:w="7736" w:type="dxa"/>
          </w:tcPr>
          <w:p w14:paraId="0439FEE0" w14:textId="231F0EEF" w:rsidR="00F66D4D" w:rsidRPr="00F66D4D" w:rsidRDefault="00F66D4D" w:rsidP="00A27868">
            <w:pPr>
              <w:autoSpaceDE w:val="0"/>
              <w:autoSpaceDN w:val="0"/>
              <w:adjustRightInd w:val="0"/>
              <w:spacing w:line="240" w:lineRule="auto"/>
              <w:rPr>
                <w:rFonts w:eastAsia="Calibri" w:cs="Times New Roman"/>
              </w:rPr>
            </w:pPr>
            <w:r w:rsidRPr="00F66D4D">
              <w:rPr>
                <w:rFonts w:eastAsia="Calibri" w:cs="Times New Roman"/>
              </w:rPr>
              <w:t>Barriers that affect the implementation of the guidance on keeping instruments for high-risk surgery within specific sets:</w:t>
            </w:r>
          </w:p>
          <w:p w14:paraId="3FF39651" w14:textId="77777777" w:rsidR="00F66D4D" w:rsidRPr="00F66D4D" w:rsidRDefault="00F66D4D" w:rsidP="00A27868">
            <w:pPr>
              <w:numPr>
                <w:ilvl w:val="0"/>
                <w:numId w:val="22"/>
              </w:numPr>
              <w:autoSpaceDE w:val="0"/>
              <w:autoSpaceDN w:val="0"/>
              <w:adjustRightInd w:val="0"/>
              <w:spacing w:line="240" w:lineRule="auto"/>
              <w:contextualSpacing/>
              <w:rPr>
                <w:rFonts w:eastAsia="Calibri" w:cs="Times New Roman"/>
              </w:rPr>
            </w:pPr>
            <w:r w:rsidRPr="00F66D4D">
              <w:rPr>
                <w:rFonts w:eastAsia="Calibri" w:cs="Times New Roman"/>
              </w:rPr>
              <w:t>High cost of sets and lack of clarity over responsibility for paying for full sets;</w:t>
            </w:r>
          </w:p>
          <w:p w14:paraId="7EDA6B14" w14:textId="77777777" w:rsidR="00F66D4D" w:rsidRPr="00F66D4D" w:rsidRDefault="00F66D4D" w:rsidP="00A27868">
            <w:pPr>
              <w:numPr>
                <w:ilvl w:val="0"/>
                <w:numId w:val="22"/>
              </w:numPr>
              <w:autoSpaceDE w:val="0"/>
              <w:autoSpaceDN w:val="0"/>
              <w:adjustRightInd w:val="0"/>
              <w:spacing w:line="240" w:lineRule="auto"/>
              <w:contextualSpacing/>
              <w:rPr>
                <w:rFonts w:eastAsia="Calibri" w:cs="Times New Roman"/>
              </w:rPr>
            </w:pPr>
            <w:r w:rsidRPr="00F66D4D">
              <w:rPr>
                <w:rFonts w:eastAsia="Calibri" w:cs="Times New Roman"/>
              </w:rPr>
              <w:t xml:space="preserve">Lack of clarity on categories of patients who are to be exposed to particular sets; </w:t>
            </w:r>
          </w:p>
          <w:p w14:paraId="1C4ACD50" w14:textId="77777777" w:rsidR="00F66D4D" w:rsidRPr="00F66D4D" w:rsidRDefault="00F66D4D" w:rsidP="00A27868">
            <w:pPr>
              <w:numPr>
                <w:ilvl w:val="0"/>
                <w:numId w:val="22"/>
              </w:numPr>
              <w:autoSpaceDE w:val="0"/>
              <w:autoSpaceDN w:val="0"/>
              <w:adjustRightInd w:val="0"/>
              <w:spacing w:line="240" w:lineRule="auto"/>
              <w:contextualSpacing/>
              <w:rPr>
                <w:rFonts w:eastAsia="Calibri" w:cs="Times New Roman"/>
              </w:rPr>
            </w:pPr>
            <w:r w:rsidRPr="00F66D4D">
              <w:rPr>
                <w:rFonts w:eastAsia="Calibri" w:cs="Times New Roman"/>
              </w:rPr>
              <w:t>Lack of conviction regarding level of transmission risk to patients;</w:t>
            </w:r>
          </w:p>
          <w:p w14:paraId="7CB33107" w14:textId="77777777" w:rsidR="00F66D4D" w:rsidRPr="00F66D4D" w:rsidRDefault="00F66D4D" w:rsidP="00A27868">
            <w:pPr>
              <w:numPr>
                <w:ilvl w:val="0"/>
                <w:numId w:val="22"/>
              </w:numPr>
              <w:autoSpaceDE w:val="0"/>
              <w:autoSpaceDN w:val="0"/>
              <w:adjustRightInd w:val="0"/>
              <w:spacing w:line="240" w:lineRule="auto"/>
              <w:contextualSpacing/>
              <w:rPr>
                <w:rFonts w:eastAsia="Calibri" w:cs="Times New Roman"/>
              </w:rPr>
            </w:pPr>
            <w:r w:rsidRPr="00F66D4D">
              <w:rPr>
                <w:rFonts w:eastAsia="Calibri" w:cs="Times New Roman"/>
              </w:rPr>
              <w:t>Less paediatric work in a hospital, less likely to have specific sets for the younger cohort;</w:t>
            </w:r>
          </w:p>
          <w:p w14:paraId="016CD7E0" w14:textId="77777777" w:rsidR="00F66D4D" w:rsidRPr="00F66D4D" w:rsidRDefault="00F66D4D" w:rsidP="00A27868">
            <w:pPr>
              <w:numPr>
                <w:ilvl w:val="0"/>
                <w:numId w:val="22"/>
              </w:numPr>
              <w:autoSpaceDE w:val="0"/>
              <w:autoSpaceDN w:val="0"/>
              <w:adjustRightInd w:val="0"/>
              <w:spacing w:line="240" w:lineRule="auto"/>
              <w:contextualSpacing/>
              <w:rPr>
                <w:rFonts w:eastAsia="Calibri" w:cs="Times New Roman"/>
              </w:rPr>
            </w:pPr>
            <w:r w:rsidRPr="00F66D4D">
              <w:rPr>
                <w:rFonts w:eastAsia="Calibri" w:cs="Times New Roman"/>
              </w:rPr>
              <w:t>Absence of an adequate and reliable instrument tracking system:</w:t>
            </w:r>
          </w:p>
          <w:p w14:paraId="47A26971" w14:textId="77777777" w:rsidR="00F66D4D" w:rsidRPr="00F66D4D" w:rsidRDefault="00F66D4D" w:rsidP="00A27868">
            <w:pPr>
              <w:numPr>
                <w:ilvl w:val="1"/>
                <w:numId w:val="22"/>
              </w:numPr>
              <w:autoSpaceDE w:val="0"/>
              <w:autoSpaceDN w:val="0"/>
              <w:adjustRightInd w:val="0"/>
              <w:spacing w:line="240" w:lineRule="auto"/>
              <w:contextualSpacing/>
              <w:rPr>
                <w:rFonts w:eastAsia="Calibri" w:cs="Times New Roman"/>
              </w:rPr>
            </w:pPr>
            <w:r w:rsidRPr="00F66D4D">
              <w:rPr>
                <w:rFonts w:eastAsia="Calibri" w:cs="Times New Roman"/>
              </w:rPr>
              <w:t>Some barcoding / laser etching has been undertaken in some sites, but this can be high cost and some instruments are too small to barcode;</w:t>
            </w:r>
          </w:p>
          <w:p w14:paraId="3CB3EF51" w14:textId="77777777" w:rsidR="00F66D4D" w:rsidRPr="00F66D4D" w:rsidRDefault="00F66D4D" w:rsidP="00A27868">
            <w:pPr>
              <w:numPr>
                <w:ilvl w:val="1"/>
                <w:numId w:val="22"/>
              </w:numPr>
              <w:autoSpaceDE w:val="0"/>
              <w:autoSpaceDN w:val="0"/>
              <w:adjustRightInd w:val="0"/>
              <w:spacing w:line="240" w:lineRule="auto"/>
              <w:contextualSpacing/>
              <w:rPr>
                <w:rFonts w:eastAsia="Calibri" w:cs="Times New Roman"/>
              </w:rPr>
            </w:pPr>
            <w:r w:rsidRPr="00F66D4D">
              <w:rPr>
                <w:rFonts w:eastAsia="Calibri" w:cs="Times New Roman"/>
              </w:rPr>
              <w:t>There are errors in scanning;</w:t>
            </w:r>
          </w:p>
          <w:p w14:paraId="5DF0BE81" w14:textId="77777777" w:rsidR="00F66D4D" w:rsidRPr="00F66D4D" w:rsidRDefault="00F66D4D" w:rsidP="00A27868">
            <w:pPr>
              <w:numPr>
                <w:ilvl w:val="1"/>
                <w:numId w:val="22"/>
              </w:numPr>
              <w:autoSpaceDE w:val="0"/>
              <w:autoSpaceDN w:val="0"/>
              <w:adjustRightInd w:val="0"/>
              <w:spacing w:line="240" w:lineRule="auto"/>
              <w:contextualSpacing/>
              <w:rPr>
                <w:rFonts w:eastAsia="Calibri" w:cs="Times New Roman"/>
              </w:rPr>
            </w:pPr>
            <w:r w:rsidRPr="00F66D4D">
              <w:rPr>
                <w:rFonts w:eastAsia="Calibri" w:cs="Times New Roman"/>
              </w:rPr>
              <w:t>Tracking system is not always accessible and is not fully integrated with patient records</w:t>
            </w:r>
          </w:p>
          <w:p w14:paraId="77C95106" w14:textId="77777777" w:rsidR="00F66D4D" w:rsidRPr="00F66D4D" w:rsidRDefault="00F66D4D" w:rsidP="00A27868">
            <w:pPr>
              <w:autoSpaceDE w:val="0"/>
              <w:autoSpaceDN w:val="0"/>
              <w:adjustRightInd w:val="0"/>
              <w:spacing w:line="240" w:lineRule="auto"/>
              <w:rPr>
                <w:rFonts w:eastAsia="Calibri" w:cs="Times New Roman"/>
              </w:rPr>
            </w:pPr>
            <w:r w:rsidRPr="00F66D4D">
              <w:rPr>
                <w:rFonts w:eastAsia="Calibri" w:cs="Times New Roman"/>
              </w:rPr>
              <w:t xml:space="preserve">Facilitators that enable the implementation of the guidance: </w:t>
            </w:r>
          </w:p>
          <w:p w14:paraId="01363E2E" w14:textId="0D3BF390" w:rsidR="00F66D4D" w:rsidRPr="00F66D4D" w:rsidRDefault="00F66D4D" w:rsidP="00A27868">
            <w:pPr>
              <w:numPr>
                <w:ilvl w:val="0"/>
                <w:numId w:val="22"/>
              </w:numPr>
              <w:autoSpaceDE w:val="0"/>
              <w:autoSpaceDN w:val="0"/>
              <w:adjustRightInd w:val="0"/>
              <w:spacing w:line="240" w:lineRule="auto"/>
              <w:contextualSpacing/>
              <w:rPr>
                <w:rFonts w:eastAsia="Calibri" w:cs="Times New Roman"/>
              </w:rPr>
            </w:pPr>
            <w:r w:rsidRPr="00F66D4D">
              <w:rPr>
                <w:rFonts w:eastAsia="Calibri" w:cs="Times New Roman"/>
              </w:rPr>
              <w:t xml:space="preserve">Use of </w:t>
            </w:r>
            <w:r w:rsidR="00FE5D7B">
              <w:rPr>
                <w:rFonts w:eastAsia="Calibri" w:cs="Times New Roman"/>
              </w:rPr>
              <w:t>single-use</w:t>
            </w:r>
            <w:r w:rsidR="00FE5D7B" w:rsidRPr="00F66D4D">
              <w:rPr>
                <w:rFonts w:eastAsia="Calibri" w:cs="Times New Roman"/>
              </w:rPr>
              <w:t xml:space="preserve"> </w:t>
            </w:r>
            <w:r w:rsidRPr="00F66D4D">
              <w:rPr>
                <w:rFonts w:eastAsia="Calibri" w:cs="Times New Roman"/>
              </w:rPr>
              <w:t>or disposal of re-usables where possible (more frequently than previously);</w:t>
            </w:r>
          </w:p>
          <w:p w14:paraId="18FC2CE0" w14:textId="77777777" w:rsidR="00F66D4D" w:rsidRPr="00F66D4D" w:rsidRDefault="00F66D4D" w:rsidP="00A27868">
            <w:pPr>
              <w:numPr>
                <w:ilvl w:val="0"/>
                <w:numId w:val="22"/>
              </w:numPr>
              <w:autoSpaceDE w:val="0"/>
              <w:autoSpaceDN w:val="0"/>
              <w:adjustRightInd w:val="0"/>
              <w:spacing w:line="240" w:lineRule="auto"/>
              <w:contextualSpacing/>
              <w:rPr>
                <w:rFonts w:eastAsia="Calibri" w:cs="Times New Roman"/>
              </w:rPr>
            </w:pPr>
            <w:r w:rsidRPr="00F66D4D">
              <w:rPr>
                <w:rFonts w:eastAsia="Calibri" w:cs="Times New Roman"/>
              </w:rPr>
              <w:t>Reasonable cost of some disposables;</w:t>
            </w:r>
          </w:p>
          <w:p w14:paraId="1D524FC4" w14:textId="77777777" w:rsidR="00F66D4D" w:rsidRPr="00F66D4D" w:rsidRDefault="00F66D4D" w:rsidP="00A27868">
            <w:pPr>
              <w:numPr>
                <w:ilvl w:val="0"/>
                <w:numId w:val="22"/>
              </w:numPr>
              <w:autoSpaceDE w:val="0"/>
              <w:autoSpaceDN w:val="0"/>
              <w:adjustRightInd w:val="0"/>
              <w:spacing w:line="240" w:lineRule="auto"/>
              <w:contextualSpacing/>
              <w:rPr>
                <w:rFonts w:eastAsia="Calibri" w:cs="Times New Roman"/>
              </w:rPr>
            </w:pPr>
            <w:r w:rsidRPr="00F66D4D">
              <w:rPr>
                <w:rFonts w:eastAsia="Calibri" w:cs="Times New Roman"/>
              </w:rPr>
              <w:t>Users report that use of supplementary instruments, that might migrate between sets, has been stopped</w:t>
            </w:r>
          </w:p>
        </w:tc>
      </w:tr>
    </w:tbl>
    <w:p w14:paraId="7465F66D" w14:textId="77777777" w:rsidR="00F66D4D" w:rsidRPr="00F66D4D" w:rsidRDefault="00F66D4D" w:rsidP="00F66D4D">
      <w:pPr>
        <w:spacing w:after="200"/>
        <w:jc w:val="both"/>
        <w:rPr>
          <w:rFonts w:eastAsia="Calibri" w:cs="Times New Roman"/>
          <w:i/>
        </w:rPr>
      </w:pPr>
    </w:p>
    <w:p w14:paraId="5063512A" w14:textId="21854570" w:rsidR="00F66D4D" w:rsidRPr="00F84738" w:rsidRDefault="00F70CC2" w:rsidP="00A27868">
      <w:pPr>
        <w:pStyle w:val="Heading3"/>
        <w:rPr>
          <w:rFonts w:eastAsia="Calibri"/>
          <w:b w:val="0"/>
          <w:i/>
        </w:rPr>
      </w:pPr>
      <w:r w:rsidRPr="00F84738">
        <w:rPr>
          <w:rFonts w:eastAsia="Calibri"/>
          <w:b w:val="0"/>
          <w:i/>
        </w:rPr>
        <w:t>2.7.2</w:t>
      </w:r>
      <w:r w:rsidRPr="00F84738">
        <w:rPr>
          <w:rFonts w:eastAsia="Calibri"/>
          <w:b w:val="0"/>
          <w:i/>
        </w:rPr>
        <w:tab/>
      </w:r>
      <w:r w:rsidR="002849E9">
        <w:rPr>
          <w:b w:val="0"/>
          <w:i/>
        </w:rPr>
        <w:t>Discussion/ s</w:t>
      </w:r>
      <w:r w:rsidR="002849E9" w:rsidRPr="00F84738">
        <w:rPr>
          <w:b w:val="0"/>
          <w:i/>
        </w:rPr>
        <w:t xml:space="preserve">ummary </w:t>
      </w:r>
      <w:r w:rsidR="00334E96" w:rsidRPr="00F84738">
        <w:rPr>
          <w:rFonts w:eastAsia="Calibri"/>
          <w:b w:val="0"/>
          <w:i/>
        </w:rPr>
        <w:t>of evidence on set-keeping for high-risk procedures</w:t>
      </w:r>
    </w:p>
    <w:p w14:paraId="7237872F" w14:textId="72E46752" w:rsidR="00BC0130" w:rsidRDefault="00F66D4D" w:rsidP="00A27868">
      <w:pPr>
        <w:jc w:val="both"/>
        <w:rPr>
          <w:rFonts w:eastAsia="Calibri" w:cs="Times New Roman"/>
        </w:rPr>
      </w:pPr>
      <w:r w:rsidRPr="00F66D4D">
        <w:rPr>
          <w:rFonts w:eastAsia="Calibri" w:cs="Times New Roman"/>
        </w:rPr>
        <w:t xml:space="preserve">Very little research has been undertaken to evaluate </w:t>
      </w:r>
      <w:r w:rsidR="0093622F">
        <w:rPr>
          <w:rFonts w:eastAsia="Calibri" w:cs="Times New Roman"/>
        </w:rPr>
        <w:t>whether</w:t>
      </w:r>
      <w:r w:rsidRPr="00F66D4D">
        <w:rPr>
          <w:rFonts w:eastAsia="Calibri" w:cs="Times New Roman"/>
        </w:rPr>
        <w:t xml:space="preserve"> instruments for high-risk neurosurgeries remain in their designated sets. The two studies identified for this systematic review reported only limited evidence on this question. One study was conducted in the USA and reported that instruments could not be identified in the vast majority of cases where they had been used on a patient</w:t>
      </w:r>
      <w:r w:rsidR="0093622F">
        <w:rPr>
          <w:rFonts w:eastAsia="Calibri" w:cs="Times New Roman"/>
        </w:rPr>
        <w:t xml:space="preserve"> who was</w:t>
      </w:r>
      <w:r w:rsidRPr="00F66D4D">
        <w:rPr>
          <w:rFonts w:eastAsia="Calibri" w:cs="Times New Roman"/>
        </w:rPr>
        <w:t xml:space="preserve"> later diagnosed with CJD</w:t>
      </w:r>
      <w:r w:rsidR="00FE5D7B">
        <w:rPr>
          <w:rFonts w:eastAsia="Calibri" w:cs="Times New Roman"/>
        </w:rPr>
        <w:t>,</w:t>
      </w:r>
      <w:r w:rsidRPr="00F66D4D">
        <w:rPr>
          <w:rFonts w:eastAsia="Calibri" w:cs="Times New Roman"/>
        </w:rPr>
        <w:t xml:space="preserve"> and where there were multiple sets in a hospital (</w:t>
      </w:r>
      <w:r w:rsidR="00085F5B" w:rsidRPr="00F66D4D">
        <w:rPr>
          <w:rFonts w:eastAsia="Calibri" w:cs="Times New Roman"/>
        </w:rPr>
        <w:t>Belay</w:t>
      </w:r>
      <w:r w:rsidR="00085F5B">
        <w:rPr>
          <w:rFonts w:eastAsia="Calibri" w:cs="Times New Roman"/>
        </w:rPr>
        <w:t xml:space="preserve"> </w:t>
      </w:r>
      <w:r w:rsidR="00B301D6" w:rsidRPr="00B301D6">
        <w:rPr>
          <w:rFonts w:eastAsia="Calibri" w:cs="Times New Roman"/>
          <w:i/>
        </w:rPr>
        <w:t>et al</w:t>
      </w:r>
      <w:r w:rsidR="00085F5B">
        <w:rPr>
          <w:rFonts w:eastAsia="Calibri" w:cs="Times New Roman"/>
        </w:rPr>
        <w:t xml:space="preserve"> (</w:t>
      </w:r>
      <w:r w:rsidR="00085F5B" w:rsidRPr="00F66D4D">
        <w:rPr>
          <w:rFonts w:eastAsia="Calibri" w:cs="Times New Roman"/>
        </w:rPr>
        <w:t>2013</w:t>
      </w:r>
      <w:r w:rsidR="00085F5B">
        <w:rPr>
          <w:rFonts w:eastAsia="Calibri" w:cs="Times New Roman"/>
        </w:rPr>
        <w:t>)</w:t>
      </w:r>
      <w:r w:rsidR="00340971">
        <w:rPr>
          <w:rFonts w:eastAsia="Calibri" w:cs="Times New Roma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PEVuZE5vdGU+PENpdGU+PEF1dGhvcj5CZWxheTwvQXV0aG9yPjxZZWFyPjIwMTM8L1llYXI+PFJl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40971">
        <w:rPr>
          <w:rFonts w:eastAsia="Calibri" w:cs="Times New Roman"/>
        </w:rPr>
      </w:r>
      <w:r w:rsidR="00340971">
        <w:rPr>
          <w:rFonts w:eastAsia="Calibri" w:cs="Times New Roman"/>
        </w:rPr>
        <w:fldChar w:fldCharType="separate"/>
      </w:r>
      <w:r w:rsidR="0076576E" w:rsidRPr="0076576E">
        <w:rPr>
          <w:rFonts w:eastAsia="Calibri" w:cs="Times New Roman"/>
          <w:noProof/>
          <w:vertAlign w:val="superscript"/>
        </w:rPr>
        <w:t>115</w:t>
      </w:r>
      <w:r w:rsidR="00340971">
        <w:rPr>
          <w:rFonts w:eastAsia="Calibri" w:cs="Times New Roman"/>
        </w:rPr>
        <w:fldChar w:fldCharType="end"/>
      </w:r>
      <w:r w:rsidRPr="00F66D4D">
        <w:rPr>
          <w:rFonts w:eastAsia="Calibri" w:cs="Times New Roman"/>
        </w:rPr>
        <w:t xml:space="preserve">). The second study was performed in the highly-relevant setting of the NHS, but is unpublished and its methodology was poorly reported (NICE 2016). It did not report </w:t>
      </w:r>
      <w:r w:rsidRPr="00F66D4D">
        <w:rPr>
          <w:rFonts w:eastAsia="Calibri" w:cs="Times New Roman"/>
          <w:lang w:val="en"/>
        </w:rPr>
        <w:t>quantitative evidence on whether instruments for high-risk surgery remained in their sets; rather</w:t>
      </w:r>
      <w:r w:rsidR="00E832A7">
        <w:rPr>
          <w:rFonts w:eastAsia="Calibri" w:cs="Times New Roman"/>
          <w:lang w:val="en"/>
        </w:rPr>
        <w:t>,</w:t>
      </w:r>
      <w:r w:rsidRPr="00F66D4D">
        <w:rPr>
          <w:rFonts w:eastAsia="Calibri" w:cs="Times New Roman"/>
          <w:lang w:val="en"/>
        </w:rPr>
        <w:t xml:space="preserve"> the evidence consisted of clinicians’ and users’ reported experiences of implementing NICE IPG196 guidance</w:t>
      </w:r>
      <w:r w:rsidR="00340971">
        <w:rPr>
          <w:rFonts w:eastAsia="Calibri" w:cs="Times New Roman"/>
          <w:lang w:val="en"/>
        </w:rPr>
        <w:fldChar w:fldCharType="begin"/>
      </w:r>
      <w:r w:rsidR="00892AF6">
        <w:rPr>
          <w:rFonts w:eastAsia="Calibri" w:cs="Times New Roman"/>
          <w:lang w:val="en"/>
        </w:rPr>
        <w:instrText xml:space="preserve"> ADDIN EN.CITE &lt;EndNote&gt;&lt;Cite&gt;&lt;Author&gt;National Institute for Health and Care Excellence&lt;/Author&gt;&lt;Year&gt;2008&lt;/Year&gt;&lt;RecNum&gt;10250&lt;/RecNum&gt;&lt;DisplayText&gt;&lt;style face="superscript"&gt;14&lt;/style&gt;&lt;/DisplayText&gt;&lt;record&gt;&lt;rec-number&gt;10250&lt;/rec-number&gt;&lt;foreign-keys&gt;&lt;key app="EN" db-id="vrp0pptazv05wtesfz5vrzsj2p0rv09ttsa9" timestamp="1520851583" guid="875b169c-6726-4f90-9c42-19ea7d5d9733"&gt;10250&lt;/key&gt;&lt;/foreign-keys&gt;&lt;ref-type name="Web Page"&gt;12&lt;/ref-type&gt;&lt;contributors&gt;&lt;authors&gt;&lt;author&gt;National Institute for Health and Care Excellence,&lt;/author&gt;&lt;/authors&gt;&lt;/contributors&gt;&lt;titles&gt;&lt;title&gt;NICE interventional procedure guidance 196. Patient safety and reduction of risk of transmission of Creutzfeldt–Jakob disease (CJD) via interventional procedures.&lt;/title&gt;&lt;/titles&gt;&lt;number&gt;02.02.2018&lt;/number&gt;&lt;dates&gt;&lt;year&gt;2008&lt;/year&gt;&lt;/dates&gt;&lt;urls&gt;&lt;related-urls&gt;&lt;url&gt;&lt;style face="underline" font="default" size="100%"&gt;https://www.nice.org.uk/guidance/ipg196/documents/ipg196-patient-safety-and-reduction-of-risk-of-transmission-of-creutzfeldtjakob-disease-cjd-via-interventional-procedures-guidance2&lt;/style&gt;&lt;/url&gt;&lt;/related-urls&gt;&lt;/urls&gt;&lt;/record&gt;&lt;/Cite&gt;&lt;/EndNote&gt;</w:instrText>
      </w:r>
      <w:r w:rsidR="00340971">
        <w:rPr>
          <w:rFonts w:eastAsia="Calibri" w:cs="Times New Roman"/>
          <w:lang w:val="en"/>
        </w:rPr>
        <w:fldChar w:fldCharType="separate"/>
      </w:r>
      <w:r w:rsidR="005C50C5" w:rsidRPr="005C50C5">
        <w:rPr>
          <w:rFonts w:eastAsia="Calibri" w:cs="Times New Roman"/>
          <w:noProof/>
          <w:vertAlign w:val="superscript"/>
          <w:lang w:val="en"/>
        </w:rPr>
        <w:t>14</w:t>
      </w:r>
      <w:r w:rsidR="00340971">
        <w:rPr>
          <w:rFonts w:eastAsia="Calibri" w:cs="Times New Roman"/>
          <w:lang w:val="en"/>
        </w:rPr>
        <w:fldChar w:fldCharType="end"/>
      </w:r>
      <w:r w:rsidRPr="00F66D4D">
        <w:rPr>
          <w:rFonts w:eastAsia="Calibri" w:cs="Times New Roman"/>
          <w:lang w:val="en"/>
        </w:rPr>
        <w:t xml:space="preserve"> on keeping instruments for high-risk surgeries in their designated sets. These participants reported a range of barriers to set integrity, but also reported more frequent use of </w:t>
      </w:r>
      <w:r w:rsidR="00FE5D7B">
        <w:rPr>
          <w:rFonts w:eastAsia="Calibri" w:cs="Times New Roman"/>
          <w:lang w:val="en"/>
        </w:rPr>
        <w:t>single-use</w:t>
      </w:r>
      <w:r w:rsidR="00FE5D7B" w:rsidRPr="00F66D4D">
        <w:rPr>
          <w:rFonts w:eastAsia="Calibri" w:cs="Times New Roman"/>
          <w:lang w:val="en"/>
        </w:rPr>
        <w:t xml:space="preserve"> </w:t>
      </w:r>
      <w:r w:rsidRPr="00F66D4D">
        <w:rPr>
          <w:rFonts w:eastAsia="Calibri" w:cs="Times New Roman"/>
          <w:lang w:val="en"/>
        </w:rPr>
        <w:t xml:space="preserve">instruments and anaesthetic equipment, and that supplementary instruments </w:t>
      </w:r>
      <w:r w:rsidR="00FE5D7B">
        <w:rPr>
          <w:rFonts w:eastAsia="Calibri" w:cs="Times New Roman"/>
          <w:lang w:val="en"/>
        </w:rPr>
        <w:t>we</w:t>
      </w:r>
      <w:r w:rsidR="00FE5D7B" w:rsidRPr="00F66D4D">
        <w:rPr>
          <w:rFonts w:eastAsia="Calibri" w:cs="Times New Roman"/>
          <w:lang w:val="en"/>
        </w:rPr>
        <w:t xml:space="preserve">re </w:t>
      </w:r>
      <w:r w:rsidRPr="00F66D4D">
        <w:rPr>
          <w:rFonts w:eastAsia="Calibri" w:cs="Times New Roman"/>
          <w:lang w:val="en"/>
        </w:rPr>
        <w:t xml:space="preserve">no longer used. These developments reduce the </w:t>
      </w:r>
      <w:r w:rsidR="0093622F">
        <w:rPr>
          <w:rFonts w:eastAsia="Calibri" w:cs="Times New Roman"/>
          <w:lang w:val="en"/>
        </w:rPr>
        <w:t xml:space="preserve">absolute levels </w:t>
      </w:r>
      <w:r w:rsidR="00373C52">
        <w:rPr>
          <w:rFonts w:eastAsia="Calibri" w:cs="Times New Roman"/>
          <w:lang w:val="en"/>
        </w:rPr>
        <w:t xml:space="preserve">of </w:t>
      </w:r>
      <w:r w:rsidRPr="00F66D4D">
        <w:rPr>
          <w:rFonts w:eastAsia="Calibri" w:cs="Times New Roman"/>
          <w:lang w:val="en"/>
        </w:rPr>
        <w:t xml:space="preserve">migration of contaminated instruments between sets. </w:t>
      </w:r>
      <w:r w:rsidR="00200527">
        <w:rPr>
          <w:rFonts w:eastAsia="Calibri" w:cs="Times New Roman"/>
        </w:rPr>
        <w:t>E</w:t>
      </w:r>
      <w:r w:rsidRPr="00F66D4D">
        <w:rPr>
          <w:rFonts w:eastAsia="Calibri" w:cs="Times New Roman"/>
        </w:rPr>
        <w:t>vidence</w:t>
      </w:r>
      <w:r w:rsidR="00791CA6">
        <w:rPr>
          <w:rFonts w:eastAsia="Calibri" w:cs="Times New Roman"/>
        </w:rPr>
        <w:t xml:space="preserve"> to substantiate the </w:t>
      </w:r>
      <w:r w:rsidR="00200527">
        <w:rPr>
          <w:rFonts w:eastAsia="Calibri" w:cs="Times New Roman"/>
        </w:rPr>
        <w:t xml:space="preserve">estimated likelihood of </w:t>
      </w:r>
      <w:r w:rsidR="00200527" w:rsidRPr="00791CA6">
        <w:rPr>
          <w:rFonts w:eastAsia="Calibri" w:cs="Times New Roman"/>
        </w:rPr>
        <w:t>50%</w:t>
      </w:r>
      <w:r w:rsidR="00200527">
        <w:rPr>
          <w:rFonts w:eastAsia="Calibri" w:cs="Times New Roman"/>
        </w:rPr>
        <w:t xml:space="preserve"> for </w:t>
      </w:r>
      <w:r w:rsidR="00200527" w:rsidRPr="00791CA6">
        <w:rPr>
          <w:rFonts w:eastAsia="Calibri" w:cs="Times New Roman"/>
        </w:rPr>
        <w:t xml:space="preserve">at least one instrument migrating in or out of a neurosurgical </w:t>
      </w:r>
      <w:r w:rsidR="00200527">
        <w:rPr>
          <w:rFonts w:eastAsia="Calibri" w:cs="Times New Roman"/>
        </w:rPr>
        <w:t xml:space="preserve">set, </w:t>
      </w:r>
      <w:r w:rsidR="00791CA6">
        <w:rPr>
          <w:rFonts w:eastAsia="Calibri" w:cs="Times New Roman"/>
        </w:rPr>
        <w:t xml:space="preserve">posited in the DoH guidance report (Bryant </w:t>
      </w:r>
      <w:r w:rsidR="00B301D6" w:rsidRPr="00B301D6">
        <w:rPr>
          <w:rFonts w:eastAsia="Calibri" w:cs="Times New Roman"/>
          <w:i/>
        </w:rPr>
        <w:t>et al</w:t>
      </w:r>
      <w:r w:rsidR="00791CA6">
        <w:rPr>
          <w:rFonts w:eastAsia="Calibri" w:cs="Times New Roman"/>
        </w:rPr>
        <w:t>, 2015</w:t>
      </w:r>
      <w:r w:rsidR="00791CA6">
        <w:rPr>
          <w:rFonts w:eastAsia="Calibri" w:cs="Times New Roman"/>
        </w:rPr>
        <w:fldChar w:fldCharType="begin"/>
      </w:r>
      <w:r w:rsidR="0076576E">
        <w:rPr>
          <w:rFonts w:eastAsia="Calibri" w:cs="Times New Roman"/>
        </w:rPr>
        <w:instrText xml:space="preserve"> ADDIN EN.CITE &lt;EndNote&gt;&lt;Cite&gt;&lt;Author&gt;Bryant&lt;/Author&gt;&lt;Year&gt;2015&lt;/Year&gt;&lt;RecNum&gt;10264&lt;/RecNum&gt;&lt;DisplayText&gt;&lt;style face="superscript"&gt;113&lt;/style&gt;&lt;/DisplayText&gt;&lt;record&gt;&lt;rec-number&gt;10264&lt;/rec-number&gt;&lt;foreign-keys&gt;&lt;key app="EN" db-id="vrp0pptazv05wtesfz5vrzsj2p0rv09ttsa9" timestamp="1520851591" guid="c820f3ae-f31e-467b-b33d-95b1b4cf471c"&gt;10264&lt;/key&gt;&lt;/foreign-keys&gt;&lt;ref-type name="Journal Article"&gt;17&lt;/ref-type&gt;&lt;contributors&gt;&lt;authors&gt;&lt;author&gt;Bryant, G&lt;/author&gt;&lt;author&gt;Hewitt, P&lt;/author&gt;&lt;author&gt;Hope, J&lt;/author&gt;&lt;author&gt;Howard, C&lt;/author&gt;&lt;author&gt;Ironside, J&lt;/author&gt;&lt;author&gt;Knight, R&lt;/author&gt;&lt;author&gt;Manson, J&lt;/author&gt;&lt;author&gt;Mead, S&lt;/author&gt;&lt;author&gt;Medley, G&lt;/author&gt;&lt;author&gt;Minor, P&lt;/author&gt;&lt;/authors&gt;&lt;/contributors&gt;&lt;titles&gt;&lt;title&gt;Minimise transmission risk of CJD and vCJD in healthcare settings. Report on the Prevention of CJD and vCJD by Advisory Committee on Dangerous Pathogens&amp;apos; Transmission Spongiform Encephalopathy (ACDP TSE) Subgroup&lt;/title&gt;&lt;/titles&gt;&lt;keywords&gt;&lt;keyword&gt;$$LU_2_surgery transmission risk&lt;/keyword&gt;&lt;keyword&gt;$$CJD relevant&lt;/keyword&gt;&lt;keyword&gt;$$Background&lt;/keyword&gt;&lt;keyword&gt;$$Lesley google&lt;/keyword&gt;&lt;keyword&gt;Infection control&lt;/keyword&gt;&lt;keyword&gt;$$Committee recommended&lt;/keyword&gt;&lt;keyword&gt;$$6_instrument set keeping&lt;/keyword&gt;&lt;/keywords&gt;&lt;dates&gt;&lt;year&gt;2015&lt;/year&gt;&lt;/dates&gt;&lt;urls&gt;&lt;/urls&gt;&lt;/record&gt;&lt;/Cite&gt;&lt;/EndNote&gt;</w:instrText>
      </w:r>
      <w:r w:rsidR="00791CA6">
        <w:rPr>
          <w:rFonts w:eastAsia="Calibri" w:cs="Times New Roman"/>
        </w:rPr>
        <w:fldChar w:fldCharType="separate"/>
      </w:r>
      <w:r w:rsidR="0076576E" w:rsidRPr="0076576E">
        <w:rPr>
          <w:rFonts w:eastAsia="Calibri" w:cs="Times New Roman"/>
          <w:noProof/>
          <w:vertAlign w:val="superscript"/>
        </w:rPr>
        <w:t>113</w:t>
      </w:r>
      <w:r w:rsidR="00791CA6">
        <w:rPr>
          <w:rFonts w:eastAsia="Calibri" w:cs="Times New Roman"/>
        </w:rPr>
        <w:fldChar w:fldCharType="end"/>
      </w:r>
      <w:r w:rsidR="00791CA6">
        <w:rPr>
          <w:rFonts w:eastAsia="Calibri" w:cs="Times New Roman"/>
        </w:rPr>
        <w:t>)</w:t>
      </w:r>
      <w:r w:rsidRPr="00F66D4D">
        <w:rPr>
          <w:rFonts w:eastAsia="Calibri" w:cs="Times New Roman"/>
        </w:rPr>
        <w:t xml:space="preserve"> is therefore limited, but indicates that there is a high probability that at least some if not all instruments in neurosurgery sets do migrate between sets.</w:t>
      </w:r>
    </w:p>
    <w:p w14:paraId="5B79EFB9" w14:textId="4CCD46F7" w:rsidR="00767562" w:rsidRPr="009F5584" w:rsidRDefault="00767562" w:rsidP="00A27868">
      <w:pPr>
        <w:jc w:val="both"/>
        <w:rPr>
          <w:rFonts w:cs="Times New Roman"/>
          <w:sz w:val="24"/>
          <w:szCs w:val="24"/>
        </w:rPr>
      </w:pPr>
    </w:p>
    <w:p w14:paraId="30DFACF3" w14:textId="6A681067" w:rsidR="00767562" w:rsidRPr="009F5584" w:rsidRDefault="00A27868" w:rsidP="00A27868">
      <w:pPr>
        <w:pStyle w:val="Heading2"/>
        <w:ind w:left="720" w:hanging="720"/>
      </w:pPr>
      <w:bookmarkStart w:id="83" w:name="_Toc525106667"/>
      <w:r>
        <w:t>2.8</w:t>
      </w:r>
      <w:r w:rsidR="00767562" w:rsidRPr="009F5584">
        <w:tab/>
        <w:t>The evidence for complication rates of single-use compared with reusable instruments for high-risk procedures</w:t>
      </w:r>
      <w:bookmarkEnd w:id="83"/>
    </w:p>
    <w:p w14:paraId="6C653B51" w14:textId="53FD5797" w:rsidR="00085F5B" w:rsidRPr="00085F5B" w:rsidRDefault="00085F5B" w:rsidP="00A27868">
      <w:pPr>
        <w:jc w:val="both"/>
        <w:rPr>
          <w:rFonts w:eastAsia="Calibri" w:cs="Times New Roman"/>
        </w:rPr>
      </w:pPr>
      <w:r w:rsidRPr="00085F5B">
        <w:rPr>
          <w:rFonts w:eastAsia="Calibri" w:cs="Times New Roman"/>
        </w:rPr>
        <w:t xml:space="preserve">The </w:t>
      </w:r>
      <w:r w:rsidR="00200527">
        <w:rPr>
          <w:rFonts w:eastAsia="Calibri" w:cs="Times New Roman"/>
        </w:rPr>
        <w:t>aim</w:t>
      </w:r>
      <w:r w:rsidRPr="00085F5B">
        <w:rPr>
          <w:rFonts w:eastAsia="Calibri" w:cs="Times New Roman"/>
        </w:rPr>
        <w:t xml:space="preserve"> of this review was to identify any published or unpublished evidence for the safety of single-use instruments compared </w:t>
      </w:r>
      <w:r w:rsidR="00200527">
        <w:rPr>
          <w:rFonts w:eastAsia="Calibri" w:cs="Times New Roman"/>
        </w:rPr>
        <w:t>to</w:t>
      </w:r>
      <w:r w:rsidRPr="00085F5B">
        <w:rPr>
          <w:rFonts w:eastAsia="Calibri" w:cs="Times New Roman"/>
        </w:rPr>
        <w:t xml:space="preserve"> reusable instruments for high</w:t>
      </w:r>
      <w:r w:rsidR="00200527">
        <w:rPr>
          <w:rFonts w:eastAsia="Calibri" w:cs="Times New Roman"/>
        </w:rPr>
        <w:t>-</w:t>
      </w:r>
      <w:r w:rsidRPr="00085F5B">
        <w:rPr>
          <w:rFonts w:eastAsia="Calibri" w:cs="Times New Roman"/>
        </w:rPr>
        <w:t xml:space="preserve">risk </w:t>
      </w:r>
      <w:r w:rsidR="00200527">
        <w:rPr>
          <w:rFonts w:eastAsia="Calibri" w:cs="Times New Roman"/>
        </w:rPr>
        <w:t>procedures</w:t>
      </w:r>
      <w:r w:rsidRPr="00085F5B">
        <w:rPr>
          <w:rFonts w:eastAsia="Calibri" w:cs="Times New Roman"/>
        </w:rPr>
        <w:t xml:space="preserve">. Safety was to be determined by the relative frequency of complications. This review excluded instruments, including anaesthetic equipment, which would not normally come into contact with high-risk tissues </w:t>
      </w:r>
      <w:r>
        <w:rPr>
          <w:rFonts w:eastAsia="Calibri" w:cs="Times New Roman"/>
        </w:rPr>
        <w:t>(</w:t>
      </w:r>
      <w:r w:rsidRPr="00085F5B">
        <w:rPr>
          <w:rFonts w:eastAsia="Calibri" w:cs="Times New Roman"/>
        </w:rPr>
        <w:t>Rut</w:t>
      </w:r>
      <w:r>
        <w:rPr>
          <w:rFonts w:eastAsia="Calibri" w:cs="Times New Roman"/>
        </w:rPr>
        <w:t>a</w:t>
      </w:r>
      <w:r w:rsidRPr="00085F5B">
        <w:rPr>
          <w:rFonts w:eastAsia="Calibri" w:cs="Times New Roman"/>
        </w:rPr>
        <w:t xml:space="preserve">la </w:t>
      </w:r>
      <w:r w:rsidR="00B301D6" w:rsidRPr="00B301D6">
        <w:rPr>
          <w:rFonts w:eastAsia="Calibri" w:cs="Times New Roman"/>
          <w:i/>
        </w:rPr>
        <w:t>et al</w:t>
      </w:r>
      <w:r>
        <w:rPr>
          <w:rFonts w:eastAsia="Calibri" w:cs="Times New Roman"/>
        </w:rPr>
        <w:t xml:space="preserve"> (</w:t>
      </w:r>
      <w:r w:rsidRPr="00085F5B">
        <w:rPr>
          <w:rFonts w:eastAsia="Calibri" w:cs="Times New Roman"/>
        </w:rPr>
        <w:t>2010</w:t>
      </w:r>
      <w:r>
        <w:rPr>
          <w:rFonts w:eastAsia="Calibri" w:cs="Times New Roman"/>
        </w:rPr>
        <w:t>)</w:t>
      </w:r>
      <w:r w:rsidR="00FB7BAD">
        <w:rPr>
          <w:rFonts w:eastAsia="Calibri" w:cs="Times New Roman"/>
        </w:rPr>
        <w:t>,</w:t>
      </w:r>
      <w:r w:rsidR="00340971">
        <w:rPr>
          <w:rFonts w:eastAsia="Calibri" w:cs="Times New Roman"/>
        </w:rPr>
        <w:fldChar w:fldCharType="begin">
          <w:fldData xml:space="preserve">PEVuZE5vdGU+PENpdGU+PEF1dGhvcj5SdXRhbGE8L0F1dGhvcj48WWVhcj4yMDEwPC9ZZWFyPjxS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PEVuZE5vdGU+PENpdGU+PEF1dGhvcj5SdXRhbGE8L0F1dGhvcj48WWVhcj4yMDEwPC9ZZWFyPjxS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40971">
        <w:rPr>
          <w:rFonts w:eastAsia="Calibri" w:cs="Times New Roman"/>
        </w:rPr>
      </w:r>
      <w:r w:rsidR="00340971">
        <w:rPr>
          <w:rFonts w:eastAsia="Calibri" w:cs="Times New Roman"/>
        </w:rPr>
        <w:fldChar w:fldCharType="separate"/>
      </w:r>
      <w:r w:rsidR="0076576E" w:rsidRPr="0076576E">
        <w:rPr>
          <w:rFonts w:eastAsia="Calibri" w:cs="Times New Roman"/>
          <w:noProof/>
          <w:vertAlign w:val="superscript"/>
        </w:rPr>
        <w:t>200</w:t>
      </w:r>
      <w:r w:rsidR="00340971">
        <w:rPr>
          <w:rFonts w:eastAsia="Calibri" w:cs="Times New Roman"/>
        </w:rPr>
        <w:fldChar w:fldCharType="end"/>
      </w:r>
      <w:r w:rsidRPr="00085F5B">
        <w:rPr>
          <w:rFonts w:eastAsia="Calibri" w:cs="Times New Roman"/>
        </w:rPr>
        <w:t xml:space="preserve"> </w:t>
      </w:r>
      <w:r>
        <w:rPr>
          <w:rFonts w:eastAsia="Calibri" w:cs="Times New Roman"/>
        </w:rPr>
        <w:t>and Department of Health</w:t>
      </w:r>
      <w:r w:rsidR="00340971">
        <w:rPr>
          <w:rFonts w:eastAsia="Calibri" w:cs="Times New Roman"/>
        </w:rPr>
        <w:fldChar w:fldCharType="begin"/>
      </w:r>
      <w:r w:rsidR="0076576E">
        <w:rPr>
          <w:rFonts w:eastAsia="Calibri" w:cs="Times New Roman"/>
        </w:rPr>
        <w:instrText xml:space="preserve"> ADDIN EN.CITE &lt;EndNote&gt;&lt;Cite&gt;&lt;Author&gt;Department of Health and Social Care&lt;/Author&gt;&lt;Year&gt;2012&lt;/Year&gt;&lt;RecNum&gt;10278&lt;/RecNum&gt;&lt;DisplayText&gt;&lt;style face="superscript"&gt;206&lt;/style&gt;&lt;/DisplayText&gt;&lt;record&gt;&lt;rec-number&gt;10278&lt;/rec-number&gt;&lt;foreign-keys&gt;&lt;key app="EN" db-id="vrp0pptazv05wtesfz5vrzsj2p0rv09ttsa9" timestamp="1521469702" guid="6461876f-5b72-40b5-b2ef-a3661762c51b"&gt;10278&lt;/key&gt;&lt;/foreign-keys&gt;&lt;ref-type name="Web Page"&gt;12&lt;/ref-type&gt;&lt;contributors&gt;&lt;authors&gt;&lt;author&gt;Department of Health and Social Care, UK.&lt;/author&gt;&lt;/authors&gt;&lt;/contributors&gt;&lt;titles&gt;&lt;title&gt;Minimise transmission risk of CJD and vCJD in healthcare settings&lt;/title&gt;&lt;/titles&gt;&lt;number&gt;23.01.18&lt;/number&gt;&lt;keywords&gt;&lt;keyword&gt;$$Lesley google&lt;/keyword&gt;&lt;keyword&gt;$$7_single use vs reusable&lt;/keyword&gt;&lt;/keywords&gt;&lt;dates&gt;&lt;year&gt;2012&lt;/year&gt;&lt;/dates&gt;&lt;pub-location&gt;&lt;style face="underline" font="default" size="100%"&gt;www.gov.uk&lt;/style&gt;&lt;/pub-location&gt;&lt;urls&gt;&lt;related-urls&gt;&lt;url&gt;&lt;style face="underline" font="default" size="100%"&gt;https://www.gov.uk/government/publications/guidance-from-the-acdp-tse-risk-management-subgroup-formerly-tse-working-group&lt;/style&gt;&lt;/url&gt;&lt;/related-urls&gt;&lt;/urls&gt;&lt;/record&gt;&lt;/Cite&gt;&lt;/EndNote&gt;</w:instrText>
      </w:r>
      <w:r w:rsidR="00340971">
        <w:rPr>
          <w:rFonts w:eastAsia="Calibri" w:cs="Times New Roman"/>
        </w:rPr>
        <w:fldChar w:fldCharType="separate"/>
      </w:r>
      <w:r w:rsidR="0076576E" w:rsidRPr="0076576E">
        <w:rPr>
          <w:rFonts w:eastAsia="Calibri" w:cs="Times New Roman"/>
          <w:noProof/>
          <w:vertAlign w:val="superscript"/>
        </w:rPr>
        <w:t>206</w:t>
      </w:r>
      <w:r w:rsidR="00340971">
        <w:rPr>
          <w:rFonts w:eastAsia="Calibri" w:cs="Times New Roman"/>
        </w:rPr>
        <w:fldChar w:fldCharType="end"/>
      </w:r>
      <w:r>
        <w:rPr>
          <w:rFonts w:eastAsia="Calibri" w:cs="Times New Roman"/>
        </w:rPr>
        <w:t>)</w:t>
      </w:r>
      <w:r w:rsidRPr="00085F5B">
        <w:rPr>
          <w:rFonts w:eastAsia="Calibri" w:cs="Times New Roman"/>
        </w:rPr>
        <w:t xml:space="preserve"> </w:t>
      </w:r>
      <w:r w:rsidR="00200527">
        <w:rPr>
          <w:rFonts w:eastAsia="Calibri" w:cs="Times New Roman"/>
        </w:rPr>
        <w:t xml:space="preserve">or </w:t>
      </w:r>
      <w:r w:rsidRPr="00085F5B">
        <w:rPr>
          <w:rFonts w:eastAsia="Calibri" w:cs="Times New Roman"/>
        </w:rPr>
        <w:t>which are now single-use (NICE 2016)</w:t>
      </w:r>
      <w:r w:rsidR="009B4E5A">
        <w:rPr>
          <w:rFonts w:eastAsia="Calibri" w:cs="Times New Roman"/>
        </w:rPr>
        <w:t>.</w:t>
      </w:r>
      <w:r w:rsidR="006A3FBC">
        <w:rPr>
          <w:rFonts w:eastAsia="Calibri" w:cs="Times New Roman"/>
        </w:rPr>
        <w:fldChar w:fldCharType="begin"/>
      </w:r>
      <w:r w:rsidR="0076576E">
        <w:rPr>
          <w:rFonts w:eastAsia="Calibri" w:cs="Times New Roman"/>
        </w:rPr>
        <w:instrText xml:space="preserve"> ADDIN EN.CITE &lt;EndNote&gt;&lt;Cite&gt;&lt;Author&gt;National Institute for Health and Care Excellence&lt;/Author&gt;&lt;Year&gt;2016&lt;/Year&gt;&lt;RecNum&gt;10286&lt;/RecNum&gt;&lt;DisplayText&gt;&lt;style face="superscript"&gt;205&lt;/style&gt;&lt;/DisplayText&gt;&lt;record&gt;&lt;rec-number&gt;10286&lt;/rec-number&gt;&lt;foreign-keys&gt;&lt;key app="EN" db-id="vrp0pptazv05wtesfz5vrzsj2p0rv09ttsa9" timestamp="1532342324" guid="b441d95a-4971-43c7-9fc2-d27eea25181f"&gt;10286&lt;/key&gt;&lt;/foreign-keys&gt;&lt;ref-type name="Journal Article"&gt;17&lt;/ref-type&gt;&lt;contributors&gt;&lt;authors&gt;&lt;author&gt;National Institute for Health and Care Excellence,&lt;/author&gt;&lt;/authors&gt;&lt;/contributors&gt;&lt;titles&gt;&lt;title&gt;Adoption and Impact Programme. IPG196 Adoption Scoping Report&lt;/title&gt;&lt;/titles&gt;&lt;keywords&gt;&lt;keyword&gt;$$CC_6_instrument set keeping&lt;/keyword&gt;&lt;keyword&gt;$$Background&lt;/keyword&gt;&lt;keyword&gt;$$7_single use vs reusable&lt;/keyword&gt;&lt;keyword&gt;$$Committee recommended&lt;/keyword&gt;&lt;/keywords&gt;&lt;dates&gt;&lt;year&gt;2016&lt;/year&gt;&lt;/dates&gt;&lt;urls&gt;&lt;/urls&gt;&lt;/record&gt;&lt;/Cite&gt;&lt;/EndNote&gt;</w:instrText>
      </w:r>
      <w:r w:rsidR="006A3FBC">
        <w:rPr>
          <w:rFonts w:eastAsia="Calibri" w:cs="Times New Roman"/>
        </w:rPr>
        <w:fldChar w:fldCharType="separate"/>
      </w:r>
      <w:r w:rsidR="0076576E" w:rsidRPr="0076576E">
        <w:rPr>
          <w:rFonts w:eastAsia="Calibri" w:cs="Times New Roman"/>
          <w:noProof/>
          <w:vertAlign w:val="superscript"/>
        </w:rPr>
        <w:t>205</w:t>
      </w:r>
      <w:r w:rsidR="006A3FBC">
        <w:rPr>
          <w:rFonts w:eastAsia="Calibri" w:cs="Times New Roman"/>
        </w:rPr>
        <w:fldChar w:fldCharType="end"/>
      </w:r>
      <w:r w:rsidRPr="00085F5B">
        <w:rPr>
          <w:rFonts w:eastAsia="Calibri" w:cs="Times New Roman"/>
        </w:rPr>
        <w:t xml:space="preserve"> Evidence on safety outcomes might have implications for the viability of single-use or disposable instruments as an alternative to reusable instruments for high-risk </w:t>
      </w:r>
      <w:r w:rsidR="00200527">
        <w:rPr>
          <w:rFonts w:eastAsia="Calibri" w:cs="Times New Roman"/>
        </w:rPr>
        <w:t>procedures</w:t>
      </w:r>
      <w:r w:rsidRPr="00085F5B">
        <w:rPr>
          <w:rFonts w:eastAsia="Calibri" w:cs="Times New Roman"/>
        </w:rPr>
        <w:t>.</w:t>
      </w:r>
    </w:p>
    <w:p w14:paraId="7F1F2413" w14:textId="408A8DDB" w:rsidR="00085F5B" w:rsidRPr="00085F5B" w:rsidRDefault="00085F5B" w:rsidP="00A27868">
      <w:pPr>
        <w:jc w:val="both"/>
        <w:rPr>
          <w:rFonts w:eastAsia="Calibri" w:cs="Times New Roman"/>
        </w:rPr>
      </w:pPr>
    </w:p>
    <w:p w14:paraId="182EE8C3" w14:textId="5F21023E" w:rsidR="004064F9" w:rsidRPr="00F84738" w:rsidRDefault="00F70CC2" w:rsidP="00F84738">
      <w:pPr>
        <w:pStyle w:val="Heading3"/>
        <w:ind w:left="720" w:hanging="720"/>
        <w:rPr>
          <w:rFonts w:eastAsia="Calibri"/>
          <w:b w:val="0"/>
          <w:i/>
        </w:rPr>
      </w:pPr>
      <w:r w:rsidRPr="00F84738">
        <w:rPr>
          <w:b w:val="0"/>
          <w:i/>
        </w:rPr>
        <w:t>2.8.1</w:t>
      </w:r>
      <w:r w:rsidRPr="00F84738">
        <w:rPr>
          <w:b w:val="0"/>
          <w:i/>
        </w:rPr>
        <w:tab/>
      </w:r>
      <w:r w:rsidR="004064F9" w:rsidRPr="00F84738">
        <w:rPr>
          <w:b w:val="0"/>
          <w:i/>
        </w:rPr>
        <w:t>Studies relating to evidence for complication rates of single-use compared with reusable instruments for high-risk procedures</w:t>
      </w:r>
      <w:r w:rsidR="004064F9" w:rsidRPr="00F84738">
        <w:rPr>
          <w:rFonts w:eastAsia="Calibri"/>
          <w:b w:val="0"/>
          <w:i/>
        </w:rPr>
        <w:t xml:space="preserve"> </w:t>
      </w:r>
    </w:p>
    <w:p w14:paraId="58750331" w14:textId="32664341" w:rsidR="00085F5B" w:rsidRDefault="00085F5B" w:rsidP="00A27868">
      <w:pPr>
        <w:jc w:val="both"/>
        <w:rPr>
          <w:rFonts w:eastAsia="Calibri" w:cs="Times New Roman"/>
        </w:rPr>
      </w:pPr>
      <w:r>
        <w:rPr>
          <w:rFonts w:eastAsia="Calibri" w:cs="Times New Roman"/>
        </w:rPr>
        <w:t>No relevant papers were identified pertaining to this review question.</w:t>
      </w:r>
    </w:p>
    <w:p w14:paraId="48A4741E" w14:textId="77777777" w:rsidR="00085F5B" w:rsidRPr="00085F5B" w:rsidRDefault="00085F5B" w:rsidP="00A27868">
      <w:pPr>
        <w:jc w:val="both"/>
        <w:rPr>
          <w:rFonts w:eastAsia="Calibri" w:cs="Times New Roman"/>
          <w:i/>
        </w:rPr>
      </w:pPr>
    </w:p>
    <w:p w14:paraId="1C086484" w14:textId="01C4E8E1" w:rsidR="00085F5B" w:rsidRPr="00F84738" w:rsidRDefault="00F70CC2" w:rsidP="00A27868">
      <w:pPr>
        <w:pStyle w:val="Heading3"/>
        <w:rPr>
          <w:rFonts w:eastAsia="Calibri"/>
          <w:b w:val="0"/>
          <w:i/>
        </w:rPr>
      </w:pPr>
      <w:r w:rsidRPr="00F84738">
        <w:rPr>
          <w:rFonts w:eastAsia="Calibri"/>
          <w:b w:val="0"/>
          <w:i/>
        </w:rPr>
        <w:t>2.8.2</w:t>
      </w:r>
      <w:r w:rsidRPr="00F84738">
        <w:rPr>
          <w:rFonts w:eastAsia="Calibri"/>
          <w:b w:val="0"/>
          <w:i/>
        </w:rPr>
        <w:tab/>
      </w:r>
      <w:r w:rsidR="002849E9">
        <w:rPr>
          <w:b w:val="0"/>
          <w:i/>
        </w:rPr>
        <w:t>Discussion/ s</w:t>
      </w:r>
      <w:r w:rsidR="002849E9" w:rsidRPr="00F84738">
        <w:rPr>
          <w:b w:val="0"/>
          <w:i/>
        </w:rPr>
        <w:t xml:space="preserve">ummary </w:t>
      </w:r>
      <w:r w:rsidR="009D50F2" w:rsidRPr="00F84738">
        <w:rPr>
          <w:rFonts w:eastAsia="Calibri"/>
          <w:b w:val="0"/>
          <w:i/>
        </w:rPr>
        <w:t>of complication rates for single-use vs reusable instruments</w:t>
      </w:r>
    </w:p>
    <w:p w14:paraId="0904DD25" w14:textId="09EBBAEC" w:rsidR="00085F5B" w:rsidRPr="00085F5B" w:rsidRDefault="00085F5B" w:rsidP="00A27868">
      <w:pPr>
        <w:jc w:val="both"/>
        <w:rPr>
          <w:rFonts w:eastAsia="Calibri" w:cs="Times New Roman"/>
          <w:lang w:val="en"/>
        </w:rPr>
      </w:pPr>
      <w:r w:rsidRPr="00085F5B">
        <w:rPr>
          <w:rFonts w:eastAsia="Calibri" w:cs="Times New Roman"/>
        </w:rPr>
        <w:t>An</w:t>
      </w:r>
      <w:r w:rsidRPr="00085F5B">
        <w:rPr>
          <w:rFonts w:eastAsia="Calibri" w:cs="Times New Roman"/>
          <w:lang w:val="en"/>
        </w:rPr>
        <w:t xml:space="preserve"> unpublished report produced for NICE in 2016 explored the barriers and facilitators affecting the implementation of NICE IPG196</w:t>
      </w:r>
      <w:r w:rsidR="00340971">
        <w:rPr>
          <w:rFonts w:eastAsia="Calibri" w:cs="Times New Roman"/>
          <w:lang w:val="en"/>
        </w:rPr>
        <w:fldChar w:fldCharType="begin"/>
      </w:r>
      <w:r w:rsidR="00892AF6">
        <w:rPr>
          <w:rFonts w:eastAsia="Calibri" w:cs="Times New Roman"/>
          <w:lang w:val="en"/>
        </w:rPr>
        <w:instrText xml:space="preserve"> ADDIN EN.CITE &lt;EndNote&gt;&lt;Cite&gt;&lt;Author&gt;National Institute for Health and Care Excellence&lt;/Author&gt;&lt;Year&gt;2008&lt;/Year&gt;&lt;RecNum&gt;10250&lt;/RecNum&gt;&lt;DisplayText&gt;&lt;style face="superscript"&gt;14&lt;/style&gt;&lt;/DisplayText&gt;&lt;record&gt;&lt;rec-number&gt;10250&lt;/rec-number&gt;&lt;foreign-keys&gt;&lt;key app="EN" db-id="vrp0pptazv05wtesfz5vrzsj2p0rv09ttsa9" timestamp="1520851583" guid="875b169c-6726-4f90-9c42-19ea7d5d9733"&gt;10250&lt;/key&gt;&lt;/foreign-keys&gt;&lt;ref-type name="Web Page"&gt;12&lt;/ref-type&gt;&lt;contributors&gt;&lt;authors&gt;&lt;author&gt;National Institute for Health and Care Excellence,&lt;/author&gt;&lt;/authors&gt;&lt;/contributors&gt;&lt;titles&gt;&lt;title&gt;NICE interventional procedure guidance 196. Patient safety and reduction of risk of transmission of Creutzfeldt–Jakob disease (CJD) via interventional procedures.&lt;/title&gt;&lt;/titles&gt;&lt;number&gt;02.02.2018&lt;/number&gt;&lt;dates&gt;&lt;year&gt;2008&lt;/year&gt;&lt;/dates&gt;&lt;urls&gt;&lt;related-urls&gt;&lt;url&gt;&lt;style face="underline" font="default" size="100%"&gt;https://www.nice.org.uk/guidance/ipg196/documents/ipg196-patient-safety-and-reduction-of-risk-of-transmission-of-creutzfeldtjakob-disease-cjd-via-interventional-procedures-guidance2&lt;/style&gt;&lt;/url&gt;&lt;/related-urls&gt;&lt;/urls&gt;&lt;/record&gt;&lt;/Cite&gt;&lt;/EndNote&gt;</w:instrText>
      </w:r>
      <w:r w:rsidR="00340971">
        <w:rPr>
          <w:rFonts w:eastAsia="Calibri" w:cs="Times New Roman"/>
          <w:lang w:val="en"/>
        </w:rPr>
        <w:fldChar w:fldCharType="separate"/>
      </w:r>
      <w:r w:rsidR="005C50C5" w:rsidRPr="005C50C5">
        <w:rPr>
          <w:rFonts w:eastAsia="Calibri" w:cs="Times New Roman"/>
          <w:noProof/>
          <w:vertAlign w:val="superscript"/>
          <w:lang w:val="en"/>
        </w:rPr>
        <w:t>14</w:t>
      </w:r>
      <w:r w:rsidR="00340971">
        <w:rPr>
          <w:rFonts w:eastAsia="Calibri" w:cs="Times New Roman"/>
          <w:lang w:val="en"/>
        </w:rPr>
        <w:fldChar w:fldCharType="end"/>
      </w:r>
      <w:r w:rsidRPr="00085F5B">
        <w:rPr>
          <w:rFonts w:eastAsia="Calibri" w:cs="Times New Roman"/>
          <w:lang w:val="en"/>
        </w:rPr>
        <w:t xml:space="preserve"> on the surgical transmission of CJD. The report </w:t>
      </w:r>
      <w:r w:rsidR="0026137D" w:rsidRPr="00085F5B">
        <w:rPr>
          <w:rFonts w:eastAsia="Calibri" w:cs="Times New Roman"/>
          <w:lang w:val="en"/>
        </w:rPr>
        <w:t>summari</w:t>
      </w:r>
      <w:r w:rsidR="0026137D">
        <w:rPr>
          <w:rFonts w:eastAsia="Calibri" w:cs="Times New Roman"/>
          <w:lang w:val="en"/>
        </w:rPr>
        <w:t>s</w:t>
      </w:r>
      <w:r w:rsidR="0026137D" w:rsidRPr="00085F5B">
        <w:rPr>
          <w:rFonts w:eastAsia="Calibri" w:cs="Times New Roman"/>
          <w:lang w:val="en"/>
        </w:rPr>
        <w:t xml:space="preserve">ed </w:t>
      </w:r>
      <w:r w:rsidRPr="00085F5B">
        <w:rPr>
          <w:rFonts w:eastAsia="Calibri" w:cs="Times New Roman"/>
          <w:lang w:val="en"/>
        </w:rPr>
        <w:t xml:space="preserve">the findings of an observational site visit and interviews with ‘clinicians and other users’ in a sample of four NHS trusts in the UK. The participants reported more frequent use of </w:t>
      </w:r>
      <w:r w:rsidR="0026137D">
        <w:rPr>
          <w:rFonts w:eastAsia="Calibri" w:cs="Times New Roman"/>
          <w:lang w:val="en"/>
        </w:rPr>
        <w:t>single-use</w:t>
      </w:r>
      <w:r w:rsidR="0026137D" w:rsidRPr="00085F5B">
        <w:rPr>
          <w:rFonts w:eastAsia="Calibri" w:cs="Times New Roman"/>
          <w:lang w:val="en"/>
        </w:rPr>
        <w:t xml:space="preserve"> </w:t>
      </w:r>
      <w:r w:rsidRPr="00085F5B">
        <w:rPr>
          <w:rFonts w:eastAsia="Calibri" w:cs="Times New Roman"/>
          <w:lang w:val="en"/>
        </w:rPr>
        <w:t xml:space="preserve">instruments and anaesthetic equipment than previously, and that </w:t>
      </w:r>
      <w:r w:rsidR="0026137D">
        <w:rPr>
          <w:rFonts w:eastAsia="Calibri" w:cs="Times New Roman"/>
          <w:lang w:val="en"/>
        </w:rPr>
        <w:t>single-use</w:t>
      </w:r>
      <w:r w:rsidR="0026137D" w:rsidRPr="00085F5B">
        <w:rPr>
          <w:rFonts w:eastAsia="Calibri" w:cs="Times New Roman"/>
          <w:lang w:val="en"/>
        </w:rPr>
        <w:t xml:space="preserve"> </w:t>
      </w:r>
      <w:r w:rsidRPr="00085F5B">
        <w:rPr>
          <w:rFonts w:eastAsia="Calibri" w:cs="Times New Roman"/>
          <w:lang w:val="en"/>
        </w:rPr>
        <w:t xml:space="preserve">instruments were increasingly relatively inexpensive. However, </w:t>
      </w:r>
      <w:r w:rsidRPr="00085F5B">
        <w:rPr>
          <w:rFonts w:eastAsia="Calibri" w:cs="Times New Roman"/>
        </w:rPr>
        <w:t xml:space="preserve">no published or unpublished studies were identified by </w:t>
      </w:r>
      <w:r w:rsidRPr="00085F5B">
        <w:rPr>
          <w:rFonts w:eastAsia="Calibri" w:cs="Times New Roman"/>
          <w:lang w:val="en"/>
        </w:rPr>
        <w:t xml:space="preserve">this systematic review </w:t>
      </w:r>
      <w:r w:rsidRPr="00085F5B">
        <w:rPr>
          <w:rFonts w:eastAsia="Calibri" w:cs="Times New Roman"/>
        </w:rPr>
        <w:t xml:space="preserve">that compared complication rates for single-use instruments </w:t>
      </w:r>
      <w:r w:rsidR="00373C52">
        <w:rPr>
          <w:rFonts w:eastAsia="Calibri" w:cs="Times New Roman"/>
        </w:rPr>
        <w:t>with</w:t>
      </w:r>
      <w:r w:rsidR="00373C52" w:rsidRPr="00085F5B">
        <w:rPr>
          <w:rFonts w:eastAsia="Calibri" w:cs="Times New Roman"/>
        </w:rPr>
        <w:t xml:space="preserve"> </w:t>
      </w:r>
      <w:r w:rsidRPr="00085F5B">
        <w:rPr>
          <w:rFonts w:eastAsia="Calibri" w:cs="Times New Roman"/>
        </w:rPr>
        <w:t>the complication rates for reusable instruments employed in the designated high-risk neurosurgeries. The relative efficacy and safety of these groups of instruments or devices is therefore unknown.</w:t>
      </w:r>
    </w:p>
    <w:p w14:paraId="1AA488F8" w14:textId="77777777" w:rsidR="00085F5B" w:rsidRPr="00085F5B" w:rsidRDefault="00085F5B" w:rsidP="00A27868">
      <w:pPr>
        <w:jc w:val="both"/>
        <w:rPr>
          <w:rFonts w:eastAsia="Calibri" w:cs="Times New Roman"/>
          <w:lang w:val="en"/>
        </w:rPr>
      </w:pPr>
    </w:p>
    <w:p w14:paraId="54E8B512" w14:textId="149686C8" w:rsidR="00767562" w:rsidRPr="009F5584" w:rsidRDefault="00A27868" w:rsidP="00BC0130">
      <w:pPr>
        <w:pStyle w:val="Heading2"/>
        <w:ind w:left="720" w:hanging="720"/>
      </w:pPr>
      <w:bookmarkStart w:id="84" w:name="_Toc525106668"/>
      <w:r>
        <w:t>2.9</w:t>
      </w:r>
      <w:r w:rsidR="00767562" w:rsidRPr="009F5584">
        <w:tab/>
        <w:t xml:space="preserve">The evidence </w:t>
      </w:r>
      <w:r w:rsidR="006824B6" w:rsidRPr="006824B6">
        <w:t xml:space="preserve">for </w:t>
      </w:r>
      <w:r w:rsidR="00A831AF">
        <w:t>the likelihood</w:t>
      </w:r>
      <w:r w:rsidR="00A831AF" w:rsidRPr="006824B6">
        <w:t xml:space="preserve"> </w:t>
      </w:r>
      <w:r w:rsidR="006824B6" w:rsidRPr="006824B6">
        <w:t>of future surgery for a patient undergoing high-risk procedures</w:t>
      </w:r>
      <w:bookmarkEnd w:id="84"/>
    </w:p>
    <w:p w14:paraId="4FBABE33" w14:textId="3477059C" w:rsidR="006824B6" w:rsidRDefault="006824B6" w:rsidP="00A27868">
      <w:pPr>
        <w:jc w:val="both"/>
        <w:rPr>
          <w:rFonts w:eastAsia="Calibri" w:cs="Times New Roman"/>
        </w:rPr>
      </w:pPr>
      <w:r w:rsidRPr="00E47760">
        <w:rPr>
          <w:rFonts w:eastAsia="Calibri" w:cs="Times New Roman"/>
        </w:rPr>
        <w:t xml:space="preserve">The purpose of this review was to identify relevant published and unpublished evidence to determine </w:t>
      </w:r>
      <w:r w:rsidRPr="00791CA6">
        <w:rPr>
          <w:rFonts w:eastAsia="Calibri" w:cs="Times New Roman"/>
        </w:rPr>
        <w:t>the risk of future surgery for a patient undergoing high-risk</w:t>
      </w:r>
      <w:r w:rsidR="00AE7BBC">
        <w:rPr>
          <w:rFonts w:eastAsia="Calibri" w:cs="Times New Roman"/>
        </w:rPr>
        <w:t xml:space="preserve"> neurosurgical</w:t>
      </w:r>
      <w:r w:rsidRPr="00EE7596">
        <w:rPr>
          <w:rFonts w:eastAsia="Calibri" w:cs="Times New Roman"/>
        </w:rPr>
        <w:t xml:space="preserve"> procedures</w:t>
      </w:r>
      <w:r w:rsidRPr="00E47760">
        <w:rPr>
          <w:rFonts w:eastAsia="Calibri" w:cs="Times New Roman"/>
        </w:rPr>
        <w:t xml:space="preserve">. </w:t>
      </w:r>
      <w:r w:rsidR="00F66EF7" w:rsidRPr="00E47760">
        <w:rPr>
          <w:rFonts w:eastAsia="Calibri" w:cs="Times New Roman"/>
        </w:rPr>
        <w:t xml:space="preserve">A risk assessment study performed for the Department of Health (2001) </w:t>
      </w:r>
      <w:r w:rsidR="00453313" w:rsidRPr="00AE7BBC">
        <w:rPr>
          <w:rFonts w:eastAsia="Calibri" w:cs="Times New Roman"/>
        </w:rPr>
        <w:t>reported one</w:t>
      </w:r>
      <w:r w:rsidR="00F66EF7" w:rsidRPr="00AE7BBC">
        <w:rPr>
          <w:rFonts w:eastAsia="Calibri" w:cs="Times New Roman"/>
        </w:rPr>
        <w:t xml:space="preserve"> factor that can have a significant impact on infection dynamics </w:t>
      </w:r>
      <w:r w:rsidR="0070235C" w:rsidRPr="00AE7BBC">
        <w:rPr>
          <w:rFonts w:eastAsia="Calibri" w:cs="Times New Roman"/>
        </w:rPr>
        <w:t>is</w:t>
      </w:r>
      <w:r w:rsidR="00F66EF7" w:rsidRPr="00AE7BBC">
        <w:rPr>
          <w:rFonts w:eastAsia="Calibri" w:cs="Times New Roman"/>
        </w:rPr>
        <w:t xml:space="preserve"> the chance of individuals having two or more operations (especially surgery to the central nervous system or posterior eye</w:t>
      </w:r>
      <w:r w:rsidR="0070235C" w:rsidRPr="00AE7BBC">
        <w:rPr>
          <w:rFonts w:eastAsia="Calibri" w:cs="Times New Roman"/>
        </w:rPr>
        <w:t>)</w:t>
      </w:r>
      <w:r w:rsidR="00F66EF7" w:rsidRPr="00454E64">
        <w:rPr>
          <w:rFonts w:eastAsia="Calibri" w:cs="Times New Roman"/>
        </w:rPr>
        <w:t>.</w:t>
      </w:r>
      <w:r w:rsidR="00340971" w:rsidRPr="00E47760">
        <w:rPr>
          <w:rFonts w:eastAsia="Calibri" w:cs="Times New Roman"/>
        </w:rPr>
        <w:fldChar w:fldCharType="begin"/>
      </w:r>
      <w:r w:rsidR="0076576E">
        <w:rPr>
          <w:rFonts w:eastAsia="Calibri" w:cs="Times New Roman"/>
        </w:rPr>
        <w:instrText xml:space="preserve"> ADDIN EN.CITE &lt;EndNote&gt;&lt;Cite&gt;&lt;Author&gt;Department of Health: Economics and Operational Research Division (EOR4)&lt;/Author&gt;&lt;Year&gt;2001&lt;/Year&gt;&lt;RecNum&gt;10279&lt;/RecNum&gt;&lt;DisplayText&gt;&lt;style face="superscript"&gt;207&lt;/style&gt;&lt;/DisplayText&gt;&lt;record&gt;&lt;rec-number&gt;10279&lt;/rec-number&gt;&lt;foreign-keys&gt;&lt;key app="EN" db-id="vrp0pptazv05wtesfz5vrzsj2p0rv09ttsa9" timestamp="1521469702" guid="a80c21a3-48c9-4a14-b60c-78a6d81639e4"&gt;10279&lt;/key&gt;&lt;/foreign-keys&gt;&lt;ref-type name="Report"&gt;27&lt;/ref-type&gt;&lt;contributors&gt;&lt;authors&gt;&lt;author&gt;Department of Health: Economics and Operational Research Division (EOR4),&lt;/author&gt;&lt;/authors&gt;&lt;secondary-authors&gt;&lt;author&gt;Government Operational Research Service&lt;/author&gt;&lt;/secondary-authors&gt;&lt;/contributors&gt;&lt;titles&gt;&lt;title&gt;Risk Assessment for Transmission of vCJD via Surgical Instruments: A Modelling Approach and Numerical Scenarios&lt;/title&gt;&lt;/titles&gt;&lt;keywords&gt;&lt;keyword&gt;$$Lesley google&lt;/keyword&gt;&lt;/keywords&gt;&lt;dates&gt;&lt;year&gt;2001&lt;/year&gt;&lt;/dates&gt;&lt;urls&gt;&lt;/urls&gt;&lt;/record&gt;&lt;/Cite&gt;&lt;/EndNote&gt;</w:instrText>
      </w:r>
      <w:r w:rsidR="00340971" w:rsidRPr="00E47760">
        <w:rPr>
          <w:rFonts w:eastAsia="Calibri" w:cs="Times New Roman"/>
        </w:rPr>
        <w:fldChar w:fldCharType="separate"/>
      </w:r>
      <w:r w:rsidR="0076576E" w:rsidRPr="0076576E">
        <w:rPr>
          <w:rFonts w:eastAsia="Calibri" w:cs="Times New Roman"/>
          <w:noProof/>
          <w:vertAlign w:val="superscript"/>
        </w:rPr>
        <w:t>207</w:t>
      </w:r>
      <w:r w:rsidR="00340971" w:rsidRPr="00E47760">
        <w:rPr>
          <w:rFonts w:eastAsia="Calibri" w:cs="Times New Roman"/>
        </w:rPr>
        <w:fldChar w:fldCharType="end"/>
      </w:r>
      <w:r w:rsidR="0070235C" w:rsidRPr="00E47760">
        <w:rPr>
          <w:rFonts w:eastAsia="Calibri" w:cs="Times New Roman"/>
        </w:rPr>
        <w:t xml:space="preserve"> </w:t>
      </w:r>
      <w:r w:rsidRPr="00E47760">
        <w:rPr>
          <w:rFonts w:eastAsia="Calibri" w:cs="Times New Roman"/>
        </w:rPr>
        <w:t>The aim</w:t>
      </w:r>
      <w:r w:rsidR="0070235C" w:rsidRPr="00E47760">
        <w:rPr>
          <w:rFonts w:eastAsia="Calibri" w:cs="Times New Roman"/>
        </w:rPr>
        <w:t xml:space="preserve"> of this review</w:t>
      </w:r>
      <w:r w:rsidRPr="00E47760">
        <w:rPr>
          <w:rFonts w:eastAsia="Calibri" w:cs="Times New Roman"/>
        </w:rPr>
        <w:t xml:space="preserve"> was to assess the potential number of high-risk tissue exposures to potentially contaminated instruments, which might then have implications for the risk of transmission of disease to patients undergoing </w:t>
      </w:r>
      <w:r w:rsidR="00200527">
        <w:rPr>
          <w:rFonts w:eastAsia="Calibri" w:cs="Times New Roman"/>
        </w:rPr>
        <w:t>high-risk procedures</w:t>
      </w:r>
      <w:r w:rsidRPr="00AE7BBC">
        <w:rPr>
          <w:rFonts w:eastAsia="Calibri" w:cs="Times New Roman"/>
        </w:rPr>
        <w:t>.</w:t>
      </w:r>
    </w:p>
    <w:p w14:paraId="44223B67" w14:textId="77777777" w:rsidR="00A27868" w:rsidRPr="00AE7BBC" w:rsidRDefault="00A27868" w:rsidP="00A27868">
      <w:pPr>
        <w:jc w:val="both"/>
        <w:rPr>
          <w:rFonts w:eastAsia="Calibri" w:cs="Times New Roman"/>
        </w:rPr>
      </w:pPr>
    </w:p>
    <w:p w14:paraId="476ED780" w14:textId="09C710F6" w:rsidR="00DE3DC0" w:rsidRPr="00F84738" w:rsidRDefault="00F70CC2" w:rsidP="00F84738">
      <w:pPr>
        <w:pStyle w:val="Heading3"/>
        <w:ind w:left="720" w:hanging="720"/>
        <w:rPr>
          <w:rFonts w:eastAsia="Calibri"/>
          <w:b w:val="0"/>
          <w:i/>
          <w:lang w:val="en"/>
        </w:rPr>
      </w:pPr>
      <w:r w:rsidRPr="00F84738">
        <w:rPr>
          <w:rFonts w:eastAsia="Calibri"/>
          <w:b w:val="0"/>
          <w:i/>
          <w:lang w:val="en"/>
        </w:rPr>
        <w:t>2.9.1</w:t>
      </w:r>
      <w:r w:rsidRPr="00F84738">
        <w:rPr>
          <w:rFonts w:eastAsia="Calibri"/>
          <w:b w:val="0"/>
          <w:i/>
          <w:lang w:val="en"/>
        </w:rPr>
        <w:tab/>
      </w:r>
      <w:r w:rsidR="00DE3DC0" w:rsidRPr="00F84738">
        <w:rPr>
          <w:rFonts w:eastAsia="Calibri"/>
          <w:b w:val="0"/>
          <w:i/>
          <w:lang w:val="en"/>
        </w:rPr>
        <w:t xml:space="preserve">Studies relating to </w:t>
      </w:r>
      <w:r w:rsidR="00DE3DC0" w:rsidRPr="00F84738">
        <w:rPr>
          <w:b w:val="0"/>
          <w:i/>
        </w:rPr>
        <w:t xml:space="preserve">evidence for </w:t>
      </w:r>
      <w:r w:rsidR="00A831AF">
        <w:rPr>
          <w:b w:val="0"/>
          <w:i/>
        </w:rPr>
        <w:t>the likelihood</w:t>
      </w:r>
      <w:r w:rsidR="00A831AF" w:rsidRPr="00F84738">
        <w:rPr>
          <w:b w:val="0"/>
          <w:i/>
        </w:rPr>
        <w:t xml:space="preserve"> </w:t>
      </w:r>
      <w:r w:rsidR="00DE3DC0" w:rsidRPr="00F84738">
        <w:rPr>
          <w:b w:val="0"/>
          <w:i/>
        </w:rPr>
        <w:t>of future surgery for a patient undergoing high-risk procedures</w:t>
      </w:r>
    </w:p>
    <w:p w14:paraId="04B0EDFA" w14:textId="61D97C78" w:rsidR="006824B6" w:rsidRPr="006824B6" w:rsidRDefault="006824B6" w:rsidP="00A27868">
      <w:pPr>
        <w:jc w:val="both"/>
        <w:rPr>
          <w:rFonts w:eastAsia="Calibri" w:cs="Times New Roman"/>
          <w:lang w:val="en"/>
        </w:rPr>
      </w:pPr>
      <w:r w:rsidRPr="006824B6">
        <w:rPr>
          <w:rFonts w:eastAsia="Calibri" w:cs="Times New Roman"/>
          <w:lang w:val="en"/>
        </w:rPr>
        <w:t xml:space="preserve">Only one study was identified that provided any evidence on the risk or rate of neurosurgery after a first neurosurgical procedure (Bird </w:t>
      </w:r>
      <w:r w:rsidR="00B301D6" w:rsidRPr="00B301D6">
        <w:rPr>
          <w:rFonts w:eastAsia="Calibri" w:cs="Times New Roman"/>
          <w:i/>
          <w:lang w:val="en"/>
        </w:rPr>
        <w:t>et al</w:t>
      </w:r>
      <w:r>
        <w:rPr>
          <w:rFonts w:eastAsia="Calibri" w:cs="Times New Roman"/>
          <w:lang w:val="en"/>
        </w:rPr>
        <w:t xml:space="preserve"> (</w:t>
      </w:r>
      <w:r w:rsidRPr="006824B6">
        <w:rPr>
          <w:rFonts w:eastAsia="Calibri" w:cs="Times New Roman"/>
          <w:lang w:val="en"/>
        </w:rPr>
        <w:t>2009)</w:t>
      </w:r>
      <w:r w:rsidR="00E47AA6">
        <w:rPr>
          <w:rFonts w:eastAsia="Calibri" w:cs="Times New Roman"/>
          <w:lang w:val="en"/>
        </w:rPr>
        <w:t>,</w:t>
      </w:r>
      <w:r w:rsidR="00340971">
        <w:rPr>
          <w:rFonts w:eastAsia="Calibri" w:cs="Times New Roman"/>
          <w:lang w:val="e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lang w:val="en"/>
        </w:rPr>
        <w:instrText xml:space="preserve"> ADDIN EN.CITE </w:instrText>
      </w:r>
      <w:r w:rsidR="0076576E">
        <w:rPr>
          <w:rFonts w:eastAsia="Calibri" w:cs="Times New Roman"/>
          <w:lang w:val="e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lang w:val="en"/>
        </w:rPr>
        <w:instrText xml:space="preserve"> ADDIN EN.CITE.DATA </w:instrText>
      </w:r>
      <w:r w:rsidR="0076576E">
        <w:rPr>
          <w:rFonts w:eastAsia="Calibri" w:cs="Times New Roman"/>
          <w:lang w:val="en"/>
        </w:rPr>
      </w:r>
      <w:r w:rsidR="0076576E">
        <w:rPr>
          <w:rFonts w:eastAsia="Calibri" w:cs="Times New Roman"/>
          <w:lang w:val="en"/>
        </w:rPr>
        <w:fldChar w:fldCharType="end"/>
      </w:r>
      <w:r w:rsidR="00340971">
        <w:rPr>
          <w:rFonts w:eastAsia="Calibri" w:cs="Times New Roman"/>
          <w:lang w:val="en"/>
        </w:rPr>
      </w:r>
      <w:r w:rsidR="00340971">
        <w:rPr>
          <w:rFonts w:eastAsia="Calibri" w:cs="Times New Roman"/>
          <w:lang w:val="en"/>
        </w:rPr>
        <w:fldChar w:fldCharType="separate"/>
      </w:r>
      <w:r w:rsidR="0076576E" w:rsidRPr="0076576E">
        <w:rPr>
          <w:rFonts w:eastAsia="Calibri" w:cs="Times New Roman"/>
          <w:noProof/>
          <w:vertAlign w:val="superscript"/>
          <w:lang w:val="en"/>
        </w:rPr>
        <w:t>208</w:t>
      </w:r>
      <w:r w:rsidR="00340971">
        <w:rPr>
          <w:rFonts w:eastAsia="Calibri" w:cs="Times New Roman"/>
          <w:lang w:val="en"/>
        </w:rPr>
        <w:fldChar w:fldCharType="end"/>
      </w:r>
      <w:r w:rsidRPr="006824B6">
        <w:rPr>
          <w:rFonts w:eastAsia="Calibri" w:cs="Times New Roman"/>
          <w:lang w:val="en"/>
        </w:rPr>
        <w:t xml:space="preserve"> see </w:t>
      </w:r>
      <w:r>
        <w:rPr>
          <w:rFonts w:eastAsia="Calibri" w:cs="Times New Roman"/>
          <w:lang w:val="en"/>
        </w:rPr>
        <w:fldChar w:fldCharType="begin"/>
      </w:r>
      <w:r>
        <w:rPr>
          <w:rFonts w:eastAsia="Calibri" w:cs="Times New Roman"/>
          <w:lang w:val="en"/>
        </w:rPr>
        <w:instrText xml:space="preserve"> REF _Ref508889124 \h </w:instrText>
      </w:r>
      <w:r>
        <w:rPr>
          <w:rFonts w:eastAsia="Calibri" w:cs="Times New Roman"/>
          <w:lang w:val="en"/>
        </w:rPr>
      </w:r>
      <w:r>
        <w:rPr>
          <w:rFonts w:eastAsia="Calibri" w:cs="Times New Roman"/>
          <w:lang w:val="en"/>
        </w:rPr>
        <w:fldChar w:fldCharType="separate"/>
      </w:r>
      <w:r w:rsidR="00690541">
        <w:t xml:space="preserve">Table </w:t>
      </w:r>
      <w:r w:rsidR="00690541">
        <w:rPr>
          <w:noProof/>
        </w:rPr>
        <w:t>22</w:t>
      </w:r>
      <w:r>
        <w:rPr>
          <w:rFonts w:eastAsia="Calibri" w:cs="Times New Roman"/>
          <w:lang w:val="en"/>
        </w:rPr>
        <w:fldChar w:fldCharType="end"/>
      </w:r>
      <w:r w:rsidRPr="006824B6">
        <w:rPr>
          <w:rFonts w:eastAsia="Calibri" w:cs="Times New Roman"/>
          <w:lang w:val="en"/>
        </w:rPr>
        <w:t xml:space="preserve">). The aim of the study was to assess the feasibility of post-mortem surveillance of patients who had undergone neurosurgical procedures at least five years previously in order to explore the prevalence of subclinical vCJD. To do this, the article analysed the relationship between mortality and re-operation rates by procedure. The annual incidence of mortality in this cohort five or more years after the first instance of neurosurgery was as </w:t>
      </w:r>
      <w:r w:rsidR="00596ED2">
        <w:rPr>
          <w:rFonts w:eastAsia="Calibri" w:cs="Times New Roman"/>
          <w:lang w:val="en"/>
        </w:rPr>
        <w:t>low</w:t>
      </w:r>
      <w:r w:rsidR="00596ED2" w:rsidRPr="006824B6">
        <w:rPr>
          <w:rFonts w:eastAsia="Calibri" w:cs="Times New Roman"/>
          <w:lang w:val="en"/>
        </w:rPr>
        <w:t xml:space="preserve"> </w:t>
      </w:r>
      <w:r w:rsidRPr="006824B6">
        <w:rPr>
          <w:rFonts w:eastAsia="Calibri" w:cs="Times New Roman"/>
          <w:lang w:val="en"/>
        </w:rPr>
        <w:t>as 3% for certain procedures</w:t>
      </w:r>
      <w:r w:rsidR="00386B7D">
        <w:rPr>
          <w:rFonts w:eastAsia="Calibri" w:cs="Times New Roman"/>
          <w:lang w:val="en"/>
        </w:rPr>
        <w:t xml:space="preserve"> that would not be considered as not high-risk</w:t>
      </w:r>
      <w:r w:rsidR="00596ED2">
        <w:rPr>
          <w:rFonts w:eastAsia="Calibri" w:cs="Times New Roman"/>
          <w:lang w:val="en"/>
        </w:rPr>
        <w:t xml:space="preserve"> (</w:t>
      </w:r>
      <w:r w:rsidR="00386B7D">
        <w:rPr>
          <w:rFonts w:eastAsia="Calibri" w:cs="Times New Roman"/>
          <w:lang w:val="en"/>
        </w:rPr>
        <w:t xml:space="preserve">such as </w:t>
      </w:r>
      <w:r w:rsidR="00596ED2">
        <w:rPr>
          <w:rFonts w:eastAsia="Calibri" w:cs="Times New Roman"/>
          <w:lang w:val="en"/>
        </w:rPr>
        <w:t>primary/revision excision of a lumbar disc)</w:t>
      </w:r>
      <w:r w:rsidRPr="006824B6">
        <w:rPr>
          <w:rFonts w:eastAsia="Calibri" w:cs="Times New Roman"/>
          <w:lang w:val="en"/>
        </w:rPr>
        <w:t xml:space="preserve">: </w:t>
      </w:r>
      <w:r w:rsidR="00386B7D">
        <w:rPr>
          <w:rFonts w:eastAsia="Calibri" w:cs="Times New Roman"/>
          <w:lang w:val="en"/>
        </w:rPr>
        <w:t xml:space="preserve">whereas </w:t>
      </w:r>
      <w:r w:rsidRPr="006824B6">
        <w:rPr>
          <w:rFonts w:eastAsia="Calibri" w:cs="Times New Roman"/>
          <w:lang w:val="en"/>
        </w:rPr>
        <w:t xml:space="preserve">a greater likelihood of mortality was associated with </w:t>
      </w:r>
      <w:r w:rsidR="00386B7D">
        <w:rPr>
          <w:rFonts w:eastAsia="Calibri" w:cs="Times New Roman"/>
          <w:lang w:val="en"/>
        </w:rPr>
        <w:t>other</w:t>
      </w:r>
      <w:r w:rsidRPr="006824B6">
        <w:rPr>
          <w:rFonts w:eastAsia="Calibri" w:cs="Times New Roman"/>
          <w:lang w:val="en"/>
        </w:rPr>
        <w:t xml:space="preserve"> procedures (e.g. brain excisions and the drainage of extra- and sub-dural haematomas). </w:t>
      </w:r>
    </w:p>
    <w:p w14:paraId="12A63690" w14:textId="04BE7E71" w:rsidR="006824B6" w:rsidRPr="006824B6" w:rsidRDefault="006824B6" w:rsidP="00A27868">
      <w:pPr>
        <w:jc w:val="both"/>
        <w:rPr>
          <w:rFonts w:eastAsia="Calibri" w:cs="Times New Roman"/>
          <w:b/>
        </w:rPr>
      </w:pPr>
    </w:p>
    <w:p w14:paraId="7627765C" w14:textId="6B32C157" w:rsidR="006824B6" w:rsidRDefault="006824B6" w:rsidP="00A27868">
      <w:pPr>
        <w:pStyle w:val="Caption"/>
        <w:keepNext/>
        <w:spacing w:line="360" w:lineRule="auto"/>
      </w:pPr>
      <w:bookmarkStart w:id="85" w:name="_Ref508889124"/>
      <w:bookmarkStart w:id="86" w:name="_Toc525106709"/>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22</w:t>
      </w:r>
      <w:r w:rsidR="00F62DB8">
        <w:rPr>
          <w:noProof/>
        </w:rPr>
        <w:fldChar w:fldCharType="end"/>
      </w:r>
      <w:bookmarkEnd w:id="85"/>
      <w:r>
        <w:t>:</w:t>
      </w:r>
      <w:r w:rsidR="00A27868">
        <w:tab/>
      </w:r>
      <w:r w:rsidRPr="00053726">
        <w:t>Characteristics of included studies</w:t>
      </w:r>
      <w:bookmarkEnd w:id="86"/>
    </w:p>
    <w:tbl>
      <w:tblPr>
        <w:tblStyle w:val="TableGrid6"/>
        <w:tblW w:w="9180" w:type="dxa"/>
        <w:tblLook w:val="04A0" w:firstRow="1" w:lastRow="0" w:firstColumn="1" w:lastColumn="0" w:noHBand="0" w:noVBand="1"/>
      </w:tblPr>
      <w:tblGrid>
        <w:gridCol w:w="1024"/>
        <w:gridCol w:w="1133"/>
        <w:gridCol w:w="1294"/>
        <w:gridCol w:w="1193"/>
        <w:gridCol w:w="1701"/>
        <w:gridCol w:w="2835"/>
      </w:tblGrid>
      <w:tr w:rsidR="00453313" w:rsidRPr="006824B6" w14:paraId="1835BB9B" w14:textId="77777777" w:rsidTr="00F433E3">
        <w:tc>
          <w:tcPr>
            <w:tcW w:w="1024" w:type="dxa"/>
          </w:tcPr>
          <w:p w14:paraId="0D87E245" w14:textId="77777777" w:rsidR="006824B6" w:rsidRPr="006824B6" w:rsidRDefault="006824B6" w:rsidP="00A27868">
            <w:pPr>
              <w:spacing w:line="240" w:lineRule="auto"/>
              <w:rPr>
                <w:rFonts w:eastAsia="Calibri" w:cs="Times New Roman"/>
              </w:rPr>
            </w:pPr>
            <w:r w:rsidRPr="006824B6">
              <w:rPr>
                <w:rFonts w:eastAsia="Calibri" w:cs="Times New Roman"/>
              </w:rPr>
              <w:t>Study</w:t>
            </w:r>
          </w:p>
        </w:tc>
        <w:tc>
          <w:tcPr>
            <w:tcW w:w="1133" w:type="dxa"/>
          </w:tcPr>
          <w:p w14:paraId="31002E22" w14:textId="77777777" w:rsidR="006824B6" w:rsidRPr="006824B6" w:rsidRDefault="006824B6" w:rsidP="00A27868">
            <w:pPr>
              <w:spacing w:line="240" w:lineRule="auto"/>
              <w:rPr>
                <w:rFonts w:eastAsia="Calibri" w:cs="Times New Roman"/>
              </w:rPr>
            </w:pPr>
            <w:r w:rsidRPr="006824B6">
              <w:rPr>
                <w:rFonts w:eastAsia="Calibri" w:cs="Times New Roman"/>
              </w:rPr>
              <w:t>Country</w:t>
            </w:r>
          </w:p>
        </w:tc>
        <w:tc>
          <w:tcPr>
            <w:tcW w:w="1294" w:type="dxa"/>
          </w:tcPr>
          <w:p w14:paraId="6EF6A99D" w14:textId="77777777" w:rsidR="006824B6" w:rsidRPr="006824B6" w:rsidRDefault="006824B6" w:rsidP="00A27868">
            <w:pPr>
              <w:spacing w:line="240" w:lineRule="auto"/>
              <w:rPr>
                <w:rFonts w:eastAsia="Calibri" w:cs="Times New Roman"/>
              </w:rPr>
            </w:pPr>
            <w:r w:rsidRPr="006824B6">
              <w:rPr>
                <w:rFonts w:eastAsia="Calibri" w:cs="Times New Roman"/>
              </w:rPr>
              <w:t>Time period</w:t>
            </w:r>
          </w:p>
        </w:tc>
        <w:tc>
          <w:tcPr>
            <w:tcW w:w="1193" w:type="dxa"/>
          </w:tcPr>
          <w:p w14:paraId="07D5CF05" w14:textId="77777777" w:rsidR="006824B6" w:rsidRPr="006824B6" w:rsidRDefault="006824B6" w:rsidP="00A27868">
            <w:pPr>
              <w:spacing w:line="240" w:lineRule="auto"/>
              <w:rPr>
                <w:rFonts w:eastAsia="Calibri" w:cs="Times New Roman"/>
              </w:rPr>
            </w:pPr>
            <w:r w:rsidRPr="006824B6">
              <w:rPr>
                <w:rFonts w:eastAsia="Calibri" w:cs="Times New Roman"/>
              </w:rPr>
              <w:t>Design</w:t>
            </w:r>
          </w:p>
        </w:tc>
        <w:tc>
          <w:tcPr>
            <w:tcW w:w="1701" w:type="dxa"/>
          </w:tcPr>
          <w:p w14:paraId="3073A458" w14:textId="77777777" w:rsidR="006824B6" w:rsidRPr="006824B6" w:rsidRDefault="006824B6" w:rsidP="00A27868">
            <w:pPr>
              <w:spacing w:line="240" w:lineRule="auto"/>
              <w:rPr>
                <w:rFonts w:eastAsia="Calibri" w:cs="Times New Roman"/>
              </w:rPr>
            </w:pPr>
            <w:r w:rsidRPr="006824B6">
              <w:rPr>
                <w:rFonts w:eastAsia="Calibri" w:cs="Times New Roman"/>
              </w:rPr>
              <w:t>Type of surgery</w:t>
            </w:r>
          </w:p>
        </w:tc>
        <w:tc>
          <w:tcPr>
            <w:tcW w:w="2835" w:type="dxa"/>
          </w:tcPr>
          <w:p w14:paraId="5F74A047" w14:textId="77777777" w:rsidR="006824B6" w:rsidRPr="006824B6" w:rsidRDefault="006824B6" w:rsidP="00A27868">
            <w:pPr>
              <w:spacing w:line="240" w:lineRule="auto"/>
              <w:rPr>
                <w:rFonts w:eastAsia="Calibri" w:cs="Times New Roman"/>
              </w:rPr>
            </w:pPr>
            <w:r w:rsidRPr="006824B6">
              <w:rPr>
                <w:rFonts w:eastAsia="Calibri" w:cs="Times New Roman"/>
              </w:rPr>
              <w:t>Details</w:t>
            </w:r>
          </w:p>
        </w:tc>
      </w:tr>
      <w:tr w:rsidR="00453313" w:rsidRPr="006824B6" w14:paraId="1ACAC76D" w14:textId="77777777" w:rsidTr="00F433E3">
        <w:tc>
          <w:tcPr>
            <w:tcW w:w="1024" w:type="dxa"/>
          </w:tcPr>
          <w:p w14:paraId="606AEDCB" w14:textId="7E28AFC3" w:rsidR="006824B6" w:rsidRPr="006824B6" w:rsidRDefault="006824B6" w:rsidP="0076576E">
            <w:pPr>
              <w:spacing w:line="240" w:lineRule="auto"/>
              <w:rPr>
                <w:rFonts w:eastAsia="Calibri" w:cs="Times New Roman"/>
              </w:rPr>
            </w:pPr>
            <w:r w:rsidRPr="006824B6">
              <w:rPr>
                <w:rFonts w:eastAsia="Calibri" w:cs="Times New Roman"/>
              </w:rPr>
              <w:t>Bird</w:t>
            </w:r>
            <w:r>
              <w:rPr>
                <w:rFonts w:eastAsia="Calibri" w:cs="Times New Roman"/>
              </w:rPr>
              <w:t xml:space="preserve"> </w:t>
            </w:r>
            <w:r w:rsidR="00B301D6" w:rsidRPr="00B301D6">
              <w:rPr>
                <w:rFonts w:eastAsia="Calibri" w:cs="Times New Roman"/>
                <w:i/>
              </w:rPr>
              <w:t>et al</w:t>
            </w:r>
            <w:r>
              <w:rPr>
                <w:rFonts w:eastAsia="Calibri" w:cs="Times New Roman"/>
              </w:rPr>
              <w:t xml:space="preserve"> (20</w:t>
            </w:r>
            <w:r w:rsidRPr="006824B6">
              <w:rPr>
                <w:rFonts w:eastAsia="Calibri" w:cs="Times New Roman"/>
              </w:rPr>
              <w:t>09</w:t>
            </w:r>
            <w:r>
              <w:rPr>
                <w:rFonts w:eastAsia="Calibri" w:cs="Times New Roman"/>
              </w:rPr>
              <w:t>)</w:t>
            </w:r>
            <w:r w:rsidR="00340971">
              <w:rPr>
                <w:rFonts w:eastAsia="Calibri" w:cs="Times New Roma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40971">
              <w:rPr>
                <w:rFonts w:eastAsia="Calibri" w:cs="Times New Roman"/>
              </w:rPr>
            </w:r>
            <w:r w:rsidR="00340971">
              <w:rPr>
                <w:rFonts w:eastAsia="Calibri" w:cs="Times New Roman"/>
              </w:rPr>
              <w:fldChar w:fldCharType="separate"/>
            </w:r>
            <w:r w:rsidR="0076576E" w:rsidRPr="0076576E">
              <w:rPr>
                <w:rFonts w:eastAsia="Calibri" w:cs="Times New Roman"/>
                <w:noProof/>
                <w:vertAlign w:val="superscript"/>
              </w:rPr>
              <w:t>208</w:t>
            </w:r>
            <w:r w:rsidR="00340971">
              <w:rPr>
                <w:rFonts w:eastAsia="Calibri" w:cs="Times New Roman"/>
              </w:rPr>
              <w:fldChar w:fldCharType="end"/>
            </w:r>
            <w:r w:rsidRPr="006824B6">
              <w:rPr>
                <w:rFonts w:eastAsia="Calibri" w:cs="Times New Roman"/>
              </w:rPr>
              <w:t xml:space="preserve"> </w:t>
            </w:r>
          </w:p>
        </w:tc>
        <w:tc>
          <w:tcPr>
            <w:tcW w:w="1133" w:type="dxa"/>
          </w:tcPr>
          <w:p w14:paraId="01315F57" w14:textId="77777777" w:rsidR="006824B6" w:rsidRPr="006824B6" w:rsidRDefault="006824B6" w:rsidP="00A27868">
            <w:pPr>
              <w:spacing w:line="240" w:lineRule="auto"/>
              <w:rPr>
                <w:rFonts w:eastAsia="Calibri" w:cs="Times New Roman"/>
              </w:rPr>
            </w:pPr>
            <w:r w:rsidRPr="006824B6">
              <w:rPr>
                <w:rFonts w:eastAsia="Calibri" w:cs="Times New Roman"/>
              </w:rPr>
              <w:t>UK (Scotland)</w:t>
            </w:r>
          </w:p>
        </w:tc>
        <w:tc>
          <w:tcPr>
            <w:tcW w:w="1294" w:type="dxa"/>
          </w:tcPr>
          <w:p w14:paraId="5E2330DF" w14:textId="77777777" w:rsidR="006824B6" w:rsidRPr="006824B6" w:rsidRDefault="006824B6" w:rsidP="00A27868">
            <w:pPr>
              <w:spacing w:line="240" w:lineRule="auto"/>
              <w:rPr>
                <w:rFonts w:eastAsia="Calibri" w:cs="Times New Roman"/>
              </w:rPr>
            </w:pPr>
            <w:r w:rsidRPr="006824B6">
              <w:rPr>
                <w:rFonts w:eastAsia="Calibri" w:cs="Times New Roman"/>
              </w:rPr>
              <w:t>1993-2001</w:t>
            </w:r>
          </w:p>
        </w:tc>
        <w:tc>
          <w:tcPr>
            <w:tcW w:w="1193" w:type="dxa"/>
          </w:tcPr>
          <w:p w14:paraId="0716B18F" w14:textId="77777777" w:rsidR="006824B6" w:rsidRPr="006824B6" w:rsidRDefault="006824B6" w:rsidP="00A27868">
            <w:pPr>
              <w:autoSpaceDE w:val="0"/>
              <w:autoSpaceDN w:val="0"/>
              <w:adjustRightInd w:val="0"/>
              <w:spacing w:line="240" w:lineRule="auto"/>
              <w:rPr>
                <w:rFonts w:eastAsia="Calibri" w:cs="Times New Roman"/>
              </w:rPr>
            </w:pPr>
            <w:r w:rsidRPr="006824B6">
              <w:rPr>
                <w:rFonts w:eastAsia="Calibri" w:cs="Times New Roman"/>
              </w:rPr>
              <w:t>Audit and evaluation</w:t>
            </w:r>
          </w:p>
        </w:tc>
        <w:tc>
          <w:tcPr>
            <w:tcW w:w="1701" w:type="dxa"/>
          </w:tcPr>
          <w:p w14:paraId="0CA67206" w14:textId="02D8F655" w:rsidR="006824B6" w:rsidRPr="006824B6" w:rsidRDefault="006824B6" w:rsidP="00A27868">
            <w:pPr>
              <w:spacing w:line="240" w:lineRule="auto"/>
              <w:rPr>
                <w:rFonts w:eastAsia="Calibri" w:cs="Times New Roman"/>
              </w:rPr>
            </w:pPr>
            <w:r w:rsidRPr="006824B6">
              <w:rPr>
                <w:rFonts w:eastAsia="Calibri" w:cs="Times New Roman"/>
              </w:rPr>
              <w:t xml:space="preserve">Neurosurgery </w:t>
            </w:r>
          </w:p>
        </w:tc>
        <w:tc>
          <w:tcPr>
            <w:tcW w:w="2835" w:type="dxa"/>
          </w:tcPr>
          <w:p w14:paraId="64EAB265" w14:textId="6BACA159" w:rsidR="006824B6" w:rsidRPr="006824B6" w:rsidRDefault="00453313" w:rsidP="00A27868">
            <w:pPr>
              <w:autoSpaceDE w:val="0"/>
              <w:autoSpaceDN w:val="0"/>
              <w:adjustRightInd w:val="0"/>
              <w:spacing w:line="240" w:lineRule="auto"/>
              <w:rPr>
                <w:rFonts w:eastAsia="Calibri" w:cs="Times New Roman"/>
              </w:rPr>
            </w:pPr>
            <w:r>
              <w:rPr>
                <w:rFonts w:eastAsia="Calibri" w:cs="Times New Roman"/>
              </w:rPr>
              <w:t xml:space="preserve">Neurosurgery (and proportions of patients experiencing more than one procedure) and mortality </w:t>
            </w:r>
          </w:p>
        </w:tc>
      </w:tr>
    </w:tbl>
    <w:p w14:paraId="7051684D" w14:textId="77777777" w:rsidR="006824B6" w:rsidRPr="006824B6" w:rsidRDefault="006824B6" w:rsidP="00A27868">
      <w:pPr>
        <w:jc w:val="both"/>
        <w:rPr>
          <w:rFonts w:eastAsia="Calibri" w:cs="Times New Roman"/>
        </w:rPr>
      </w:pPr>
    </w:p>
    <w:p w14:paraId="7E1B4BA7" w14:textId="524654AF" w:rsidR="006824B6" w:rsidRPr="006824B6" w:rsidRDefault="006824B6" w:rsidP="00A27868">
      <w:pPr>
        <w:jc w:val="both"/>
        <w:rPr>
          <w:rFonts w:eastAsia="Calibri" w:cs="Times New Roman"/>
          <w:lang w:val="en"/>
        </w:rPr>
      </w:pPr>
      <w:r w:rsidRPr="006824B6">
        <w:rPr>
          <w:rFonts w:eastAsia="Calibri" w:cs="Times New Roman"/>
          <w:lang w:val="en"/>
        </w:rPr>
        <w:t xml:space="preserve">The article reported the extraction and analysis of patient records’ data relating to the 10 most frequent neurosurgical operations performed in Scotland in the period 1993-2001, </w:t>
      </w:r>
      <w:r w:rsidR="00C83FA0">
        <w:rPr>
          <w:rFonts w:eastAsia="Calibri" w:cs="Times New Roman"/>
          <w:lang w:val="en"/>
        </w:rPr>
        <w:t>focusing on</w:t>
      </w:r>
      <w:r w:rsidRPr="006824B6">
        <w:rPr>
          <w:rFonts w:eastAsia="Calibri" w:cs="Times New Roman"/>
          <w:lang w:val="en"/>
        </w:rPr>
        <w:t xml:space="preserve"> four procedures considered to present a medium- or high risk of CJD prion transmission: drainage of extra- and sub-dural haematoma; cerebral aneurysm operations; primary or revisional decompression operations; and the creation of ventricular shunts (</w:t>
      </w:r>
      <w:r w:rsidRPr="006824B6">
        <w:rPr>
          <w:rFonts w:eastAsia="Calibri" w:cs="Times New Roman"/>
        </w:rPr>
        <w:t>Bird</w:t>
      </w:r>
      <w:r>
        <w:rPr>
          <w:rFonts w:eastAsia="Calibri" w:cs="Times New Roman"/>
        </w:rPr>
        <w:t xml:space="preserve"> </w:t>
      </w:r>
      <w:r w:rsidR="00B301D6" w:rsidRPr="00B301D6">
        <w:rPr>
          <w:rFonts w:eastAsia="Calibri" w:cs="Times New Roman"/>
          <w:i/>
        </w:rPr>
        <w:t>et al</w:t>
      </w:r>
      <w:r>
        <w:rPr>
          <w:rFonts w:eastAsia="Calibri" w:cs="Times New Roman"/>
        </w:rPr>
        <w:t xml:space="preserve"> (20</w:t>
      </w:r>
      <w:r w:rsidRPr="006824B6">
        <w:rPr>
          <w:rFonts w:eastAsia="Calibri" w:cs="Times New Roman"/>
        </w:rPr>
        <w:t>09</w:t>
      </w:r>
      <w:r>
        <w:rPr>
          <w:rFonts w:eastAsia="Calibri" w:cs="Times New Roman"/>
        </w:rPr>
        <w:t>)</w:t>
      </w:r>
      <w:r w:rsidR="00340971">
        <w:rPr>
          <w:rFonts w:eastAsia="Calibri" w:cs="Times New Roma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340971">
        <w:rPr>
          <w:rFonts w:eastAsia="Calibri" w:cs="Times New Roman"/>
        </w:rPr>
      </w:r>
      <w:r w:rsidR="00340971">
        <w:rPr>
          <w:rFonts w:eastAsia="Calibri" w:cs="Times New Roman"/>
        </w:rPr>
        <w:fldChar w:fldCharType="separate"/>
      </w:r>
      <w:r w:rsidR="0076576E" w:rsidRPr="0076576E">
        <w:rPr>
          <w:rFonts w:eastAsia="Calibri" w:cs="Times New Roman"/>
          <w:noProof/>
          <w:vertAlign w:val="superscript"/>
        </w:rPr>
        <w:t>208</w:t>
      </w:r>
      <w:r w:rsidR="00340971">
        <w:rPr>
          <w:rFonts w:eastAsia="Calibri" w:cs="Times New Roman"/>
        </w:rPr>
        <w:fldChar w:fldCharType="end"/>
      </w:r>
      <w:r w:rsidRPr="006824B6">
        <w:rPr>
          <w:rFonts w:eastAsia="Calibri" w:cs="Times New Roman"/>
          <w:lang w:val="en"/>
        </w:rPr>
        <w:t xml:space="preserve">). Two additional procedures </w:t>
      </w:r>
      <w:r w:rsidR="00C83FA0">
        <w:rPr>
          <w:rFonts w:eastAsia="Calibri" w:cs="Times New Roman"/>
          <w:lang w:val="en"/>
        </w:rPr>
        <w:t xml:space="preserve">from this paper </w:t>
      </w:r>
      <w:r w:rsidRPr="006824B6">
        <w:rPr>
          <w:rFonts w:eastAsia="Calibri" w:cs="Times New Roman"/>
          <w:lang w:val="en"/>
        </w:rPr>
        <w:t>have also been included here as potentially relevant: unspecified excision of brain, and excision of brain lesion(s)</w:t>
      </w:r>
      <w:r w:rsidR="00C83FA0">
        <w:rPr>
          <w:rFonts w:eastAsia="Calibri" w:cs="Times New Roman"/>
          <w:lang w:val="en"/>
        </w:rPr>
        <w:t xml:space="preserve"> due to</w:t>
      </w:r>
      <w:r w:rsidR="00596ED2">
        <w:rPr>
          <w:rFonts w:eastAsia="Calibri" w:cs="Times New Roman"/>
          <w:lang w:val="en"/>
        </w:rPr>
        <w:t xml:space="preserve"> their low 5-yr survival rates (</w:t>
      </w:r>
      <w:r w:rsidR="00C83FA0">
        <w:rPr>
          <w:rFonts w:eastAsia="Calibri" w:cs="Times New Roman"/>
          <w:lang w:val="en"/>
        </w:rPr>
        <w:t>41.5</w:t>
      </w:r>
      <w:r w:rsidR="00596ED2">
        <w:rPr>
          <w:rFonts w:eastAsia="Calibri" w:cs="Times New Roman"/>
          <w:lang w:val="en"/>
        </w:rPr>
        <w:t xml:space="preserve"> and 29.9 respectively)</w:t>
      </w:r>
      <w:r w:rsidRPr="006824B6">
        <w:rPr>
          <w:rFonts w:eastAsia="Calibri" w:cs="Times New Roman"/>
          <w:lang w:val="en"/>
        </w:rPr>
        <w:t xml:space="preserve">. In terms of the current review, the aim was to document the potential for surgical transmission through contaminated instruments by establishing the rate of future </w:t>
      </w:r>
      <w:r w:rsidR="00200527">
        <w:rPr>
          <w:rFonts w:eastAsia="Calibri" w:cs="Times New Roman"/>
          <w:lang w:val="en"/>
        </w:rPr>
        <w:t>high-risk</w:t>
      </w:r>
      <w:r w:rsidRPr="006824B6">
        <w:rPr>
          <w:rFonts w:eastAsia="Calibri" w:cs="Times New Roman"/>
          <w:lang w:val="en"/>
        </w:rPr>
        <w:t xml:space="preserve"> procedures following an index procedure. It is not clear whether, in the Bird (2009)</w:t>
      </w:r>
      <w:r w:rsidR="00C94122">
        <w:rPr>
          <w:rFonts w:eastAsia="Calibri" w:cs="Times New Roma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C94122">
        <w:rPr>
          <w:rFonts w:eastAsia="Calibri" w:cs="Times New Roman"/>
        </w:rPr>
      </w:r>
      <w:r w:rsidR="00C94122">
        <w:rPr>
          <w:rFonts w:eastAsia="Calibri" w:cs="Times New Roman"/>
        </w:rPr>
        <w:fldChar w:fldCharType="separate"/>
      </w:r>
      <w:r w:rsidR="0076576E" w:rsidRPr="0076576E">
        <w:rPr>
          <w:rFonts w:eastAsia="Calibri" w:cs="Times New Roman"/>
          <w:noProof/>
          <w:vertAlign w:val="superscript"/>
        </w:rPr>
        <w:t>208</w:t>
      </w:r>
      <w:r w:rsidR="00C94122">
        <w:rPr>
          <w:rFonts w:eastAsia="Calibri" w:cs="Times New Roman"/>
        </w:rPr>
        <w:fldChar w:fldCharType="end"/>
      </w:r>
      <w:r w:rsidRPr="006824B6">
        <w:rPr>
          <w:rFonts w:eastAsia="Calibri" w:cs="Times New Roman"/>
          <w:lang w:val="en"/>
        </w:rPr>
        <w:t xml:space="preserve"> report, the future procedures are always the same as the index procedure (i.e. if the index procedure was concerned ventricular shunts, then the reported rates of future procedures also only related to ventricular shunts) or whether they might be a neurosurgical procedure different from the index procedure. The evidence was presented as event rates for procedures deemed to be of high or medium potential risk of vCJD transmission (see </w:t>
      </w:r>
      <w:r w:rsidR="00F66EF7">
        <w:rPr>
          <w:rFonts w:eastAsia="Calibri" w:cs="Times New Roman"/>
          <w:lang w:val="en"/>
        </w:rPr>
        <w:fldChar w:fldCharType="begin"/>
      </w:r>
      <w:r w:rsidR="00F66EF7">
        <w:rPr>
          <w:rFonts w:eastAsia="Calibri" w:cs="Times New Roman"/>
          <w:lang w:val="en"/>
        </w:rPr>
        <w:instrText xml:space="preserve"> REF _Ref508889237 \h </w:instrText>
      </w:r>
      <w:r w:rsidR="00F66EF7">
        <w:rPr>
          <w:rFonts w:eastAsia="Calibri" w:cs="Times New Roman"/>
          <w:lang w:val="en"/>
        </w:rPr>
      </w:r>
      <w:r w:rsidR="00F66EF7">
        <w:rPr>
          <w:rFonts w:eastAsia="Calibri" w:cs="Times New Roman"/>
          <w:lang w:val="en"/>
        </w:rPr>
        <w:fldChar w:fldCharType="separate"/>
      </w:r>
      <w:r w:rsidR="00690541">
        <w:t xml:space="preserve">Table </w:t>
      </w:r>
      <w:r w:rsidR="00690541">
        <w:rPr>
          <w:noProof/>
        </w:rPr>
        <w:t>23</w:t>
      </w:r>
      <w:r w:rsidR="00F66EF7">
        <w:rPr>
          <w:rFonts w:eastAsia="Calibri" w:cs="Times New Roman"/>
          <w:lang w:val="en"/>
        </w:rPr>
        <w:fldChar w:fldCharType="end"/>
      </w:r>
      <w:r w:rsidRPr="006824B6">
        <w:rPr>
          <w:rFonts w:eastAsia="Calibri" w:cs="Times New Roman"/>
          <w:lang w:val="en"/>
        </w:rPr>
        <w:t xml:space="preserve">). </w:t>
      </w:r>
    </w:p>
    <w:p w14:paraId="78324545" w14:textId="7796EDA3" w:rsidR="006824B6" w:rsidRPr="006824B6" w:rsidRDefault="006824B6" w:rsidP="00A27868">
      <w:pPr>
        <w:rPr>
          <w:rFonts w:eastAsia="Calibri" w:cs="Times New Roman"/>
          <w:b/>
        </w:rPr>
      </w:pPr>
    </w:p>
    <w:p w14:paraId="2789FCB2" w14:textId="63BEBB2B" w:rsidR="006824B6" w:rsidRDefault="006824B6" w:rsidP="00A27868">
      <w:pPr>
        <w:pStyle w:val="Caption"/>
        <w:keepNext/>
        <w:spacing w:line="360" w:lineRule="auto"/>
        <w:ind w:left="1440" w:hanging="1440"/>
      </w:pPr>
      <w:bookmarkStart w:id="87" w:name="_Ref508889237"/>
      <w:bookmarkStart w:id="88" w:name="_Toc525106710"/>
      <w:r>
        <w:t xml:space="preserve">Table </w:t>
      </w:r>
      <w:r w:rsidR="00F62DB8">
        <w:rPr>
          <w:noProof/>
        </w:rPr>
        <w:fldChar w:fldCharType="begin"/>
      </w:r>
      <w:r w:rsidR="00F62DB8">
        <w:rPr>
          <w:noProof/>
        </w:rPr>
        <w:instrText xml:space="preserve"> SEQ Table \* ARABIC </w:instrText>
      </w:r>
      <w:r w:rsidR="00F62DB8">
        <w:rPr>
          <w:noProof/>
        </w:rPr>
        <w:fldChar w:fldCharType="separate"/>
      </w:r>
      <w:r w:rsidR="00690541">
        <w:rPr>
          <w:noProof/>
        </w:rPr>
        <w:t>23</w:t>
      </w:r>
      <w:r w:rsidR="00F62DB8">
        <w:rPr>
          <w:noProof/>
        </w:rPr>
        <w:fldChar w:fldCharType="end"/>
      </w:r>
      <w:bookmarkEnd w:id="87"/>
      <w:r>
        <w:t>:</w:t>
      </w:r>
      <w:r w:rsidR="00A27868">
        <w:tab/>
      </w:r>
      <w:r w:rsidRPr="0026285F">
        <w:t xml:space="preserve">Findings of Bird </w:t>
      </w:r>
      <w:r w:rsidR="00B301D6" w:rsidRPr="00B301D6">
        <w:rPr>
          <w:i/>
        </w:rPr>
        <w:t>et al</w:t>
      </w:r>
      <w:r w:rsidR="00F66EF7">
        <w:t xml:space="preserve"> (</w:t>
      </w:r>
      <w:r w:rsidRPr="0026285F">
        <w:t>2009</w:t>
      </w:r>
      <w:r w:rsidR="00F66EF7">
        <w:t>)</w:t>
      </w:r>
      <w:r w:rsidR="00C94122">
        <w:rPr>
          <w:rFonts w:eastAsia="Calibri" w:cs="Times New Roma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C94122">
        <w:rPr>
          <w:rFonts w:eastAsia="Calibri" w:cs="Times New Roman"/>
        </w:rPr>
      </w:r>
      <w:r w:rsidR="00C94122">
        <w:rPr>
          <w:rFonts w:eastAsia="Calibri" w:cs="Times New Roman"/>
        </w:rPr>
        <w:fldChar w:fldCharType="separate"/>
      </w:r>
      <w:r w:rsidR="0076576E" w:rsidRPr="0076576E">
        <w:rPr>
          <w:rFonts w:eastAsia="Calibri" w:cs="Times New Roman"/>
          <w:noProof/>
          <w:vertAlign w:val="superscript"/>
        </w:rPr>
        <w:t>208</w:t>
      </w:r>
      <w:r w:rsidR="00C94122">
        <w:rPr>
          <w:rFonts w:eastAsia="Calibri" w:cs="Times New Roman"/>
        </w:rPr>
        <w:fldChar w:fldCharType="end"/>
      </w:r>
      <w:r w:rsidRPr="0026285F">
        <w:t xml:space="preserve"> on subsequent event rates for selected neurosurgical procedures for any patient within the time period 1993-2001</w:t>
      </w:r>
      <w:bookmarkEnd w:id="88"/>
    </w:p>
    <w:tbl>
      <w:tblPr>
        <w:tblStyle w:val="TableGrid6"/>
        <w:tblW w:w="0" w:type="auto"/>
        <w:tblLook w:val="04A0" w:firstRow="1" w:lastRow="0" w:firstColumn="1" w:lastColumn="0" w:noHBand="0" w:noVBand="1"/>
      </w:tblPr>
      <w:tblGrid>
        <w:gridCol w:w="2267"/>
        <w:gridCol w:w="2250"/>
        <w:gridCol w:w="2100"/>
        <w:gridCol w:w="2399"/>
      </w:tblGrid>
      <w:tr w:rsidR="006824B6" w:rsidRPr="006824B6" w14:paraId="2C20C956" w14:textId="77777777" w:rsidTr="006824B6">
        <w:tc>
          <w:tcPr>
            <w:tcW w:w="2267" w:type="dxa"/>
          </w:tcPr>
          <w:p w14:paraId="3B984ECB" w14:textId="77777777" w:rsidR="006824B6" w:rsidRPr="006824B6" w:rsidRDefault="006824B6" w:rsidP="00A27868">
            <w:pPr>
              <w:spacing w:line="240" w:lineRule="auto"/>
              <w:rPr>
                <w:rFonts w:eastAsia="Calibri" w:cs="Times New Roman"/>
              </w:rPr>
            </w:pPr>
            <w:r w:rsidRPr="006824B6">
              <w:rPr>
                <w:rFonts w:eastAsia="Calibri" w:cs="Times New Roman"/>
              </w:rPr>
              <w:t>Procedure</w:t>
            </w:r>
          </w:p>
        </w:tc>
        <w:tc>
          <w:tcPr>
            <w:tcW w:w="2250" w:type="dxa"/>
          </w:tcPr>
          <w:p w14:paraId="5D139CC8" w14:textId="77777777" w:rsidR="006824B6" w:rsidRPr="006824B6" w:rsidRDefault="006824B6" w:rsidP="00A27868">
            <w:pPr>
              <w:spacing w:line="240" w:lineRule="auto"/>
              <w:rPr>
                <w:rFonts w:eastAsia="Calibri" w:cs="Times New Roman"/>
              </w:rPr>
            </w:pPr>
            <w:r w:rsidRPr="006824B6">
              <w:rPr>
                <w:rFonts w:eastAsia="Calibri" w:cs="Times New Roman"/>
              </w:rPr>
              <w:t xml:space="preserve">Only one subsequent procedure after the index procedure </w:t>
            </w:r>
          </w:p>
          <w:p w14:paraId="54729918" w14:textId="77777777" w:rsidR="006824B6" w:rsidRPr="006824B6" w:rsidRDefault="006824B6" w:rsidP="00A27868">
            <w:pPr>
              <w:spacing w:line="240" w:lineRule="auto"/>
              <w:rPr>
                <w:rFonts w:eastAsia="Calibri" w:cs="Times New Roman"/>
              </w:rPr>
            </w:pPr>
          </w:p>
          <w:p w14:paraId="4B6811E6" w14:textId="77777777" w:rsidR="006824B6" w:rsidRPr="006824B6" w:rsidRDefault="006824B6" w:rsidP="00A27868">
            <w:pPr>
              <w:spacing w:line="240" w:lineRule="auto"/>
              <w:rPr>
                <w:rFonts w:eastAsia="Calibri" w:cs="Times New Roman"/>
              </w:rPr>
            </w:pPr>
          </w:p>
          <w:p w14:paraId="728378C5" w14:textId="77777777" w:rsidR="006824B6" w:rsidRPr="006824B6" w:rsidRDefault="006824B6" w:rsidP="00A27868">
            <w:pPr>
              <w:spacing w:line="240" w:lineRule="auto"/>
              <w:rPr>
                <w:rFonts w:eastAsia="Calibri" w:cs="Times New Roman"/>
              </w:rPr>
            </w:pPr>
            <w:r w:rsidRPr="006824B6">
              <w:rPr>
                <w:rFonts w:eastAsia="Calibri" w:cs="Times New Roman"/>
              </w:rPr>
              <w:t>% (n)</w:t>
            </w:r>
          </w:p>
        </w:tc>
        <w:tc>
          <w:tcPr>
            <w:tcW w:w="2100" w:type="dxa"/>
          </w:tcPr>
          <w:p w14:paraId="38BD2410" w14:textId="77777777" w:rsidR="006824B6" w:rsidRPr="006824B6" w:rsidRDefault="006824B6" w:rsidP="00A27868">
            <w:pPr>
              <w:spacing w:line="240" w:lineRule="auto"/>
              <w:rPr>
                <w:rFonts w:eastAsia="Calibri" w:cs="Times New Roman"/>
              </w:rPr>
            </w:pPr>
            <w:r w:rsidRPr="006824B6">
              <w:rPr>
                <w:rFonts w:eastAsia="Calibri" w:cs="Times New Roman"/>
              </w:rPr>
              <w:t xml:space="preserve">More than one subsequent procedure </w:t>
            </w:r>
          </w:p>
          <w:p w14:paraId="4B1D5573" w14:textId="77777777" w:rsidR="006824B6" w:rsidRPr="006824B6" w:rsidRDefault="006824B6" w:rsidP="00A27868">
            <w:pPr>
              <w:spacing w:line="240" w:lineRule="auto"/>
              <w:rPr>
                <w:rFonts w:eastAsia="Calibri" w:cs="Times New Roman"/>
              </w:rPr>
            </w:pPr>
          </w:p>
          <w:p w14:paraId="3F63FC3D" w14:textId="77777777" w:rsidR="006824B6" w:rsidRPr="006824B6" w:rsidRDefault="006824B6" w:rsidP="00A27868">
            <w:pPr>
              <w:spacing w:line="240" w:lineRule="auto"/>
              <w:rPr>
                <w:rFonts w:eastAsia="Calibri" w:cs="Times New Roman"/>
              </w:rPr>
            </w:pPr>
          </w:p>
          <w:p w14:paraId="4CE6DABA" w14:textId="77777777" w:rsidR="006824B6" w:rsidRPr="006824B6" w:rsidRDefault="006824B6" w:rsidP="00A27868">
            <w:pPr>
              <w:spacing w:line="240" w:lineRule="auto"/>
              <w:rPr>
                <w:rFonts w:eastAsia="Calibri" w:cs="Times New Roman"/>
              </w:rPr>
            </w:pPr>
            <w:r w:rsidRPr="006824B6">
              <w:rPr>
                <w:rFonts w:eastAsia="Calibri" w:cs="Times New Roman"/>
              </w:rPr>
              <w:t>% (n)</w:t>
            </w:r>
          </w:p>
        </w:tc>
        <w:tc>
          <w:tcPr>
            <w:tcW w:w="2399" w:type="dxa"/>
          </w:tcPr>
          <w:p w14:paraId="695CE742" w14:textId="289B7096" w:rsidR="006824B6" w:rsidRPr="006824B6" w:rsidRDefault="006824B6" w:rsidP="00A27868">
            <w:pPr>
              <w:spacing w:line="240" w:lineRule="auto"/>
              <w:rPr>
                <w:rFonts w:eastAsia="Calibri" w:cs="Times New Roman"/>
              </w:rPr>
            </w:pPr>
            <w:r w:rsidRPr="006824B6">
              <w:rPr>
                <w:rFonts w:eastAsia="Calibri" w:cs="Times New Roman"/>
              </w:rPr>
              <w:t>Proportion of individuals with a subsequent procedure who underwent more than one% (n)</w:t>
            </w:r>
          </w:p>
        </w:tc>
      </w:tr>
      <w:tr w:rsidR="006824B6" w:rsidRPr="006824B6" w14:paraId="41B66413" w14:textId="77777777" w:rsidTr="006824B6">
        <w:tc>
          <w:tcPr>
            <w:tcW w:w="2267" w:type="dxa"/>
          </w:tcPr>
          <w:p w14:paraId="00D8B379" w14:textId="77777777" w:rsidR="006824B6" w:rsidRPr="006824B6" w:rsidRDefault="006824B6" w:rsidP="00A27868">
            <w:pPr>
              <w:spacing w:line="240" w:lineRule="auto"/>
              <w:rPr>
                <w:rFonts w:eastAsia="Calibri" w:cs="Times New Roman"/>
              </w:rPr>
            </w:pPr>
            <w:r w:rsidRPr="006824B6">
              <w:rPr>
                <w:rFonts w:eastAsia="Calibri" w:cs="Times New Roman"/>
                <w:lang w:val="en"/>
              </w:rPr>
              <w:t>Drainage of extra- and sub-dural haematoma*</w:t>
            </w:r>
          </w:p>
        </w:tc>
        <w:tc>
          <w:tcPr>
            <w:tcW w:w="2250" w:type="dxa"/>
          </w:tcPr>
          <w:p w14:paraId="1469EA86" w14:textId="77777777" w:rsidR="006824B6" w:rsidRPr="006824B6" w:rsidRDefault="006824B6" w:rsidP="00A27868">
            <w:pPr>
              <w:spacing w:line="240" w:lineRule="auto"/>
              <w:rPr>
                <w:rFonts w:eastAsia="Calibri" w:cs="Times New Roman"/>
              </w:rPr>
            </w:pPr>
            <w:r w:rsidRPr="006824B6">
              <w:rPr>
                <w:rFonts w:eastAsia="Calibri" w:cs="Times New Roman"/>
              </w:rPr>
              <w:t>8.3 (221/2,654)</w:t>
            </w:r>
          </w:p>
        </w:tc>
        <w:tc>
          <w:tcPr>
            <w:tcW w:w="2100" w:type="dxa"/>
          </w:tcPr>
          <w:p w14:paraId="3E56C7AF" w14:textId="77777777" w:rsidR="006824B6" w:rsidRPr="006824B6" w:rsidRDefault="006824B6" w:rsidP="00A27868">
            <w:pPr>
              <w:spacing w:line="240" w:lineRule="auto"/>
              <w:rPr>
                <w:rFonts w:eastAsia="Calibri" w:cs="Times New Roman"/>
              </w:rPr>
            </w:pPr>
            <w:r w:rsidRPr="006824B6">
              <w:rPr>
                <w:rFonts w:eastAsia="Calibri" w:cs="Times New Roman"/>
              </w:rPr>
              <w:t>2.4 (63/2,654)</w:t>
            </w:r>
          </w:p>
        </w:tc>
        <w:tc>
          <w:tcPr>
            <w:tcW w:w="2399" w:type="dxa"/>
          </w:tcPr>
          <w:p w14:paraId="223761F9" w14:textId="77777777" w:rsidR="006824B6" w:rsidRPr="006824B6" w:rsidRDefault="006824B6" w:rsidP="00A27868">
            <w:pPr>
              <w:spacing w:line="240" w:lineRule="auto"/>
              <w:rPr>
                <w:rFonts w:eastAsia="Calibri" w:cs="Times New Roman"/>
              </w:rPr>
            </w:pPr>
            <w:r w:rsidRPr="006824B6">
              <w:rPr>
                <w:rFonts w:eastAsia="Calibri" w:cs="Times New Roman"/>
              </w:rPr>
              <w:t>22.2 (63/284)</w:t>
            </w:r>
          </w:p>
        </w:tc>
      </w:tr>
      <w:tr w:rsidR="006824B6" w:rsidRPr="006824B6" w14:paraId="7F902962" w14:textId="77777777" w:rsidTr="006824B6">
        <w:tc>
          <w:tcPr>
            <w:tcW w:w="2267" w:type="dxa"/>
          </w:tcPr>
          <w:p w14:paraId="0D2A05D8" w14:textId="77777777" w:rsidR="006824B6" w:rsidRPr="006824B6" w:rsidRDefault="006824B6" w:rsidP="00A27868">
            <w:pPr>
              <w:spacing w:line="240" w:lineRule="auto"/>
              <w:rPr>
                <w:rFonts w:eastAsia="Calibri" w:cs="Times New Roman"/>
              </w:rPr>
            </w:pPr>
            <w:r w:rsidRPr="006824B6">
              <w:rPr>
                <w:rFonts w:eastAsia="Calibri" w:cs="Times New Roman"/>
                <w:lang w:val="en"/>
              </w:rPr>
              <w:t>Cerebral aneurysm operations</w:t>
            </w:r>
          </w:p>
        </w:tc>
        <w:tc>
          <w:tcPr>
            <w:tcW w:w="2250" w:type="dxa"/>
          </w:tcPr>
          <w:p w14:paraId="202EFA40" w14:textId="77777777" w:rsidR="006824B6" w:rsidRPr="006824B6" w:rsidRDefault="006824B6" w:rsidP="00A27868">
            <w:pPr>
              <w:spacing w:line="240" w:lineRule="auto"/>
              <w:rPr>
                <w:rFonts w:eastAsia="Calibri" w:cs="Times New Roman"/>
              </w:rPr>
            </w:pPr>
            <w:r w:rsidRPr="006824B6">
              <w:rPr>
                <w:rFonts w:eastAsia="Calibri" w:cs="Times New Roman"/>
              </w:rPr>
              <w:t>14.8 (264/1,782)</w:t>
            </w:r>
          </w:p>
        </w:tc>
        <w:tc>
          <w:tcPr>
            <w:tcW w:w="2100" w:type="dxa"/>
          </w:tcPr>
          <w:p w14:paraId="4543275E" w14:textId="77777777" w:rsidR="006824B6" w:rsidRPr="006824B6" w:rsidRDefault="006824B6" w:rsidP="00A27868">
            <w:pPr>
              <w:spacing w:line="240" w:lineRule="auto"/>
              <w:rPr>
                <w:rFonts w:eastAsia="Calibri" w:cs="Times New Roman"/>
              </w:rPr>
            </w:pPr>
            <w:r w:rsidRPr="006824B6">
              <w:rPr>
                <w:rFonts w:eastAsia="Calibri" w:cs="Times New Roman"/>
              </w:rPr>
              <w:t>7.1 (127/1,782)</w:t>
            </w:r>
          </w:p>
        </w:tc>
        <w:tc>
          <w:tcPr>
            <w:tcW w:w="2399" w:type="dxa"/>
          </w:tcPr>
          <w:p w14:paraId="3C4A0AE1" w14:textId="77777777" w:rsidR="006824B6" w:rsidRPr="006824B6" w:rsidRDefault="006824B6" w:rsidP="00A27868">
            <w:pPr>
              <w:spacing w:line="240" w:lineRule="auto"/>
              <w:rPr>
                <w:rFonts w:eastAsia="Calibri" w:cs="Times New Roman"/>
              </w:rPr>
            </w:pPr>
            <w:r w:rsidRPr="006824B6">
              <w:rPr>
                <w:rFonts w:eastAsia="Calibri" w:cs="Times New Roman"/>
              </w:rPr>
              <w:t>32.5 (127/391)</w:t>
            </w:r>
          </w:p>
        </w:tc>
      </w:tr>
      <w:tr w:rsidR="006824B6" w:rsidRPr="006824B6" w14:paraId="5913512B" w14:textId="77777777" w:rsidTr="006824B6">
        <w:tc>
          <w:tcPr>
            <w:tcW w:w="2267" w:type="dxa"/>
          </w:tcPr>
          <w:p w14:paraId="30EFEB6F" w14:textId="77777777" w:rsidR="006824B6" w:rsidRPr="006824B6" w:rsidRDefault="006824B6" w:rsidP="00A27868">
            <w:pPr>
              <w:spacing w:line="240" w:lineRule="auto"/>
              <w:rPr>
                <w:rFonts w:eastAsia="Calibri" w:cs="Times New Roman"/>
              </w:rPr>
            </w:pPr>
            <w:r w:rsidRPr="006824B6">
              <w:rPr>
                <w:rFonts w:eastAsia="Calibri" w:cs="Times New Roman"/>
                <w:lang w:val="en"/>
              </w:rPr>
              <w:t>Creation of ventricular shunts</w:t>
            </w:r>
          </w:p>
        </w:tc>
        <w:tc>
          <w:tcPr>
            <w:tcW w:w="2250" w:type="dxa"/>
          </w:tcPr>
          <w:p w14:paraId="7F27BCD0" w14:textId="77777777" w:rsidR="006824B6" w:rsidRPr="006824B6" w:rsidRDefault="006824B6" w:rsidP="00A27868">
            <w:pPr>
              <w:spacing w:line="240" w:lineRule="auto"/>
              <w:rPr>
                <w:rFonts w:eastAsia="Calibri" w:cs="Times New Roman"/>
              </w:rPr>
            </w:pPr>
            <w:r w:rsidRPr="006824B6">
              <w:rPr>
                <w:rFonts w:eastAsia="Calibri" w:cs="Times New Roman"/>
              </w:rPr>
              <w:t>21.2 (191/900)</w:t>
            </w:r>
          </w:p>
        </w:tc>
        <w:tc>
          <w:tcPr>
            <w:tcW w:w="2100" w:type="dxa"/>
          </w:tcPr>
          <w:p w14:paraId="3283804F" w14:textId="77777777" w:rsidR="006824B6" w:rsidRPr="006824B6" w:rsidRDefault="006824B6" w:rsidP="00A27868">
            <w:pPr>
              <w:spacing w:line="240" w:lineRule="auto"/>
              <w:rPr>
                <w:rFonts w:eastAsia="Calibri" w:cs="Times New Roman"/>
              </w:rPr>
            </w:pPr>
            <w:r w:rsidRPr="006824B6">
              <w:rPr>
                <w:rFonts w:eastAsia="Calibri" w:cs="Times New Roman"/>
              </w:rPr>
              <w:t>28.3 (255/900)</w:t>
            </w:r>
          </w:p>
        </w:tc>
        <w:tc>
          <w:tcPr>
            <w:tcW w:w="2399" w:type="dxa"/>
          </w:tcPr>
          <w:p w14:paraId="79DE1D34" w14:textId="77777777" w:rsidR="006824B6" w:rsidRPr="006824B6" w:rsidRDefault="006824B6" w:rsidP="00A27868">
            <w:pPr>
              <w:spacing w:line="240" w:lineRule="auto"/>
              <w:rPr>
                <w:rFonts w:eastAsia="Calibri" w:cs="Times New Roman"/>
              </w:rPr>
            </w:pPr>
            <w:r w:rsidRPr="006824B6">
              <w:rPr>
                <w:rFonts w:eastAsia="Calibri" w:cs="Times New Roman"/>
              </w:rPr>
              <w:t>57.2 (255/446)</w:t>
            </w:r>
          </w:p>
        </w:tc>
      </w:tr>
      <w:tr w:rsidR="006824B6" w:rsidRPr="006824B6" w14:paraId="3EC11DBE" w14:textId="77777777" w:rsidTr="006824B6">
        <w:tc>
          <w:tcPr>
            <w:tcW w:w="2267" w:type="dxa"/>
          </w:tcPr>
          <w:p w14:paraId="551DD36F" w14:textId="77777777" w:rsidR="006824B6" w:rsidRPr="006824B6" w:rsidRDefault="006824B6" w:rsidP="00A27868">
            <w:pPr>
              <w:spacing w:line="240" w:lineRule="auto"/>
              <w:rPr>
                <w:rFonts w:eastAsia="Calibri" w:cs="Times New Roman"/>
                <w:lang w:val="en"/>
              </w:rPr>
            </w:pPr>
            <w:r w:rsidRPr="006824B6">
              <w:rPr>
                <w:rFonts w:eastAsia="Calibri" w:cs="Times New Roman"/>
                <w:lang w:val="en"/>
              </w:rPr>
              <w:t>Excision of brain – unspecified*</w:t>
            </w:r>
          </w:p>
        </w:tc>
        <w:tc>
          <w:tcPr>
            <w:tcW w:w="2250" w:type="dxa"/>
          </w:tcPr>
          <w:p w14:paraId="744529FB" w14:textId="77777777" w:rsidR="006824B6" w:rsidRPr="006824B6" w:rsidRDefault="006824B6" w:rsidP="00A27868">
            <w:pPr>
              <w:spacing w:line="240" w:lineRule="auto"/>
              <w:rPr>
                <w:rFonts w:eastAsia="Calibri" w:cs="Times New Roman"/>
              </w:rPr>
            </w:pPr>
            <w:r w:rsidRPr="006824B6">
              <w:rPr>
                <w:rFonts w:eastAsia="Calibri" w:cs="Times New Roman"/>
              </w:rPr>
              <w:t>12.1 (110/911)</w:t>
            </w:r>
          </w:p>
        </w:tc>
        <w:tc>
          <w:tcPr>
            <w:tcW w:w="2100" w:type="dxa"/>
          </w:tcPr>
          <w:p w14:paraId="1C68682A" w14:textId="77777777" w:rsidR="006824B6" w:rsidRPr="006824B6" w:rsidRDefault="006824B6" w:rsidP="00A27868">
            <w:pPr>
              <w:spacing w:line="240" w:lineRule="auto"/>
              <w:rPr>
                <w:rFonts w:eastAsia="Calibri" w:cs="Times New Roman"/>
              </w:rPr>
            </w:pPr>
            <w:r w:rsidRPr="006824B6">
              <w:rPr>
                <w:rFonts w:eastAsia="Calibri" w:cs="Times New Roman"/>
              </w:rPr>
              <w:t>6.9 (63/911)</w:t>
            </w:r>
          </w:p>
        </w:tc>
        <w:tc>
          <w:tcPr>
            <w:tcW w:w="2399" w:type="dxa"/>
          </w:tcPr>
          <w:p w14:paraId="6C70CEF9" w14:textId="77777777" w:rsidR="006824B6" w:rsidRPr="006824B6" w:rsidRDefault="006824B6" w:rsidP="00A27868">
            <w:pPr>
              <w:spacing w:line="240" w:lineRule="auto"/>
              <w:rPr>
                <w:rFonts w:eastAsia="Calibri" w:cs="Times New Roman"/>
              </w:rPr>
            </w:pPr>
            <w:r w:rsidRPr="006824B6">
              <w:rPr>
                <w:rFonts w:eastAsia="Calibri" w:cs="Times New Roman"/>
              </w:rPr>
              <w:t>36.4 (63/173)</w:t>
            </w:r>
          </w:p>
        </w:tc>
      </w:tr>
      <w:tr w:rsidR="006824B6" w:rsidRPr="006824B6" w14:paraId="56E5C198" w14:textId="77777777" w:rsidTr="006824B6">
        <w:tc>
          <w:tcPr>
            <w:tcW w:w="2267" w:type="dxa"/>
          </w:tcPr>
          <w:p w14:paraId="119EE276" w14:textId="77777777" w:rsidR="006824B6" w:rsidRPr="006824B6" w:rsidRDefault="006824B6" w:rsidP="00A27868">
            <w:pPr>
              <w:spacing w:line="240" w:lineRule="auto"/>
              <w:rPr>
                <w:rFonts w:eastAsia="Calibri" w:cs="Times New Roman"/>
                <w:lang w:val="en"/>
              </w:rPr>
            </w:pPr>
            <w:r w:rsidRPr="006824B6">
              <w:rPr>
                <w:rFonts w:eastAsia="Calibri" w:cs="Times New Roman"/>
                <w:lang w:val="en"/>
              </w:rPr>
              <w:t>Excision of brain lesion- frontal etc.*</w:t>
            </w:r>
          </w:p>
        </w:tc>
        <w:tc>
          <w:tcPr>
            <w:tcW w:w="2250" w:type="dxa"/>
          </w:tcPr>
          <w:p w14:paraId="17627394" w14:textId="77777777" w:rsidR="006824B6" w:rsidRPr="006824B6" w:rsidRDefault="006824B6" w:rsidP="00A27868">
            <w:pPr>
              <w:spacing w:line="240" w:lineRule="auto"/>
              <w:rPr>
                <w:rFonts w:eastAsia="Calibri" w:cs="Times New Roman"/>
              </w:rPr>
            </w:pPr>
            <w:r w:rsidRPr="006824B6">
              <w:rPr>
                <w:rFonts w:eastAsia="Calibri" w:cs="Times New Roman"/>
              </w:rPr>
              <w:t>13.0 (139/1072)</w:t>
            </w:r>
          </w:p>
        </w:tc>
        <w:tc>
          <w:tcPr>
            <w:tcW w:w="2100" w:type="dxa"/>
          </w:tcPr>
          <w:p w14:paraId="36F8BCC6" w14:textId="77777777" w:rsidR="006824B6" w:rsidRPr="006824B6" w:rsidRDefault="006824B6" w:rsidP="00A27868">
            <w:pPr>
              <w:spacing w:line="240" w:lineRule="auto"/>
              <w:rPr>
                <w:rFonts w:eastAsia="Calibri" w:cs="Times New Roman"/>
              </w:rPr>
            </w:pPr>
            <w:r w:rsidRPr="006824B6">
              <w:rPr>
                <w:rFonts w:eastAsia="Calibri" w:cs="Times New Roman"/>
              </w:rPr>
              <w:t>5.6 (60/1072)</w:t>
            </w:r>
          </w:p>
        </w:tc>
        <w:tc>
          <w:tcPr>
            <w:tcW w:w="2399" w:type="dxa"/>
          </w:tcPr>
          <w:p w14:paraId="7F6EC0C2" w14:textId="77777777" w:rsidR="006824B6" w:rsidRPr="006824B6" w:rsidRDefault="006824B6" w:rsidP="00A27868">
            <w:pPr>
              <w:spacing w:line="240" w:lineRule="auto"/>
              <w:rPr>
                <w:rFonts w:eastAsia="Calibri" w:cs="Times New Roman"/>
              </w:rPr>
            </w:pPr>
            <w:r w:rsidRPr="006824B6">
              <w:rPr>
                <w:rFonts w:eastAsia="Calibri" w:cs="Times New Roman"/>
              </w:rPr>
              <w:t>30.2 (60/199)</w:t>
            </w:r>
          </w:p>
        </w:tc>
      </w:tr>
    </w:tbl>
    <w:p w14:paraId="4740CC72" w14:textId="2AA25D1F" w:rsidR="006824B6" w:rsidRDefault="006824B6" w:rsidP="00A27868">
      <w:pPr>
        <w:rPr>
          <w:rFonts w:eastAsia="Calibri" w:cs="Times New Roman"/>
          <w:sz w:val="16"/>
          <w:szCs w:val="16"/>
        </w:rPr>
      </w:pPr>
      <w:r w:rsidRPr="00A27868">
        <w:rPr>
          <w:rFonts w:eastAsia="Calibri" w:cs="Times New Roman"/>
          <w:sz w:val="16"/>
          <w:szCs w:val="16"/>
        </w:rPr>
        <w:t>*</w:t>
      </w:r>
      <w:r w:rsidRPr="00FB66C5">
        <w:rPr>
          <w:rFonts w:eastAsia="Calibri" w:cs="Times New Roman"/>
          <w:sz w:val="16"/>
          <w:szCs w:val="16"/>
        </w:rPr>
        <w:t xml:space="preserve">Not specified as high risk </w:t>
      </w:r>
    </w:p>
    <w:p w14:paraId="22A76472" w14:textId="77777777" w:rsidR="00A27868" w:rsidRPr="00A27868" w:rsidRDefault="00A27868" w:rsidP="00930045">
      <w:pPr>
        <w:rPr>
          <w:rFonts w:eastAsia="Calibri" w:cs="Times New Roman"/>
          <w:sz w:val="16"/>
          <w:szCs w:val="16"/>
        </w:rPr>
      </w:pPr>
    </w:p>
    <w:p w14:paraId="1BEFFE4B" w14:textId="5F96430E" w:rsidR="006824B6" w:rsidRDefault="006824B6" w:rsidP="00930045">
      <w:pPr>
        <w:jc w:val="both"/>
        <w:rPr>
          <w:rFonts w:eastAsia="Calibri" w:cs="Times New Roman"/>
          <w:lang w:val="en"/>
        </w:rPr>
      </w:pPr>
      <w:r w:rsidRPr="006824B6">
        <w:rPr>
          <w:rFonts w:eastAsia="Calibri" w:cs="Times New Roman"/>
          <w:lang w:val="en"/>
        </w:rPr>
        <w:t xml:space="preserve">The data indicate that the proportion of individuals in this sample having a second or third procedure (or more) </w:t>
      </w:r>
      <w:r w:rsidR="00596ED2">
        <w:rPr>
          <w:rFonts w:eastAsia="Calibri" w:cs="Times New Roman"/>
          <w:lang w:val="en"/>
        </w:rPr>
        <w:t xml:space="preserve">within 5-10 years </w:t>
      </w:r>
      <w:r w:rsidRPr="006824B6">
        <w:rPr>
          <w:rFonts w:eastAsia="Calibri" w:cs="Times New Roman"/>
          <w:lang w:val="en"/>
        </w:rPr>
        <w:t xml:space="preserve">after an initial neurosurgical procedure differed depending on the index procedure (see </w:t>
      </w:r>
      <w:r w:rsidR="0031217E">
        <w:rPr>
          <w:rFonts w:eastAsia="Calibri" w:cs="Times New Roman"/>
          <w:lang w:val="en"/>
        </w:rPr>
        <w:fldChar w:fldCharType="begin"/>
      </w:r>
      <w:r w:rsidR="0031217E">
        <w:rPr>
          <w:rFonts w:eastAsia="Calibri" w:cs="Times New Roman"/>
          <w:lang w:val="en"/>
        </w:rPr>
        <w:instrText xml:space="preserve"> REF _Ref508889237 \h </w:instrText>
      </w:r>
      <w:r w:rsidR="0031217E">
        <w:rPr>
          <w:rFonts w:eastAsia="Calibri" w:cs="Times New Roman"/>
          <w:lang w:val="en"/>
        </w:rPr>
      </w:r>
      <w:r w:rsidR="0031217E">
        <w:rPr>
          <w:rFonts w:eastAsia="Calibri" w:cs="Times New Roman"/>
          <w:lang w:val="en"/>
        </w:rPr>
        <w:fldChar w:fldCharType="separate"/>
      </w:r>
      <w:r w:rsidR="00690541">
        <w:t xml:space="preserve">Table </w:t>
      </w:r>
      <w:r w:rsidR="00690541">
        <w:rPr>
          <w:noProof/>
        </w:rPr>
        <w:t>23</w:t>
      </w:r>
      <w:r w:rsidR="0031217E">
        <w:rPr>
          <w:rFonts w:eastAsia="Calibri" w:cs="Times New Roman"/>
          <w:lang w:val="en"/>
        </w:rPr>
        <w:fldChar w:fldCharType="end"/>
      </w:r>
      <w:r w:rsidRPr="006824B6">
        <w:rPr>
          <w:rFonts w:eastAsia="Calibri" w:cs="Times New Roman"/>
          <w:lang w:val="en"/>
        </w:rPr>
        <w:t xml:space="preserve">). This ranged from 10.7% for individuals having one of more additional procedures for the drainage of extra- and sub-dural haematoma to 49.5% for individuals having one of more additional procedures related to a ventricular shunt. In the case of ventricular shunts, a majority (57.2%) of those who had subsequent procedures were also likely to have more than one additional procedure. </w:t>
      </w:r>
    </w:p>
    <w:p w14:paraId="3BEE19CA" w14:textId="77777777" w:rsidR="00930045" w:rsidRPr="006824B6" w:rsidRDefault="00930045" w:rsidP="00930045">
      <w:pPr>
        <w:jc w:val="both"/>
        <w:rPr>
          <w:rFonts w:eastAsia="Calibri" w:cs="Times New Roman"/>
          <w:lang w:val="en"/>
        </w:rPr>
      </w:pPr>
    </w:p>
    <w:p w14:paraId="60FB44A8" w14:textId="3CBE0031" w:rsidR="006824B6" w:rsidRPr="00F84738" w:rsidRDefault="00F70CC2" w:rsidP="00930045">
      <w:pPr>
        <w:pStyle w:val="Heading3"/>
        <w:rPr>
          <w:rFonts w:eastAsia="Calibri"/>
          <w:b w:val="0"/>
          <w:i/>
        </w:rPr>
      </w:pPr>
      <w:r w:rsidRPr="00F84738">
        <w:rPr>
          <w:rFonts w:eastAsia="Calibri"/>
          <w:b w:val="0"/>
          <w:i/>
        </w:rPr>
        <w:t>2.9.2</w:t>
      </w:r>
      <w:r w:rsidRPr="00F84738">
        <w:rPr>
          <w:rFonts w:eastAsia="Calibri"/>
          <w:b w:val="0"/>
          <w:i/>
        </w:rPr>
        <w:tab/>
      </w:r>
      <w:r w:rsidR="002849E9">
        <w:rPr>
          <w:b w:val="0"/>
          <w:i/>
        </w:rPr>
        <w:t>Discussion/ s</w:t>
      </w:r>
      <w:r w:rsidR="002849E9" w:rsidRPr="00F84738">
        <w:rPr>
          <w:b w:val="0"/>
          <w:i/>
        </w:rPr>
        <w:t xml:space="preserve">ummary </w:t>
      </w:r>
      <w:r w:rsidR="009D50F2" w:rsidRPr="00F84738">
        <w:rPr>
          <w:rFonts w:eastAsia="Calibri"/>
          <w:b w:val="0"/>
          <w:i/>
        </w:rPr>
        <w:t>of risk of future surgery in high risk procedures</w:t>
      </w:r>
    </w:p>
    <w:p w14:paraId="2285D0D4" w14:textId="589ADC8C" w:rsidR="006824B6" w:rsidRPr="006824B6" w:rsidRDefault="0031217E" w:rsidP="00930045">
      <w:pPr>
        <w:jc w:val="both"/>
        <w:rPr>
          <w:rFonts w:eastAsia="Calibri" w:cs="Times New Roman"/>
        </w:rPr>
      </w:pPr>
      <w:r>
        <w:rPr>
          <w:rFonts w:eastAsia="Calibri" w:cs="Times New Roman"/>
        </w:rPr>
        <w:t xml:space="preserve">The Bird </w:t>
      </w:r>
      <w:r w:rsidR="00B301D6" w:rsidRPr="00B301D6">
        <w:rPr>
          <w:rFonts w:eastAsia="Calibri" w:cs="Times New Roman"/>
          <w:i/>
        </w:rPr>
        <w:t>et al</w:t>
      </w:r>
      <w:r>
        <w:rPr>
          <w:rFonts w:eastAsia="Calibri" w:cs="Times New Roman"/>
        </w:rPr>
        <w:t xml:space="preserve"> (2009)</w:t>
      </w:r>
      <w:r w:rsidR="00C94122">
        <w:rPr>
          <w:rFonts w:eastAsia="Calibri" w:cs="Times New Roma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C94122">
        <w:rPr>
          <w:rFonts w:eastAsia="Calibri" w:cs="Times New Roman"/>
        </w:rPr>
      </w:r>
      <w:r w:rsidR="00C94122">
        <w:rPr>
          <w:rFonts w:eastAsia="Calibri" w:cs="Times New Roman"/>
        </w:rPr>
        <w:fldChar w:fldCharType="separate"/>
      </w:r>
      <w:r w:rsidR="0076576E" w:rsidRPr="0076576E">
        <w:rPr>
          <w:rFonts w:eastAsia="Calibri" w:cs="Times New Roman"/>
          <w:noProof/>
          <w:vertAlign w:val="superscript"/>
        </w:rPr>
        <w:t>208</w:t>
      </w:r>
      <w:r w:rsidR="00C94122">
        <w:rPr>
          <w:rFonts w:eastAsia="Calibri" w:cs="Times New Roman"/>
        </w:rPr>
        <w:fldChar w:fldCharType="end"/>
      </w:r>
      <w:r>
        <w:rPr>
          <w:rFonts w:eastAsia="Calibri" w:cs="Times New Roman"/>
        </w:rPr>
        <w:t xml:space="preserve"> paper</w:t>
      </w:r>
      <w:r w:rsidR="006824B6" w:rsidRPr="006824B6">
        <w:rPr>
          <w:rFonts w:eastAsia="Calibri" w:cs="Times New Roman"/>
        </w:rPr>
        <w:t xml:space="preserve"> is a UK (Scotland) study analysing relatively recent patient records’ data on the actual proportions of patients undergoing one or more medium- or high-risk neurosurgical procedure. This evidence indicates that, depending on the procedure, between 50% and 90% of patients are unlikely to have a second high-risk procedure within 5-10 years of the initial procedure and that the number of patients undergoing additional procedures, with their increased risks of surgical transmission, </w:t>
      </w:r>
      <w:r w:rsidR="00373C52" w:rsidRPr="006824B6">
        <w:rPr>
          <w:rFonts w:eastAsia="Calibri" w:cs="Times New Roman"/>
        </w:rPr>
        <w:t>depend</w:t>
      </w:r>
      <w:r w:rsidR="00373C52">
        <w:rPr>
          <w:rFonts w:eastAsia="Calibri" w:cs="Times New Roman"/>
        </w:rPr>
        <w:t>s</w:t>
      </w:r>
      <w:r w:rsidR="00373C52" w:rsidRPr="006824B6">
        <w:rPr>
          <w:rFonts w:eastAsia="Calibri" w:cs="Times New Roman"/>
        </w:rPr>
        <w:t xml:space="preserve"> </w:t>
      </w:r>
      <w:r w:rsidR="006824B6" w:rsidRPr="006824B6">
        <w:rPr>
          <w:rFonts w:eastAsia="Calibri" w:cs="Times New Roman"/>
        </w:rPr>
        <w:t>heavily on the procedures involved.</w:t>
      </w:r>
      <w:r w:rsidR="004B3740">
        <w:rPr>
          <w:rFonts w:eastAsia="Calibri" w:cs="Times New Roman"/>
        </w:rPr>
        <w:t xml:space="preserve"> </w:t>
      </w:r>
      <w:r w:rsidR="004B3740">
        <w:rPr>
          <w:rFonts w:eastAsia="Times New Roman" w:cs="Times New Roman"/>
          <w:szCs w:val="24"/>
        </w:rPr>
        <w:t xml:space="preserve">The </w:t>
      </w:r>
      <w:r w:rsidR="004B3740" w:rsidRPr="004B3740">
        <w:rPr>
          <w:rFonts w:eastAsia="Times New Roman" w:cs="Times New Roman"/>
          <w:szCs w:val="24"/>
        </w:rPr>
        <w:t xml:space="preserve">potential </w:t>
      </w:r>
      <w:r w:rsidR="004B3740">
        <w:rPr>
          <w:rFonts w:eastAsia="Times New Roman" w:cs="Times New Roman"/>
          <w:szCs w:val="24"/>
        </w:rPr>
        <w:t xml:space="preserve">for the </w:t>
      </w:r>
      <w:r w:rsidR="004B3740">
        <w:rPr>
          <w:rFonts w:eastAsia="Calibri" w:cs="Times New Roman"/>
        </w:rPr>
        <w:t xml:space="preserve">Bird </w:t>
      </w:r>
      <w:r w:rsidR="004B3740" w:rsidRPr="00B301D6">
        <w:rPr>
          <w:rFonts w:eastAsia="Calibri" w:cs="Times New Roman"/>
          <w:i/>
        </w:rPr>
        <w:t>et al</w:t>
      </w:r>
      <w:r w:rsidR="004B3740">
        <w:rPr>
          <w:rFonts w:eastAsia="Calibri" w:cs="Times New Roman"/>
        </w:rPr>
        <w:t xml:space="preserve"> (2009)</w:t>
      </w:r>
      <w:r w:rsidR="004B3740">
        <w:rPr>
          <w:rFonts w:eastAsia="Calibri" w:cs="Times New Roma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rPr>
        <w:instrText xml:space="preserve"> ADDIN EN.CITE </w:instrText>
      </w:r>
      <w:r w:rsidR="0076576E">
        <w:rPr>
          <w:rFonts w:eastAsia="Calibri" w:cs="Times New Roman"/>
        </w:rPr>
        <w:fldChar w:fldCharType="begin">
          <w:fldData xml:space="preserve">PEVuZE5vdGU+PENpdGU+PEF1dGhvcj5CaXJkPC9BdXRob3I+PFllYXI+MjAwOTwvWWVhcj48UmVj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</w:fldData>
        </w:fldChar>
      </w:r>
      <w:r w:rsidR="0076576E">
        <w:rPr>
          <w:rFonts w:eastAsia="Calibri" w:cs="Times New Roman"/>
        </w:rPr>
        <w:instrText xml:space="preserve"> ADDIN EN.CITE.DATA </w:instrText>
      </w:r>
      <w:r w:rsidR="0076576E">
        <w:rPr>
          <w:rFonts w:eastAsia="Calibri" w:cs="Times New Roman"/>
        </w:rPr>
      </w:r>
      <w:r w:rsidR="0076576E">
        <w:rPr>
          <w:rFonts w:eastAsia="Calibri" w:cs="Times New Roman"/>
        </w:rPr>
        <w:fldChar w:fldCharType="end"/>
      </w:r>
      <w:r w:rsidR="004B3740">
        <w:rPr>
          <w:rFonts w:eastAsia="Calibri" w:cs="Times New Roman"/>
        </w:rPr>
      </w:r>
      <w:r w:rsidR="004B3740">
        <w:rPr>
          <w:rFonts w:eastAsia="Calibri" w:cs="Times New Roman"/>
        </w:rPr>
        <w:fldChar w:fldCharType="separate"/>
      </w:r>
      <w:r w:rsidR="0076576E" w:rsidRPr="0076576E">
        <w:rPr>
          <w:rFonts w:eastAsia="Calibri" w:cs="Times New Roman"/>
          <w:noProof/>
          <w:vertAlign w:val="superscript"/>
        </w:rPr>
        <w:t>208</w:t>
      </w:r>
      <w:r w:rsidR="004B3740">
        <w:rPr>
          <w:rFonts w:eastAsia="Calibri" w:cs="Times New Roman"/>
        </w:rPr>
        <w:fldChar w:fldCharType="end"/>
      </w:r>
      <w:r w:rsidR="004B3740">
        <w:rPr>
          <w:rFonts w:eastAsia="Calibri" w:cs="Times New Roman"/>
        </w:rPr>
        <w:t xml:space="preserve"> paper </w:t>
      </w:r>
      <w:r w:rsidR="004B3740" w:rsidRPr="004B3740">
        <w:rPr>
          <w:rFonts w:eastAsia="Times New Roman" w:cs="Times New Roman"/>
          <w:szCs w:val="24"/>
        </w:rPr>
        <w:t xml:space="preserve">to inform the model </w:t>
      </w:r>
      <w:r w:rsidR="004B3740">
        <w:rPr>
          <w:rFonts w:eastAsia="Times New Roman" w:cs="Times New Roman"/>
          <w:szCs w:val="24"/>
        </w:rPr>
        <w:t xml:space="preserve">is limited, however, </w:t>
      </w:r>
      <w:r w:rsidR="004B3740" w:rsidRPr="004B3740">
        <w:rPr>
          <w:rFonts w:eastAsia="Times New Roman" w:cs="Times New Roman"/>
          <w:szCs w:val="24"/>
        </w:rPr>
        <w:t xml:space="preserve">as it did not focus solely on high-risk procedures and does not compare the risk of additional procedures with control data for those who had not undergone an index high-risk procedure. </w:t>
      </w:r>
      <w:r w:rsidR="004B3740" w:rsidRPr="004B3740">
        <w:rPr>
          <w:rFonts w:eastAsia="Times New Roman" w:cs="Times New Roman"/>
          <w:sz w:val="20"/>
          <w:szCs w:val="20"/>
        </w:rPr>
        <w:t xml:space="preserve"> </w:t>
      </w:r>
    </w:p>
    <w:p w14:paraId="50F40FCB" w14:textId="77777777" w:rsidR="00232F38" w:rsidRDefault="00232F38">
      <w:pPr>
        <w:rPr>
          <w:rFonts w:cs="Times New Roman"/>
          <w:b/>
          <w:sz w:val="24"/>
          <w:szCs w:val="24"/>
        </w:rPr>
      </w:pPr>
      <w:r>
        <w:rPr>
          <w:rFonts w:cs="Times New Roman"/>
          <w:b/>
          <w:sz w:val="24"/>
          <w:szCs w:val="24"/>
        </w:rPr>
        <w:br w:type="page"/>
      </w:r>
    </w:p>
    <w:p w14:paraId="5E10659B" w14:textId="77777777" w:rsidR="00B53489" w:rsidRPr="00C11E44" w:rsidRDefault="00B53489" w:rsidP="00B53489">
      <w:pPr>
        <w:pStyle w:val="Heading1"/>
        <w:rPr>
          <w:szCs w:val="28"/>
        </w:rPr>
      </w:pPr>
      <w:bookmarkStart w:id="89" w:name="_Toc525106669"/>
      <w:r>
        <w:rPr>
          <w:szCs w:val="28"/>
        </w:rPr>
        <w:t>3</w:t>
      </w:r>
      <w:r>
        <w:rPr>
          <w:szCs w:val="28"/>
        </w:rPr>
        <w:tab/>
      </w:r>
      <w:r w:rsidRPr="00C11E44">
        <w:rPr>
          <w:szCs w:val="28"/>
        </w:rPr>
        <w:t>COST EFFECTIVENESS</w:t>
      </w:r>
      <w:bookmarkEnd w:id="89"/>
    </w:p>
    <w:p w14:paraId="3616D436" w14:textId="77777777" w:rsidR="00B53489" w:rsidRPr="00BB074C" w:rsidRDefault="00B53489" w:rsidP="00B53489">
      <w:pPr>
        <w:pStyle w:val="Heading2"/>
        <w:rPr>
          <w:b w:val="0"/>
          <w:color w:val="000000" w:themeColor="text1"/>
          <w:szCs w:val="22"/>
        </w:rPr>
      </w:pPr>
      <w:bookmarkStart w:id="90" w:name="_Toc493073711"/>
      <w:bookmarkStart w:id="91" w:name="_Toc508145356"/>
      <w:bookmarkStart w:id="92" w:name="_Toc525106670"/>
      <w:r w:rsidRPr="001D65B2">
        <w:rPr>
          <w:color w:val="000000" w:themeColor="text1"/>
          <w:szCs w:val="22"/>
        </w:rPr>
        <w:t>3.</w:t>
      </w:r>
      <w:r w:rsidRPr="00BB074C">
        <w:rPr>
          <w:color w:val="000000" w:themeColor="text1"/>
          <w:szCs w:val="22"/>
        </w:rPr>
        <w:t>1</w:t>
      </w:r>
      <w:r w:rsidRPr="00BB074C">
        <w:rPr>
          <w:color w:val="000000" w:themeColor="text1"/>
          <w:szCs w:val="22"/>
        </w:rPr>
        <w:tab/>
        <w:t>Background</w:t>
      </w:r>
      <w:bookmarkEnd w:id="90"/>
      <w:bookmarkEnd w:id="91"/>
      <w:bookmarkEnd w:id="92"/>
    </w:p>
    <w:p w14:paraId="24D7DA7C" w14:textId="26F7DA26" w:rsidR="00B53489" w:rsidRDefault="00B53489" w:rsidP="00B53489">
      <w:pPr>
        <w:jc w:val="both"/>
        <w:rPr>
          <w:rFonts w:cs="Times New Roman"/>
        </w:rPr>
      </w:pPr>
      <w:r w:rsidRPr="00F0261C">
        <w:rPr>
          <w:rFonts w:cs="Times New Roman"/>
        </w:rPr>
        <w:t>Previous modelling work assessing the risks of surgical transmission of Creutzfeldt-Jakob disease (CJD) was undertaken by the School of Health and Related Research (ScHARR) culminating in a report in 2006.</w:t>
      </w:r>
      <w:r w:rsidRPr="00F0261C">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sidRPr="00F0261C">
        <w:rPr>
          <w:rFonts w:cs="Times New Roman"/>
        </w:rPr>
        <w:fldChar w:fldCharType="separate"/>
      </w:r>
      <w:r w:rsidR="005C50C5" w:rsidRPr="005C50C5">
        <w:rPr>
          <w:rFonts w:cs="Times New Roman"/>
          <w:noProof/>
          <w:vertAlign w:val="superscript"/>
        </w:rPr>
        <w:t>11</w:t>
      </w:r>
      <w:r w:rsidRPr="00F0261C">
        <w:rPr>
          <w:rFonts w:cs="Times New Roman"/>
        </w:rPr>
        <w:fldChar w:fldCharType="end"/>
      </w:r>
      <w:r w:rsidRPr="00F0261C">
        <w:rPr>
          <w:rFonts w:cs="Times New Roman"/>
        </w:rPr>
        <w:t xml:space="preserve"> </w:t>
      </w:r>
      <w:r>
        <w:rPr>
          <w:rFonts w:cs="Times New Roman"/>
        </w:rPr>
        <w:t xml:space="preserve">Henceforth this will be known as the ScHARR report. </w:t>
      </w:r>
      <w:r w:rsidRPr="00F0261C">
        <w:rPr>
          <w:rFonts w:cs="Times New Roman"/>
        </w:rPr>
        <w:t>This report was part of the evidence base appraised by the Advisory Sub-Committee (CJDAS) who produced interventional procedures guidance (IPG) 196.</w:t>
      </w:r>
      <w:r>
        <w:rPr>
          <w:rFonts w:cs="Times New Roman"/>
        </w:rPr>
        <w:fldChar w:fldCharType="begin"/>
      </w:r>
      <w:r w:rsidR="0076576E">
        <w:rPr>
          <w:rFonts w:cs="Times New Roman"/>
        </w:rPr>
        <w:instrText xml:space="preserve"> ADDIN EN.CITE &lt;EndNote&gt;&lt;Cite&gt;&lt;Author&gt;National Institute for Health and Care Excellence&lt;/Author&gt;&lt;Year&gt;2006&lt;/Year&gt;&lt;RecNum&gt;10269&lt;/RecNum&gt;&lt;DisplayText&gt;&lt;style face="superscript"&gt;209&lt;/style&gt;&lt;/DisplayText&gt;&lt;record&gt;&lt;rec-number&gt;10269&lt;/rec-number&gt;&lt;foreign-keys&gt;&lt;key app="EN" db-id="vrp0pptazv05wtesfz5vrzsj2p0rv09ttsa9" timestamp="1520851922" guid="a2cbdd1e-ddda-4691-8169-e79b4143c346"&gt;10269&lt;/key&gt;&lt;/foreign-keys&gt;&lt;ref-type name="Journal Article"&gt;17&lt;/ref-type&gt;&lt;contributors&gt;&lt;authors&gt;&lt;author&gt;National Institute for Health and Care Excellence,&lt;/author&gt;&lt;/authors&gt;&lt;/contributors&gt;&lt;titles&gt;&lt;title&gt;Patient safety and reduction of risk of transmission of Creutzfeldt-Jakob (CJD) via interventional procedures. &lt;/title&gt;&lt;/titles&gt;&lt;dates&gt;&lt;year&gt;2006&lt;/year&gt;&lt;/dates&gt;&lt;urls&gt;&lt;related-urls&gt;&lt;url&gt;&lt;style face="underline" font="default" size="100%"&gt;https://www.nice.org.uk/Guidance/IPG196&lt;/style&gt;&lt;style face="normal" font="default" size="100%"&gt; Accessed 7th March 2018&lt;/style&gt;&lt;/url&gt;&lt;/related-urls&gt;&lt;/urls&gt;&lt;/record&gt;&lt;/Cite&gt;&lt;/EndNote&gt;</w:instrText>
      </w:r>
      <w:r>
        <w:rPr>
          <w:rFonts w:cs="Times New Roman"/>
        </w:rPr>
        <w:fldChar w:fldCharType="separate"/>
      </w:r>
      <w:r w:rsidR="0076576E" w:rsidRPr="0076576E">
        <w:rPr>
          <w:rFonts w:cs="Times New Roman"/>
          <w:noProof/>
          <w:vertAlign w:val="superscript"/>
        </w:rPr>
        <w:t>209</w:t>
      </w:r>
      <w:r>
        <w:rPr>
          <w:rFonts w:cs="Times New Roman"/>
        </w:rPr>
        <w:fldChar w:fldCharType="end"/>
      </w:r>
      <w:r w:rsidRPr="00F0261C">
        <w:rPr>
          <w:rFonts w:cs="Times New Roman"/>
        </w:rPr>
        <w:t xml:space="preserve"> This guidance highlighted three high-risk surgical areas: neurosurgery; posterior eye; and neuroendoscopy. It was recommended that migration of instruments between sets should be abolished and that single-use instruments were not recommended on the basis of cost-</w:t>
      </w:r>
      <w:r w:rsidR="00CA619B" w:rsidRPr="00F0261C">
        <w:rPr>
          <w:rFonts w:cs="Times New Roman"/>
        </w:rPr>
        <w:t>effectiveness</w:t>
      </w:r>
      <w:r w:rsidR="00CA619B">
        <w:rPr>
          <w:rFonts w:cs="Times New Roman"/>
        </w:rPr>
        <w:t xml:space="preserve"> </w:t>
      </w:r>
      <w:r w:rsidR="00CA619B" w:rsidRPr="00F0261C">
        <w:rPr>
          <w:rFonts w:cs="Times New Roman"/>
        </w:rPr>
        <w:t>with</w:t>
      </w:r>
      <w:r w:rsidRPr="00F0261C">
        <w:rPr>
          <w:rFonts w:cs="Times New Roman"/>
        </w:rPr>
        <w:t xml:space="preserve"> the exception of accessories for neuroendoscopy. A separate recommendation was made that separate sets of instruments be established for patients born since 1</w:t>
      </w:r>
      <w:r w:rsidRPr="00F0261C">
        <w:rPr>
          <w:rFonts w:cs="Times New Roman"/>
          <w:vertAlign w:val="superscript"/>
        </w:rPr>
        <w:t>st</w:t>
      </w:r>
      <w:r w:rsidRPr="00F0261C">
        <w:rPr>
          <w:rFonts w:cs="Times New Roman"/>
        </w:rPr>
        <w:t xml:space="preserve"> January 1997, (who are unlikely to have </w:t>
      </w:r>
      <w:r>
        <w:rPr>
          <w:rFonts w:cs="Times New Roman"/>
        </w:rPr>
        <w:t>been exposed to the bovine spongiform encephalopathy epidemic</w:t>
      </w:r>
      <w:r w:rsidRPr="00F0261C">
        <w:rPr>
          <w:rFonts w:cs="Times New Roman"/>
        </w:rPr>
        <w:t>)</w:t>
      </w:r>
      <w:r>
        <w:rPr>
          <w:rFonts w:cs="Times New Roman"/>
        </w:rPr>
        <w:t>.</w:t>
      </w:r>
    </w:p>
    <w:p w14:paraId="07E589BD" w14:textId="77777777" w:rsidR="00B53489" w:rsidRPr="00F0261C" w:rsidRDefault="00B53489" w:rsidP="00B53489">
      <w:pPr>
        <w:jc w:val="both"/>
        <w:rPr>
          <w:rFonts w:cs="Times New Roman"/>
        </w:rPr>
      </w:pPr>
    </w:p>
    <w:p w14:paraId="0BE1BE1A" w14:textId="52166119" w:rsidR="00B53489" w:rsidRDefault="00B53489" w:rsidP="00B53489">
      <w:pPr>
        <w:jc w:val="both"/>
        <w:rPr>
          <w:rFonts w:cs="Times New Roman"/>
        </w:rPr>
      </w:pPr>
      <w:r w:rsidRPr="00F0261C">
        <w:rPr>
          <w:rFonts w:cs="Times New Roman"/>
        </w:rPr>
        <w:t xml:space="preserve">ScHARR </w:t>
      </w:r>
      <w:r w:rsidR="00D25530">
        <w:rPr>
          <w:rFonts w:cs="Times New Roman"/>
        </w:rPr>
        <w:t xml:space="preserve">have </w:t>
      </w:r>
      <w:r w:rsidRPr="00F0261C">
        <w:rPr>
          <w:rFonts w:cs="Times New Roman"/>
        </w:rPr>
        <w:t>undertak</w:t>
      </w:r>
      <w:r w:rsidR="00D25530">
        <w:rPr>
          <w:rFonts w:cs="Times New Roman"/>
        </w:rPr>
        <w:t>en</w:t>
      </w:r>
      <w:r w:rsidRPr="00F0261C">
        <w:rPr>
          <w:rFonts w:cs="Times New Roman"/>
        </w:rPr>
        <w:t xml:space="preserve"> an update of the previous work focussing solely on the surgical procedures deemed to be high-risk. This update incorporate</w:t>
      </w:r>
      <w:r w:rsidR="00D25530">
        <w:rPr>
          <w:rFonts w:cs="Times New Roman"/>
        </w:rPr>
        <w:t>s</w:t>
      </w:r>
      <w:r w:rsidRPr="00F0261C">
        <w:rPr>
          <w:rFonts w:cs="Times New Roman"/>
        </w:rPr>
        <w:t xml:space="preserve"> the latest evidence on key model parameters and assess a range of appropriate strategies and interventions. Reasons for updating IPG196 include: the continued evolution of high quality and less expensive single-use instruments; the lack of </w:t>
      </w:r>
      <w:r>
        <w:rPr>
          <w:rFonts w:cs="Times New Roman"/>
        </w:rPr>
        <w:t xml:space="preserve">adoption of </w:t>
      </w:r>
      <w:r w:rsidRPr="00F0261C">
        <w:rPr>
          <w:rFonts w:cs="Times New Roman"/>
        </w:rPr>
        <w:t xml:space="preserve">new decontamination methods </w:t>
      </w:r>
      <w:r>
        <w:rPr>
          <w:rFonts w:cs="Times New Roman"/>
        </w:rPr>
        <w:t>potentially effective</w:t>
      </w:r>
      <w:r w:rsidRPr="00F0261C">
        <w:rPr>
          <w:rFonts w:cs="Times New Roman"/>
        </w:rPr>
        <w:t xml:space="preserve"> against human prions; the findings of abnormal prion accumulation in the appendices of patients born after 1996; and </w:t>
      </w:r>
      <w:r>
        <w:rPr>
          <w:rFonts w:cs="Times New Roman"/>
        </w:rPr>
        <w:t xml:space="preserve">anecdotal reports </w:t>
      </w:r>
      <w:r w:rsidRPr="00F0261C">
        <w:rPr>
          <w:rFonts w:cs="Times New Roman"/>
        </w:rPr>
        <w:t>that the recommendations of IPG196 have proved to be difficult to implement, or unachievable, for a number of units. The primary deliverable was a report for a NICE committee that had been convened for the purposes of providing an update to IPG196.</w:t>
      </w:r>
    </w:p>
    <w:p w14:paraId="6E46A5E3" w14:textId="77777777" w:rsidR="00B53489" w:rsidRPr="00F0261C" w:rsidRDefault="00B53489" w:rsidP="00B53489">
      <w:pPr>
        <w:jc w:val="both"/>
        <w:rPr>
          <w:rFonts w:cs="Times New Roman"/>
        </w:rPr>
      </w:pPr>
    </w:p>
    <w:p w14:paraId="2756E961" w14:textId="0B3A9027" w:rsidR="00B53489" w:rsidRDefault="00B53489" w:rsidP="00B53489">
      <w:pPr>
        <w:jc w:val="both"/>
        <w:rPr>
          <w:rFonts w:cs="Times New Roman"/>
        </w:rPr>
      </w:pPr>
      <w:r w:rsidRPr="00F0261C">
        <w:rPr>
          <w:rFonts w:cs="Times New Roman"/>
        </w:rPr>
        <w:t>The analyses undertaken assess the potential transmissions of all forms of CJD, which include: sporadic CJD (sCJD); familial CJD; and iatrogenic CJD. Throughout the report</w:t>
      </w:r>
      <w:r w:rsidR="006A3D1A">
        <w:rPr>
          <w:rFonts w:cs="Times New Roman"/>
        </w:rPr>
        <w:t>,</w:t>
      </w:r>
      <w:r w:rsidRPr="00F0261C">
        <w:rPr>
          <w:rFonts w:cs="Times New Roman"/>
        </w:rPr>
        <w:t xml:space="preserve"> any CJD cases that have been caused by surgical transmission will be abbreviated to stCJD.</w:t>
      </w:r>
    </w:p>
    <w:p w14:paraId="4C440814" w14:textId="77777777" w:rsidR="00B53489" w:rsidRPr="00F0261C" w:rsidRDefault="00B53489" w:rsidP="00B53489">
      <w:pPr>
        <w:jc w:val="both"/>
        <w:rPr>
          <w:rFonts w:cs="Times New Roman"/>
        </w:rPr>
      </w:pPr>
    </w:p>
    <w:p w14:paraId="68F6B8EF" w14:textId="4A8477E2" w:rsidR="00B53489" w:rsidRDefault="00B53489" w:rsidP="00B53489">
      <w:pPr>
        <w:jc w:val="both"/>
        <w:rPr>
          <w:rFonts w:cs="Times New Roman"/>
        </w:rPr>
      </w:pPr>
      <w:r w:rsidRPr="00F0261C">
        <w:rPr>
          <w:rFonts w:cs="Times New Roman"/>
        </w:rPr>
        <w:t xml:space="preserve">Many data relating to model parameters are subject to considerable uncertainty and were populated following two elicitation sessions, one with epidemiological experts and one with decontamination experts. At a meeting of the NICE </w:t>
      </w:r>
      <w:r>
        <w:rPr>
          <w:rFonts w:cs="Times New Roman"/>
        </w:rPr>
        <w:t xml:space="preserve">interventional procedures (IP) </w:t>
      </w:r>
      <w:r w:rsidRPr="00F0261C">
        <w:rPr>
          <w:rFonts w:cs="Times New Roman"/>
        </w:rPr>
        <w:t>committee and ScHARR</w:t>
      </w:r>
      <w:r>
        <w:rPr>
          <w:rFonts w:cs="Times New Roman"/>
        </w:rPr>
        <w:t xml:space="preserve"> in October 2017</w:t>
      </w:r>
      <w:r w:rsidR="006A3D1A">
        <w:rPr>
          <w:rFonts w:cs="Times New Roman"/>
        </w:rPr>
        <w:t>,</w:t>
      </w:r>
      <w:r w:rsidRPr="00F0261C">
        <w:rPr>
          <w:rFonts w:cs="Times New Roman"/>
        </w:rPr>
        <w:t xml:space="preserve"> it was decided that the elicitation related to epidemiological parameters </w:t>
      </w:r>
      <w:r w:rsidR="006A3D1A">
        <w:rPr>
          <w:rFonts w:cs="Times New Roman"/>
        </w:rPr>
        <w:t xml:space="preserve">should </w:t>
      </w:r>
      <w:r w:rsidRPr="00F0261C">
        <w:rPr>
          <w:rFonts w:cs="Times New Roman"/>
        </w:rPr>
        <w:t>be re-conducted to address potential concerns relating to the lack of potential to be misdiagnosed with a different neurodegenerative disease, and with the incubation periods previously elicited. This elicitation session was undertaken on the 18</w:t>
      </w:r>
      <w:r w:rsidRPr="00F0261C">
        <w:rPr>
          <w:rFonts w:cs="Times New Roman"/>
          <w:vertAlign w:val="superscript"/>
        </w:rPr>
        <w:t>th</w:t>
      </w:r>
      <w:r w:rsidRPr="00F0261C">
        <w:rPr>
          <w:rFonts w:cs="Times New Roman"/>
        </w:rPr>
        <w:t xml:space="preserve"> of January 2018</w:t>
      </w:r>
      <w:r w:rsidR="006A3D1A">
        <w:rPr>
          <w:rFonts w:cs="Times New Roman"/>
        </w:rPr>
        <w:t xml:space="preserve">; </w:t>
      </w:r>
      <w:r w:rsidRPr="00F0261C">
        <w:rPr>
          <w:rFonts w:cs="Times New Roman"/>
        </w:rPr>
        <w:t xml:space="preserve">results </w:t>
      </w:r>
      <w:r w:rsidR="006A3D1A">
        <w:rPr>
          <w:rFonts w:cs="Times New Roman"/>
        </w:rPr>
        <w:t xml:space="preserve">of the elicitation exercise are </w:t>
      </w:r>
      <w:r w:rsidRPr="00F0261C">
        <w:rPr>
          <w:rFonts w:cs="Times New Roman"/>
        </w:rPr>
        <w:t xml:space="preserve">contained in Appendix </w:t>
      </w:r>
      <w:r w:rsidR="008C534A">
        <w:rPr>
          <w:rFonts w:cs="Times New Roman"/>
        </w:rPr>
        <w:t>4</w:t>
      </w:r>
      <w:r w:rsidRPr="00F0261C">
        <w:rPr>
          <w:rFonts w:cs="Times New Roman"/>
        </w:rPr>
        <w:t>.</w:t>
      </w:r>
    </w:p>
    <w:p w14:paraId="56F80080" w14:textId="77BB6E7C" w:rsidR="00FB66C5" w:rsidRDefault="00FB66C5" w:rsidP="00B53489">
      <w:pPr>
        <w:jc w:val="both"/>
        <w:rPr>
          <w:rFonts w:cs="Times New Roman"/>
        </w:rPr>
      </w:pPr>
    </w:p>
    <w:p w14:paraId="6C8A791D" w14:textId="4C5ACB5B" w:rsidR="00FB66C5" w:rsidRDefault="00FB66C5" w:rsidP="00FB66C5">
      <w:pPr>
        <w:pStyle w:val="Heading3"/>
      </w:pPr>
      <w:r w:rsidRPr="00FB66C5">
        <w:rPr>
          <w:b w:val="0"/>
          <w:i/>
        </w:rPr>
        <w:t>3.1.1</w:t>
      </w:r>
      <w:r w:rsidRPr="00FB66C5">
        <w:rPr>
          <w:b w:val="0"/>
          <w:i/>
        </w:rPr>
        <w:tab/>
        <w:t>Cost-effectiveness literature searches</w:t>
      </w:r>
    </w:p>
    <w:p w14:paraId="1A8AED8C" w14:textId="63E145C0" w:rsidR="00FB66C5" w:rsidRDefault="00FB66C5" w:rsidP="00FB66C5">
      <w:pPr>
        <w:jc w:val="both"/>
        <w:rPr>
          <w:rFonts w:cs="Times New Roman"/>
        </w:rPr>
      </w:pPr>
      <w:r w:rsidRPr="007E365F">
        <w:rPr>
          <w:rFonts w:cs="Times New Roman"/>
        </w:rPr>
        <w:t>The literature searches</w:t>
      </w:r>
      <w:r>
        <w:rPr>
          <w:rFonts w:cs="Times New Roman"/>
        </w:rPr>
        <w:t xml:space="preserve"> </w:t>
      </w:r>
      <w:r w:rsidRPr="007E365F">
        <w:rPr>
          <w:rFonts w:cs="Times New Roman"/>
        </w:rPr>
        <w:t>of bibliographic databases</w:t>
      </w:r>
      <w:r>
        <w:rPr>
          <w:rFonts w:cs="Times New Roman"/>
        </w:rPr>
        <w:t xml:space="preserve"> were performed on 14</w:t>
      </w:r>
      <w:r w:rsidRPr="00686F6B">
        <w:rPr>
          <w:rFonts w:cs="Times New Roman"/>
          <w:vertAlign w:val="superscript"/>
        </w:rPr>
        <w:t>th</w:t>
      </w:r>
      <w:r>
        <w:rPr>
          <w:rFonts w:cs="Times New Roman"/>
        </w:rPr>
        <w:t xml:space="preserve"> August 2017</w:t>
      </w:r>
      <w:r w:rsidRPr="007E365F">
        <w:rPr>
          <w:rFonts w:cs="Times New Roman"/>
        </w:rPr>
        <w:t xml:space="preserve"> </w:t>
      </w:r>
      <w:r>
        <w:rPr>
          <w:rFonts w:cs="Times New Roman"/>
        </w:rPr>
        <w:t>and</w:t>
      </w:r>
      <w:r w:rsidRPr="007E365F">
        <w:rPr>
          <w:rFonts w:cs="Times New Roman"/>
        </w:rPr>
        <w:t xml:space="preserve"> yielded </w:t>
      </w:r>
      <w:r w:rsidR="00A8279C">
        <w:rPr>
          <w:rFonts w:cs="Times New Roman"/>
        </w:rPr>
        <w:t>1108</w:t>
      </w:r>
      <w:r w:rsidRPr="007E365F">
        <w:rPr>
          <w:rFonts w:cs="Times New Roman"/>
        </w:rPr>
        <w:t xml:space="preserve"> citations. </w:t>
      </w:r>
      <w:r w:rsidR="00A8279C">
        <w:rPr>
          <w:rFonts w:cs="Times New Roman"/>
        </w:rPr>
        <w:t>Forty-eight</w:t>
      </w:r>
      <w:r>
        <w:rPr>
          <w:rFonts w:cs="Times New Roman"/>
        </w:rPr>
        <w:t xml:space="preserve"> citations were obtained for full text retrieval. </w:t>
      </w:r>
      <w:r w:rsidR="00A8279C">
        <w:rPr>
          <w:rFonts w:cs="Times New Roman"/>
        </w:rPr>
        <w:t>Evidence from none of the papers</w:t>
      </w:r>
      <w:r>
        <w:rPr>
          <w:rFonts w:cs="Times New Roman"/>
        </w:rPr>
        <w:t xml:space="preserve"> were </w:t>
      </w:r>
      <w:r w:rsidR="00A8279C">
        <w:rPr>
          <w:rFonts w:cs="Times New Roman"/>
        </w:rPr>
        <w:t>directly used within the model but some provide context or alternative values and have been detailed in the appropriate section.</w:t>
      </w:r>
    </w:p>
    <w:p w14:paraId="5C21A893" w14:textId="77777777" w:rsidR="00B53489" w:rsidRPr="00F0261C" w:rsidRDefault="00B53489" w:rsidP="00B53489">
      <w:pPr>
        <w:rPr>
          <w:rFonts w:cs="Times New Roman"/>
        </w:rPr>
      </w:pPr>
    </w:p>
    <w:p w14:paraId="124D03FE" w14:textId="77777777" w:rsidR="00B53489" w:rsidRPr="00BB074C" w:rsidRDefault="00B53489" w:rsidP="00B53489">
      <w:pPr>
        <w:pStyle w:val="Heading2"/>
        <w:rPr>
          <w:b w:val="0"/>
          <w:color w:val="000000" w:themeColor="text1"/>
          <w:szCs w:val="22"/>
        </w:rPr>
      </w:pPr>
      <w:bookmarkStart w:id="93" w:name="_Toc525106671"/>
      <w:r w:rsidRPr="001D65B2">
        <w:rPr>
          <w:color w:val="000000" w:themeColor="text1"/>
          <w:szCs w:val="22"/>
        </w:rPr>
        <w:t>3.</w:t>
      </w:r>
      <w:r w:rsidRPr="00BB074C">
        <w:rPr>
          <w:color w:val="000000" w:themeColor="text1"/>
          <w:szCs w:val="22"/>
        </w:rPr>
        <w:t xml:space="preserve">2 </w:t>
      </w:r>
      <w:r>
        <w:rPr>
          <w:color w:val="000000" w:themeColor="text1"/>
          <w:szCs w:val="22"/>
        </w:rPr>
        <w:tab/>
        <w:t>The conceptual model</w:t>
      </w:r>
      <w:bookmarkEnd w:id="93"/>
    </w:p>
    <w:p w14:paraId="53FCE8DD" w14:textId="0D72BAFD" w:rsidR="00A8279C" w:rsidRDefault="00A8279C" w:rsidP="00B77DB4">
      <w:pPr>
        <w:jc w:val="both"/>
        <w:rPr>
          <w:rFonts w:cs="Times New Roman"/>
        </w:rPr>
      </w:pPr>
      <w:r>
        <w:rPr>
          <w:rFonts w:cs="Times New Roman"/>
        </w:rPr>
        <w:t>Within the literature review a</w:t>
      </w:r>
      <w:r>
        <w:t xml:space="preserve"> publication by Bennett </w:t>
      </w:r>
      <w:r w:rsidRPr="00200D8F">
        <w:rPr>
          <w:i/>
        </w:rPr>
        <w:t>et al.</w:t>
      </w:r>
      <w:r>
        <w:fldChar w:fldCharType="begin"/>
      </w:r>
      <w:r w:rsidR="00D63CDB">
        <w:instrText xml:space="preserve"> ADDIN EN.CITE &lt;EndNote&gt;&lt;Cite&gt;&lt;Author&gt;Bennett&lt;/Author&gt;&lt;Year&gt;2005&lt;/Year&gt;&lt;RecNum&gt;1966&lt;/RecNum&gt;&lt;DisplayText&gt;&lt;style face="superscript"&gt;13&lt;/style&gt;&lt;/DisplayText&gt;&lt;record&gt;&lt;rec-number&gt;1966&lt;/rec-number&gt;&lt;foreign-keys&gt;&lt;key app="EN" db-id="vrp0pptazv05wtesfz5vrzsj2p0rv09ttsa9" timestamp="1506587022" guid="c7e291d3-2906-44a4-8fb0-bed6990be6aa"&gt;1966&lt;/key&gt;&lt;/foreign-keys&gt;&lt;ref-type name="Journal Article"&gt;17&lt;/ref-type&gt;&lt;contributors&gt;&lt;authors&gt;&lt;author&gt;Bennett, P.&lt;/author&gt;&lt;author&gt;Hare, A.&lt;/author&gt;&lt;author&gt;Townshend, J.&lt;/author&gt;&lt;/authors&gt;&lt;/contributors&gt;&lt;titles&gt;&lt;title&gt;Assessing the risk of vCJD transmission via surgery: models for uncertainty and complexity&lt;/title&gt;&lt;secondary-title&gt;Journal of the Operational Research Society&lt;/secondary-title&gt;&lt;/titles&gt;&lt;periodical&gt;&lt;full-title&gt;Journal of the Operational Research Society&lt;/full-title&gt;&lt;/periodical&gt;&lt;pages&gt;202-213&lt;/pages&gt;&lt;volume&gt;56&lt;/volume&gt;&lt;number&gt;2&lt;/number&gt;&lt;keywords&gt;&lt;keyword&gt;$$LU_4_CJD infectivity&lt;/keyword&gt;&lt;keyword&gt;$$Background&lt;/keyword&gt;&lt;keyword&gt;$$abstract&lt;/keyword&gt;&lt;keyword&gt;$$In File&lt;/keyword&gt;&lt;keyword&gt;$$CJD relevant&lt;/keyword&gt;&lt;keyword&gt;$$2_surgery transmission risk&lt;/keyword&gt;&lt;keyword&gt;$$flag for Matt&lt;/keyword&gt;&lt;keyword&gt;$$Matt&lt;/keyword&gt;&lt;/keywords&gt;&lt;dates&gt;&lt;year&gt;2005&lt;/year&gt;&lt;pub-dates&gt;&lt;date&gt;Feb&lt;/date&gt;&lt;/pub-dates&gt;&lt;/dates&gt;&lt;isbn&gt;0160-5682&lt;/isbn&gt;&lt;accession-num&gt;WOS:000226509800010&lt;/accession-num&gt;&lt;urls&gt;&lt;related-urls&gt;&lt;url&gt;&lt;style face="underline" font="default" size="100%"&gt;&amp;lt;Go to ISI&amp;gt;://WOS:000226509800010&lt;/style&gt;&lt;/url&gt;&lt;url&gt;&lt;style face="underline" font="default" size="100%"&gt;https://link.springer.com/content/pdf/10.1057%2Fpalgrave.jors.2601899.pdf&lt;/style&gt;&lt;/url&gt;&lt;/related-urls&gt;&lt;/urls&gt;&lt;electronic-resource-num&gt;10.1057/palgrave.jors.2601899&lt;/electronic-resource-num&gt;&lt;/record&gt;&lt;/Cite&gt;&lt;/EndNote&gt;</w:instrText>
      </w:r>
      <w:r>
        <w:fldChar w:fldCharType="separate"/>
      </w:r>
      <w:r w:rsidR="005C50C5" w:rsidRPr="005C50C5">
        <w:rPr>
          <w:noProof/>
          <w:vertAlign w:val="superscript"/>
        </w:rPr>
        <w:t>13</w:t>
      </w:r>
      <w:r>
        <w:fldChar w:fldCharType="end"/>
      </w:r>
      <w:r>
        <w:t xml:space="preserve"> was identified, which was not conceptually different from Stevenson </w:t>
      </w:r>
      <w:r w:rsidRPr="00200D8F">
        <w:rPr>
          <w:i/>
        </w:rPr>
        <w:t>et al</w:t>
      </w:r>
      <w:r>
        <w:rPr>
          <w:i/>
        </w:rPr>
        <w:t>.</w:t>
      </w:r>
      <w:r>
        <w:t>,</w:t>
      </w:r>
      <w:r>
        <w:fldChar w:fldCharType="begin"/>
      </w:r>
      <w:r w:rsidR="00D63CDB">
        <w:instrText xml:space="preserve"> ADDIN EN.CITE &lt;EndNote&gt;&lt;Cite&gt;&lt;Author&gt;Stevenson&lt;/Author&gt;&lt;Year&gt;2009&lt;/Year&gt;&lt;RecNum&gt;799&lt;/RecNum&gt;&lt;DisplayText&gt;&lt;style face="superscript"&gt;12&lt;/style&gt;&lt;/DisplayText&gt;&lt;record&gt;&lt;rec-number&gt;799&lt;/rec-number&gt;&lt;foreign-keys&gt;&lt;key app="EN" db-id="vrp0pptazv05wtesfz5vrzsj2p0rv09ttsa9" timestamp="1520851592" guid="272c99db-a4fa-4b8b-b57c-96e92fbdca9f"&gt;799&lt;/key&gt;&lt;key app="ENWeb" db-id=""&gt;0&lt;/key&gt;&lt;/foreign-keys&gt;&lt;ref-type name="Journal Article"&gt;17&lt;/ref-type&gt;&lt;contributors&gt;&lt;authors&gt;&lt;author&gt;Stevenson, M. D.&lt;/author&gt;&lt;author&gt;Oakley, J. E.&lt;/author&gt;&lt;author&gt;Chick, S. E.&lt;/author&gt;&lt;author&gt;Chalkidou, K.&lt;/author&gt;&lt;/authors&gt;&lt;/contributors&gt;&lt;titles&gt;&lt;title&gt;The cost-effectiveness of surgical instrument management policies to reduce the risk of vCJD transmission to humans&lt;/title&gt;&lt;secondary-title&gt;Journal of the Operational Research Society&lt;/secondary-title&gt;&lt;/titles&gt;&lt;periodical&gt;&lt;full-title&gt;Journal of the Operational Research Society&lt;/full-title&gt;&lt;/periodical&gt;&lt;pages&gt;506-518&lt;/pages&gt;&lt;volume&gt;60&lt;/volume&gt;&lt;number&gt;4&lt;/number&gt;&lt;keywords&gt;&lt;keyword&gt;$$LU_4_CJD infectivity&lt;/keyword&gt;&lt;keyword&gt;$$CJD relevant&lt;/keyword&gt;&lt;keyword&gt;$$Matt&lt;/keyword&gt;&lt;keyword&gt;$$Lesley added for protocol&lt;/keyword&gt;&lt;/keywords&gt;&lt;dates&gt;&lt;year&gt;2009&lt;/year&gt;&lt;pub-dates&gt;&lt;date&gt;Apr&lt;/date&gt;&lt;/pub-dates&gt;&lt;/dates&gt;&lt;isbn&gt;0160-5682&lt;/isbn&gt;&lt;accession-num&gt;WOS:000263995000006&lt;/accession-num&gt;&lt;urls&gt;&lt;related-urls&gt;&lt;url&gt;&lt;style face="underline" font="default" size="100%"&gt;&amp;lt;Go to ISI&amp;gt;://WOS:000263995000006&lt;/style&gt;&lt;/url&gt;&lt;url&gt;&lt;style face="underline" font="default" size="100%"&gt;https://link.springer.com/content/pdf/10.1057%2Fpalgrave.jors.2602580.pdf&lt;/style&gt;&lt;/url&gt;&lt;/related-urls&gt;&lt;/urls&gt;&lt;electronic-resource-num&gt;10.1057/palgrave.jors.2602580&lt;/electronic-resource-num&gt;&lt;remote-database-name&gt;WoS costs&lt;/remote-database-name&gt;&lt;/record&gt;&lt;/Cite&gt;&lt;/EndNote&gt;</w:instrText>
      </w:r>
      <w:r>
        <w:fldChar w:fldCharType="separate"/>
      </w:r>
      <w:r w:rsidR="005C50C5" w:rsidRPr="005C50C5">
        <w:rPr>
          <w:noProof/>
          <w:vertAlign w:val="superscript"/>
        </w:rPr>
        <w:t>12</w:t>
      </w:r>
      <w:r>
        <w:fldChar w:fldCharType="end"/>
      </w:r>
      <w:r>
        <w:t xml:space="preserve"> but used a system dynamics approach. In contrast to Stevenson </w:t>
      </w:r>
      <w:r w:rsidRPr="00200D8F">
        <w:rPr>
          <w:i/>
        </w:rPr>
        <w:t>et al</w:t>
      </w:r>
      <w:r>
        <w:t xml:space="preserve">, Bennett </w:t>
      </w:r>
      <w:r w:rsidRPr="00200D8F">
        <w:rPr>
          <w:i/>
        </w:rPr>
        <w:t>et al</w:t>
      </w:r>
      <w:r>
        <w:t xml:space="preserve"> commented that instrument migration did not impact on the expected number of infections. Conclusions from the Bennet et al paper was that ‘</w:t>
      </w:r>
      <w:r w:rsidRPr="00200D8F">
        <w:rPr>
          <w:i/>
        </w:rPr>
        <w:t>the risk of surgical transmission of vCJD could not be dismissed</w:t>
      </w:r>
      <w:r>
        <w:t>’ and that improvements to decontamination ‘</w:t>
      </w:r>
      <w:r w:rsidRPr="00200D8F">
        <w:rPr>
          <w:i/>
        </w:rPr>
        <w:t>should be respectively cost-effective unless vCJD turned out to be a very rare disease</w:t>
      </w:r>
      <w:r>
        <w:t xml:space="preserve">.’ A further paper by Garske </w:t>
      </w:r>
      <w:r w:rsidRPr="00DA1A72">
        <w:rPr>
          <w:i/>
        </w:rPr>
        <w:t>et al</w:t>
      </w:r>
      <w:r>
        <w:t>.</w:t>
      </w:r>
      <w:r>
        <w:fldChar w:fldCharType="begin">
          <w:fldData xml:space="preserve">PEVuZE5vdGU+PENpdGU+PEF1dGhvcj5HYXJza2U8L0F1dGhvcj48WWVhcj4yMDA2PC9ZZWFyPjxS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</w:fldData>
        </w:fldChar>
      </w:r>
      <w:r w:rsidR="0076576E">
        <w:instrText xml:space="preserve"> ADDIN EN.CITE </w:instrText>
      </w:r>
      <w:r w:rsidR="0076576E">
        <w:fldChar w:fldCharType="begin">
          <w:fldData xml:space="preserve">PEVuZE5vdGU+PENpdGU+PEF1dGhvcj5HYXJza2U8L0F1dGhvcj48WWVhcj4yMDA2PC9ZZWFyPjxS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</w:fldData>
        </w:fldChar>
      </w:r>
      <w:r w:rsidR="0076576E">
        <w:instrText xml:space="preserve"> ADDIN EN.CITE.DATA </w:instrText>
      </w:r>
      <w:r w:rsidR="0076576E">
        <w:fldChar w:fldCharType="end"/>
      </w:r>
      <w:r>
        <w:fldChar w:fldCharType="separate"/>
      </w:r>
      <w:r w:rsidR="0076576E" w:rsidRPr="0076576E">
        <w:rPr>
          <w:noProof/>
          <w:vertAlign w:val="superscript"/>
        </w:rPr>
        <w:t>210</w:t>
      </w:r>
      <w:r>
        <w:fldChar w:fldCharType="end"/>
      </w:r>
      <w:r>
        <w:t xml:space="preserve"> reported that key determinants of future cases were the</w:t>
      </w:r>
      <w:r w:rsidRPr="00200D8F">
        <w:t xml:space="preserve"> number of times an instrument is re-used, the infectivity of contaminated instruments and the effectiveness of decontamination</w:t>
      </w:r>
      <w:r>
        <w:t xml:space="preserve">. These results came from a differential equation model which did not consider instrument migration nor the mass transferred to a patient. Neither model was deemed by the authors of this report to be preferable to that described by </w:t>
      </w:r>
      <w:r w:rsidRPr="00F0261C">
        <w:rPr>
          <w:rFonts w:cs="Times New Roman"/>
        </w:rPr>
        <w:t xml:space="preserve">Stevenson </w:t>
      </w:r>
      <w:r w:rsidRPr="00B301D6">
        <w:rPr>
          <w:rFonts w:cs="Times New Roman"/>
          <w:i/>
        </w:rPr>
        <w:t>et al</w:t>
      </w:r>
      <w:r w:rsidRPr="00F0261C">
        <w:rPr>
          <w:rFonts w:cs="Times New Roman"/>
        </w:rPr>
        <w:t>.</w:t>
      </w:r>
      <w:r w:rsidRPr="00F0261C">
        <w:rPr>
          <w:rFonts w:cs="Times New Roman"/>
        </w:rPr>
        <w:fldChar w:fldCharType="begin"/>
      </w:r>
      <w:r w:rsidR="00D63CDB">
        <w:rPr>
          <w:rFonts w:cs="Times New Roman"/>
        </w:rPr>
        <w:instrText xml:space="preserve"> ADDIN EN.CITE &lt;EndNote&gt;&lt;Cite&gt;&lt;Author&gt;Stevenson&lt;/Author&gt;&lt;Year&gt;2009&lt;/Year&gt;&lt;RecNum&gt;799&lt;/RecNum&gt;&lt;DisplayText&gt;&lt;style face="superscript"&gt;12&lt;/style&gt;&lt;/DisplayText&gt;&lt;record&gt;&lt;rec-number&gt;799&lt;/rec-number&gt;&lt;foreign-keys&gt;&lt;key app="EN" db-id="vrp0pptazv05wtesfz5vrzsj2p0rv09ttsa9" timestamp="1520851592" guid="272c99db-a4fa-4b8b-b57c-96e92fbdca9f"&gt;799&lt;/key&gt;&lt;key app="ENWeb" db-id=""&gt;0&lt;/key&gt;&lt;/foreign-keys&gt;&lt;ref-type name="Journal Article"&gt;17&lt;/ref-type&gt;&lt;contributors&gt;&lt;authors&gt;&lt;author&gt;Stevenson, M. D.&lt;/author&gt;&lt;author&gt;Oakley, J. E.&lt;/author&gt;&lt;author&gt;Chick, S. E.&lt;/author&gt;&lt;author&gt;Chalkidou, K.&lt;/author&gt;&lt;/authors&gt;&lt;/contributors&gt;&lt;titles&gt;&lt;title&gt;The cost-effectiveness of surgical instrument management policies to reduce the risk of vCJD transmission to humans&lt;/title&gt;&lt;secondary-title&gt;Journal of the Operational Research Society&lt;/secondary-title&gt;&lt;/titles&gt;&lt;periodical&gt;&lt;full-title&gt;Journal of the Operational Research Society&lt;/full-title&gt;&lt;/periodical&gt;&lt;pages&gt;506-518&lt;/pages&gt;&lt;volume&gt;60&lt;/volume&gt;&lt;number&gt;4&lt;/number&gt;&lt;keywords&gt;&lt;keyword&gt;$$LU_4_CJD infectivity&lt;/keyword&gt;&lt;keyword&gt;$$CJD relevant&lt;/keyword&gt;&lt;keyword&gt;$$Matt&lt;/keyword&gt;&lt;keyword&gt;$$Lesley added for protocol&lt;/keyword&gt;&lt;/keywords&gt;&lt;dates&gt;&lt;year&gt;2009&lt;/year&gt;&lt;pub-dates&gt;&lt;date&gt;Apr&lt;/date&gt;&lt;/pub-dates&gt;&lt;/dates&gt;&lt;isbn&gt;0160-5682&lt;/isbn&gt;&lt;accession-num&gt;WOS:000263995000006&lt;/accession-num&gt;&lt;urls&gt;&lt;related-urls&gt;&lt;url&gt;&lt;style face="underline" font="default" size="100%"&gt;&amp;lt;Go to ISI&amp;gt;://WOS:000263995000006&lt;/style&gt;&lt;/url&gt;&lt;url&gt;&lt;style face="underline" font="default" size="100%"&gt;https://link.springer.com/content/pdf/10.1057%2Fpalgrave.jors.2602580.pdf&lt;/style&gt;&lt;/url&gt;&lt;/related-urls&gt;&lt;/urls&gt;&lt;electronic-resource-num&gt;10.1057/palgrave.jors.2602580&lt;/electronic-resource-num&gt;&lt;remote-database-name&gt;WoS costs&lt;/remote-database-name&gt;&lt;/record&gt;&lt;/Cite&gt;&lt;/EndNote&gt;</w:instrText>
      </w:r>
      <w:r w:rsidRPr="00F0261C">
        <w:rPr>
          <w:rFonts w:cs="Times New Roman"/>
        </w:rPr>
        <w:fldChar w:fldCharType="separate"/>
      </w:r>
      <w:r w:rsidR="005C50C5" w:rsidRPr="005C50C5">
        <w:rPr>
          <w:rFonts w:cs="Times New Roman"/>
          <w:noProof/>
          <w:vertAlign w:val="superscript"/>
        </w:rPr>
        <w:t>12</w:t>
      </w:r>
      <w:r w:rsidRPr="00F0261C">
        <w:rPr>
          <w:rFonts w:cs="Times New Roman"/>
        </w:rPr>
        <w:fldChar w:fldCharType="end"/>
      </w:r>
      <w:r w:rsidRPr="00F0261C">
        <w:rPr>
          <w:rFonts w:cs="Times New Roman"/>
        </w:rPr>
        <w:t xml:space="preserve"> which was a summary of a report</w:t>
      </w:r>
      <w:r w:rsidRPr="00F0261C">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sidRPr="00F0261C">
        <w:rPr>
          <w:rFonts w:cs="Times New Roman"/>
        </w:rPr>
        <w:fldChar w:fldCharType="separate"/>
      </w:r>
      <w:r w:rsidR="005C50C5" w:rsidRPr="005C50C5">
        <w:rPr>
          <w:rFonts w:cs="Times New Roman"/>
          <w:noProof/>
          <w:vertAlign w:val="superscript"/>
        </w:rPr>
        <w:t>11</w:t>
      </w:r>
      <w:r w:rsidRPr="00F0261C">
        <w:rPr>
          <w:rFonts w:cs="Times New Roman"/>
        </w:rPr>
        <w:fldChar w:fldCharType="end"/>
      </w:r>
      <w:r w:rsidRPr="00F0261C">
        <w:rPr>
          <w:rFonts w:cs="Times New Roman"/>
        </w:rPr>
        <w:t xml:space="preserve"> undertaken for the CJDAS, with the addition of Bayesian updating to take into account further observed data between the generation of the results and submission of the manuscript.</w:t>
      </w:r>
      <w:r>
        <w:rPr>
          <w:rFonts w:cs="Times New Roman"/>
        </w:rPr>
        <w:t xml:space="preserve"> The model structure of Stevenson et al was used as a foundation for the modelling undertaken in the report and was amended as recommended by the NICE committee, most noticeably to include the possibility that patients may be an stCJD case but could be diagnosed with an alternative neurodegenerative disease. </w:t>
      </w:r>
    </w:p>
    <w:p w14:paraId="43D62A82" w14:textId="28A8D18F" w:rsidR="00A8279C" w:rsidRDefault="00A8279C" w:rsidP="00B53489">
      <w:pPr>
        <w:jc w:val="both"/>
        <w:rPr>
          <w:rFonts w:cs="Times New Roman"/>
        </w:rPr>
      </w:pPr>
    </w:p>
    <w:p w14:paraId="076C1234" w14:textId="257BCB82" w:rsidR="00B53489" w:rsidRDefault="00B53489" w:rsidP="00B53489">
      <w:pPr>
        <w:jc w:val="both"/>
        <w:rPr>
          <w:rFonts w:cs="Times New Roman"/>
        </w:rPr>
      </w:pPr>
      <w:r w:rsidRPr="00F0261C">
        <w:rPr>
          <w:rFonts w:cs="Times New Roman"/>
        </w:rPr>
        <w:t xml:space="preserve">A schematic of the conceptual model relating to infection transmission is shown in </w:t>
      </w:r>
      <w:r w:rsidRPr="00F0261C">
        <w:rPr>
          <w:rFonts w:cs="Times New Roman"/>
        </w:rPr>
        <w:fldChar w:fldCharType="begin"/>
      </w:r>
      <w:r w:rsidRPr="00F0261C">
        <w:rPr>
          <w:rFonts w:cs="Times New Roman"/>
        </w:rPr>
        <w:instrText xml:space="preserve"> REF _Ref508185894  \* MERGEFORMAT </w:instrText>
      </w:r>
      <w:r w:rsidRPr="00F0261C">
        <w:rPr>
          <w:rFonts w:cs="Times New Roman"/>
        </w:rPr>
        <w:fldChar w:fldCharType="separate"/>
      </w:r>
      <w:r w:rsidR="00690541" w:rsidRPr="00930045">
        <w:rPr>
          <w:rFonts w:cs="Times New Roman"/>
        </w:rPr>
        <w:t xml:space="preserve">Figure </w:t>
      </w:r>
      <w:r w:rsidR="00690541">
        <w:rPr>
          <w:rFonts w:cs="Times New Roman"/>
          <w:noProof/>
        </w:rPr>
        <w:t>4</w:t>
      </w:r>
      <w:r w:rsidRPr="00F0261C">
        <w:rPr>
          <w:rFonts w:cs="Times New Roman"/>
          <w:noProof/>
        </w:rPr>
        <w:fldChar w:fldCharType="end"/>
      </w:r>
      <w:r w:rsidRPr="00F0261C">
        <w:rPr>
          <w:rFonts w:cs="Times New Roman"/>
        </w:rPr>
        <w:t xml:space="preserve">. </w:t>
      </w:r>
      <w:r w:rsidRPr="00F0261C">
        <w:rPr>
          <w:rFonts w:cs="Times New Roman"/>
        </w:rPr>
        <w:fldChar w:fldCharType="begin"/>
      </w:r>
      <w:r w:rsidRPr="00F0261C">
        <w:rPr>
          <w:rFonts w:cs="Times New Roman"/>
        </w:rPr>
        <w:instrText xml:space="preserve"> REF _Ref508185894  \* MERGEFORMAT </w:instrText>
      </w:r>
      <w:r w:rsidRPr="00F0261C">
        <w:rPr>
          <w:rFonts w:cs="Times New Roman"/>
        </w:rPr>
        <w:fldChar w:fldCharType="separate"/>
      </w:r>
      <w:r w:rsidR="00690541" w:rsidRPr="00930045">
        <w:rPr>
          <w:rFonts w:cs="Times New Roman"/>
        </w:rPr>
        <w:t xml:space="preserve">Figure </w:t>
      </w:r>
      <w:r w:rsidR="00690541">
        <w:rPr>
          <w:rFonts w:cs="Times New Roman"/>
          <w:noProof/>
        </w:rPr>
        <w:t>4</w:t>
      </w:r>
      <w:r w:rsidRPr="00F0261C">
        <w:rPr>
          <w:rFonts w:cs="Times New Roman"/>
          <w:noProof/>
        </w:rPr>
        <w:fldChar w:fldCharType="end"/>
      </w:r>
      <w:r w:rsidRPr="00F0261C">
        <w:rPr>
          <w:rFonts w:cs="Times New Roman"/>
        </w:rPr>
        <w:t xml:space="preserve"> depicts the flows of patients, instrument sets and supplementary instruments (SI) that have the potential to transmit CJD surgically. The decontamination cycle removes mass from the instruments and reduces the infectious titre where applicable. During the operation, the decontamination process, and the instrument storing process, instruments may migrate between sets. Furthermore, SIs cannot always be distinguished from similar items in the main instrument set and migration between SIs and instruments from the main set can occur. Further details are provided in following sections. </w:t>
      </w:r>
      <w:r>
        <w:rPr>
          <w:rFonts w:cs="Times New Roman"/>
        </w:rPr>
        <w:t xml:space="preserve">The modelling unit was a geographical area representing a population 1/27 of the size of England which was assumed to have a neurosurgical centre and a posterior eye centre. A key change in the methodology is that where previously patients born after 1996 were excluded from the </w:t>
      </w:r>
      <w:r w:rsidR="00D25530">
        <w:rPr>
          <w:rFonts w:cs="Times New Roman"/>
        </w:rPr>
        <w:t xml:space="preserve">original ScHARR </w:t>
      </w:r>
      <w:r>
        <w:rPr>
          <w:rFonts w:cs="Times New Roman"/>
        </w:rPr>
        <w:t>model, these were explicitly included in the updated modelling work. The rationale for the change was that it may be the case that such patients can be infectious, whereas previously this was not thought possible, and that this explicitly allows an evaluation of the health and cost implications of removing the guidance that patients born after 1996 should use different instrument sets to the remainder of the population.</w:t>
      </w:r>
    </w:p>
    <w:p w14:paraId="5803031F" w14:textId="77777777" w:rsidR="00B53489" w:rsidRDefault="00B53489" w:rsidP="00B53489">
      <w:pPr>
        <w:jc w:val="both"/>
        <w:rPr>
          <w:rFonts w:cs="Times New Roman"/>
        </w:rPr>
      </w:pPr>
    </w:p>
    <w:p w14:paraId="1A449056" w14:textId="40EA6DFE" w:rsidR="00B53489" w:rsidRPr="00A20906" w:rsidRDefault="00B53489" w:rsidP="00B53489">
      <w:pPr>
        <w:jc w:val="both"/>
        <w:rPr>
          <w:rFonts w:cs="Times New Roman"/>
        </w:rPr>
      </w:pPr>
      <w:r w:rsidRPr="00E94948">
        <w:rPr>
          <w:rFonts w:cs="Times New Roman"/>
        </w:rPr>
        <w:fldChar w:fldCharType="begin"/>
      </w:r>
      <w:r w:rsidRPr="00E94948">
        <w:rPr>
          <w:rFonts w:cs="Times New Roman"/>
        </w:rPr>
        <w:instrText xml:space="preserve"> REF _Ref508196649  \* MERGEFORMAT </w:instrText>
      </w:r>
      <w:r w:rsidRPr="00E94948">
        <w:rPr>
          <w:rFonts w:cs="Times New Roman"/>
        </w:rPr>
        <w:fldChar w:fldCharType="separate"/>
      </w:r>
      <w:r w:rsidR="00690541" w:rsidRPr="00930045">
        <w:rPr>
          <w:rFonts w:cs="Times New Roman"/>
          <w:noProof/>
        </w:rPr>
        <w:t>Figure</w:t>
      </w:r>
      <w:r w:rsidR="00690541" w:rsidRPr="00930045">
        <w:rPr>
          <w:rFonts w:cs="Times New Roman"/>
        </w:rPr>
        <w:t xml:space="preserve"> </w:t>
      </w:r>
      <w:r w:rsidR="00690541">
        <w:rPr>
          <w:rFonts w:cs="Times New Roman"/>
          <w:noProof/>
        </w:rPr>
        <w:t>5</w:t>
      </w:r>
      <w:r w:rsidRPr="00E94948">
        <w:rPr>
          <w:rFonts w:cs="Times New Roman"/>
        </w:rPr>
        <w:fldChar w:fldCharType="end"/>
      </w:r>
      <w:r w:rsidRPr="00F0261C">
        <w:rPr>
          <w:rFonts w:cs="Times New Roman"/>
        </w:rPr>
        <w:t xml:space="preserve"> provides the conceptual model for determining the outcomes for patients who have become infected. There has been a fundamental change in this process since the earlier work as the possibility that patients who become symptomatic following infection with CJD are misdiagnosed as having a different neurodegenerative disease is included. Further details are provided in following sections.</w:t>
      </w:r>
    </w:p>
    <w:p w14:paraId="5361E73E" w14:textId="77777777" w:rsidR="00B53489" w:rsidRPr="00F0261C" w:rsidRDefault="00B53489" w:rsidP="00B53489">
      <w:pPr>
        <w:jc w:val="both"/>
        <w:rPr>
          <w:rFonts w:cs="Times New Roman"/>
        </w:rPr>
      </w:pPr>
    </w:p>
    <w:p w14:paraId="6DF1119C" w14:textId="4E515BCD" w:rsidR="00B53489" w:rsidRDefault="00B53489" w:rsidP="005E7320">
      <w:pPr>
        <w:jc w:val="both"/>
        <w:rPr>
          <w:rFonts w:cs="Times New Roman"/>
        </w:rPr>
      </w:pPr>
      <w:r w:rsidRPr="00F0261C">
        <w:rPr>
          <w:rFonts w:cs="Times New Roman"/>
        </w:rPr>
        <w:t>The model was run from</w:t>
      </w:r>
      <w:r>
        <w:rPr>
          <w:rFonts w:cs="Times New Roman"/>
        </w:rPr>
        <w:t xml:space="preserve"> January 1</w:t>
      </w:r>
      <w:r w:rsidRPr="004A764C">
        <w:rPr>
          <w:rFonts w:cs="Times New Roman"/>
          <w:vertAlign w:val="superscript"/>
        </w:rPr>
        <w:t>st</w:t>
      </w:r>
      <w:r>
        <w:rPr>
          <w:rFonts w:cs="Times New Roman"/>
        </w:rPr>
        <w:t xml:space="preserve"> </w:t>
      </w:r>
      <w:r w:rsidRPr="00F0261C">
        <w:rPr>
          <w:rFonts w:cs="Times New Roman"/>
        </w:rPr>
        <w:t>200</w:t>
      </w:r>
      <w:r>
        <w:rPr>
          <w:rFonts w:cs="Times New Roman"/>
        </w:rPr>
        <w:t>4</w:t>
      </w:r>
      <w:r w:rsidRPr="00F0261C">
        <w:rPr>
          <w:rFonts w:cs="Times New Roman"/>
        </w:rPr>
        <w:t xml:space="preserve">, the year at which </w:t>
      </w:r>
      <w:r>
        <w:rPr>
          <w:rFonts w:cs="Times New Roman"/>
        </w:rPr>
        <w:t xml:space="preserve">a proportion of </w:t>
      </w:r>
      <w:r w:rsidRPr="00F0261C">
        <w:rPr>
          <w:rFonts w:cs="Times New Roman"/>
        </w:rPr>
        <w:t xml:space="preserve">key distributions within the model were elicited, to </w:t>
      </w:r>
      <w:r w:rsidRPr="00862F6E">
        <w:rPr>
          <w:rFonts w:cs="Times New Roman"/>
        </w:rPr>
        <w:t>2018</w:t>
      </w:r>
      <w:r w:rsidRPr="00F0261C">
        <w:rPr>
          <w:rFonts w:cs="Times New Roman"/>
        </w:rPr>
        <w:t xml:space="preserve"> in the calibration period. </w:t>
      </w:r>
      <w:r>
        <w:rPr>
          <w:rFonts w:cs="Times New Roman"/>
        </w:rPr>
        <w:t>This duration includes a one-year</w:t>
      </w:r>
      <w:r w:rsidRPr="00F0261C">
        <w:rPr>
          <w:rFonts w:cs="Times New Roman"/>
        </w:rPr>
        <w:t xml:space="preserve"> warm-up period </w:t>
      </w:r>
      <w:r>
        <w:rPr>
          <w:rFonts w:cs="Times New Roman"/>
        </w:rPr>
        <w:t>from January 1</w:t>
      </w:r>
      <w:r w:rsidRPr="00813836">
        <w:rPr>
          <w:rFonts w:cs="Times New Roman"/>
          <w:vertAlign w:val="superscript"/>
        </w:rPr>
        <w:t>st</w:t>
      </w:r>
      <w:r>
        <w:rPr>
          <w:rFonts w:cs="Times New Roman"/>
        </w:rPr>
        <w:t xml:space="preserve"> 2004 to January 1</w:t>
      </w:r>
      <w:r w:rsidRPr="00813836">
        <w:rPr>
          <w:rFonts w:cs="Times New Roman"/>
          <w:vertAlign w:val="superscript"/>
        </w:rPr>
        <w:t>st</w:t>
      </w:r>
      <w:r>
        <w:rPr>
          <w:rFonts w:cs="Times New Roman"/>
        </w:rPr>
        <w:t xml:space="preserve"> 2005</w:t>
      </w:r>
      <w:r w:rsidRPr="00F0261C">
        <w:rPr>
          <w:rFonts w:cs="Times New Roman"/>
        </w:rPr>
        <w:t xml:space="preserve">, </w:t>
      </w:r>
      <w:r>
        <w:rPr>
          <w:rFonts w:cs="Times New Roman"/>
        </w:rPr>
        <w:t>which allows for the possibility that</w:t>
      </w:r>
      <w:r w:rsidRPr="00F0261C">
        <w:rPr>
          <w:rFonts w:cs="Times New Roman"/>
        </w:rPr>
        <w:t xml:space="preserve"> instruments were contaminated with CJD prions at the start</w:t>
      </w:r>
      <w:r>
        <w:rPr>
          <w:rFonts w:cs="Times New Roman"/>
        </w:rPr>
        <w:t xml:space="preserve"> of 2005.</w:t>
      </w:r>
      <w:r w:rsidRPr="00F0261C">
        <w:rPr>
          <w:rFonts w:cs="Times New Roman"/>
        </w:rPr>
        <w:t xml:space="preserve"> The </w:t>
      </w:r>
      <w:r>
        <w:rPr>
          <w:rFonts w:cs="Times New Roman"/>
        </w:rPr>
        <w:t xml:space="preserve">expected </w:t>
      </w:r>
      <w:r w:rsidRPr="00F0261C">
        <w:rPr>
          <w:rFonts w:cs="Times New Roman"/>
        </w:rPr>
        <w:t xml:space="preserve">number of </w:t>
      </w:r>
      <w:r>
        <w:rPr>
          <w:rFonts w:cs="Times New Roman"/>
        </w:rPr>
        <w:t>modelled</w:t>
      </w:r>
      <w:r w:rsidRPr="00F0261C">
        <w:rPr>
          <w:rFonts w:cs="Times New Roman"/>
        </w:rPr>
        <w:t xml:space="preserve"> CJD cases </w:t>
      </w:r>
      <w:r>
        <w:rPr>
          <w:rFonts w:cs="Times New Roman"/>
        </w:rPr>
        <w:t>(estimated based on the number of transmissions that resulted in clinical infection and the elicited probability of correct diagnosis) between 2005 and 2018</w:t>
      </w:r>
      <w:r w:rsidRPr="00F0261C">
        <w:rPr>
          <w:rFonts w:cs="Times New Roman"/>
        </w:rPr>
        <w:t xml:space="preserve"> were then compared to those potentially observed in the UK to establish plausible bounds for use within probabilistic sensitivity analyses</w:t>
      </w:r>
      <w:r>
        <w:rPr>
          <w:rFonts w:cs="Times New Roman"/>
        </w:rPr>
        <w:t xml:space="preserve"> </w:t>
      </w:r>
      <w:r w:rsidR="005E7320">
        <w:rPr>
          <w:rFonts w:cs="Times New Roman"/>
        </w:rPr>
        <w:t xml:space="preserve">(PSA) </w:t>
      </w:r>
      <w:r>
        <w:rPr>
          <w:rFonts w:cs="Times New Roman"/>
        </w:rPr>
        <w:t>and then subsequently to determine likelihood ratios for each probabilistic sensitivity analysis configuration</w:t>
      </w:r>
      <w:r w:rsidRPr="00F0261C">
        <w:rPr>
          <w:rFonts w:cs="Times New Roman"/>
        </w:rPr>
        <w:t>.</w:t>
      </w:r>
      <w:r>
        <w:rPr>
          <w:rFonts w:cs="Times New Roman"/>
        </w:rPr>
        <w:t xml:space="preserve"> This process is described in further detail in a later section.</w:t>
      </w:r>
    </w:p>
    <w:p w14:paraId="543D7094" w14:textId="77777777" w:rsidR="00B53489" w:rsidRPr="00F0261C" w:rsidRDefault="00B53489" w:rsidP="00B53489">
      <w:pPr>
        <w:jc w:val="both"/>
        <w:rPr>
          <w:rFonts w:cs="Times New Roman"/>
        </w:rPr>
      </w:pPr>
    </w:p>
    <w:p w14:paraId="5414AE9D" w14:textId="77777777" w:rsidR="00B53489" w:rsidRDefault="00B53489" w:rsidP="00B53489">
      <w:pPr>
        <w:jc w:val="both"/>
        <w:rPr>
          <w:rFonts w:cs="Times New Roman"/>
        </w:rPr>
      </w:pPr>
      <w:r w:rsidRPr="00F0261C">
        <w:rPr>
          <w:rFonts w:cs="Times New Roman"/>
        </w:rPr>
        <w:t>Having established parameter configurations</w:t>
      </w:r>
      <w:r>
        <w:rPr>
          <w:rFonts w:cs="Times New Roman"/>
        </w:rPr>
        <w:t xml:space="preserve"> </w:t>
      </w:r>
      <w:r w:rsidRPr="00F0261C">
        <w:rPr>
          <w:rFonts w:cs="Times New Roman"/>
        </w:rPr>
        <w:t xml:space="preserve">that </w:t>
      </w:r>
      <w:r>
        <w:rPr>
          <w:rFonts w:cs="Times New Roman"/>
        </w:rPr>
        <w:t>were plausibly consistent with the number of stCJD cases potentially observed, the m</w:t>
      </w:r>
      <w:r w:rsidRPr="00F0261C">
        <w:rPr>
          <w:rFonts w:cs="Times New Roman"/>
        </w:rPr>
        <w:t xml:space="preserve">odel was run for a further </w:t>
      </w:r>
      <w:r w:rsidRPr="00813836">
        <w:rPr>
          <w:rFonts w:cs="Times New Roman"/>
        </w:rPr>
        <w:t>five</w:t>
      </w:r>
      <w:r w:rsidRPr="00F0261C">
        <w:rPr>
          <w:rFonts w:cs="Times New Roman"/>
        </w:rPr>
        <w:t xml:space="preserve"> years to look at the potential loss of health due to stCJD associated with each strategy evaluated.</w:t>
      </w:r>
    </w:p>
    <w:p w14:paraId="387B9680" w14:textId="77777777" w:rsidR="00B53489" w:rsidRPr="00F0261C" w:rsidRDefault="00B53489" w:rsidP="00B53489">
      <w:pPr>
        <w:jc w:val="both"/>
        <w:rPr>
          <w:rFonts w:cs="Times New Roman"/>
        </w:rPr>
      </w:pPr>
    </w:p>
    <w:p w14:paraId="784981B1" w14:textId="0ED9A6B1" w:rsidR="00B53489" w:rsidRDefault="00B53489" w:rsidP="00B53489">
      <w:pPr>
        <w:jc w:val="both"/>
        <w:rPr>
          <w:rFonts w:cs="Times New Roman"/>
        </w:rPr>
      </w:pPr>
      <w:r>
        <w:rPr>
          <w:rFonts w:cs="Times New Roman"/>
        </w:rPr>
        <w:t xml:space="preserve">The model was constructed in Simul8 </w:t>
      </w:r>
      <w:r w:rsidRPr="00E43BE0">
        <w:rPr>
          <w:rFonts w:cs="Times New Roman"/>
        </w:rPr>
        <w:t>2017</w:t>
      </w:r>
      <w:r>
        <w:rPr>
          <w:rFonts w:cs="Times New Roman"/>
        </w:rPr>
        <w:t xml:space="preserve"> Professional Edition (© Simul8 Corporation). A</w:t>
      </w:r>
      <w:r w:rsidR="00A4124E">
        <w:rPr>
          <w:rFonts w:cs="Times New Roman"/>
        </w:rPr>
        <w:t>n</w:t>
      </w:r>
      <w:r>
        <w:rPr>
          <w:rFonts w:cs="Times New Roman"/>
        </w:rPr>
        <w:t xml:space="preserve"> NHS and </w:t>
      </w:r>
      <w:r w:rsidR="00A4124E">
        <w:rPr>
          <w:rFonts w:cs="Times New Roman"/>
        </w:rPr>
        <w:t>P</w:t>
      </w:r>
      <w:r>
        <w:rPr>
          <w:rFonts w:cs="Times New Roman"/>
        </w:rPr>
        <w:t xml:space="preserve">ersonal </w:t>
      </w:r>
      <w:r w:rsidR="00A4124E">
        <w:rPr>
          <w:rFonts w:cs="Times New Roman"/>
        </w:rPr>
        <w:t>Social S</w:t>
      </w:r>
      <w:r>
        <w:rPr>
          <w:rFonts w:cs="Times New Roman"/>
        </w:rPr>
        <w:t>ervices perspective was taken and both costs and benefits were discounted at 3.5% per annum as recommended by NICE.</w:t>
      </w:r>
      <w:r>
        <w:rPr>
          <w:rFonts w:cs="Times New Roman"/>
        </w:rPr>
        <w:fldChar w:fldCharType="begin"/>
      </w:r>
      <w:r w:rsidR="0076576E">
        <w:rPr>
          <w:rFonts w:cs="Times New Roman"/>
        </w:rPr>
        <w:instrText xml:space="preserve"> ADDIN EN.CITE &lt;EndNote&gt;&lt;Cite&gt;&lt;Author&gt;National Institute for Health and Care Excellence&lt;/Author&gt;&lt;Year&gt;2013&lt;/Year&gt;&lt;RecNum&gt;10280&lt;/RecNum&gt;&lt;DisplayText&gt;&lt;style face="superscript"&gt;211&lt;/style&gt;&lt;/DisplayText&gt;&lt;record&gt;&lt;rec-number&gt;10280&lt;/rec-number&gt;&lt;foreign-keys&gt;&lt;key app="EN" db-id="vrp0pptazv05wtesfz5vrzsj2p0rv09ttsa9" timestamp="1521469837" guid="29ded8f1-d0e5-4e45-a86d-92e847bcad99"&gt;10280&lt;/key&gt;&lt;/foreign-keys&gt;&lt;ref-type name="Web Page"&gt;12&lt;/ref-type&gt;&lt;contributors&gt;&lt;authors&gt;&lt;author&gt;National Institute for Health and Care Excellence,&lt;/author&gt;&lt;/authors&gt;&lt;/contributors&gt;&lt;titles&gt;&lt;title&gt;Guide to the methods of technology appraisal 2013&lt;/title&gt;&lt;/titles&gt;&lt;number&gt;19.03.2018&lt;/number&gt;&lt;num-vols&gt;NICE article [PMG9]&lt;/num-vols&gt;&lt;dates&gt;&lt;year&gt;2013&lt;/year&gt;&lt;/dates&gt;&lt;urls&gt;&lt;related-urls&gt;&lt;url&gt;&lt;style face="underline" font="default" size="100%"&gt;https://www.nice.org.uk/article/pmg9/&lt;/style&gt;&lt;/url&gt;&lt;/related-urls&gt;&lt;/urls&gt;&lt;/record&gt;&lt;/Cite&gt;&lt;/EndNote&gt;</w:instrText>
      </w:r>
      <w:r>
        <w:rPr>
          <w:rFonts w:cs="Times New Roman"/>
        </w:rPr>
        <w:fldChar w:fldCharType="separate"/>
      </w:r>
      <w:r w:rsidR="0076576E" w:rsidRPr="0076576E">
        <w:rPr>
          <w:rFonts w:cs="Times New Roman"/>
          <w:noProof/>
          <w:vertAlign w:val="superscript"/>
        </w:rPr>
        <w:t>211</w:t>
      </w:r>
      <w:r>
        <w:rPr>
          <w:rFonts w:cs="Times New Roman"/>
        </w:rPr>
        <w:fldChar w:fldCharType="end"/>
      </w:r>
    </w:p>
    <w:p w14:paraId="3701514C" w14:textId="77777777" w:rsidR="00B53489" w:rsidRPr="00F0261C" w:rsidRDefault="00B53489" w:rsidP="00B53489">
      <w:pPr>
        <w:jc w:val="both"/>
        <w:rPr>
          <w:rFonts w:cs="Times New Roman"/>
        </w:rPr>
        <w:sectPr w:rsidR="00B53489" w:rsidRPr="00F0261C" w:rsidSect="00931EC4">
          <w:headerReference w:type="default" r:id="rId14"/>
          <w:pgSz w:w="11906" w:h="16838"/>
          <w:pgMar w:top="1440" w:right="1440" w:bottom="1440" w:left="1440" w:header="708" w:footer="708" w:gutter="0"/>
          <w:cols w:space="708"/>
          <w:docGrid w:linePitch="360"/>
        </w:sectPr>
      </w:pPr>
    </w:p>
    <w:p w14:paraId="48989CF6" w14:textId="696593F3" w:rsidR="00B53489" w:rsidRPr="00930045" w:rsidRDefault="00B53489" w:rsidP="00B53489">
      <w:pPr>
        <w:pStyle w:val="Caption"/>
        <w:spacing w:line="360" w:lineRule="auto"/>
        <w:rPr>
          <w:rFonts w:cs="Times New Roman"/>
          <w:szCs w:val="22"/>
        </w:rPr>
      </w:pPr>
      <w:bookmarkStart w:id="94" w:name="_Ref508185894"/>
      <w:bookmarkStart w:id="95" w:name="_Ref508185890"/>
      <w:bookmarkStart w:id="96" w:name="_Toc525106721"/>
      <w:r w:rsidRPr="00930045">
        <w:rPr>
          <w:rFonts w:cs="Times New Roman"/>
          <w:szCs w:val="22"/>
        </w:rPr>
        <w:t xml:space="preserve">Figure </w:t>
      </w:r>
      <w:r w:rsidRPr="00930045">
        <w:rPr>
          <w:rFonts w:cs="Times New Roman"/>
          <w:szCs w:val="22"/>
        </w:rPr>
        <w:fldChar w:fldCharType="begin"/>
      </w:r>
      <w:r w:rsidRPr="00930045">
        <w:rPr>
          <w:rFonts w:cs="Times New Roman"/>
          <w:szCs w:val="22"/>
        </w:rPr>
        <w:instrText xml:space="preserve"> SEQ Figure \* ARABIC </w:instrText>
      </w:r>
      <w:r w:rsidRPr="00930045">
        <w:rPr>
          <w:rFonts w:cs="Times New Roman"/>
          <w:szCs w:val="22"/>
        </w:rPr>
        <w:fldChar w:fldCharType="separate"/>
      </w:r>
      <w:r w:rsidR="00690541">
        <w:rPr>
          <w:rFonts w:cs="Times New Roman"/>
          <w:noProof/>
          <w:szCs w:val="22"/>
        </w:rPr>
        <w:t>4</w:t>
      </w:r>
      <w:r w:rsidRPr="00930045">
        <w:rPr>
          <w:rFonts w:cs="Times New Roman"/>
          <w:szCs w:val="22"/>
        </w:rPr>
        <w:fldChar w:fldCharType="end"/>
      </w:r>
      <w:bookmarkEnd w:id="94"/>
      <w:r w:rsidRPr="00930045">
        <w:rPr>
          <w:rFonts w:cs="Times New Roman"/>
          <w:szCs w:val="22"/>
        </w:rPr>
        <w:t>:</w:t>
      </w:r>
      <w:r w:rsidRPr="00930045">
        <w:rPr>
          <w:rFonts w:cs="Times New Roman"/>
          <w:szCs w:val="22"/>
        </w:rPr>
        <w:tab/>
        <w:t>The conceptual model relating to the infection process</w:t>
      </w:r>
      <w:bookmarkEnd w:id="95"/>
      <w:bookmarkEnd w:id="96"/>
    </w:p>
    <w:p w14:paraId="21CA66BB" w14:textId="77777777" w:rsidR="00B53489" w:rsidRDefault="00B53489" w:rsidP="00B53489">
      <w:r>
        <w:rPr>
          <w:noProof/>
          <w:lang w:eastAsia="en-GB"/>
        </w:rPr>
        <w:drawing>
          <wp:inline distT="0" distB="0" distL="0" distR="0" wp14:anchorId="695852C9" wp14:editId="7C6CE5EC">
            <wp:extent cx="7207191" cy="417021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ept Model minus text.PNG"/>
                    <pic:cNvPicPr/>
                  </pic:nvPicPr>
                  <pic:blipFill rotWithShape="1">
                    <a:blip r:embed="rId15">
                      <a:extLst>
                        <a:ext uri="{28A0092B-C50C-407E-A947-70E740481C1C}">
                          <a14:useLocalDpi xmlns:a14="http://schemas.microsoft.com/office/drawing/2010/main" val="0"/>
                        </a:ext>
                      </a:extLst>
                    </a:blip>
                    <a:srcRect t="6230"/>
                    <a:stretch/>
                  </pic:blipFill>
                  <pic:spPr bwMode="auto">
                    <a:xfrm>
                      <a:off x="0" y="0"/>
                      <a:ext cx="7211118" cy="4172490"/>
                    </a:xfrm>
                    <a:prstGeom prst="rect">
                      <a:avLst/>
                    </a:prstGeom>
                    <a:ln>
                      <a:noFill/>
                    </a:ln>
                    <a:extLst>
                      <a:ext uri="{53640926-AAD7-44D8-BBD7-CCE9431645EC}">
                        <a14:shadowObscured xmlns:a14="http://schemas.microsoft.com/office/drawing/2010/main"/>
                      </a:ext>
                    </a:extLst>
                  </pic:spPr>
                </pic:pic>
              </a:graphicData>
            </a:graphic>
          </wp:inline>
        </w:drawing>
      </w:r>
    </w:p>
    <w:p w14:paraId="6CD3D3D8" w14:textId="77777777" w:rsidR="00B53489" w:rsidRDefault="00B53489" w:rsidP="00B53489"/>
    <w:p w14:paraId="1573035A" w14:textId="77777777" w:rsidR="00B53489" w:rsidRDefault="00B53489" w:rsidP="00B53489">
      <w:pPr>
        <w:rPr>
          <w:rFonts w:cs="Times New Roman"/>
          <w:b/>
          <w:iCs/>
        </w:rPr>
      </w:pPr>
      <w:bookmarkStart w:id="97" w:name="_Ref508196649"/>
      <w:r>
        <w:rPr>
          <w:rFonts w:cs="Times New Roman"/>
          <w:b/>
          <w:i/>
        </w:rPr>
        <w:br w:type="page"/>
      </w:r>
    </w:p>
    <w:p w14:paraId="78544D2A" w14:textId="638BDA6E" w:rsidR="00B53489" w:rsidRPr="00930045" w:rsidRDefault="00B53489" w:rsidP="00B53489">
      <w:pPr>
        <w:pStyle w:val="Caption"/>
        <w:spacing w:line="360" w:lineRule="auto"/>
        <w:rPr>
          <w:rFonts w:cs="Times New Roman"/>
          <w:szCs w:val="22"/>
        </w:rPr>
      </w:pPr>
      <w:bookmarkStart w:id="98" w:name="_Ref508958162"/>
      <w:bookmarkStart w:id="99" w:name="_Toc525106722"/>
      <w:r w:rsidRPr="00930045">
        <w:rPr>
          <w:rFonts w:cs="Times New Roman"/>
          <w:szCs w:val="22"/>
        </w:rPr>
        <w:t xml:space="preserve">Figure </w:t>
      </w:r>
      <w:r w:rsidRPr="00930045">
        <w:rPr>
          <w:rFonts w:cs="Times New Roman"/>
          <w:szCs w:val="22"/>
        </w:rPr>
        <w:fldChar w:fldCharType="begin"/>
      </w:r>
      <w:r w:rsidRPr="00930045">
        <w:rPr>
          <w:rFonts w:cs="Times New Roman"/>
          <w:szCs w:val="22"/>
        </w:rPr>
        <w:instrText xml:space="preserve"> SEQ Figure \* ARABIC </w:instrText>
      </w:r>
      <w:r w:rsidRPr="00930045">
        <w:rPr>
          <w:rFonts w:cs="Times New Roman"/>
          <w:szCs w:val="22"/>
        </w:rPr>
        <w:fldChar w:fldCharType="separate"/>
      </w:r>
      <w:r w:rsidR="00690541">
        <w:rPr>
          <w:rFonts w:cs="Times New Roman"/>
          <w:noProof/>
          <w:szCs w:val="22"/>
        </w:rPr>
        <w:t>5</w:t>
      </w:r>
      <w:r w:rsidRPr="00930045">
        <w:rPr>
          <w:rFonts w:cs="Times New Roman"/>
          <w:szCs w:val="22"/>
        </w:rPr>
        <w:fldChar w:fldCharType="end"/>
      </w:r>
      <w:bookmarkEnd w:id="97"/>
      <w:bookmarkEnd w:id="98"/>
      <w:r w:rsidRPr="00930045">
        <w:rPr>
          <w:rFonts w:cs="Times New Roman"/>
          <w:szCs w:val="22"/>
        </w:rPr>
        <w:t>:</w:t>
      </w:r>
      <w:r w:rsidRPr="00930045">
        <w:rPr>
          <w:rFonts w:cs="Times New Roman"/>
          <w:szCs w:val="22"/>
        </w:rPr>
        <w:tab/>
        <w:t>The conceptual model relating to patient outcome post infection</w:t>
      </w:r>
      <w:bookmarkEnd w:id="99"/>
    </w:p>
    <w:p w14:paraId="64BCD371" w14:textId="60C27EC3" w:rsidR="00570433" w:rsidRDefault="00570433" w:rsidP="00B53489">
      <w:pPr>
        <w:sectPr w:rsidR="00570433" w:rsidSect="007471CB">
          <w:pgSz w:w="16838" w:h="11906" w:orient="landscape"/>
          <w:pgMar w:top="1440" w:right="1440" w:bottom="1440" w:left="1440" w:header="708" w:footer="708" w:gutter="0"/>
          <w:cols w:space="708"/>
          <w:docGrid w:linePitch="360"/>
        </w:sectPr>
      </w:pPr>
      <w:r w:rsidRPr="00463CDD">
        <w:rPr>
          <w:noProof/>
          <w:lang w:eastAsia="en-GB"/>
        </w:rPr>
        <w:drawing>
          <wp:inline distT="0" distB="0" distL="0" distR="0" wp14:anchorId="2085FA53" wp14:editId="4F2367CE">
            <wp:extent cx="6619875" cy="3137583"/>
            <wp:effectExtent l="0" t="0" r="0" b="5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1851" cy="3143259"/>
                    </a:xfrm>
                    <a:prstGeom prst="rect">
                      <a:avLst/>
                    </a:prstGeom>
                    <a:noFill/>
                    <a:ln>
                      <a:noFill/>
                    </a:ln>
                    <a:effectLst/>
                    <a:extLst/>
                  </pic:spPr>
                </pic:pic>
              </a:graphicData>
            </a:graphic>
          </wp:inline>
        </w:drawing>
      </w:r>
    </w:p>
    <w:p w14:paraId="746101AC" w14:textId="0AB09C23" w:rsidR="00B53489" w:rsidRPr="00930045" w:rsidRDefault="00B53489" w:rsidP="00B53489">
      <w:pPr>
        <w:pStyle w:val="Heading2"/>
        <w:rPr>
          <w:color w:val="000000" w:themeColor="text1"/>
          <w:szCs w:val="22"/>
        </w:rPr>
      </w:pPr>
      <w:bookmarkStart w:id="100" w:name="_Toc525106672"/>
      <w:r w:rsidRPr="00930045">
        <w:rPr>
          <w:color w:val="000000" w:themeColor="text1"/>
          <w:szCs w:val="22"/>
        </w:rPr>
        <w:t>3.3</w:t>
      </w:r>
      <w:r w:rsidRPr="00930045">
        <w:rPr>
          <w:color w:val="000000" w:themeColor="text1"/>
          <w:szCs w:val="22"/>
        </w:rPr>
        <w:tab/>
        <w:t>Key model parameters</w:t>
      </w:r>
      <w:bookmarkEnd w:id="100"/>
    </w:p>
    <w:p w14:paraId="488A0FAE" w14:textId="77777777" w:rsidR="00B53489" w:rsidRPr="00930045" w:rsidRDefault="00B53489" w:rsidP="00930045">
      <w:pPr>
        <w:pStyle w:val="Heading3"/>
        <w:ind w:left="720" w:hanging="720"/>
        <w:rPr>
          <w:b w:val="0"/>
          <w:i/>
          <w:color w:val="000000" w:themeColor="text1"/>
          <w:szCs w:val="22"/>
        </w:rPr>
      </w:pPr>
      <w:r w:rsidRPr="00930045">
        <w:rPr>
          <w:b w:val="0"/>
          <w:i/>
          <w:color w:val="000000" w:themeColor="text1"/>
          <w:szCs w:val="22"/>
        </w:rPr>
        <w:t xml:space="preserve">3.3.1 </w:t>
      </w:r>
      <w:r w:rsidRPr="00930045">
        <w:rPr>
          <w:b w:val="0"/>
          <w:i/>
          <w:color w:val="000000" w:themeColor="text1"/>
          <w:szCs w:val="22"/>
        </w:rPr>
        <w:tab/>
        <w:t>Parameters relating to the probability and the mass of prions being transferred to surgical instruments</w:t>
      </w:r>
    </w:p>
    <w:p w14:paraId="73886B23" w14:textId="77777777" w:rsidR="00B53489" w:rsidRDefault="00B53489" w:rsidP="00930045">
      <w:pPr>
        <w:ind w:left="720" w:hanging="720"/>
      </w:pPr>
      <w:r>
        <w:t>3</w:t>
      </w:r>
      <w:r w:rsidRPr="00F0261C">
        <w:t>.3.1</w:t>
      </w:r>
      <w:r>
        <w:t>.1</w:t>
      </w:r>
      <w:r w:rsidRPr="00F0261C">
        <w:t xml:space="preserve"> </w:t>
      </w:r>
      <w:r>
        <w:tab/>
      </w:r>
      <w:r w:rsidRPr="00F0261C">
        <w:t xml:space="preserve">The underlying probability of CJD </w:t>
      </w:r>
      <w:r>
        <w:t xml:space="preserve">prions </w:t>
      </w:r>
      <w:r w:rsidRPr="00F0261C">
        <w:t>within</w:t>
      </w:r>
      <w:r>
        <w:t xml:space="preserve"> central nervous tissue in</w:t>
      </w:r>
      <w:r w:rsidRPr="00F0261C">
        <w:t xml:space="preserve"> the </w:t>
      </w:r>
      <w:r>
        <w:t>asymptomatic population</w:t>
      </w:r>
    </w:p>
    <w:p w14:paraId="53831141" w14:textId="5015723C" w:rsidR="00B53489" w:rsidRDefault="00B53489" w:rsidP="00B53489">
      <w:pPr>
        <w:jc w:val="both"/>
        <w:rPr>
          <w:rFonts w:cs="Times New Roman"/>
        </w:rPr>
      </w:pPr>
      <w:r w:rsidRPr="00F0261C">
        <w:rPr>
          <w:rFonts w:cs="Times New Roman"/>
        </w:rPr>
        <w:t>The experts in the elicitation session indicated that the previously elicited distributions relating to the prevalence of CJD prions in all tissue for patients aged 16-39 in 2005 could still be used for the prevalence of CJD prions in central nervous tissue</w:t>
      </w:r>
      <w:r>
        <w:rPr>
          <w:rFonts w:cs="Times New Roman"/>
        </w:rPr>
        <w:t xml:space="preserve"> in 16-39 year olds</w:t>
      </w:r>
      <w:r w:rsidR="00D25530">
        <w:rPr>
          <w:rFonts w:cs="Times New Roman"/>
        </w:rPr>
        <w:t xml:space="preserve"> in the current analysis</w:t>
      </w:r>
      <w:r w:rsidRPr="00F0261C">
        <w:rPr>
          <w:rFonts w:cs="Times New Roman"/>
        </w:rPr>
        <w:t>, although</w:t>
      </w:r>
      <w:r w:rsidR="00D25530">
        <w:rPr>
          <w:rFonts w:cs="Times New Roman"/>
        </w:rPr>
        <w:t xml:space="preserve"> they</w:t>
      </w:r>
      <w:r w:rsidRPr="00F0261C">
        <w:rPr>
          <w:rFonts w:cs="Times New Roman"/>
        </w:rPr>
        <w:t xml:space="preserve"> acknowledg</w:t>
      </w:r>
      <w:r w:rsidR="00D25530">
        <w:rPr>
          <w:rFonts w:cs="Times New Roman"/>
        </w:rPr>
        <w:t>ed</w:t>
      </w:r>
      <w:r w:rsidRPr="00F0261C">
        <w:rPr>
          <w:rFonts w:cs="Times New Roman"/>
        </w:rPr>
        <w:t xml:space="preserve"> that </w:t>
      </w:r>
      <w:r>
        <w:rPr>
          <w:rFonts w:cs="Times New Roman"/>
        </w:rPr>
        <w:t>the range</w:t>
      </w:r>
      <w:r w:rsidRPr="00F0261C">
        <w:rPr>
          <w:rFonts w:cs="Times New Roman"/>
        </w:rPr>
        <w:t xml:space="preserve"> would produce </w:t>
      </w:r>
      <w:r>
        <w:rPr>
          <w:rFonts w:cs="Times New Roman"/>
        </w:rPr>
        <w:t xml:space="preserve">an </w:t>
      </w:r>
      <w:r w:rsidRPr="00F0261C">
        <w:rPr>
          <w:rFonts w:cs="Times New Roman"/>
        </w:rPr>
        <w:t xml:space="preserve">over-estimate. </w:t>
      </w:r>
      <w:r>
        <w:rPr>
          <w:rFonts w:cs="Times New Roman"/>
        </w:rPr>
        <w:t>The experts disagreed with the previous experts in whether the prevalence would be greatest in the 16-</w:t>
      </w:r>
      <w:r w:rsidR="0052621B">
        <w:rPr>
          <w:rFonts w:cs="Times New Roman"/>
        </w:rPr>
        <w:t>39 year-</w:t>
      </w:r>
      <w:r>
        <w:rPr>
          <w:rFonts w:cs="Times New Roman"/>
        </w:rPr>
        <w:t xml:space="preserve">old age group compared with the 0-15 years, 40-69 years and 70 years and over age band. The current experts believed that the elicited distribution should be used for all age groups. The distribution used to populate the model is provided in </w:t>
      </w:r>
      <w:r w:rsidRPr="00DC5A40">
        <w:rPr>
          <w:rFonts w:cs="Times New Roman"/>
        </w:rPr>
        <w:fldChar w:fldCharType="begin"/>
      </w:r>
      <w:r w:rsidRPr="00DC5A40">
        <w:rPr>
          <w:rFonts w:cs="Times New Roman"/>
        </w:rPr>
        <w:instrText xml:space="preserve"> REF _Ref508200038  \* MERGEFORMAT </w:instrText>
      </w:r>
      <w:r w:rsidRPr="00DC5A40">
        <w:rPr>
          <w:rFonts w:cs="Times New Roman"/>
        </w:rPr>
        <w:fldChar w:fldCharType="separate"/>
      </w:r>
      <w:r w:rsidR="00690541" w:rsidRPr="00930045">
        <w:rPr>
          <w:rFonts w:cs="Times New Roman"/>
          <w:color w:val="000000" w:themeColor="text1"/>
        </w:rPr>
        <w:t xml:space="preserve">Figure </w:t>
      </w:r>
      <w:r w:rsidR="00690541">
        <w:rPr>
          <w:rFonts w:cs="Times New Roman"/>
          <w:noProof/>
          <w:color w:val="000000" w:themeColor="text1"/>
        </w:rPr>
        <w:t>6</w:t>
      </w:r>
      <w:r w:rsidRPr="00DC5A40">
        <w:rPr>
          <w:rFonts w:cs="Times New Roman"/>
        </w:rPr>
        <w:fldChar w:fldCharType="end"/>
      </w:r>
      <w:r>
        <w:rPr>
          <w:rFonts w:cs="Times New Roman"/>
        </w:rPr>
        <w:t xml:space="preserve"> and represents a Beta (1.240, 2225.393) for the prevalence. The distribution provides a 95% credible interval (CrI) ranging from 26 to 1875 people per million population. </w:t>
      </w:r>
    </w:p>
    <w:p w14:paraId="6639C7E6" w14:textId="77777777" w:rsidR="00B53489" w:rsidRDefault="00B53489" w:rsidP="00B53489">
      <w:pPr>
        <w:rPr>
          <w:rFonts w:cs="Times New Roman"/>
        </w:rPr>
      </w:pPr>
    </w:p>
    <w:p w14:paraId="51B6A1DD" w14:textId="7B7D6DB1" w:rsidR="00B53489" w:rsidRPr="00930045" w:rsidRDefault="00B53489" w:rsidP="00B53489">
      <w:pPr>
        <w:pStyle w:val="Caption"/>
        <w:spacing w:line="360" w:lineRule="auto"/>
        <w:rPr>
          <w:rFonts w:cs="Times New Roman"/>
          <w:color w:val="000000" w:themeColor="text1"/>
          <w:szCs w:val="22"/>
        </w:rPr>
      </w:pPr>
      <w:bookmarkStart w:id="101" w:name="_Ref508200038"/>
      <w:bookmarkStart w:id="102" w:name="_Toc525106723"/>
      <w:r w:rsidRPr="00930045">
        <w:rPr>
          <w:rFonts w:cs="Times New Roman"/>
          <w:color w:val="000000" w:themeColor="text1"/>
          <w:szCs w:val="22"/>
        </w:rPr>
        <w:t xml:space="preserve">Figure </w:t>
      </w:r>
      <w:r w:rsidRPr="00930045">
        <w:rPr>
          <w:rFonts w:cs="Times New Roman"/>
          <w:color w:val="000000" w:themeColor="text1"/>
          <w:szCs w:val="22"/>
        </w:rPr>
        <w:fldChar w:fldCharType="begin"/>
      </w:r>
      <w:r w:rsidRPr="00930045">
        <w:rPr>
          <w:rFonts w:cs="Times New Roman"/>
          <w:color w:val="000000" w:themeColor="text1"/>
          <w:szCs w:val="22"/>
        </w:rPr>
        <w:instrText xml:space="preserve"> SEQ Figure \* ARABIC </w:instrText>
      </w:r>
      <w:r w:rsidRPr="00930045">
        <w:rPr>
          <w:rFonts w:cs="Times New Roman"/>
          <w:color w:val="000000" w:themeColor="text1"/>
          <w:szCs w:val="22"/>
        </w:rPr>
        <w:fldChar w:fldCharType="separate"/>
      </w:r>
      <w:r w:rsidR="00690541">
        <w:rPr>
          <w:rFonts w:cs="Times New Roman"/>
          <w:noProof/>
          <w:color w:val="000000" w:themeColor="text1"/>
          <w:szCs w:val="22"/>
        </w:rPr>
        <w:t>6</w:t>
      </w:r>
      <w:r w:rsidRPr="00930045">
        <w:rPr>
          <w:rFonts w:cs="Times New Roman"/>
          <w:color w:val="000000" w:themeColor="text1"/>
          <w:szCs w:val="22"/>
        </w:rPr>
        <w:fldChar w:fldCharType="end"/>
      </w:r>
      <w:bookmarkEnd w:id="101"/>
      <w:r w:rsidRPr="00930045">
        <w:rPr>
          <w:rFonts w:cs="Times New Roman"/>
          <w:color w:val="000000" w:themeColor="text1"/>
          <w:szCs w:val="22"/>
        </w:rPr>
        <w:t>:</w:t>
      </w:r>
      <w:r w:rsidRPr="00930045">
        <w:rPr>
          <w:rFonts w:cs="Times New Roman"/>
          <w:color w:val="000000" w:themeColor="text1"/>
          <w:szCs w:val="22"/>
        </w:rPr>
        <w:tab/>
        <w:t>The prevalence of CJD prions within central nervous tissue</w:t>
      </w:r>
      <w:bookmarkEnd w:id="102"/>
    </w:p>
    <w:p w14:paraId="666C76EC" w14:textId="77777777" w:rsidR="00B53489" w:rsidRPr="00DC5A40" w:rsidRDefault="00B53489" w:rsidP="00B53489">
      <w:r>
        <w:rPr>
          <w:noProof/>
          <w:lang w:eastAsia="en-GB"/>
        </w:rPr>
        <w:drawing>
          <wp:inline distT="0" distB="0" distL="0" distR="0" wp14:anchorId="2F5F88DE" wp14:editId="7F1280DD">
            <wp:extent cx="5070764" cy="30535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v per million.png"/>
                    <pic:cNvPicPr/>
                  </pic:nvPicPr>
                  <pic:blipFill rotWithShape="1">
                    <a:blip r:embed="rId17">
                      <a:extLst>
                        <a:ext uri="{28A0092B-C50C-407E-A947-70E740481C1C}">
                          <a14:useLocalDpi xmlns:a14="http://schemas.microsoft.com/office/drawing/2010/main" val="0"/>
                        </a:ext>
                      </a:extLst>
                    </a:blip>
                    <a:srcRect t="6768"/>
                    <a:stretch/>
                  </pic:blipFill>
                  <pic:spPr bwMode="auto">
                    <a:xfrm>
                      <a:off x="0" y="0"/>
                      <a:ext cx="5076927" cy="3057305"/>
                    </a:xfrm>
                    <a:prstGeom prst="rect">
                      <a:avLst/>
                    </a:prstGeom>
                    <a:ln>
                      <a:noFill/>
                    </a:ln>
                    <a:extLst>
                      <a:ext uri="{53640926-AAD7-44D8-BBD7-CCE9431645EC}">
                        <a14:shadowObscured xmlns:a14="http://schemas.microsoft.com/office/drawing/2010/main"/>
                      </a:ext>
                    </a:extLst>
                  </pic:spPr>
                </pic:pic>
              </a:graphicData>
            </a:graphic>
          </wp:inline>
        </w:drawing>
      </w:r>
    </w:p>
    <w:p w14:paraId="6A1B1B31" w14:textId="77777777" w:rsidR="00B53489" w:rsidRPr="00BD65E6" w:rsidRDefault="00B53489" w:rsidP="00B53489"/>
    <w:p w14:paraId="3513FEAE" w14:textId="77777777" w:rsidR="00B53489" w:rsidRDefault="00B53489" w:rsidP="00B53489">
      <w:pPr>
        <w:jc w:val="both"/>
        <w:rPr>
          <w:rFonts w:cs="Times New Roman"/>
        </w:rPr>
      </w:pPr>
      <w:r>
        <w:rPr>
          <w:rFonts w:cs="Times New Roman"/>
        </w:rPr>
        <w:t xml:space="preserve">The NICE committee asked that two scenarios be evaluated which used different assumptions for the patients born after 1996, henceforth denoted the P96 group. In one scenario it was assumed that the P96 group were not infectious, as these were assumed </w:t>
      </w:r>
      <w:r w:rsidRPr="00F0261C">
        <w:rPr>
          <w:rFonts w:cs="Times New Roman"/>
        </w:rPr>
        <w:t xml:space="preserve">unlikely to have </w:t>
      </w:r>
      <w:r>
        <w:rPr>
          <w:rFonts w:cs="Times New Roman"/>
        </w:rPr>
        <w:t>been exposed to the bovine spongiform encephalopathy epidemic; in an alternative scenario it was assumed that the P96 group had the same probability of being infectious as the general population.</w:t>
      </w:r>
    </w:p>
    <w:p w14:paraId="5B1E2962" w14:textId="77777777" w:rsidR="00B53489" w:rsidRPr="00BB074C" w:rsidRDefault="00B53489" w:rsidP="00B53489">
      <w:pPr>
        <w:rPr>
          <w:rFonts w:cs="Times New Roman"/>
        </w:rPr>
      </w:pPr>
    </w:p>
    <w:p w14:paraId="2F267C14" w14:textId="43C2469D" w:rsidR="00B53489" w:rsidRDefault="00B53489" w:rsidP="00930045">
      <w:r>
        <w:t>3.3.1.2</w:t>
      </w:r>
      <w:r w:rsidRPr="00F0261C">
        <w:t xml:space="preserve"> </w:t>
      </w:r>
      <w:r>
        <w:tab/>
      </w:r>
      <w:r w:rsidRPr="00F0261C">
        <w:t xml:space="preserve">The </w:t>
      </w:r>
      <w:r>
        <w:t>residual mass per surgical instrument</w:t>
      </w:r>
    </w:p>
    <w:p w14:paraId="7272DF2F" w14:textId="21B91C99" w:rsidR="00B53489" w:rsidRDefault="00B53489" w:rsidP="00B53489">
      <w:pPr>
        <w:jc w:val="both"/>
        <w:rPr>
          <w:rFonts w:cs="Times New Roman"/>
        </w:rPr>
      </w:pPr>
      <w:r w:rsidRPr="00AD050D">
        <w:rPr>
          <w:rFonts w:cs="Times New Roman"/>
        </w:rPr>
        <w:t>The ScHARR report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sidRPr="00AD050D">
        <w:rPr>
          <w:rFonts w:cs="Times New Roman"/>
        </w:rPr>
        <w:t xml:space="preserve"> assumed that the mass on an individual instrument was 2.88mg of wet tissue equivalent, for instruments used for tonsillectomies, and 1.26mg of wet tissue equivalent for instruments used in general surgery. This mass was assumed to be independent of size and complexity. The source for this was ‘</w:t>
      </w:r>
      <w:r w:rsidRPr="00AD050D">
        <w:rPr>
          <w:rFonts w:cs="Times New Roman"/>
          <w:i/>
        </w:rPr>
        <w:t>provided by Professor Baxter and colleagues from the University of Edinburgh</w:t>
      </w:r>
      <w:r w:rsidRPr="00AD050D">
        <w:rPr>
          <w:rFonts w:cs="Times New Roman"/>
        </w:rPr>
        <w:t xml:space="preserve">’ </w:t>
      </w:r>
      <w:r>
        <w:rPr>
          <w:rFonts w:cs="Times New Roman"/>
        </w:rPr>
        <w:t>with these data</w:t>
      </w:r>
      <w:r w:rsidRPr="00AD050D">
        <w:rPr>
          <w:rFonts w:cs="Times New Roman"/>
        </w:rPr>
        <w:t xml:space="preserve"> reported in a different form within Baxter </w:t>
      </w:r>
      <w:r w:rsidR="00B301D6" w:rsidRPr="00B301D6">
        <w:rPr>
          <w:rFonts w:cs="Times New Roman"/>
          <w:i/>
        </w:rPr>
        <w:t>et al</w:t>
      </w:r>
      <w:r w:rsidRPr="00AD050D">
        <w:rPr>
          <w:rFonts w:cs="Times New Roman"/>
        </w:rPr>
        <w:t>.</w:t>
      </w:r>
      <w:r w:rsidRPr="00AD050D">
        <w:rPr>
          <w:rFonts w:cs="Times New Roman"/>
        </w:rPr>
        <w:fldChar w:fldCharType="begin"/>
      </w:r>
      <w:r w:rsidR="0076576E">
        <w:rPr>
          <w:rFonts w:cs="Times New Roman"/>
        </w:rPr>
        <w:instrText xml:space="preserve"> ADDIN EN.CITE &lt;EndNote&gt;&lt;Cite&gt;&lt;Author&gt;Baxter&lt;/Author&gt;&lt;Year&gt;2006&lt;/Year&gt;&lt;RecNum&gt;10268&lt;/RecNum&gt;&lt;DisplayText&gt;&lt;style face="superscript"&gt;212&lt;/style&gt;&lt;/DisplayText&gt;&lt;record&gt;&lt;rec-number&gt;10268&lt;/rec-number&gt;&lt;foreign-keys&gt;&lt;key app="EN" db-id="vrp0pptazv05wtesfz5vrzsj2p0rv09ttsa9" timestamp="1520851713"&gt;10268&lt;/key&gt;&lt;/foreign-keys&gt;&lt;ref-type name="Journal Article"&gt;17&lt;/ref-type&gt;&lt;contributors&gt;&lt;authors&gt;&lt;author&gt;Baxter, RL.&lt;/author&gt;&lt;author&gt;Baxter, HC.&lt;/author&gt;&lt;author&gt;Campbell, GA.&lt;/author&gt;&lt;author&gt;Grant, K.&lt;/author&gt;&lt;author&gt;Jones, A.&lt;/author&gt;&lt;author&gt;Richardson, P.&lt;/author&gt;&lt;author&gt;Whittaker, G. &lt;/author&gt;&lt;/authors&gt;&lt;/contributors&gt;&lt;titles&gt;&lt;title&gt;Quantitative analysis of residual protein contamination on reprocessed surgical instruments.&lt;/title&gt;&lt;secondary-title&gt;J Hosp Infect&lt;/secondary-title&gt;&lt;/titles&gt;&lt;periodical&gt;&lt;full-title&gt;J Hosp Infect&lt;/full-title&gt;&lt;/periodical&gt;&lt;pages&gt;439-444&lt;/pages&gt;&lt;volume&gt;63&lt;/volume&gt;&lt;number&gt;4&lt;/number&gt;&lt;dates&gt;&lt;year&gt;2006&lt;/year&gt;&lt;/dates&gt;&lt;urls&gt;&lt;related-urls&gt;&lt;url&gt;https://www.sciencedirect.com/science/article/pii/S0195670106001988?via%3Dihub&lt;/url&gt;&lt;/related-urls&gt;&lt;/urls&gt;&lt;/record&gt;&lt;/Cite&gt;&lt;/EndNote&gt;</w:instrText>
      </w:r>
      <w:r w:rsidRPr="00AD050D">
        <w:rPr>
          <w:rFonts w:cs="Times New Roman"/>
        </w:rPr>
        <w:fldChar w:fldCharType="separate"/>
      </w:r>
      <w:r w:rsidR="0076576E" w:rsidRPr="0076576E">
        <w:rPr>
          <w:rFonts w:cs="Times New Roman"/>
          <w:noProof/>
          <w:vertAlign w:val="superscript"/>
        </w:rPr>
        <w:t>212</w:t>
      </w:r>
      <w:r w:rsidRPr="00AD050D">
        <w:rPr>
          <w:rFonts w:cs="Times New Roman"/>
        </w:rPr>
        <w:fldChar w:fldCharType="end"/>
      </w:r>
      <w:r w:rsidRPr="00AD050D">
        <w:rPr>
          <w:rFonts w:cs="Times New Roman"/>
        </w:rPr>
        <w:t xml:space="preserve"> It was assumed that that the tonsillectomy value was generalisable to the residual mass on brain and posterior eye surgery. When multiplied by the number of instruments assumed in each set equated to 51.84 mg of wet tissue equivalent on brain surgery instrument sets and 25.92 mg of wet tissue equivalent on posterior eye instrument sets. Each </w:t>
      </w:r>
      <w:r>
        <w:rPr>
          <w:rFonts w:cs="Times New Roman"/>
        </w:rPr>
        <w:t>SI</w:t>
      </w:r>
      <w:r w:rsidRPr="00AD050D">
        <w:rPr>
          <w:rFonts w:cs="Times New Roman"/>
        </w:rPr>
        <w:t xml:space="preserve"> would have a wet mass equivalent of 2.88mg. These values were assumed fixed.</w:t>
      </w:r>
    </w:p>
    <w:p w14:paraId="3BE8F8B3" w14:textId="77777777" w:rsidR="00B53489" w:rsidRDefault="00B53489" w:rsidP="00B53489">
      <w:pPr>
        <w:jc w:val="both"/>
        <w:rPr>
          <w:rFonts w:cs="Times New Roman"/>
        </w:rPr>
      </w:pPr>
    </w:p>
    <w:p w14:paraId="7399B0C8" w14:textId="6B6E36E5" w:rsidR="00B53489" w:rsidRDefault="00B53489" w:rsidP="00B53489">
      <w:pPr>
        <w:jc w:val="both"/>
        <w:rPr>
          <w:rFonts w:cs="Times New Roman"/>
        </w:rPr>
      </w:pPr>
      <w:r>
        <w:rPr>
          <w:rFonts w:cs="Times New Roman"/>
        </w:rPr>
        <w:t xml:space="preserve">During </w:t>
      </w:r>
      <w:r w:rsidR="009865FF">
        <w:rPr>
          <w:rFonts w:cs="Times New Roman"/>
        </w:rPr>
        <w:t>discussions on the parameterisation of residual mass</w:t>
      </w:r>
      <w:r>
        <w:rPr>
          <w:rFonts w:cs="Times New Roman"/>
        </w:rPr>
        <w:t xml:space="preserve"> a committee member highlighted a recently published article, Smith </w:t>
      </w:r>
      <w:r w:rsidR="00B301D6" w:rsidRPr="00B301D6">
        <w:rPr>
          <w:rFonts w:cs="Times New Roman"/>
          <w:i/>
        </w:rPr>
        <w:t>et al</w:t>
      </w:r>
      <w:r>
        <w:rPr>
          <w:rFonts w:cs="Times New Roman"/>
        </w:rPr>
        <w:t>.</w:t>
      </w:r>
      <w:r>
        <w:rPr>
          <w:rFonts w:cs="Times New Roman"/>
        </w:rPr>
        <w:fldChar w:fldCharType="begin"/>
      </w:r>
      <w:r w:rsidR="0076576E">
        <w:rPr>
          <w:rFonts w:cs="Times New Roman"/>
        </w:rPr>
        <w:instrText xml:space="preserve"> ADDIN EN.CITE &lt;EndNote&gt;&lt;Cite&gt;&lt;Author&gt;Smith&lt;/Author&gt;&lt;Year&gt;2018&lt;/Year&gt;&lt;RecNum&gt;10282&lt;/RecNum&gt;&lt;DisplayText&gt;&lt;style face="superscript"&gt;191&lt;/style&gt;&lt;/DisplayText&gt;&lt;record&gt;&lt;rec-number&gt;10282&lt;/rec-number&gt;&lt;foreign-keys&gt;&lt;key app="EN" db-id="vrp0pptazv05wtesfz5vrzsj2p0rv09ttsa9" timestamp="1526283106" guid="ad6f63a4-a0b9-472e-8996-8638b28ea0d3"&gt;10282&lt;/key&gt;&lt;/foreign-keys&gt;&lt;ref-type name="Journal Article"&gt;17&lt;/ref-type&gt;&lt;contributors&gt;&lt;authors&gt;&lt;author&gt;Smith, A.&lt;/author&gt;&lt;author&gt;Winter, S.&lt;/author&gt;&lt;author&gt;Lappin, D.&lt;/author&gt;&lt;author&gt;Sherriff, A.&lt;/author&gt;&lt;author&gt;McIvor, I.&lt;/author&gt;&lt;author&gt;Philp, P.&lt;/author&gt;&lt;author&gt;Suttner, N.&lt;/author&gt;&lt;author&gt;Holmes, S.&lt;/author&gt;&lt;author&gt;Stewart, A.&lt;/author&gt;&lt;/authors&gt;&lt;/contributors&gt;&lt;titles&gt;&lt;title&gt;Reducing the risk of iatrogenic CJD by improving the cleaning of neurosurgical instruments&lt;/title&gt;&lt;secondary-title&gt;Journal of Hospital Infection&lt;/secondary-title&gt;&lt;/titles&gt;&lt;periodical&gt;&lt;full-title&gt;Journal of Hospital Infection&lt;/full-title&gt;&lt;/periodical&gt;&lt;volume&gt;epub&lt;/volume&gt;&lt;keywords&gt;&lt;keyword&gt;$$5_instrument decontamination&lt;/keyword&gt;&lt;keyword&gt;$$Committee recommended&lt;/keyword&gt;&lt;keyword&gt;$$5_protein&lt;/keyword&gt;&lt;/keywords&gt;&lt;dates&gt;&lt;year&gt;2018&lt;/year&gt;&lt;/dates&gt;&lt;urls&gt;&lt;/urls&gt;&lt;electronic-resource-num&gt;doi: 10.1016/j.jhin.2018.03.001&lt;/electronic-resource-num&gt;&lt;/record&gt;&lt;/Cite&gt;&lt;/EndNote&gt;</w:instrText>
      </w:r>
      <w:r>
        <w:rPr>
          <w:rFonts w:cs="Times New Roman"/>
        </w:rPr>
        <w:fldChar w:fldCharType="separate"/>
      </w:r>
      <w:r w:rsidR="0076576E" w:rsidRPr="0076576E">
        <w:rPr>
          <w:rFonts w:cs="Times New Roman"/>
          <w:noProof/>
          <w:vertAlign w:val="superscript"/>
        </w:rPr>
        <w:t>191</w:t>
      </w:r>
      <w:r>
        <w:rPr>
          <w:rFonts w:cs="Times New Roman"/>
        </w:rPr>
        <w:fldChar w:fldCharType="end"/>
      </w:r>
      <w:r>
        <w:rPr>
          <w:rFonts w:cs="Times New Roman"/>
        </w:rPr>
        <w:t xml:space="preserve"> that suggests that the residual protein mass is likely to be less than 5</w:t>
      </w:r>
      <w:r w:rsidRPr="0026376C">
        <w:rPr>
          <w:rFonts w:cs="Times New Roman"/>
        </w:rPr>
        <w:t>µg</w:t>
      </w:r>
      <w:r>
        <w:rPr>
          <w:rFonts w:cs="Times New Roman"/>
        </w:rPr>
        <w:t xml:space="preserve"> protein mass per instrument side. This is considerabl</w:t>
      </w:r>
      <w:r w:rsidR="00AB3D40">
        <w:rPr>
          <w:rFonts w:cs="Times New Roman"/>
        </w:rPr>
        <w:t>y</w:t>
      </w:r>
      <w:r>
        <w:rPr>
          <w:rFonts w:cs="Times New Roman"/>
        </w:rPr>
        <w:t xml:space="preserve"> less than that used in the previous ScHARR report,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which was 576</w:t>
      </w:r>
      <w:r w:rsidRPr="0026376C">
        <w:rPr>
          <w:rFonts w:cs="Times New Roman"/>
        </w:rPr>
        <w:t>µg</w:t>
      </w:r>
      <w:r>
        <w:rPr>
          <w:rFonts w:cs="Times New Roman"/>
        </w:rPr>
        <w:t xml:space="preserve"> of protein mass (2.88mg of wet-tissue equivalent)</w:t>
      </w:r>
      <w:r w:rsidR="00C6113E">
        <w:rPr>
          <w:rFonts w:cs="Times New Roman"/>
        </w:rPr>
        <w:t>.</w:t>
      </w:r>
    </w:p>
    <w:p w14:paraId="6A1FECFA" w14:textId="77777777" w:rsidR="00B53489" w:rsidRDefault="00B53489" w:rsidP="00B53489">
      <w:pPr>
        <w:jc w:val="both"/>
        <w:rPr>
          <w:rFonts w:cs="Times New Roman"/>
        </w:rPr>
      </w:pPr>
    </w:p>
    <w:p w14:paraId="65D32A7B" w14:textId="7D74AC48" w:rsidR="00B53489" w:rsidRDefault="00B53489" w:rsidP="00B53489">
      <w:pPr>
        <w:jc w:val="both"/>
        <w:rPr>
          <w:rFonts w:cs="Times New Roman"/>
          <w:i/>
          <w:lang w:val="en"/>
        </w:rPr>
      </w:pPr>
      <w:r>
        <w:rPr>
          <w:rFonts w:cs="Times New Roman"/>
        </w:rPr>
        <w:t xml:space="preserve">A preliminary inspection of articles discussing residual mass was undertaken which indicated that protein mass ranges between 163-756 </w:t>
      </w:r>
      <w:r w:rsidRPr="0026376C">
        <w:rPr>
          <w:rFonts w:cs="Times New Roman"/>
        </w:rPr>
        <w:t>µg</w:t>
      </w:r>
      <w:r>
        <w:rPr>
          <w:rFonts w:cs="Times New Roman"/>
        </w:rPr>
        <w:t xml:space="preserve"> (120 instruments) in Baxter R </w:t>
      </w:r>
      <w:r w:rsidR="00B301D6" w:rsidRPr="00B301D6">
        <w:rPr>
          <w:rFonts w:cs="Times New Roman"/>
          <w:i/>
        </w:rPr>
        <w:t>et al</w:t>
      </w:r>
      <w:r>
        <w:rPr>
          <w:rFonts w:cs="Times New Roman"/>
        </w:rPr>
        <w:t>.</w:t>
      </w:r>
      <w:r>
        <w:rPr>
          <w:rFonts w:cs="Times New Roman"/>
        </w:rPr>
        <w:fldChar w:fldCharType="begin"/>
      </w:r>
      <w:r w:rsidR="0076576E">
        <w:rPr>
          <w:rFonts w:cs="Times New Roman"/>
        </w:rPr>
        <w:instrText xml:space="preserve"> ADDIN EN.CITE &lt;EndNote&gt;&lt;Cite&gt;&lt;Author&gt;Baxter&lt;/Author&gt;&lt;Year&gt;2006&lt;/Year&gt;&lt;RecNum&gt;1978&lt;/RecNum&gt;&lt;DisplayText&gt;&lt;style face="superscript"&gt;187&lt;/style&gt;&lt;/DisplayText&gt;&lt;record&gt;&lt;rec-number&gt;1978&lt;/rec-number&gt;&lt;foreign-keys&gt;&lt;key app="EN" db-id="vrp0pptazv05wtesfz5vrzsj2p0rv09ttsa9" timestamp="1506587024" guid="ec71f170-19a4-4319-9c55-c391e10d247a"&gt;1978&lt;/key&gt;&lt;/foreign-keys&gt;&lt;ref-type name="Journal Article"&gt;17&lt;/ref-type&gt;&lt;contributors&gt;&lt;authors&gt;&lt;author&gt;Baxter, R. L.&lt;/author&gt;&lt;author&gt;Baxter, H. C.&lt;/author&gt;&lt;author&gt;Campbell, G. A.&lt;/author&gt;&lt;author&gt;Grant, K.&lt;/author&gt;&lt;author&gt;Jones, A.&lt;/author&gt;&lt;author&gt;Richardson, P.&lt;/author&gt;&lt;author&gt;Whittaker, G.&lt;/author&gt;&lt;/authors&gt;&lt;/contributors&gt;&lt;titles&gt;&lt;title&gt;Quantitative analysis of residual protein contamination on reprocessed surgical instruments&lt;/title&gt;&lt;secondary-title&gt;Journal of Hospital Infection&lt;/secondary-title&gt;&lt;/titles&gt;&lt;periodical&gt;&lt;full-title&gt;Journal of Hospital Infection&lt;/full-title&gt;&lt;/periodical&gt;&lt;pages&gt;439-444&lt;/pages&gt;&lt;volume&gt;63&lt;/volume&gt;&lt;number&gt;4&lt;/number&gt;&lt;keywords&gt;&lt;keyword&gt;$$CJD relevant&lt;/keyword&gt;&lt;keyword&gt;$$5_instrument decontamination&lt;/keyword&gt;&lt;keyword&gt;$$Committee recommended&lt;/keyword&gt;&lt;keyword&gt;$$5_protein&lt;/keyword&gt;&lt;/keywords&gt;&lt;dates&gt;&lt;year&gt;2006&lt;/year&gt;&lt;pub-dates&gt;&lt;date&gt;Aug&lt;/date&gt;&lt;/pub-dates&gt;&lt;/dates&gt;&lt;isbn&gt;0195-6701&lt;/isbn&gt;&lt;accession-num&gt;WOS:000239541400014&lt;/accession-num&gt;&lt;urls&gt;&lt;related-urls&gt;&lt;url&gt;&amp;lt;Go to ISI&amp;gt;://WOS:000239541400014&lt;/url&gt;&lt;/related-urls&gt;&lt;/urls&gt;&lt;electronic-resource-num&gt;10.1016/j.jhin.2006.03.011&lt;/electronic-resource-num&gt;&lt;/record&gt;&lt;/Cite&gt;&lt;/EndNote&gt;</w:instrText>
      </w:r>
      <w:r>
        <w:rPr>
          <w:rFonts w:cs="Times New Roman"/>
        </w:rPr>
        <w:fldChar w:fldCharType="separate"/>
      </w:r>
      <w:r w:rsidR="0076576E" w:rsidRPr="0076576E">
        <w:rPr>
          <w:rFonts w:cs="Times New Roman"/>
          <w:noProof/>
          <w:vertAlign w:val="superscript"/>
        </w:rPr>
        <w:t>187</w:t>
      </w:r>
      <w:r>
        <w:rPr>
          <w:rFonts w:cs="Times New Roman"/>
        </w:rPr>
        <w:fldChar w:fldCharType="end"/>
      </w:r>
      <w:r>
        <w:rPr>
          <w:rFonts w:cs="Times New Roman"/>
        </w:rPr>
        <w:t xml:space="preserve"> and between 8-91</w:t>
      </w:r>
      <w:r w:rsidRPr="00300A43">
        <w:rPr>
          <w:rFonts w:cs="Times New Roman"/>
        </w:rPr>
        <w:t>µg</w:t>
      </w:r>
      <w:r>
        <w:rPr>
          <w:rFonts w:cs="Times New Roman"/>
        </w:rPr>
        <w:t xml:space="preserve"> (mean 71.67</w:t>
      </w:r>
      <w:r w:rsidRPr="007E274F">
        <w:rPr>
          <w:rFonts w:cs="Times New Roman"/>
        </w:rPr>
        <w:t xml:space="preserve"> </w:t>
      </w:r>
      <w:r w:rsidRPr="0026376C">
        <w:rPr>
          <w:rFonts w:cs="Times New Roman"/>
        </w:rPr>
        <w:t>µg</w:t>
      </w:r>
      <w:r>
        <w:rPr>
          <w:rFonts w:cs="Times New Roman"/>
        </w:rPr>
        <w:t xml:space="preserve">; 43 instruments) in Murdoch </w:t>
      </w:r>
      <w:r w:rsidR="00B301D6" w:rsidRPr="00B301D6">
        <w:rPr>
          <w:rFonts w:cs="Times New Roman"/>
          <w:i/>
        </w:rPr>
        <w:t>et al</w:t>
      </w:r>
      <w:r>
        <w:rPr>
          <w:rFonts w:cs="Times New Roman"/>
        </w:rPr>
        <w:t>.</w:t>
      </w:r>
      <w:r>
        <w:rPr>
          <w:rFonts w:cs="Times New Roman"/>
        </w:rPr>
        <w:fldChar w:fldCharType="begin">
          <w:fldData xml:space="preserve">PEVuZE5vdGU+PENpdGU+PEF1dGhvcj5NdXJkb2NoPC9BdXRob3I+PFllYXI+MjAwNjwvWWVhcj48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</w:fldData>
        </w:fldChar>
      </w:r>
      <w:r w:rsidR="0076576E">
        <w:rPr>
          <w:rFonts w:cs="Times New Roman"/>
        </w:rPr>
        <w:instrText xml:space="preserve"> ADDIN EN.CITE </w:instrText>
      </w:r>
      <w:r w:rsidR="0076576E">
        <w:rPr>
          <w:rFonts w:cs="Times New Roman"/>
        </w:rPr>
        <w:fldChar w:fldCharType="begin">
          <w:fldData xml:space="preserve">PEVuZE5vdGU+PENpdGU+PEF1dGhvcj5NdXJkb2NoPC9BdXRob3I+PFllYXI+MjAwNjwvWWVhcj48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Pr>
          <w:rFonts w:cs="Times New Roman"/>
        </w:rPr>
      </w:r>
      <w:r>
        <w:rPr>
          <w:rFonts w:cs="Times New Roman"/>
        </w:rPr>
        <w:fldChar w:fldCharType="separate"/>
      </w:r>
      <w:r w:rsidR="0076576E" w:rsidRPr="0076576E">
        <w:rPr>
          <w:rFonts w:cs="Times New Roman"/>
          <w:noProof/>
          <w:vertAlign w:val="superscript"/>
        </w:rPr>
        <w:t>188</w:t>
      </w:r>
      <w:r>
        <w:rPr>
          <w:rFonts w:cs="Times New Roman"/>
        </w:rPr>
        <w:fldChar w:fldCharType="end"/>
      </w:r>
      <w:r>
        <w:rPr>
          <w:rFonts w:cs="Times New Roman"/>
        </w:rPr>
        <w:t xml:space="preserve"> Lipscomb </w:t>
      </w:r>
      <w:r w:rsidR="00B301D6" w:rsidRPr="00B301D6">
        <w:rPr>
          <w:rFonts w:cs="Times New Roman"/>
          <w:i/>
        </w:rPr>
        <w:t>et al</w:t>
      </w:r>
      <w:r>
        <w:rPr>
          <w:rFonts w:cs="Times New Roman"/>
        </w:rPr>
        <w:t>.</w:t>
      </w:r>
      <w:r>
        <w:rPr>
          <w:rFonts w:cs="Times New Roman"/>
        </w:rPr>
        <w:fldChar w:fldCharType="begin">
          <w:fldData xml:space="preserve">PEVuZE5vdGU+PENpdGU+PEF1dGhvcj5MaXBzY29tYjwvQXV0aG9yPjxZZWFyPjIwMDZiPC9ZZWFy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</w:fldData>
        </w:fldChar>
      </w:r>
      <w:r w:rsidR="0076576E">
        <w:rPr>
          <w:rFonts w:cs="Times New Roman"/>
        </w:rPr>
        <w:instrText xml:space="preserve"> ADDIN EN.CITE </w:instrText>
      </w:r>
      <w:r w:rsidR="0076576E">
        <w:rPr>
          <w:rFonts w:cs="Times New Roman"/>
        </w:rPr>
        <w:fldChar w:fldCharType="begin">
          <w:fldData xml:space="preserve">PEVuZE5vdGU+PENpdGU+PEF1dGhvcj5MaXBzY29tYjwvQXV0aG9yPjxZZWFyPjIwMDZiPC9ZZWFy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</w:fldData>
        </w:fldChar>
      </w:r>
      <w:r w:rsidR="0076576E">
        <w:rPr>
          <w:rFonts w:cs="Times New Roman"/>
        </w:rPr>
        <w:instrText xml:space="preserve"> ADDIN EN.CITE.DATA </w:instrText>
      </w:r>
      <w:r w:rsidR="0076576E">
        <w:rPr>
          <w:rFonts w:cs="Times New Roman"/>
        </w:rPr>
      </w:r>
      <w:r w:rsidR="0076576E">
        <w:rPr>
          <w:rFonts w:cs="Times New Roman"/>
        </w:rPr>
        <w:fldChar w:fldCharType="end"/>
      </w:r>
      <w:r>
        <w:rPr>
          <w:rFonts w:cs="Times New Roman"/>
        </w:rPr>
      </w:r>
      <w:r>
        <w:rPr>
          <w:rFonts w:cs="Times New Roman"/>
        </w:rPr>
        <w:fldChar w:fldCharType="separate"/>
      </w:r>
      <w:r w:rsidR="0076576E" w:rsidRPr="0076576E">
        <w:rPr>
          <w:rFonts w:cs="Times New Roman"/>
          <w:noProof/>
          <w:vertAlign w:val="superscript"/>
        </w:rPr>
        <w:t>190</w:t>
      </w:r>
      <w:r>
        <w:rPr>
          <w:rFonts w:cs="Times New Roman"/>
        </w:rPr>
        <w:fldChar w:fldCharType="end"/>
      </w:r>
      <w:r>
        <w:rPr>
          <w:rFonts w:cs="Times New Roman"/>
        </w:rPr>
        <w:t xml:space="preserve"> presented further evidence based on a set each from nine NHS trusts (260 instruments in total) and reported that 66% of all instruments showed severe contamination in at least one sample area, which equates to </w:t>
      </w:r>
      <w:r w:rsidRPr="00300A43">
        <w:rPr>
          <w:rFonts w:cs="Times New Roman"/>
          <w:i/>
          <w:lang w:val="en"/>
        </w:rPr>
        <w:t>&gt;4.4</w:t>
      </w:r>
      <w:r w:rsidRPr="00300A43">
        <w:rPr>
          <w:rFonts w:cs="Times New Roman"/>
          <w:i/>
        </w:rPr>
        <w:t>µ</w:t>
      </w:r>
      <w:r w:rsidRPr="00300A43">
        <w:rPr>
          <w:rFonts w:cs="Times New Roman"/>
          <w:i/>
          <w:lang w:val="en"/>
        </w:rPr>
        <w:t>g/mm</w:t>
      </w:r>
      <w:r w:rsidRPr="00300A43">
        <w:rPr>
          <w:rFonts w:cs="Times New Roman"/>
          <w:i/>
          <w:vertAlign w:val="superscript"/>
          <w:lang w:val="en"/>
        </w:rPr>
        <w:t>2</w:t>
      </w:r>
      <w:r w:rsidRPr="00300A43">
        <w:rPr>
          <w:rFonts w:cs="Times New Roman"/>
          <w:i/>
          <w:lang w:val="en"/>
        </w:rPr>
        <w:t>.</w:t>
      </w:r>
    </w:p>
    <w:p w14:paraId="71118D98" w14:textId="77777777" w:rsidR="00B53489" w:rsidRDefault="00B53489" w:rsidP="00B53489">
      <w:pPr>
        <w:jc w:val="both"/>
        <w:rPr>
          <w:rFonts w:cs="Times New Roman"/>
          <w:lang w:val="en"/>
        </w:rPr>
      </w:pPr>
    </w:p>
    <w:p w14:paraId="4971E30D" w14:textId="56E9D1A9" w:rsidR="00B53489" w:rsidRDefault="00B53489" w:rsidP="00F95E8C">
      <w:pPr>
        <w:jc w:val="both"/>
        <w:rPr>
          <w:rFonts w:cs="Times New Roman"/>
        </w:rPr>
      </w:pPr>
      <w:r>
        <w:rPr>
          <w:rFonts w:cs="Times New Roman"/>
          <w:lang w:val="en"/>
        </w:rPr>
        <w:t xml:space="preserve">Examining the data in Baxter </w:t>
      </w:r>
      <w:r w:rsidR="00B301D6" w:rsidRPr="00B301D6">
        <w:rPr>
          <w:rFonts w:cs="Times New Roman"/>
          <w:i/>
          <w:lang w:val="en"/>
        </w:rPr>
        <w:t>et al</w:t>
      </w:r>
      <w:r>
        <w:rPr>
          <w:rFonts w:cs="Times New Roman"/>
          <w:lang w:val="en"/>
        </w:rPr>
        <w:t xml:space="preserve">. and Murdoch </w:t>
      </w:r>
      <w:r w:rsidR="00B301D6" w:rsidRPr="00B301D6">
        <w:rPr>
          <w:rFonts w:cs="Times New Roman"/>
          <w:i/>
          <w:lang w:val="en"/>
        </w:rPr>
        <w:t>et al</w:t>
      </w:r>
      <w:r>
        <w:rPr>
          <w:rFonts w:cs="Times New Roman"/>
          <w:lang w:val="en"/>
        </w:rPr>
        <w:t>., the mean residual protein mass per instrument in 2004 was set to 200</w:t>
      </w:r>
      <w:r w:rsidRPr="0026376C">
        <w:rPr>
          <w:rFonts w:cs="Times New Roman"/>
        </w:rPr>
        <w:t>µg</w:t>
      </w:r>
      <w:r>
        <w:rPr>
          <w:rFonts w:cs="Times New Roman"/>
          <w:lang w:val="en"/>
        </w:rPr>
        <w:t xml:space="preserve"> (95% </w:t>
      </w:r>
      <w:r w:rsidR="00F95E8C">
        <w:rPr>
          <w:rFonts w:cs="Times New Roman"/>
          <w:lang w:val="en"/>
        </w:rPr>
        <w:t>CI</w:t>
      </w:r>
      <w:r>
        <w:rPr>
          <w:rFonts w:cs="Times New Roman"/>
          <w:lang w:val="en"/>
        </w:rPr>
        <w:t xml:space="preserve"> 150</w:t>
      </w:r>
      <w:r w:rsidRPr="0026376C">
        <w:rPr>
          <w:rFonts w:cs="Times New Roman"/>
        </w:rPr>
        <w:t>µg</w:t>
      </w:r>
      <w:r>
        <w:rPr>
          <w:rFonts w:cs="Times New Roman"/>
        </w:rPr>
        <w:t xml:space="preserve"> to 250</w:t>
      </w:r>
      <w:r w:rsidRPr="0026376C">
        <w:rPr>
          <w:rFonts w:cs="Times New Roman"/>
        </w:rPr>
        <w:t>µg</w:t>
      </w:r>
      <w:r>
        <w:rPr>
          <w:rFonts w:cs="Times New Roman"/>
        </w:rPr>
        <w:t xml:space="preserve">) </w:t>
      </w:r>
      <w:r>
        <w:rPr>
          <w:rFonts w:cs="Times New Roman"/>
          <w:lang w:val="en"/>
        </w:rPr>
        <w:t>in consultation with NICE committee members.</w:t>
      </w:r>
    </w:p>
    <w:p w14:paraId="312033AE" w14:textId="77777777" w:rsidR="00B53489" w:rsidRDefault="00B53489" w:rsidP="00B53489">
      <w:pPr>
        <w:jc w:val="both"/>
        <w:rPr>
          <w:rFonts w:cs="Times New Roman"/>
        </w:rPr>
      </w:pPr>
    </w:p>
    <w:p w14:paraId="3B6B5867" w14:textId="59CB02AF" w:rsidR="00B53489" w:rsidRPr="00300A43" w:rsidRDefault="00B53489" w:rsidP="00B53489">
      <w:pPr>
        <w:jc w:val="both"/>
        <w:rPr>
          <w:rFonts w:cs="Times New Roman"/>
        </w:rPr>
      </w:pPr>
      <w:r>
        <w:rPr>
          <w:rFonts w:cs="Times New Roman"/>
        </w:rPr>
        <w:t xml:space="preserve">However, the data reported in Smith </w:t>
      </w:r>
      <w:r w:rsidR="00B301D6" w:rsidRPr="00B301D6">
        <w:rPr>
          <w:rFonts w:cs="Times New Roman"/>
          <w:i/>
        </w:rPr>
        <w:t>et al</w:t>
      </w:r>
      <w:r>
        <w:rPr>
          <w:rFonts w:cs="Times New Roman"/>
        </w:rPr>
        <w:t>.</w:t>
      </w:r>
      <w:r>
        <w:rPr>
          <w:rFonts w:cs="Times New Roman"/>
        </w:rPr>
        <w:fldChar w:fldCharType="begin"/>
      </w:r>
      <w:r w:rsidR="0076576E">
        <w:rPr>
          <w:rFonts w:cs="Times New Roman"/>
        </w:rPr>
        <w:instrText xml:space="preserve"> ADDIN EN.CITE &lt;EndNote&gt;&lt;Cite&gt;&lt;Author&gt;Smith&lt;/Author&gt;&lt;Year&gt;2018&lt;/Year&gt;&lt;RecNum&gt;10282&lt;/RecNum&gt;&lt;DisplayText&gt;&lt;style face="superscript"&gt;191&lt;/style&gt;&lt;/DisplayText&gt;&lt;record&gt;&lt;rec-number&gt;10282&lt;/rec-number&gt;&lt;foreign-keys&gt;&lt;key app="EN" db-id="vrp0pptazv05wtesfz5vrzsj2p0rv09ttsa9" timestamp="1526283106" guid="ad6f63a4-a0b9-472e-8996-8638b28ea0d3"&gt;10282&lt;/key&gt;&lt;/foreign-keys&gt;&lt;ref-type name="Journal Article"&gt;17&lt;/ref-type&gt;&lt;contributors&gt;&lt;authors&gt;&lt;author&gt;Smith, A.&lt;/author&gt;&lt;author&gt;Winter, S.&lt;/author&gt;&lt;author&gt;Lappin, D.&lt;/author&gt;&lt;author&gt;Sherriff, A.&lt;/author&gt;&lt;author&gt;McIvor, I.&lt;/author&gt;&lt;author&gt;Philp, P.&lt;/author&gt;&lt;author&gt;Suttner, N.&lt;/author&gt;&lt;author&gt;Holmes, S.&lt;/author&gt;&lt;author&gt;Stewart, A.&lt;/author&gt;&lt;/authors&gt;&lt;/contributors&gt;&lt;titles&gt;&lt;title&gt;Reducing the risk of iatrogenic CJD by improving the cleaning of neurosurgical instruments&lt;/title&gt;&lt;secondary-title&gt;Journal of Hospital Infection&lt;/secondary-title&gt;&lt;/titles&gt;&lt;periodical&gt;&lt;full-title&gt;Journal of Hospital Infection&lt;/full-title&gt;&lt;/periodical&gt;&lt;volume&gt;epub&lt;/volume&gt;&lt;keywords&gt;&lt;keyword&gt;$$5_instrument decontamination&lt;/keyword&gt;&lt;keyword&gt;$$Committee recommended&lt;/keyword&gt;&lt;keyword&gt;$$5_protein&lt;/keyword&gt;&lt;/keywords&gt;&lt;dates&gt;&lt;year&gt;2018&lt;/year&gt;&lt;/dates&gt;&lt;urls&gt;&lt;/urls&gt;&lt;electronic-resource-num&gt;doi: 10.1016/j.jhin.2018.03.001&lt;/electronic-resource-num&gt;&lt;/record&gt;&lt;/Cite&gt;&lt;/EndNote&gt;</w:instrText>
      </w:r>
      <w:r>
        <w:rPr>
          <w:rFonts w:cs="Times New Roman"/>
        </w:rPr>
        <w:fldChar w:fldCharType="separate"/>
      </w:r>
      <w:r w:rsidR="0076576E" w:rsidRPr="0076576E">
        <w:rPr>
          <w:rFonts w:cs="Times New Roman"/>
          <w:noProof/>
          <w:vertAlign w:val="superscript"/>
        </w:rPr>
        <w:t>191</w:t>
      </w:r>
      <w:r>
        <w:rPr>
          <w:rFonts w:cs="Times New Roman"/>
        </w:rPr>
        <w:fldChar w:fldCharType="end"/>
      </w:r>
      <w:r>
        <w:rPr>
          <w:rFonts w:cs="Times New Roman"/>
        </w:rPr>
        <w:t xml:space="preserve"> and further data marked as academic-in-confidence obtained from a NICE committee member indicates that there has been a reduction in mass over time, for the hospitals where data has been recorded. In discussion with committee members</w:t>
      </w:r>
      <w:r w:rsidR="005317F3">
        <w:rPr>
          <w:rFonts w:cs="Times New Roman"/>
        </w:rPr>
        <w:t>,</w:t>
      </w:r>
      <w:r>
        <w:rPr>
          <w:rFonts w:cs="Times New Roman"/>
        </w:rPr>
        <w:t xml:space="preserve"> it was assumed that this change, which is assumed to be related to guidance on keeping instruments moist prior to decontamination, would have occurred in 2012 in line with the purchase of new instruments for those units who had adhered to IPG196. </w:t>
      </w:r>
      <w:r w:rsidR="005317F3">
        <w:rPr>
          <w:rFonts w:cs="Times New Roman"/>
        </w:rPr>
        <w:t>Following discussion with committee members, t</w:t>
      </w:r>
      <w:r>
        <w:rPr>
          <w:rFonts w:cs="Times New Roman"/>
        </w:rPr>
        <w:t xml:space="preserve">he mean residual mass for those units </w:t>
      </w:r>
      <w:r w:rsidR="005317F3">
        <w:rPr>
          <w:rFonts w:cs="Times New Roman"/>
        </w:rPr>
        <w:t xml:space="preserve">which were </w:t>
      </w:r>
      <w:r>
        <w:rPr>
          <w:rFonts w:cs="Times New Roman"/>
        </w:rPr>
        <w:t xml:space="preserve">compliant with guidance to keep instruments moist was assumed to be 10ug. Within the 90% of units that did not adhere to IPG196 it was assumed that </w:t>
      </w:r>
      <w:r w:rsidR="005317F3">
        <w:rPr>
          <w:rFonts w:cs="Times New Roman"/>
        </w:rPr>
        <w:t>two-thirds of these</w:t>
      </w:r>
      <w:r>
        <w:rPr>
          <w:rFonts w:cs="Times New Roman"/>
        </w:rPr>
        <w:t xml:space="preserve"> (i.e. 60% of total units) would not keep instruments sufficiently moist, and that 200ug would remain on each instrument, with the remaining </w:t>
      </w:r>
      <w:r w:rsidR="005317F3">
        <w:rPr>
          <w:rFonts w:cs="Times New Roman"/>
        </w:rPr>
        <w:t>third</w:t>
      </w:r>
      <w:r>
        <w:rPr>
          <w:rFonts w:cs="Times New Roman"/>
        </w:rPr>
        <w:t xml:space="preserve"> (i.e. 30% of total units) adequately keeping instruments moist.</w:t>
      </w:r>
    </w:p>
    <w:p w14:paraId="202B381E" w14:textId="77777777" w:rsidR="00B53489" w:rsidRDefault="00B53489" w:rsidP="00B53489">
      <w:pPr>
        <w:jc w:val="both"/>
        <w:rPr>
          <w:rFonts w:cs="Times New Roman"/>
        </w:rPr>
      </w:pPr>
    </w:p>
    <w:p w14:paraId="3514A26D" w14:textId="77777777" w:rsidR="00B53489" w:rsidRDefault="00B53489" w:rsidP="00B53489">
      <w:pPr>
        <w:jc w:val="both"/>
        <w:rPr>
          <w:rFonts w:cs="Times New Roman"/>
        </w:rPr>
      </w:pPr>
      <w:r>
        <w:rPr>
          <w:rFonts w:cs="Times New Roman"/>
        </w:rPr>
        <w:t>This conceptual model was operationalised by assuming that the mass harvested from a patient from 2012 onwards was 0.05 (10/200) that of the mass assumed harvested prior to 2012. Any infectious mass already on an instrument was assumed to remain on the instrument following measures to keep instruments moist.</w:t>
      </w:r>
    </w:p>
    <w:p w14:paraId="73A80D08" w14:textId="77777777" w:rsidR="00B53489" w:rsidRPr="00AD050D" w:rsidRDefault="00B53489" w:rsidP="00B53489">
      <w:pPr>
        <w:jc w:val="both"/>
        <w:rPr>
          <w:rFonts w:cs="Times New Roman"/>
        </w:rPr>
      </w:pPr>
    </w:p>
    <w:p w14:paraId="1B7F8091" w14:textId="0F91F296" w:rsidR="00B53489" w:rsidRDefault="00B53489" w:rsidP="007471CB">
      <w:pPr>
        <w:ind w:left="720" w:hanging="720"/>
      </w:pPr>
      <w:r>
        <w:t>3.3.1.3</w:t>
      </w:r>
      <w:r w:rsidRPr="00F0261C">
        <w:t xml:space="preserve"> </w:t>
      </w:r>
      <w:r>
        <w:tab/>
      </w:r>
      <w:r w:rsidRPr="00F0261C">
        <w:t xml:space="preserve">The </w:t>
      </w:r>
      <w:r w:rsidR="009865FF">
        <w:t xml:space="preserve">proportion of </w:t>
      </w:r>
      <w:r>
        <w:t>residual mass on brain and posterior instruments that is transferred to a patient</w:t>
      </w:r>
    </w:p>
    <w:p w14:paraId="0573F486" w14:textId="1D0ACF4C" w:rsidR="00B53489" w:rsidRPr="00005DFF" w:rsidRDefault="00B53489" w:rsidP="00B53489">
      <w:pPr>
        <w:jc w:val="both"/>
        <w:rPr>
          <w:rFonts w:cs="Times New Roman"/>
        </w:rPr>
      </w:pPr>
      <w:r w:rsidRPr="00005DFF">
        <w:rPr>
          <w:rFonts w:cs="Times New Roman"/>
        </w:rPr>
        <w:t xml:space="preserve">This value was </w:t>
      </w:r>
      <w:r>
        <w:rPr>
          <w:rFonts w:cs="Times New Roman"/>
        </w:rPr>
        <w:t xml:space="preserve">estimated in </w:t>
      </w:r>
      <w:r w:rsidR="00CE7545">
        <w:t>the original elicitation exercise undertaken to inform the previous work undertaken by ScHARR.</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A depiction of the distribution for the </w:t>
      </w:r>
      <w:r w:rsidR="00CE7545">
        <w:rPr>
          <w:rFonts w:cs="Times New Roman"/>
        </w:rPr>
        <w:t xml:space="preserve">proportion of residual </w:t>
      </w:r>
      <w:r>
        <w:rPr>
          <w:rFonts w:cs="Times New Roman"/>
        </w:rPr>
        <w:t xml:space="preserve">mass transferred to the patient is provided in </w:t>
      </w:r>
      <w:r>
        <w:rPr>
          <w:rFonts w:cs="Times New Roman"/>
        </w:rPr>
        <w:fldChar w:fldCharType="begin"/>
      </w:r>
      <w:r>
        <w:rPr>
          <w:rFonts w:cs="Times New Roman"/>
        </w:rPr>
        <w:instrText xml:space="preserve"> REF _Ref508569340  \* MERGEFORMAT </w:instrText>
      </w:r>
      <w:r>
        <w:rPr>
          <w:rFonts w:cs="Times New Roman"/>
        </w:rPr>
        <w:fldChar w:fldCharType="separate"/>
      </w:r>
      <w:r w:rsidR="00690541" w:rsidRPr="00930045">
        <w:rPr>
          <w:rFonts w:cs="Times New Roman"/>
          <w:color w:val="000000" w:themeColor="text1"/>
        </w:rPr>
        <w:t xml:space="preserve">Figure </w:t>
      </w:r>
      <w:r w:rsidR="00690541">
        <w:rPr>
          <w:rFonts w:cs="Times New Roman"/>
          <w:noProof/>
          <w:color w:val="000000" w:themeColor="text1"/>
        </w:rPr>
        <w:t>7</w:t>
      </w:r>
      <w:r>
        <w:rPr>
          <w:rFonts w:cs="Times New Roman"/>
        </w:rPr>
        <w:fldChar w:fldCharType="end"/>
      </w:r>
      <w:r>
        <w:rPr>
          <w:rFonts w:cs="Times New Roman"/>
        </w:rPr>
        <w:t>. This has a mean of 31.5% and a 95% CrI of 0.4% to 87.1%, showing considerable uncertainty.</w:t>
      </w:r>
    </w:p>
    <w:p w14:paraId="4C7874D9" w14:textId="77777777" w:rsidR="00B53489" w:rsidRDefault="00B53489" w:rsidP="00B53489">
      <w:pPr>
        <w:rPr>
          <w:rFonts w:cs="Times New Roman"/>
        </w:rPr>
      </w:pPr>
    </w:p>
    <w:p w14:paraId="44277D34" w14:textId="1A7CCD8A" w:rsidR="00B53489" w:rsidRPr="00930045" w:rsidRDefault="00B53489" w:rsidP="00B53489">
      <w:pPr>
        <w:pStyle w:val="Caption"/>
        <w:spacing w:line="360" w:lineRule="auto"/>
        <w:rPr>
          <w:rFonts w:cs="Times New Roman"/>
          <w:color w:val="000000" w:themeColor="text1"/>
          <w:szCs w:val="22"/>
        </w:rPr>
      </w:pPr>
      <w:bookmarkStart w:id="103" w:name="_Ref508569340"/>
      <w:bookmarkStart w:id="104" w:name="_Toc525106724"/>
      <w:r w:rsidRPr="00930045">
        <w:rPr>
          <w:rFonts w:cs="Times New Roman"/>
          <w:color w:val="000000" w:themeColor="text1"/>
          <w:szCs w:val="22"/>
        </w:rPr>
        <w:t xml:space="preserve">Figure </w:t>
      </w:r>
      <w:r w:rsidRPr="00930045">
        <w:rPr>
          <w:rFonts w:cs="Times New Roman"/>
          <w:color w:val="000000" w:themeColor="text1"/>
          <w:szCs w:val="22"/>
        </w:rPr>
        <w:fldChar w:fldCharType="begin"/>
      </w:r>
      <w:r w:rsidRPr="00930045">
        <w:rPr>
          <w:rFonts w:cs="Times New Roman"/>
          <w:color w:val="000000" w:themeColor="text1"/>
          <w:szCs w:val="22"/>
        </w:rPr>
        <w:instrText xml:space="preserve"> SEQ Figure \* ARABIC </w:instrText>
      </w:r>
      <w:r w:rsidRPr="00930045">
        <w:rPr>
          <w:rFonts w:cs="Times New Roman"/>
          <w:color w:val="000000" w:themeColor="text1"/>
          <w:szCs w:val="22"/>
        </w:rPr>
        <w:fldChar w:fldCharType="separate"/>
      </w:r>
      <w:r w:rsidR="00690541">
        <w:rPr>
          <w:rFonts w:cs="Times New Roman"/>
          <w:noProof/>
          <w:color w:val="000000" w:themeColor="text1"/>
          <w:szCs w:val="22"/>
        </w:rPr>
        <w:t>7</w:t>
      </w:r>
      <w:r w:rsidRPr="00930045">
        <w:rPr>
          <w:rFonts w:cs="Times New Roman"/>
          <w:color w:val="000000" w:themeColor="text1"/>
          <w:szCs w:val="22"/>
        </w:rPr>
        <w:fldChar w:fldCharType="end"/>
      </w:r>
      <w:bookmarkEnd w:id="103"/>
      <w:r w:rsidRPr="00930045">
        <w:rPr>
          <w:rFonts w:cs="Times New Roman"/>
          <w:color w:val="000000" w:themeColor="text1"/>
          <w:szCs w:val="22"/>
        </w:rPr>
        <w:t>:</w:t>
      </w:r>
      <w:r w:rsidRPr="00930045">
        <w:rPr>
          <w:rFonts w:cs="Times New Roman"/>
          <w:color w:val="000000" w:themeColor="text1"/>
          <w:szCs w:val="22"/>
        </w:rPr>
        <w:tab/>
        <w:t>The proportion of residual mass transferred to a patient</w:t>
      </w:r>
      <w:bookmarkEnd w:id="104"/>
    </w:p>
    <w:p w14:paraId="39FAFB99" w14:textId="77777777" w:rsidR="00B53489" w:rsidRPr="00DC5A40" w:rsidRDefault="00B53489" w:rsidP="00B53489">
      <w:r>
        <w:rPr>
          <w:noProof/>
          <w:lang w:eastAsia="en-GB"/>
        </w:rPr>
        <w:drawing>
          <wp:inline distT="0" distB="0" distL="0" distR="0" wp14:anchorId="03E6A4C9" wp14:editId="424C684B">
            <wp:extent cx="4433455" cy="284018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 Trans.png"/>
                    <pic:cNvPicPr/>
                  </pic:nvPicPr>
                  <pic:blipFill rotWithShape="1">
                    <a:blip r:embed="rId18">
                      <a:extLst>
                        <a:ext uri="{28A0092B-C50C-407E-A947-70E740481C1C}">
                          <a14:useLocalDpi xmlns:a14="http://schemas.microsoft.com/office/drawing/2010/main" val="0"/>
                        </a:ext>
                      </a:extLst>
                    </a:blip>
                    <a:srcRect t="6606" r="5835"/>
                    <a:stretch/>
                  </pic:blipFill>
                  <pic:spPr bwMode="auto">
                    <a:xfrm>
                      <a:off x="0" y="0"/>
                      <a:ext cx="4438572" cy="2843460"/>
                    </a:xfrm>
                    <a:prstGeom prst="rect">
                      <a:avLst/>
                    </a:prstGeom>
                    <a:ln>
                      <a:noFill/>
                    </a:ln>
                    <a:extLst>
                      <a:ext uri="{53640926-AAD7-44D8-BBD7-CCE9431645EC}">
                        <a14:shadowObscured xmlns:a14="http://schemas.microsoft.com/office/drawing/2010/main"/>
                      </a:ext>
                    </a:extLst>
                  </pic:spPr>
                </pic:pic>
              </a:graphicData>
            </a:graphic>
          </wp:inline>
        </w:drawing>
      </w:r>
    </w:p>
    <w:p w14:paraId="6C92EFE6" w14:textId="77777777" w:rsidR="00B53489" w:rsidRDefault="00B53489" w:rsidP="00B53489">
      <w:pPr>
        <w:rPr>
          <w:rFonts w:cs="Times New Roman"/>
        </w:rPr>
      </w:pPr>
    </w:p>
    <w:p w14:paraId="5C0A4A28" w14:textId="76EEDA7C" w:rsidR="00B53489" w:rsidRDefault="00B53489" w:rsidP="00930045">
      <w:pPr>
        <w:ind w:left="720" w:hanging="720"/>
      </w:pPr>
      <w:r>
        <w:t>3.3.1.4</w:t>
      </w:r>
      <w:r w:rsidRPr="00F0261C">
        <w:t xml:space="preserve"> </w:t>
      </w:r>
      <w:r>
        <w:tab/>
      </w:r>
      <w:r w:rsidRPr="00F0261C">
        <w:t>The</w:t>
      </w:r>
      <w:r w:rsidR="00DD67BB">
        <w:t xml:space="preserve"> proportion of</w:t>
      </w:r>
      <w:r w:rsidRPr="00F0261C">
        <w:t xml:space="preserve"> </w:t>
      </w:r>
      <w:r>
        <w:t>residual mass on brain and posterior instruments that is removed in a subsequent decontamination cycle</w:t>
      </w:r>
    </w:p>
    <w:p w14:paraId="11CBC743" w14:textId="6750B2AA" w:rsidR="00B53489" w:rsidRPr="00176BAD" w:rsidRDefault="00B53489" w:rsidP="00B53489">
      <w:pPr>
        <w:jc w:val="both"/>
        <w:rPr>
          <w:rFonts w:cs="Times New Roman"/>
          <w:color w:val="000000" w:themeColor="text1"/>
        </w:rPr>
      </w:pPr>
      <w:r w:rsidRPr="00005DFF">
        <w:rPr>
          <w:rFonts w:cs="Times New Roman"/>
        </w:rPr>
        <w:t xml:space="preserve">This value was </w:t>
      </w:r>
      <w:r>
        <w:rPr>
          <w:rFonts w:cs="Times New Roman"/>
        </w:rPr>
        <w:t xml:space="preserve">estimated in </w:t>
      </w:r>
      <w:r w:rsidR="00DD67BB">
        <w:t>the original elicitation exercise undertaken to inform the previous work undertaken by ScHARR</w:t>
      </w:r>
      <w:r>
        <w:rPr>
          <w:rFonts w:cs="Times New Roman"/>
        </w:rPr>
        <w: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A depiction of the distribution for the</w:t>
      </w:r>
      <w:r w:rsidR="00DD67BB">
        <w:rPr>
          <w:rFonts w:cs="Times New Roman"/>
        </w:rPr>
        <w:t xml:space="preserve"> proportion of</w:t>
      </w:r>
      <w:r>
        <w:rPr>
          <w:rFonts w:cs="Times New Roman"/>
        </w:rPr>
        <w:t xml:space="preserve"> mass transferred to the patient is provided in </w:t>
      </w:r>
      <w:r w:rsidRPr="00AA7F84">
        <w:rPr>
          <w:rFonts w:cs="Times New Roman"/>
        </w:rPr>
        <w:fldChar w:fldCharType="begin"/>
      </w:r>
      <w:r w:rsidRPr="00AA7F84">
        <w:rPr>
          <w:rFonts w:cs="Times New Roman"/>
        </w:rPr>
        <w:instrText xml:space="preserve"> REF _Ref508570414  \* MERGEFORMAT </w:instrText>
      </w:r>
      <w:r w:rsidRPr="00AA7F84">
        <w:rPr>
          <w:rFonts w:cs="Times New Roman"/>
        </w:rPr>
        <w:fldChar w:fldCharType="separate"/>
      </w:r>
      <w:r w:rsidR="00690541" w:rsidRPr="00930045">
        <w:rPr>
          <w:rFonts w:cs="Times New Roman"/>
          <w:noProof/>
          <w:color w:val="000000" w:themeColor="text1"/>
        </w:rPr>
        <w:t>Figure</w:t>
      </w:r>
      <w:r w:rsidR="00690541" w:rsidRPr="00930045">
        <w:rPr>
          <w:rFonts w:cs="Times New Roman"/>
          <w:color w:val="000000" w:themeColor="text1"/>
        </w:rPr>
        <w:t xml:space="preserve"> </w:t>
      </w:r>
      <w:r w:rsidR="00690541">
        <w:rPr>
          <w:rFonts w:cs="Times New Roman"/>
          <w:noProof/>
          <w:color w:val="000000" w:themeColor="text1"/>
        </w:rPr>
        <w:t>8</w:t>
      </w:r>
      <w:r w:rsidRPr="00AA7F84">
        <w:rPr>
          <w:rFonts w:cs="Times New Roman"/>
        </w:rPr>
        <w:fldChar w:fldCharType="end"/>
      </w:r>
      <w:r>
        <w:rPr>
          <w:rFonts w:cs="Times New Roman"/>
        </w:rPr>
        <w:t>. This has a mean of 0.9% and a 95% CrI of 0.0% to 4.0%.</w:t>
      </w:r>
    </w:p>
    <w:p w14:paraId="3B899814" w14:textId="77777777" w:rsidR="00724BBD" w:rsidRDefault="00724BBD">
      <w:pPr>
        <w:spacing w:after="160" w:line="259" w:lineRule="auto"/>
        <w:rPr>
          <w:rFonts w:cs="Times New Roman"/>
          <w:b/>
          <w:iCs/>
          <w:color w:val="000000" w:themeColor="text1"/>
        </w:rPr>
      </w:pPr>
      <w:bookmarkStart w:id="105" w:name="_Ref508570414"/>
      <w:r>
        <w:rPr>
          <w:rFonts w:cs="Times New Roman"/>
          <w:color w:val="000000" w:themeColor="text1"/>
        </w:rPr>
        <w:br w:type="page"/>
      </w:r>
    </w:p>
    <w:p w14:paraId="369229A9" w14:textId="24C7D7D5" w:rsidR="00B53489" w:rsidRPr="00930045" w:rsidRDefault="00B53489" w:rsidP="00B53489">
      <w:pPr>
        <w:pStyle w:val="Caption"/>
        <w:spacing w:line="360" w:lineRule="auto"/>
        <w:rPr>
          <w:rFonts w:cs="Times New Roman"/>
          <w:color w:val="000000" w:themeColor="text1"/>
          <w:szCs w:val="22"/>
        </w:rPr>
      </w:pPr>
      <w:bookmarkStart w:id="106" w:name="_Toc525106725"/>
      <w:r w:rsidRPr="00930045">
        <w:rPr>
          <w:rFonts w:cs="Times New Roman"/>
          <w:color w:val="000000" w:themeColor="text1"/>
          <w:szCs w:val="22"/>
        </w:rPr>
        <w:t xml:space="preserve">Figure </w:t>
      </w:r>
      <w:r w:rsidRPr="00930045">
        <w:rPr>
          <w:rFonts w:cs="Times New Roman"/>
          <w:color w:val="000000" w:themeColor="text1"/>
          <w:szCs w:val="22"/>
        </w:rPr>
        <w:fldChar w:fldCharType="begin"/>
      </w:r>
      <w:r w:rsidRPr="00930045">
        <w:rPr>
          <w:rFonts w:cs="Times New Roman"/>
          <w:color w:val="000000" w:themeColor="text1"/>
          <w:szCs w:val="22"/>
        </w:rPr>
        <w:instrText xml:space="preserve"> SEQ Figure \* ARABIC </w:instrText>
      </w:r>
      <w:r w:rsidRPr="00930045">
        <w:rPr>
          <w:rFonts w:cs="Times New Roman"/>
          <w:color w:val="000000" w:themeColor="text1"/>
          <w:szCs w:val="22"/>
        </w:rPr>
        <w:fldChar w:fldCharType="separate"/>
      </w:r>
      <w:r w:rsidR="00690541">
        <w:rPr>
          <w:rFonts w:cs="Times New Roman"/>
          <w:noProof/>
          <w:color w:val="000000" w:themeColor="text1"/>
          <w:szCs w:val="22"/>
        </w:rPr>
        <w:t>8</w:t>
      </w:r>
      <w:r w:rsidRPr="00930045">
        <w:rPr>
          <w:rFonts w:cs="Times New Roman"/>
          <w:color w:val="000000" w:themeColor="text1"/>
          <w:szCs w:val="22"/>
        </w:rPr>
        <w:fldChar w:fldCharType="end"/>
      </w:r>
      <w:bookmarkEnd w:id="105"/>
      <w:r w:rsidRPr="00930045">
        <w:rPr>
          <w:rFonts w:cs="Times New Roman"/>
          <w:color w:val="000000" w:themeColor="text1"/>
          <w:szCs w:val="22"/>
        </w:rPr>
        <w:t>:</w:t>
      </w:r>
      <w:r w:rsidRPr="00930045">
        <w:rPr>
          <w:rFonts w:cs="Times New Roman"/>
          <w:color w:val="000000" w:themeColor="text1"/>
          <w:szCs w:val="22"/>
        </w:rPr>
        <w:tab/>
        <w:t>The proportion of residual mass removed in a subsequent decontamination cycle</w:t>
      </w:r>
      <w:bookmarkEnd w:id="106"/>
    </w:p>
    <w:p w14:paraId="2054FA55" w14:textId="77777777" w:rsidR="00B53489" w:rsidRDefault="00B53489" w:rsidP="00B53489">
      <w:pPr>
        <w:rPr>
          <w:rFonts w:cs="Times New Roman"/>
        </w:rPr>
      </w:pPr>
      <w:r>
        <w:rPr>
          <w:rFonts w:cs="Times New Roman"/>
          <w:noProof/>
          <w:lang w:eastAsia="en-GB"/>
        </w:rPr>
        <w:drawing>
          <wp:inline distT="0" distB="0" distL="0" distR="0" wp14:anchorId="0849E4B5" wp14:editId="15D7B6F8">
            <wp:extent cx="4627418" cy="2909119"/>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 Removed.png"/>
                    <pic:cNvPicPr/>
                  </pic:nvPicPr>
                  <pic:blipFill rotWithShape="1">
                    <a:blip r:embed="rId19">
                      <a:extLst>
                        <a:ext uri="{28A0092B-C50C-407E-A947-70E740481C1C}">
                          <a14:useLocalDpi xmlns:a14="http://schemas.microsoft.com/office/drawing/2010/main" val="0"/>
                        </a:ext>
                      </a:extLst>
                    </a:blip>
                    <a:srcRect t="8298" r="5783"/>
                    <a:stretch/>
                  </pic:blipFill>
                  <pic:spPr bwMode="auto">
                    <a:xfrm>
                      <a:off x="0" y="0"/>
                      <a:ext cx="4627929" cy="2909440"/>
                    </a:xfrm>
                    <a:prstGeom prst="rect">
                      <a:avLst/>
                    </a:prstGeom>
                    <a:ln>
                      <a:noFill/>
                    </a:ln>
                    <a:extLst>
                      <a:ext uri="{53640926-AAD7-44D8-BBD7-CCE9431645EC}">
                        <a14:shadowObscured xmlns:a14="http://schemas.microsoft.com/office/drawing/2010/main"/>
                      </a:ext>
                    </a:extLst>
                  </pic:spPr>
                </pic:pic>
              </a:graphicData>
            </a:graphic>
          </wp:inline>
        </w:drawing>
      </w:r>
    </w:p>
    <w:p w14:paraId="771462B8" w14:textId="77777777" w:rsidR="00B53489" w:rsidRPr="00005DFF" w:rsidRDefault="00B53489" w:rsidP="00B53489">
      <w:pPr>
        <w:rPr>
          <w:rFonts w:cs="Times New Roman"/>
        </w:rPr>
      </w:pPr>
    </w:p>
    <w:p w14:paraId="641C36DC" w14:textId="77777777" w:rsidR="00B53489" w:rsidRDefault="00B53489" w:rsidP="00930045">
      <w:pPr>
        <w:ind w:left="720" w:hanging="720"/>
      </w:pPr>
      <w:r>
        <w:t>3.3.1.5</w:t>
      </w:r>
      <w:r w:rsidRPr="00F0261C">
        <w:t xml:space="preserve"> </w:t>
      </w:r>
      <w:r>
        <w:tab/>
      </w:r>
      <w:r w:rsidRPr="00F0261C">
        <w:t xml:space="preserve">The </w:t>
      </w:r>
      <w:r>
        <w:t>proportion of mass on instruments that is replaced with new tissue per brain or posterior eye operation</w:t>
      </w:r>
    </w:p>
    <w:p w14:paraId="29718617" w14:textId="4AB14635" w:rsidR="00B53489" w:rsidRDefault="00B53489" w:rsidP="00B53489">
      <w:pPr>
        <w:jc w:val="both"/>
        <w:rPr>
          <w:rFonts w:cs="Times New Roman"/>
        </w:rPr>
      </w:pPr>
      <w:r>
        <w:rPr>
          <w:rFonts w:cs="Times New Roman"/>
        </w:rPr>
        <w:t xml:space="preserve">In accordance with </w:t>
      </w:r>
      <w:r w:rsidR="00DD67BB">
        <w:rPr>
          <w:rFonts w:cs="Times New Roman"/>
        </w:rPr>
        <w:t>the previous ScHARR model</w:t>
      </w:r>
      <w:r w:rsidR="00433559">
        <w:rPr>
          <w:rFonts w:cs="Times New Roman"/>
        </w:rPr>
        <w: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it was assumed that the residual mass on an instrument was in steady state. As such, the sum of the mass transferred to the patient and the mass removed in the next decontamination cycle equals the newly acquired mass from the operation. The mean value of </w:t>
      </w:r>
      <w:r w:rsidR="00DD67BB">
        <w:rPr>
          <w:rFonts w:cs="Times New Roman"/>
        </w:rPr>
        <w:t xml:space="preserve">the proportion of the </w:t>
      </w:r>
      <w:r>
        <w:rPr>
          <w:rFonts w:cs="Times New Roman"/>
        </w:rPr>
        <w:t>mass removed from instruments during an operation is 32.4% with an estimated 95% CrI of 1.1% to 88.4%. Any supplementary instruments used were assumed to gather the same mass as instruments in the main set.</w:t>
      </w:r>
    </w:p>
    <w:p w14:paraId="0331F6FA" w14:textId="77777777" w:rsidR="00B53489" w:rsidRDefault="00B53489" w:rsidP="00B53489">
      <w:pPr>
        <w:rPr>
          <w:rFonts w:cs="Times New Roman"/>
        </w:rPr>
      </w:pPr>
    </w:p>
    <w:p w14:paraId="2EDC8766" w14:textId="77777777" w:rsidR="00B53489" w:rsidRPr="00FE5FEB" w:rsidRDefault="00B53489" w:rsidP="00930045">
      <w:pPr>
        <w:ind w:left="720" w:hanging="720"/>
      </w:pPr>
      <w:r>
        <w:t>3.3.1.6</w:t>
      </w:r>
      <w:r w:rsidRPr="00FE5FEB">
        <w:t xml:space="preserve"> </w:t>
      </w:r>
      <w:r>
        <w:tab/>
        <w:t>Residual mass, proportion transferred to a patient, proportion removed during the operation and the mass harvested during neuroendoscopy</w:t>
      </w:r>
    </w:p>
    <w:p w14:paraId="5D431ED6" w14:textId="00163A06" w:rsidR="00B53489" w:rsidRDefault="00B53489" w:rsidP="00B53489">
      <w:pPr>
        <w:jc w:val="both"/>
        <w:rPr>
          <w:rFonts w:cs="Times New Roman"/>
        </w:rPr>
      </w:pPr>
      <w:r w:rsidRPr="00FE5FEB">
        <w:rPr>
          <w:rFonts w:cs="Times New Roman"/>
        </w:rPr>
        <w:t>The spreadsheet calculations that were performed to obtain the proportion of mass transferred to the patient and the proportion removed in the next decontamination cycle for rigid neuroendoscopes and flexible neuroendoscopes used in the previous modelling work</w:t>
      </w:r>
      <w:r w:rsidRPr="00FE5FEB">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sidRPr="00FE5FEB">
        <w:rPr>
          <w:rFonts w:cs="Times New Roman"/>
        </w:rPr>
        <w:fldChar w:fldCharType="separate"/>
      </w:r>
      <w:r w:rsidR="005C50C5" w:rsidRPr="005C50C5">
        <w:rPr>
          <w:rFonts w:cs="Times New Roman"/>
          <w:noProof/>
          <w:vertAlign w:val="superscript"/>
        </w:rPr>
        <w:t>11</w:t>
      </w:r>
      <w:r w:rsidRPr="00FE5FEB">
        <w:rPr>
          <w:rFonts w:cs="Times New Roman"/>
        </w:rPr>
        <w:fldChar w:fldCharType="end"/>
      </w:r>
      <w:r w:rsidRPr="00FE5FEB">
        <w:rPr>
          <w:rFonts w:cs="Times New Roman"/>
        </w:rPr>
        <w:t xml:space="preserve"> could not be </w:t>
      </w:r>
      <w:r>
        <w:rPr>
          <w:rFonts w:cs="Times New Roman"/>
        </w:rPr>
        <w:t>retrieved,</w:t>
      </w:r>
      <w:r w:rsidRPr="00FE5FEB">
        <w:rPr>
          <w:rFonts w:cs="Times New Roman"/>
        </w:rPr>
        <w:t xml:space="preserve"> but the values used in the PSA </w:t>
      </w:r>
      <w:r>
        <w:rPr>
          <w:rFonts w:cs="Times New Roman"/>
        </w:rPr>
        <w:t xml:space="preserve">were </w:t>
      </w:r>
      <w:r w:rsidR="00DD67BB">
        <w:rPr>
          <w:rFonts w:cs="Times New Roman"/>
        </w:rPr>
        <w:t>available</w:t>
      </w:r>
      <w:r w:rsidRPr="00FE5FEB">
        <w:rPr>
          <w:rFonts w:cs="Times New Roman"/>
        </w:rPr>
        <w:t xml:space="preserve">. These values have been re-used in the modelling, although it appears that there was a discrepancy between the </w:t>
      </w:r>
      <w:r>
        <w:rPr>
          <w:rFonts w:cs="Times New Roman"/>
        </w:rPr>
        <w:t>mass transferred from a patient to a rigid neuroendoscope lumen used in the model</w:t>
      </w:r>
      <w:r w:rsidRPr="00FE5FEB">
        <w:rPr>
          <w:rFonts w:cs="Times New Roman"/>
        </w:rPr>
        <w:t xml:space="preserve"> and th</w:t>
      </w:r>
      <w:r>
        <w:rPr>
          <w:rFonts w:cs="Times New Roman"/>
        </w:rPr>
        <w:t>at</w:t>
      </w:r>
      <w:r w:rsidRPr="00FE5FEB">
        <w:rPr>
          <w:rFonts w:cs="Times New Roman"/>
        </w:rPr>
        <w:t xml:space="preserve"> reported in Table 11 of the ScHARR report,</w:t>
      </w:r>
      <w:r w:rsidRPr="00FE5FEB">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sidRPr="00FE5FEB">
        <w:rPr>
          <w:rFonts w:cs="Times New Roman"/>
        </w:rPr>
        <w:fldChar w:fldCharType="separate"/>
      </w:r>
      <w:r w:rsidR="005C50C5" w:rsidRPr="005C50C5">
        <w:rPr>
          <w:rFonts w:cs="Times New Roman"/>
          <w:noProof/>
          <w:vertAlign w:val="superscript"/>
        </w:rPr>
        <w:t>11</w:t>
      </w:r>
      <w:r w:rsidRPr="00FE5FEB">
        <w:rPr>
          <w:rFonts w:cs="Times New Roman"/>
        </w:rPr>
        <w:fldChar w:fldCharType="end"/>
      </w:r>
      <w:r w:rsidRPr="00FE5FEB">
        <w:rPr>
          <w:rFonts w:cs="Times New Roman"/>
        </w:rPr>
        <w:t xml:space="preserve"> with the former being </w:t>
      </w:r>
      <w:r>
        <w:rPr>
          <w:rFonts w:cs="Times New Roman"/>
        </w:rPr>
        <w:t>ten times smaller</w:t>
      </w:r>
      <w:r w:rsidRPr="00FE5FEB">
        <w:rPr>
          <w:rFonts w:cs="Times New Roman"/>
        </w:rPr>
        <w:t>. For the updated work</w:t>
      </w:r>
      <w:r w:rsidR="00433559">
        <w:rPr>
          <w:rFonts w:cs="Times New Roman"/>
        </w:rPr>
        <w:t>,</w:t>
      </w:r>
      <w:r w:rsidRPr="00FE5FEB">
        <w:rPr>
          <w:rFonts w:cs="Times New Roman"/>
        </w:rPr>
        <w:t xml:space="preserve"> we have erred on the side of caution and assumed that the greater mass is harvested per operation.</w:t>
      </w:r>
    </w:p>
    <w:p w14:paraId="7302CCDC" w14:textId="77777777" w:rsidR="00B53489" w:rsidRPr="00FE5FEB" w:rsidRDefault="00B53489" w:rsidP="00B53489">
      <w:pPr>
        <w:jc w:val="both"/>
        <w:rPr>
          <w:rFonts w:cs="Times New Roman"/>
        </w:rPr>
      </w:pPr>
    </w:p>
    <w:p w14:paraId="4D79FAF3" w14:textId="74DCFEDD" w:rsidR="00B53489" w:rsidRDefault="00B53489" w:rsidP="00B53489">
      <w:pPr>
        <w:jc w:val="both"/>
        <w:rPr>
          <w:rFonts w:cs="Times New Roman"/>
        </w:rPr>
      </w:pPr>
      <w:r w:rsidRPr="00FE5FEB">
        <w:rPr>
          <w:rFonts w:cs="Times New Roman"/>
        </w:rPr>
        <w:t xml:space="preserve">For information, key statistics on the proportion of mass harvested from a patient, the proportion of mass transferred to a patient and the proportion of mass removed in the next decontamination cycle are provided in </w:t>
      </w:r>
      <w:r w:rsidRPr="00FE5FEB">
        <w:rPr>
          <w:rFonts w:cs="Times New Roman"/>
        </w:rPr>
        <w:fldChar w:fldCharType="begin"/>
      </w:r>
      <w:r w:rsidRPr="00FE5FEB">
        <w:rPr>
          <w:rFonts w:cs="Times New Roman"/>
        </w:rPr>
        <w:instrText xml:space="preserve"> REF _Ref508614478  \* MERGEFORMAT </w:instrText>
      </w:r>
      <w:r w:rsidRPr="00FE5FEB">
        <w:rPr>
          <w:rFonts w:cs="Times New Roman"/>
        </w:rPr>
        <w:fldChar w:fldCharType="separate"/>
      </w:r>
      <w:r w:rsidR="00690541" w:rsidRPr="00930045">
        <w:rPr>
          <w:rFonts w:cs="Times New Roman"/>
        </w:rPr>
        <w:t xml:space="preserve">Table </w:t>
      </w:r>
      <w:r w:rsidR="00690541">
        <w:rPr>
          <w:rFonts w:cs="Times New Roman"/>
          <w:noProof/>
        </w:rPr>
        <w:t>24</w:t>
      </w:r>
      <w:r w:rsidRPr="00FE5FEB">
        <w:rPr>
          <w:rFonts w:cs="Times New Roman"/>
        </w:rPr>
        <w:fldChar w:fldCharType="end"/>
      </w:r>
      <w:r>
        <w:rPr>
          <w:rFonts w:cs="Times New Roman"/>
        </w:rPr>
        <w:t>.</w:t>
      </w:r>
    </w:p>
    <w:p w14:paraId="5B9D0CD3" w14:textId="77777777" w:rsidR="00B53489" w:rsidRDefault="00B53489" w:rsidP="00B53489">
      <w:pPr>
        <w:jc w:val="both"/>
        <w:rPr>
          <w:rFonts w:cs="Times New Roman"/>
        </w:rPr>
      </w:pPr>
    </w:p>
    <w:p w14:paraId="3301DE9C" w14:textId="6639F38C" w:rsidR="00B53489" w:rsidRPr="00930045" w:rsidRDefault="00B53489" w:rsidP="00B53489">
      <w:pPr>
        <w:pStyle w:val="Caption"/>
        <w:spacing w:line="360" w:lineRule="auto"/>
        <w:ind w:left="1440" w:hanging="1440"/>
        <w:rPr>
          <w:rFonts w:cs="Times New Roman"/>
          <w:szCs w:val="22"/>
        </w:rPr>
      </w:pPr>
      <w:bookmarkStart w:id="107" w:name="_Ref508614478"/>
      <w:bookmarkStart w:id="108" w:name="_Toc525106711"/>
      <w:r w:rsidRPr="00930045">
        <w:rPr>
          <w:rFonts w:cs="Times New Roman"/>
          <w:szCs w:val="22"/>
        </w:rPr>
        <w:t xml:space="preserve">Table </w:t>
      </w:r>
      <w:r w:rsidRPr="00930045">
        <w:rPr>
          <w:rFonts w:cs="Times New Roman"/>
          <w:szCs w:val="22"/>
        </w:rPr>
        <w:fldChar w:fldCharType="begin"/>
      </w:r>
      <w:r w:rsidRPr="00930045">
        <w:rPr>
          <w:rFonts w:cs="Times New Roman"/>
          <w:szCs w:val="22"/>
        </w:rPr>
        <w:instrText xml:space="preserve"> SEQ Table \* ARABIC </w:instrText>
      </w:r>
      <w:r w:rsidRPr="00930045">
        <w:rPr>
          <w:rFonts w:cs="Times New Roman"/>
          <w:szCs w:val="22"/>
        </w:rPr>
        <w:fldChar w:fldCharType="separate"/>
      </w:r>
      <w:r w:rsidR="00690541">
        <w:rPr>
          <w:rFonts w:cs="Times New Roman"/>
          <w:noProof/>
          <w:szCs w:val="22"/>
        </w:rPr>
        <w:t>24</w:t>
      </w:r>
      <w:r w:rsidRPr="00930045">
        <w:rPr>
          <w:rFonts w:cs="Times New Roman"/>
          <w:szCs w:val="22"/>
        </w:rPr>
        <w:fldChar w:fldCharType="end"/>
      </w:r>
      <w:bookmarkEnd w:id="107"/>
      <w:r w:rsidRPr="00930045">
        <w:rPr>
          <w:rFonts w:cs="Times New Roman"/>
          <w:szCs w:val="22"/>
        </w:rPr>
        <w:t>:</w:t>
      </w:r>
      <w:r w:rsidRPr="00930045">
        <w:rPr>
          <w:rFonts w:cs="Times New Roman"/>
          <w:szCs w:val="22"/>
        </w:rPr>
        <w:tab/>
        <w:t>Information relating to mass transferred to a patient, mass washed off in subsequent decontamination cycles and mass harvested from a patient</w:t>
      </w:r>
      <w:bookmarkEnd w:id="10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2655"/>
        <w:gridCol w:w="2945"/>
        <w:gridCol w:w="2376"/>
      </w:tblGrid>
      <w:tr w:rsidR="00B53489" w14:paraId="0846E661" w14:textId="77777777" w:rsidTr="00DD67BB">
        <w:tc>
          <w:tcPr>
            <w:tcW w:w="1658" w:type="dxa"/>
          </w:tcPr>
          <w:p w14:paraId="69C5C5FC" w14:textId="77777777" w:rsidR="00B53489" w:rsidRPr="00DD67BB" w:rsidRDefault="00B53489" w:rsidP="00B53489">
            <w:pPr>
              <w:pStyle w:val="Caption"/>
              <w:spacing w:line="360" w:lineRule="auto"/>
              <w:rPr>
                <w:rFonts w:cs="Times New Roman"/>
                <w:b w:val="0"/>
                <w:szCs w:val="22"/>
              </w:rPr>
            </w:pPr>
            <w:r w:rsidRPr="00DD67BB">
              <w:rPr>
                <w:rFonts w:cs="Times New Roman"/>
                <w:b w:val="0"/>
                <w:szCs w:val="22"/>
              </w:rPr>
              <w:t>Type of neuroendoscope</w:t>
            </w:r>
          </w:p>
        </w:tc>
        <w:tc>
          <w:tcPr>
            <w:tcW w:w="2655" w:type="dxa"/>
          </w:tcPr>
          <w:p w14:paraId="6349410B" w14:textId="77777777" w:rsidR="00B53489" w:rsidRPr="00DD67BB" w:rsidRDefault="00B53489" w:rsidP="00B53489">
            <w:pPr>
              <w:pStyle w:val="Caption"/>
              <w:spacing w:line="360" w:lineRule="auto"/>
              <w:rPr>
                <w:rFonts w:cs="Times New Roman"/>
                <w:b w:val="0"/>
                <w:szCs w:val="22"/>
              </w:rPr>
            </w:pPr>
            <w:r w:rsidRPr="00DD67BB">
              <w:rPr>
                <w:rFonts w:cs="Times New Roman"/>
                <w:b w:val="0"/>
                <w:szCs w:val="22"/>
              </w:rPr>
              <w:t>Proportion of mass transferred to a patient</w:t>
            </w:r>
          </w:p>
          <w:p w14:paraId="0C511D70" w14:textId="77777777" w:rsidR="00B53489" w:rsidRPr="00DD67BB" w:rsidRDefault="00B53489" w:rsidP="00B53489">
            <w:pPr>
              <w:rPr>
                <w:rFonts w:cs="Times New Roman"/>
              </w:rPr>
            </w:pPr>
            <w:r w:rsidRPr="00DD67BB">
              <w:rPr>
                <w:rFonts w:cs="Times New Roman"/>
              </w:rPr>
              <w:t>Mean (95% range in the PSA)</w:t>
            </w:r>
          </w:p>
        </w:tc>
        <w:tc>
          <w:tcPr>
            <w:tcW w:w="2945" w:type="dxa"/>
          </w:tcPr>
          <w:p w14:paraId="1EE30E62" w14:textId="77777777" w:rsidR="00B53489" w:rsidRPr="00DD67BB" w:rsidRDefault="00B53489" w:rsidP="00B53489">
            <w:pPr>
              <w:pStyle w:val="Caption"/>
              <w:spacing w:line="360" w:lineRule="auto"/>
              <w:rPr>
                <w:rFonts w:cs="Times New Roman"/>
                <w:b w:val="0"/>
                <w:szCs w:val="22"/>
              </w:rPr>
            </w:pPr>
            <w:r w:rsidRPr="00DD67BB">
              <w:rPr>
                <w:rFonts w:cs="Times New Roman"/>
                <w:b w:val="0"/>
                <w:szCs w:val="22"/>
              </w:rPr>
              <w:t>Proportion of mass that has already been decontaminated that is removed in the next decontamination cycle</w:t>
            </w:r>
          </w:p>
          <w:p w14:paraId="07AB7E07" w14:textId="77777777" w:rsidR="00B53489" w:rsidRPr="00DD67BB" w:rsidRDefault="00B53489" w:rsidP="00B53489">
            <w:pPr>
              <w:rPr>
                <w:rFonts w:cs="Times New Roman"/>
              </w:rPr>
            </w:pPr>
            <w:r w:rsidRPr="00DD67BB">
              <w:rPr>
                <w:rFonts w:cs="Times New Roman"/>
              </w:rPr>
              <w:t>Mean (95% range in the PSA)</w:t>
            </w:r>
          </w:p>
        </w:tc>
        <w:tc>
          <w:tcPr>
            <w:tcW w:w="2376" w:type="dxa"/>
          </w:tcPr>
          <w:p w14:paraId="590E7D67" w14:textId="77777777" w:rsidR="00B53489" w:rsidRPr="00DD67BB" w:rsidRDefault="00B53489" w:rsidP="00B53489">
            <w:pPr>
              <w:pStyle w:val="Caption"/>
              <w:spacing w:line="360" w:lineRule="auto"/>
              <w:rPr>
                <w:rFonts w:cs="Times New Roman"/>
                <w:b w:val="0"/>
                <w:szCs w:val="22"/>
              </w:rPr>
            </w:pPr>
            <w:r w:rsidRPr="00DD67BB">
              <w:rPr>
                <w:rFonts w:cs="Times New Roman"/>
                <w:b w:val="0"/>
                <w:szCs w:val="22"/>
              </w:rPr>
              <w:t>Mass harvested from a patient (μg)</w:t>
            </w:r>
          </w:p>
          <w:p w14:paraId="1BEDAE5D" w14:textId="77777777" w:rsidR="00B53489" w:rsidRPr="00DD67BB" w:rsidRDefault="00B53489" w:rsidP="00B53489">
            <w:pPr>
              <w:rPr>
                <w:rFonts w:cs="Times New Roman"/>
              </w:rPr>
            </w:pPr>
            <w:r w:rsidRPr="00DD67BB">
              <w:rPr>
                <w:rFonts w:cs="Times New Roman"/>
              </w:rPr>
              <w:t>Mean (95% range in the PSA)</w:t>
            </w:r>
          </w:p>
        </w:tc>
      </w:tr>
      <w:tr w:rsidR="00B53489" w14:paraId="3AF4E888" w14:textId="77777777" w:rsidTr="00DD67BB">
        <w:tc>
          <w:tcPr>
            <w:tcW w:w="1658" w:type="dxa"/>
          </w:tcPr>
          <w:p w14:paraId="2300BA62" w14:textId="77777777" w:rsidR="00B53489" w:rsidRPr="00DD67BB" w:rsidRDefault="00B53489" w:rsidP="00B53489">
            <w:pPr>
              <w:pStyle w:val="Caption"/>
              <w:spacing w:line="360" w:lineRule="auto"/>
              <w:rPr>
                <w:rFonts w:cs="Times New Roman"/>
                <w:b w:val="0"/>
                <w:szCs w:val="22"/>
              </w:rPr>
            </w:pPr>
            <w:r w:rsidRPr="00DD67BB">
              <w:rPr>
                <w:rFonts w:cs="Times New Roman"/>
                <w:b w:val="0"/>
                <w:szCs w:val="22"/>
              </w:rPr>
              <w:t>Flexible</w:t>
            </w:r>
          </w:p>
        </w:tc>
        <w:tc>
          <w:tcPr>
            <w:tcW w:w="2655" w:type="dxa"/>
          </w:tcPr>
          <w:p w14:paraId="6DFAFC58" w14:textId="77777777" w:rsidR="00B53489" w:rsidRPr="00DD67BB" w:rsidRDefault="00B53489" w:rsidP="00B53489">
            <w:pPr>
              <w:pStyle w:val="Caption"/>
              <w:spacing w:line="360" w:lineRule="auto"/>
              <w:rPr>
                <w:rFonts w:cs="Times New Roman"/>
                <w:b w:val="0"/>
                <w:szCs w:val="22"/>
              </w:rPr>
            </w:pPr>
            <w:r w:rsidRPr="00DD67BB">
              <w:rPr>
                <w:rFonts w:cs="Times New Roman"/>
                <w:b w:val="0"/>
                <w:szCs w:val="22"/>
              </w:rPr>
              <w:t>19.5% (3.10% to 49.73%)</w:t>
            </w:r>
          </w:p>
        </w:tc>
        <w:tc>
          <w:tcPr>
            <w:tcW w:w="2945" w:type="dxa"/>
          </w:tcPr>
          <w:p w14:paraId="50AFA564" w14:textId="77777777" w:rsidR="00B53489" w:rsidRPr="00DD67BB" w:rsidRDefault="00B53489" w:rsidP="00B53489">
            <w:pPr>
              <w:pStyle w:val="Caption"/>
              <w:spacing w:line="360" w:lineRule="auto"/>
              <w:rPr>
                <w:rFonts w:cs="Times New Roman"/>
                <w:b w:val="0"/>
                <w:szCs w:val="22"/>
              </w:rPr>
            </w:pPr>
            <w:r w:rsidRPr="00DD67BB">
              <w:rPr>
                <w:rFonts w:cs="Times New Roman"/>
                <w:b w:val="0"/>
                <w:szCs w:val="22"/>
              </w:rPr>
              <w:t>70.6% (42.10% to 91.22%)</w:t>
            </w:r>
          </w:p>
        </w:tc>
        <w:tc>
          <w:tcPr>
            <w:tcW w:w="2376" w:type="dxa"/>
          </w:tcPr>
          <w:p w14:paraId="7D68DD0B" w14:textId="77777777" w:rsidR="00B53489" w:rsidRPr="00DD67BB" w:rsidRDefault="00B53489" w:rsidP="00B53489">
            <w:pPr>
              <w:pStyle w:val="Caption"/>
              <w:spacing w:line="360" w:lineRule="auto"/>
              <w:rPr>
                <w:rFonts w:cs="Times New Roman"/>
                <w:b w:val="0"/>
                <w:szCs w:val="22"/>
              </w:rPr>
            </w:pPr>
            <w:r w:rsidRPr="00DD67BB">
              <w:rPr>
                <w:rFonts w:cs="Times New Roman"/>
                <w:b w:val="0"/>
                <w:szCs w:val="22"/>
              </w:rPr>
              <w:t>2.37 (0.74 to 4.21)</w:t>
            </w:r>
          </w:p>
        </w:tc>
      </w:tr>
      <w:tr w:rsidR="00B53489" w14:paraId="2DE3988C" w14:textId="77777777" w:rsidTr="00DD67BB">
        <w:tc>
          <w:tcPr>
            <w:tcW w:w="1658" w:type="dxa"/>
          </w:tcPr>
          <w:p w14:paraId="608974B5" w14:textId="77777777" w:rsidR="00B53489" w:rsidRPr="00DD67BB" w:rsidRDefault="00B53489" w:rsidP="00B53489">
            <w:pPr>
              <w:pStyle w:val="Caption"/>
              <w:spacing w:line="360" w:lineRule="auto"/>
              <w:rPr>
                <w:rFonts w:cs="Times New Roman"/>
                <w:b w:val="0"/>
                <w:szCs w:val="22"/>
              </w:rPr>
            </w:pPr>
            <w:r w:rsidRPr="00DD67BB">
              <w:rPr>
                <w:rFonts w:cs="Times New Roman"/>
                <w:b w:val="0"/>
                <w:szCs w:val="22"/>
              </w:rPr>
              <w:t>Rigid</w:t>
            </w:r>
          </w:p>
        </w:tc>
        <w:tc>
          <w:tcPr>
            <w:tcW w:w="2655" w:type="dxa"/>
          </w:tcPr>
          <w:p w14:paraId="144F32A7" w14:textId="77777777" w:rsidR="00B53489" w:rsidRPr="00DD67BB" w:rsidRDefault="00B53489" w:rsidP="00B53489">
            <w:pPr>
              <w:pStyle w:val="Caption"/>
              <w:spacing w:line="360" w:lineRule="auto"/>
              <w:rPr>
                <w:rFonts w:cs="Times New Roman"/>
                <w:b w:val="0"/>
                <w:szCs w:val="22"/>
              </w:rPr>
            </w:pPr>
            <w:r w:rsidRPr="00DD67BB">
              <w:rPr>
                <w:rFonts w:cs="Times New Roman"/>
                <w:b w:val="0"/>
                <w:szCs w:val="22"/>
              </w:rPr>
              <w:t>0.61% (0.00% to 2.99%)</w:t>
            </w:r>
          </w:p>
        </w:tc>
        <w:tc>
          <w:tcPr>
            <w:tcW w:w="2945" w:type="dxa"/>
          </w:tcPr>
          <w:p w14:paraId="3D56DD8D" w14:textId="77777777" w:rsidR="00B53489" w:rsidRPr="00DD67BB" w:rsidRDefault="00B53489" w:rsidP="00B53489">
            <w:pPr>
              <w:pStyle w:val="Caption"/>
              <w:spacing w:line="360" w:lineRule="auto"/>
              <w:rPr>
                <w:rFonts w:cs="Times New Roman"/>
                <w:b w:val="0"/>
                <w:szCs w:val="22"/>
              </w:rPr>
            </w:pPr>
            <w:r w:rsidRPr="00DD67BB">
              <w:rPr>
                <w:rFonts w:cs="Times New Roman"/>
                <w:b w:val="0"/>
                <w:szCs w:val="22"/>
              </w:rPr>
              <w:t>1.22% (0.00% to 5.24%)</w:t>
            </w:r>
          </w:p>
        </w:tc>
        <w:tc>
          <w:tcPr>
            <w:tcW w:w="2376" w:type="dxa"/>
          </w:tcPr>
          <w:p w14:paraId="487E3C7E" w14:textId="77777777" w:rsidR="00B53489" w:rsidRPr="00DD67BB" w:rsidRDefault="00B53489" w:rsidP="00B53489">
            <w:pPr>
              <w:pStyle w:val="Caption"/>
              <w:spacing w:line="360" w:lineRule="auto"/>
              <w:rPr>
                <w:rFonts w:cs="Times New Roman"/>
                <w:b w:val="0"/>
                <w:szCs w:val="22"/>
              </w:rPr>
            </w:pPr>
            <w:r w:rsidRPr="00DD67BB">
              <w:rPr>
                <w:rFonts w:cs="Times New Roman"/>
                <w:b w:val="0"/>
                <w:szCs w:val="22"/>
              </w:rPr>
              <w:t>0.48 (0.00 to 2.24)</w:t>
            </w:r>
          </w:p>
        </w:tc>
      </w:tr>
    </w:tbl>
    <w:p w14:paraId="0F60067C" w14:textId="77777777" w:rsidR="00B53489" w:rsidRDefault="00B53489" w:rsidP="00B53489">
      <w:pPr>
        <w:pStyle w:val="Caption"/>
        <w:spacing w:line="360" w:lineRule="auto"/>
        <w:rPr>
          <w:rFonts w:cs="Times New Roman"/>
          <w:i/>
          <w:szCs w:val="22"/>
        </w:rPr>
      </w:pPr>
    </w:p>
    <w:p w14:paraId="0957577F" w14:textId="77777777" w:rsidR="00B53489" w:rsidRPr="00930045" w:rsidRDefault="00B53489" w:rsidP="00B53489">
      <w:pPr>
        <w:pStyle w:val="Heading3"/>
        <w:rPr>
          <w:b w:val="0"/>
          <w:i/>
          <w:color w:val="000000" w:themeColor="text1"/>
          <w:szCs w:val="22"/>
        </w:rPr>
      </w:pPr>
      <w:r w:rsidRPr="00930045">
        <w:rPr>
          <w:b w:val="0"/>
          <w:i/>
          <w:color w:val="000000" w:themeColor="text1"/>
          <w:szCs w:val="22"/>
        </w:rPr>
        <w:t xml:space="preserve">3.3.2 </w:t>
      </w:r>
      <w:r w:rsidRPr="00930045">
        <w:rPr>
          <w:b w:val="0"/>
          <w:i/>
          <w:color w:val="000000" w:themeColor="text1"/>
          <w:szCs w:val="22"/>
        </w:rPr>
        <w:tab/>
        <w:t>Parameters relating to the decontamination of surgical instruments</w:t>
      </w:r>
    </w:p>
    <w:p w14:paraId="76C45243" w14:textId="77777777" w:rsidR="00B53489" w:rsidRDefault="00B53489" w:rsidP="00930045">
      <w:r>
        <w:t>3.3.2.1</w:t>
      </w:r>
      <w:r w:rsidRPr="00F0261C">
        <w:t xml:space="preserve"> </w:t>
      </w:r>
      <w:r>
        <w:tab/>
      </w:r>
      <w:r w:rsidRPr="00F0261C">
        <w:t xml:space="preserve">The </w:t>
      </w:r>
      <w:r>
        <w:t>assumed infectious titre of tissues containing CJD prions</w:t>
      </w:r>
    </w:p>
    <w:p w14:paraId="6494DE35" w14:textId="13559E8D" w:rsidR="00B53489" w:rsidRDefault="00B53489" w:rsidP="00B53489">
      <w:pPr>
        <w:jc w:val="both"/>
        <w:rPr>
          <w:rFonts w:cs="Times New Roman"/>
        </w:rPr>
      </w:pPr>
      <w:r>
        <w:rPr>
          <w:rFonts w:cs="Times New Roman"/>
        </w:rPr>
        <w:t>In line with the ScHARR report,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brain and posterior eye tissue were assumed to have 10</w:t>
      </w:r>
      <w:r w:rsidRPr="00891B1D">
        <w:rPr>
          <w:rFonts w:cs="Times New Roman"/>
          <w:vertAlign w:val="superscript"/>
        </w:rPr>
        <w:t>8</w:t>
      </w:r>
      <w:r>
        <w:rPr>
          <w:rFonts w:cs="Times New Roman"/>
        </w:rPr>
        <w:t xml:space="preserve"> ID</w:t>
      </w:r>
      <w:r w:rsidR="00D25530" w:rsidRPr="00D25530">
        <w:rPr>
          <w:rFonts w:cs="Times New Roman"/>
          <w:vertAlign w:val="subscript"/>
        </w:rPr>
        <w:t>50</w:t>
      </w:r>
      <w:r w:rsidR="00D25530">
        <w:rPr>
          <w:rFonts w:cs="Times New Roman"/>
          <w:vertAlign w:val="subscript"/>
        </w:rPr>
        <w:t>s</w:t>
      </w:r>
      <w:r>
        <w:rPr>
          <w:rFonts w:cs="Times New Roman"/>
        </w:rPr>
        <w:t xml:space="preserve"> per gram. This value was assumed fixed and </w:t>
      </w:r>
      <w:r w:rsidR="00433559">
        <w:rPr>
          <w:rFonts w:cs="Times New Roman"/>
        </w:rPr>
        <w:t xml:space="preserve">was </w:t>
      </w:r>
      <w:r>
        <w:rPr>
          <w:rFonts w:cs="Times New Roman"/>
        </w:rPr>
        <w:t>applied from the moment the patient became infectious to the moment when clinical symptoms of CJD were observed, in which instance re-usable instruments would not be used on the patient.</w:t>
      </w:r>
    </w:p>
    <w:p w14:paraId="3E1D797C" w14:textId="77777777" w:rsidR="00B53489" w:rsidRDefault="00B53489" w:rsidP="00B53489">
      <w:pPr>
        <w:jc w:val="both"/>
        <w:rPr>
          <w:rFonts w:cs="Times New Roman"/>
        </w:rPr>
      </w:pPr>
    </w:p>
    <w:p w14:paraId="0BCA68E9" w14:textId="23BEF5BB" w:rsidR="00B53489" w:rsidRDefault="00B53489" w:rsidP="00B53489">
      <w:pPr>
        <w:jc w:val="both"/>
        <w:rPr>
          <w:rFonts w:cs="Times New Roman"/>
        </w:rPr>
      </w:pPr>
      <w:r>
        <w:rPr>
          <w:rFonts w:cs="Times New Roman"/>
        </w:rPr>
        <w:t xml:space="preserve">Following discussion with the committee, the previous assumptions were amended to allow more heterogeneity in patients who have CJD prions in high-risk tissue. First, the mean infectious titre was varied between </w:t>
      </w:r>
      <w:r w:rsidRPr="00651FDB">
        <w:rPr>
          <w:rFonts w:cs="Times New Roman"/>
        </w:rPr>
        <w:t>10</w:t>
      </w:r>
      <w:r w:rsidRPr="00651FDB">
        <w:rPr>
          <w:rFonts w:cs="Times New Roman"/>
          <w:vertAlign w:val="superscript"/>
        </w:rPr>
        <w:t>7</w:t>
      </w:r>
      <w:r w:rsidRPr="00651FDB">
        <w:rPr>
          <w:rFonts w:cs="Times New Roman"/>
        </w:rPr>
        <w:t xml:space="preserve"> and 10</w:t>
      </w:r>
      <w:r w:rsidRPr="00651FDB">
        <w:rPr>
          <w:rFonts w:cs="Times New Roman"/>
          <w:vertAlign w:val="superscript"/>
        </w:rPr>
        <w:t>9</w:t>
      </w:r>
      <w:r w:rsidRPr="00651FDB">
        <w:rPr>
          <w:rFonts w:cs="Times New Roman"/>
        </w:rPr>
        <w:t xml:space="preserve"> </w:t>
      </w:r>
      <w:r>
        <w:rPr>
          <w:rFonts w:cs="Times New Roman"/>
        </w:rPr>
        <w:t>per gram assuming</w:t>
      </w:r>
      <w:r w:rsidRPr="00651FDB">
        <w:rPr>
          <w:rFonts w:cs="Times New Roman"/>
        </w:rPr>
        <w:t xml:space="preserve"> a uniform distribution</w:t>
      </w:r>
      <w:r>
        <w:rPr>
          <w:rFonts w:cs="Times New Roman"/>
        </w:rPr>
        <w:t xml:space="preserve">. Secondly, it was assumed that </w:t>
      </w:r>
      <w:r w:rsidRPr="00651FDB">
        <w:rPr>
          <w:rFonts w:cs="Times New Roman"/>
        </w:rPr>
        <w:t xml:space="preserve">20% </w:t>
      </w:r>
      <w:r>
        <w:rPr>
          <w:rFonts w:cs="Times New Roman"/>
        </w:rPr>
        <w:t xml:space="preserve">of patients would have an infectious titre 1 log higher than the mean and that </w:t>
      </w:r>
      <w:r w:rsidRPr="00651FDB">
        <w:rPr>
          <w:rFonts w:cs="Times New Roman"/>
        </w:rPr>
        <w:t>20%</w:t>
      </w:r>
      <w:r>
        <w:rPr>
          <w:rFonts w:cs="Times New Roman"/>
        </w:rPr>
        <w:t xml:space="preserve"> of patients would have an infectious titre 1 log lower than the mean, with the remaining 60% of patients having the mean value.</w:t>
      </w:r>
      <w:r w:rsidRPr="00651FDB">
        <w:rPr>
          <w:rFonts w:cs="Times New Roman"/>
        </w:rPr>
        <w:t xml:space="preserve"> </w:t>
      </w:r>
      <w:r>
        <w:rPr>
          <w:rFonts w:cs="Times New Roman"/>
        </w:rPr>
        <w:t>This approach</w:t>
      </w:r>
      <w:r w:rsidRPr="00651FDB">
        <w:rPr>
          <w:rFonts w:cs="Times New Roman"/>
        </w:rPr>
        <w:t xml:space="preserve"> incorporate</w:t>
      </w:r>
      <w:r>
        <w:rPr>
          <w:rFonts w:cs="Times New Roman"/>
        </w:rPr>
        <w:t>s</w:t>
      </w:r>
      <w:r w:rsidRPr="00651FDB">
        <w:rPr>
          <w:rFonts w:cs="Times New Roman"/>
        </w:rPr>
        <w:t xml:space="preserve"> uncertain</w:t>
      </w:r>
      <w:r w:rsidR="00433559">
        <w:rPr>
          <w:rFonts w:cs="Times New Roman"/>
        </w:rPr>
        <w:t>ty around the</w:t>
      </w:r>
      <w:r w:rsidRPr="00651FDB">
        <w:rPr>
          <w:rFonts w:cs="Times New Roman"/>
        </w:rPr>
        <w:t xml:space="preserve"> mean </w:t>
      </w:r>
      <w:r w:rsidR="00433559">
        <w:rPr>
          <w:rFonts w:cs="Times New Roman"/>
        </w:rPr>
        <w:t xml:space="preserve">estimate as well as </w:t>
      </w:r>
      <w:r w:rsidRPr="00651FDB">
        <w:rPr>
          <w:rFonts w:cs="Times New Roman"/>
        </w:rPr>
        <w:t>patient heterogeneity, with individual patient values ranging from 10</w:t>
      </w:r>
      <w:r w:rsidRPr="00651FDB">
        <w:rPr>
          <w:rFonts w:cs="Times New Roman"/>
          <w:vertAlign w:val="superscript"/>
        </w:rPr>
        <w:t>6</w:t>
      </w:r>
      <w:r w:rsidRPr="00651FDB">
        <w:rPr>
          <w:rFonts w:cs="Times New Roman"/>
        </w:rPr>
        <w:t xml:space="preserve"> to 10</w:t>
      </w:r>
      <w:r w:rsidRPr="00651FDB">
        <w:rPr>
          <w:rFonts w:cs="Times New Roman"/>
          <w:vertAlign w:val="superscript"/>
        </w:rPr>
        <w:t>10</w:t>
      </w:r>
      <w:r w:rsidRPr="00651FDB">
        <w:rPr>
          <w:rFonts w:cs="Times New Roman"/>
        </w:rPr>
        <w:t xml:space="preserve"> ID</w:t>
      </w:r>
      <w:r w:rsidR="00D25530" w:rsidRPr="00D25530">
        <w:rPr>
          <w:rFonts w:cs="Times New Roman"/>
          <w:vertAlign w:val="subscript"/>
        </w:rPr>
        <w:t>50</w:t>
      </w:r>
      <w:r w:rsidR="00D25530">
        <w:rPr>
          <w:rFonts w:cs="Times New Roman"/>
          <w:vertAlign w:val="subscript"/>
        </w:rPr>
        <w:t>s</w:t>
      </w:r>
      <w:r w:rsidRPr="00651FDB">
        <w:rPr>
          <w:rFonts w:cs="Times New Roman"/>
        </w:rPr>
        <w:t xml:space="preserve"> </w:t>
      </w:r>
      <w:r w:rsidR="00433559">
        <w:rPr>
          <w:rFonts w:cs="Times New Roman"/>
        </w:rPr>
        <w:t>per</w:t>
      </w:r>
      <w:r w:rsidRPr="00651FDB">
        <w:rPr>
          <w:rFonts w:cs="Times New Roman"/>
        </w:rPr>
        <w:t xml:space="preserve"> gram. </w:t>
      </w:r>
    </w:p>
    <w:p w14:paraId="6F276478" w14:textId="77777777" w:rsidR="00B53489" w:rsidRDefault="00B53489" w:rsidP="00B53489">
      <w:pPr>
        <w:jc w:val="both"/>
        <w:rPr>
          <w:rFonts w:cs="Times New Roman"/>
        </w:rPr>
      </w:pPr>
    </w:p>
    <w:p w14:paraId="043C84A0" w14:textId="77777777" w:rsidR="00B53489" w:rsidRDefault="00B53489" w:rsidP="00930045">
      <w:r>
        <w:t>3.3.2.2</w:t>
      </w:r>
      <w:r w:rsidRPr="00F0261C">
        <w:t xml:space="preserve"> </w:t>
      </w:r>
      <w:r>
        <w:tab/>
      </w:r>
      <w:r w:rsidRPr="00F0261C">
        <w:t xml:space="preserve">The </w:t>
      </w:r>
      <w:r>
        <w:t>effectiveness of current decontamination processes in reducing infectivity</w:t>
      </w:r>
    </w:p>
    <w:p w14:paraId="20B88DBF" w14:textId="4A50153E" w:rsidR="00B53489" w:rsidRDefault="00B53489" w:rsidP="00B53489">
      <w:pPr>
        <w:jc w:val="both"/>
        <w:rPr>
          <w:rFonts w:cs="Times New Roman"/>
        </w:rPr>
      </w:pPr>
      <w:r>
        <w:rPr>
          <w:rFonts w:cs="Times New Roman"/>
        </w:rPr>
        <w:t>The distributions produced from the elicitation exercise to inform the ScHARR report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were considered appropriate by the NICE </w:t>
      </w:r>
      <w:r w:rsidR="007E367F">
        <w:rPr>
          <w:rFonts w:cs="Times New Roman"/>
        </w:rPr>
        <w:t>c</w:t>
      </w:r>
      <w:r>
        <w:rPr>
          <w:rFonts w:cs="Times New Roman"/>
        </w:rPr>
        <w:t>ommittee. These were split into three categories: the effectiveness of infectivity reduction in the first decontamination cycle; the effectiveness of infectivity reduction in subsequent decontamination cycle</w:t>
      </w:r>
      <w:r w:rsidR="00DD67BB">
        <w:rPr>
          <w:rFonts w:cs="Times New Roman"/>
        </w:rPr>
        <w:t>s</w:t>
      </w:r>
      <w:r>
        <w:rPr>
          <w:rFonts w:cs="Times New Roman"/>
        </w:rPr>
        <w:t>; and the mass removed in second and subsequent decontamination cycles. The model assumes that there have been no improvements in the reduction in infectivity since 2004.</w:t>
      </w:r>
    </w:p>
    <w:p w14:paraId="6322A4E3" w14:textId="77777777" w:rsidR="00B53489" w:rsidRDefault="00B53489" w:rsidP="00B53489">
      <w:pPr>
        <w:rPr>
          <w:rFonts w:cs="Times New Roman"/>
        </w:rPr>
      </w:pPr>
    </w:p>
    <w:p w14:paraId="431C83C3" w14:textId="77777777" w:rsidR="00B53489" w:rsidRDefault="00B53489" w:rsidP="00930045">
      <w:r>
        <w:t>3.3.2.2.1</w:t>
      </w:r>
      <w:r w:rsidRPr="00F0261C">
        <w:t xml:space="preserve"> The </w:t>
      </w:r>
      <w:r>
        <w:t>effectiveness of infectivity reduction in the first decontamination cycle</w:t>
      </w:r>
    </w:p>
    <w:p w14:paraId="37F7ADE0" w14:textId="6B232E13" w:rsidR="00B53489" w:rsidRDefault="00B53489" w:rsidP="00B53489">
      <w:pPr>
        <w:jc w:val="both"/>
        <w:rPr>
          <w:rFonts w:cs="Times New Roman"/>
        </w:rPr>
      </w:pPr>
      <w:r>
        <w:rPr>
          <w:rFonts w:cs="Times New Roman"/>
        </w:rPr>
        <w:t xml:space="preserve">The distribution assumed for the infectivity reduction associated with the first cycle of autoclaving is displayed in </w:t>
      </w:r>
      <w:r w:rsidRPr="004443A6">
        <w:rPr>
          <w:rFonts w:cs="Times New Roman"/>
        </w:rPr>
        <w:fldChar w:fldCharType="begin"/>
      </w:r>
      <w:r w:rsidRPr="004443A6">
        <w:rPr>
          <w:rFonts w:cs="Times New Roman"/>
        </w:rPr>
        <w:instrText xml:space="preserve"> REF _Ref508958301  \* MERGEFORMAT </w:instrText>
      </w:r>
      <w:r w:rsidRPr="004443A6">
        <w:rPr>
          <w:rFonts w:cs="Times New Roman"/>
        </w:rPr>
        <w:fldChar w:fldCharType="separate"/>
      </w:r>
      <w:r w:rsidR="00690541" w:rsidRPr="00930045">
        <w:rPr>
          <w:rFonts w:cs="Times New Roman"/>
          <w:color w:val="000000" w:themeColor="text1"/>
        </w:rPr>
        <w:t xml:space="preserve">Figure </w:t>
      </w:r>
      <w:r w:rsidR="00690541">
        <w:rPr>
          <w:rFonts w:cs="Times New Roman"/>
          <w:noProof/>
          <w:color w:val="000000" w:themeColor="text1"/>
        </w:rPr>
        <w:t>9</w:t>
      </w:r>
      <w:r w:rsidRPr="004443A6">
        <w:rPr>
          <w:rFonts w:cs="Times New Roman"/>
        </w:rPr>
        <w:fldChar w:fldCharType="end"/>
      </w:r>
      <w:r>
        <w:rPr>
          <w:rFonts w:cs="Times New Roman"/>
        </w:rPr>
        <w:t xml:space="preserve">. This has a mean log reduction of 2.50 and a 95% CrI in log reduction of 1.42 to 3.58. </w:t>
      </w:r>
    </w:p>
    <w:p w14:paraId="33D642A4" w14:textId="77777777" w:rsidR="00B53489" w:rsidRDefault="00B53489" w:rsidP="00B53489">
      <w:pPr>
        <w:rPr>
          <w:rFonts w:cs="Times New Roman"/>
        </w:rPr>
      </w:pPr>
    </w:p>
    <w:p w14:paraId="3DC7665E" w14:textId="011F8C93" w:rsidR="00B53489" w:rsidRPr="00930045" w:rsidRDefault="00B53489" w:rsidP="00B53489">
      <w:pPr>
        <w:pStyle w:val="Caption"/>
        <w:spacing w:line="360" w:lineRule="auto"/>
        <w:rPr>
          <w:rFonts w:cs="Times New Roman"/>
          <w:color w:val="000000" w:themeColor="text1"/>
          <w:szCs w:val="22"/>
        </w:rPr>
      </w:pPr>
      <w:bookmarkStart w:id="109" w:name="_Ref508701019"/>
      <w:bookmarkStart w:id="110" w:name="_Ref508958301"/>
      <w:bookmarkStart w:id="111" w:name="_Toc525106726"/>
      <w:r w:rsidRPr="00930045">
        <w:rPr>
          <w:rFonts w:cs="Times New Roman"/>
          <w:color w:val="000000" w:themeColor="text1"/>
          <w:szCs w:val="22"/>
        </w:rPr>
        <w:t xml:space="preserve">Figure </w:t>
      </w:r>
      <w:r w:rsidRPr="00930045">
        <w:rPr>
          <w:rFonts w:cs="Times New Roman"/>
          <w:color w:val="000000" w:themeColor="text1"/>
          <w:szCs w:val="22"/>
        </w:rPr>
        <w:fldChar w:fldCharType="begin"/>
      </w:r>
      <w:r w:rsidRPr="00930045">
        <w:rPr>
          <w:rFonts w:cs="Times New Roman"/>
          <w:color w:val="000000" w:themeColor="text1"/>
          <w:szCs w:val="22"/>
        </w:rPr>
        <w:instrText xml:space="preserve"> SEQ Figure \* ARABIC </w:instrText>
      </w:r>
      <w:r w:rsidRPr="00930045">
        <w:rPr>
          <w:rFonts w:cs="Times New Roman"/>
          <w:color w:val="000000" w:themeColor="text1"/>
          <w:szCs w:val="22"/>
        </w:rPr>
        <w:fldChar w:fldCharType="separate"/>
      </w:r>
      <w:r w:rsidR="00690541">
        <w:rPr>
          <w:rFonts w:cs="Times New Roman"/>
          <w:noProof/>
          <w:color w:val="000000" w:themeColor="text1"/>
          <w:szCs w:val="22"/>
        </w:rPr>
        <w:t>9</w:t>
      </w:r>
      <w:r w:rsidRPr="00930045">
        <w:rPr>
          <w:rFonts w:cs="Times New Roman"/>
          <w:color w:val="000000" w:themeColor="text1"/>
          <w:szCs w:val="22"/>
        </w:rPr>
        <w:fldChar w:fldCharType="end"/>
      </w:r>
      <w:bookmarkEnd w:id="109"/>
      <w:bookmarkEnd w:id="110"/>
      <w:r w:rsidRPr="00930045">
        <w:rPr>
          <w:rFonts w:cs="Times New Roman"/>
          <w:color w:val="000000" w:themeColor="text1"/>
          <w:szCs w:val="22"/>
        </w:rPr>
        <w:t>:</w:t>
      </w:r>
      <w:r w:rsidRPr="00930045">
        <w:rPr>
          <w:rFonts w:cs="Times New Roman"/>
          <w:color w:val="000000" w:themeColor="text1"/>
          <w:szCs w:val="22"/>
        </w:rPr>
        <w:tab/>
        <w:t>The reduction in infectivity in the first autoclaving cycle</w:t>
      </w:r>
      <w:bookmarkEnd w:id="111"/>
    </w:p>
    <w:p w14:paraId="25AF075B" w14:textId="77777777" w:rsidR="00B53489" w:rsidRDefault="00B53489" w:rsidP="00B53489">
      <w:pPr>
        <w:rPr>
          <w:rFonts w:cs="Times New Roman"/>
        </w:rPr>
      </w:pPr>
      <w:r>
        <w:rPr>
          <w:rFonts w:cs="Times New Roman"/>
          <w:noProof/>
          <w:lang w:eastAsia="en-GB"/>
        </w:rPr>
        <w:drawing>
          <wp:inline distT="0" distB="0" distL="0" distR="0" wp14:anchorId="0F92F8F3" wp14:editId="1465463E">
            <wp:extent cx="5354782" cy="340129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toclaving cycle 1.png"/>
                    <pic:cNvPicPr/>
                  </pic:nvPicPr>
                  <pic:blipFill rotWithShape="1">
                    <a:blip r:embed="rId20">
                      <a:extLst>
                        <a:ext uri="{28A0092B-C50C-407E-A947-70E740481C1C}">
                          <a14:useLocalDpi xmlns:a14="http://schemas.microsoft.com/office/drawing/2010/main" val="0"/>
                        </a:ext>
                      </a:extLst>
                    </a:blip>
                    <a:srcRect t="8053" r="6500"/>
                    <a:stretch/>
                  </pic:blipFill>
                  <pic:spPr bwMode="auto">
                    <a:xfrm>
                      <a:off x="0" y="0"/>
                      <a:ext cx="5358960" cy="3403945"/>
                    </a:xfrm>
                    <a:prstGeom prst="rect">
                      <a:avLst/>
                    </a:prstGeom>
                    <a:ln>
                      <a:noFill/>
                    </a:ln>
                    <a:extLst>
                      <a:ext uri="{53640926-AAD7-44D8-BBD7-CCE9431645EC}">
                        <a14:shadowObscured xmlns:a14="http://schemas.microsoft.com/office/drawing/2010/main"/>
                      </a:ext>
                    </a:extLst>
                  </pic:spPr>
                </pic:pic>
              </a:graphicData>
            </a:graphic>
          </wp:inline>
        </w:drawing>
      </w:r>
    </w:p>
    <w:p w14:paraId="46B9F46B" w14:textId="5D0EEB2C" w:rsidR="00B53489" w:rsidRDefault="00B53489" w:rsidP="00176BAD">
      <w:pPr>
        <w:jc w:val="both"/>
        <w:rPr>
          <w:rFonts w:cs="Times New Roman"/>
          <w:b/>
          <w:iCs/>
          <w:color w:val="000000" w:themeColor="text1"/>
        </w:rPr>
      </w:pPr>
      <w:bookmarkStart w:id="112" w:name="_Ref508703540"/>
      <w:r>
        <w:rPr>
          <w:rFonts w:cs="Times New Roman"/>
        </w:rPr>
        <w:t xml:space="preserve">The distribution assumed for the infectivity reduction associated with the first cycle of detergents for brain and posterior eye surgery is displayed in </w:t>
      </w:r>
      <w:r w:rsidRPr="00B637D3">
        <w:rPr>
          <w:rFonts w:cs="Times New Roman"/>
        </w:rPr>
        <w:fldChar w:fldCharType="begin"/>
      </w:r>
      <w:r w:rsidRPr="00B637D3">
        <w:rPr>
          <w:rFonts w:cs="Times New Roman"/>
        </w:rPr>
        <w:instrText xml:space="preserve"> REF _Ref520122558  \* MERGEFORMAT </w:instrText>
      </w:r>
      <w:r w:rsidRPr="00B637D3">
        <w:rPr>
          <w:rFonts w:cs="Times New Roman"/>
        </w:rPr>
        <w:fldChar w:fldCharType="separate"/>
      </w:r>
      <w:r w:rsidR="00690541" w:rsidRPr="00930045">
        <w:rPr>
          <w:rFonts w:cs="Times New Roman"/>
          <w:color w:val="000000" w:themeColor="text1"/>
        </w:rPr>
        <w:t xml:space="preserve">Figure </w:t>
      </w:r>
      <w:r w:rsidR="00690541">
        <w:rPr>
          <w:rFonts w:cs="Times New Roman"/>
          <w:noProof/>
          <w:color w:val="000000" w:themeColor="text1"/>
        </w:rPr>
        <w:t>10</w:t>
      </w:r>
      <w:r w:rsidRPr="00B637D3">
        <w:rPr>
          <w:rFonts w:cs="Times New Roman"/>
        </w:rPr>
        <w:fldChar w:fldCharType="end"/>
      </w:r>
      <w:r>
        <w:rPr>
          <w:rFonts w:cs="Times New Roman"/>
        </w:rPr>
        <w:t>. This has a mean log reduction of 0.64 and a 95% CrI in log reduction of 0.04 to 2.03. Note that detergents used in cleaning neuroendoscopes were assumed to not reduce infectivity.</w:t>
      </w:r>
      <w:r>
        <w:rPr>
          <w:rFonts w:cs="Times New Roman"/>
          <w:b/>
          <w:i/>
          <w:color w:val="000000" w:themeColor="text1"/>
        </w:rPr>
        <w:br w:type="page"/>
      </w:r>
    </w:p>
    <w:p w14:paraId="66E275D9" w14:textId="6AE9E8AA" w:rsidR="00B53489" w:rsidRPr="00930045" w:rsidRDefault="00B53489" w:rsidP="00B53489">
      <w:pPr>
        <w:pStyle w:val="Caption"/>
        <w:spacing w:line="360" w:lineRule="auto"/>
        <w:rPr>
          <w:rFonts w:cs="Times New Roman"/>
          <w:color w:val="000000" w:themeColor="text1"/>
          <w:szCs w:val="22"/>
        </w:rPr>
      </w:pPr>
      <w:bookmarkStart w:id="113" w:name="_Ref520122558"/>
      <w:bookmarkStart w:id="114" w:name="_Toc525106727"/>
      <w:r w:rsidRPr="00930045">
        <w:rPr>
          <w:rFonts w:cs="Times New Roman"/>
          <w:color w:val="000000" w:themeColor="text1"/>
          <w:szCs w:val="22"/>
        </w:rPr>
        <w:t xml:space="preserve">Figure </w:t>
      </w:r>
      <w:r w:rsidRPr="00930045">
        <w:rPr>
          <w:rFonts w:cs="Times New Roman"/>
          <w:color w:val="000000" w:themeColor="text1"/>
          <w:szCs w:val="22"/>
        </w:rPr>
        <w:fldChar w:fldCharType="begin"/>
      </w:r>
      <w:r w:rsidRPr="00930045">
        <w:rPr>
          <w:rFonts w:cs="Times New Roman"/>
          <w:color w:val="000000" w:themeColor="text1"/>
          <w:szCs w:val="22"/>
        </w:rPr>
        <w:instrText xml:space="preserve"> SEQ Figure \* ARABIC </w:instrText>
      </w:r>
      <w:r w:rsidRPr="00930045">
        <w:rPr>
          <w:rFonts w:cs="Times New Roman"/>
          <w:color w:val="000000" w:themeColor="text1"/>
          <w:szCs w:val="22"/>
        </w:rPr>
        <w:fldChar w:fldCharType="separate"/>
      </w:r>
      <w:r w:rsidR="00690541">
        <w:rPr>
          <w:rFonts w:cs="Times New Roman"/>
          <w:noProof/>
          <w:color w:val="000000" w:themeColor="text1"/>
          <w:szCs w:val="22"/>
        </w:rPr>
        <w:t>10</w:t>
      </w:r>
      <w:r w:rsidRPr="00930045">
        <w:rPr>
          <w:rFonts w:cs="Times New Roman"/>
          <w:color w:val="000000" w:themeColor="text1"/>
          <w:szCs w:val="22"/>
        </w:rPr>
        <w:fldChar w:fldCharType="end"/>
      </w:r>
      <w:bookmarkEnd w:id="112"/>
      <w:bookmarkEnd w:id="113"/>
      <w:r w:rsidRPr="00930045">
        <w:rPr>
          <w:rFonts w:cs="Times New Roman"/>
          <w:color w:val="000000" w:themeColor="text1"/>
          <w:szCs w:val="22"/>
        </w:rPr>
        <w:t>:</w:t>
      </w:r>
      <w:r w:rsidRPr="00930045">
        <w:rPr>
          <w:rFonts w:cs="Times New Roman"/>
          <w:color w:val="000000" w:themeColor="text1"/>
          <w:szCs w:val="22"/>
        </w:rPr>
        <w:tab/>
        <w:t>The reduction in infectivity in the first detergent cycle</w:t>
      </w:r>
      <w:bookmarkEnd w:id="114"/>
    </w:p>
    <w:p w14:paraId="18D002E4" w14:textId="77777777" w:rsidR="00B53489" w:rsidRPr="009B5A93" w:rsidRDefault="00B53489" w:rsidP="00B53489">
      <w:r>
        <w:rPr>
          <w:noProof/>
          <w:lang w:eastAsia="en-GB"/>
        </w:rPr>
        <w:drawing>
          <wp:inline distT="0" distB="0" distL="0" distR="0" wp14:anchorId="0C446256" wp14:editId="367D3E5B">
            <wp:extent cx="4933950" cy="313518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tergent cycle 1.png"/>
                    <pic:cNvPicPr/>
                  </pic:nvPicPr>
                  <pic:blipFill rotWithShape="1">
                    <a:blip r:embed="rId21">
                      <a:extLst>
                        <a:ext uri="{28A0092B-C50C-407E-A947-70E740481C1C}">
                          <a14:useLocalDpi xmlns:a14="http://schemas.microsoft.com/office/drawing/2010/main" val="0"/>
                        </a:ext>
                      </a:extLst>
                    </a:blip>
                    <a:srcRect t="7303" r="5774"/>
                    <a:stretch/>
                  </pic:blipFill>
                  <pic:spPr bwMode="auto">
                    <a:xfrm>
                      <a:off x="0" y="0"/>
                      <a:ext cx="4947186" cy="3143590"/>
                    </a:xfrm>
                    <a:prstGeom prst="rect">
                      <a:avLst/>
                    </a:prstGeom>
                    <a:ln>
                      <a:noFill/>
                    </a:ln>
                    <a:extLst>
                      <a:ext uri="{53640926-AAD7-44D8-BBD7-CCE9431645EC}">
                        <a14:shadowObscured xmlns:a14="http://schemas.microsoft.com/office/drawing/2010/main"/>
                      </a:ext>
                    </a:extLst>
                  </pic:spPr>
                </pic:pic>
              </a:graphicData>
            </a:graphic>
          </wp:inline>
        </w:drawing>
      </w:r>
    </w:p>
    <w:p w14:paraId="7F0B9E5F" w14:textId="77777777" w:rsidR="00B53489" w:rsidRDefault="00B53489" w:rsidP="00B53489">
      <w:pPr>
        <w:rPr>
          <w:rFonts w:cs="Times New Roman"/>
        </w:rPr>
      </w:pPr>
    </w:p>
    <w:p w14:paraId="7BC78F87" w14:textId="77777777" w:rsidR="00B53489" w:rsidRDefault="00B53489" w:rsidP="00930045">
      <w:r>
        <w:t>3.3.2.2.2</w:t>
      </w:r>
      <w:r w:rsidRPr="00F0261C">
        <w:t xml:space="preserve"> The </w:t>
      </w:r>
      <w:r>
        <w:t>effectiveness of infectivity reduction in subsequent decontamination cycles</w:t>
      </w:r>
    </w:p>
    <w:p w14:paraId="1BD6657F" w14:textId="1DE3107B" w:rsidR="00B53489" w:rsidRPr="00930045" w:rsidRDefault="00B53489" w:rsidP="00B53489">
      <w:pPr>
        <w:jc w:val="both"/>
        <w:rPr>
          <w:rFonts w:cs="Times New Roman"/>
          <w:noProof/>
          <w:color w:val="000000" w:themeColor="text1"/>
        </w:rPr>
      </w:pPr>
      <w:r>
        <w:rPr>
          <w:rFonts w:cs="Times New Roman"/>
        </w:rPr>
        <w:t>It was assumed in the ScHARR report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that the second and third autoclaving cycle would reduce prion infectivity, although this would be to a lesser extent than the initial autoclaving cycle. The log reduction on the second and third autoclaving cycle was expressed as a proportion of the reduction estimated in the first cycle. The distribution assumed for the multiplier is shown in</w:t>
      </w:r>
      <w:r w:rsidRPr="00176BAD">
        <w:rPr>
          <w:rFonts w:cs="Times New Roman"/>
        </w:rPr>
        <w:t xml:space="preserve"> </w:t>
      </w:r>
      <w:r w:rsidRPr="00176BAD">
        <w:rPr>
          <w:rFonts w:cs="Times New Roman"/>
        </w:rPr>
        <w:fldChar w:fldCharType="begin"/>
      </w:r>
      <w:r w:rsidRPr="00176BAD">
        <w:rPr>
          <w:rFonts w:cs="Times New Roman"/>
        </w:rPr>
        <w:instrText xml:space="preserve"> REF _Ref508704360  \* MERGEFORMAT </w:instrText>
      </w:r>
      <w:r w:rsidRPr="00176BAD">
        <w:rPr>
          <w:rFonts w:cs="Times New Roman"/>
        </w:rPr>
        <w:fldChar w:fldCharType="separate"/>
      </w:r>
      <w:r w:rsidR="00690541" w:rsidRPr="00930045">
        <w:rPr>
          <w:rFonts w:cs="Times New Roman"/>
          <w:noProof/>
          <w:color w:val="000000" w:themeColor="text1"/>
        </w:rPr>
        <w:t xml:space="preserve">Figure </w:t>
      </w:r>
      <w:r w:rsidR="00690541">
        <w:rPr>
          <w:rFonts w:cs="Times New Roman"/>
          <w:noProof/>
          <w:color w:val="000000" w:themeColor="text1"/>
        </w:rPr>
        <w:t>11</w:t>
      </w:r>
      <w:r w:rsidRPr="00176BAD">
        <w:rPr>
          <w:rFonts w:cs="Times New Roman"/>
        </w:rPr>
        <w:fldChar w:fldCharType="end"/>
      </w:r>
      <w:r>
        <w:rPr>
          <w:rFonts w:cs="Times New Roman"/>
        </w:rPr>
        <w:t>. This distribution has a mean of 0.157 with a 95% CrI ranging from 0.043 to 0.330.</w:t>
      </w:r>
    </w:p>
    <w:p w14:paraId="0B007708" w14:textId="77777777" w:rsidR="00B53489" w:rsidRDefault="00B53489" w:rsidP="00B53489">
      <w:pPr>
        <w:rPr>
          <w:rFonts w:cs="Times New Roman"/>
          <w:b/>
          <w:iCs/>
          <w:color w:val="000000" w:themeColor="text1"/>
        </w:rPr>
      </w:pPr>
      <w:bookmarkStart w:id="115" w:name="_Ref508704360"/>
    </w:p>
    <w:p w14:paraId="2BE322BB" w14:textId="6BA7EB00" w:rsidR="00B53489" w:rsidRPr="00930045" w:rsidRDefault="00B53489" w:rsidP="00B53489">
      <w:pPr>
        <w:pStyle w:val="Caption"/>
        <w:spacing w:line="360" w:lineRule="auto"/>
        <w:rPr>
          <w:rFonts w:cs="Times New Roman"/>
          <w:color w:val="000000" w:themeColor="text1"/>
          <w:szCs w:val="22"/>
        </w:rPr>
      </w:pPr>
      <w:bookmarkStart w:id="116" w:name="_Toc525106728"/>
      <w:r w:rsidRPr="00930045">
        <w:rPr>
          <w:rFonts w:cs="Times New Roman"/>
          <w:color w:val="000000" w:themeColor="text1"/>
          <w:szCs w:val="22"/>
        </w:rPr>
        <w:t xml:space="preserve">Figure </w:t>
      </w:r>
      <w:r w:rsidRPr="00930045">
        <w:rPr>
          <w:rFonts w:cs="Times New Roman"/>
          <w:color w:val="000000" w:themeColor="text1"/>
          <w:szCs w:val="22"/>
        </w:rPr>
        <w:fldChar w:fldCharType="begin"/>
      </w:r>
      <w:r w:rsidRPr="00930045">
        <w:rPr>
          <w:rFonts w:cs="Times New Roman"/>
          <w:color w:val="000000" w:themeColor="text1"/>
          <w:szCs w:val="22"/>
        </w:rPr>
        <w:instrText xml:space="preserve"> SEQ Figure \* ARABIC </w:instrText>
      </w:r>
      <w:r w:rsidRPr="00930045">
        <w:rPr>
          <w:rFonts w:cs="Times New Roman"/>
          <w:color w:val="000000" w:themeColor="text1"/>
          <w:szCs w:val="22"/>
        </w:rPr>
        <w:fldChar w:fldCharType="separate"/>
      </w:r>
      <w:r w:rsidR="00690541">
        <w:rPr>
          <w:rFonts w:cs="Times New Roman"/>
          <w:noProof/>
          <w:color w:val="000000" w:themeColor="text1"/>
          <w:szCs w:val="22"/>
        </w:rPr>
        <w:t>11</w:t>
      </w:r>
      <w:r w:rsidRPr="00930045">
        <w:rPr>
          <w:rFonts w:cs="Times New Roman"/>
          <w:color w:val="000000" w:themeColor="text1"/>
          <w:szCs w:val="22"/>
        </w:rPr>
        <w:fldChar w:fldCharType="end"/>
      </w:r>
      <w:bookmarkEnd w:id="115"/>
      <w:r w:rsidRPr="00930045">
        <w:rPr>
          <w:rFonts w:cs="Times New Roman"/>
          <w:color w:val="000000" w:themeColor="text1"/>
          <w:szCs w:val="22"/>
        </w:rPr>
        <w:t>:</w:t>
      </w:r>
      <w:r w:rsidRPr="00930045">
        <w:rPr>
          <w:rFonts w:cs="Times New Roman"/>
          <w:color w:val="000000" w:themeColor="text1"/>
          <w:szCs w:val="22"/>
        </w:rPr>
        <w:tab/>
        <w:t>The proportion of autoclave cycle 1 log reduction achieved by cycles 2 and 3</w:t>
      </w:r>
      <w:bookmarkEnd w:id="116"/>
    </w:p>
    <w:p w14:paraId="43B83BF2" w14:textId="77777777" w:rsidR="00B53489" w:rsidRPr="009B5A93" w:rsidRDefault="00B53489" w:rsidP="00B53489">
      <w:r>
        <w:rPr>
          <w:noProof/>
          <w:lang w:eastAsia="en-GB"/>
        </w:rPr>
        <w:drawing>
          <wp:inline distT="0" distB="0" distL="0" distR="0" wp14:anchorId="7DCDFCFA" wp14:editId="626EED71">
            <wp:extent cx="4714875" cy="29610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p Auto1.png"/>
                    <pic:cNvPicPr/>
                  </pic:nvPicPr>
                  <pic:blipFill rotWithShape="1">
                    <a:blip r:embed="rId22">
                      <a:extLst>
                        <a:ext uri="{28A0092B-C50C-407E-A947-70E740481C1C}">
                          <a14:useLocalDpi xmlns:a14="http://schemas.microsoft.com/office/drawing/2010/main" val="0"/>
                        </a:ext>
                      </a:extLst>
                    </a:blip>
                    <a:srcRect t="7678" r="5048"/>
                    <a:stretch/>
                  </pic:blipFill>
                  <pic:spPr bwMode="auto">
                    <a:xfrm>
                      <a:off x="0" y="0"/>
                      <a:ext cx="4726574" cy="2968409"/>
                    </a:xfrm>
                    <a:prstGeom prst="rect">
                      <a:avLst/>
                    </a:prstGeom>
                    <a:ln>
                      <a:noFill/>
                    </a:ln>
                    <a:extLst>
                      <a:ext uri="{53640926-AAD7-44D8-BBD7-CCE9431645EC}">
                        <a14:shadowObscured xmlns:a14="http://schemas.microsoft.com/office/drawing/2010/main"/>
                      </a:ext>
                    </a:extLst>
                  </pic:spPr>
                </pic:pic>
              </a:graphicData>
            </a:graphic>
          </wp:inline>
        </w:drawing>
      </w:r>
    </w:p>
    <w:p w14:paraId="0DE08EDB" w14:textId="095C0E90" w:rsidR="00B53489" w:rsidRDefault="00B53489" w:rsidP="00B53489">
      <w:pPr>
        <w:jc w:val="both"/>
        <w:rPr>
          <w:rFonts w:cs="Times New Roman"/>
        </w:rPr>
      </w:pPr>
      <w:r>
        <w:rPr>
          <w:rFonts w:cs="Times New Roman"/>
        </w:rPr>
        <w:t>It was assumed in the ScHARR report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that the second detergent cycle would reduce prion infectivity, although this would be to a lesser extent than the initial autoclaving cycle. The log reduction on the second and third autoclaving cycle was expressed as a proportion of the reduction estimated in the first cycle. The distribution assumed for the multiplier is shown in </w:t>
      </w:r>
      <w:r w:rsidRPr="004443A6">
        <w:rPr>
          <w:rFonts w:cs="Times New Roman"/>
        </w:rPr>
        <w:fldChar w:fldCharType="begin"/>
      </w:r>
      <w:r w:rsidRPr="004443A6">
        <w:rPr>
          <w:rFonts w:cs="Times New Roman"/>
        </w:rPr>
        <w:instrText xml:space="preserve"> REF _Ref508640598  \* MERGEFORMAT </w:instrText>
      </w:r>
      <w:r w:rsidRPr="004443A6">
        <w:rPr>
          <w:rFonts w:cs="Times New Roman"/>
        </w:rPr>
        <w:fldChar w:fldCharType="separate"/>
      </w:r>
      <w:r w:rsidR="00690541" w:rsidRPr="00D20474">
        <w:rPr>
          <w:rFonts w:cs="Times New Roman"/>
          <w:color w:val="000000" w:themeColor="text1"/>
        </w:rPr>
        <w:t xml:space="preserve">Figure </w:t>
      </w:r>
      <w:r w:rsidR="00690541">
        <w:rPr>
          <w:rFonts w:cs="Times New Roman"/>
          <w:noProof/>
          <w:color w:val="000000" w:themeColor="text1"/>
        </w:rPr>
        <w:t>12</w:t>
      </w:r>
      <w:r w:rsidRPr="004443A6">
        <w:rPr>
          <w:rFonts w:cs="Times New Roman"/>
        </w:rPr>
        <w:fldChar w:fldCharType="end"/>
      </w:r>
      <w:r>
        <w:rPr>
          <w:rFonts w:cs="Times New Roman"/>
        </w:rPr>
        <w:t>. This distribution has a mean of 0.474 with a 95% CrI ranging from 0.047 to 0.931.</w:t>
      </w:r>
    </w:p>
    <w:p w14:paraId="7AD51629" w14:textId="77777777" w:rsidR="00B53489" w:rsidRDefault="00B53489" w:rsidP="00B53489">
      <w:pPr>
        <w:rPr>
          <w:rFonts w:cs="Times New Roman"/>
          <w:iCs/>
          <w:color w:val="000000" w:themeColor="text1"/>
        </w:rPr>
      </w:pPr>
      <w:bookmarkStart w:id="117" w:name="_Ref508704940"/>
    </w:p>
    <w:p w14:paraId="5BC02259" w14:textId="77777777" w:rsidR="00B53489" w:rsidRPr="00930045" w:rsidRDefault="00B53489" w:rsidP="00B53489">
      <w:pPr>
        <w:pStyle w:val="Caption"/>
        <w:spacing w:line="360" w:lineRule="auto"/>
        <w:rPr>
          <w:rFonts w:cs="Times New Roman"/>
          <w:color w:val="000000" w:themeColor="text1"/>
          <w:szCs w:val="22"/>
        </w:rPr>
      </w:pPr>
      <w:r w:rsidRPr="00930045">
        <w:rPr>
          <w:rFonts w:cs="Times New Roman"/>
          <w:color w:val="000000" w:themeColor="text1"/>
          <w:szCs w:val="22"/>
        </w:rPr>
        <w:t xml:space="preserve">Figure </w:t>
      </w:r>
      <w:bookmarkEnd w:id="117"/>
      <w:r w:rsidRPr="00930045">
        <w:rPr>
          <w:rFonts w:cs="Times New Roman"/>
          <w:color w:val="000000" w:themeColor="text1"/>
          <w:szCs w:val="22"/>
        </w:rPr>
        <w:t>9:</w:t>
      </w:r>
      <w:r w:rsidRPr="00930045">
        <w:rPr>
          <w:rFonts w:cs="Times New Roman"/>
          <w:color w:val="000000" w:themeColor="text1"/>
          <w:szCs w:val="22"/>
        </w:rPr>
        <w:tab/>
        <w:t>The proportion of detergent cycle 1 log reduction achieved by cycle 2</w:t>
      </w:r>
    </w:p>
    <w:p w14:paraId="74F2891F" w14:textId="77777777" w:rsidR="00B53489" w:rsidRPr="009B5A93" w:rsidRDefault="00B53489" w:rsidP="00B53489">
      <w:r>
        <w:rPr>
          <w:noProof/>
          <w:lang w:eastAsia="en-GB"/>
        </w:rPr>
        <w:drawing>
          <wp:inline distT="0" distB="0" distL="0" distR="0" wp14:anchorId="5497F42C" wp14:editId="647F19F1">
            <wp:extent cx="5444836" cy="3401291"/>
            <wp:effectExtent l="0" t="0" r="381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p Det1.png"/>
                    <pic:cNvPicPr/>
                  </pic:nvPicPr>
                  <pic:blipFill rotWithShape="1">
                    <a:blip r:embed="rId23">
                      <a:extLst>
                        <a:ext uri="{28A0092B-C50C-407E-A947-70E740481C1C}">
                          <a14:useLocalDpi xmlns:a14="http://schemas.microsoft.com/office/drawing/2010/main" val="0"/>
                        </a:ext>
                      </a:extLst>
                    </a:blip>
                    <a:srcRect t="8053" r="4928"/>
                    <a:stretch/>
                  </pic:blipFill>
                  <pic:spPr bwMode="auto">
                    <a:xfrm>
                      <a:off x="0" y="0"/>
                      <a:ext cx="5449084" cy="3403945"/>
                    </a:xfrm>
                    <a:prstGeom prst="rect">
                      <a:avLst/>
                    </a:prstGeom>
                    <a:ln>
                      <a:noFill/>
                    </a:ln>
                    <a:extLst>
                      <a:ext uri="{53640926-AAD7-44D8-BBD7-CCE9431645EC}">
                        <a14:shadowObscured xmlns:a14="http://schemas.microsoft.com/office/drawing/2010/main"/>
                      </a:ext>
                    </a:extLst>
                  </pic:spPr>
                </pic:pic>
              </a:graphicData>
            </a:graphic>
          </wp:inline>
        </w:drawing>
      </w:r>
    </w:p>
    <w:p w14:paraId="17834D78" w14:textId="366F54FB" w:rsidR="00B53489" w:rsidRDefault="00B53489" w:rsidP="00930045">
      <w:pPr>
        <w:rPr>
          <w:rFonts w:cs="Times New Roman"/>
          <w:color w:val="000000" w:themeColor="text1"/>
        </w:rPr>
      </w:pPr>
      <w:r w:rsidRPr="00930045">
        <w:t>3.3.2.2.3 The proportion of mass that has been through a decontamination cycle that is removed in</w:t>
      </w:r>
      <w:r>
        <w:rPr>
          <w:rFonts w:cs="Times New Roman"/>
          <w:color w:val="000000" w:themeColor="text1"/>
        </w:rPr>
        <w:t xml:space="preserve"> su</w:t>
      </w:r>
      <w:r w:rsidR="009B4E5A">
        <w:rPr>
          <w:rFonts w:cs="Times New Roman"/>
          <w:color w:val="000000" w:themeColor="text1"/>
        </w:rPr>
        <w:t>bsequent decontamination cycles</w:t>
      </w:r>
    </w:p>
    <w:p w14:paraId="233FBAF4" w14:textId="59D2A25D" w:rsidR="00B53489" w:rsidRDefault="00B53489" w:rsidP="00B53489">
      <w:pPr>
        <w:jc w:val="both"/>
        <w:rPr>
          <w:rFonts w:cs="Times New Roman"/>
        </w:rPr>
      </w:pPr>
      <w:r>
        <w:rPr>
          <w:rFonts w:cs="Times New Roman"/>
        </w:rPr>
        <w:t xml:space="preserve">This has been detailed in Section </w:t>
      </w:r>
      <w:r w:rsidR="00DD67BB">
        <w:rPr>
          <w:rFonts w:cs="Times New Roman"/>
        </w:rPr>
        <w:t>3</w:t>
      </w:r>
      <w:r>
        <w:rPr>
          <w:rFonts w:cs="Times New Roman"/>
        </w:rPr>
        <w:t xml:space="preserve">.3.1.4 for brain and posterior eye instruments and in Section </w:t>
      </w:r>
      <w:r w:rsidR="00DD67BB">
        <w:rPr>
          <w:rFonts w:cs="Times New Roman"/>
        </w:rPr>
        <w:t>3</w:t>
      </w:r>
      <w:r>
        <w:rPr>
          <w:rFonts w:cs="Times New Roman"/>
        </w:rPr>
        <w:t>.3.1.6 for neuroendoscopes.</w:t>
      </w:r>
    </w:p>
    <w:p w14:paraId="5EF3EB9F" w14:textId="77777777" w:rsidR="00B53489" w:rsidRDefault="00B53489" w:rsidP="00B53489">
      <w:pPr>
        <w:rPr>
          <w:rFonts w:cs="Times New Roman"/>
        </w:rPr>
      </w:pPr>
    </w:p>
    <w:p w14:paraId="4EA30974" w14:textId="77777777" w:rsidR="00B53489" w:rsidRDefault="00B53489" w:rsidP="00930045">
      <w:r>
        <w:t>3.3.2.3</w:t>
      </w:r>
      <w:r w:rsidRPr="00F0261C">
        <w:t xml:space="preserve"> </w:t>
      </w:r>
      <w:r>
        <w:t>The probability of disposing of a re-usable instrument</w:t>
      </w:r>
    </w:p>
    <w:p w14:paraId="5FAE870C" w14:textId="73083662" w:rsidR="00B53489" w:rsidRDefault="00B53489" w:rsidP="00B53489">
      <w:pPr>
        <w:jc w:val="both"/>
        <w:rPr>
          <w:rFonts w:cs="Times New Roman"/>
        </w:rPr>
      </w:pPr>
      <w:r>
        <w:rPr>
          <w:rFonts w:cs="Times New Roman"/>
        </w:rPr>
        <w:t>In the ScHARR report</w:t>
      </w:r>
      <w:r w:rsidR="00822F20">
        <w:rPr>
          <w:rFonts w:cs="Times New Roman"/>
        </w:rPr>
        <w: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it was assumed that following use</w:t>
      </w:r>
      <w:r w:rsidR="00822F20">
        <w:rPr>
          <w:rFonts w:cs="Times New Roman"/>
        </w:rPr>
        <w:t>,</w:t>
      </w:r>
      <w:r>
        <w:rPr>
          <w:rFonts w:cs="Times New Roman"/>
        </w:rPr>
        <w:t xml:space="preserve"> an instrument had a 1/250 probability of being disposed of, (range 1/200 to 1/300) with all infectious load on the instrument destroyed. For each instrument disposed of in a brain surgery set</w:t>
      </w:r>
      <w:r w:rsidR="00822F20">
        <w:rPr>
          <w:rFonts w:cs="Times New Roman"/>
        </w:rPr>
        <w:t>,</w:t>
      </w:r>
      <w:r>
        <w:rPr>
          <w:rFonts w:cs="Times New Roman"/>
        </w:rPr>
        <w:t xml:space="preserve"> it was assumed that between 0% and 12% (sampled from a uniform distribution) of infectious load was removed from the set. For each instrument disposed of in a posterior surgery set</w:t>
      </w:r>
      <w:r w:rsidR="00822F20">
        <w:rPr>
          <w:rFonts w:cs="Times New Roman"/>
        </w:rPr>
        <w:t>,</w:t>
      </w:r>
      <w:r>
        <w:rPr>
          <w:rFonts w:cs="Times New Roman"/>
        </w:rPr>
        <w:t xml:space="preserve"> it was assumed that between 0% and 25% (sampled from a uniform distribution) of infectious load was removed from the set. In discussions with the committee the probability of an instrument being disposed of was reduced to 1/2500 with a range of 1/2000 to 1/3000.</w:t>
      </w:r>
    </w:p>
    <w:p w14:paraId="457FC461" w14:textId="77777777" w:rsidR="00B53489" w:rsidRDefault="00B53489" w:rsidP="00B53489">
      <w:pPr>
        <w:rPr>
          <w:rFonts w:cs="Times New Roman"/>
        </w:rPr>
      </w:pPr>
    </w:p>
    <w:p w14:paraId="519DA217" w14:textId="7A46205C" w:rsidR="00B53489" w:rsidRPr="00930045" w:rsidRDefault="00B53489" w:rsidP="00930045">
      <w:pPr>
        <w:pStyle w:val="Heading3"/>
        <w:rPr>
          <w:b w:val="0"/>
          <w:i/>
          <w:color w:val="000000" w:themeColor="text1"/>
        </w:rPr>
      </w:pPr>
      <w:r w:rsidRPr="00930045">
        <w:rPr>
          <w:b w:val="0"/>
          <w:i/>
          <w:color w:val="000000" w:themeColor="text1"/>
        </w:rPr>
        <w:t>3.3.3</w:t>
      </w:r>
      <w:r w:rsidRPr="00930045">
        <w:rPr>
          <w:b w:val="0"/>
          <w:i/>
          <w:color w:val="000000" w:themeColor="text1"/>
        </w:rPr>
        <w:tab/>
        <w:t>Parameters relating to instrument migration, costs and safety</w:t>
      </w:r>
    </w:p>
    <w:p w14:paraId="276038EE" w14:textId="151DFAE9" w:rsidR="00B53489" w:rsidRDefault="00B53489" w:rsidP="00930045">
      <w:r>
        <w:t>3.3.3.1</w:t>
      </w:r>
      <w:r w:rsidRPr="00F0261C">
        <w:t xml:space="preserve"> </w:t>
      </w:r>
      <w:r>
        <w:t>The instruments assumed on model set</w:t>
      </w:r>
      <w:r w:rsidR="00F70D95">
        <w:t>-</w:t>
      </w:r>
      <w:r>
        <w:t xml:space="preserve">up </w:t>
      </w:r>
    </w:p>
    <w:p w14:paraId="3174BD81" w14:textId="75A5A2EE" w:rsidR="00B53489" w:rsidRDefault="00B53489" w:rsidP="00930045">
      <w:pPr>
        <w:jc w:val="both"/>
        <w:rPr>
          <w:rFonts w:cs="Times New Roman"/>
        </w:rPr>
      </w:pPr>
      <w:r>
        <w:rPr>
          <w:rFonts w:cs="Times New Roman"/>
        </w:rPr>
        <w:t>In the modelling undertaken for the ScHARR report</w:t>
      </w:r>
      <w:r w:rsidR="00F70D95">
        <w:rPr>
          <w:rFonts w:cs="Times New Roman"/>
        </w:rPr>
        <w: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sidRPr="00DD426D">
        <w:rPr>
          <w:rFonts w:cs="Times New Roman"/>
        </w:rPr>
        <w:t xml:space="preserve"> it was assumed that ther</w:t>
      </w:r>
      <w:r>
        <w:rPr>
          <w:rFonts w:cs="Times New Roman"/>
        </w:rPr>
        <w:t>e were: 12 brain surgery sets, with 18 instruments assumed to come into contact with potentially infectious mass</w:t>
      </w:r>
      <w:r w:rsidR="00DD67BB">
        <w:rPr>
          <w:rFonts w:cs="Times New Roman"/>
        </w:rPr>
        <w:t>; 12 posterior eye surgery sets,</w:t>
      </w:r>
      <w:r>
        <w:rPr>
          <w:rFonts w:cs="Times New Roman"/>
        </w:rPr>
        <w:t xml:space="preserve"> with nine instruments assumed to come into contact with potentially infectious mass; one rigid neuroendoscope and one flexible neuroendoscope</w:t>
      </w:r>
      <w:r w:rsidR="00DD67BB">
        <w:rPr>
          <w:rFonts w:cs="Times New Roman"/>
        </w:rPr>
        <w:t xml:space="preserve"> both of which had a single accessory</w:t>
      </w:r>
      <w:r>
        <w:rPr>
          <w:rFonts w:cs="Times New Roman"/>
        </w:rPr>
        <w:t xml:space="preserve">. </w:t>
      </w:r>
    </w:p>
    <w:p w14:paraId="6F546859" w14:textId="77777777" w:rsidR="00930045" w:rsidRDefault="00930045" w:rsidP="00930045">
      <w:pPr>
        <w:jc w:val="both"/>
        <w:rPr>
          <w:rFonts w:cs="Times New Roman"/>
        </w:rPr>
      </w:pPr>
    </w:p>
    <w:p w14:paraId="6696DCCC" w14:textId="19A5CB77" w:rsidR="00B53489" w:rsidRDefault="00B53489" w:rsidP="00930045">
      <w:pPr>
        <w:jc w:val="both"/>
        <w:rPr>
          <w:rFonts w:cs="Times New Roman"/>
        </w:rPr>
      </w:pPr>
      <w:r>
        <w:rPr>
          <w:rFonts w:cs="Times New Roman"/>
        </w:rPr>
        <w:t>Following discussion with the committee</w:t>
      </w:r>
      <w:r w:rsidR="00F70D95">
        <w:rPr>
          <w:rFonts w:cs="Times New Roman"/>
        </w:rPr>
        <w:t>,</w:t>
      </w:r>
      <w:r>
        <w:rPr>
          <w:rFonts w:cs="Times New Roman"/>
        </w:rPr>
        <w:t xml:space="preserve"> it was assumed that the number of instruments coming into contact with high-risk tissue in brain operations was lower than previously thought with the number reduced to </w:t>
      </w:r>
      <w:r w:rsidR="002C04FE">
        <w:rPr>
          <w:rFonts w:cs="Times New Roman"/>
        </w:rPr>
        <w:t>14 (previously 18)</w:t>
      </w:r>
      <w:r>
        <w:rPr>
          <w:rFonts w:cs="Times New Roman"/>
        </w:rPr>
        <w:t>.</w:t>
      </w:r>
    </w:p>
    <w:p w14:paraId="14341300" w14:textId="77777777" w:rsidR="00930045" w:rsidRDefault="00930045" w:rsidP="00930045">
      <w:pPr>
        <w:jc w:val="both"/>
        <w:rPr>
          <w:rFonts w:cs="Times New Roman"/>
        </w:rPr>
      </w:pPr>
    </w:p>
    <w:p w14:paraId="44A15D45" w14:textId="42460A4F" w:rsidR="00B53489" w:rsidRDefault="00B53489" w:rsidP="00930045">
      <w:pPr>
        <w:jc w:val="both"/>
        <w:rPr>
          <w:rFonts w:cs="Times New Roman"/>
        </w:rPr>
      </w:pPr>
      <w:r>
        <w:rPr>
          <w:rFonts w:cs="Times New Roman"/>
        </w:rPr>
        <w:t>For brain and posterior eye sets, the instruments sets were used in rotation. For neuroendoscopy operations</w:t>
      </w:r>
      <w:r w:rsidR="00F70D95">
        <w:rPr>
          <w:rFonts w:cs="Times New Roman"/>
        </w:rPr>
        <w:t>,</w:t>
      </w:r>
      <w:r>
        <w:rPr>
          <w:rFonts w:cs="Times New Roman"/>
        </w:rPr>
        <w:t xml:space="preserve"> it was assumed that 75% were undertaken with rigid neuroendoscopes (which can be autoclaved) and 25% </w:t>
      </w:r>
      <w:r w:rsidR="00F70D95">
        <w:rPr>
          <w:rFonts w:cs="Times New Roman"/>
        </w:rPr>
        <w:t xml:space="preserve">were undertaken using </w:t>
      </w:r>
      <w:r>
        <w:rPr>
          <w:rFonts w:cs="Times New Roman"/>
        </w:rPr>
        <w:t>flexible neuroendoscopes (which cannot</w:t>
      </w:r>
      <w:r w:rsidR="00F70D95">
        <w:rPr>
          <w:rFonts w:cs="Times New Roman"/>
        </w:rPr>
        <w:t xml:space="preserve"> be autoclaved</w:t>
      </w:r>
      <w:r>
        <w:rPr>
          <w:rFonts w:cs="Times New Roman"/>
        </w:rPr>
        <w:t>).</w:t>
      </w:r>
    </w:p>
    <w:p w14:paraId="2CC9936F" w14:textId="77777777" w:rsidR="00930045" w:rsidRDefault="00930045" w:rsidP="00930045">
      <w:pPr>
        <w:jc w:val="both"/>
        <w:rPr>
          <w:rFonts w:cs="Times New Roman"/>
        </w:rPr>
      </w:pPr>
    </w:p>
    <w:p w14:paraId="7D83EDC3" w14:textId="241BE99C" w:rsidR="00B53489" w:rsidRDefault="00B53489" w:rsidP="00930045">
      <w:pPr>
        <w:jc w:val="both"/>
        <w:rPr>
          <w:rFonts w:cs="Times New Roman"/>
        </w:rPr>
      </w:pPr>
      <w:r>
        <w:rPr>
          <w:rFonts w:cs="Times New Roman"/>
        </w:rPr>
        <w:t>Brain and posterior eye sets were also compl</w:t>
      </w:r>
      <w:r w:rsidR="00F70D95">
        <w:rPr>
          <w:rFonts w:cs="Times New Roman"/>
        </w:rPr>
        <w:t>e</w:t>
      </w:r>
      <w:r>
        <w:rPr>
          <w:rFonts w:cs="Times New Roman"/>
        </w:rPr>
        <w:t>mented by six types of SI, each of which had six instruments which were used in rotation. During each operation</w:t>
      </w:r>
      <w:r w:rsidR="00F70D95">
        <w:rPr>
          <w:rFonts w:cs="Times New Roman"/>
        </w:rPr>
        <w:t>,</w:t>
      </w:r>
      <w:r>
        <w:rPr>
          <w:rFonts w:cs="Times New Roman"/>
        </w:rPr>
        <w:t xml:space="preserve"> each SI had a 20% chance of being required.</w:t>
      </w:r>
    </w:p>
    <w:p w14:paraId="49455FE7" w14:textId="77777777" w:rsidR="00B53489" w:rsidRDefault="00B53489" w:rsidP="00930045">
      <w:pPr>
        <w:jc w:val="both"/>
        <w:rPr>
          <w:rFonts w:cs="Times New Roman"/>
        </w:rPr>
      </w:pPr>
    </w:p>
    <w:p w14:paraId="057D09BF" w14:textId="423EC12B" w:rsidR="00B53489" w:rsidRDefault="00B53489" w:rsidP="00930045">
      <w:pPr>
        <w:jc w:val="both"/>
        <w:rPr>
          <w:rFonts w:cs="Times New Roman"/>
        </w:rPr>
      </w:pPr>
      <w:r>
        <w:rPr>
          <w:rFonts w:cs="Times New Roman"/>
        </w:rPr>
        <w:t>For neuroendoscopy, IPG196</w:t>
      </w:r>
      <w:r>
        <w:rPr>
          <w:rFonts w:cs="Times New Roman"/>
        </w:rPr>
        <w:fldChar w:fldCharType="begin"/>
      </w:r>
      <w:r w:rsidR="0076576E">
        <w:rPr>
          <w:rFonts w:cs="Times New Roman"/>
        </w:rPr>
        <w:instrText xml:space="preserve"> ADDIN EN.CITE &lt;EndNote&gt;&lt;Cite&gt;&lt;Author&gt;National Institute for Health and Care Excellence&lt;/Author&gt;&lt;Year&gt;2006&lt;/Year&gt;&lt;RecNum&gt;10269&lt;/RecNum&gt;&lt;DisplayText&gt;&lt;style face="superscript"&gt;209&lt;/style&gt;&lt;/DisplayText&gt;&lt;record&gt;&lt;rec-number&gt;10269&lt;/rec-number&gt;&lt;foreign-keys&gt;&lt;key app="EN" db-id="vrp0pptazv05wtesfz5vrzsj2p0rv09ttsa9" timestamp="1520851922" guid="a2cbdd1e-ddda-4691-8169-e79b4143c346"&gt;10269&lt;/key&gt;&lt;/foreign-keys&gt;&lt;ref-type name="Journal Article"&gt;17&lt;/ref-type&gt;&lt;contributors&gt;&lt;authors&gt;&lt;author&gt;National Institute for Health and Care Excellence,&lt;/author&gt;&lt;/authors&gt;&lt;/contributors&gt;&lt;titles&gt;&lt;title&gt;Patient safety and reduction of risk of transmission of Creutzfeldt-Jakob (CJD) via interventional procedures. &lt;/title&gt;&lt;/titles&gt;&lt;dates&gt;&lt;year&gt;2006&lt;/year&gt;&lt;/dates&gt;&lt;urls&gt;&lt;related-urls&gt;&lt;url&gt;&lt;style face="underline" font="default" size="100%"&gt;https://www.nice.org.uk/Guidance/IPG196&lt;/style&gt;&lt;style face="normal" font="default" size="100%"&gt; Accessed 7th March 2018&lt;/style&gt;&lt;/url&gt;&lt;/related-urls&gt;&lt;/urls&gt;&lt;/record&gt;&lt;/Cite&gt;&lt;/EndNote&gt;</w:instrText>
      </w:r>
      <w:r>
        <w:rPr>
          <w:rFonts w:cs="Times New Roman"/>
        </w:rPr>
        <w:fldChar w:fldCharType="separate"/>
      </w:r>
      <w:r w:rsidR="0076576E" w:rsidRPr="0076576E">
        <w:rPr>
          <w:rFonts w:cs="Times New Roman"/>
          <w:noProof/>
          <w:vertAlign w:val="superscript"/>
        </w:rPr>
        <w:t>209</w:t>
      </w:r>
      <w:r>
        <w:rPr>
          <w:rFonts w:cs="Times New Roman"/>
        </w:rPr>
        <w:fldChar w:fldCharType="end"/>
      </w:r>
      <w:r>
        <w:rPr>
          <w:rFonts w:cs="Times New Roman"/>
        </w:rPr>
        <w:t xml:space="preserve"> recommended that all neuroendoscopy accessories become single-use. For simplicity, however, it was assumed that this</w:t>
      </w:r>
      <w:r w:rsidR="002C04FE">
        <w:rPr>
          <w:rFonts w:cs="Times New Roman"/>
        </w:rPr>
        <w:t xml:space="preserve"> was</w:t>
      </w:r>
      <w:r>
        <w:rPr>
          <w:rFonts w:cs="Times New Roman"/>
        </w:rPr>
        <w:t xml:space="preserve"> not followed, based on the committee’s estimation of units that had adhered to IPG196, and with an assumption that one supplementary instrument was used in all operations. If a large number of deaths </w:t>
      </w:r>
      <w:r w:rsidR="00F70D95">
        <w:rPr>
          <w:rFonts w:cs="Times New Roman"/>
        </w:rPr>
        <w:t xml:space="preserve">was </w:t>
      </w:r>
      <w:r>
        <w:rPr>
          <w:rFonts w:cs="Times New Roman"/>
        </w:rPr>
        <w:t>observed related to neuroendoscopy, this assumption would be amended.</w:t>
      </w:r>
    </w:p>
    <w:p w14:paraId="28EB9C49" w14:textId="77777777" w:rsidR="00B53489" w:rsidRDefault="00B53489" w:rsidP="00930045">
      <w:pPr>
        <w:rPr>
          <w:rFonts w:cs="Times New Roman"/>
        </w:rPr>
      </w:pPr>
    </w:p>
    <w:p w14:paraId="71D76353" w14:textId="746400A4" w:rsidR="00B53489" w:rsidRDefault="00B53489" w:rsidP="00930045">
      <w:pPr>
        <w:rPr>
          <w:color w:val="000000" w:themeColor="text1"/>
        </w:rPr>
      </w:pPr>
      <w:r w:rsidRPr="00930045">
        <w:t>3.3.3.2 Recommendations on instrument migration and use of supplementary instruments in</w:t>
      </w:r>
      <w:r>
        <w:rPr>
          <w:color w:val="000000" w:themeColor="text1"/>
        </w:rPr>
        <w:t xml:space="preserve"> IPG196 </w:t>
      </w:r>
    </w:p>
    <w:p w14:paraId="6F0A59F1" w14:textId="34ADA0A9" w:rsidR="00B53489" w:rsidRDefault="00B53489" w:rsidP="00930045">
      <w:pPr>
        <w:jc w:val="both"/>
        <w:rPr>
          <w:rFonts w:cs="Times New Roman"/>
        </w:rPr>
      </w:pPr>
      <w:r>
        <w:rPr>
          <w:rFonts w:cs="Times New Roman"/>
        </w:rPr>
        <w:t>Maintaining the integrity of surgical instrument sets was shown to be a key parameter</w:t>
      </w:r>
      <w:r w:rsidR="002C04FE">
        <w:rPr>
          <w:rFonts w:cs="Times New Roman"/>
        </w:rPr>
        <w:t xml:space="preserve"> affecting the incremental cost-effectiveness ratios (ICERs) </w:t>
      </w:r>
      <w:r>
        <w:rPr>
          <w:rFonts w:cs="Times New Roman"/>
        </w:rPr>
        <w:t>associated with the introduction of single-use surgical instruments.</w:t>
      </w:r>
      <w:r>
        <w:rPr>
          <w:rFonts w:cs="Times New Roman"/>
        </w:rPr>
        <w:fldChar w:fldCharType="begin"/>
      </w:r>
      <w:r w:rsidR="00D63CDB">
        <w:rPr>
          <w:rFonts w:cs="Times New Roman"/>
        </w:rPr>
        <w:instrText xml:space="preserve"> ADDIN EN.CITE &lt;EndNote&gt;&lt;Cite&gt;&lt;Author&gt;Stevenson&lt;/Author&gt;&lt;Year&gt;2009&lt;/Year&gt;&lt;RecNum&gt;799&lt;/RecNum&gt;&lt;DisplayText&gt;&lt;style face="superscript"&gt;12&lt;/style&gt;&lt;/DisplayText&gt;&lt;record&gt;&lt;rec-number&gt;799&lt;/rec-number&gt;&lt;foreign-keys&gt;&lt;key app="EN" db-id="vrp0pptazv05wtesfz5vrzsj2p0rv09ttsa9" timestamp="1520851592" guid="272c99db-a4fa-4b8b-b57c-96e92fbdca9f"&gt;799&lt;/key&gt;&lt;key app="ENWeb" db-id=""&gt;0&lt;/key&gt;&lt;/foreign-keys&gt;&lt;ref-type name="Journal Article"&gt;17&lt;/ref-type&gt;&lt;contributors&gt;&lt;authors&gt;&lt;author&gt;Stevenson, M. D.&lt;/author&gt;&lt;author&gt;Oakley, J. E.&lt;/author&gt;&lt;author&gt;Chick, S. E.&lt;/author&gt;&lt;author&gt;Chalkidou, K.&lt;/author&gt;&lt;/authors&gt;&lt;/contributors&gt;&lt;titles&gt;&lt;title&gt;The cost-effectiveness of surgical instrument management policies to reduce the risk of vCJD transmission to humans&lt;/title&gt;&lt;secondary-title&gt;Journal of the Operational Research Society&lt;/secondary-title&gt;&lt;/titles&gt;&lt;periodical&gt;&lt;full-title&gt;Journal of the Operational Research Society&lt;/full-title&gt;&lt;/periodical&gt;&lt;pages&gt;506-518&lt;/pages&gt;&lt;volume&gt;60&lt;/volume&gt;&lt;number&gt;4&lt;/number&gt;&lt;keywords&gt;&lt;keyword&gt;$$LU_4_CJD infectivity&lt;/keyword&gt;&lt;keyword&gt;$$CJD relevant&lt;/keyword&gt;&lt;keyword&gt;$$Matt&lt;/keyword&gt;&lt;keyword&gt;$$Lesley added for protocol&lt;/keyword&gt;&lt;/keywords&gt;&lt;dates&gt;&lt;year&gt;2009&lt;/year&gt;&lt;pub-dates&gt;&lt;date&gt;Apr&lt;/date&gt;&lt;/pub-dates&gt;&lt;/dates&gt;&lt;isbn&gt;0160-5682&lt;/isbn&gt;&lt;accession-num&gt;WOS:000263995000006&lt;/accession-num&gt;&lt;urls&gt;&lt;related-urls&gt;&lt;url&gt;&lt;style face="underline" font="default" size="100%"&gt;&amp;lt;Go to ISI&amp;gt;://WOS:000263995000006&lt;/style&gt;&lt;/url&gt;&lt;url&gt;&lt;style face="underline" font="default" size="100%"&gt;https://link.springer.com/content/pdf/10.1057%2Fpalgrave.jors.2602580.pdf&lt;/style&gt;&lt;/url&gt;&lt;/related-urls&gt;&lt;/urls&gt;&lt;electronic-resource-num&gt;10.1057/palgrave.jors.2602580&lt;/electronic-resource-num&gt;&lt;remote-database-name&gt;WoS costs&lt;/remote-database-name&gt;&lt;/record&gt;&lt;/Cite&gt;&lt;/EndNote&gt;</w:instrText>
      </w:r>
      <w:r>
        <w:rPr>
          <w:rFonts w:cs="Times New Roman"/>
        </w:rPr>
        <w:fldChar w:fldCharType="separate"/>
      </w:r>
      <w:r w:rsidR="005C50C5" w:rsidRPr="005C50C5">
        <w:rPr>
          <w:rFonts w:cs="Times New Roman"/>
          <w:noProof/>
          <w:vertAlign w:val="superscript"/>
        </w:rPr>
        <w:t>12</w:t>
      </w:r>
      <w:r>
        <w:rPr>
          <w:rFonts w:cs="Times New Roman"/>
        </w:rPr>
        <w:fldChar w:fldCharType="end"/>
      </w:r>
      <w:r>
        <w:rPr>
          <w:rFonts w:cs="Times New Roman"/>
        </w:rPr>
        <w:t xml:space="preserve"> The ScHARR report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made the following assumptions in relation to set integrity: </w:t>
      </w:r>
    </w:p>
    <w:p w14:paraId="7B2956E0" w14:textId="46B5100B" w:rsidR="00B53489" w:rsidRPr="0007109F" w:rsidRDefault="00B53489" w:rsidP="00930045">
      <w:pPr>
        <w:pStyle w:val="ListParagraph"/>
        <w:numPr>
          <w:ilvl w:val="0"/>
          <w:numId w:val="27"/>
        </w:numPr>
        <w:jc w:val="both"/>
        <w:rPr>
          <w:rFonts w:cs="Times New Roman"/>
        </w:rPr>
      </w:pPr>
      <w:r w:rsidRPr="0007109F">
        <w:rPr>
          <w:rFonts w:cs="Times New Roman"/>
        </w:rPr>
        <w:t>That the probability of an instrument being swapped with a similar instrument in a separate set was 50%</w:t>
      </w:r>
      <w:r>
        <w:rPr>
          <w:rFonts w:cs="Times New Roman"/>
        </w:rPr>
        <w:t>,</w:t>
      </w:r>
      <w:r w:rsidRPr="0007109F">
        <w:rPr>
          <w:rFonts w:cs="Times New Roman"/>
        </w:rPr>
        <w:t xml:space="preserve"> whilst the set was undergoing the decontamination process. This value was selected following ‘</w:t>
      </w:r>
      <w:r w:rsidRPr="0007109F">
        <w:rPr>
          <w:rFonts w:cs="Times New Roman"/>
          <w:i/>
        </w:rPr>
        <w:t>discussion with clinicians and some evidence provided by Scantrack in their submission</w:t>
      </w:r>
      <w:r>
        <w:rPr>
          <w:rFonts w:cs="Times New Roman"/>
          <w:i/>
        </w:rPr>
        <w:t xml:space="preserve"> [ref not provided]</w:t>
      </w:r>
      <w:r w:rsidRPr="0007109F">
        <w:rPr>
          <w:rFonts w:cs="Times New Roman"/>
        </w:rPr>
        <w:t>’.</w:t>
      </w:r>
      <w:r>
        <w:rPr>
          <w:rFonts w:cs="Times New Roman"/>
        </w:rPr>
        <w:t xml:space="preserve"> When instruments migrate between sets it was assumed that between 0% and 20% (sampled from a uniform distribution) of the infectious material in ‘Set A’ would move to ‘Set B’, with between 0% and 20% (sampled from a uniform distribution) of the infectious material Set B </w:t>
      </w:r>
      <w:r w:rsidR="00F70D95">
        <w:rPr>
          <w:rFonts w:cs="Times New Roman"/>
        </w:rPr>
        <w:t xml:space="preserve">would move </w:t>
      </w:r>
      <w:r>
        <w:rPr>
          <w:rFonts w:cs="Times New Roman"/>
        </w:rPr>
        <w:t>to Set A.</w:t>
      </w:r>
    </w:p>
    <w:p w14:paraId="7BF6D7F7" w14:textId="753203E7" w:rsidR="00B53489" w:rsidRDefault="00B53489" w:rsidP="00930045">
      <w:pPr>
        <w:pStyle w:val="ListParagraph"/>
        <w:numPr>
          <w:ilvl w:val="0"/>
          <w:numId w:val="27"/>
        </w:numPr>
        <w:jc w:val="both"/>
        <w:rPr>
          <w:rFonts w:cs="Times New Roman"/>
        </w:rPr>
      </w:pPr>
      <w:r>
        <w:rPr>
          <w:rFonts w:cs="Times New Roman"/>
        </w:rPr>
        <w:t>That when a</w:t>
      </w:r>
      <w:r w:rsidR="00F70D95">
        <w:rPr>
          <w:rFonts w:cs="Times New Roman"/>
        </w:rPr>
        <w:t>n</w:t>
      </w:r>
      <w:r>
        <w:rPr>
          <w:rFonts w:cs="Times New Roman"/>
        </w:rPr>
        <w:t xml:space="preserve"> SI was used</w:t>
      </w:r>
      <w:r w:rsidR="00F70D95">
        <w:rPr>
          <w:rFonts w:cs="Times New Roman"/>
        </w:rPr>
        <w:t>,</w:t>
      </w:r>
      <w:r>
        <w:rPr>
          <w:rFonts w:cs="Times New Roman"/>
        </w:rPr>
        <w:t xml:space="preserve"> there was a 50% chance that this instrument would join the set with a similar instrument from the set becoming the SI. When this occurs</w:t>
      </w:r>
      <w:r w:rsidR="0061675D">
        <w:rPr>
          <w:rFonts w:cs="Times New Roman"/>
        </w:rPr>
        <w:t>,</w:t>
      </w:r>
      <w:r>
        <w:rPr>
          <w:rFonts w:cs="Times New Roman"/>
        </w:rPr>
        <w:t xml:space="preserve"> all infectious load on the SI is added to the set, and between 0% and 10% of the infectious load (sampled from a uniform distribution) in the set is assumed to reside on the ‘new’ SI.</w:t>
      </w:r>
    </w:p>
    <w:p w14:paraId="47C82407" w14:textId="77777777" w:rsidR="00B53489" w:rsidRDefault="00B53489" w:rsidP="00930045">
      <w:pPr>
        <w:rPr>
          <w:rFonts w:cs="Times New Roman"/>
        </w:rPr>
      </w:pPr>
    </w:p>
    <w:p w14:paraId="641AFFC6" w14:textId="5DC4BCBF" w:rsidR="00B53489" w:rsidRDefault="00B53489" w:rsidP="00930045">
      <w:pPr>
        <w:jc w:val="both"/>
        <w:rPr>
          <w:rFonts w:cs="Times New Roman"/>
        </w:rPr>
      </w:pPr>
      <w:r>
        <w:rPr>
          <w:rFonts w:cs="Times New Roman"/>
        </w:rPr>
        <w:t>The model has the facility to alter the levels of set migration following the publication of IPG196</w:t>
      </w:r>
      <w:r w:rsidR="0061675D">
        <w:rPr>
          <w:rFonts w:cs="Times New Roman"/>
        </w:rPr>
        <w:t>,</w:t>
      </w:r>
      <w:r>
        <w:rPr>
          <w:rFonts w:cs="Times New Roman"/>
        </w:rPr>
        <w:fldChar w:fldCharType="begin"/>
      </w:r>
      <w:r w:rsidR="0076576E">
        <w:rPr>
          <w:rFonts w:cs="Times New Roman"/>
        </w:rPr>
        <w:instrText xml:space="preserve"> ADDIN EN.CITE &lt;EndNote&gt;&lt;Cite&gt;&lt;Author&gt;National Institute for Health and Care Excellence&lt;/Author&gt;&lt;Year&gt;2006&lt;/Year&gt;&lt;RecNum&gt;10269&lt;/RecNum&gt;&lt;DisplayText&gt;&lt;style face="superscript"&gt;209&lt;/style&gt;&lt;/DisplayText&gt;&lt;record&gt;&lt;rec-number&gt;10269&lt;/rec-number&gt;&lt;foreign-keys&gt;&lt;key app="EN" db-id="vrp0pptazv05wtesfz5vrzsj2p0rv09ttsa9" timestamp="1520851922" guid="a2cbdd1e-ddda-4691-8169-e79b4143c346"&gt;10269&lt;/key&gt;&lt;/foreign-keys&gt;&lt;ref-type name="Journal Article"&gt;17&lt;/ref-type&gt;&lt;contributors&gt;&lt;authors&gt;&lt;author&gt;National Institute for Health and Care Excellence,&lt;/author&gt;&lt;/authors&gt;&lt;/contributors&gt;&lt;titles&gt;&lt;title&gt;Patient safety and reduction of risk of transmission of Creutzfeldt-Jakob (CJD) via interventional procedures. &lt;/title&gt;&lt;/titles&gt;&lt;dates&gt;&lt;year&gt;2006&lt;/year&gt;&lt;/dates&gt;&lt;urls&gt;&lt;related-urls&gt;&lt;url&gt;&lt;style face="underline" font="default" size="100%"&gt;https://www.nice.org.uk/Guidance/IPG196&lt;/style&gt;&lt;style face="normal" font="default" size="100%"&gt; Accessed 7th March 2018&lt;/style&gt;&lt;/url&gt;&lt;/related-urls&gt;&lt;/urls&gt;&lt;/record&gt;&lt;/Cite&gt;&lt;/EndNote&gt;</w:instrText>
      </w:r>
      <w:r>
        <w:rPr>
          <w:rFonts w:cs="Times New Roman"/>
        </w:rPr>
        <w:fldChar w:fldCharType="separate"/>
      </w:r>
      <w:r w:rsidR="0076576E" w:rsidRPr="0076576E">
        <w:rPr>
          <w:rFonts w:cs="Times New Roman"/>
          <w:noProof/>
          <w:vertAlign w:val="superscript"/>
        </w:rPr>
        <w:t>209</w:t>
      </w:r>
      <w:r>
        <w:rPr>
          <w:rFonts w:cs="Times New Roman"/>
        </w:rPr>
        <w:fldChar w:fldCharType="end"/>
      </w:r>
      <w:r>
        <w:rPr>
          <w:rFonts w:cs="Times New Roman"/>
        </w:rPr>
        <w:t xml:space="preserve"> which recommended that </w:t>
      </w:r>
      <w:r w:rsidRPr="00F0261C">
        <w:rPr>
          <w:rFonts w:cs="Times New Roman"/>
        </w:rPr>
        <w:t>migration of instruments between sets should be abolished</w:t>
      </w:r>
      <w:r>
        <w:rPr>
          <w:rFonts w:cs="Times New Roman"/>
        </w:rPr>
        <w:t xml:space="preserve"> and that SIs</w:t>
      </w:r>
      <w:r w:rsidRPr="00757FBD">
        <w:rPr>
          <w:rFonts w:cs="Times New Roman"/>
        </w:rPr>
        <w:t xml:space="preserve"> that come into contact with high-risk tissues should either</w:t>
      </w:r>
      <w:r>
        <w:rPr>
          <w:rFonts w:cs="Times New Roman"/>
        </w:rPr>
        <w:t xml:space="preserve"> </w:t>
      </w:r>
      <w:r w:rsidRPr="00757FBD">
        <w:rPr>
          <w:rFonts w:cs="Times New Roman"/>
        </w:rPr>
        <w:t xml:space="preserve">be </w:t>
      </w:r>
      <w:r>
        <w:rPr>
          <w:rFonts w:cs="Times New Roman"/>
        </w:rPr>
        <w:t>single-use</w:t>
      </w:r>
      <w:r w:rsidRPr="00757FBD">
        <w:rPr>
          <w:rFonts w:cs="Times New Roman"/>
        </w:rPr>
        <w:t xml:space="preserve"> or should remain with the set to which they have been introduced.</w:t>
      </w:r>
      <w:r>
        <w:rPr>
          <w:rFonts w:cs="Times New Roman"/>
        </w:rPr>
        <w:t xml:space="preserve"> However, due to logistical and</w:t>
      </w:r>
      <w:r w:rsidR="0061675D">
        <w:rPr>
          <w:rFonts w:cs="Times New Roman"/>
        </w:rPr>
        <w:t>/</w:t>
      </w:r>
      <w:r>
        <w:rPr>
          <w:rFonts w:cs="Times New Roman"/>
        </w:rPr>
        <w:t>or financial problems in implementing IPG196</w:t>
      </w:r>
      <w:r w:rsidR="00A608E9">
        <w:rPr>
          <w:rFonts w:cs="Times New Roman"/>
        </w:rPr>
        <w:t>,</w:t>
      </w:r>
      <w:r>
        <w:rPr>
          <w:rFonts w:cs="Times New Roman"/>
        </w:rPr>
        <w:fldChar w:fldCharType="begin"/>
      </w:r>
      <w:r w:rsidR="0076576E">
        <w:rPr>
          <w:rFonts w:cs="Times New Roman"/>
        </w:rPr>
        <w:instrText xml:space="preserve"> ADDIN EN.CITE &lt;EndNote&gt;&lt;Cite&gt;&lt;Author&gt;National Institute for Health and Care Excellence&lt;/Author&gt;&lt;Year&gt;2006&lt;/Year&gt;&lt;RecNum&gt;10269&lt;/RecNum&gt;&lt;DisplayText&gt;&lt;style face="superscript"&gt;209&lt;/style&gt;&lt;/DisplayText&gt;&lt;record&gt;&lt;rec-number&gt;10269&lt;/rec-number&gt;&lt;foreign-keys&gt;&lt;key app="EN" db-id="vrp0pptazv05wtesfz5vrzsj2p0rv09ttsa9" timestamp="1520851922" guid="a2cbdd1e-ddda-4691-8169-e79b4143c346"&gt;10269&lt;/key&gt;&lt;/foreign-keys&gt;&lt;ref-type name="Journal Article"&gt;17&lt;/ref-type&gt;&lt;contributors&gt;&lt;authors&gt;&lt;author&gt;National Institute for Health and Care Excellence,&lt;/author&gt;&lt;/authors&gt;&lt;/contributors&gt;&lt;titles&gt;&lt;title&gt;Patient safety and reduction of risk of transmission of Creutzfeldt-Jakob (CJD) via interventional procedures. &lt;/title&gt;&lt;/titles&gt;&lt;dates&gt;&lt;year&gt;2006&lt;/year&gt;&lt;/dates&gt;&lt;urls&gt;&lt;related-urls&gt;&lt;url&gt;&lt;style face="underline" font="default" size="100%"&gt;https://www.nice.org.uk/Guidance/IPG196&lt;/style&gt;&lt;style face="normal" font="default" size="100%"&gt; Accessed 7th March 2018&lt;/style&gt;&lt;/url&gt;&lt;/related-urls&gt;&lt;/urls&gt;&lt;/record&gt;&lt;/Cite&gt;&lt;/EndNote&gt;</w:instrText>
      </w:r>
      <w:r>
        <w:rPr>
          <w:rFonts w:cs="Times New Roman"/>
        </w:rPr>
        <w:fldChar w:fldCharType="separate"/>
      </w:r>
      <w:r w:rsidR="0076576E" w:rsidRPr="0076576E">
        <w:rPr>
          <w:rFonts w:cs="Times New Roman"/>
          <w:noProof/>
          <w:vertAlign w:val="superscript"/>
        </w:rPr>
        <w:t>209</w:t>
      </w:r>
      <w:r>
        <w:rPr>
          <w:rFonts w:cs="Times New Roman"/>
        </w:rPr>
        <w:fldChar w:fldCharType="end"/>
      </w:r>
      <w:r>
        <w:rPr>
          <w:rFonts w:cs="Times New Roman"/>
        </w:rPr>
        <w:t xml:space="preserve"> these recommendations were not fully adhered to by all hospitals. The model has been set up so that it is assumed </w:t>
      </w:r>
      <w:r w:rsidR="00A608E9">
        <w:rPr>
          <w:rFonts w:cs="Times New Roman"/>
        </w:rPr>
        <w:t xml:space="preserve">that after 2012, </w:t>
      </w:r>
      <w:r>
        <w:rPr>
          <w:rFonts w:cs="Times New Roman"/>
        </w:rPr>
        <w:t xml:space="preserve">no SIs are used for those units that are assumed to adhere to IPG196. </w:t>
      </w:r>
    </w:p>
    <w:p w14:paraId="7AD349F5" w14:textId="77777777" w:rsidR="00B53489" w:rsidRDefault="00B53489" w:rsidP="00930045">
      <w:pPr>
        <w:rPr>
          <w:rFonts w:cs="Times New Roman"/>
        </w:rPr>
      </w:pPr>
    </w:p>
    <w:p w14:paraId="16C945F3" w14:textId="77777777" w:rsidR="00B53489" w:rsidRDefault="00B53489" w:rsidP="00930045">
      <w:r>
        <w:t>3.3.3.3</w:t>
      </w:r>
      <w:r w:rsidRPr="00F0261C">
        <w:t xml:space="preserve"> </w:t>
      </w:r>
      <w:r>
        <w:tab/>
      </w:r>
      <w:r w:rsidRPr="00F0261C">
        <w:t xml:space="preserve">The </w:t>
      </w:r>
      <w:r>
        <w:t>costs associated with single-use instruments</w:t>
      </w:r>
    </w:p>
    <w:p w14:paraId="428D3E30" w14:textId="454086C0" w:rsidR="00B53489" w:rsidRDefault="00B53489" w:rsidP="00930045">
      <w:pPr>
        <w:jc w:val="both"/>
        <w:rPr>
          <w:rFonts w:cs="Times New Roman"/>
        </w:rPr>
      </w:pPr>
      <w:r>
        <w:rPr>
          <w:rFonts w:cs="Times New Roman"/>
        </w:rPr>
        <w:t xml:space="preserve">Data provided to a NICE committee member indicate that the costs of single-use sets </w:t>
      </w:r>
      <w:r w:rsidR="00A608E9">
        <w:rPr>
          <w:rFonts w:cs="Times New Roman"/>
        </w:rPr>
        <w:t xml:space="preserve">are </w:t>
      </w:r>
      <w:r>
        <w:rPr>
          <w:rFonts w:cs="Times New Roman"/>
        </w:rPr>
        <w:t>likely to l</w:t>
      </w:r>
      <w:r w:rsidR="002C04FE">
        <w:rPr>
          <w:rFonts w:cs="Times New Roman"/>
        </w:rPr>
        <w:t>ie in the region of £350 - £500 and that the cost of a</w:t>
      </w:r>
      <w:r>
        <w:rPr>
          <w:rFonts w:cs="Times New Roman"/>
        </w:rPr>
        <w:t xml:space="preserve"> single-use rigid </w:t>
      </w:r>
      <w:r w:rsidR="002C04FE">
        <w:rPr>
          <w:rFonts w:cs="Times New Roman"/>
        </w:rPr>
        <w:t>neuroendo</w:t>
      </w:r>
      <w:r>
        <w:rPr>
          <w:rFonts w:cs="Times New Roman"/>
        </w:rPr>
        <w:t xml:space="preserve">scope </w:t>
      </w:r>
      <w:r w:rsidR="002C04FE">
        <w:rPr>
          <w:rFonts w:cs="Times New Roman"/>
        </w:rPr>
        <w:t>is</w:t>
      </w:r>
      <w:r>
        <w:rPr>
          <w:rFonts w:cs="Times New Roman"/>
        </w:rPr>
        <w:t xml:space="preserve"> £710.</w:t>
      </w:r>
      <w:r w:rsidR="00F63A4D">
        <w:rPr>
          <w:rFonts w:cs="Times New Roman"/>
        </w:rPr>
        <w:t xml:space="preserve"> No cost was identified for a single-use flexible neuroendoscope.</w:t>
      </w:r>
    </w:p>
    <w:p w14:paraId="3F979925" w14:textId="77777777" w:rsidR="00B53489" w:rsidRDefault="00B53489" w:rsidP="00930045">
      <w:pPr>
        <w:rPr>
          <w:rFonts w:cs="Times New Roman"/>
        </w:rPr>
      </w:pPr>
    </w:p>
    <w:p w14:paraId="35DAF4E3" w14:textId="77777777" w:rsidR="00B53489" w:rsidRDefault="00B53489" w:rsidP="00930045">
      <w:r>
        <w:t>3.3.3.4</w:t>
      </w:r>
      <w:r w:rsidRPr="00F0261C">
        <w:t xml:space="preserve"> </w:t>
      </w:r>
      <w:r>
        <w:tab/>
      </w:r>
      <w:r w:rsidRPr="00F0261C">
        <w:t xml:space="preserve">The </w:t>
      </w:r>
      <w:r>
        <w:t>costs associated with re-usable instruments</w:t>
      </w:r>
    </w:p>
    <w:p w14:paraId="2BF17724" w14:textId="0B7F0E8D" w:rsidR="00B53489" w:rsidRDefault="00B53489" w:rsidP="00B53489">
      <w:pPr>
        <w:jc w:val="both"/>
        <w:rPr>
          <w:rFonts w:cs="Times New Roman"/>
        </w:rPr>
      </w:pPr>
      <w:r>
        <w:rPr>
          <w:rFonts w:cs="Times New Roman"/>
        </w:rPr>
        <w:t>In the ScHARR report</w:t>
      </w:r>
      <w:r w:rsidR="00A608E9">
        <w:rPr>
          <w:rFonts w:cs="Times New Roman"/>
        </w:rPr>
        <w: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it was assumed that a brain surgery set cost</w:t>
      </w:r>
      <w:r w:rsidR="00A608E9">
        <w:rPr>
          <w:rFonts w:cs="Times New Roman"/>
        </w:rPr>
        <w:t>s</w:t>
      </w:r>
      <w:r>
        <w:rPr>
          <w:rFonts w:cs="Times New Roman"/>
        </w:rPr>
        <w:t xml:space="preserve"> £3500 and that a posterior eye set cost</w:t>
      </w:r>
      <w:r w:rsidR="00A608E9">
        <w:rPr>
          <w:rFonts w:cs="Times New Roman"/>
        </w:rPr>
        <w:t>s</w:t>
      </w:r>
      <w:r>
        <w:rPr>
          <w:rFonts w:cs="Times New Roman"/>
        </w:rPr>
        <w:t xml:space="preserve"> £1000. Based on the number of instruments that come into contact with high-risk tissue, </w:t>
      </w:r>
      <w:r w:rsidR="00A608E9">
        <w:rPr>
          <w:rFonts w:cs="Times New Roman"/>
        </w:rPr>
        <w:t xml:space="preserve">the cost of </w:t>
      </w:r>
      <w:r>
        <w:rPr>
          <w:rFonts w:cs="Times New Roman"/>
        </w:rPr>
        <w:t>an individual re-usable instrument is likely to be in the region of £100 - £200.</w:t>
      </w:r>
    </w:p>
    <w:p w14:paraId="69746F46" w14:textId="77777777" w:rsidR="00B53489" w:rsidRDefault="00B53489" w:rsidP="00B53489">
      <w:pPr>
        <w:jc w:val="both"/>
        <w:rPr>
          <w:rFonts w:cs="Times New Roman"/>
        </w:rPr>
      </w:pPr>
    </w:p>
    <w:p w14:paraId="32DDD069" w14:textId="06D5449B" w:rsidR="00B53489" w:rsidRDefault="00B53489" w:rsidP="00B53489">
      <w:pPr>
        <w:jc w:val="both"/>
        <w:rPr>
          <w:rFonts w:cs="Times New Roman"/>
        </w:rPr>
      </w:pPr>
      <w:r>
        <w:rPr>
          <w:rFonts w:cs="Times New Roman"/>
        </w:rPr>
        <w:t>The ScHARR report assumed that a re-usable rigid neuroendoscope cost</w:t>
      </w:r>
      <w:r w:rsidR="00A608E9">
        <w:rPr>
          <w:rFonts w:cs="Times New Roman"/>
        </w:rPr>
        <w:t>s</w:t>
      </w:r>
      <w:r>
        <w:rPr>
          <w:rFonts w:cs="Times New Roman"/>
        </w:rPr>
        <w:t xml:space="preserve"> £397</w:t>
      </w:r>
      <w:r w:rsidR="00A608E9">
        <w:rPr>
          <w:rFonts w:cs="Times New Roman"/>
        </w:rPr>
        <w:t xml:space="preserve"> </w:t>
      </w:r>
      <w:r w:rsidR="002C04FE">
        <w:rPr>
          <w:rFonts w:cs="Times New Roman"/>
        </w:rPr>
        <w:t xml:space="preserve">and a </w:t>
      </w:r>
      <w:r w:rsidR="00BA53A8">
        <w:rPr>
          <w:rFonts w:cs="Times New Roman"/>
        </w:rPr>
        <w:t xml:space="preserve">re-usable </w:t>
      </w:r>
      <w:r w:rsidR="002C04FE">
        <w:rPr>
          <w:rFonts w:cs="Times New Roman"/>
        </w:rPr>
        <w:t>flexible neuroendoscope</w:t>
      </w:r>
      <w:r>
        <w:rPr>
          <w:rFonts w:cs="Times New Roman"/>
        </w:rPr>
        <w:t xml:space="preserve"> cost</w:t>
      </w:r>
      <w:r w:rsidR="00A608E9">
        <w:rPr>
          <w:rFonts w:cs="Times New Roman"/>
        </w:rPr>
        <w:t>s</w:t>
      </w:r>
      <w:r>
        <w:rPr>
          <w:rFonts w:cs="Times New Roman"/>
        </w:rPr>
        <w:t xml:space="preserve"> £9300.  More recent prices estimate that a re-usable rigid endoscope set including instruments would cost approximately £8850 with a flexible endoscope costing approximately £21,000.</w:t>
      </w:r>
    </w:p>
    <w:p w14:paraId="029108EA" w14:textId="77777777" w:rsidR="00B53489" w:rsidRDefault="00B53489" w:rsidP="00B53489"/>
    <w:p w14:paraId="110FB866" w14:textId="77777777" w:rsidR="00B53489" w:rsidRDefault="00B53489" w:rsidP="00930045">
      <w:r>
        <w:t>3.3.3.5</w:t>
      </w:r>
      <w:r w:rsidRPr="00F0261C">
        <w:t xml:space="preserve"> </w:t>
      </w:r>
      <w:r>
        <w:tab/>
      </w:r>
      <w:r w:rsidRPr="00F0261C">
        <w:t xml:space="preserve">The </w:t>
      </w:r>
      <w:r>
        <w:t>costs associated with decontaminating re-usable instruments</w:t>
      </w:r>
    </w:p>
    <w:p w14:paraId="2321EE29" w14:textId="426E8B07" w:rsidR="00B53489" w:rsidRDefault="00B53489" w:rsidP="00B53489">
      <w:pPr>
        <w:jc w:val="both"/>
        <w:rPr>
          <w:rFonts w:cs="Times New Roman"/>
        </w:rPr>
      </w:pPr>
      <w:r>
        <w:rPr>
          <w:rFonts w:cs="Times New Roman"/>
        </w:rPr>
        <w:t xml:space="preserve">Data provided by a committee member indicated that the costs of decontaminating a re-usable instrument was an average of 60p in Scotland. Assuming that this result </w:t>
      </w:r>
      <w:r w:rsidR="00997A91">
        <w:rPr>
          <w:rFonts w:cs="Times New Roman"/>
        </w:rPr>
        <w:t xml:space="preserve">is </w:t>
      </w:r>
      <w:r>
        <w:rPr>
          <w:rFonts w:cs="Times New Roman"/>
        </w:rPr>
        <w:t>generalisable to England</w:t>
      </w:r>
      <w:r w:rsidR="00997A91">
        <w:rPr>
          <w:rFonts w:cs="Times New Roman"/>
        </w:rPr>
        <w:t>,</w:t>
      </w:r>
      <w:r>
        <w:rPr>
          <w:rFonts w:cs="Times New Roman"/>
        </w:rPr>
        <w:t xml:space="preserve"> this would </w:t>
      </w:r>
      <w:r w:rsidR="00997A91">
        <w:rPr>
          <w:rFonts w:cs="Times New Roman"/>
        </w:rPr>
        <w:t xml:space="preserve">correspond to </w:t>
      </w:r>
      <w:r>
        <w:rPr>
          <w:rFonts w:cs="Times New Roman"/>
        </w:rPr>
        <w:t>a decontamination cost of £8.40 for a high-risk tissue brain set and £5.40 for a high-risk tissue posterior eye set.</w:t>
      </w:r>
    </w:p>
    <w:p w14:paraId="67BA61D9" w14:textId="77777777" w:rsidR="00B53489" w:rsidRDefault="00B53489" w:rsidP="00B53489">
      <w:pPr>
        <w:jc w:val="both"/>
        <w:rPr>
          <w:rFonts w:cs="Times New Roman"/>
        </w:rPr>
      </w:pPr>
    </w:p>
    <w:p w14:paraId="0D0BBDC3" w14:textId="77777777" w:rsidR="00930045" w:rsidRDefault="00930045">
      <w:pPr>
        <w:spacing w:after="160" w:line="259" w:lineRule="auto"/>
      </w:pPr>
      <w:r>
        <w:br w:type="page"/>
      </w:r>
    </w:p>
    <w:p w14:paraId="7448C28E" w14:textId="167B9026" w:rsidR="00B53489" w:rsidRDefault="00B53489" w:rsidP="00930045">
      <w:r>
        <w:t>3.3.3.6</w:t>
      </w:r>
      <w:r w:rsidRPr="00F0261C">
        <w:t xml:space="preserve"> </w:t>
      </w:r>
      <w:r>
        <w:tab/>
      </w:r>
      <w:r w:rsidRPr="00F0261C">
        <w:t xml:space="preserve">The </w:t>
      </w:r>
      <w:r>
        <w:t>costs associated with disposing of single-use sets</w:t>
      </w:r>
    </w:p>
    <w:p w14:paraId="265CC40A" w14:textId="119B3795" w:rsidR="00B53489" w:rsidRDefault="00B53489" w:rsidP="00B53489">
      <w:pPr>
        <w:jc w:val="both"/>
        <w:rPr>
          <w:rFonts w:cs="Times New Roman"/>
        </w:rPr>
      </w:pPr>
      <w:r>
        <w:rPr>
          <w:rFonts w:cs="Times New Roman"/>
        </w:rPr>
        <w:t>For simplicity</w:t>
      </w:r>
      <w:r w:rsidR="00997A91">
        <w:rPr>
          <w:rFonts w:cs="Times New Roman"/>
        </w:rPr>
        <w:t>,</w:t>
      </w:r>
      <w:r>
        <w:rPr>
          <w:rFonts w:cs="Times New Roman"/>
        </w:rPr>
        <w:t xml:space="preserve"> we have assumed that the costs of disposing of single-use sets are includ</w:t>
      </w:r>
      <w:r w:rsidR="00997A91">
        <w:rPr>
          <w:rFonts w:cs="Times New Roman"/>
        </w:rPr>
        <w:t>ed</w:t>
      </w:r>
      <w:r>
        <w:rPr>
          <w:rFonts w:cs="Times New Roman"/>
        </w:rPr>
        <w:t xml:space="preserve"> within the purchas</w:t>
      </w:r>
      <w:r w:rsidR="00997A91">
        <w:rPr>
          <w:rFonts w:cs="Times New Roman"/>
        </w:rPr>
        <w:t>e</w:t>
      </w:r>
      <w:r>
        <w:rPr>
          <w:rFonts w:cs="Times New Roman"/>
        </w:rPr>
        <w:t xml:space="preserve"> price. Given the relatively wide range in the costs assumed for a single-use high-risk tissue set (£350 to £500)</w:t>
      </w:r>
      <w:r w:rsidR="00597A9A">
        <w:rPr>
          <w:rFonts w:cs="Times New Roman"/>
        </w:rPr>
        <w:t>.</w:t>
      </w:r>
      <w:r>
        <w:rPr>
          <w:rFonts w:cs="Times New Roman"/>
        </w:rPr>
        <w:t xml:space="preserve"> </w:t>
      </w:r>
      <w:r w:rsidR="002C04FE">
        <w:rPr>
          <w:rFonts w:cs="Times New Roman"/>
        </w:rPr>
        <w:t>The authors of this report</w:t>
      </w:r>
      <w:r>
        <w:rPr>
          <w:rFonts w:cs="Times New Roman"/>
        </w:rPr>
        <w:t xml:space="preserve"> deemed that this simplifying assumption would not cause significant inaccuracy.</w:t>
      </w:r>
    </w:p>
    <w:p w14:paraId="4FD97040" w14:textId="77777777" w:rsidR="00B53489" w:rsidRDefault="00B53489" w:rsidP="00B53489"/>
    <w:p w14:paraId="63B41F10" w14:textId="1D55BF06" w:rsidR="00B53489" w:rsidRDefault="00B53489" w:rsidP="00930045">
      <w:r>
        <w:t>3.3.3.7</w:t>
      </w:r>
      <w:r w:rsidRPr="00F0261C">
        <w:t xml:space="preserve"> </w:t>
      </w:r>
      <w:r>
        <w:tab/>
      </w:r>
      <w:r w:rsidRPr="00F0261C">
        <w:t xml:space="preserve">The </w:t>
      </w:r>
      <w:r>
        <w:t>costs associated with keeping instruments moist</w:t>
      </w:r>
    </w:p>
    <w:p w14:paraId="1018A486" w14:textId="2FDE7C8E" w:rsidR="00B53489" w:rsidRDefault="00B53489" w:rsidP="00B53489">
      <w:pPr>
        <w:jc w:val="both"/>
        <w:rPr>
          <w:rFonts w:cs="Times New Roman"/>
        </w:rPr>
      </w:pPr>
      <w:r>
        <w:rPr>
          <w:rFonts w:cs="Times New Roman"/>
        </w:rPr>
        <w:t xml:space="preserve">Data reported in Smith </w:t>
      </w:r>
      <w:r w:rsidR="00B301D6" w:rsidRPr="00B301D6">
        <w:rPr>
          <w:rFonts w:cs="Times New Roman"/>
          <w:i/>
        </w:rPr>
        <w:t>et al</w:t>
      </w:r>
      <w:r>
        <w:rPr>
          <w:rFonts w:cs="Times New Roman"/>
        </w:rPr>
        <w:t>.</w:t>
      </w:r>
      <w:r>
        <w:rPr>
          <w:rFonts w:cs="Times New Roman"/>
        </w:rPr>
        <w:fldChar w:fldCharType="begin"/>
      </w:r>
      <w:r w:rsidR="0076576E">
        <w:rPr>
          <w:rFonts w:cs="Times New Roman"/>
        </w:rPr>
        <w:instrText xml:space="preserve"> ADDIN EN.CITE &lt;EndNote&gt;&lt;Cite&gt;&lt;Author&gt;Smith&lt;/Author&gt;&lt;Year&gt;2018&lt;/Year&gt;&lt;RecNum&gt;10282&lt;/RecNum&gt;&lt;DisplayText&gt;&lt;style face="superscript"&gt;191&lt;/style&gt;&lt;/DisplayText&gt;&lt;record&gt;&lt;rec-number&gt;10282&lt;/rec-number&gt;&lt;foreign-keys&gt;&lt;key app="EN" db-id="vrp0pptazv05wtesfz5vrzsj2p0rv09ttsa9" timestamp="1526283106" guid="ad6f63a4-a0b9-472e-8996-8638b28ea0d3"&gt;10282&lt;/key&gt;&lt;/foreign-keys&gt;&lt;ref-type name="Journal Article"&gt;17&lt;/ref-type&gt;&lt;contributors&gt;&lt;authors&gt;&lt;author&gt;Smith, A.&lt;/author&gt;&lt;author&gt;Winter, S.&lt;/author&gt;&lt;author&gt;Lappin, D.&lt;/author&gt;&lt;author&gt;Sherriff, A.&lt;/author&gt;&lt;author&gt;McIvor, I.&lt;/author&gt;&lt;author&gt;Philp, P.&lt;/author&gt;&lt;author&gt;Suttner, N.&lt;/author&gt;&lt;author&gt;Holmes, S.&lt;/author&gt;&lt;author&gt;Stewart, A.&lt;/author&gt;&lt;/authors&gt;&lt;/contributors&gt;&lt;titles&gt;&lt;title&gt;Reducing the risk of iatrogenic CJD by improving the cleaning of neurosurgical instruments&lt;/title&gt;&lt;secondary-title&gt;Journal of Hospital Infection&lt;/secondary-title&gt;&lt;/titles&gt;&lt;periodical&gt;&lt;full-title&gt;Journal of Hospital Infection&lt;/full-title&gt;&lt;/periodical&gt;&lt;volume&gt;epub&lt;/volume&gt;&lt;keywords&gt;&lt;keyword&gt;$$5_instrument decontamination&lt;/keyword&gt;&lt;keyword&gt;$$Committee recommended&lt;/keyword&gt;&lt;keyword&gt;$$5_protein&lt;/keyword&gt;&lt;/keywords&gt;&lt;dates&gt;&lt;year&gt;2018&lt;/year&gt;&lt;/dates&gt;&lt;urls&gt;&lt;/urls&gt;&lt;electronic-resource-num&gt;doi: 10.1016/j.jhin.2018.03.001&lt;/electronic-resource-num&gt;&lt;/record&gt;&lt;/Cite&gt;&lt;/EndNote&gt;</w:instrText>
      </w:r>
      <w:r>
        <w:rPr>
          <w:rFonts w:cs="Times New Roman"/>
        </w:rPr>
        <w:fldChar w:fldCharType="separate"/>
      </w:r>
      <w:r w:rsidR="0076576E" w:rsidRPr="0076576E">
        <w:rPr>
          <w:rFonts w:cs="Times New Roman"/>
          <w:noProof/>
          <w:vertAlign w:val="superscript"/>
        </w:rPr>
        <w:t>191</w:t>
      </w:r>
      <w:r>
        <w:rPr>
          <w:rFonts w:cs="Times New Roman"/>
        </w:rPr>
        <w:fldChar w:fldCharType="end"/>
      </w:r>
      <w:r>
        <w:rPr>
          <w:rFonts w:cs="Times New Roman"/>
        </w:rPr>
        <w:t xml:space="preserve"> state that the cost of NHS bags would be £440 per 7355 neurosurgical trays reprocessed equating to 6p per bag. Calculations based on the additional savings that could be made ‘using tap water and tray liner’ suggests that the costs of these elements are also 6p per tray. Thus it has been assumed that the cost of keeping instruments moist was 12p per set conditional on using NHS bags, tap water and tray liner.</w:t>
      </w:r>
    </w:p>
    <w:p w14:paraId="1C6C57E3" w14:textId="77777777" w:rsidR="00B53489" w:rsidRDefault="00B53489" w:rsidP="00B53489"/>
    <w:p w14:paraId="03746394" w14:textId="77777777" w:rsidR="00B53489" w:rsidRDefault="00B53489" w:rsidP="00930045">
      <w:r>
        <w:t>3.3.3.8</w:t>
      </w:r>
      <w:r w:rsidRPr="00F0261C">
        <w:t xml:space="preserve"> </w:t>
      </w:r>
      <w:r>
        <w:tab/>
      </w:r>
      <w:r w:rsidRPr="00F0261C">
        <w:t xml:space="preserve">The </w:t>
      </w:r>
      <w:r>
        <w:t>assumed safety of single-use instruments</w:t>
      </w:r>
    </w:p>
    <w:p w14:paraId="231CDC84" w14:textId="77777777" w:rsidR="00B53489" w:rsidRDefault="00B53489" w:rsidP="00B53489">
      <w:pPr>
        <w:jc w:val="both"/>
        <w:rPr>
          <w:rFonts w:cs="Times New Roman"/>
        </w:rPr>
      </w:pPr>
      <w:r>
        <w:rPr>
          <w:rFonts w:cs="Times New Roman"/>
        </w:rPr>
        <w:t>In the base case it is assumed that the complication rates and outcomes are identical for re-usable instruments and single-use instruments. The NICE committee believed this assumption was reasonable.</w:t>
      </w:r>
    </w:p>
    <w:p w14:paraId="25446CD3" w14:textId="77777777" w:rsidR="00B53489" w:rsidRDefault="00B53489" w:rsidP="00B53489">
      <w:pPr>
        <w:rPr>
          <w:rFonts w:cs="Times New Roman"/>
        </w:rPr>
      </w:pPr>
    </w:p>
    <w:p w14:paraId="4D0FAF52" w14:textId="77777777" w:rsidR="00B53489" w:rsidRDefault="00B53489" w:rsidP="00930045">
      <w:r>
        <w:t>3.3.3.9</w:t>
      </w:r>
      <w:r w:rsidRPr="00F0261C">
        <w:t xml:space="preserve"> </w:t>
      </w:r>
      <w:r>
        <w:tab/>
      </w:r>
      <w:r w:rsidRPr="00F0261C">
        <w:t xml:space="preserve">The </w:t>
      </w:r>
      <w:r>
        <w:t>costs associated with systems to allow instruments to be tracked</w:t>
      </w:r>
    </w:p>
    <w:p w14:paraId="6DC5C05E" w14:textId="0B7FBB4C" w:rsidR="00B53489" w:rsidRDefault="007F6B3F" w:rsidP="00B53489">
      <w:pPr>
        <w:jc w:val="both"/>
        <w:rPr>
          <w:rFonts w:cs="Times New Roman"/>
        </w:rPr>
      </w:pPr>
      <w:r>
        <w:rPr>
          <w:rFonts w:cs="Times New Roman"/>
        </w:rPr>
        <w:t>C</w:t>
      </w:r>
      <w:r w:rsidR="00B53489">
        <w:rPr>
          <w:rFonts w:cs="Times New Roman"/>
        </w:rPr>
        <w:t>ommittee member</w:t>
      </w:r>
      <w:r w:rsidR="00CA619B">
        <w:rPr>
          <w:rFonts w:cs="Times New Roman"/>
        </w:rPr>
        <w:t>s</w:t>
      </w:r>
      <w:r w:rsidR="00B53489">
        <w:rPr>
          <w:rFonts w:cs="Times New Roman"/>
        </w:rPr>
        <w:t xml:space="preserve"> provided data from an unpublished Society for British Neurosurgeons survey </w:t>
      </w:r>
      <w:r>
        <w:rPr>
          <w:rFonts w:cs="Times New Roman"/>
        </w:rPr>
        <w:t xml:space="preserve">and from costs recorded at their own units </w:t>
      </w:r>
      <w:r w:rsidR="00B53489">
        <w:rPr>
          <w:rFonts w:cs="Times New Roman"/>
        </w:rPr>
        <w:t xml:space="preserve">that indicated that </w:t>
      </w:r>
      <w:r w:rsidRPr="007F6B3F">
        <w:rPr>
          <w:rFonts w:cs="Times New Roman"/>
        </w:rPr>
        <w:t>£750k across a 5-year period including necessary equipment would be a reasonable estimate. Sensitivity analyses were intended using £500,000 and £1,000,000</w:t>
      </w:r>
      <w:r w:rsidR="00B53489">
        <w:rPr>
          <w:rFonts w:cs="Times New Roman"/>
        </w:rPr>
        <w:t>.</w:t>
      </w:r>
    </w:p>
    <w:p w14:paraId="5671BF59" w14:textId="77777777" w:rsidR="00B53489" w:rsidRDefault="00B53489" w:rsidP="00B53489">
      <w:pPr>
        <w:rPr>
          <w:rFonts w:cs="Times New Roman"/>
        </w:rPr>
      </w:pPr>
    </w:p>
    <w:p w14:paraId="312B4F1B" w14:textId="77777777" w:rsidR="00B53489" w:rsidRPr="00930045" w:rsidRDefault="00B53489" w:rsidP="00B53489">
      <w:pPr>
        <w:pStyle w:val="Heading3"/>
        <w:ind w:left="720" w:hanging="720"/>
        <w:rPr>
          <w:b w:val="0"/>
          <w:i/>
          <w:color w:val="000000" w:themeColor="text1"/>
          <w:szCs w:val="22"/>
        </w:rPr>
      </w:pPr>
      <w:r w:rsidRPr="00930045">
        <w:rPr>
          <w:b w:val="0"/>
          <w:i/>
          <w:color w:val="000000" w:themeColor="text1"/>
          <w:szCs w:val="22"/>
        </w:rPr>
        <w:t xml:space="preserve">3.3.4 </w:t>
      </w:r>
      <w:r w:rsidRPr="00930045">
        <w:rPr>
          <w:b w:val="0"/>
          <w:i/>
          <w:color w:val="000000" w:themeColor="text1"/>
          <w:szCs w:val="22"/>
        </w:rPr>
        <w:tab/>
        <w:t>Parameters relating to the probability of infection, the incubation time, and consequences if clinical symptoms appear</w:t>
      </w:r>
    </w:p>
    <w:p w14:paraId="65868D1B" w14:textId="77777777" w:rsidR="00B53489" w:rsidRDefault="00B53489" w:rsidP="00E55A7F">
      <w:pPr>
        <w:ind w:left="720" w:hanging="720"/>
      </w:pPr>
      <w:r>
        <w:t>3.3.4.1</w:t>
      </w:r>
      <w:r w:rsidRPr="00F0261C">
        <w:t xml:space="preserve"> </w:t>
      </w:r>
      <w:r>
        <w:tab/>
      </w:r>
      <w:r w:rsidRPr="00F0261C">
        <w:t xml:space="preserve">The </w:t>
      </w:r>
      <w:r>
        <w:t>conceptual model of estimating the probability of infection when prions are transferred to the patient</w:t>
      </w:r>
    </w:p>
    <w:p w14:paraId="75E03DE4" w14:textId="4B12CC19" w:rsidR="00B53489" w:rsidRDefault="00B53489" w:rsidP="00930045">
      <w:pPr>
        <w:jc w:val="both"/>
        <w:rPr>
          <w:rFonts w:cs="Times New Roman"/>
        </w:rPr>
      </w:pPr>
      <w:r>
        <w:rPr>
          <w:rFonts w:cs="Times New Roman"/>
        </w:rPr>
        <w:t xml:space="preserve">In accordance with the </w:t>
      </w:r>
      <w:r w:rsidR="002C04FE">
        <w:rPr>
          <w:rFonts w:cs="Times New Roman"/>
        </w:rPr>
        <w:t>earlier ScHARR model</w:t>
      </w:r>
      <w:r w:rsidR="00997A91">
        <w:rPr>
          <w:rFonts w:cs="Times New Roman"/>
        </w:rPr>
        <w:t>,</w:t>
      </w:r>
      <w:r>
        <w:rPr>
          <w:rFonts w:cs="Times New Roman"/>
        </w:rPr>
        <w:t xml:space="preserve"> the probability of infection was estimated using the mass transferred to the patient (in grams) and the infectious titre of the mass (in terms of ID</w:t>
      </w:r>
      <w:r w:rsidR="00D25530" w:rsidRPr="00D25530">
        <w:rPr>
          <w:rFonts w:cs="Times New Roman"/>
          <w:vertAlign w:val="subscript"/>
        </w:rPr>
        <w:t>50</w:t>
      </w:r>
      <w:r w:rsidR="00D25530">
        <w:rPr>
          <w:rFonts w:cs="Times New Roman"/>
          <w:vertAlign w:val="subscript"/>
        </w:rPr>
        <w:t>s</w:t>
      </w:r>
      <w:r w:rsidR="00D25530" w:rsidRPr="00D25530">
        <w:rPr>
          <w:rFonts w:cs="Times New Roman"/>
        </w:rPr>
        <w:t xml:space="preserve"> </w:t>
      </w:r>
      <w:r w:rsidR="00D25530">
        <w:rPr>
          <w:rFonts w:cs="Times New Roman"/>
        </w:rPr>
        <w:t>per gram</w:t>
      </w:r>
      <w:r>
        <w:rPr>
          <w:rFonts w:cs="Times New Roman"/>
        </w:rPr>
        <w:t xml:space="preserve">, </w:t>
      </w:r>
      <w:r w:rsidR="00D25530">
        <w:rPr>
          <w:rFonts w:cs="Times New Roman"/>
        </w:rPr>
        <w:t>where an ID</w:t>
      </w:r>
      <w:r w:rsidR="00D25530" w:rsidRPr="00D25530">
        <w:rPr>
          <w:rFonts w:cs="Times New Roman"/>
          <w:vertAlign w:val="subscript"/>
        </w:rPr>
        <w:t>50</w:t>
      </w:r>
      <w:r w:rsidR="00D25530">
        <w:rPr>
          <w:rFonts w:cs="Times New Roman"/>
          <w:vertAlign w:val="subscript"/>
        </w:rPr>
        <w:t>s</w:t>
      </w:r>
      <w:r w:rsidR="00D25530">
        <w:rPr>
          <w:rFonts w:cs="Times New Roman"/>
        </w:rPr>
        <w:t xml:space="preserve"> is </w:t>
      </w:r>
      <w:r>
        <w:rPr>
          <w:rFonts w:cs="Times New Roman"/>
        </w:rPr>
        <w:t>the dose required to infect 50% of the susceptible population,). It was assumed that the relationship between the number of ID</w:t>
      </w:r>
      <w:r w:rsidR="00D25530" w:rsidRPr="00D25530">
        <w:rPr>
          <w:rFonts w:cs="Times New Roman"/>
          <w:vertAlign w:val="subscript"/>
        </w:rPr>
        <w:t>50</w:t>
      </w:r>
      <w:r w:rsidR="00D25530">
        <w:rPr>
          <w:rFonts w:cs="Times New Roman"/>
          <w:vertAlign w:val="subscript"/>
        </w:rPr>
        <w:t>s</w:t>
      </w:r>
      <w:r>
        <w:rPr>
          <w:rFonts w:cs="Times New Roman"/>
        </w:rPr>
        <w:t xml:space="preserve"> and probability of infection was:</w:t>
      </w:r>
    </w:p>
    <w:p w14:paraId="36B3420C" w14:textId="77777777" w:rsidR="00B53489" w:rsidRDefault="00B53489" w:rsidP="00930045">
      <w:pPr>
        <w:jc w:val="both"/>
        <w:rPr>
          <w:rFonts w:cs="Times New Roman"/>
        </w:rPr>
      </w:pPr>
    </w:p>
    <w:p w14:paraId="15F9A7B2" w14:textId="705D2A66" w:rsidR="00B53489" w:rsidRDefault="00B53489" w:rsidP="00930045">
      <w:pPr>
        <w:rPr>
          <w:rFonts w:cs="Times New Roman"/>
        </w:rPr>
      </w:pPr>
      <w:r>
        <w:rPr>
          <w:rFonts w:cs="Times New Roman"/>
        </w:rPr>
        <w:t xml:space="preserve">Probability of infection = </w:t>
      </w:r>
      <w:r w:rsidR="00997A91">
        <w:rPr>
          <w:rFonts w:cs="Times New Roman"/>
        </w:rPr>
        <w:t xml:space="preserve">MIN </w:t>
      </w:r>
      <w:r>
        <w:rPr>
          <w:rFonts w:cs="Times New Roman"/>
        </w:rPr>
        <w:t>(No of ID</w:t>
      </w:r>
      <w:r w:rsidR="00D25530" w:rsidRPr="00D25530">
        <w:rPr>
          <w:rFonts w:cs="Times New Roman"/>
          <w:vertAlign w:val="subscript"/>
        </w:rPr>
        <w:t>50</w:t>
      </w:r>
      <w:r w:rsidR="00D25530">
        <w:rPr>
          <w:rFonts w:cs="Times New Roman"/>
          <w:vertAlign w:val="subscript"/>
        </w:rPr>
        <w:t>s</w:t>
      </w:r>
      <w:r>
        <w:rPr>
          <w:rFonts w:cs="Times New Roman"/>
        </w:rPr>
        <w:t xml:space="preserve"> transferred * 50%, 100%)</w:t>
      </w:r>
    </w:p>
    <w:p w14:paraId="25A30945" w14:textId="77777777" w:rsidR="00B53489" w:rsidRDefault="00B53489" w:rsidP="00930045">
      <w:pPr>
        <w:rPr>
          <w:rFonts w:cs="Times New Roman"/>
        </w:rPr>
      </w:pPr>
    </w:p>
    <w:p w14:paraId="7AA758FB" w14:textId="7CBA0582" w:rsidR="00B53489" w:rsidRDefault="00B53489" w:rsidP="00930045">
      <w:pPr>
        <w:rPr>
          <w:rFonts w:cs="Times New Roman"/>
        </w:rPr>
      </w:pPr>
      <w:r>
        <w:rPr>
          <w:rFonts w:cs="Times New Roman"/>
        </w:rPr>
        <w:t>Such that 2ID</w:t>
      </w:r>
      <w:r w:rsidR="00D25530" w:rsidRPr="00D25530">
        <w:rPr>
          <w:rFonts w:cs="Times New Roman"/>
          <w:vertAlign w:val="subscript"/>
        </w:rPr>
        <w:t>50</w:t>
      </w:r>
      <w:r w:rsidR="00D25530">
        <w:rPr>
          <w:rFonts w:cs="Times New Roman"/>
          <w:vertAlign w:val="subscript"/>
        </w:rPr>
        <w:t>s</w:t>
      </w:r>
      <w:r>
        <w:rPr>
          <w:rFonts w:cs="Times New Roman"/>
        </w:rPr>
        <w:t xml:space="preserve"> or more would result in a certain infection.</w:t>
      </w:r>
    </w:p>
    <w:p w14:paraId="010D88E1" w14:textId="77777777" w:rsidR="00B53489" w:rsidRDefault="00B53489" w:rsidP="00930045">
      <w:pPr>
        <w:jc w:val="both"/>
        <w:rPr>
          <w:rFonts w:cs="Times New Roman"/>
        </w:rPr>
      </w:pPr>
    </w:p>
    <w:p w14:paraId="7F48BE3B" w14:textId="56643CE1" w:rsidR="00B53489" w:rsidRDefault="00B53489" w:rsidP="00930045">
      <w:pPr>
        <w:jc w:val="both"/>
        <w:rPr>
          <w:rFonts w:cs="Times New Roman"/>
        </w:rPr>
      </w:pPr>
      <w:r>
        <w:rPr>
          <w:rFonts w:cs="Times New Roman"/>
        </w:rPr>
        <w:t xml:space="preserve">The mass assumed to be transferred per operation is detailed in Section </w:t>
      </w:r>
      <w:r w:rsidR="00D25530">
        <w:rPr>
          <w:rFonts w:cs="Times New Roman"/>
        </w:rPr>
        <w:t>3</w:t>
      </w:r>
      <w:r>
        <w:rPr>
          <w:rFonts w:cs="Times New Roman"/>
        </w:rPr>
        <w:t>.3.1.3</w:t>
      </w:r>
      <w:r w:rsidR="00997A91">
        <w:rPr>
          <w:rFonts w:cs="Times New Roman"/>
        </w:rPr>
        <w:t>,</w:t>
      </w:r>
      <w:r>
        <w:rPr>
          <w:rFonts w:cs="Times New Roman"/>
        </w:rPr>
        <w:t xml:space="preserve"> whilst the assumed infectious titre per gram is detailed in Section </w:t>
      </w:r>
      <w:r w:rsidR="007F6B3F" w:rsidRPr="007F6B3F">
        <w:rPr>
          <w:rFonts w:cs="Times New Roman"/>
        </w:rPr>
        <w:t>3</w:t>
      </w:r>
      <w:r w:rsidRPr="007F6B3F">
        <w:rPr>
          <w:rFonts w:cs="Times New Roman"/>
        </w:rPr>
        <w:t>.3.2</w:t>
      </w:r>
      <w:r w:rsidR="007F6B3F">
        <w:rPr>
          <w:rFonts w:cs="Times New Roman"/>
        </w:rPr>
        <w:t>.</w:t>
      </w:r>
    </w:p>
    <w:p w14:paraId="24B6DADE" w14:textId="77777777" w:rsidR="00B53489" w:rsidRDefault="00B53489" w:rsidP="00B53489">
      <w:pPr>
        <w:jc w:val="both"/>
      </w:pPr>
    </w:p>
    <w:p w14:paraId="15F73837" w14:textId="0ED21293" w:rsidR="00B53489" w:rsidRDefault="00B53489" w:rsidP="00B53489">
      <w:pPr>
        <w:jc w:val="both"/>
        <w:rPr>
          <w:rFonts w:cs="Times New Roman"/>
        </w:rPr>
      </w:pPr>
      <w:r w:rsidRPr="006F6E8F">
        <w:rPr>
          <w:rFonts w:cs="Times New Roman"/>
        </w:rPr>
        <w:t>In a key change from the ScHARR report</w:t>
      </w:r>
      <w:r w:rsidR="00997A91">
        <w:rPr>
          <w:rFonts w:cs="Times New Roman"/>
        </w:rPr>
        <w: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it was assumed that all patients, regardless of age or genotype, were susceptible to CJD infection.</w:t>
      </w:r>
      <w:r w:rsidRPr="006F6E8F">
        <w:rPr>
          <w:rFonts w:cs="Times New Roman"/>
        </w:rPr>
        <w:t xml:space="preserve"> </w:t>
      </w:r>
    </w:p>
    <w:p w14:paraId="483446FC" w14:textId="77777777" w:rsidR="00B53489" w:rsidRPr="006F6E8F" w:rsidRDefault="00B53489" w:rsidP="00B53489">
      <w:pPr>
        <w:rPr>
          <w:rFonts w:cs="Times New Roman"/>
        </w:rPr>
      </w:pPr>
    </w:p>
    <w:p w14:paraId="18940372" w14:textId="27FA0C64" w:rsidR="00B53489" w:rsidRDefault="00B53489" w:rsidP="00930045">
      <w:r>
        <w:t>3.3.4.2</w:t>
      </w:r>
      <w:r w:rsidRPr="00F0261C">
        <w:t xml:space="preserve"> The </w:t>
      </w:r>
      <w:r>
        <w:t>incubation period following surgically-transmitted CJD infection</w:t>
      </w:r>
    </w:p>
    <w:p w14:paraId="0154F459" w14:textId="0B6F14DA" w:rsidR="00B53489" w:rsidRDefault="00B53489" w:rsidP="00B53489">
      <w:pPr>
        <w:jc w:val="both"/>
        <w:rPr>
          <w:rFonts w:cs="Times New Roman"/>
        </w:rPr>
      </w:pPr>
      <w:r>
        <w:rPr>
          <w:rFonts w:cs="Times New Roman"/>
        </w:rPr>
        <w:t xml:space="preserve">The incubation period associated with stCJD was elicited from clinical experts in January 2018. The results are contained in Appendix 1 but are briefly detailed here. The elicited results differed from those previously elicited in that: 1) distributions were no longer elicited for each genotype as it was assumed that a single distribution could cover all genotypes as </w:t>
      </w:r>
      <w:r w:rsidR="0042764E">
        <w:rPr>
          <w:rFonts w:cs="Times New Roman"/>
        </w:rPr>
        <w:t xml:space="preserve">the </w:t>
      </w:r>
      <w:r>
        <w:rPr>
          <w:rFonts w:cs="Times New Roman"/>
        </w:rPr>
        <w:t>incubation period would be affected by the genotype of the recipient, the infecting prion, and the infectious dose provided, 2) uncertainty in the mean estimates were formally captured and 3) it was assumed that all genotypes were susceptible to CJD.</w:t>
      </w:r>
    </w:p>
    <w:p w14:paraId="332EBC32" w14:textId="77777777" w:rsidR="00B53489" w:rsidRDefault="00B53489" w:rsidP="00B53489">
      <w:pPr>
        <w:jc w:val="both"/>
        <w:rPr>
          <w:rFonts w:cs="Times New Roman"/>
        </w:rPr>
      </w:pPr>
    </w:p>
    <w:p w14:paraId="22F6970B" w14:textId="71FDC79D" w:rsidR="00B53489" w:rsidRDefault="00B53489" w:rsidP="00B53489">
      <w:pPr>
        <w:jc w:val="both"/>
        <w:rPr>
          <w:rFonts w:cs="Times New Roman"/>
        </w:rPr>
      </w:pPr>
      <w:r>
        <w:rPr>
          <w:rFonts w:cs="Times New Roman"/>
        </w:rPr>
        <w:t xml:space="preserve">Four </w:t>
      </w:r>
      <w:r w:rsidR="00587BE6">
        <w:rPr>
          <w:rFonts w:cs="Times New Roman"/>
        </w:rPr>
        <w:t xml:space="preserve">incubation </w:t>
      </w:r>
      <w:r>
        <w:rPr>
          <w:rFonts w:cs="Times New Roman"/>
        </w:rPr>
        <w:t>intervals were specified</w:t>
      </w:r>
      <w:r w:rsidR="00587BE6">
        <w:rPr>
          <w:rFonts w:cs="Times New Roman"/>
        </w:rPr>
        <w:t>;</w:t>
      </w:r>
      <w:r>
        <w:rPr>
          <w:rFonts w:cs="Times New Roman"/>
        </w:rPr>
        <w:t xml:space="preserve"> in the base case</w:t>
      </w:r>
      <w:r w:rsidR="00587BE6">
        <w:rPr>
          <w:rFonts w:cs="Times New Roman"/>
        </w:rPr>
        <w:t>,</w:t>
      </w:r>
      <w:r>
        <w:rPr>
          <w:rFonts w:cs="Times New Roman"/>
        </w:rPr>
        <w:t xml:space="preserve"> </w:t>
      </w:r>
      <w:r w:rsidR="00587BE6">
        <w:rPr>
          <w:rFonts w:cs="Times New Roman"/>
        </w:rPr>
        <w:t xml:space="preserve">each interval was </w:t>
      </w:r>
      <w:r>
        <w:rPr>
          <w:rFonts w:cs="Times New Roman"/>
        </w:rPr>
        <w:t>assumed to be equally likely. These were: 0.25 to 2 years; 2 to 10 years; 10 to 20 years, and 20 to 50 years. Within each time interval</w:t>
      </w:r>
      <w:r w:rsidR="0042764E">
        <w:rPr>
          <w:rFonts w:cs="Times New Roman"/>
        </w:rPr>
        <w:t>,</w:t>
      </w:r>
      <w:r>
        <w:rPr>
          <w:rFonts w:cs="Times New Roman"/>
        </w:rPr>
        <w:t xml:space="preserve"> a uniform distribution was used on the assumption that each value was equally likely to occur. To allow for uncertainty </w:t>
      </w:r>
      <w:r w:rsidR="00587BE6">
        <w:rPr>
          <w:rFonts w:cs="Times New Roman"/>
        </w:rPr>
        <w:t xml:space="preserve">around </w:t>
      </w:r>
      <w:r>
        <w:rPr>
          <w:rFonts w:cs="Times New Roman"/>
        </w:rPr>
        <w:t>the mean</w:t>
      </w:r>
      <w:r w:rsidR="00587BE6">
        <w:rPr>
          <w:rFonts w:cs="Times New Roman"/>
        </w:rPr>
        <w:t xml:space="preserve"> incubation period,</w:t>
      </w:r>
      <w:r>
        <w:rPr>
          <w:rFonts w:cs="Times New Roman"/>
        </w:rPr>
        <w:t xml:space="preserve"> it was proposed that the first</w:t>
      </w:r>
      <w:r w:rsidR="002C04FE">
        <w:rPr>
          <w:rFonts w:cs="Times New Roman"/>
        </w:rPr>
        <w:t xml:space="preserve"> probability of being in the first three intervals w</w:t>
      </w:r>
      <w:r>
        <w:rPr>
          <w:rFonts w:cs="Times New Roman"/>
        </w:rPr>
        <w:t xml:space="preserve">ould range between 10% and 40% whilst </w:t>
      </w:r>
      <w:r w:rsidR="002C04FE">
        <w:rPr>
          <w:rFonts w:cs="Times New Roman"/>
        </w:rPr>
        <w:t xml:space="preserve">the probability of being in </w:t>
      </w:r>
      <w:r>
        <w:rPr>
          <w:rFonts w:cs="Times New Roman"/>
        </w:rPr>
        <w:t>interval 4</w:t>
      </w:r>
      <w:r w:rsidR="002C04FE">
        <w:rPr>
          <w:rFonts w:cs="Times New Roman"/>
        </w:rPr>
        <w:t xml:space="preserve"> (20 to 50 years)</w:t>
      </w:r>
      <w:r>
        <w:rPr>
          <w:rFonts w:cs="Times New Roman"/>
        </w:rPr>
        <w:t xml:space="preserve"> would lie between 15% and 35%. </w:t>
      </w:r>
    </w:p>
    <w:p w14:paraId="690D4DE8" w14:textId="77777777" w:rsidR="00B53489" w:rsidRDefault="00B53489" w:rsidP="00B53489">
      <w:pPr>
        <w:jc w:val="both"/>
        <w:rPr>
          <w:rFonts w:cs="Times New Roman"/>
        </w:rPr>
      </w:pPr>
    </w:p>
    <w:p w14:paraId="22EBFAFA" w14:textId="7E8F720C" w:rsidR="003D34F7" w:rsidRPr="00BB074C" w:rsidRDefault="00B53489" w:rsidP="003D34F7">
      <w:pPr>
        <w:jc w:val="both"/>
        <w:rPr>
          <w:rFonts w:cs="Times New Roman"/>
        </w:rPr>
      </w:pPr>
      <w:r>
        <w:rPr>
          <w:rFonts w:cs="Times New Roman"/>
        </w:rPr>
        <w:t xml:space="preserve">As indicated in </w:t>
      </w:r>
      <w:r w:rsidRPr="00723A36">
        <w:rPr>
          <w:rFonts w:cs="Times New Roman"/>
        </w:rPr>
        <w:fldChar w:fldCharType="begin"/>
      </w:r>
      <w:r w:rsidRPr="00723A36">
        <w:rPr>
          <w:rFonts w:cs="Times New Roman"/>
        </w:rPr>
        <w:instrText xml:space="preserve"> REF _Ref508958162  \* MERGEFORMAT </w:instrText>
      </w:r>
      <w:r w:rsidRPr="00723A36">
        <w:rPr>
          <w:rFonts w:cs="Times New Roman"/>
        </w:rPr>
        <w:fldChar w:fldCharType="separate"/>
      </w:r>
      <w:r w:rsidR="00690541" w:rsidRPr="00930045">
        <w:rPr>
          <w:rFonts w:cs="Times New Roman"/>
        </w:rPr>
        <w:t xml:space="preserve">Figure </w:t>
      </w:r>
      <w:r w:rsidR="00690541">
        <w:rPr>
          <w:rFonts w:cs="Times New Roman"/>
          <w:noProof/>
        </w:rPr>
        <w:t>5</w:t>
      </w:r>
      <w:r w:rsidRPr="00723A36">
        <w:rPr>
          <w:rFonts w:cs="Times New Roman"/>
        </w:rPr>
        <w:fldChar w:fldCharType="end"/>
      </w:r>
      <w:r>
        <w:rPr>
          <w:rFonts w:cs="Times New Roman"/>
        </w:rPr>
        <w:t xml:space="preserve">, should the incubation time be less than the patient’s life expectancy </w:t>
      </w:r>
      <w:r w:rsidR="00587BE6">
        <w:rPr>
          <w:rFonts w:cs="Times New Roman"/>
        </w:rPr>
        <w:t>(</w:t>
      </w:r>
      <w:r>
        <w:rPr>
          <w:rFonts w:cs="Times New Roman"/>
        </w:rPr>
        <w:t>sourced from the Office For National Statistics</w:t>
      </w:r>
      <w:r>
        <w:rPr>
          <w:rFonts w:cs="Times New Roman"/>
        </w:rPr>
        <w:fldChar w:fldCharType="begin"/>
      </w:r>
      <w:r w:rsidR="0076576E">
        <w:rPr>
          <w:rFonts w:cs="Times New Roman"/>
        </w:rPr>
        <w:instrText xml:space="preserve"> ADDIN EN.CITE &lt;EndNote&gt;&lt;Cite&gt;&lt;Author&gt;Office for National Statistics&lt;/Author&gt;&lt;Year&gt;2017&lt;/Year&gt;&lt;RecNum&gt;10271&lt;/RecNum&gt;&lt;DisplayText&gt;&lt;style face="superscript"&gt;213&lt;/style&gt;&lt;/DisplayText&gt;&lt;record&gt;&lt;rec-number&gt;10271&lt;/rec-number&gt;&lt;foreign-keys&gt;&lt;key app="EN" db-id="vrp0pptazv05wtesfz5vrzsj2p0rv09ttsa9" timestamp="1520952886" guid="5911e123-71b8-412d-a6a0-23978b6f7a41"&gt;10271&lt;/key&gt;&lt;/foreign-keys&gt;&lt;ref-type name="Journal Article"&gt;17&lt;/ref-type&gt;&lt;contributors&gt;&lt;authors&gt;&lt;author&gt;Office for National Statistics,&lt;/author&gt;&lt;/authors&gt;&lt;/contributors&gt;&lt;titles&gt;&lt;title&gt;National life tables: United Kingdom.&lt;/title&gt;&lt;/titles&gt;&lt;dates&gt;&lt;year&gt;2017&lt;/year&gt;&lt;/dates&gt;&lt;urls&gt;&lt;related-urls&gt;&lt;url&gt;&lt;style face="underline" font="default" size="100%"&gt;https://www.ons.gov.uk/peoplepopulationandcommunity/birthsdeathsandmarriages/lifeexpectancies/datasets/nationallifetablesunitedkingdomreferencetables&lt;/style&gt;&lt;style face="normal" font="default" size="100%"&gt;. Accessed 12th March 2018&lt;/style&gt;&lt;/url&gt;&lt;/related-urls&gt;&lt;/urls&gt;&lt;/record&gt;&lt;/Cite&gt;&lt;/EndNote&gt;</w:instrText>
      </w:r>
      <w:r>
        <w:rPr>
          <w:rFonts w:cs="Times New Roman"/>
        </w:rPr>
        <w:fldChar w:fldCharType="separate"/>
      </w:r>
      <w:r w:rsidR="0076576E" w:rsidRPr="0076576E">
        <w:rPr>
          <w:rFonts w:cs="Times New Roman"/>
          <w:noProof/>
          <w:vertAlign w:val="superscript"/>
        </w:rPr>
        <w:t>213</w:t>
      </w:r>
      <w:r>
        <w:rPr>
          <w:rFonts w:cs="Times New Roman"/>
        </w:rPr>
        <w:fldChar w:fldCharType="end"/>
      </w:r>
      <w:r w:rsidR="00587BE6">
        <w:rPr>
          <w:rFonts w:cs="Times New Roman"/>
        </w:rPr>
        <w:t>),</w:t>
      </w:r>
      <w:r>
        <w:rPr>
          <w:rFonts w:cs="Times New Roman"/>
        </w:rPr>
        <w:t xml:space="preserve"> the patient would display clinical symptoms. Otherwise, the patient would die without CJD symptoms. </w:t>
      </w:r>
      <w:r w:rsidR="003D34F7" w:rsidRPr="00BB074C">
        <w:rPr>
          <w:rFonts w:cs="Times New Roman"/>
        </w:rPr>
        <w:t>Each year a proportion of patients incubating CJD die</w:t>
      </w:r>
      <w:r w:rsidR="003D34F7">
        <w:rPr>
          <w:rFonts w:cs="Times New Roman"/>
        </w:rPr>
        <w:t>, due to non-CJD-related reasons,</w:t>
      </w:r>
      <w:r w:rsidR="003D34F7" w:rsidRPr="00BB074C">
        <w:rPr>
          <w:rFonts w:cs="Times New Roman"/>
        </w:rPr>
        <w:t xml:space="preserve"> in line with data reported by the Office of National Statistics.</w:t>
      </w:r>
      <w:r w:rsidR="003D34F7" w:rsidRPr="00BB074C">
        <w:rPr>
          <w:rFonts w:cs="Times New Roman"/>
        </w:rPr>
        <w:fldChar w:fldCharType="begin"/>
      </w:r>
      <w:r w:rsidR="0076576E">
        <w:rPr>
          <w:rFonts w:cs="Times New Roman"/>
        </w:rPr>
        <w:instrText xml:space="preserve"> ADDIN EN.CITE &lt;EndNote&gt;&lt;Cite&gt;&lt;Author&gt;Office for National Statistics&lt;/Author&gt;&lt;Year&gt;2017&lt;/Year&gt;&lt;RecNum&gt;10271&lt;/RecNum&gt;&lt;DisplayText&gt;&lt;style face="superscript"&gt;213&lt;/style&gt;&lt;/DisplayText&gt;&lt;record&gt;&lt;rec-number&gt;10271&lt;/rec-number&gt;&lt;foreign-keys&gt;&lt;key app="EN" db-id="vrp0pptazv05wtesfz5vrzsj2p0rv09ttsa9" timestamp="1520952886" guid="5911e123-71b8-412d-a6a0-23978b6f7a41"&gt;10271&lt;/key&gt;&lt;/foreign-keys&gt;&lt;ref-type name="Journal Article"&gt;17&lt;/ref-type&gt;&lt;contributors&gt;&lt;authors&gt;&lt;author&gt;Office for National Statistics,&lt;/author&gt;&lt;/authors&gt;&lt;/contributors&gt;&lt;titles&gt;&lt;title&gt;National life tables: United Kingdom.&lt;/title&gt;&lt;/titles&gt;&lt;dates&gt;&lt;year&gt;2017&lt;/year&gt;&lt;/dates&gt;&lt;urls&gt;&lt;related-urls&gt;&lt;url&gt;&lt;style face="underline" font="default" size="100%"&gt;https://www.ons.gov.uk/peoplepopulationandcommunity/birthsdeathsandmarriages/lifeexpectancies/datasets/nationallifetablesunitedkingdomreferencetables&lt;/style&gt;&lt;style face="normal" font="default" size="100%"&gt;. Accessed 12th March 2018&lt;/style&gt;&lt;/url&gt;&lt;/related-urls&gt;&lt;/urls&gt;&lt;/record&gt;&lt;/Cite&gt;&lt;/EndNote&gt;</w:instrText>
      </w:r>
      <w:r w:rsidR="003D34F7" w:rsidRPr="00BB074C">
        <w:rPr>
          <w:rFonts w:cs="Times New Roman"/>
        </w:rPr>
        <w:fldChar w:fldCharType="separate"/>
      </w:r>
      <w:r w:rsidR="0076576E" w:rsidRPr="0076576E">
        <w:rPr>
          <w:rFonts w:cs="Times New Roman"/>
          <w:noProof/>
          <w:vertAlign w:val="superscript"/>
        </w:rPr>
        <w:t>213</w:t>
      </w:r>
      <w:r w:rsidR="003D34F7" w:rsidRPr="00BB074C">
        <w:rPr>
          <w:rFonts w:cs="Times New Roman"/>
        </w:rPr>
        <w:fldChar w:fldCharType="end"/>
      </w:r>
      <w:r w:rsidR="003D34F7" w:rsidRPr="00BB074C">
        <w:rPr>
          <w:rFonts w:cs="Times New Roman"/>
        </w:rPr>
        <w:t xml:space="preserve"> The probability of </w:t>
      </w:r>
      <w:r w:rsidR="003D34F7">
        <w:rPr>
          <w:rFonts w:cs="Times New Roman"/>
        </w:rPr>
        <w:t xml:space="preserve">non-CJD related death </w:t>
      </w:r>
      <w:r w:rsidR="003D34F7" w:rsidRPr="00BB074C">
        <w:rPr>
          <w:rFonts w:cs="Times New Roman"/>
        </w:rPr>
        <w:t xml:space="preserve">was dynamic </w:t>
      </w:r>
      <w:r w:rsidR="003D34F7">
        <w:rPr>
          <w:rFonts w:cs="Times New Roman"/>
        </w:rPr>
        <w:t>between</w:t>
      </w:r>
      <w:r w:rsidR="003D34F7" w:rsidRPr="00BB074C">
        <w:rPr>
          <w:rFonts w:cs="Times New Roman"/>
        </w:rPr>
        <w:t xml:space="preserve"> 2005 to 2014, </w:t>
      </w:r>
      <w:r w:rsidR="003D34F7">
        <w:rPr>
          <w:rFonts w:cs="Times New Roman"/>
        </w:rPr>
        <w:t xml:space="preserve">using </w:t>
      </w:r>
      <w:r w:rsidR="003D34F7" w:rsidRPr="00BB074C">
        <w:rPr>
          <w:rFonts w:cs="Times New Roman"/>
        </w:rPr>
        <w:t xml:space="preserve">the </w:t>
      </w:r>
      <w:r w:rsidR="003D34F7">
        <w:rPr>
          <w:rFonts w:cs="Times New Roman"/>
        </w:rPr>
        <w:t>appropriate life table</w:t>
      </w:r>
      <w:r w:rsidR="003D34F7" w:rsidRPr="00BB074C">
        <w:rPr>
          <w:rFonts w:cs="Times New Roman"/>
        </w:rPr>
        <w:t xml:space="preserve">, </w:t>
      </w:r>
      <w:r w:rsidR="003D34F7">
        <w:rPr>
          <w:rFonts w:cs="Times New Roman"/>
        </w:rPr>
        <w:t>but was assumed to use life tables from 2014 until 2023</w:t>
      </w:r>
      <w:r w:rsidR="003D34F7" w:rsidRPr="00BB074C">
        <w:rPr>
          <w:rFonts w:cs="Times New Roman"/>
        </w:rPr>
        <w:t>.</w:t>
      </w:r>
    </w:p>
    <w:p w14:paraId="529882CB" w14:textId="77777777" w:rsidR="00B53489" w:rsidRDefault="00B53489" w:rsidP="00B53489">
      <w:pPr>
        <w:rPr>
          <w:rFonts w:cs="Times New Roman"/>
        </w:rPr>
      </w:pPr>
    </w:p>
    <w:p w14:paraId="3FDE96BD" w14:textId="580A3A91" w:rsidR="00B53489" w:rsidRDefault="00B53489" w:rsidP="00D20474">
      <w:r>
        <w:t>3.3.4.3</w:t>
      </w:r>
      <w:r w:rsidRPr="00F0261C">
        <w:t xml:space="preserve"> The </w:t>
      </w:r>
      <w:r>
        <w:t>infectious period following surgically-transmitted CJD infection</w:t>
      </w:r>
    </w:p>
    <w:p w14:paraId="5949A733" w14:textId="3D59A9BB" w:rsidR="00B53489" w:rsidRDefault="00B53489" w:rsidP="00B53489">
      <w:pPr>
        <w:jc w:val="both"/>
        <w:rPr>
          <w:rFonts w:cs="Times New Roman"/>
        </w:rPr>
      </w:pPr>
      <w:r>
        <w:rPr>
          <w:rFonts w:cs="Times New Roman"/>
        </w:rPr>
        <w:t xml:space="preserve">The proportion of the incubation period associated with stCJD for which a patient was considered infectious and able to pass CJD prions to instruments was taken from the elicitation session used to inform the </w:t>
      </w:r>
      <w:r w:rsidR="00587BE6">
        <w:rPr>
          <w:rFonts w:cs="Times New Roman"/>
        </w:rPr>
        <w:t xml:space="preserve">earlier </w:t>
      </w:r>
      <w:r>
        <w:rPr>
          <w:rFonts w:cs="Times New Roman"/>
        </w:rPr>
        <w:t>ScHARR report.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This distribution is shown in </w:t>
      </w:r>
      <w:r w:rsidRPr="00EB4B46">
        <w:rPr>
          <w:rFonts w:cs="Times New Roman"/>
        </w:rPr>
        <w:fldChar w:fldCharType="begin"/>
      </w:r>
      <w:r w:rsidRPr="00EB4B46">
        <w:rPr>
          <w:rFonts w:cs="Times New Roman"/>
        </w:rPr>
        <w:instrText xml:space="preserve"> REF _Ref508640598  \* MERGEFORMAT </w:instrText>
      </w:r>
      <w:r w:rsidRPr="00EB4B46">
        <w:rPr>
          <w:rFonts w:cs="Times New Roman"/>
        </w:rPr>
        <w:fldChar w:fldCharType="separate"/>
      </w:r>
      <w:r w:rsidR="00690541" w:rsidRPr="00D20474">
        <w:rPr>
          <w:rFonts w:cs="Times New Roman"/>
          <w:color w:val="000000" w:themeColor="text1"/>
        </w:rPr>
        <w:t xml:space="preserve">Figure </w:t>
      </w:r>
      <w:r w:rsidR="00690541">
        <w:rPr>
          <w:rFonts w:cs="Times New Roman"/>
          <w:noProof/>
          <w:color w:val="000000" w:themeColor="text1"/>
        </w:rPr>
        <w:t>12</w:t>
      </w:r>
      <w:r w:rsidRPr="00EB4B46">
        <w:rPr>
          <w:rFonts w:cs="Times New Roman"/>
        </w:rPr>
        <w:fldChar w:fldCharType="end"/>
      </w:r>
      <w:r w:rsidR="00587BE6">
        <w:rPr>
          <w:rFonts w:cs="Times New Roman"/>
        </w:rPr>
        <w:t>.</w:t>
      </w:r>
      <w:r>
        <w:rPr>
          <w:rFonts w:cs="Times New Roman"/>
        </w:rPr>
        <w:t xml:space="preserve"> </w:t>
      </w:r>
      <w:r w:rsidR="00587BE6">
        <w:rPr>
          <w:rFonts w:cs="Times New Roman"/>
        </w:rPr>
        <w:t xml:space="preserve">The </w:t>
      </w:r>
      <w:r>
        <w:rPr>
          <w:rFonts w:cs="Times New Roman"/>
        </w:rPr>
        <w:t>mean of this distribution is 20.0%, indicating that the patient is only infectious for the last 20% of the incubation period. The 95% CrI for this parameter ranged from 15.3% to 25.2%. It has been assumed that the infectious titre of CJD prions is at the maximum value for the entire infectious period.</w:t>
      </w:r>
    </w:p>
    <w:p w14:paraId="79A047DC" w14:textId="77777777" w:rsidR="00B53489" w:rsidRDefault="00B53489" w:rsidP="00B53489">
      <w:pPr>
        <w:jc w:val="both"/>
        <w:rPr>
          <w:rFonts w:cs="Times New Roman"/>
        </w:rPr>
      </w:pPr>
    </w:p>
    <w:p w14:paraId="4887C8A8" w14:textId="15CCF139" w:rsidR="00B53489" w:rsidRPr="00D20474" w:rsidRDefault="00B53489" w:rsidP="00B53489">
      <w:pPr>
        <w:pStyle w:val="Caption"/>
        <w:spacing w:line="360" w:lineRule="auto"/>
        <w:ind w:left="1440" w:hanging="1440"/>
        <w:rPr>
          <w:rFonts w:cs="Times New Roman"/>
          <w:color w:val="000000" w:themeColor="text1"/>
          <w:szCs w:val="22"/>
        </w:rPr>
      </w:pPr>
      <w:bookmarkStart w:id="118" w:name="_Ref508640598"/>
      <w:bookmarkStart w:id="119" w:name="_Toc525106729"/>
      <w:r w:rsidRPr="00D20474">
        <w:rPr>
          <w:rFonts w:cs="Times New Roman"/>
          <w:color w:val="000000" w:themeColor="text1"/>
          <w:szCs w:val="22"/>
        </w:rPr>
        <w:t xml:space="preserve">Figure </w:t>
      </w:r>
      <w:r w:rsidRPr="00D20474">
        <w:rPr>
          <w:rFonts w:cs="Times New Roman"/>
          <w:color w:val="000000" w:themeColor="text1"/>
          <w:szCs w:val="22"/>
        </w:rPr>
        <w:fldChar w:fldCharType="begin"/>
      </w:r>
      <w:r w:rsidRPr="00D20474">
        <w:rPr>
          <w:rFonts w:cs="Times New Roman"/>
          <w:color w:val="000000" w:themeColor="text1"/>
          <w:szCs w:val="22"/>
        </w:rPr>
        <w:instrText xml:space="preserve"> SEQ Figure \* ARABIC </w:instrText>
      </w:r>
      <w:r w:rsidRPr="00D20474">
        <w:rPr>
          <w:rFonts w:cs="Times New Roman"/>
          <w:color w:val="000000" w:themeColor="text1"/>
          <w:szCs w:val="22"/>
        </w:rPr>
        <w:fldChar w:fldCharType="separate"/>
      </w:r>
      <w:r w:rsidR="00690541">
        <w:rPr>
          <w:rFonts w:cs="Times New Roman"/>
          <w:noProof/>
          <w:color w:val="000000" w:themeColor="text1"/>
          <w:szCs w:val="22"/>
        </w:rPr>
        <w:t>12</w:t>
      </w:r>
      <w:r w:rsidRPr="00D20474">
        <w:rPr>
          <w:rFonts w:cs="Times New Roman"/>
          <w:color w:val="000000" w:themeColor="text1"/>
          <w:szCs w:val="22"/>
        </w:rPr>
        <w:fldChar w:fldCharType="end"/>
      </w:r>
      <w:bookmarkEnd w:id="118"/>
      <w:r w:rsidRPr="00D20474">
        <w:rPr>
          <w:rFonts w:cs="Times New Roman"/>
          <w:color w:val="000000" w:themeColor="text1"/>
          <w:szCs w:val="22"/>
        </w:rPr>
        <w:t>:</w:t>
      </w:r>
      <w:r w:rsidRPr="00D20474">
        <w:rPr>
          <w:rFonts w:cs="Times New Roman"/>
          <w:color w:val="000000" w:themeColor="text1"/>
          <w:szCs w:val="22"/>
        </w:rPr>
        <w:tab/>
        <w:t>The proportion of the incubation period during which the patient is infectious</w:t>
      </w:r>
      <w:bookmarkEnd w:id="119"/>
    </w:p>
    <w:p w14:paraId="1C29C2BB" w14:textId="77777777" w:rsidR="00B53489" w:rsidRDefault="00B53489" w:rsidP="00B53489">
      <w:pPr>
        <w:rPr>
          <w:rFonts w:cs="Times New Roman"/>
        </w:rPr>
      </w:pPr>
      <w:r>
        <w:rPr>
          <w:rFonts w:cs="Times New Roman"/>
          <w:noProof/>
          <w:lang w:eastAsia="en-GB"/>
        </w:rPr>
        <w:drawing>
          <wp:inline distT="0" distB="0" distL="0" distR="0" wp14:anchorId="7B132A35" wp14:editId="29473688">
            <wp:extent cx="5541818" cy="3442854"/>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nf.png"/>
                    <pic:cNvPicPr/>
                  </pic:nvPicPr>
                  <pic:blipFill rotWithShape="1">
                    <a:blip r:embed="rId24">
                      <a:extLst>
                        <a:ext uri="{28A0092B-C50C-407E-A947-70E740481C1C}">
                          <a14:useLocalDpi xmlns:a14="http://schemas.microsoft.com/office/drawing/2010/main" val="0"/>
                        </a:ext>
                      </a:extLst>
                    </a:blip>
                    <a:srcRect t="6929" r="3234"/>
                    <a:stretch/>
                  </pic:blipFill>
                  <pic:spPr bwMode="auto">
                    <a:xfrm>
                      <a:off x="0" y="0"/>
                      <a:ext cx="5546143" cy="3445541"/>
                    </a:xfrm>
                    <a:prstGeom prst="rect">
                      <a:avLst/>
                    </a:prstGeom>
                    <a:ln>
                      <a:noFill/>
                    </a:ln>
                    <a:extLst>
                      <a:ext uri="{53640926-AAD7-44D8-BBD7-CCE9431645EC}">
                        <a14:shadowObscured xmlns:a14="http://schemas.microsoft.com/office/drawing/2010/main"/>
                      </a:ext>
                    </a:extLst>
                  </pic:spPr>
                </pic:pic>
              </a:graphicData>
            </a:graphic>
          </wp:inline>
        </w:drawing>
      </w:r>
    </w:p>
    <w:p w14:paraId="2F56B4AD" w14:textId="575DC450" w:rsidR="00C312F1" w:rsidRDefault="00C312F1" w:rsidP="00C312F1">
      <w:pPr>
        <w:rPr>
          <w:rFonts w:cs="Times New Roman"/>
        </w:rPr>
      </w:pPr>
      <w:r>
        <w:t>3.3.4.4</w:t>
      </w:r>
      <w:r w:rsidRPr="00F0261C">
        <w:t xml:space="preserve"> </w:t>
      </w:r>
      <w:r>
        <w:t xml:space="preserve">Estimations of the relative </w:t>
      </w:r>
      <w:r w:rsidR="00943E3B">
        <w:t xml:space="preserve">likelihood </w:t>
      </w:r>
      <w:r>
        <w:t>of returning to high-risk surgery</w:t>
      </w:r>
    </w:p>
    <w:p w14:paraId="0920306A" w14:textId="470B9F26" w:rsidR="00B53489" w:rsidRPr="00BB074C" w:rsidRDefault="00B53489" w:rsidP="00B53489">
      <w:pPr>
        <w:jc w:val="both"/>
        <w:rPr>
          <w:rFonts w:cs="Times New Roman"/>
        </w:rPr>
      </w:pPr>
      <w:r w:rsidRPr="00BB074C">
        <w:rPr>
          <w:rFonts w:cs="Times New Roman"/>
        </w:rPr>
        <w:t xml:space="preserve">Patients who are infectious can return to surgery and may do so at a quicker rate than people who have not experienced prior surgery. The </w:t>
      </w:r>
      <w:r w:rsidR="00587BE6">
        <w:rPr>
          <w:rFonts w:cs="Times New Roman"/>
        </w:rPr>
        <w:t xml:space="preserve">earlier </w:t>
      </w:r>
      <w:r w:rsidRPr="00BB074C">
        <w:rPr>
          <w:rFonts w:cs="Times New Roman"/>
        </w:rPr>
        <w:t>ScHARR report</w:t>
      </w:r>
      <w:r w:rsidRPr="00BB074C">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sidRPr="00BB074C">
        <w:rPr>
          <w:rFonts w:cs="Times New Roman"/>
        </w:rPr>
        <w:fldChar w:fldCharType="separate"/>
      </w:r>
      <w:r w:rsidR="005C50C5" w:rsidRPr="005C50C5">
        <w:rPr>
          <w:rFonts w:cs="Times New Roman"/>
          <w:noProof/>
          <w:vertAlign w:val="superscript"/>
        </w:rPr>
        <w:t>11</w:t>
      </w:r>
      <w:r w:rsidRPr="00BB074C">
        <w:rPr>
          <w:rFonts w:cs="Times New Roman"/>
        </w:rPr>
        <w:fldChar w:fldCharType="end"/>
      </w:r>
      <w:r w:rsidRPr="00BB074C">
        <w:rPr>
          <w:rFonts w:cs="Times New Roman"/>
        </w:rPr>
        <w:t xml:space="preserve"> assumed that: 1) people who had previous brain surgery were 43 times more likely to have a further brain operation than people without a history of a brain operation; 2) people who had previous posterior eye surgery were 60 times more likely to have a further posterior eye operation than people without a history of a </w:t>
      </w:r>
      <w:r w:rsidR="003D34F7">
        <w:rPr>
          <w:rFonts w:cs="Times New Roman"/>
        </w:rPr>
        <w:t>posterior eye</w:t>
      </w:r>
      <w:r w:rsidRPr="00BB074C">
        <w:rPr>
          <w:rFonts w:cs="Times New Roman"/>
        </w:rPr>
        <w:t xml:space="preserve"> operation; and 3) people who had previous neuroendoscopy were 761 times more likely to have a further </w:t>
      </w:r>
      <w:r w:rsidR="003D34F7">
        <w:rPr>
          <w:rFonts w:cs="Times New Roman"/>
        </w:rPr>
        <w:t>neuroendoscopy</w:t>
      </w:r>
      <w:r w:rsidRPr="00BB074C">
        <w:rPr>
          <w:rFonts w:cs="Times New Roman"/>
        </w:rPr>
        <w:t xml:space="preserve"> than people without a history of a neuroendoscopy. These </w:t>
      </w:r>
      <w:r>
        <w:rPr>
          <w:rFonts w:cs="Times New Roman"/>
        </w:rPr>
        <w:t xml:space="preserve">values </w:t>
      </w:r>
      <w:r w:rsidRPr="00BB074C">
        <w:rPr>
          <w:rFonts w:cs="Times New Roman"/>
        </w:rPr>
        <w:t>were</w:t>
      </w:r>
      <w:r>
        <w:rPr>
          <w:rFonts w:cs="Times New Roman"/>
        </w:rPr>
        <w:t xml:space="preserve"> based on</w:t>
      </w:r>
      <w:r w:rsidRPr="00BB074C">
        <w:rPr>
          <w:rFonts w:cs="Times New Roman"/>
        </w:rPr>
        <w:t xml:space="preserve"> Hospital Episode Statistics </w:t>
      </w:r>
      <w:r>
        <w:rPr>
          <w:rFonts w:cs="Times New Roman"/>
        </w:rPr>
        <w:t xml:space="preserve">(HES) </w:t>
      </w:r>
      <w:r w:rsidRPr="00BB074C">
        <w:rPr>
          <w:rFonts w:cs="Times New Roman"/>
        </w:rPr>
        <w:t xml:space="preserve">data that were extracted by a third party (Northgate Information Solutions) and were assumed </w:t>
      </w:r>
      <w:r w:rsidR="0033503F">
        <w:rPr>
          <w:rFonts w:cs="Times New Roman"/>
        </w:rPr>
        <w:t xml:space="preserve">to be </w:t>
      </w:r>
      <w:r w:rsidRPr="00BB074C">
        <w:rPr>
          <w:rFonts w:cs="Times New Roman"/>
        </w:rPr>
        <w:t>applicable for use in the updated modelling.</w:t>
      </w:r>
      <w:r>
        <w:rPr>
          <w:rFonts w:cs="Times New Roman"/>
        </w:rPr>
        <w:t xml:space="preserve"> Having performed sensitivity analyses in the construction of the model, by increasing the relative rates by 10, the model did not appear sensitive to this variable and the values were left at the values used previously.</w:t>
      </w:r>
    </w:p>
    <w:p w14:paraId="32EE19FE" w14:textId="77777777" w:rsidR="00B53489" w:rsidRDefault="00B53489" w:rsidP="00B53489"/>
    <w:p w14:paraId="7367E3B0" w14:textId="57D566D6" w:rsidR="00B53489" w:rsidRDefault="00C312F1" w:rsidP="00D20474">
      <w:r>
        <w:t>3.3.4.5</w:t>
      </w:r>
      <w:r w:rsidR="00B53489" w:rsidRPr="00F0261C">
        <w:t xml:space="preserve"> The </w:t>
      </w:r>
      <w:r w:rsidR="00B53489">
        <w:t>assumed costs and quality adjusted life years associated with CJD</w:t>
      </w:r>
    </w:p>
    <w:p w14:paraId="7396BC8A" w14:textId="2A1B1EB0" w:rsidR="00B53489" w:rsidRDefault="00B53489" w:rsidP="007471CB">
      <w:pPr>
        <w:jc w:val="both"/>
        <w:rPr>
          <w:rFonts w:cs="Times New Roman"/>
        </w:rPr>
      </w:pPr>
      <w:r>
        <w:rPr>
          <w:rFonts w:cs="Times New Roman"/>
        </w:rPr>
        <w:t>Once clinical symptoms have developed</w:t>
      </w:r>
      <w:r w:rsidR="0033503F">
        <w:rPr>
          <w:rFonts w:cs="Times New Roman"/>
        </w:rPr>
        <w:t>,</w:t>
      </w:r>
      <w:r>
        <w:rPr>
          <w:rFonts w:cs="Times New Roman"/>
        </w:rPr>
        <w:t xml:space="preserve"> it is assumed that patients accrue no further QALYs due to the severity of the condition. The </w:t>
      </w:r>
      <w:r w:rsidR="0033503F">
        <w:rPr>
          <w:rFonts w:cs="Times New Roman"/>
        </w:rPr>
        <w:t xml:space="preserve">earlier </w:t>
      </w:r>
      <w:r>
        <w:rPr>
          <w:rFonts w:cs="Times New Roman"/>
        </w:rPr>
        <w:t>ScHARR report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used a value of £40,000 for the costs associated with treating a case of CJD. This has been updated using the inflationary indices reported in Curtis and Burns,</w:t>
      </w:r>
      <w:r>
        <w:rPr>
          <w:rFonts w:cs="Times New Roman"/>
        </w:rPr>
        <w:fldChar w:fldCharType="begin"/>
      </w:r>
      <w:r w:rsidR="0076576E">
        <w:rPr>
          <w:rFonts w:cs="Times New Roman"/>
        </w:rPr>
        <w:instrText xml:space="preserve"> ADDIN EN.CITE &lt;EndNote&gt;&lt;Cite&gt;&lt;Author&gt;Curtis&lt;/Author&gt;&lt;Year&gt;2017&lt;/Year&gt;&lt;RecNum&gt;10272&lt;/RecNum&gt;&lt;DisplayText&gt;&lt;style face="superscript"&gt;214&lt;/style&gt;&lt;/DisplayText&gt;&lt;record&gt;&lt;rec-number&gt;10272&lt;/rec-number&gt;&lt;foreign-keys&gt;&lt;key app="EN" db-id="vrp0pptazv05wtesfz5vrzsj2p0rv09ttsa9" timestamp="1520953130" guid="46020885-d782-4a44-bde8-ade29342f26b"&gt;10272&lt;/key&gt;&lt;/foreign-keys&gt;&lt;ref-type name="Report"&gt;27&lt;/ref-type&gt;&lt;contributors&gt;&lt;authors&gt;&lt;author&gt;Curtis, Lesley A.,&lt;/author&gt;&lt;author&gt;Burns, Amanda.&lt;/author&gt;&lt;/authors&gt;&lt;/contributors&gt;&lt;titles&gt;&lt;title&gt;Unit Costs of Health and Social Care 2017. &lt;/title&gt;&lt;secondary-title&gt;Personal Social Services Research Unit, &lt;/secondary-title&gt;&lt;/titles&gt;&lt;pages&gt;260&lt;/pages&gt;&lt;dates&gt;&lt;year&gt;2017&lt;/year&gt;&lt;/dates&gt;&lt;pub-location&gt;University of Kent&lt;/pub-location&gt;&lt;urls&gt;&lt;related-urls&gt;&lt;url&gt;&lt;style face="underline" font="default" size="100%"&gt;https://doi.org/10.22024/UniKent/01.02/65559&lt;/style&gt;&lt;style face="normal" font="default" size="100%"&gt; &lt;/style&gt;&lt;/url&gt;&lt;/related-urls&gt;&lt;/urls&gt;&lt;electronic-resource-num&gt;ISBN 9781911353041&lt;/electronic-resource-num&gt;&lt;/record&gt;&lt;/Cite&gt;&lt;/EndNote&gt;</w:instrText>
      </w:r>
      <w:r>
        <w:rPr>
          <w:rFonts w:cs="Times New Roman"/>
        </w:rPr>
        <w:fldChar w:fldCharType="separate"/>
      </w:r>
      <w:r w:rsidR="0076576E" w:rsidRPr="0076576E">
        <w:rPr>
          <w:rFonts w:cs="Times New Roman"/>
          <w:noProof/>
          <w:vertAlign w:val="superscript"/>
        </w:rPr>
        <w:t>214</w:t>
      </w:r>
      <w:r>
        <w:rPr>
          <w:rFonts w:cs="Times New Roman"/>
        </w:rPr>
        <w:fldChar w:fldCharType="end"/>
      </w:r>
      <w:r>
        <w:rPr>
          <w:rFonts w:cs="Times New Roman"/>
        </w:rPr>
        <w:t xml:space="preserve"> and Curtis</w:t>
      </w:r>
      <w:r>
        <w:rPr>
          <w:rFonts w:cs="Times New Roman"/>
        </w:rPr>
        <w:fldChar w:fldCharType="begin"/>
      </w:r>
      <w:r w:rsidR="0076576E">
        <w:rPr>
          <w:rFonts w:cs="Times New Roman"/>
        </w:rPr>
        <w:instrText xml:space="preserve"> ADDIN EN.CITE &lt;EndNote&gt;&lt;Cite&gt;&lt;Author&gt;L.&lt;/Author&gt;&lt;Year&gt;2014&lt;/Year&gt;&lt;RecNum&gt;10273&lt;/RecNum&gt;&lt;DisplayText&gt;&lt;style face="superscript"&gt;215&lt;/style&gt;&lt;/DisplayText&gt;&lt;record&gt;&lt;rec-number&gt;10273&lt;/rec-number&gt;&lt;foreign-keys&gt;&lt;key app="EN" db-id="vrp0pptazv05wtesfz5vrzsj2p0rv09ttsa9" timestamp="1520953198" guid="6f53588b-1ad9-44e6-a529-dbc6a1ef78d7"&gt;10273&lt;/key&gt;&lt;/foreign-keys&gt;&lt;ref-type name="Report"&gt;27&lt;/ref-type&gt;&lt;contributors&gt;&lt;authors&gt;&lt;author&gt;Curtis L.,&lt;/author&gt;&lt;/authors&gt;&lt;/contributors&gt;&lt;titles&gt;&lt;title&gt;Unit Costs of Health &amp;amp; Social Care 2014. &lt;/title&gt;&lt;/titles&gt;&lt;dates&gt;&lt;year&gt;2014&lt;/year&gt;&lt;/dates&gt;&lt;pub-location&gt;University of Kent.&lt;/pub-location&gt;&lt;urls&gt;&lt;related-urls&gt;&lt;url&gt;&lt;style face="underline" font="default" size="100%"&gt;https://www.pssru.ac.uk/pub/uc/uc2014/full-with-covers.pdf&lt;/style&gt;&lt;style face="normal" font="default" size="100%"&gt;  Accessed 12th March 2018 &lt;/style&gt;&lt;/url&gt;&lt;/related-urls&gt;&lt;/urls&gt;&lt;/record&gt;&lt;/Cite&gt;&lt;/EndNote&gt;</w:instrText>
      </w:r>
      <w:r>
        <w:rPr>
          <w:rFonts w:cs="Times New Roman"/>
        </w:rPr>
        <w:fldChar w:fldCharType="separate"/>
      </w:r>
      <w:r w:rsidR="0076576E" w:rsidRPr="0076576E">
        <w:rPr>
          <w:rFonts w:cs="Times New Roman"/>
          <w:noProof/>
          <w:vertAlign w:val="superscript"/>
        </w:rPr>
        <w:t>215</w:t>
      </w:r>
      <w:r>
        <w:rPr>
          <w:rFonts w:cs="Times New Roman"/>
        </w:rPr>
        <w:fldChar w:fldCharType="end"/>
      </w:r>
      <w:r>
        <w:rPr>
          <w:rFonts w:cs="Times New Roman"/>
        </w:rPr>
        <w:t xml:space="preserve"> which estimate an inflation value of 302.3/240.9 (1.25) between 2005/6 and 2016/17 using the </w:t>
      </w:r>
      <w:r w:rsidR="0033503F">
        <w:rPr>
          <w:rFonts w:cs="Times New Roman"/>
        </w:rPr>
        <w:t>H</w:t>
      </w:r>
      <w:r>
        <w:rPr>
          <w:rFonts w:cs="Times New Roman"/>
        </w:rPr>
        <w:t xml:space="preserve">ospital </w:t>
      </w:r>
      <w:r w:rsidR="0033503F">
        <w:rPr>
          <w:rFonts w:cs="Times New Roman"/>
        </w:rPr>
        <w:t>and</w:t>
      </w:r>
      <w:r>
        <w:rPr>
          <w:rFonts w:cs="Times New Roman"/>
        </w:rPr>
        <w:t xml:space="preserve"> </w:t>
      </w:r>
      <w:r w:rsidR="0033503F">
        <w:rPr>
          <w:rFonts w:cs="Times New Roman"/>
        </w:rPr>
        <w:t>C</w:t>
      </w:r>
      <w:r>
        <w:rPr>
          <w:rFonts w:cs="Times New Roman"/>
        </w:rPr>
        <w:t xml:space="preserve">ommunity </w:t>
      </w:r>
      <w:r w:rsidR="0033503F">
        <w:rPr>
          <w:rFonts w:cs="Times New Roman"/>
        </w:rPr>
        <w:t>H</w:t>
      </w:r>
      <w:r>
        <w:rPr>
          <w:rFonts w:cs="Times New Roman"/>
        </w:rPr>
        <w:t xml:space="preserve">ealth </w:t>
      </w:r>
      <w:r w:rsidR="0033503F">
        <w:rPr>
          <w:rFonts w:cs="Times New Roman"/>
        </w:rPr>
        <w:t>S</w:t>
      </w:r>
      <w:r>
        <w:rPr>
          <w:rFonts w:cs="Times New Roman"/>
        </w:rPr>
        <w:t xml:space="preserve">ervices index. </w:t>
      </w:r>
      <w:r w:rsidR="00A8279C">
        <w:t xml:space="preserve">Data reported in Barnett </w:t>
      </w:r>
      <w:r w:rsidR="00A8279C" w:rsidRPr="00B36F93">
        <w:rPr>
          <w:i/>
        </w:rPr>
        <w:t>et al</w:t>
      </w:r>
      <w:r w:rsidR="00A8279C">
        <w:t>.</w:t>
      </w:r>
      <w:r w:rsidR="00A8279C">
        <w:fldChar w:fldCharType="begin">
          <w:fldData xml:space="preserve">PEVuZE5vdGU+PENpdGU+PEF1dGhvcj5CYXJuZXR0PC9BdXRob3I+PFllYXI+MjAwNTwvWWVhcj48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</w:fldData>
        </w:fldChar>
      </w:r>
      <w:r w:rsidR="0076576E">
        <w:instrText xml:space="preserve"> ADDIN EN.CITE </w:instrText>
      </w:r>
      <w:r w:rsidR="0076576E">
        <w:fldChar w:fldCharType="begin">
          <w:fldData xml:space="preserve">PEVuZE5vdGU+PENpdGU+PEF1dGhvcj5CYXJuZXR0PC9BdXRob3I+PFllYXI+MjAwNTwvWWVhcj48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</w:fldData>
        </w:fldChar>
      </w:r>
      <w:r w:rsidR="0076576E">
        <w:instrText xml:space="preserve"> ADDIN EN.CITE.DATA </w:instrText>
      </w:r>
      <w:r w:rsidR="0076576E">
        <w:fldChar w:fldCharType="end"/>
      </w:r>
      <w:r w:rsidR="00A8279C">
        <w:fldChar w:fldCharType="separate"/>
      </w:r>
      <w:r w:rsidR="0076576E" w:rsidRPr="0076576E">
        <w:rPr>
          <w:noProof/>
          <w:vertAlign w:val="superscript"/>
        </w:rPr>
        <w:t>216</w:t>
      </w:r>
      <w:r w:rsidR="00A8279C">
        <w:fldChar w:fldCharType="end"/>
      </w:r>
      <w:r w:rsidR="00A8279C">
        <w:t xml:space="preserve"> indicate that costs of additional care and/or equipment was approximately £10,500 per person, from invoices received from 33 patients, although the authors of the paper state that ‘</w:t>
      </w:r>
      <w:r w:rsidR="00A8279C" w:rsidRPr="00B36F93">
        <w:rPr>
          <w:i/>
        </w:rPr>
        <w:t>local agencies contributions have not been quantified</w:t>
      </w:r>
      <w:r w:rsidR="00A8279C">
        <w:t xml:space="preserve">’. This is lower than that assumed in the original ScHARR model which has been maintained as the base case value and is favourable to strategies to reduce future stCJD cases. </w:t>
      </w:r>
      <w:r>
        <w:rPr>
          <w:rFonts w:cs="Times New Roman"/>
        </w:rPr>
        <w:t>For simplicity</w:t>
      </w:r>
      <w:r w:rsidR="0033503F">
        <w:rPr>
          <w:rFonts w:cs="Times New Roman"/>
        </w:rPr>
        <w:t>,</w:t>
      </w:r>
      <w:r>
        <w:rPr>
          <w:rFonts w:cs="Times New Roman"/>
        </w:rPr>
        <w:t xml:space="preserve"> we have assumed that the costs, from an NHS and </w:t>
      </w:r>
      <w:r w:rsidR="00F864AE">
        <w:rPr>
          <w:rFonts w:cs="Times New Roman"/>
        </w:rPr>
        <w:t>Personal Social S</w:t>
      </w:r>
      <w:r>
        <w:rPr>
          <w:rFonts w:cs="Times New Roman"/>
        </w:rPr>
        <w:t>ervices perspective, in 2017/8 for a CJD case was £50,000.</w:t>
      </w:r>
    </w:p>
    <w:p w14:paraId="2743DB4B" w14:textId="77777777" w:rsidR="00176BAD" w:rsidRDefault="00176BAD" w:rsidP="00B53489">
      <w:pPr>
        <w:jc w:val="both"/>
        <w:rPr>
          <w:rFonts w:cs="Times New Roman"/>
        </w:rPr>
      </w:pPr>
    </w:p>
    <w:p w14:paraId="40503507" w14:textId="72AE3B71" w:rsidR="00B53489" w:rsidRDefault="00C312F1" w:rsidP="00D20474">
      <w:r>
        <w:t>3.3.4.6</w:t>
      </w:r>
      <w:r w:rsidR="00B53489" w:rsidRPr="00F0261C">
        <w:t xml:space="preserve"> The </w:t>
      </w:r>
      <w:r w:rsidR="00B53489">
        <w:t>probability that a person with CJD symptoms are not diagnosed with CJD</w:t>
      </w:r>
    </w:p>
    <w:p w14:paraId="600F3744" w14:textId="1A06E2CE" w:rsidR="00B53489" w:rsidRDefault="00B53489" w:rsidP="00B53489">
      <w:pPr>
        <w:jc w:val="both"/>
        <w:rPr>
          <w:rFonts w:cs="Times New Roman"/>
        </w:rPr>
      </w:pPr>
      <w:r>
        <w:rPr>
          <w:rFonts w:cs="Times New Roman"/>
        </w:rPr>
        <w:t>It is possible that patients with CJD may be diagnosed with another neurodegenerative disease. This possibility was not considered in the initial ScHARR report,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but was requested following a meeting of the NICE committee. The distribution of patients that were presumed to be diagnosed</w:t>
      </w:r>
      <w:r w:rsidR="00F864AE">
        <w:rPr>
          <w:rFonts w:cs="Times New Roman"/>
        </w:rPr>
        <w:t xml:space="preserve"> with another neurodegenerative disease</w:t>
      </w:r>
      <w:r>
        <w:rPr>
          <w:rFonts w:cs="Times New Roman"/>
        </w:rPr>
        <w:t xml:space="preserve"> was elicited from experts in January 2018 (see Appendix 1 for full details) for two age bands: those aged below 60 years and those aged above 80 years, with the experts willing to allow the misdiagnosis in the 60 years to 80 years</w:t>
      </w:r>
      <w:r w:rsidR="00F864AE">
        <w:rPr>
          <w:rFonts w:cs="Times New Roman"/>
        </w:rPr>
        <w:t xml:space="preserve"> of age</w:t>
      </w:r>
      <w:r>
        <w:rPr>
          <w:rFonts w:cs="Times New Roman"/>
        </w:rPr>
        <w:t xml:space="preserve"> category to be the average of the two other age bands. The distribution for those patients aged under 60 years is shown in </w:t>
      </w:r>
      <w:r>
        <w:rPr>
          <w:rFonts w:cs="Times New Roman"/>
        </w:rPr>
        <w:fldChar w:fldCharType="begin"/>
      </w:r>
      <w:r>
        <w:rPr>
          <w:rFonts w:cs="Times New Roman"/>
        </w:rPr>
        <w:instrText xml:space="preserve"> REF _Ref508958083  \* MERGEFORMAT </w:instrText>
      </w:r>
      <w:r>
        <w:rPr>
          <w:rFonts w:cs="Times New Roman"/>
        </w:rPr>
        <w:fldChar w:fldCharType="separate"/>
      </w:r>
      <w:r w:rsidR="00690541" w:rsidRPr="00D20474">
        <w:rPr>
          <w:rFonts w:cs="Times New Roman"/>
          <w:color w:val="000000" w:themeColor="text1"/>
        </w:rPr>
        <w:t xml:space="preserve">Figure </w:t>
      </w:r>
      <w:r w:rsidR="00690541">
        <w:rPr>
          <w:rFonts w:cs="Times New Roman"/>
          <w:noProof/>
          <w:color w:val="000000" w:themeColor="text1"/>
        </w:rPr>
        <w:t>13</w:t>
      </w:r>
      <w:r>
        <w:rPr>
          <w:rFonts w:cs="Times New Roman"/>
        </w:rPr>
        <w:fldChar w:fldCharType="end"/>
      </w:r>
      <w:r>
        <w:rPr>
          <w:rFonts w:cs="Times New Roman"/>
        </w:rPr>
        <w:t>.</w:t>
      </w:r>
    </w:p>
    <w:p w14:paraId="42C810DB" w14:textId="77777777" w:rsidR="00B53489" w:rsidRDefault="00B53489" w:rsidP="00B53489">
      <w:pPr>
        <w:jc w:val="both"/>
        <w:rPr>
          <w:rFonts w:cs="Times New Roman"/>
        </w:rPr>
      </w:pPr>
    </w:p>
    <w:p w14:paraId="103B83A5" w14:textId="70F2F22D" w:rsidR="00B53489" w:rsidRDefault="00B53489" w:rsidP="00B53489">
      <w:pPr>
        <w:jc w:val="both"/>
        <w:rPr>
          <w:rFonts w:cs="Times New Roman"/>
        </w:rPr>
      </w:pPr>
      <w:r>
        <w:rPr>
          <w:rFonts w:cs="Times New Roman"/>
        </w:rPr>
        <w:t xml:space="preserve">The mean value is 13.0% with a 95% CrI of to 0.4% to 26.8%. The distribution for those patients aged over 80 years is shown in </w:t>
      </w:r>
      <w:r>
        <w:rPr>
          <w:rFonts w:cs="Times New Roman"/>
        </w:rPr>
        <w:fldChar w:fldCharType="begin"/>
      </w:r>
      <w:r>
        <w:rPr>
          <w:rFonts w:cs="Times New Roman"/>
        </w:rPr>
        <w:instrText xml:space="preserve"> REF _Ref508658317  \* MERGEFORMAT </w:instrText>
      </w:r>
      <w:r>
        <w:rPr>
          <w:rFonts w:cs="Times New Roman"/>
        </w:rPr>
        <w:fldChar w:fldCharType="separate"/>
      </w:r>
      <w:r w:rsidR="00690541" w:rsidRPr="00D20474">
        <w:rPr>
          <w:rFonts w:cs="Times New Roman"/>
          <w:color w:val="000000" w:themeColor="text1"/>
        </w:rPr>
        <w:t xml:space="preserve">Figure </w:t>
      </w:r>
      <w:r w:rsidR="00690541">
        <w:rPr>
          <w:rFonts w:cs="Times New Roman"/>
          <w:noProof/>
          <w:color w:val="000000" w:themeColor="text1"/>
        </w:rPr>
        <w:t>14</w:t>
      </w:r>
      <w:r>
        <w:rPr>
          <w:rFonts w:cs="Times New Roman"/>
        </w:rPr>
        <w:fldChar w:fldCharType="end"/>
      </w:r>
      <w:r>
        <w:rPr>
          <w:rFonts w:cs="Times New Roman"/>
        </w:rPr>
        <w:t xml:space="preserve">. The mean value is 55.0% with a 95% CrI of to 18.6% to 88.4%. The simulated distribution for patients aged between 60 and 80 years of age inclusive is shown in </w:t>
      </w:r>
      <w:r w:rsidRPr="006061D6">
        <w:rPr>
          <w:rFonts w:cs="Times New Roman"/>
        </w:rPr>
        <w:fldChar w:fldCharType="begin"/>
      </w:r>
      <w:r w:rsidRPr="006061D6">
        <w:rPr>
          <w:rFonts w:cs="Times New Roman"/>
        </w:rPr>
        <w:instrText xml:space="preserve"> REF _Ref508958083  \* MERGEFORMAT </w:instrText>
      </w:r>
      <w:r w:rsidRPr="006061D6">
        <w:rPr>
          <w:rFonts w:cs="Times New Roman"/>
        </w:rPr>
        <w:fldChar w:fldCharType="separate"/>
      </w:r>
      <w:r w:rsidR="00690541" w:rsidRPr="00D20474">
        <w:rPr>
          <w:rFonts w:cs="Times New Roman"/>
          <w:color w:val="000000" w:themeColor="text1"/>
        </w:rPr>
        <w:t xml:space="preserve">Figure </w:t>
      </w:r>
      <w:r w:rsidR="00690541">
        <w:rPr>
          <w:rFonts w:cs="Times New Roman"/>
          <w:noProof/>
          <w:color w:val="000000" w:themeColor="text1"/>
        </w:rPr>
        <w:t>13</w:t>
      </w:r>
      <w:r w:rsidRPr="006061D6">
        <w:rPr>
          <w:rFonts w:cs="Times New Roman"/>
        </w:rPr>
        <w:fldChar w:fldCharType="end"/>
      </w:r>
      <w:r>
        <w:rPr>
          <w:rFonts w:cs="Times New Roman"/>
        </w:rPr>
        <w:t>. This distribution has a mean of 34.0% with an estimated 95% CrI of 13.5% to 54.3%.</w:t>
      </w:r>
    </w:p>
    <w:p w14:paraId="5635FB80" w14:textId="77777777" w:rsidR="00B53489" w:rsidRDefault="00B53489" w:rsidP="00B53489">
      <w:pPr>
        <w:jc w:val="both"/>
        <w:rPr>
          <w:rFonts w:cs="Times New Roman"/>
        </w:rPr>
      </w:pPr>
    </w:p>
    <w:p w14:paraId="6FFE3DEE" w14:textId="05C43191" w:rsidR="00B53489" w:rsidRDefault="0033503F" w:rsidP="00B53489">
      <w:pPr>
        <w:jc w:val="both"/>
        <w:rPr>
          <w:rFonts w:cs="Times New Roman"/>
        </w:rPr>
      </w:pPr>
      <w:r>
        <w:rPr>
          <w:rFonts w:cs="Times New Roman"/>
        </w:rPr>
        <w:t xml:space="preserve">It should be noted </w:t>
      </w:r>
      <w:r w:rsidR="00B53489">
        <w:rPr>
          <w:rFonts w:cs="Times New Roman"/>
        </w:rPr>
        <w:t>that based on the advice of clinical experts on the committee</w:t>
      </w:r>
      <w:r>
        <w:rPr>
          <w:rFonts w:cs="Times New Roman"/>
        </w:rPr>
        <w:t>,</w:t>
      </w:r>
      <w:r w:rsidR="00B53489">
        <w:rPr>
          <w:rFonts w:cs="Times New Roman"/>
        </w:rPr>
        <w:t xml:space="preserve"> there has been no change in CJD case ascertainment levels since 2005. This is partially supported by data from </w:t>
      </w:r>
      <w:r w:rsidR="00F864AE">
        <w:rPr>
          <w:rFonts w:cs="Times New Roman"/>
        </w:rPr>
        <w:t xml:space="preserve">the </w:t>
      </w:r>
      <w:r w:rsidR="00F864AE" w:rsidRPr="00BE20A8">
        <w:rPr>
          <w:rFonts w:eastAsia="Calibri" w:cs="Times New Roman"/>
        </w:rPr>
        <w:t>NCJDRSU</w:t>
      </w:r>
      <w:r w:rsidR="00B53489">
        <w:rPr>
          <w:rFonts w:cs="Times New Roman"/>
        </w:rPr>
        <w:t xml:space="preserve"> in the UK (25</w:t>
      </w:r>
      <w:r w:rsidR="00B53489" w:rsidRPr="00495AA7">
        <w:rPr>
          <w:rFonts w:cs="Times New Roman"/>
          <w:vertAlign w:val="superscript"/>
        </w:rPr>
        <w:t>th</w:t>
      </w:r>
      <w:r w:rsidR="00B53489">
        <w:rPr>
          <w:rFonts w:cs="Times New Roman"/>
        </w:rPr>
        <w:t xml:space="preserve"> Annual Report (Figure 3</w:t>
      </w:r>
      <w:r w:rsidR="00B53489">
        <w:rPr>
          <w:rFonts w:cs="Times New Roman"/>
        </w:rPr>
        <w:fldChar w:fldCharType="begin"/>
      </w:r>
      <w:r w:rsidR="0076576E">
        <w:rPr>
          <w:rFonts w:cs="Times New Roman"/>
        </w:rPr>
        <w:instrText xml:space="preserve"> ADDIN EN.CITE &lt;EndNote&gt;&lt;Cite&gt;&lt;Year&gt;2015&lt;/Year&gt;&lt;RecNum&gt;10281&lt;/RecNum&gt;&lt;DisplayText&gt;&lt;style face="superscript"&gt;217&lt;/style&gt;&lt;/DisplayText&gt;&lt;record&gt;&lt;rec-number&gt;10281&lt;/rec-number&gt;&lt;foreign-keys&gt;&lt;key app="EN" db-id="vrp0pptazv05wtesfz5vrzsj2p0rv09ttsa9" timestamp="1521470141" guid="8b66ce73-4fe4-4710-b2a5-b7b226d359d6"&gt;10281&lt;/key&gt;&lt;/foreign-keys&gt;&lt;ref-type name="Report"&gt;27&lt;/ref-type&gt;&lt;contributors&gt;&lt;/contributors&gt;&lt;titles&gt;&lt;title&gt;Creutzfeldt-Jakob Disease Surveillance in the UK. 24th Annual Report 2015&lt;/title&gt;&lt;/titles&gt;&lt;dates&gt;&lt;year&gt;2015&lt;/year&gt;&lt;/dates&gt;&lt;pub-location&gt;Edinburgh&lt;/pub-location&gt;&lt;publisher&gt;The National CJD Research &amp;amp; Surveillance Unit, Western General Hospital, Edinburgh, EH4 2XU&lt;/publisher&gt;&lt;urls&gt;&lt;related-urls&gt;&lt;url&gt;&lt;style face="underline" font="default" size="100%"&gt;http://www.cjd.ed.ac.uk/sites/default/files/Report24.pdf&lt;/style&gt;&lt;style face="normal" font="default" size="100%"&gt; Accessed 19th March 2018. &lt;/style&gt;&lt;/url&gt;&lt;/related-urls&gt;&lt;/urls&gt;&lt;/record&gt;&lt;/Cite&gt;&lt;/EndNote&gt;</w:instrText>
      </w:r>
      <w:r w:rsidR="00B53489">
        <w:rPr>
          <w:rFonts w:cs="Times New Roman"/>
        </w:rPr>
        <w:fldChar w:fldCharType="separate"/>
      </w:r>
      <w:r w:rsidR="0076576E" w:rsidRPr="0076576E">
        <w:rPr>
          <w:rFonts w:cs="Times New Roman"/>
          <w:noProof/>
          <w:vertAlign w:val="superscript"/>
        </w:rPr>
        <w:t>217</w:t>
      </w:r>
      <w:r w:rsidR="00B53489">
        <w:rPr>
          <w:rFonts w:cs="Times New Roman"/>
        </w:rPr>
        <w:fldChar w:fldCharType="end"/>
      </w:r>
      <w:r w:rsidR="00B53489">
        <w:rPr>
          <w:rFonts w:cs="Times New Roman"/>
        </w:rPr>
        <w:t xml:space="preserve">)) which showed similar age-specific mortality rates between 2005-09 and 2010-16 in those aged 60-64 years and those aged 75-79 years. However, the age-specific mortality rates were higher in the 70-74 </w:t>
      </w:r>
      <w:r w:rsidR="00F864AE">
        <w:rPr>
          <w:rFonts w:cs="Times New Roman"/>
        </w:rPr>
        <w:t>years</w:t>
      </w:r>
      <w:r w:rsidR="00B53489">
        <w:rPr>
          <w:rFonts w:cs="Times New Roman"/>
        </w:rPr>
        <w:t xml:space="preserve"> </w:t>
      </w:r>
      <w:r w:rsidR="00CA619B">
        <w:rPr>
          <w:rFonts w:cs="Times New Roman"/>
        </w:rPr>
        <w:t xml:space="preserve">of age </w:t>
      </w:r>
      <w:r w:rsidR="00B53489">
        <w:rPr>
          <w:rFonts w:cs="Times New Roman"/>
        </w:rPr>
        <w:t xml:space="preserve">group in 2010-16 than in 2005-09, which could be indicative of better ascertainment in recent years. The assumption of equal ascertainment would favour single-use instruments. </w:t>
      </w:r>
    </w:p>
    <w:p w14:paraId="079ACAE7" w14:textId="77777777" w:rsidR="00B53489" w:rsidRDefault="00B53489" w:rsidP="00B53489">
      <w:pPr>
        <w:jc w:val="both"/>
        <w:rPr>
          <w:rFonts w:cs="Times New Roman"/>
        </w:rPr>
      </w:pPr>
    </w:p>
    <w:p w14:paraId="5866A18F" w14:textId="3A7B7CFD" w:rsidR="00B53489" w:rsidRDefault="00B53489" w:rsidP="00B53489">
      <w:pPr>
        <w:jc w:val="both"/>
        <w:rPr>
          <w:rFonts w:cs="Times New Roman"/>
        </w:rPr>
      </w:pPr>
      <w:r>
        <w:rPr>
          <w:rFonts w:cs="Times New Roman"/>
        </w:rPr>
        <w:t xml:space="preserve">In patients who are correctly diagnosed with CJD, the model does not explicitly distinguish between sCJD and stCJD and thus the probability node at the far right of </w:t>
      </w:r>
      <w:r w:rsidRPr="007A44DC">
        <w:rPr>
          <w:rFonts w:cs="Times New Roman"/>
        </w:rPr>
        <w:fldChar w:fldCharType="begin"/>
      </w:r>
      <w:r w:rsidRPr="007A44DC">
        <w:rPr>
          <w:rFonts w:cs="Times New Roman"/>
        </w:rPr>
        <w:instrText xml:space="preserve"> REF _Ref508958162  \* MERGEFORMAT </w:instrText>
      </w:r>
      <w:r w:rsidRPr="007A44DC">
        <w:rPr>
          <w:rFonts w:cs="Times New Roman"/>
        </w:rPr>
        <w:fldChar w:fldCharType="separate"/>
      </w:r>
      <w:r w:rsidR="00690541" w:rsidRPr="00930045">
        <w:rPr>
          <w:rFonts w:cs="Times New Roman"/>
        </w:rPr>
        <w:t xml:space="preserve">Figure </w:t>
      </w:r>
      <w:r w:rsidR="00690541">
        <w:rPr>
          <w:rFonts w:cs="Times New Roman"/>
          <w:noProof/>
        </w:rPr>
        <w:t>5</w:t>
      </w:r>
      <w:r w:rsidRPr="007A44DC">
        <w:rPr>
          <w:rFonts w:cs="Times New Roman"/>
        </w:rPr>
        <w:fldChar w:fldCharType="end"/>
      </w:r>
      <w:r>
        <w:rPr>
          <w:rFonts w:cs="Times New Roman"/>
        </w:rPr>
        <w:t xml:space="preserve"> is not contained in the model. However, it is appreciated that patients with stCJD may be categorised as sCJD, and these are used when calibrating the model output to the numbers of observed cases. This is described in more detail in </w:t>
      </w:r>
      <w:r w:rsidRPr="00F864AE">
        <w:rPr>
          <w:rFonts w:cs="Times New Roman"/>
        </w:rPr>
        <w:t>Section 3.4.1.2.</w:t>
      </w:r>
    </w:p>
    <w:p w14:paraId="7450DA24" w14:textId="77777777" w:rsidR="00B53489" w:rsidRDefault="00B53489" w:rsidP="00B53489">
      <w:pPr>
        <w:rPr>
          <w:rFonts w:cs="Times New Roman"/>
        </w:rPr>
      </w:pPr>
    </w:p>
    <w:p w14:paraId="5CCD8632" w14:textId="77777777" w:rsidR="00B53489" w:rsidRDefault="00B53489" w:rsidP="00B53489">
      <w:pPr>
        <w:rPr>
          <w:rFonts w:cs="Times New Roman"/>
          <w:b/>
          <w:iCs/>
          <w:color w:val="000000" w:themeColor="text1"/>
        </w:rPr>
      </w:pPr>
      <w:bookmarkStart w:id="120" w:name="_Ref508657712"/>
      <w:r>
        <w:rPr>
          <w:rFonts w:cs="Times New Roman"/>
          <w:b/>
          <w:i/>
          <w:color w:val="000000" w:themeColor="text1"/>
        </w:rPr>
        <w:br w:type="page"/>
      </w:r>
    </w:p>
    <w:p w14:paraId="53A21463" w14:textId="655BD682" w:rsidR="00B53489" w:rsidRPr="00D20474" w:rsidRDefault="00B53489" w:rsidP="00B53489">
      <w:pPr>
        <w:pStyle w:val="Caption"/>
        <w:spacing w:line="360" w:lineRule="auto"/>
        <w:ind w:left="1440" w:hanging="1440"/>
        <w:rPr>
          <w:rFonts w:cs="Times New Roman"/>
          <w:color w:val="000000" w:themeColor="text1"/>
          <w:szCs w:val="22"/>
        </w:rPr>
      </w:pPr>
      <w:bookmarkStart w:id="121" w:name="_Ref508958083"/>
      <w:bookmarkStart w:id="122" w:name="_Toc525106730"/>
      <w:r w:rsidRPr="00D20474">
        <w:rPr>
          <w:rFonts w:cs="Times New Roman"/>
          <w:color w:val="000000" w:themeColor="text1"/>
          <w:szCs w:val="22"/>
        </w:rPr>
        <w:t xml:space="preserve">Figure </w:t>
      </w:r>
      <w:r w:rsidRPr="00D20474">
        <w:rPr>
          <w:rFonts w:cs="Times New Roman"/>
          <w:color w:val="000000" w:themeColor="text1"/>
          <w:szCs w:val="22"/>
        </w:rPr>
        <w:fldChar w:fldCharType="begin"/>
      </w:r>
      <w:r w:rsidRPr="00D20474">
        <w:rPr>
          <w:rFonts w:cs="Times New Roman"/>
          <w:color w:val="000000" w:themeColor="text1"/>
          <w:szCs w:val="22"/>
        </w:rPr>
        <w:instrText xml:space="preserve"> SEQ Figure \* ARABIC </w:instrText>
      </w:r>
      <w:r w:rsidRPr="00D20474">
        <w:rPr>
          <w:rFonts w:cs="Times New Roman"/>
          <w:color w:val="000000" w:themeColor="text1"/>
          <w:szCs w:val="22"/>
        </w:rPr>
        <w:fldChar w:fldCharType="separate"/>
      </w:r>
      <w:r w:rsidR="00690541">
        <w:rPr>
          <w:rFonts w:cs="Times New Roman"/>
          <w:noProof/>
          <w:color w:val="000000" w:themeColor="text1"/>
          <w:szCs w:val="22"/>
        </w:rPr>
        <w:t>13</w:t>
      </w:r>
      <w:r w:rsidRPr="00D20474">
        <w:rPr>
          <w:rFonts w:cs="Times New Roman"/>
          <w:color w:val="000000" w:themeColor="text1"/>
          <w:szCs w:val="22"/>
        </w:rPr>
        <w:fldChar w:fldCharType="end"/>
      </w:r>
      <w:bookmarkEnd w:id="120"/>
      <w:bookmarkEnd w:id="121"/>
      <w:r w:rsidRPr="00D20474">
        <w:rPr>
          <w:rFonts w:cs="Times New Roman"/>
          <w:color w:val="000000" w:themeColor="text1"/>
          <w:szCs w:val="22"/>
        </w:rPr>
        <w:t>:</w:t>
      </w:r>
      <w:r w:rsidRPr="00D20474">
        <w:rPr>
          <w:rFonts w:cs="Times New Roman"/>
          <w:color w:val="000000" w:themeColor="text1"/>
          <w:szCs w:val="22"/>
        </w:rPr>
        <w:tab/>
        <w:t>The proportion of patients under 60 years with clinical CJD symptoms that are diagnosed with another neurodegenerative disease</w:t>
      </w:r>
      <w:bookmarkEnd w:id="122"/>
    </w:p>
    <w:p w14:paraId="0BF50D35" w14:textId="77777777" w:rsidR="00B53489" w:rsidRDefault="00B53489" w:rsidP="00B53489">
      <w:r>
        <w:rPr>
          <w:rFonts w:cs="Times New Roman"/>
          <w:noProof/>
          <w:lang w:eastAsia="en-GB"/>
        </w:rPr>
        <w:drawing>
          <wp:inline distT="0" distB="0" distL="0" distR="0" wp14:anchorId="2C03BBE0" wp14:editId="264B4A42">
            <wp:extent cx="4669971" cy="3005524"/>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isD 60.png"/>
                    <pic:cNvPicPr/>
                  </pic:nvPicPr>
                  <pic:blipFill>
                    <a:blip r:embed="rId25">
                      <a:extLst>
                        <a:ext uri="{28A0092B-C50C-407E-A947-70E740481C1C}">
                          <a14:useLocalDpi xmlns:a14="http://schemas.microsoft.com/office/drawing/2010/main" val="0"/>
                        </a:ext>
                      </a:extLst>
                    </a:blip>
                    <a:stretch>
                      <a:fillRect/>
                    </a:stretch>
                  </pic:blipFill>
                  <pic:spPr>
                    <a:xfrm>
                      <a:off x="0" y="0"/>
                      <a:ext cx="4691233" cy="3019208"/>
                    </a:xfrm>
                    <a:prstGeom prst="rect">
                      <a:avLst/>
                    </a:prstGeom>
                  </pic:spPr>
                </pic:pic>
              </a:graphicData>
            </a:graphic>
          </wp:inline>
        </w:drawing>
      </w:r>
      <w:r>
        <w:rPr>
          <w:rFonts w:cs="Times New Roman"/>
        </w:rPr>
        <w:t xml:space="preserve"> </w:t>
      </w:r>
    </w:p>
    <w:p w14:paraId="53086BAA" w14:textId="77777777" w:rsidR="00B53489" w:rsidRDefault="00B53489" w:rsidP="00B53489"/>
    <w:p w14:paraId="0517488E" w14:textId="77777777" w:rsidR="00B53489" w:rsidRDefault="00B53489" w:rsidP="00B53489"/>
    <w:p w14:paraId="6947235C" w14:textId="26E27258" w:rsidR="00B53489" w:rsidRPr="00D20474" w:rsidRDefault="00B53489" w:rsidP="00B53489">
      <w:pPr>
        <w:pStyle w:val="Caption"/>
        <w:spacing w:line="360" w:lineRule="auto"/>
        <w:ind w:left="1440" w:hanging="1440"/>
        <w:rPr>
          <w:rFonts w:cs="Times New Roman"/>
          <w:color w:val="000000" w:themeColor="text1"/>
          <w:szCs w:val="22"/>
        </w:rPr>
      </w:pPr>
      <w:bookmarkStart w:id="123" w:name="_Ref508658317"/>
      <w:bookmarkStart w:id="124" w:name="_Toc525106731"/>
      <w:bookmarkStart w:id="125" w:name="_Hlk508658587"/>
      <w:r w:rsidRPr="00D20474">
        <w:rPr>
          <w:rFonts w:cs="Times New Roman"/>
          <w:color w:val="000000" w:themeColor="text1"/>
          <w:szCs w:val="22"/>
        </w:rPr>
        <w:t xml:space="preserve">Figure </w:t>
      </w:r>
      <w:r w:rsidRPr="00D20474">
        <w:rPr>
          <w:rFonts w:cs="Times New Roman"/>
          <w:color w:val="000000" w:themeColor="text1"/>
          <w:szCs w:val="22"/>
        </w:rPr>
        <w:fldChar w:fldCharType="begin"/>
      </w:r>
      <w:r w:rsidRPr="00D20474">
        <w:rPr>
          <w:rFonts w:cs="Times New Roman"/>
          <w:color w:val="000000" w:themeColor="text1"/>
          <w:szCs w:val="22"/>
        </w:rPr>
        <w:instrText xml:space="preserve"> SEQ Figure \* ARABIC </w:instrText>
      </w:r>
      <w:r w:rsidRPr="00D20474">
        <w:rPr>
          <w:rFonts w:cs="Times New Roman"/>
          <w:color w:val="000000" w:themeColor="text1"/>
          <w:szCs w:val="22"/>
        </w:rPr>
        <w:fldChar w:fldCharType="separate"/>
      </w:r>
      <w:r w:rsidR="00690541">
        <w:rPr>
          <w:rFonts w:cs="Times New Roman"/>
          <w:noProof/>
          <w:color w:val="000000" w:themeColor="text1"/>
          <w:szCs w:val="22"/>
        </w:rPr>
        <w:t>14</w:t>
      </w:r>
      <w:r w:rsidRPr="00D20474">
        <w:rPr>
          <w:rFonts w:cs="Times New Roman"/>
          <w:color w:val="000000" w:themeColor="text1"/>
          <w:szCs w:val="22"/>
        </w:rPr>
        <w:fldChar w:fldCharType="end"/>
      </w:r>
      <w:bookmarkEnd w:id="123"/>
      <w:r w:rsidRPr="00D20474">
        <w:rPr>
          <w:rFonts w:cs="Times New Roman"/>
          <w:color w:val="000000" w:themeColor="text1"/>
          <w:szCs w:val="22"/>
        </w:rPr>
        <w:t>:</w:t>
      </w:r>
      <w:r w:rsidRPr="00D20474">
        <w:rPr>
          <w:rFonts w:cs="Times New Roman"/>
          <w:color w:val="000000" w:themeColor="text1"/>
          <w:szCs w:val="22"/>
        </w:rPr>
        <w:tab/>
        <w:t>The proportion of patients over 80 years with clinical CJD symptoms that are diagnosed with another neurodegenerative disease</w:t>
      </w:r>
      <w:bookmarkEnd w:id="124"/>
    </w:p>
    <w:bookmarkEnd w:id="125"/>
    <w:p w14:paraId="69246DF7" w14:textId="77777777" w:rsidR="00B53489" w:rsidRDefault="00B53489" w:rsidP="00B53489">
      <w:r>
        <w:rPr>
          <w:noProof/>
          <w:lang w:eastAsia="en-GB"/>
        </w:rPr>
        <w:drawing>
          <wp:inline distT="0" distB="0" distL="0" distR="0" wp14:anchorId="316C7D33" wp14:editId="2A0BE259">
            <wp:extent cx="4731327" cy="29006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sD 80+.png"/>
                    <pic:cNvPicPr/>
                  </pic:nvPicPr>
                  <pic:blipFill rotWithShape="1">
                    <a:blip r:embed="rId26">
                      <a:extLst>
                        <a:ext uri="{28A0092B-C50C-407E-A947-70E740481C1C}">
                          <a14:useLocalDpi xmlns:a14="http://schemas.microsoft.com/office/drawing/2010/main" val="0"/>
                        </a:ext>
                      </a:extLst>
                    </a:blip>
                    <a:srcRect t="7917" r="2983"/>
                    <a:stretch/>
                  </pic:blipFill>
                  <pic:spPr bwMode="auto">
                    <a:xfrm>
                      <a:off x="0" y="0"/>
                      <a:ext cx="4751020" cy="2912674"/>
                    </a:xfrm>
                    <a:prstGeom prst="rect">
                      <a:avLst/>
                    </a:prstGeom>
                    <a:ln>
                      <a:noFill/>
                    </a:ln>
                    <a:extLst>
                      <a:ext uri="{53640926-AAD7-44D8-BBD7-CCE9431645EC}">
                        <a14:shadowObscured xmlns:a14="http://schemas.microsoft.com/office/drawing/2010/main"/>
                      </a:ext>
                    </a:extLst>
                  </pic:spPr>
                </pic:pic>
              </a:graphicData>
            </a:graphic>
          </wp:inline>
        </w:drawing>
      </w:r>
    </w:p>
    <w:p w14:paraId="359B8C00" w14:textId="77777777" w:rsidR="00B53489" w:rsidRDefault="00B53489" w:rsidP="00B53489"/>
    <w:p w14:paraId="2B56ABBA" w14:textId="77777777" w:rsidR="00B53489" w:rsidRDefault="00B53489" w:rsidP="00B53489">
      <w:pPr>
        <w:rPr>
          <w:rFonts w:cs="Times New Roman"/>
          <w:b/>
          <w:iCs/>
          <w:color w:val="000000" w:themeColor="text1"/>
        </w:rPr>
      </w:pPr>
      <w:bookmarkStart w:id="126" w:name="_Ref508658525"/>
      <w:r>
        <w:rPr>
          <w:rFonts w:cs="Times New Roman"/>
          <w:b/>
          <w:i/>
          <w:color w:val="000000" w:themeColor="text1"/>
        </w:rPr>
        <w:br w:type="page"/>
      </w:r>
    </w:p>
    <w:p w14:paraId="3706BC3D" w14:textId="1F61ECF7" w:rsidR="00B53489" w:rsidRPr="00D20474" w:rsidRDefault="00B53489" w:rsidP="00B53489">
      <w:pPr>
        <w:pStyle w:val="Caption"/>
        <w:spacing w:line="360" w:lineRule="auto"/>
        <w:ind w:left="1440" w:hanging="1440"/>
        <w:rPr>
          <w:rFonts w:cs="Times New Roman"/>
          <w:color w:val="000000" w:themeColor="text1"/>
          <w:szCs w:val="22"/>
        </w:rPr>
      </w:pPr>
      <w:bookmarkStart w:id="127" w:name="_Toc525106732"/>
      <w:r w:rsidRPr="00D20474">
        <w:rPr>
          <w:rFonts w:cs="Times New Roman"/>
          <w:color w:val="000000" w:themeColor="text1"/>
          <w:szCs w:val="22"/>
        </w:rPr>
        <w:t xml:space="preserve">Figure </w:t>
      </w:r>
      <w:r w:rsidRPr="00D20474">
        <w:rPr>
          <w:rFonts w:cs="Times New Roman"/>
          <w:color w:val="000000" w:themeColor="text1"/>
          <w:szCs w:val="22"/>
        </w:rPr>
        <w:fldChar w:fldCharType="begin"/>
      </w:r>
      <w:r w:rsidRPr="00D20474">
        <w:rPr>
          <w:rFonts w:cs="Times New Roman"/>
          <w:color w:val="000000" w:themeColor="text1"/>
          <w:szCs w:val="22"/>
        </w:rPr>
        <w:instrText xml:space="preserve"> SEQ Figure \* ARABIC </w:instrText>
      </w:r>
      <w:r w:rsidRPr="00D20474">
        <w:rPr>
          <w:rFonts w:cs="Times New Roman"/>
          <w:color w:val="000000" w:themeColor="text1"/>
          <w:szCs w:val="22"/>
        </w:rPr>
        <w:fldChar w:fldCharType="separate"/>
      </w:r>
      <w:r w:rsidR="00690541">
        <w:rPr>
          <w:rFonts w:cs="Times New Roman"/>
          <w:noProof/>
          <w:color w:val="000000" w:themeColor="text1"/>
          <w:szCs w:val="22"/>
        </w:rPr>
        <w:t>15</w:t>
      </w:r>
      <w:r w:rsidRPr="00D20474">
        <w:rPr>
          <w:rFonts w:cs="Times New Roman"/>
          <w:color w:val="000000" w:themeColor="text1"/>
          <w:szCs w:val="22"/>
        </w:rPr>
        <w:fldChar w:fldCharType="end"/>
      </w:r>
      <w:bookmarkEnd w:id="126"/>
      <w:r w:rsidRPr="00D20474">
        <w:rPr>
          <w:rFonts w:cs="Times New Roman"/>
          <w:color w:val="000000" w:themeColor="text1"/>
          <w:szCs w:val="22"/>
        </w:rPr>
        <w:t>:</w:t>
      </w:r>
      <w:r w:rsidRPr="00D20474">
        <w:rPr>
          <w:rFonts w:cs="Times New Roman"/>
          <w:color w:val="000000" w:themeColor="text1"/>
          <w:szCs w:val="22"/>
        </w:rPr>
        <w:tab/>
        <w:t>The simulated proportion of patients aged between 60 and 80 years inclusive with clinical CJD symptoms that are diagnosed with another neurodegenerative disease</w:t>
      </w:r>
      <w:bookmarkEnd w:id="127"/>
    </w:p>
    <w:p w14:paraId="18703672" w14:textId="77777777" w:rsidR="00B53489" w:rsidRDefault="00B53489" w:rsidP="00B53489">
      <w:r>
        <w:rPr>
          <w:rFonts w:ascii="Arial" w:hAnsi="Arial" w:cs="Arial"/>
          <w:noProof/>
          <w:lang w:eastAsia="en-GB"/>
        </w:rPr>
        <w:drawing>
          <wp:inline distT="0" distB="0" distL="0" distR="0" wp14:anchorId="24F73B7D" wp14:editId="3BB1E501">
            <wp:extent cx="3670300" cy="317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plot3.pdf"/>
                    <pic:cNvPicPr/>
                  </pic:nvPicPr>
                  <pic:blipFill>
                    <a:blip r:embed="rId27"/>
                    <a:stretch>
                      <a:fillRect/>
                    </a:stretch>
                  </pic:blipFill>
                  <pic:spPr>
                    <a:xfrm>
                      <a:off x="0" y="0"/>
                      <a:ext cx="3670300" cy="3175000"/>
                    </a:xfrm>
                    <a:prstGeom prst="rect">
                      <a:avLst/>
                    </a:prstGeom>
                  </pic:spPr>
                </pic:pic>
              </a:graphicData>
            </a:graphic>
          </wp:inline>
        </w:drawing>
      </w:r>
    </w:p>
    <w:p w14:paraId="23E5756E" w14:textId="77777777" w:rsidR="00B53489" w:rsidRDefault="00B53489" w:rsidP="00B53489"/>
    <w:p w14:paraId="34D6B169" w14:textId="77777777" w:rsidR="00B53489" w:rsidRDefault="00B53489" w:rsidP="00B53489"/>
    <w:p w14:paraId="2B60E8AE" w14:textId="6E25E701" w:rsidR="00B53489" w:rsidRPr="00D20474" w:rsidRDefault="00B53489" w:rsidP="00B53489">
      <w:pPr>
        <w:pStyle w:val="Heading3"/>
        <w:ind w:left="720" w:hanging="720"/>
        <w:rPr>
          <w:b w:val="0"/>
          <w:i/>
          <w:color w:val="000000" w:themeColor="text1"/>
          <w:szCs w:val="22"/>
        </w:rPr>
      </w:pPr>
      <w:r w:rsidRPr="00D20474">
        <w:rPr>
          <w:b w:val="0"/>
          <w:i/>
          <w:color w:val="000000" w:themeColor="text1"/>
          <w:szCs w:val="22"/>
        </w:rPr>
        <w:t>3.3.5</w:t>
      </w:r>
      <w:r w:rsidRPr="00D20474">
        <w:rPr>
          <w:b w:val="0"/>
          <w:i/>
          <w:color w:val="000000" w:themeColor="text1"/>
          <w:szCs w:val="22"/>
        </w:rPr>
        <w:tab/>
        <w:t>Parameters relating to the numbers of operations that are considered to be high</w:t>
      </w:r>
      <w:r w:rsidR="00017B68">
        <w:rPr>
          <w:b w:val="0"/>
          <w:i/>
          <w:color w:val="000000" w:themeColor="text1"/>
          <w:szCs w:val="22"/>
        </w:rPr>
        <w:t>-</w:t>
      </w:r>
      <w:r w:rsidRPr="00D20474">
        <w:rPr>
          <w:b w:val="0"/>
          <w:i/>
          <w:color w:val="000000" w:themeColor="text1"/>
          <w:szCs w:val="22"/>
        </w:rPr>
        <w:t>risk and the characteristics of patients undergoing these operations</w:t>
      </w:r>
    </w:p>
    <w:p w14:paraId="3FCB2564" w14:textId="77777777" w:rsidR="00B53489" w:rsidRDefault="00B53489" w:rsidP="00D20474">
      <w:r>
        <w:t>3.3.5.1</w:t>
      </w:r>
      <w:r w:rsidRPr="00F0261C">
        <w:t xml:space="preserve"> </w:t>
      </w:r>
      <w:r>
        <w:tab/>
      </w:r>
      <w:r w:rsidRPr="00F0261C">
        <w:t xml:space="preserve">The </w:t>
      </w:r>
      <w:r>
        <w:t>operations considered to be at risk</w:t>
      </w:r>
    </w:p>
    <w:p w14:paraId="6F66406C" w14:textId="5222ABE8" w:rsidR="00B53489" w:rsidRDefault="00B53489" w:rsidP="002809C8">
      <w:pPr>
        <w:jc w:val="both"/>
        <w:rPr>
          <w:rFonts w:cs="Times New Roman"/>
        </w:rPr>
      </w:pPr>
      <w:r>
        <w:rPr>
          <w:rFonts w:cs="Times New Roman"/>
        </w:rPr>
        <w:t xml:space="preserve">In consultation with NICE only high-risk operations are modelled, which have been subdivided into those related to the brain, those related to posterior </w:t>
      </w:r>
      <w:r w:rsidR="00F864AE">
        <w:rPr>
          <w:rFonts w:cs="Times New Roman"/>
        </w:rPr>
        <w:t xml:space="preserve">eye </w:t>
      </w:r>
      <w:r>
        <w:rPr>
          <w:rFonts w:cs="Times New Roman"/>
        </w:rPr>
        <w:t>operations and those involving neuroendoscopy. The operations, using HES data to four characters, that are considered to be high-risk were identified by an expert on the NICE committee and are contained in Appendix 2. For brain operations</w:t>
      </w:r>
      <w:r w:rsidR="00017B68">
        <w:rPr>
          <w:rFonts w:cs="Times New Roman"/>
        </w:rPr>
        <w:t>,</w:t>
      </w:r>
      <w:r>
        <w:rPr>
          <w:rFonts w:cs="Times New Roman"/>
        </w:rPr>
        <w:t xml:space="preserve"> an expert on the NICE committee grouped the operations into those with normal life expectancy, those where the patient would </w:t>
      </w:r>
      <w:r w:rsidR="002809C8">
        <w:rPr>
          <w:rFonts w:cs="Times New Roman"/>
        </w:rPr>
        <w:t xml:space="preserve">be expected to survive </w:t>
      </w:r>
      <w:r>
        <w:rPr>
          <w:rFonts w:cs="Times New Roman"/>
        </w:rPr>
        <w:t>1</w:t>
      </w:r>
      <w:r w:rsidR="002809C8">
        <w:rPr>
          <w:rFonts w:cs="Times New Roman"/>
        </w:rPr>
        <w:t>8</w:t>
      </w:r>
      <w:r>
        <w:rPr>
          <w:rFonts w:cs="Times New Roman"/>
        </w:rPr>
        <w:t xml:space="preserve"> months, and those with a 50% probability of death </w:t>
      </w:r>
      <w:r w:rsidR="002809C8">
        <w:rPr>
          <w:rFonts w:cs="Times New Roman"/>
        </w:rPr>
        <w:t>at</w:t>
      </w:r>
      <w:r>
        <w:rPr>
          <w:rFonts w:cs="Times New Roman"/>
        </w:rPr>
        <w:t xml:space="preserve"> 1</w:t>
      </w:r>
      <w:r w:rsidR="002809C8">
        <w:rPr>
          <w:rFonts w:cs="Times New Roman"/>
        </w:rPr>
        <w:t>8</w:t>
      </w:r>
      <w:r>
        <w:rPr>
          <w:rFonts w:cs="Times New Roman"/>
        </w:rPr>
        <w:t xml:space="preserve"> months and a 50% probability of a normal life expectancy.  </w:t>
      </w:r>
    </w:p>
    <w:p w14:paraId="40C259EF" w14:textId="77777777" w:rsidR="00B53489" w:rsidRDefault="00B53489" w:rsidP="00B53489">
      <w:pPr>
        <w:jc w:val="both"/>
        <w:rPr>
          <w:rFonts w:cs="Times New Roman"/>
        </w:rPr>
      </w:pPr>
    </w:p>
    <w:p w14:paraId="7B00F279" w14:textId="5D1F3134" w:rsidR="00B53489" w:rsidRDefault="00B53489" w:rsidP="00B53489">
      <w:pPr>
        <w:jc w:val="both"/>
      </w:pPr>
      <w:r>
        <w:rPr>
          <w:rFonts w:cs="Times New Roman"/>
        </w:rPr>
        <w:t xml:space="preserve">Only the </w:t>
      </w:r>
      <w:r w:rsidRPr="00566C96">
        <w:rPr>
          <w:rFonts w:cs="Times New Roman"/>
        </w:rPr>
        <w:t>main procedure codes have been used rather than all the procedure codes</w:t>
      </w:r>
      <w:r w:rsidR="00017B68">
        <w:rPr>
          <w:rFonts w:cs="Times New Roman"/>
        </w:rPr>
        <w:t>,</w:t>
      </w:r>
      <w:r w:rsidRPr="00566C96">
        <w:rPr>
          <w:rFonts w:cs="Times New Roman"/>
        </w:rPr>
        <w:t xml:space="preserve"> as there is a possibility that more than one high-risk HES code is undertaken within the same operation, using the same instrument set</w:t>
      </w:r>
      <w:r>
        <w:rPr>
          <w:rFonts w:cs="Times New Roman"/>
        </w:rPr>
        <w:t>. In the modelling, the HES data have been inflated by 15% as in the ScHARR report</w:t>
      </w:r>
      <w:r>
        <w:rPr>
          <w:rFonts w:cs="Times New Roman"/>
        </w:rPr>
        <w:fldChar w:fldCharType="begin"/>
      </w:r>
      <w:r w:rsidR="00D63CDB">
        <w:rPr>
          <w:rFonts w:cs="Times New Roman"/>
        </w:rPr>
        <w:instrText xml:space="preserve"> ADDIN EN.CITE &lt;EndNote&gt;&lt;Cite&gt;&lt;Author&gt;Stevenson&lt;/Author&gt;&lt;Year&gt;2006&lt;/Year&gt;&lt;RecNum&gt;576&lt;/RecNum&gt;&lt;DisplayText&gt;&lt;style face="superscript"&gt;11&lt;/style&gt;&lt;/DisplayText&gt;&lt;record&gt;&lt;rec-number&gt;576&lt;/rec-number&gt;&lt;foreign-keys&gt;&lt;key app="EN" db-id="vrp0pptazv05wtesfz5vrzsj2p0rv09ttsa9" timestamp="1499838793" guid="cfd8a45a-8388-4e4d-af93-96ad6b7272b7"&gt;576&lt;/key&gt;&lt;/foreign-keys&gt;&lt;ref-type name="Report"&gt;27&lt;/ref-type&gt;&lt;contributors&gt;&lt;authors&gt;&lt;author&gt;Stevenson, M.&lt;/author&gt;&lt;author&gt;Oakley, J.&lt;/author&gt;&lt;author&gt;Chick, S. E. &lt;/author&gt;&lt;/authors&gt;&lt;/contributors&gt;&lt;titles&gt;&lt;title&gt;Patient safety and reduction of risk of transmission of Creutzfeldt–Jakob disease (CJD) via interventional procedures—final report&lt;/title&gt;&lt;secondary-title&gt;Report for NICE Interventional Procedures Programme&lt;/secondary-title&gt;&lt;/titles&gt;&lt;keywords&gt;&lt;keyword&gt;$$Lesley added for protocol&lt;/keyword&gt;&lt;/keywords&gt;&lt;dates&gt;&lt;year&gt;2006&lt;/year&gt;&lt;/dates&gt;&lt;publisher&gt;School of Health and Related Research, University of Sheffield&lt;/publisher&gt;&lt;urls&gt;&lt;related-urls&gt;&lt;url&gt;&lt;style face="underline" font="default" size="100%"&gt;https://www.nice.org.uk/guidance/ipg196/documents/ipg196-patient-safety-and-reduction-of-risk-of-transmission-of-creutzfeldtjakob-disease-cjd-via-interventional-procedures-final-report2&lt;/style&gt;&lt;/url&gt;&lt;/related-urls&gt;&lt;/urls&gt;&lt;access-date&gt;11.07.2017&lt;/access-date&gt;&lt;/record&gt;&lt;/Cite&gt;&lt;/EndNote&gt;</w:instrText>
      </w:r>
      <w:r>
        <w:rPr>
          <w:rFonts w:cs="Times New Roman"/>
        </w:rPr>
        <w:fldChar w:fldCharType="separate"/>
      </w:r>
      <w:r w:rsidR="005C50C5" w:rsidRPr="005C50C5">
        <w:rPr>
          <w:rFonts w:cs="Times New Roman"/>
          <w:noProof/>
          <w:vertAlign w:val="superscript"/>
        </w:rPr>
        <w:t>11</w:t>
      </w:r>
      <w:r>
        <w:rPr>
          <w:rFonts w:cs="Times New Roman"/>
        </w:rPr>
        <w:fldChar w:fldCharType="end"/>
      </w:r>
      <w:r>
        <w:rPr>
          <w:rFonts w:cs="Times New Roman"/>
        </w:rPr>
        <w:t xml:space="preserve"> to take into consideration that </w:t>
      </w:r>
      <w:r w:rsidRPr="00566C96">
        <w:rPr>
          <w:rFonts w:cs="Times New Roman"/>
        </w:rPr>
        <w:t xml:space="preserve">not all of the additional operations (between </w:t>
      </w:r>
      <w:r w:rsidR="00017B68">
        <w:rPr>
          <w:rFonts w:cs="Times New Roman"/>
        </w:rPr>
        <w:t xml:space="preserve">the </w:t>
      </w:r>
      <w:r w:rsidRPr="00566C96">
        <w:rPr>
          <w:rFonts w:cs="Times New Roman"/>
        </w:rPr>
        <w:t>main procedure and all procedures) are conducted simultaneously with another high-risk code, and also to incorporate operations undertaken by the private sector</w:t>
      </w:r>
      <w:r>
        <w:rPr>
          <w:rFonts w:cs="Times New Roman"/>
        </w:rPr>
        <w:t xml:space="preserve"> in non-NHS hospitals.</w:t>
      </w:r>
    </w:p>
    <w:p w14:paraId="6E630530" w14:textId="77777777" w:rsidR="00B53489" w:rsidRPr="001C3166" w:rsidRDefault="00B53489" w:rsidP="00B53489">
      <w:pPr>
        <w:rPr>
          <w:rFonts w:cs="Times New Roman"/>
        </w:rPr>
      </w:pPr>
    </w:p>
    <w:p w14:paraId="67CAFE97" w14:textId="24C1DEDC" w:rsidR="00B53489" w:rsidRDefault="00B53489" w:rsidP="00B53489">
      <w:pPr>
        <w:jc w:val="both"/>
        <w:rPr>
          <w:rFonts w:cs="Times New Roman"/>
        </w:rPr>
      </w:pPr>
      <w:r w:rsidRPr="001C3166">
        <w:rPr>
          <w:rFonts w:cs="Times New Roman"/>
        </w:rPr>
        <w:t xml:space="preserve">The </w:t>
      </w:r>
      <w:r>
        <w:rPr>
          <w:rFonts w:cs="Times New Roman"/>
        </w:rPr>
        <w:t xml:space="preserve">estimated </w:t>
      </w:r>
      <w:r w:rsidRPr="001C3166">
        <w:rPr>
          <w:rFonts w:cs="Times New Roman"/>
        </w:rPr>
        <w:t>numb</w:t>
      </w:r>
      <w:r>
        <w:rPr>
          <w:rFonts w:cs="Times New Roman"/>
        </w:rPr>
        <w:t>e</w:t>
      </w:r>
      <w:r w:rsidRPr="001C3166">
        <w:rPr>
          <w:rFonts w:cs="Times New Roman"/>
        </w:rPr>
        <w:t>r</w:t>
      </w:r>
      <w:r>
        <w:rPr>
          <w:rFonts w:cs="Times New Roman"/>
        </w:rPr>
        <w:t xml:space="preserve"> of operations reported within the HES data since January 1</w:t>
      </w:r>
      <w:r w:rsidRPr="00CC78F1">
        <w:rPr>
          <w:rFonts w:cs="Times New Roman"/>
          <w:vertAlign w:val="superscript"/>
        </w:rPr>
        <w:t>st</w:t>
      </w:r>
      <w:r>
        <w:rPr>
          <w:rFonts w:cs="Times New Roman"/>
        </w:rPr>
        <w:t xml:space="preserve"> 2005 are provided in </w:t>
      </w:r>
      <w:r w:rsidRPr="00842923">
        <w:rPr>
          <w:rFonts w:cs="Times New Roman"/>
        </w:rPr>
        <w:fldChar w:fldCharType="begin"/>
      </w:r>
      <w:r w:rsidRPr="00842923">
        <w:rPr>
          <w:rFonts w:cs="Times New Roman"/>
        </w:rPr>
        <w:instrText xml:space="preserve"> REF _Ref508958214  \* MERGEFORMAT </w:instrText>
      </w:r>
      <w:r w:rsidRPr="00842923">
        <w:rPr>
          <w:rFonts w:cs="Times New Roman"/>
        </w:rPr>
        <w:fldChar w:fldCharType="separate"/>
      </w:r>
      <w:r w:rsidR="00690541" w:rsidRPr="00D20474">
        <w:rPr>
          <w:rFonts w:cs="Times New Roman"/>
        </w:rPr>
        <w:t xml:space="preserve">Table </w:t>
      </w:r>
      <w:r w:rsidR="00690541">
        <w:rPr>
          <w:rFonts w:cs="Times New Roman"/>
          <w:noProof/>
        </w:rPr>
        <w:t>25</w:t>
      </w:r>
      <w:r w:rsidRPr="00842923">
        <w:rPr>
          <w:rFonts w:cs="Times New Roman"/>
        </w:rPr>
        <w:fldChar w:fldCharType="end"/>
      </w:r>
      <w:r w:rsidRPr="00842923">
        <w:rPr>
          <w:rFonts w:cs="Times New Roman"/>
        </w:rPr>
        <w:t>.</w:t>
      </w:r>
      <w:r>
        <w:rPr>
          <w:rFonts w:cs="Times New Roman"/>
        </w:rPr>
        <w:t xml:space="preserve"> </w:t>
      </w:r>
      <w:r w:rsidRPr="00763307">
        <w:rPr>
          <w:rFonts w:cs="Times New Roman"/>
        </w:rPr>
        <w:t>For future years</w:t>
      </w:r>
      <w:r w:rsidR="00017B68">
        <w:rPr>
          <w:rFonts w:cs="Times New Roman"/>
        </w:rPr>
        <w:t>,</w:t>
      </w:r>
      <w:r w:rsidRPr="00763307">
        <w:rPr>
          <w:rFonts w:cs="Times New Roman"/>
        </w:rPr>
        <w:t xml:space="preserve"> the average number of operations in the last three years were assumed to continue. Operations were assumed to happen</w:t>
      </w:r>
      <w:r w:rsidR="00F864AE">
        <w:rPr>
          <w:rFonts w:cs="Times New Roman"/>
        </w:rPr>
        <w:t xml:space="preserve"> at a constant rate</w:t>
      </w:r>
      <w:r w:rsidRPr="00763307">
        <w:rPr>
          <w:rFonts w:cs="Times New Roman"/>
        </w:rPr>
        <w:t xml:space="preserve"> throughout the year. </w:t>
      </w:r>
      <w:r w:rsidR="00017B68">
        <w:rPr>
          <w:rFonts w:cs="Times New Roman"/>
        </w:rPr>
        <w:t>It should be noted</w:t>
      </w:r>
      <w:r w:rsidR="00017B68" w:rsidRPr="00763307">
        <w:rPr>
          <w:rFonts w:cs="Times New Roman"/>
        </w:rPr>
        <w:t xml:space="preserve"> </w:t>
      </w:r>
      <w:r w:rsidRPr="00763307">
        <w:rPr>
          <w:rFonts w:cs="Times New Roman"/>
        </w:rPr>
        <w:t xml:space="preserve">that the values </w:t>
      </w:r>
      <w:r>
        <w:rPr>
          <w:rFonts w:cs="Times New Roman"/>
        </w:rPr>
        <w:t xml:space="preserve">in </w:t>
      </w:r>
      <w:r w:rsidRPr="00842923">
        <w:rPr>
          <w:rFonts w:cs="Times New Roman"/>
        </w:rPr>
        <w:fldChar w:fldCharType="begin"/>
      </w:r>
      <w:r w:rsidRPr="00842923">
        <w:rPr>
          <w:rFonts w:cs="Times New Roman"/>
        </w:rPr>
        <w:instrText xml:space="preserve"> REF _Ref508958214  \* MERGEFORMAT </w:instrText>
      </w:r>
      <w:r w:rsidRPr="00842923">
        <w:rPr>
          <w:rFonts w:cs="Times New Roman"/>
        </w:rPr>
        <w:fldChar w:fldCharType="separate"/>
      </w:r>
      <w:r w:rsidR="00690541" w:rsidRPr="00D20474">
        <w:rPr>
          <w:rFonts w:cs="Times New Roman"/>
        </w:rPr>
        <w:t xml:space="preserve">Table </w:t>
      </w:r>
      <w:r w:rsidR="00690541">
        <w:rPr>
          <w:rFonts w:cs="Times New Roman"/>
          <w:noProof/>
        </w:rPr>
        <w:t>25</w:t>
      </w:r>
      <w:r w:rsidRPr="00842923">
        <w:rPr>
          <w:rFonts w:cs="Times New Roman"/>
        </w:rPr>
        <w:fldChar w:fldCharType="end"/>
      </w:r>
      <w:r>
        <w:rPr>
          <w:rFonts w:cs="Times New Roman"/>
        </w:rPr>
        <w:t xml:space="preserve"> </w:t>
      </w:r>
      <w:r w:rsidRPr="00763307">
        <w:rPr>
          <w:rFonts w:cs="Times New Roman"/>
        </w:rPr>
        <w:t xml:space="preserve">are those reported in </w:t>
      </w:r>
      <w:r w:rsidR="00017B68">
        <w:rPr>
          <w:rFonts w:cs="Times New Roman"/>
        </w:rPr>
        <w:t xml:space="preserve">the </w:t>
      </w:r>
      <w:r w:rsidRPr="00763307">
        <w:rPr>
          <w:rFonts w:cs="Times New Roman"/>
        </w:rPr>
        <w:t xml:space="preserve">HES data as main procedures and have been increased by </w:t>
      </w:r>
      <w:r w:rsidR="00F864AE">
        <w:rPr>
          <w:rFonts w:cs="Times New Roman"/>
        </w:rPr>
        <w:t xml:space="preserve">15% </w:t>
      </w:r>
      <w:r w:rsidRPr="00763307">
        <w:rPr>
          <w:rFonts w:cs="Times New Roman"/>
        </w:rPr>
        <w:t>within the model</w:t>
      </w:r>
      <w:r w:rsidR="00F864AE">
        <w:rPr>
          <w:rFonts w:cs="Times New Roman"/>
        </w:rPr>
        <w:t xml:space="preserve"> in line with the earlier modelling undertaken by ScHARR</w:t>
      </w:r>
      <w:r w:rsidRPr="00763307">
        <w:rPr>
          <w:rFonts w:cs="Times New Roman"/>
        </w:rPr>
        <w:t>.</w:t>
      </w:r>
    </w:p>
    <w:p w14:paraId="7195E64E" w14:textId="77777777" w:rsidR="00B53489" w:rsidRDefault="00B53489" w:rsidP="00B53489">
      <w:pPr>
        <w:rPr>
          <w:rFonts w:cs="Times New Roman"/>
        </w:rPr>
      </w:pPr>
    </w:p>
    <w:p w14:paraId="1EB13D6B" w14:textId="30C4BD2E" w:rsidR="00B53489" w:rsidRPr="001C3A0D" w:rsidRDefault="00B53489" w:rsidP="00B53489">
      <w:pPr>
        <w:jc w:val="both"/>
        <w:rPr>
          <w:rFonts w:cs="Times New Roman"/>
        </w:rPr>
      </w:pPr>
      <w:r w:rsidRPr="001C3A0D">
        <w:rPr>
          <w:rFonts w:cs="Times New Roman"/>
        </w:rPr>
        <w:t xml:space="preserve">HES data provide age breakdowns for each code, with more granularity in </w:t>
      </w:r>
      <w:r w:rsidR="00017B68">
        <w:rPr>
          <w:rFonts w:cs="Times New Roman"/>
        </w:rPr>
        <w:t xml:space="preserve">the </w:t>
      </w:r>
      <w:r w:rsidRPr="001C3A0D">
        <w:rPr>
          <w:rFonts w:cs="Times New Roman"/>
        </w:rPr>
        <w:t>years 2012 onwards than prior to this date. Analysis of these data indicated that the age profile of patients for each of the three brain operation grouping</w:t>
      </w:r>
      <w:r>
        <w:rPr>
          <w:rFonts w:cs="Times New Roman"/>
        </w:rPr>
        <w:t>s</w:t>
      </w:r>
      <w:r w:rsidRPr="001C3A0D">
        <w:rPr>
          <w:rFonts w:cs="Times New Roman"/>
        </w:rPr>
        <w:t xml:space="preserve">, for neuroendoscopy, and for posterior eye operations remained relatively stable across time. As such, for simplification, the age profile within 2016-17 were assumed to apply throughout the model. Depictions of each assumed age profile </w:t>
      </w:r>
      <w:r w:rsidR="00017B68">
        <w:rPr>
          <w:rFonts w:cs="Times New Roman"/>
        </w:rPr>
        <w:t>are</w:t>
      </w:r>
      <w:r w:rsidR="00017B68" w:rsidRPr="001C3A0D">
        <w:rPr>
          <w:rFonts w:cs="Times New Roman"/>
        </w:rPr>
        <w:t xml:space="preserve"> </w:t>
      </w:r>
      <w:r w:rsidRPr="001C3A0D">
        <w:rPr>
          <w:rFonts w:cs="Times New Roman"/>
        </w:rPr>
        <w:t xml:space="preserve">provided in Appendix </w:t>
      </w:r>
      <w:r>
        <w:rPr>
          <w:rFonts w:cs="Times New Roman"/>
        </w:rPr>
        <w:t>C</w:t>
      </w:r>
      <w:r w:rsidRPr="001C3A0D">
        <w:rPr>
          <w:rFonts w:cs="Times New Roman"/>
        </w:rPr>
        <w:t>.</w:t>
      </w:r>
    </w:p>
    <w:p w14:paraId="108DE7BF" w14:textId="77777777" w:rsidR="00B53489" w:rsidRPr="001C3166" w:rsidRDefault="00B53489" w:rsidP="00B53489">
      <w:pPr>
        <w:rPr>
          <w:rFonts w:cs="Times New Roman"/>
        </w:rPr>
      </w:pPr>
    </w:p>
    <w:p w14:paraId="3AC49141" w14:textId="5F8853A2" w:rsidR="00B53489" w:rsidRPr="00D20474" w:rsidRDefault="00B53489" w:rsidP="00B53489">
      <w:pPr>
        <w:pStyle w:val="Caption"/>
        <w:spacing w:line="360" w:lineRule="auto"/>
        <w:ind w:left="1440" w:hanging="1440"/>
        <w:rPr>
          <w:rFonts w:cs="Times New Roman"/>
          <w:szCs w:val="22"/>
        </w:rPr>
      </w:pPr>
      <w:bookmarkStart w:id="128" w:name="_Ref508719502"/>
      <w:bookmarkStart w:id="129" w:name="_Ref508958214"/>
      <w:bookmarkStart w:id="130" w:name="_Toc525106712"/>
      <w:r w:rsidRPr="00D20474">
        <w:rPr>
          <w:rFonts w:cs="Times New Roman"/>
          <w:szCs w:val="22"/>
        </w:rPr>
        <w:t xml:space="preserve">Table </w:t>
      </w:r>
      <w:r w:rsidRPr="00D20474">
        <w:rPr>
          <w:rFonts w:cs="Times New Roman"/>
          <w:szCs w:val="22"/>
        </w:rPr>
        <w:fldChar w:fldCharType="begin"/>
      </w:r>
      <w:r w:rsidRPr="00D20474">
        <w:rPr>
          <w:rFonts w:cs="Times New Roman"/>
          <w:szCs w:val="22"/>
        </w:rPr>
        <w:instrText xml:space="preserve"> SEQ Table \* ARABIC </w:instrText>
      </w:r>
      <w:r w:rsidRPr="00D20474">
        <w:rPr>
          <w:rFonts w:cs="Times New Roman"/>
          <w:szCs w:val="22"/>
        </w:rPr>
        <w:fldChar w:fldCharType="separate"/>
      </w:r>
      <w:r w:rsidR="00690541">
        <w:rPr>
          <w:rFonts w:cs="Times New Roman"/>
          <w:noProof/>
          <w:szCs w:val="22"/>
        </w:rPr>
        <w:t>25</w:t>
      </w:r>
      <w:r w:rsidRPr="00D20474">
        <w:rPr>
          <w:rFonts w:cs="Times New Roman"/>
          <w:szCs w:val="22"/>
        </w:rPr>
        <w:fldChar w:fldCharType="end"/>
      </w:r>
      <w:bookmarkEnd w:id="128"/>
      <w:bookmarkEnd w:id="129"/>
      <w:r w:rsidRPr="00D20474">
        <w:rPr>
          <w:rFonts w:cs="Times New Roman"/>
          <w:szCs w:val="22"/>
        </w:rPr>
        <w:t>:</w:t>
      </w:r>
      <w:r w:rsidRPr="00D20474">
        <w:rPr>
          <w:rFonts w:cs="Times New Roman"/>
          <w:szCs w:val="22"/>
        </w:rPr>
        <w:tab/>
        <w:t xml:space="preserve">The number of operations classified as high-risk by the NICE committee </w:t>
      </w:r>
      <w:r w:rsidR="00F864AE">
        <w:rPr>
          <w:rFonts w:cs="Times New Roman"/>
          <w:szCs w:val="22"/>
        </w:rPr>
        <w:t>(</w:t>
      </w:r>
      <w:r w:rsidRPr="00D20474">
        <w:rPr>
          <w:rFonts w:cs="Times New Roman"/>
          <w:szCs w:val="22"/>
        </w:rPr>
        <w:t>HES data</w:t>
      </w:r>
      <w:r w:rsidR="00F864AE">
        <w:rPr>
          <w:rFonts w:cs="Times New Roman"/>
          <w:szCs w:val="22"/>
        </w:rPr>
        <w:t>)</w:t>
      </w:r>
      <w:bookmarkEnd w:id="130"/>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34"/>
        <w:gridCol w:w="993"/>
        <w:gridCol w:w="992"/>
        <w:gridCol w:w="1134"/>
        <w:gridCol w:w="1276"/>
      </w:tblGrid>
      <w:tr w:rsidR="00B53489" w:rsidRPr="00CC78F1" w14:paraId="1BE7223D" w14:textId="77777777" w:rsidTr="00B53489">
        <w:trPr>
          <w:trHeight w:val="300"/>
        </w:trPr>
        <w:tc>
          <w:tcPr>
            <w:tcW w:w="2263" w:type="dxa"/>
            <w:shd w:val="clear" w:color="auto" w:fill="auto"/>
            <w:noWrap/>
            <w:vAlign w:val="bottom"/>
            <w:hideMark/>
          </w:tcPr>
          <w:p w14:paraId="220544D4" w14:textId="77777777" w:rsidR="00B53489" w:rsidRPr="00CC78F1" w:rsidRDefault="00B53489" w:rsidP="00B53489">
            <w:pPr>
              <w:spacing w:line="240" w:lineRule="auto"/>
              <w:rPr>
                <w:rFonts w:eastAsia="Times New Roman" w:cs="Times New Roman"/>
                <w:sz w:val="24"/>
                <w:szCs w:val="24"/>
                <w:lang w:eastAsia="en-GB"/>
              </w:rPr>
            </w:pPr>
          </w:p>
        </w:tc>
        <w:tc>
          <w:tcPr>
            <w:tcW w:w="1134" w:type="dxa"/>
            <w:shd w:val="clear" w:color="auto" w:fill="auto"/>
            <w:noWrap/>
            <w:vAlign w:val="bottom"/>
            <w:hideMark/>
          </w:tcPr>
          <w:p w14:paraId="3F2E472B"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Brain 1</w:t>
            </w:r>
          </w:p>
        </w:tc>
        <w:tc>
          <w:tcPr>
            <w:tcW w:w="993" w:type="dxa"/>
            <w:shd w:val="clear" w:color="auto" w:fill="auto"/>
            <w:noWrap/>
            <w:vAlign w:val="bottom"/>
            <w:hideMark/>
          </w:tcPr>
          <w:p w14:paraId="6D6D0167"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Brain 2</w:t>
            </w:r>
          </w:p>
        </w:tc>
        <w:tc>
          <w:tcPr>
            <w:tcW w:w="992" w:type="dxa"/>
            <w:shd w:val="clear" w:color="auto" w:fill="auto"/>
            <w:noWrap/>
            <w:vAlign w:val="bottom"/>
            <w:hideMark/>
          </w:tcPr>
          <w:p w14:paraId="09DBC2E2"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Brain 3</w:t>
            </w:r>
          </w:p>
        </w:tc>
        <w:tc>
          <w:tcPr>
            <w:tcW w:w="1134" w:type="dxa"/>
            <w:shd w:val="clear" w:color="auto" w:fill="auto"/>
            <w:noWrap/>
            <w:vAlign w:val="bottom"/>
            <w:hideMark/>
          </w:tcPr>
          <w:p w14:paraId="4ED01252"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NE</w:t>
            </w:r>
          </w:p>
        </w:tc>
        <w:tc>
          <w:tcPr>
            <w:tcW w:w="1276" w:type="dxa"/>
            <w:shd w:val="clear" w:color="auto" w:fill="auto"/>
            <w:noWrap/>
            <w:vAlign w:val="bottom"/>
            <w:hideMark/>
          </w:tcPr>
          <w:p w14:paraId="1F5BB2CD"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PE</w:t>
            </w:r>
          </w:p>
        </w:tc>
      </w:tr>
      <w:tr w:rsidR="00B53489" w:rsidRPr="00CC78F1" w14:paraId="71A83706" w14:textId="77777777" w:rsidTr="00B53489">
        <w:trPr>
          <w:trHeight w:val="300"/>
        </w:trPr>
        <w:tc>
          <w:tcPr>
            <w:tcW w:w="2263" w:type="dxa"/>
            <w:shd w:val="clear" w:color="auto" w:fill="auto"/>
            <w:noWrap/>
            <w:vAlign w:val="bottom"/>
            <w:hideMark/>
          </w:tcPr>
          <w:p w14:paraId="0D1947BE"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2005-06</w:t>
            </w:r>
          </w:p>
        </w:tc>
        <w:tc>
          <w:tcPr>
            <w:tcW w:w="1134" w:type="dxa"/>
            <w:shd w:val="clear" w:color="auto" w:fill="auto"/>
            <w:noWrap/>
            <w:vAlign w:val="bottom"/>
            <w:hideMark/>
          </w:tcPr>
          <w:p w14:paraId="1DE205BD"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19,554 </w:t>
            </w:r>
          </w:p>
        </w:tc>
        <w:tc>
          <w:tcPr>
            <w:tcW w:w="993" w:type="dxa"/>
            <w:shd w:val="clear" w:color="auto" w:fill="auto"/>
            <w:noWrap/>
            <w:vAlign w:val="bottom"/>
            <w:hideMark/>
          </w:tcPr>
          <w:p w14:paraId="0302E29B"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5,346 </w:t>
            </w:r>
          </w:p>
        </w:tc>
        <w:tc>
          <w:tcPr>
            <w:tcW w:w="992" w:type="dxa"/>
            <w:shd w:val="clear" w:color="auto" w:fill="auto"/>
            <w:noWrap/>
            <w:vAlign w:val="bottom"/>
            <w:hideMark/>
          </w:tcPr>
          <w:p w14:paraId="20BBF79A"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1,684 </w:t>
            </w:r>
          </w:p>
        </w:tc>
        <w:tc>
          <w:tcPr>
            <w:tcW w:w="1134" w:type="dxa"/>
            <w:shd w:val="clear" w:color="auto" w:fill="auto"/>
            <w:noWrap/>
            <w:vAlign w:val="bottom"/>
            <w:hideMark/>
          </w:tcPr>
          <w:p w14:paraId="661697A0"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302 </w:t>
            </w:r>
          </w:p>
        </w:tc>
        <w:tc>
          <w:tcPr>
            <w:tcW w:w="1276" w:type="dxa"/>
            <w:shd w:val="clear" w:color="auto" w:fill="auto"/>
            <w:noWrap/>
            <w:vAlign w:val="bottom"/>
            <w:hideMark/>
          </w:tcPr>
          <w:p w14:paraId="0BC3CD50"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4,629 </w:t>
            </w:r>
          </w:p>
        </w:tc>
      </w:tr>
      <w:tr w:rsidR="00B53489" w:rsidRPr="00CC78F1" w14:paraId="25D92BC7" w14:textId="77777777" w:rsidTr="00B53489">
        <w:trPr>
          <w:trHeight w:val="300"/>
        </w:trPr>
        <w:tc>
          <w:tcPr>
            <w:tcW w:w="2263" w:type="dxa"/>
            <w:shd w:val="clear" w:color="auto" w:fill="auto"/>
            <w:noWrap/>
            <w:vAlign w:val="bottom"/>
            <w:hideMark/>
          </w:tcPr>
          <w:p w14:paraId="5D53CD86"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2006-07</w:t>
            </w:r>
          </w:p>
        </w:tc>
        <w:tc>
          <w:tcPr>
            <w:tcW w:w="1134" w:type="dxa"/>
            <w:shd w:val="clear" w:color="auto" w:fill="auto"/>
            <w:noWrap/>
            <w:vAlign w:val="bottom"/>
            <w:hideMark/>
          </w:tcPr>
          <w:p w14:paraId="7300808B"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21,451 </w:t>
            </w:r>
          </w:p>
        </w:tc>
        <w:tc>
          <w:tcPr>
            <w:tcW w:w="993" w:type="dxa"/>
            <w:shd w:val="clear" w:color="auto" w:fill="auto"/>
            <w:noWrap/>
            <w:vAlign w:val="bottom"/>
            <w:hideMark/>
          </w:tcPr>
          <w:p w14:paraId="75503FCA"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5,317 </w:t>
            </w:r>
          </w:p>
        </w:tc>
        <w:tc>
          <w:tcPr>
            <w:tcW w:w="992" w:type="dxa"/>
            <w:shd w:val="clear" w:color="auto" w:fill="auto"/>
            <w:noWrap/>
            <w:vAlign w:val="bottom"/>
            <w:hideMark/>
          </w:tcPr>
          <w:p w14:paraId="22AC2CC9"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1,069 </w:t>
            </w:r>
          </w:p>
        </w:tc>
        <w:tc>
          <w:tcPr>
            <w:tcW w:w="1134" w:type="dxa"/>
            <w:shd w:val="clear" w:color="auto" w:fill="auto"/>
            <w:noWrap/>
            <w:vAlign w:val="bottom"/>
            <w:hideMark/>
          </w:tcPr>
          <w:p w14:paraId="423ECCFF"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311 </w:t>
            </w:r>
          </w:p>
        </w:tc>
        <w:tc>
          <w:tcPr>
            <w:tcW w:w="1276" w:type="dxa"/>
            <w:shd w:val="clear" w:color="auto" w:fill="auto"/>
            <w:noWrap/>
            <w:vAlign w:val="bottom"/>
            <w:hideMark/>
          </w:tcPr>
          <w:p w14:paraId="7E4B3264"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4,098 </w:t>
            </w:r>
          </w:p>
        </w:tc>
      </w:tr>
      <w:tr w:rsidR="00B53489" w:rsidRPr="00CC78F1" w14:paraId="084EA78A" w14:textId="77777777" w:rsidTr="00B53489">
        <w:trPr>
          <w:trHeight w:val="300"/>
        </w:trPr>
        <w:tc>
          <w:tcPr>
            <w:tcW w:w="2263" w:type="dxa"/>
            <w:shd w:val="clear" w:color="auto" w:fill="auto"/>
            <w:noWrap/>
            <w:vAlign w:val="bottom"/>
            <w:hideMark/>
          </w:tcPr>
          <w:p w14:paraId="1771381A"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2007-08</w:t>
            </w:r>
          </w:p>
        </w:tc>
        <w:tc>
          <w:tcPr>
            <w:tcW w:w="1134" w:type="dxa"/>
            <w:shd w:val="clear" w:color="auto" w:fill="auto"/>
            <w:noWrap/>
            <w:vAlign w:val="bottom"/>
            <w:hideMark/>
          </w:tcPr>
          <w:p w14:paraId="6D8209DF"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19,302 </w:t>
            </w:r>
          </w:p>
        </w:tc>
        <w:tc>
          <w:tcPr>
            <w:tcW w:w="993" w:type="dxa"/>
            <w:shd w:val="clear" w:color="auto" w:fill="auto"/>
            <w:noWrap/>
            <w:vAlign w:val="bottom"/>
            <w:hideMark/>
          </w:tcPr>
          <w:p w14:paraId="30C19458"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5,517 </w:t>
            </w:r>
          </w:p>
        </w:tc>
        <w:tc>
          <w:tcPr>
            <w:tcW w:w="992" w:type="dxa"/>
            <w:shd w:val="clear" w:color="auto" w:fill="auto"/>
            <w:noWrap/>
            <w:vAlign w:val="bottom"/>
            <w:hideMark/>
          </w:tcPr>
          <w:p w14:paraId="0D64AFD7"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1,062 </w:t>
            </w:r>
          </w:p>
        </w:tc>
        <w:tc>
          <w:tcPr>
            <w:tcW w:w="1134" w:type="dxa"/>
            <w:shd w:val="clear" w:color="auto" w:fill="auto"/>
            <w:noWrap/>
            <w:vAlign w:val="bottom"/>
            <w:hideMark/>
          </w:tcPr>
          <w:p w14:paraId="6ABA8399"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338 </w:t>
            </w:r>
          </w:p>
        </w:tc>
        <w:tc>
          <w:tcPr>
            <w:tcW w:w="1276" w:type="dxa"/>
            <w:shd w:val="clear" w:color="auto" w:fill="auto"/>
            <w:noWrap/>
            <w:vAlign w:val="bottom"/>
            <w:hideMark/>
          </w:tcPr>
          <w:p w14:paraId="10578324"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6,164 </w:t>
            </w:r>
          </w:p>
        </w:tc>
      </w:tr>
      <w:tr w:rsidR="00B53489" w:rsidRPr="00CC78F1" w14:paraId="76041F47" w14:textId="77777777" w:rsidTr="00B53489">
        <w:trPr>
          <w:trHeight w:val="300"/>
        </w:trPr>
        <w:tc>
          <w:tcPr>
            <w:tcW w:w="2263" w:type="dxa"/>
            <w:shd w:val="clear" w:color="auto" w:fill="auto"/>
            <w:noWrap/>
            <w:vAlign w:val="bottom"/>
            <w:hideMark/>
          </w:tcPr>
          <w:p w14:paraId="4C7E1A18"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2008-09</w:t>
            </w:r>
          </w:p>
        </w:tc>
        <w:tc>
          <w:tcPr>
            <w:tcW w:w="1134" w:type="dxa"/>
            <w:shd w:val="clear" w:color="auto" w:fill="auto"/>
            <w:noWrap/>
            <w:vAlign w:val="bottom"/>
            <w:hideMark/>
          </w:tcPr>
          <w:p w14:paraId="1CBBF711"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18,406 </w:t>
            </w:r>
          </w:p>
        </w:tc>
        <w:tc>
          <w:tcPr>
            <w:tcW w:w="993" w:type="dxa"/>
            <w:shd w:val="clear" w:color="auto" w:fill="auto"/>
            <w:noWrap/>
            <w:vAlign w:val="bottom"/>
            <w:hideMark/>
          </w:tcPr>
          <w:p w14:paraId="720213AD"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5,557 </w:t>
            </w:r>
          </w:p>
        </w:tc>
        <w:tc>
          <w:tcPr>
            <w:tcW w:w="992" w:type="dxa"/>
            <w:shd w:val="clear" w:color="auto" w:fill="auto"/>
            <w:noWrap/>
            <w:vAlign w:val="bottom"/>
            <w:hideMark/>
          </w:tcPr>
          <w:p w14:paraId="54B9BF25"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1,107 </w:t>
            </w:r>
          </w:p>
        </w:tc>
        <w:tc>
          <w:tcPr>
            <w:tcW w:w="1134" w:type="dxa"/>
            <w:shd w:val="clear" w:color="auto" w:fill="auto"/>
            <w:noWrap/>
            <w:vAlign w:val="bottom"/>
            <w:hideMark/>
          </w:tcPr>
          <w:p w14:paraId="74E6CC79"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354 </w:t>
            </w:r>
          </w:p>
        </w:tc>
        <w:tc>
          <w:tcPr>
            <w:tcW w:w="1276" w:type="dxa"/>
            <w:shd w:val="clear" w:color="auto" w:fill="auto"/>
            <w:noWrap/>
            <w:vAlign w:val="bottom"/>
            <w:hideMark/>
          </w:tcPr>
          <w:p w14:paraId="553F3C96"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8,415 </w:t>
            </w:r>
          </w:p>
        </w:tc>
      </w:tr>
      <w:tr w:rsidR="00B53489" w:rsidRPr="00CC78F1" w14:paraId="7AE59A74" w14:textId="77777777" w:rsidTr="00B53489">
        <w:trPr>
          <w:trHeight w:val="300"/>
        </w:trPr>
        <w:tc>
          <w:tcPr>
            <w:tcW w:w="2263" w:type="dxa"/>
            <w:shd w:val="clear" w:color="auto" w:fill="auto"/>
            <w:noWrap/>
            <w:vAlign w:val="bottom"/>
            <w:hideMark/>
          </w:tcPr>
          <w:p w14:paraId="1730F05D"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2009-10</w:t>
            </w:r>
          </w:p>
        </w:tc>
        <w:tc>
          <w:tcPr>
            <w:tcW w:w="1134" w:type="dxa"/>
            <w:shd w:val="clear" w:color="auto" w:fill="auto"/>
            <w:noWrap/>
            <w:vAlign w:val="bottom"/>
            <w:hideMark/>
          </w:tcPr>
          <w:p w14:paraId="4B81E624"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19,404 </w:t>
            </w:r>
          </w:p>
        </w:tc>
        <w:tc>
          <w:tcPr>
            <w:tcW w:w="993" w:type="dxa"/>
            <w:shd w:val="clear" w:color="auto" w:fill="auto"/>
            <w:noWrap/>
            <w:vAlign w:val="bottom"/>
            <w:hideMark/>
          </w:tcPr>
          <w:p w14:paraId="5166E26C"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5,706 </w:t>
            </w:r>
          </w:p>
        </w:tc>
        <w:tc>
          <w:tcPr>
            <w:tcW w:w="992" w:type="dxa"/>
            <w:shd w:val="clear" w:color="auto" w:fill="auto"/>
            <w:noWrap/>
            <w:vAlign w:val="bottom"/>
            <w:hideMark/>
          </w:tcPr>
          <w:p w14:paraId="73091FEC"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1,101 </w:t>
            </w:r>
          </w:p>
        </w:tc>
        <w:tc>
          <w:tcPr>
            <w:tcW w:w="1134" w:type="dxa"/>
            <w:shd w:val="clear" w:color="auto" w:fill="auto"/>
            <w:noWrap/>
            <w:vAlign w:val="bottom"/>
            <w:hideMark/>
          </w:tcPr>
          <w:p w14:paraId="401AA702"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389 </w:t>
            </w:r>
          </w:p>
        </w:tc>
        <w:tc>
          <w:tcPr>
            <w:tcW w:w="1276" w:type="dxa"/>
            <w:shd w:val="clear" w:color="auto" w:fill="auto"/>
            <w:noWrap/>
            <w:vAlign w:val="bottom"/>
            <w:hideMark/>
          </w:tcPr>
          <w:p w14:paraId="5985BE62"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7,660 </w:t>
            </w:r>
          </w:p>
        </w:tc>
      </w:tr>
      <w:tr w:rsidR="00B53489" w:rsidRPr="00CC78F1" w14:paraId="6835C92B" w14:textId="77777777" w:rsidTr="00B53489">
        <w:trPr>
          <w:trHeight w:val="300"/>
        </w:trPr>
        <w:tc>
          <w:tcPr>
            <w:tcW w:w="2263" w:type="dxa"/>
            <w:shd w:val="clear" w:color="auto" w:fill="auto"/>
            <w:noWrap/>
            <w:vAlign w:val="bottom"/>
            <w:hideMark/>
          </w:tcPr>
          <w:p w14:paraId="556340B6"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2010-11</w:t>
            </w:r>
          </w:p>
        </w:tc>
        <w:tc>
          <w:tcPr>
            <w:tcW w:w="1134" w:type="dxa"/>
            <w:shd w:val="clear" w:color="auto" w:fill="auto"/>
            <w:noWrap/>
            <w:vAlign w:val="bottom"/>
            <w:hideMark/>
          </w:tcPr>
          <w:p w14:paraId="5BB66799"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20,323 </w:t>
            </w:r>
          </w:p>
        </w:tc>
        <w:tc>
          <w:tcPr>
            <w:tcW w:w="993" w:type="dxa"/>
            <w:shd w:val="clear" w:color="auto" w:fill="auto"/>
            <w:noWrap/>
            <w:vAlign w:val="bottom"/>
            <w:hideMark/>
          </w:tcPr>
          <w:p w14:paraId="7FB13E7B"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5,755 </w:t>
            </w:r>
          </w:p>
        </w:tc>
        <w:tc>
          <w:tcPr>
            <w:tcW w:w="992" w:type="dxa"/>
            <w:shd w:val="clear" w:color="auto" w:fill="auto"/>
            <w:noWrap/>
            <w:vAlign w:val="bottom"/>
            <w:hideMark/>
          </w:tcPr>
          <w:p w14:paraId="4DB6F616"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1,121 </w:t>
            </w:r>
          </w:p>
        </w:tc>
        <w:tc>
          <w:tcPr>
            <w:tcW w:w="1134" w:type="dxa"/>
            <w:shd w:val="clear" w:color="auto" w:fill="auto"/>
            <w:noWrap/>
            <w:vAlign w:val="bottom"/>
            <w:hideMark/>
          </w:tcPr>
          <w:p w14:paraId="7F0B7824"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488 </w:t>
            </w:r>
          </w:p>
        </w:tc>
        <w:tc>
          <w:tcPr>
            <w:tcW w:w="1276" w:type="dxa"/>
            <w:shd w:val="clear" w:color="auto" w:fill="auto"/>
            <w:noWrap/>
            <w:vAlign w:val="bottom"/>
            <w:hideMark/>
          </w:tcPr>
          <w:p w14:paraId="760CE839"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7,796 </w:t>
            </w:r>
          </w:p>
        </w:tc>
      </w:tr>
      <w:tr w:rsidR="00B53489" w:rsidRPr="00CC78F1" w14:paraId="250F51AC" w14:textId="77777777" w:rsidTr="00B53489">
        <w:trPr>
          <w:trHeight w:val="300"/>
        </w:trPr>
        <w:tc>
          <w:tcPr>
            <w:tcW w:w="2263" w:type="dxa"/>
            <w:shd w:val="clear" w:color="auto" w:fill="auto"/>
            <w:noWrap/>
            <w:vAlign w:val="bottom"/>
            <w:hideMark/>
          </w:tcPr>
          <w:p w14:paraId="72735733"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2011-12</w:t>
            </w:r>
          </w:p>
        </w:tc>
        <w:tc>
          <w:tcPr>
            <w:tcW w:w="1134" w:type="dxa"/>
            <w:shd w:val="clear" w:color="auto" w:fill="auto"/>
            <w:noWrap/>
            <w:vAlign w:val="bottom"/>
            <w:hideMark/>
          </w:tcPr>
          <w:p w14:paraId="4DE544E6"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21,288 </w:t>
            </w:r>
          </w:p>
        </w:tc>
        <w:tc>
          <w:tcPr>
            <w:tcW w:w="993" w:type="dxa"/>
            <w:shd w:val="clear" w:color="auto" w:fill="auto"/>
            <w:noWrap/>
            <w:vAlign w:val="bottom"/>
            <w:hideMark/>
          </w:tcPr>
          <w:p w14:paraId="6F9111AE"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5,889 </w:t>
            </w:r>
          </w:p>
        </w:tc>
        <w:tc>
          <w:tcPr>
            <w:tcW w:w="992" w:type="dxa"/>
            <w:shd w:val="clear" w:color="auto" w:fill="auto"/>
            <w:noWrap/>
            <w:vAlign w:val="bottom"/>
            <w:hideMark/>
          </w:tcPr>
          <w:p w14:paraId="2B603028"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1,217 </w:t>
            </w:r>
          </w:p>
        </w:tc>
        <w:tc>
          <w:tcPr>
            <w:tcW w:w="1134" w:type="dxa"/>
            <w:shd w:val="clear" w:color="auto" w:fill="auto"/>
            <w:noWrap/>
            <w:vAlign w:val="bottom"/>
            <w:hideMark/>
          </w:tcPr>
          <w:p w14:paraId="2424303F"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497 </w:t>
            </w:r>
          </w:p>
        </w:tc>
        <w:tc>
          <w:tcPr>
            <w:tcW w:w="1276" w:type="dxa"/>
            <w:shd w:val="clear" w:color="auto" w:fill="auto"/>
            <w:noWrap/>
            <w:vAlign w:val="bottom"/>
            <w:hideMark/>
          </w:tcPr>
          <w:p w14:paraId="1B5B9FD4"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5,081 </w:t>
            </w:r>
          </w:p>
        </w:tc>
      </w:tr>
      <w:tr w:rsidR="00B53489" w:rsidRPr="00CC78F1" w14:paraId="4EABE1FB" w14:textId="77777777" w:rsidTr="00B53489">
        <w:trPr>
          <w:trHeight w:val="300"/>
        </w:trPr>
        <w:tc>
          <w:tcPr>
            <w:tcW w:w="2263" w:type="dxa"/>
            <w:shd w:val="clear" w:color="auto" w:fill="auto"/>
            <w:noWrap/>
            <w:vAlign w:val="bottom"/>
            <w:hideMark/>
          </w:tcPr>
          <w:p w14:paraId="57BCFC2A"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2012-13</w:t>
            </w:r>
          </w:p>
        </w:tc>
        <w:tc>
          <w:tcPr>
            <w:tcW w:w="1134" w:type="dxa"/>
            <w:shd w:val="clear" w:color="auto" w:fill="auto"/>
            <w:noWrap/>
            <w:vAlign w:val="bottom"/>
            <w:hideMark/>
          </w:tcPr>
          <w:p w14:paraId="0822B872"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21,110 </w:t>
            </w:r>
          </w:p>
        </w:tc>
        <w:tc>
          <w:tcPr>
            <w:tcW w:w="993" w:type="dxa"/>
            <w:shd w:val="clear" w:color="auto" w:fill="auto"/>
            <w:noWrap/>
            <w:vAlign w:val="bottom"/>
            <w:hideMark/>
          </w:tcPr>
          <w:p w14:paraId="370A9115"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5,887 </w:t>
            </w:r>
          </w:p>
        </w:tc>
        <w:tc>
          <w:tcPr>
            <w:tcW w:w="992" w:type="dxa"/>
            <w:shd w:val="clear" w:color="auto" w:fill="auto"/>
            <w:noWrap/>
            <w:vAlign w:val="bottom"/>
            <w:hideMark/>
          </w:tcPr>
          <w:p w14:paraId="2B6C97CA"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1,151 </w:t>
            </w:r>
          </w:p>
        </w:tc>
        <w:tc>
          <w:tcPr>
            <w:tcW w:w="1134" w:type="dxa"/>
            <w:shd w:val="clear" w:color="auto" w:fill="auto"/>
            <w:noWrap/>
            <w:vAlign w:val="bottom"/>
            <w:hideMark/>
          </w:tcPr>
          <w:p w14:paraId="0007ECF7"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500 </w:t>
            </w:r>
          </w:p>
        </w:tc>
        <w:tc>
          <w:tcPr>
            <w:tcW w:w="1276" w:type="dxa"/>
            <w:shd w:val="clear" w:color="auto" w:fill="auto"/>
            <w:noWrap/>
            <w:vAlign w:val="bottom"/>
            <w:hideMark/>
          </w:tcPr>
          <w:p w14:paraId="4B1A6545"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13,296 </w:t>
            </w:r>
          </w:p>
        </w:tc>
      </w:tr>
      <w:tr w:rsidR="00B53489" w:rsidRPr="00CC78F1" w14:paraId="40909679" w14:textId="77777777" w:rsidTr="00B53489">
        <w:trPr>
          <w:trHeight w:val="300"/>
        </w:trPr>
        <w:tc>
          <w:tcPr>
            <w:tcW w:w="2263" w:type="dxa"/>
            <w:shd w:val="clear" w:color="auto" w:fill="auto"/>
            <w:noWrap/>
            <w:vAlign w:val="bottom"/>
            <w:hideMark/>
          </w:tcPr>
          <w:p w14:paraId="33094076"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2013-14</w:t>
            </w:r>
          </w:p>
        </w:tc>
        <w:tc>
          <w:tcPr>
            <w:tcW w:w="1134" w:type="dxa"/>
            <w:shd w:val="clear" w:color="auto" w:fill="auto"/>
            <w:noWrap/>
            <w:vAlign w:val="bottom"/>
            <w:hideMark/>
          </w:tcPr>
          <w:p w14:paraId="04FAC663"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22,497 </w:t>
            </w:r>
          </w:p>
        </w:tc>
        <w:tc>
          <w:tcPr>
            <w:tcW w:w="993" w:type="dxa"/>
            <w:shd w:val="clear" w:color="auto" w:fill="auto"/>
            <w:noWrap/>
            <w:vAlign w:val="bottom"/>
            <w:hideMark/>
          </w:tcPr>
          <w:p w14:paraId="23997D70"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5,905 </w:t>
            </w:r>
          </w:p>
        </w:tc>
        <w:tc>
          <w:tcPr>
            <w:tcW w:w="992" w:type="dxa"/>
            <w:shd w:val="clear" w:color="auto" w:fill="auto"/>
            <w:noWrap/>
            <w:vAlign w:val="bottom"/>
            <w:hideMark/>
          </w:tcPr>
          <w:p w14:paraId="526DF160"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1,110 </w:t>
            </w:r>
          </w:p>
        </w:tc>
        <w:tc>
          <w:tcPr>
            <w:tcW w:w="1134" w:type="dxa"/>
            <w:shd w:val="clear" w:color="auto" w:fill="auto"/>
            <w:noWrap/>
            <w:vAlign w:val="bottom"/>
            <w:hideMark/>
          </w:tcPr>
          <w:p w14:paraId="5ED1D8D9"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539 </w:t>
            </w:r>
          </w:p>
        </w:tc>
        <w:tc>
          <w:tcPr>
            <w:tcW w:w="1276" w:type="dxa"/>
            <w:shd w:val="clear" w:color="auto" w:fill="auto"/>
            <w:noWrap/>
            <w:vAlign w:val="bottom"/>
            <w:hideMark/>
          </w:tcPr>
          <w:p w14:paraId="3378E908"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13,060 </w:t>
            </w:r>
          </w:p>
        </w:tc>
      </w:tr>
      <w:tr w:rsidR="00B53489" w:rsidRPr="00CC78F1" w14:paraId="08DED311" w14:textId="77777777" w:rsidTr="00B53489">
        <w:trPr>
          <w:trHeight w:val="300"/>
        </w:trPr>
        <w:tc>
          <w:tcPr>
            <w:tcW w:w="2263" w:type="dxa"/>
            <w:shd w:val="clear" w:color="auto" w:fill="auto"/>
            <w:noWrap/>
            <w:vAlign w:val="bottom"/>
            <w:hideMark/>
          </w:tcPr>
          <w:p w14:paraId="05E96D23"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2014-15</w:t>
            </w:r>
          </w:p>
        </w:tc>
        <w:tc>
          <w:tcPr>
            <w:tcW w:w="1134" w:type="dxa"/>
            <w:shd w:val="clear" w:color="auto" w:fill="auto"/>
            <w:noWrap/>
            <w:vAlign w:val="bottom"/>
            <w:hideMark/>
          </w:tcPr>
          <w:p w14:paraId="670C8EA3"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22,508 </w:t>
            </w:r>
          </w:p>
        </w:tc>
        <w:tc>
          <w:tcPr>
            <w:tcW w:w="993" w:type="dxa"/>
            <w:shd w:val="clear" w:color="auto" w:fill="auto"/>
            <w:noWrap/>
            <w:vAlign w:val="bottom"/>
            <w:hideMark/>
          </w:tcPr>
          <w:p w14:paraId="67C8E286"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6,013 </w:t>
            </w:r>
          </w:p>
        </w:tc>
        <w:tc>
          <w:tcPr>
            <w:tcW w:w="992" w:type="dxa"/>
            <w:shd w:val="clear" w:color="auto" w:fill="auto"/>
            <w:noWrap/>
            <w:vAlign w:val="bottom"/>
            <w:hideMark/>
          </w:tcPr>
          <w:p w14:paraId="20A70A52"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1,087 </w:t>
            </w:r>
          </w:p>
        </w:tc>
        <w:tc>
          <w:tcPr>
            <w:tcW w:w="1134" w:type="dxa"/>
            <w:shd w:val="clear" w:color="auto" w:fill="auto"/>
            <w:noWrap/>
            <w:vAlign w:val="bottom"/>
            <w:hideMark/>
          </w:tcPr>
          <w:p w14:paraId="4343A4E2"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532 </w:t>
            </w:r>
          </w:p>
        </w:tc>
        <w:tc>
          <w:tcPr>
            <w:tcW w:w="1276" w:type="dxa"/>
            <w:shd w:val="clear" w:color="auto" w:fill="auto"/>
            <w:noWrap/>
            <w:vAlign w:val="bottom"/>
            <w:hideMark/>
          </w:tcPr>
          <w:p w14:paraId="15195BAE"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5,378 </w:t>
            </w:r>
          </w:p>
        </w:tc>
      </w:tr>
      <w:tr w:rsidR="00B53489" w:rsidRPr="00CC78F1" w14:paraId="1D04608A" w14:textId="77777777" w:rsidTr="00B53489">
        <w:trPr>
          <w:trHeight w:val="300"/>
        </w:trPr>
        <w:tc>
          <w:tcPr>
            <w:tcW w:w="2263" w:type="dxa"/>
            <w:shd w:val="clear" w:color="auto" w:fill="auto"/>
            <w:noWrap/>
            <w:vAlign w:val="bottom"/>
            <w:hideMark/>
          </w:tcPr>
          <w:p w14:paraId="6753F722"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2015-16</w:t>
            </w:r>
          </w:p>
        </w:tc>
        <w:tc>
          <w:tcPr>
            <w:tcW w:w="1134" w:type="dxa"/>
            <w:shd w:val="clear" w:color="auto" w:fill="auto"/>
            <w:noWrap/>
            <w:vAlign w:val="bottom"/>
            <w:hideMark/>
          </w:tcPr>
          <w:p w14:paraId="1B3CC9E4"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22,916 </w:t>
            </w:r>
          </w:p>
        </w:tc>
        <w:tc>
          <w:tcPr>
            <w:tcW w:w="993" w:type="dxa"/>
            <w:shd w:val="clear" w:color="auto" w:fill="auto"/>
            <w:noWrap/>
            <w:vAlign w:val="bottom"/>
            <w:hideMark/>
          </w:tcPr>
          <w:p w14:paraId="0619F0F2"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6,106 </w:t>
            </w:r>
          </w:p>
        </w:tc>
        <w:tc>
          <w:tcPr>
            <w:tcW w:w="992" w:type="dxa"/>
            <w:shd w:val="clear" w:color="auto" w:fill="auto"/>
            <w:noWrap/>
            <w:vAlign w:val="bottom"/>
            <w:hideMark/>
          </w:tcPr>
          <w:p w14:paraId="2C3D2179"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1,110 </w:t>
            </w:r>
          </w:p>
        </w:tc>
        <w:tc>
          <w:tcPr>
            <w:tcW w:w="1134" w:type="dxa"/>
            <w:shd w:val="clear" w:color="auto" w:fill="auto"/>
            <w:noWrap/>
            <w:vAlign w:val="bottom"/>
            <w:hideMark/>
          </w:tcPr>
          <w:p w14:paraId="4039E338"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527 </w:t>
            </w:r>
          </w:p>
        </w:tc>
        <w:tc>
          <w:tcPr>
            <w:tcW w:w="1276" w:type="dxa"/>
            <w:shd w:val="clear" w:color="auto" w:fill="auto"/>
            <w:noWrap/>
            <w:vAlign w:val="bottom"/>
            <w:hideMark/>
          </w:tcPr>
          <w:p w14:paraId="07CEA108"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5,226 </w:t>
            </w:r>
          </w:p>
        </w:tc>
      </w:tr>
      <w:tr w:rsidR="00B53489" w:rsidRPr="00CC78F1" w14:paraId="54A3E75E" w14:textId="77777777" w:rsidTr="00B53489">
        <w:trPr>
          <w:trHeight w:val="300"/>
        </w:trPr>
        <w:tc>
          <w:tcPr>
            <w:tcW w:w="2263" w:type="dxa"/>
            <w:shd w:val="clear" w:color="auto" w:fill="auto"/>
            <w:noWrap/>
            <w:vAlign w:val="bottom"/>
            <w:hideMark/>
          </w:tcPr>
          <w:p w14:paraId="4BF83D30" w14:textId="77777777" w:rsidR="00B53489" w:rsidRPr="00CC78F1" w:rsidRDefault="00B53489" w:rsidP="00B53489">
            <w:pPr>
              <w:spacing w:line="240" w:lineRule="auto"/>
              <w:rPr>
                <w:rFonts w:eastAsia="Times New Roman" w:cs="Times New Roman"/>
                <w:color w:val="000000"/>
                <w:lang w:eastAsia="en-GB"/>
              </w:rPr>
            </w:pPr>
            <w:r w:rsidRPr="00CC78F1">
              <w:rPr>
                <w:rFonts w:eastAsia="Times New Roman" w:cs="Times New Roman"/>
                <w:color w:val="000000"/>
                <w:lang w:eastAsia="en-GB"/>
              </w:rPr>
              <w:t>2016-17</w:t>
            </w:r>
          </w:p>
        </w:tc>
        <w:tc>
          <w:tcPr>
            <w:tcW w:w="1134" w:type="dxa"/>
            <w:shd w:val="clear" w:color="auto" w:fill="auto"/>
            <w:noWrap/>
            <w:vAlign w:val="bottom"/>
            <w:hideMark/>
          </w:tcPr>
          <w:p w14:paraId="0D5036FA"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23,029 </w:t>
            </w:r>
          </w:p>
        </w:tc>
        <w:tc>
          <w:tcPr>
            <w:tcW w:w="993" w:type="dxa"/>
            <w:shd w:val="clear" w:color="auto" w:fill="auto"/>
            <w:noWrap/>
            <w:vAlign w:val="bottom"/>
            <w:hideMark/>
          </w:tcPr>
          <w:p w14:paraId="5959D4CF"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6,114 </w:t>
            </w:r>
          </w:p>
        </w:tc>
        <w:tc>
          <w:tcPr>
            <w:tcW w:w="992" w:type="dxa"/>
            <w:shd w:val="clear" w:color="auto" w:fill="auto"/>
            <w:noWrap/>
            <w:vAlign w:val="bottom"/>
            <w:hideMark/>
          </w:tcPr>
          <w:p w14:paraId="6645E7AF"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968 </w:t>
            </w:r>
          </w:p>
        </w:tc>
        <w:tc>
          <w:tcPr>
            <w:tcW w:w="1134" w:type="dxa"/>
            <w:shd w:val="clear" w:color="auto" w:fill="auto"/>
            <w:noWrap/>
            <w:vAlign w:val="bottom"/>
            <w:hideMark/>
          </w:tcPr>
          <w:p w14:paraId="22D6004A"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518 </w:t>
            </w:r>
          </w:p>
        </w:tc>
        <w:tc>
          <w:tcPr>
            <w:tcW w:w="1276" w:type="dxa"/>
            <w:shd w:val="clear" w:color="auto" w:fill="auto"/>
            <w:noWrap/>
            <w:vAlign w:val="bottom"/>
            <w:hideMark/>
          </w:tcPr>
          <w:p w14:paraId="06D5D6F3"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5,481 </w:t>
            </w:r>
          </w:p>
        </w:tc>
      </w:tr>
      <w:tr w:rsidR="00B53489" w:rsidRPr="00CC78F1" w14:paraId="182F7652" w14:textId="77777777" w:rsidTr="00B53489">
        <w:trPr>
          <w:trHeight w:val="300"/>
        </w:trPr>
        <w:tc>
          <w:tcPr>
            <w:tcW w:w="2263" w:type="dxa"/>
            <w:tcBorders>
              <w:bottom w:val="single" w:sz="4" w:space="0" w:color="auto"/>
            </w:tcBorders>
            <w:shd w:val="clear" w:color="auto" w:fill="auto"/>
            <w:noWrap/>
            <w:vAlign w:val="bottom"/>
            <w:hideMark/>
          </w:tcPr>
          <w:p w14:paraId="2EEFD8BE" w14:textId="77777777" w:rsidR="00B53489" w:rsidRPr="00CC78F1" w:rsidRDefault="00B53489" w:rsidP="00B53489">
            <w:pPr>
              <w:spacing w:line="240" w:lineRule="auto"/>
              <w:rPr>
                <w:rFonts w:eastAsia="Times New Roman" w:cs="Times New Roman"/>
                <w:color w:val="000000"/>
                <w:lang w:eastAsia="en-GB"/>
              </w:rPr>
            </w:pPr>
            <w:r>
              <w:rPr>
                <w:rFonts w:eastAsia="Times New Roman" w:cs="Times New Roman"/>
                <w:color w:val="000000"/>
                <w:lang w:eastAsia="en-GB"/>
              </w:rPr>
              <w:t xml:space="preserve">Numbers assumed subsequent to </w:t>
            </w:r>
            <w:r w:rsidRPr="00CC78F1">
              <w:rPr>
                <w:rFonts w:eastAsia="Times New Roman" w:cs="Times New Roman"/>
                <w:color w:val="000000"/>
                <w:lang w:eastAsia="en-GB"/>
              </w:rPr>
              <w:t>2017</w:t>
            </w:r>
            <w:r w:rsidRPr="00E43BE0">
              <w:rPr>
                <w:rFonts w:ascii="Arial" w:hAnsi="Arial" w:cs="Arial"/>
                <w:color w:val="222222"/>
                <w:sz w:val="20"/>
                <w:szCs w:val="20"/>
                <w:vertAlign w:val="superscript"/>
              </w:rPr>
              <w:t>†</w:t>
            </w:r>
            <w:r w:rsidRPr="00CC78F1">
              <w:rPr>
                <w:rFonts w:eastAsia="Times New Roman" w:cs="Times New Roman"/>
                <w:color w:val="000000"/>
                <w:lang w:eastAsia="en-GB"/>
              </w:rPr>
              <w:t xml:space="preserve"> </w:t>
            </w:r>
          </w:p>
        </w:tc>
        <w:tc>
          <w:tcPr>
            <w:tcW w:w="1134" w:type="dxa"/>
            <w:tcBorders>
              <w:bottom w:val="single" w:sz="4" w:space="0" w:color="auto"/>
            </w:tcBorders>
            <w:shd w:val="clear" w:color="auto" w:fill="auto"/>
            <w:noWrap/>
            <w:vAlign w:val="bottom"/>
            <w:hideMark/>
          </w:tcPr>
          <w:p w14:paraId="425AB176"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22,818 </w:t>
            </w:r>
          </w:p>
        </w:tc>
        <w:tc>
          <w:tcPr>
            <w:tcW w:w="993" w:type="dxa"/>
            <w:tcBorders>
              <w:bottom w:val="single" w:sz="4" w:space="0" w:color="auto"/>
            </w:tcBorders>
            <w:shd w:val="clear" w:color="auto" w:fill="auto"/>
            <w:noWrap/>
            <w:vAlign w:val="bottom"/>
            <w:hideMark/>
          </w:tcPr>
          <w:p w14:paraId="2C56DDCD"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6,078 </w:t>
            </w:r>
          </w:p>
        </w:tc>
        <w:tc>
          <w:tcPr>
            <w:tcW w:w="992" w:type="dxa"/>
            <w:tcBorders>
              <w:bottom w:val="single" w:sz="4" w:space="0" w:color="auto"/>
            </w:tcBorders>
            <w:shd w:val="clear" w:color="auto" w:fill="auto"/>
            <w:noWrap/>
            <w:vAlign w:val="bottom"/>
            <w:hideMark/>
          </w:tcPr>
          <w:p w14:paraId="1B87C476"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1,055 </w:t>
            </w:r>
          </w:p>
        </w:tc>
        <w:tc>
          <w:tcPr>
            <w:tcW w:w="1134" w:type="dxa"/>
            <w:tcBorders>
              <w:bottom w:val="single" w:sz="4" w:space="0" w:color="auto"/>
            </w:tcBorders>
            <w:shd w:val="clear" w:color="auto" w:fill="auto"/>
            <w:noWrap/>
            <w:vAlign w:val="bottom"/>
            <w:hideMark/>
          </w:tcPr>
          <w:p w14:paraId="4288A52E"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526 </w:t>
            </w:r>
          </w:p>
        </w:tc>
        <w:tc>
          <w:tcPr>
            <w:tcW w:w="1276" w:type="dxa"/>
            <w:tcBorders>
              <w:bottom w:val="single" w:sz="4" w:space="0" w:color="auto"/>
            </w:tcBorders>
            <w:shd w:val="clear" w:color="auto" w:fill="auto"/>
            <w:noWrap/>
            <w:vAlign w:val="bottom"/>
            <w:hideMark/>
          </w:tcPr>
          <w:p w14:paraId="0F35A60A" w14:textId="77777777" w:rsidR="00B53489" w:rsidRPr="00CC78F1" w:rsidRDefault="00B53489" w:rsidP="00B53489">
            <w:pPr>
              <w:spacing w:line="240" w:lineRule="auto"/>
              <w:jc w:val="right"/>
              <w:rPr>
                <w:rFonts w:eastAsia="Times New Roman" w:cs="Times New Roman"/>
                <w:color w:val="000000"/>
                <w:lang w:eastAsia="en-GB"/>
              </w:rPr>
            </w:pPr>
            <w:r w:rsidRPr="00CC78F1">
              <w:rPr>
                <w:rFonts w:eastAsia="Times New Roman" w:cs="Times New Roman"/>
                <w:color w:val="000000"/>
                <w:lang w:eastAsia="en-GB"/>
              </w:rPr>
              <w:t xml:space="preserve">           5,362 </w:t>
            </w:r>
          </w:p>
        </w:tc>
      </w:tr>
      <w:tr w:rsidR="00B53489" w:rsidRPr="007B0A65" w14:paraId="4C899DF1" w14:textId="77777777" w:rsidTr="00B53489">
        <w:trPr>
          <w:trHeight w:val="300"/>
        </w:trPr>
        <w:tc>
          <w:tcPr>
            <w:tcW w:w="7792" w:type="dxa"/>
            <w:gridSpan w:val="6"/>
            <w:tcBorders>
              <w:left w:val="nil"/>
              <w:bottom w:val="nil"/>
              <w:right w:val="nil"/>
            </w:tcBorders>
            <w:shd w:val="clear" w:color="auto" w:fill="auto"/>
            <w:noWrap/>
            <w:vAlign w:val="bottom"/>
          </w:tcPr>
          <w:p w14:paraId="6FDAF377" w14:textId="77777777" w:rsidR="00B53489" w:rsidRPr="00D20474" w:rsidRDefault="00B53489" w:rsidP="00B53489">
            <w:pPr>
              <w:spacing w:line="240" w:lineRule="auto"/>
              <w:rPr>
                <w:rFonts w:eastAsia="Times New Roman" w:cs="Times New Roman"/>
                <w:color w:val="000000"/>
                <w:sz w:val="16"/>
                <w:szCs w:val="16"/>
                <w:lang w:eastAsia="en-GB"/>
              </w:rPr>
            </w:pPr>
            <w:r w:rsidRPr="00D20474">
              <w:rPr>
                <w:rFonts w:eastAsia="Times New Roman" w:cs="Times New Roman"/>
                <w:color w:val="000000"/>
                <w:sz w:val="16"/>
                <w:szCs w:val="16"/>
                <w:lang w:eastAsia="en-GB"/>
              </w:rPr>
              <w:t>Brain 1 denotes operations with assumed normal life expectancy</w:t>
            </w:r>
          </w:p>
          <w:p w14:paraId="3DBB079A" w14:textId="77777777" w:rsidR="00B53489" w:rsidRPr="00D20474" w:rsidRDefault="00B53489" w:rsidP="00B53489">
            <w:pPr>
              <w:spacing w:line="240" w:lineRule="auto"/>
              <w:rPr>
                <w:rFonts w:eastAsia="Times New Roman" w:cs="Times New Roman"/>
                <w:color w:val="000000"/>
                <w:sz w:val="16"/>
                <w:szCs w:val="16"/>
                <w:lang w:eastAsia="en-GB"/>
              </w:rPr>
            </w:pPr>
            <w:r w:rsidRPr="00D20474">
              <w:rPr>
                <w:rFonts w:eastAsia="Times New Roman" w:cs="Times New Roman"/>
                <w:color w:val="000000"/>
                <w:sz w:val="16"/>
                <w:szCs w:val="16"/>
                <w:lang w:eastAsia="en-GB"/>
              </w:rPr>
              <w:t>Brain 2 denotes operations with assumed death within 12 months</w:t>
            </w:r>
          </w:p>
          <w:p w14:paraId="4B1F8406" w14:textId="77777777" w:rsidR="00B53489" w:rsidRPr="00D20474" w:rsidRDefault="00B53489" w:rsidP="00B53489">
            <w:pPr>
              <w:spacing w:line="240" w:lineRule="auto"/>
              <w:rPr>
                <w:rFonts w:eastAsia="Times New Roman" w:cs="Times New Roman"/>
                <w:color w:val="000000"/>
                <w:sz w:val="16"/>
                <w:szCs w:val="16"/>
                <w:lang w:eastAsia="en-GB"/>
              </w:rPr>
            </w:pPr>
            <w:r w:rsidRPr="00D20474">
              <w:rPr>
                <w:rFonts w:eastAsia="Times New Roman" w:cs="Times New Roman"/>
                <w:color w:val="000000"/>
                <w:sz w:val="16"/>
                <w:szCs w:val="16"/>
                <w:lang w:eastAsia="en-GB"/>
              </w:rPr>
              <w:t>Brain 3 denotes operations with a 50% chance of death within 12 months and a 50% chance of normal life expectancy.</w:t>
            </w:r>
          </w:p>
          <w:p w14:paraId="1318B54C" w14:textId="77777777" w:rsidR="00B53489" w:rsidRPr="00D20474" w:rsidRDefault="00B53489" w:rsidP="00B53489">
            <w:pPr>
              <w:spacing w:line="240" w:lineRule="auto"/>
              <w:rPr>
                <w:rFonts w:eastAsia="Times New Roman" w:cs="Times New Roman"/>
                <w:color w:val="000000"/>
                <w:sz w:val="16"/>
                <w:szCs w:val="16"/>
                <w:lang w:eastAsia="en-GB"/>
              </w:rPr>
            </w:pPr>
            <w:r w:rsidRPr="00D20474">
              <w:rPr>
                <w:rFonts w:cs="Times New Roman"/>
                <w:color w:val="222222"/>
                <w:sz w:val="16"/>
                <w:szCs w:val="16"/>
                <w:vertAlign w:val="superscript"/>
              </w:rPr>
              <w:t>†</w:t>
            </w:r>
            <w:r w:rsidRPr="00D20474">
              <w:rPr>
                <w:rFonts w:cs="Times New Roman"/>
                <w:color w:val="222222"/>
                <w:sz w:val="16"/>
                <w:szCs w:val="16"/>
              </w:rPr>
              <w:t xml:space="preserve"> Estimated as an average of the numbers between 2014 and 2017</w:t>
            </w:r>
          </w:p>
          <w:p w14:paraId="35EFD34A" w14:textId="77777777" w:rsidR="00B53489" w:rsidRPr="007B0A65" w:rsidRDefault="00B53489" w:rsidP="00B53489">
            <w:pPr>
              <w:spacing w:line="240" w:lineRule="auto"/>
              <w:rPr>
                <w:rFonts w:eastAsia="Times New Roman" w:cs="Times New Roman"/>
                <w:color w:val="000000"/>
                <w:sz w:val="18"/>
                <w:szCs w:val="18"/>
                <w:lang w:eastAsia="en-GB"/>
              </w:rPr>
            </w:pPr>
            <w:r w:rsidRPr="00D20474">
              <w:rPr>
                <w:rFonts w:eastAsia="Times New Roman" w:cs="Times New Roman"/>
                <w:color w:val="000000"/>
                <w:sz w:val="16"/>
                <w:szCs w:val="16"/>
                <w:lang w:eastAsia="en-GB"/>
              </w:rPr>
              <w:t>Note these data are inflated by 15% within the modelling to account for operations not coded as the main procedure and to account for operations conducted privately at non-NHS hospitals.</w:t>
            </w:r>
          </w:p>
        </w:tc>
      </w:tr>
    </w:tbl>
    <w:p w14:paraId="567CFB25" w14:textId="77777777" w:rsidR="00B53489" w:rsidRDefault="00B53489" w:rsidP="00B53489">
      <w:pPr>
        <w:rPr>
          <w:rFonts w:cs="Times New Roman"/>
        </w:rPr>
      </w:pPr>
    </w:p>
    <w:p w14:paraId="13BB970E" w14:textId="78D1E632" w:rsidR="00B53489" w:rsidRDefault="00B53489" w:rsidP="00B53489">
      <w:pPr>
        <w:pStyle w:val="Heading2"/>
      </w:pPr>
      <w:bookmarkStart w:id="131" w:name="_Toc525106673"/>
      <w:r>
        <w:rPr>
          <w:szCs w:val="22"/>
        </w:rPr>
        <w:t>3</w:t>
      </w:r>
      <w:r w:rsidRPr="003F763D">
        <w:rPr>
          <w:szCs w:val="22"/>
        </w:rPr>
        <w:t xml:space="preserve">.4 </w:t>
      </w:r>
      <w:r w:rsidRPr="003F763D">
        <w:rPr>
          <w:szCs w:val="22"/>
        </w:rPr>
        <w:tab/>
        <w:t xml:space="preserve">Calibration </w:t>
      </w:r>
      <w:r w:rsidR="004E170E">
        <w:rPr>
          <w:szCs w:val="22"/>
        </w:rPr>
        <w:t>t</w:t>
      </w:r>
      <w:r w:rsidRPr="003F763D">
        <w:rPr>
          <w:szCs w:val="22"/>
        </w:rPr>
        <w:t>argets</w:t>
      </w:r>
      <w:bookmarkEnd w:id="131"/>
    </w:p>
    <w:p w14:paraId="1E9EBB0C" w14:textId="77777777" w:rsidR="00B53489" w:rsidRPr="00D20474" w:rsidRDefault="00B53489" w:rsidP="00B53489">
      <w:pPr>
        <w:pStyle w:val="Heading3"/>
        <w:rPr>
          <w:b w:val="0"/>
          <w:i/>
          <w:color w:val="000000" w:themeColor="text1"/>
          <w:szCs w:val="22"/>
        </w:rPr>
      </w:pPr>
      <w:r w:rsidRPr="00D20474">
        <w:rPr>
          <w:b w:val="0"/>
          <w:i/>
          <w:color w:val="000000" w:themeColor="text1"/>
          <w:szCs w:val="22"/>
        </w:rPr>
        <w:t xml:space="preserve">3.4.1 </w:t>
      </w:r>
      <w:r w:rsidRPr="00D20474">
        <w:rPr>
          <w:b w:val="0"/>
          <w:i/>
          <w:color w:val="000000" w:themeColor="text1"/>
          <w:szCs w:val="22"/>
        </w:rPr>
        <w:tab/>
        <w:t xml:space="preserve">The observed number of stCJD cases between 2005 and 2018 and the potentially unobserved number of stCJD cases </w:t>
      </w:r>
    </w:p>
    <w:p w14:paraId="4A7A6F5C" w14:textId="77777777" w:rsidR="00B53489" w:rsidRDefault="00B53489" w:rsidP="00D20474">
      <w:r>
        <w:t>3.4</w:t>
      </w:r>
      <w:r w:rsidRPr="00F0261C">
        <w:t>.1</w:t>
      </w:r>
      <w:r>
        <w:t>.1</w:t>
      </w:r>
      <w:r w:rsidRPr="00F0261C">
        <w:t xml:space="preserve"> </w:t>
      </w:r>
      <w:r>
        <w:tab/>
        <w:t>The observed number of stCJD cases between 2005 and 2018</w:t>
      </w:r>
    </w:p>
    <w:p w14:paraId="560EF882" w14:textId="77777777" w:rsidR="00B53489" w:rsidRDefault="00B53489" w:rsidP="00B53489">
      <w:pPr>
        <w:rPr>
          <w:rFonts w:cs="Times New Roman"/>
        </w:rPr>
      </w:pPr>
      <w:r>
        <w:rPr>
          <w:rFonts w:cs="Times New Roman"/>
        </w:rPr>
        <w:t>There have been no cases of CJD that have been categorised as stCJD during this period.</w:t>
      </w:r>
    </w:p>
    <w:p w14:paraId="17607622" w14:textId="77777777" w:rsidR="00B53489" w:rsidRDefault="00B53489" w:rsidP="00B53489">
      <w:pPr>
        <w:rPr>
          <w:rFonts w:cs="Times New Roman"/>
        </w:rPr>
      </w:pPr>
    </w:p>
    <w:p w14:paraId="6AA0C732" w14:textId="77777777" w:rsidR="00B53489" w:rsidRDefault="00B53489" w:rsidP="00D20474">
      <w:r>
        <w:t>3.4</w:t>
      </w:r>
      <w:r w:rsidRPr="00F0261C">
        <w:t>.1</w:t>
      </w:r>
      <w:r>
        <w:t>.2</w:t>
      </w:r>
      <w:r w:rsidRPr="00F0261C">
        <w:t xml:space="preserve"> </w:t>
      </w:r>
      <w:r>
        <w:tab/>
        <w:t>The potentially unobserved number of stCJD cases</w:t>
      </w:r>
      <w:r w:rsidRPr="00AA2443">
        <w:t xml:space="preserve"> </w:t>
      </w:r>
      <w:r>
        <w:t>between 2005 and 2018</w:t>
      </w:r>
    </w:p>
    <w:p w14:paraId="3506C8FE" w14:textId="13E921A2" w:rsidR="00B53489" w:rsidRDefault="00B53489" w:rsidP="00B53489">
      <w:pPr>
        <w:jc w:val="both"/>
        <w:rPr>
          <w:rFonts w:cs="Times New Roman"/>
        </w:rPr>
      </w:pPr>
      <w:r>
        <w:rPr>
          <w:rFonts w:cs="Times New Roman"/>
        </w:rPr>
        <w:t xml:space="preserve">There are two possible ways in which patients with stCJD can be misdiagnosed. The first is that another neurodegenerative disease is diagnosed; this has been discussed in </w:t>
      </w:r>
      <w:r w:rsidRPr="009B538C">
        <w:rPr>
          <w:rFonts w:cs="Times New Roman"/>
        </w:rPr>
        <w:t>Section 3.3.3.5.</w:t>
      </w:r>
      <w:r>
        <w:rPr>
          <w:rFonts w:cs="Times New Roman"/>
        </w:rPr>
        <w:t xml:space="preserve"> The second way of misdiagnosis of stCJD is that a different form of CJD (in particular sCJD) is the presumed diagnosis. The potential </w:t>
      </w:r>
      <w:r w:rsidR="00F864AE">
        <w:rPr>
          <w:rFonts w:cs="Times New Roman"/>
        </w:rPr>
        <w:t>number of</w:t>
      </w:r>
      <w:r>
        <w:rPr>
          <w:rFonts w:cs="Times New Roman"/>
        </w:rPr>
        <w:t xml:space="preserve"> patients misdiagnosed as a different form of CJD was investigated.</w:t>
      </w:r>
    </w:p>
    <w:p w14:paraId="60598D77" w14:textId="77777777" w:rsidR="00B53489" w:rsidRDefault="00B53489" w:rsidP="00B53489">
      <w:pPr>
        <w:rPr>
          <w:rFonts w:cs="Times New Roman"/>
        </w:rPr>
      </w:pPr>
    </w:p>
    <w:p w14:paraId="6694FC39" w14:textId="77777777" w:rsidR="00B53489" w:rsidRDefault="00B53489" w:rsidP="00B53489">
      <w:pPr>
        <w:jc w:val="both"/>
        <w:rPr>
          <w:rFonts w:cs="Times New Roman"/>
        </w:rPr>
      </w:pPr>
      <w:r>
        <w:rPr>
          <w:rFonts w:cs="Times New Roman"/>
        </w:rPr>
        <w:t xml:space="preserve">Data were supplied to a NICE committee member by the National CJD Research &amp; Surveillance Unit (NCJDRSU) which detailed whether patients who had a diagnosis of CJD since 2005 had a history of neurosurgery or posterior eye surgery and a brief description of the operation. These data were reviewed by a NICE committee member who categorised each patient as having an operation that was of high-risk (and therefore potentially a stCJD case) or not. </w:t>
      </w:r>
    </w:p>
    <w:p w14:paraId="7C9D096B" w14:textId="77777777" w:rsidR="00B53489" w:rsidRDefault="00B53489" w:rsidP="00B53489">
      <w:pPr>
        <w:jc w:val="both"/>
        <w:rPr>
          <w:rFonts w:cs="Times New Roman"/>
        </w:rPr>
      </w:pPr>
    </w:p>
    <w:p w14:paraId="2F7F5199" w14:textId="000AEC97" w:rsidR="00B53489" w:rsidRDefault="00B53489" w:rsidP="00B53489">
      <w:pPr>
        <w:jc w:val="both"/>
        <w:rPr>
          <w:rFonts w:cs="Times New Roman"/>
        </w:rPr>
      </w:pPr>
      <w:r>
        <w:rPr>
          <w:rFonts w:cs="Times New Roman"/>
        </w:rPr>
        <w:t>For posterior eye surgery</w:t>
      </w:r>
      <w:r w:rsidR="00017B68">
        <w:rPr>
          <w:rFonts w:cs="Times New Roman"/>
        </w:rPr>
        <w:t>,</w:t>
      </w:r>
      <w:r>
        <w:rPr>
          <w:rFonts w:cs="Times New Roman"/>
        </w:rPr>
        <w:t xml:space="preserve"> there were potentially 24 individuals who had surgical operations that could have transmitted CJD, although only 10 of these had operations in 2005 or later. The year of the operation is important as we want to calibrate the model only to cases where the patient had been infected during the modelling period. For brain surgery operations</w:t>
      </w:r>
      <w:r w:rsidR="00017B68">
        <w:rPr>
          <w:rFonts w:cs="Times New Roman"/>
        </w:rPr>
        <w:t>,</w:t>
      </w:r>
      <w:r>
        <w:rPr>
          <w:rFonts w:cs="Times New Roman"/>
        </w:rPr>
        <w:t xml:space="preserve"> there were potentially 13 individuals who had operations that could have transmitted CJD. There were no dates of operation provided and thus it was assumed that the proportion of operations conducted in 2005 or later that was observed for posterior eye surgery (10/24) was applicable to neurosurgery, which equates to a possible 5 cases of stCJD since 2005. The sum of these calculations implies that there could have been 15 cases of stCJD transmitted since 2005 which had been misdiagnosed as another form of CJD, or just over 1 case per year on average.</w:t>
      </w:r>
    </w:p>
    <w:p w14:paraId="426A1A7F" w14:textId="77777777" w:rsidR="00B53489" w:rsidRDefault="00B53489" w:rsidP="00B53489">
      <w:pPr>
        <w:rPr>
          <w:rFonts w:cs="Times New Roman"/>
        </w:rPr>
      </w:pPr>
    </w:p>
    <w:p w14:paraId="7B8751A6" w14:textId="77777777" w:rsidR="00B53489" w:rsidRDefault="00B53489" w:rsidP="00D20474">
      <w:pPr>
        <w:pStyle w:val="Heading2"/>
        <w:ind w:left="720" w:hanging="720"/>
        <w:rPr>
          <w:b w:val="0"/>
          <w:color w:val="000000" w:themeColor="text1"/>
          <w:szCs w:val="22"/>
        </w:rPr>
      </w:pPr>
      <w:bookmarkStart w:id="132" w:name="_Toc525106674"/>
      <w:r>
        <w:rPr>
          <w:b w:val="0"/>
          <w:color w:val="000000" w:themeColor="text1"/>
          <w:szCs w:val="22"/>
        </w:rPr>
        <w:t>3</w:t>
      </w:r>
      <w:r>
        <w:rPr>
          <w:color w:val="000000" w:themeColor="text1"/>
          <w:szCs w:val="22"/>
        </w:rPr>
        <w:t>.</w:t>
      </w:r>
      <w:r w:rsidRPr="00F864AE">
        <w:rPr>
          <w:b w:val="0"/>
          <w:color w:val="000000" w:themeColor="text1"/>
          <w:szCs w:val="22"/>
        </w:rPr>
        <w:t>5</w:t>
      </w:r>
      <w:r w:rsidRPr="00BB074C">
        <w:rPr>
          <w:color w:val="000000" w:themeColor="text1"/>
          <w:szCs w:val="22"/>
        </w:rPr>
        <w:t xml:space="preserve"> </w:t>
      </w:r>
      <w:r>
        <w:rPr>
          <w:color w:val="000000" w:themeColor="text1"/>
          <w:szCs w:val="22"/>
        </w:rPr>
        <w:tab/>
        <w:t>Categorisation of surgical units, establishing PSA configurations that are plausible, and generating likelihood functions for plausible PSA configurations</w:t>
      </w:r>
      <w:bookmarkEnd w:id="132"/>
    </w:p>
    <w:p w14:paraId="6B143BA0" w14:textId="77777777" w:rsidR="00B53489" w:rsidRPr="00D20474" w:rsidRDefault="00B53489" w:rsidP="00B53489">
      <w:pPr>
        <w:pStyle w:val="Heading3"/>
        <w:rPr>
          <w:b w:val="0"/>
          <w:i/>
          <w:color w:val="000000" w:themeColor="text1"/>
          <w:szCs w:val="22"/>
        </w:rPr>
      </w:pPr>
      <w:r w:rsidRPr="00D20474">
        <w:rPr>
          <w:b w:val="0"/>
          <w:i/>
          <w:color w:val="000000" w:themeColor="text1"/>
          <w:szCs w:val="22"/>
        </w:rPr>
        <w:t xml:space="preserve">3.5.1 </w:t>
      </w:r>
      <w:r w:rsidRPr="00D20474">
        <w:rPr>
          <w:b w:val="0"/>
          <w:i/>
          <w:color w:val="000000" w:themeColor="text1"/>
          <w:szCs w:val="22"/>
        </w:rPr>
        <w:tab/>
        <w:t>Categorisation of surgical units</w:t>
      </w:r>
    </w:p>
    <w:p w14:paraId="02405912" w14:textId="27674B9D" w:rsidR="00B53489" w:rsidRDefault="00B53489" w:rsidP="00B53489">
      <w:pPr>
        <w:jc w:val="both"/>
        <w:rPr>
          <w:rFonts w:cs="Times New Roman"/>
        </w:rPr>
      </w:pPr>
      <w:r>
        <w:rPr>
          <w:rFonts w:cs="Times New Roman"/>
        </w:rPr>
        <w:t xml:space="preserve">Based on the heterogeneity in surgical units adhering to IPG196 and the analyses varying the assumption of whether the P96 group could be infectious from birth, six categories of surgical units </w:t>
      </w:r>
      <w:r w:rsidR="009C0BF8">
        <w:rPr>
          <w:rFonts w:cs="Times New Roman"/>
        </w:rPr>
        <w:t xml:space="preserve">were defined </w:t>
      </w:r>
      <w:r>
        <w:rPr>
          <w:rFonts w:cs="Times New Roman"/>
        </w:rPr>
        <w:t>(demoted S1 to S6). These were:</w:t>
      </w:r>
    </w:p>
    <w:p w14:paraId="6826818E" w14:textId="77777777" w:rsidR="00B53489" w:rsidRPr="007E3E38" w:rsidRDefault="00B53489" w:rsidP="00B53489">
      <w:pPr>
        <w:pStyle w:val="ListParagraph"/>
        <w:numPr>
          <w:ilvl w:val="0"/>
          <w:numId w:val="29"/>
        </w:numPr>
        <w:rPr>
          <w:rFonts w:cs="Times New Roman"/>
          <w:lang w:eastAsia="en-GB"/>
        </w:rPr>
      </w:pPr>
      <w:r w:rsidRPr="007E3E38">
        <w:rPr>
          <w:rFonts w:cs="Times New Roman"/>
          <w:lang w:eastAsia="en-GB"/>
        </w:rPr>
        <w:t xml:space="preserve">S1: A unit adheres to IPG196 and guidance on keeping instruments </w:t>
      </w:r>
      <w:r>
        <w:rPr>
          <w:rFonts w:cs="Times New Roman"/>
          <w:lang w:eastAsia="en-GB"/>
        </w:rPr>
        <w:t>moist</w:t>
      </w:r>
      <w:r w:rsidRPr="007E3E38">
        <w:rPr>
          <w:rFonts w:cs="Times New Roman"/>
          <w:lang w:eastAsia="en-GB"/>
        </w:rPr>
        <w:t>. The P96 group are infectious from birth.</w:t>
      </w:r>
    </w:p>
    <w:p w14:paraId="2845052C" w14:textId="77777777" w:rsidR="00B53489" w:rsidRPr="007E3E38" w:rsidRDefault="00B53489" w:rsidP="00B53489">
      <w:pPr>
        <w:pStyle w:val="ListParagraph"/>
        <w:numPr>
          <w:ilvl w:val="0"/>
          <w:numId w:val="29"/>
        </w:numPr>
        <w:rPr>
          <w:rFonts w:cs="Times New Roman"/>
          <w:lang w:eastAsia="en-GB"/>
        </w:rPr>
      </w:pPr>
      <w:r w:rsidRPr="007E3E38">
        <w:rPr>
          <w:rFonts w:cs="Times New Roman"/>
          <w:lang w:eastAsia="en-GB"/>
        </w:rPr>
        <w:t xml:space="preserve">S2: A unit does not adhere to IPG196 but adheres to guidance on keeping instruments </w:t>
      </w:r>
      <w:r>
        <w:rPr>
          <w:rFonts w:cs="Times New Roman"/>
          <w:lang w:eastAsia="en-GB"/>
        </w:rPr>
        <w:t>moist</w:t>
      </w:r>
      <w:r w:rsidRPr="007E3E38">
        <w:rPr>
          <w:rFonts w:cs="Times New Roman"/>
          <w:lang w:eastAsia="en-GB"/>
        </w:rPr>
        <w:t>. The P96 group are infectious from birth.</w:t>
      </w:r>
    </w:p>
    <w:p w14:paraId="7AE421A0" w14:textId="77777777" w:rsidR="00B53489" w:rsidRPr="007E3E38" w:rsidRDefault="00B53489" w:rsidP="00B53489">
      <w:pPr>
        <w:pStyle w:val="ListParagraph"/>
        <w:numPr>
          <w:ilvl w:val="0"/>
          <w:numId w:val="29"/>
        </w:numPr>
        <w:rPr>
          <w:rFonts w:cs="Times New Roman"/>
          <w:lang w:eastAsia="en-GB"/>
        </w:rPr>
      </w:pPr>
      <w:r w:rsidRPr="007E3E38">
        <w:rPr>
          <w:rFonts w:cs="Times New Roman"/>
          <w:lang w:eastAsia="en-GB"/>
        </w:rPr>
        <w:t xml:space="preserve">S3: A unit does not adhere to IPG196 nor does it adhere to guidance on keeping instruments </w:t>
      </w:r>
      <w:r>
        <w:rPr>
          <w:rFonts w:cs="Times New Roman"/>
          <w:lang w:eastAsia="en-GB"/>
        </w:rPr>
        <w:t>moist</w:t>
      </w:r>
      <w:r w:rsidRPr="007E3E38">
        <w:rPr>
          <w:rFonts w:cs="Times New Roman"/>
          <w:lang w:eastAsia="en-GB"/>
        </w:rPr>
        <w:t>. The P96 group are infectious from birth.</w:t>
      </w:r>
    </w:p>
    <w:p w14:paraId="1CEB039E" w14:textId="77777777" w:rsidR="00B53489" w:rsidRPr="007E3E38" w:rsidRDefault="00B53489" w:rsidP="00B53489">
      <w:pPr>
        <w:pStyle w:val="ListParagraph"/>
        <w:numPr>
          <w:ilvl w:val="0"/>
          <w:numId w:val="29"/>
        </w:numPr>
        <w:rPr>
          <w:rFonts w:cs="Times New Roman"/>
          <w:lang w:eastAsia="en-GB"/>
        </w:rPr>
      </w:pPr>
      <w:r w:rsidRPr="007E3E38">
        <w:rPr>
          <w:rFonts w:cs="Times New Roman"/>
          <w:lang w:eastAsia="en-GB"/>
        </w:rPr>
        <w:t xml:space="preserve">S4: A unit adheres to IPG196 and guidance on keeping instruments </w:t>
      </w:r>
      <w:r>
        <w:rPr>
          <w:rFonts w:cs="Times New Roman"/>
          <w:lang w:eastAsia="en-GB"/>
        </w:rPr>
        <w:t>moist</w:t>
      </w:r>
      <w:r w:rsidRPr="007E3E38">
        <w:rPr>
          <w:rFonts w:cs="Times New Roman"/>
          <w:lang w:eastAsia="en-GB"/>
        </w:rPr>
        <w:t>. The P96 group are not infectious from birth.</w:t>
      </w:r>
    </w:p>
    <w:p w14:paraId="7EF68E0D" w14:textId="77777777" w:rsidR="00B53489" w:rsidRPr="007E3E38" w:rsidRDefault="00B53489" w:rsidP="00B53489">
      <w:pPr>
        <w:pStyle w:val="ListParagraph"/>
        <w:numPr>
          <w:ilvl w:val="0"/>
          <w:numId w:val="29"/>
        </w:numPr>
        <w:rPr>
          <w:rFonts w:cs="Times New Roman"/>
          <w:lang w:eastAsia="en-GB"/>
        </w:rPr>
      </w:pPr>
      <w:r w:rsidRPr="007E3E38">
        <w:rPr>
          <w:rFonts w:cs="Times New Roman"/>
          <w:lang w:eastAsia="en-GB"/>
        </w:rPr>
        <w:t xml:space="preserve">S5: A unit does not adhere to IPG196 but adheres to guidance on keeping instruments </w:t>
      </w:r>
      <w:r>
        <w:rPr>
          <w:rFonts w:cs="Times New Roman"/>
          <w:lang w:eastAsia="en-GB"/>
        </w:rPr>
        <w:t>moist</w:t>
      </w:r>
      <w:r w:rsidRPr="007E3E38">
        <w:rPr>
          <w:rFonts w:cs="Times New Roman"/>
          <w:lang w:eastAsia="en-GB"/>
        </w:rPr>
        <w:t>. The P96 group are not infectious from birth.</w:t>
      </w:r>
    </w:p>
    <w:p w14:paraId="53B477C4" w14:textId="77777777" w:rsidR="00B53489" w:rsidRPr="007E3E38" w:rsidRDefault="00B53489" w:rsidP="00B53489">
      <w:pPr>
        <w:pStyle w:val="ListParagraph"/>
        <w:numPr>
          <w:ilvl w:val="0"/>
          <w:numId w:val="29"/>
        </w:numPr>
        <w:rPr>
          <w:rFonts w:cs="Times New Roman"/>
          <w:lang w:eastAsia="en-GB"/>
        </w:rPr>
      </w:pPr>
      <w:r w:rsidRPr="007E3E38">
        <w:rPr>
          <w:rFonts w:cs="Times New Roman"/>
          <w:lang w:eastAsia="en-GB"/>
        </w:rPr>
        <w:t xml:space="preserve">S6: A unit does not adhere to IPG196 nor does it adhere to guidance on keeping instruments </w:t>
      </w:r>
      <w:r>
        <w:rPr>
          <w:rFonts w:cs="Times New Roman"/>
          <w:lang w:eastAsia="en-GB"/>
        </w:rPr>
        <w:t>moist</w:t>
      </w:r>
      <w:r w:rsidRPr="007E3E38">
        <w:rPr>
          <w:rFonts w:cs="Times New Roman"/>
          <w:lang w:eastAsia="en-GB"/>
        </w:rPr>
        <w:t>. The P96 group are not infectious from birth.</w:t>
      </w:r>
    </w:p>
    <w:p w14:paraId="4D637B62" w14:textId="77777777" w:rsidR="00B53489" w:rsidRPr="00F17514" w:rsidRDefault="00B53489" w:rsidP="00B53489">
      <w:pPr>
        <w:ind w:left="360"/>
        <w:jc w:val="both"/>
        <w:rPr>
          <w:rFonts w:cs="Times New Roman"/>
        </w:rPr>
      </w:pPr>
    </w:p>
    <w:p w14:paraId="7C814EFE" w14:textId="7782EAD2" w:rsidR="00B53489" w:rsidRPr="00F17514" w:rsidRDefault="00B53489" w:rsidP="00B53489">
      <w:pPr>
        <w:jc w:val="both"/>
        <w:rPr>
          <w:rFonts w:cs="Times New Roman"/>
        </w:rPr>
      </w:pPr>
      <w:r w:rsidRPr="00F17514">
        <w:rPr>
          <w:rFonts w:cs="Times New Roman"/>
        </w:rPr>
        <w:t xml:space="preserve">It was assumed that independent of whether the P96 group was assumed to be infectious, 10% of units adhered to IPG196 and guidance on keeping instruments moist, 30% of units adhered only to keeping instruments moist and that 60% of units neither followed IPG196 nor kept instruments moist. </w:t>
      </w:r>
    </w:p>
    <w:p w14:paraId="07C051CD" w14:textId="77777777" w:rsidR="00B53489" w:rsidRDefault="00B53489" w:rsidP="00B53489">
      <w:pPr>
        <w:jc w:val="both"/>
        <w:rPr>
          <w:rFonts w:cs="Times New Roman"/>
        </w:rPr>
      </w:pPr>
    </w:p>
    <w:p w14:paraId="780ECBC2" w14:textId="510A6481" w:rsidR="00B53489" w:rsidRPr="00D20474" w:rsidRDefault="00B53489" w:rsidP="00D20474">
      <w:pPr>
        <w:pStyle w:val="Heading3"/>
        <w:ind w:left="720" w:hanging="720"/>
        <w:rPr>
          <w:b w:val="0"/>
          <w:i/>
          <w:color w:val="000000" w:themeColor="text1"/>
          <w:szCs w:val="22"/>
        </w:rPr>
      </w:pPr>
      <w:r w:rsidRPr="00D20474">
        <w:rPr>
          <w:b w:val="0"/>
          <w:i/>
          <w:color w:val="000000" w:themeColor="text1"/>
          <w:szCs w:val="22"/>
        </w:rPr>
        <w:t xml:space="preserve">3.5.2 </w:t>
      </w:r>
      <w:r w:rsidRPr="00D20474">
        <w:rPr>
          <w:b w:val="0"/>
          <w:i/>
          <w:color w:val="000000" w:themeColor="text1"/>
          <w:szCs w:val="22"/>
        </w:rPr>
        <w:tab/>
        <w:t xml:space="preserve">Employing a heuristic to </w:t>
      </w:r>
      <w:r w:rsidR="00F864AE">
        <w:rPr>
          <w:b w:val="0"/>
          <w:i/>
          <w:color w:val="000000" w:themeColor="text1"/>
          <w:szCs w:val="22"/>
        </w:rPr>
        <w:t>rule out</w:t>
      </w:r>
      <w:r w:rsidRPr="00D20474">
        <w:rPr>
          <w:b w:val="0"/>
          <w:i/>
          <w:color w:val="000000" w:themeColor="text1"/>
          <w:szCs w:val="22"/>
        </w:rPr>
        <w:t xml:space="preserve"> PSA configurations that would produce implausible results</w:t>
      </w:r>
    </w:p>
    <w:p w14:paraId="6AABCAB5" w14:textId="769BF9A2" w:rsidR="00B53489" w:rsidRDefault="00B53489" w:rsidP="00B53489">
      <w:pPr>
        <w:jc w:val="both"/>
        <w:rPr>
          <w:rFonts w:cs="Times New Roman"/>
        </w:rPr>
      </w:pPr>
      <w:r w:rsidRPr="00F17514">
        <w:rPr>
          <w:rFonts w:cs="Times New Roman"/>
        </w:rPr>
        <w:t xml:space="preserve">Due to the time required for each run (approximately 12 seconds per ‘plausible’ (defined later) PSA configuration), the number of PSA configurations, the number of random number (RN) streams, the number of scenarios, and the number of PSA configurations that would not be compatible with the observed data, heuristics were used to generate the cost-effectiveness results. At all stages, a cautious approach was employed </w:t>
      </w:r>
      <w:r w:rsidR="009C0BF8">
        <w:rPr>
          <w:rFonts w:cs="Times New Roman"/>
        </w:rPr>
        <w:t xml:space="preserve">to ensure </w:t>
      </w:r>
      <w:r w:rsidRPr="00F17514">
        <w:rPr>
          <w:rFonts w:cs="Times New Roman"/>
        </w:rPr>
        <w:t>that potentially appropriate configurations were not prohibited.</w:t>
      </w:r>
      <w:r>
        <w:rPr>
          <w:rFonts w:cs="Times New Roman"/>
        </w:rPr>
        <w:t xml:space="preserve"> Appendix </w:t>
      </w:r>
      <w:r w:rsidR="008C534A">
        <w:rPr>
          <w:rFonts w:cs="Times New Roman"/>
        </w:rPr>
        <w:t>5</w:t>
      </w:r>
      <w:r>
        <w:rPr>
          <w:rFonts w:cs="Times New Roman"/>
        </w:rPr>
        <w:t xml:space="preserve"> describes the methodology using formal mathematical notation, with a lay</w:t>
      </w:r>
      <w:r w:rsidR="009C0BF8">
        <w:rPr>
          <w:rFonts w:cs="Times New Roman"/>
        </w:rPr>
        <w:t xml:space="preserve"> </w:t>
      </w:r>
      <w:r>
        <w:rPr>
          <w:rFonts w:cs="Times New Roman"/>
        </w:rPr>
        <w:t>description provided in the main text.</w:t>
      </w:r>
    </w:p>
    <w:p w14:paraId="6A870B78" w14:textId="77777777" w:rsidR="00D20474" w:rsidRPr="00F17514" w:rsidRDefault="00D20474" w:rsidP="00B53489">
      <w:pPr>
        <w:jc w:val="both"/>
        <w:rPr>
          <w:rFonts w:cs="Times New Roman"/>
        </w:rPr>
      </w:pPr>
    </w:p>
    <w:p w14:paraId="5B8C7DE9" w14:textId="77777777" w:rsidR="00B53489" w:rsidRDefault="00B53489" w:rsidP="00B53489">
      <w:pPr>
        <w:jc w:val="both"/>
        <w:rPr>
          <w:rFonts w:cs="Times New Roman"/>
        </w:rPr>
      </w:pPr>
      <w:r w:rsidRPr="00F17514">
        <w:rPr>
          <w:rFonts w:cs="Times New Roman"/>
        </w:rPr>
        <w:t xml:space="preserve">The </w:t>
      </w:r>
      <w:r>
        <w:rPr>
          <w:rFonts w:cs="Times New Roman"/>
        </w:rPr>
        <w:t xml:space="preserve">initial </w:t>
      </w:r>
      <w:r w:rsidRPr="00F17514">
        <w:rPr>
          <w:rFonts w:cs="Times New Roman"/>
        </w:rPr>
        <w:t xml:space="preserve">step </w:t>
      </w:r>
      <w:r>
        <w:rPr>
          <w:rFonts w:cs="Times New Roman"/>
        </w:rPr>
        <w:t>was to develop a metric to e</w:t>
      </w:r>
      <w:r w:rsidRPr="00F17514">
        <w:rPr>
          <w:rFonts w:cs="Times New Roman"/>
        </w:rPr>
        <w:t>xclud</w:t>
      </w:r>
      <w:r>
        <w:rPr>
          <w:rFonts w:cs="Times New Roman"/>
        </w:rPr>
        <w:t>e</w:t>
      </w:r>
      <w:r w:rsidRPr="00F17514">
        <w:rPr>
          <w:rFonts w:cs="Times New Roman"/>
        </w:rPr>
        <w:t xml:space="preserve"> PSA draws that would clearly be discrepant to the observed data (known cases of CJD that could potentially be attributed to surgical transmission) without</w:t>
      </w:r>
      <w:r>
        <w:rPr>
          <w:rFonts w:cs="Times New Roman"/>
        </w:rPr>
        <w:t xml:space="preserve"> having to run</w:t>
      </w:r>
      <w:r w:rsidRPr="00F17514">
        <w:rPr>
          <w:rFonts w:cs="Times New Roman"/>
        </w:rPr>
        <w:t xml:space="preserve"> these configurations.</w:t>
      </w:r>
    </w:p>
    <w:p w14:paraId="59CFE1FE" w14:textId="77777777" w:rsidR="00D20474" w:rsidRPr="00F17514" w:rsidRDefault="00D20474" w:rsidP="00B53489">
      <w:pPr>
        <w:jc w:val="both"/>
        <w:rPr>
          <w:rFonts w:cs="Times New Roman"/>
        </w:rPr>
      </w:pPr>
    </w:p>
    <w:p w14:paraId="37C72CA9" w14:textId="77777777" w:rsidR="00B53489" w:rsidRDefault="00B53489" w:rsidP="00B53489">
      <w:pPr>
        <w:jc w:val="both"/>
        <w:rPr>
          <w:rFonts w:cs="Times New Roman"/>
        </w:rPr>
      </w:pPr>
      <w:r w:rsidRPr="00F17514">
        <w:rPr>
          <w:rFonts w:cs="Times New Roman"/>
        </w:rPr>
        <w:t xml:space="preserve">Here, a factor to efficiently maximise the likelihood (FML) was established and any PSA configuration with a value greater than the FML value was discarded. </w:t>
      </w:r>
    </w:p>
    <w:p w14:paraId="171DC097" w14:textId="77777777" w:rsidR="00D20474" w:rsidRPr="00F17514" w:rsidRDefault="00D20474" w:rsidP="00B53489">
      <w:pPr>
        <w:jc w:val="both"/>
        <w:rPr>
          <w:rFonts w:cs="Times New Roman"/>
        </w:rPr>
      </w:pPr>
    </w:p>
    <w:p w14:paraId="6F092124" w14:textId="77777777" w:rsidR="00B53489" w:rsidRDefault="00B53489" w:rsidP="00B53489">
      <w:pPr>
        <w:jc w:val="both"/>
        <w:rPr>
          <w:rFonts w:cs="Times New Roman"/>
        </w:rPr>
      </w:pPr>
      <w:r w:rsidRPr="00F17514">
        <w:rPr>
          <w:rFonts w:cs="Times New Roman"/>
        </w:rPr>
        <w:t>FML was derived using a combination of parameters related to: infectious titre after a decontamination cycle; the mass transferred to a patient; and the prevalence of prion in tissue in asymptomatic patients.</w:t>
      </w:r>
    </w:p>
    <w:p w14:paraId="6B72293C" w14:textId="77777777" w:rsidR="00D20474" w:rsidRPr="00F17514" w:rsidRDefault="00D20474" w:rsidP="00B53489">
      <w:pPr>
        <w:jc w:val="both"/>
        <w:rPr>
          <w:rFonts w:cs="Times New Roman"/>
        </w:rPr>
      </w:pPr>
    </w:p>
    <w:p w14:paraId="4C49426F" w14:textId="77777777" w:rsidR="00B53489" w:rsidRPr="00F17514" w:rsidRDefault="00B53489" w:rsidP="00B53489">
      <w:pPr>
        <w:jc w:val="both"/>
        <w:rPr>
          <w:rFonts w:cs="Times New Roman"/>
        </w:rPr>
      </w:pPr>
      <w:r w:rsidRPr="00F17514">
        <w:rPr>
          <w:rFonts w:cs="Times New Roman"/>
        </w:rPr>
        <w:t>FML = 10</w:t>
      </w:r>
      <w:r w:rsidRPr="00F17514">
        <w:rPr>
          <w:rFonts w:cs="Times New Roman"/>
          <w:vertAlign w:val="superscript"/>
        </w:rPr>
        <w:t>A</w:t>
      </w:r>
      <w:r w:rsidRPr="00F17514">
        <w:rPr>
          <w:rFonts w:cs="Times New Roman"/>
        </w:rPr>
        <w:t xml:space="preserve"> x B x C, where:</w:t>
      </w:r>
    </w:p>
    <w:p w14:paraId="31868CCB" w14:textId="77777777" w:rsidR="00B53489" w:rsidRPr="00F17514" w:rsidRDefault="00B53489" w:rsidP="00B53489">
      <w:pPr>
        <w:jc w:val="both"/>
        <w:rPr>
          <w:rFonts w:cs="Times New Roman"/>
        </w:rPr>
      </w:pPr>
      <w:r w:rsidRPr="00F17514">
        <w:rPr>
          <w:rFonts w:cs="Times New Roman"/>
        </w:rPr>
        <w:t xml:space="preserve">A = Mean infectious titre (in log terms) x Log reduction in infectivity associated with the first autoclaving cycle x Log reduction associated with detergent on the first cycle </w:t>
      </w:r>
    </w:p>
    <w:p w14:paraId="11D413E0" w14:textId="77777777" w:rsidR="00B53489" w:rsidRPr="00F17514" w:rsidRDefault="00B53489" w:rsidP="00B53489">
      <w:pPr>
        <w:jc w:val="both"/>
        <w:rPr>
          <w:rFonts w:cs="Times New Roman"/>
        </w:rPr>
      </w:pPr>
      <w:r w:rsidRPr="00F17514">
        <w:rPr>
          <w:rFonts w:cs="Times New Roman"/>
        </w:rPr>
        <w:t>B = Residual mass on an instrument x (1 – the proportion of residual mass transferred to the patient)</w:t>
      </w:r>
    </w:p>
    <w:p w14:paraId="100B40D5" w14:textId="77777777" w:rsidR="00B53489" w:rsidRPr="00F17514" w:rsidRDefault="00B53489" w:rsidP="00B53489">
      <w:pPr>
        <w:jc w:val="both"/>
        <w:rPr>
          <w:rFonts w:cs="Times New Roman"/>
        </w:rPr>
      </w:pPr>
      <w:r w:rsidRPr="00F17514">
        <w:rPr>
          <w:rFonts w:cs="Times New Roman"/>
        </w:rPr>
        <w:t xml:space="preserve">C = The proportion of asymptomatic individuals with CJD prions in their tissue </w:t>
      </w:r>
    </w:p>
    <w:p w14:paraId="1AC2F7A9" w14:textId="77777777" w:rsidR="00B53489" w:rsidRPr="00F17514" w:rsidRDefault="00B53489" w:rsidP="00B53489">
      <w:pPr>
        <w:jc w:val="both"/>
        <w:rPr>
          <w:rFonts w:cs="Times New Roman"/>
        </w:rPr>
      </w:pPr>
    </w:p>
    <w:p w14:paraId="44A3BE6C" w14:textId="77777777" w:rsidR="00B53489" w:rsidRDefault="00B53489" w:rsidP="00B53489">
      <w:pPr>
        <w:jc w:val="both"/>
        <w:rPr>
          <w:rFonts w:cs="Times New Roman"/>
        </w:rPr>
      </w:pPr>
      <w:r w:rsidRPr="00F17514">
        <w:rPr>
          <w:rFonts w:cs="Times New Roman"/>
        </w:rPr>
        <w:t>In order to generate the FML threshold value, 2000 PSA configurations were drawn from the appropriate distributions and run using twelve RN streams for each of the following scenarios: S1, S2 and S3. Having assessed the likelihood of each of the 2000 PSA configurations producing results consistent with the observed data, it was decided that any draw with an FML value of &gt; e</w:t>
      </w:r>
      <w:r w:rsidRPr="00F17514">
        <w:rPr>
          <w:rFonts w:cs="Times New Roman"/>
          <w:vertAlign w:val="superscript"/>
        </w:rPr>
        <w:t>12</w:t>
      </w:r>
      <w:r w:rsidRPr="00F17514">
        <w:rPr>
          <w:rFonts w:cs="Times New Roman"/>
        </w:rPr>
        <w:t xml:space="preserve"> would effectively have zero weight and could be discarded without affecting the results.</w:t>
      </w:r>
      <w:r>
        <w:rPr>
          <w:rFonts w:cs="Times New Roman"/>
        </w:rPr>
        <w:t xml:space="preserve"> Any draw with a value ≤ e</w:t>
      </w:r>
      <w:r w:rsidRPr="00CD7F4D">
        <w:rPr>
          <w:rFonts w:cs="Times New Roman"/>
          <w:vertAlign w:val="superscript"/>
        </w:rPr>
        <w:t>12</w:t>
      </w:r>
      <w:r w:rsidRPr="00CD7F4D">
        <w:rPr>
          <w:rFonts w:cs="Times New Roman"/>
        </w:rPr>
        <w:t xml:space="preserve"> </w:t>
      </w:r>
      <w:r>
        <w:rPr>
          <w:rFonts w:cs="Times New Roman"/>
        </w:rPr>
        <w:t>c</w:t>
      </w:r>
      <w:r w:rsidRPr="00CD7F4D">
        <w:rPr>
          <w:rFonts w:cs="Times New Roman"/>
        </w:rPr>
        <w:t>ou</w:t>
      </w:r>
      <w:r>
        <w:rPr>
          <w:rFonts w:cs="Times New Roman"/>
        </w:rPr>
        <w:t>ld potentially be consistent with the observed data.</w:t>
      </w:r>
    </w:p>
    <w:p w14:paraId="58CD1FA2" w14:textId="77777777" w:rsidR="00B53489" w:rsidRPr="00F17514" w:rsidRDefault="00B53489" w:rsidP="00B53489">
      <w:pPr>
        <w:jc w:val="both"/>
        <w:rPr>
          <w:rFonts w:cs="Times New Roman"/>
        </w:rPr>
      </w:pPr>
    </w:p>
    <w:p w14:paraId="504360FE" w14:textId="15A4CE79" w:rsidR="00B53489" w:rsidRPr="00D20474" w:rsidRDefault="00B53489" w:rsidP="00D20474">
      <w:pPr>
        <w:pStyle w:val="Heading3"/>
        <w:ind w:left="720" w:hanging="720"/>
        <w:rPr>
          <w:b w:val="0"/>
          <w:i/>
          <w:color w:val="000000" w:themeColor="text1"/>
          <w:szCs w:val="22"/>
        </w:rPr>
      </w:pPr>
      <w:r w:rsidRPr="00D20474">
        <w:rPr>
          <w:b w:val="0"/>
          <w:i/>
          <w:color w:val="000000" w:themeColor="text1"/>
          <w:szCs w:val="22"/>
        </w:rPr>
        <w:t xml:space="preserve">3.5.3 </w:t>
      </w:r>
      <w:r w:rsidRPr="00D20474">
        <w:rPr>
          <w:b w:val="0"/>
          <w:i/>
          <w:color w:val="000000" w:themeColor="text1"/>
          <w:szCs w:val="22"/>
        </w:rPr>
        <w:tab/>
        <w:t>Running further analyses to remove PSA configurations that are potentially consistent with the observed data but generate an implausible number of transmissions when run through the model</w:t>
      </w:r>
    </w:p>
    <w:p w14:paraId="43ECD3A1" w14:textId="76D64248" w:rsidR="00B53489" w:rsidRDefault="00C70694" w:rsidP="00B53489">
      <w:pPr>
        <w:jc w:val="both"/>
        <w:rPr>
          <w:rFonts w:cs="Times New Roman"/>
        </w:rPr>
      </w:pPr>
      <w:r>
        <w:rPr>
          <w:rFonts w:cs="Times New Roman"/>
        </w:rPr>
        <w:t>Two thousand</w:t>
      </w:r>
      <w:r w:rsidRPr="00F17514">
        <w:rPr>
          <w:rFonts w:cs="Times New Roman"/>
        </w:rPr>
        <w:t xml:space="preserve"> </w:t>
      </w:r>
      <w:r w:rsidR="00B53489" w:rsidRPr="00F17514">
        <w:rPr>
          <w:rFonts w:cs="Times New Roman"/>
        </w:rPr>
        <w:t>PSA configurations with a</w:t>
      </w:r>
      <w:r w:rsidR="00B53489">
        <w:rPr>
          <w:rFonts w:cs="Times New Roman"/>
        </w:rPr>
        <w:t>n</w:t>
      </w:r>
      <w:r w:rsidR="00B53489" w:rsidRPr="00F17514">
        <w:rPr>
          <w:rFonts w:cs="Times New Roman"/>
        </w:rPr>
        <w:t xml:space="preserve"> FML ≤ e</w:t>
      </w:r>
      <w:r w:rsidR="00B53489" w:rsidRPr="00F17514">
        <w:rPr>
          <w:rFonts w:cs="Times New Roman"/>
          <w:vertAlign w:val="superscript"/>
        </w:rPr>
        <w:t>12</w:t>
      </w:r>
      <w:r w:rsidR="00B53489" w:rsidRPr="00F17514">
        <w:rPr>
          <w:rFonts w:cs="Times New Roman"/>
        </w:rPr>
        <w:t xml:space="preserve"> were </w:t>
      </w:r>
      <w:r w:rsidR="00B53489">
        <w:rPr>
          <w:rFonts w:cs="Times New Roman"/>
        </w:rPr>
        <w:t>sampled. For each configuration, the first</w:t>
      </w:r>
      <w:r w:rsidR="00B53489" w:rsidRPr="00F17514">
        <w:rPr>
          <w:rFonts w:cs="Times New Roman"/>
        </w:rPr>
        <w:t xml:space="preserve"> RN stream </w:t>
      </w:r>
      <w:r w:rsidR="00B53489">
        <w:rPr>
          <w:rFonts w:cs="Times New Roman"/>
        </w:rPr>
        <w:t xml:space="preserve">was run, assuming an S3 surgical unit </w:t>
      </w:r>
      <w:r w:rsidR="00B53489" w:rsidRPr="00F17514">
        <w:rPr>
          <w:rFonts w:cs="Times New Roman"/>
        </w:rPr>
        <w:t xml:space="preserve">and </w:t>
      </w:r>
      <w:r w:rsidR="00B53489">
        <w:rPr>
          <w:rFonts w:cs="Times New Roman"/>
        </w:rPr>
        <w:t>determining</w:t>
      </w:r>
      <w:r w:rsidR="00B53489" w:rsidRPr="00F17514">
        <w:rPr>
          <w:rFonts w:cs="Times New Roman"/>
        </w:rPr>
        <w:t xml:space="preserve"> whether there was a violation of the permissible limit (VPL) of clinical transmissions for patients aged 60 years or younger. It was noted that the clinical experts had stated that it was implausible that the correct detection rate of CJD was below 50% in this age group and that the assumed maximum number of clinically apparent cases potentially transmitted via surgery, across all ages, was 15. </w:t>
      </w:r>
      <w:r w:rsidR="00B53489">
        <w:rPr>
          <w:rFonts w:cs="Times New Roman"/>
        </w:rPr>
        <w:t>If there was a VPL then the PSA configuration was deemed to be inconsistent with the observed data, and the PSA run was discarded. If there was not a VPL then the next RN stream was run, with this process repeated until a maximum of 27 RN streams had been run.</w:t>
      </w:r>
    </w:p>
    <w:p w14:paraId="6E91AC2E" w14:textId="77777777" w:rsidR="00D20474" w:rsidRDefault="00D20474" w:rsidP="00B53489">
      <w:pPr>
        <w:jc w:val="both"/>
        <w:rPr>
          <w:rFonts w:cs="Times New Roman"/>
        </w:rPr>
      </w:pPr>
    </w:p>
    <w:p w14:paraId="6F7F9BC8" w14:textId="44B8A41F" w:rsidR="00B53489" w:rsidRPr="00F17514" w:rsidRDefault="00B53489" w:rsidP="00B53489">
      <w:pPr>
        <w:jc w:val="both"/>
        <w:rPr>
          <w:rFonts w:cs="Times New Roman"/>
        </w:rPr>
      </w:pPr>
      <w:r w:rsidRPr="00F17514">
        <w:rPr>
          <w:rFonts w:cs="Times New Roman"/>
        </w:rPr>
        <w:t xml:space="preserve">The VPL </w:t>
      </w:r>
      <w:r>
        <w:rPr>
          <w:rFonts w:cs="Times New Roman"/>
        </w:rPr>
        <w:t xml:space="preserve">threshold </w:t>
      </w:r>
      <w:r w:rsidRPr="00F17514">
        <w:rPr>
          <w:rFonts w:cs="Times New Roman"/>
        </w:rPr>
        <w:t>was dynamic and changed as the number of RN streams increased. A large VPL</w:t>
      </w:r>
      <w:r>
        <w:rPr>
          <w:rFonts w:cs="Times New Roman"/>
        </w:rPr>
        <w:t xml:space="preserve"> threshold </w:t>
      </w:r>
      <w:r w:rsidRPr="00F17514">
        <w:rPr>
          <w:rFonts w:cs="Times New Roman"/>
        </w:rPr>
        <w:t xml:space="preserve">was chosen to reduce the </w:t>
      </w:r>
      <w:r>
        <w:rPr>
          <w:rFonts w:cs="Times New Roman"/>
        </w:rPr>
        <w:t>possi</w:t>
      </w:r>
      <w:r w:rsidRPr="00F17514">
        <w:rPr>
          <w:rFonts w:cs="Times New Roman"/>
        </w:rPr>
        <w:t>bility of rejecting viable PSA configurations whilst also acknowledging that there was also the probability that clinical transmissions had occurred in older patients. The initial threshold for VPL was 36 transmissions</w:t>
      </w:r>
      <w:r w:rsidR="00C40F84">
        <w:rPr>
          <w:rFonts w:cs="Times New Roman"/>
        </w:rPr>
        <w:t>,</w:t>
      </w:r>
      <w:r>
        <w:rPr>
          <w:rFonts w:cs="Times New Roman"/>
        </w:rPr>
        <w:t xml:space="preserve"> which</w:t>
      </w:r>
      <w:r w:rsidRPr="00F17514">
        <w:rPr>
          <w:rFonts w:cs="Times New Roman"/>
        </w:rPr>
        <w:t xml:space="preserve"> was </w:t>
      </w:r>
      <w:r>
        <w:rPr>
          <w:rFonts w:cs="Times New Roman"/>
        </w:rPr>
        <w:t xml:space="preserve">constant </w:t>
      </w:r>
      <w:r w:rsidRPr="00F17514">
        <w:rPr>
          <w:rFonts w:cs="Times New Roman"/>
        </w:rPr>
        <w:t xml:space="preserve">for the cumulative total across the first six RN streams. Between RN streams 7 to 13 the VPL threshold was increased to 40; to 45 for RN streams 14 to 17; to 55 for RN streams 18 to 23; and 66 for RN streams 24 to 27. This resulted in 509 of the 2000 PSA runs that </w:t>
      </w:r>
      <w:r>
        <w:rPr>
          <w:rFonts w:cs="Times New Roman"/>
        </w:rPr>
        <w:t xml:space="preserve">all </w:t>
      </w:r>
      <w:r w:rsidRPr="00F17514">
        <w:rPr>
          <w:rFonts w:cs="Times New Roman"/>
        </w:rPr>
        <w:t>had a</w:t>
      </w:r>
      <w:r>
        <w:rPr>
          <w:rFonts w:cs="Times New Roman"/>
        </w:rPr>
        <w:t>n</w:t>
      </w:r>
      <w:r w:rsidRPr="00F17514">
        <w:rPr>
          <w:rFonts w:cs="Times New Roman"/>
        </w:rPr>
        <w:t xml:space="preserve"> FML ≤ e</w:t>
      </w:r>
      <w:r w:rsidRPr="00F17514">
        <w:rPr>
          <w:rFonts w:cs="Times New Roman"/>
          <w:vertAlign w:val="superscript"/>
        </w:rPr>
        <w:t>12</w:t>
      </w:r>
      <w:r w:rsidRPr="00F17514">
        <w:rPr>
          <w:rFonts w:cs="Times New Roman"/>
        </w:rPr>
        <w:t xml:space="preserve">, being potentially consistent with the observed data. These are denoted ‘plausible’ PSA configurations. </w:t>
      </w:r>
    </w:p>
    <w:p w14:paraId="0D882EC3" w14:textId="77777777" w:rsidR="00B53489" w:rsidRDefault="00B53489" w:rsidP="00B53489">
      <w:pPr>
        <w:jc w:val="both"/>
        <w:rPr>
          <w:rFonts w:cs="Times New Roman"/>
        </w:rPr>
      </w:pPr>
    </w:p>
    <w:p w14:paraId="3C769FEB" w14:textId="658751B3" w:rsidR="00B53489" w:rsidRPr="00D20474" w:rsidRDefault="00B53489" w:rsidP="00D20474">
      <w:pPr>
        <w:pStyle w:val="Heading3"/>
        <w:ind w:left="720" w:hanging="720"/>
        <w:rPr>
          <w:b w:val="0"/>
          <w:i/>
          <w:color w:val="000000" w:themeColor="text1"/>
          <w:szCs w:val="22"/>
        </w:rPr>
      </w:pPr>
      <w:r w:rsidRPr="00D20474">
        <w:rPr>
          <w:b w:val="0"/>
          <w:i/>
          <w:color w:val="000000" w:themeColor="text1"/>
          <w:szCs w:val="22"/>
        </w:rPr>
        <w:t xml:space="preserve">3.5.4 </w:t>
      </w:r>
      <w:r w:rsidRPr="00D20474">
        <w:rPr>
          <w:b w:val="0"/>
          <w:i/>
          <w:color w:val="000000" w:themeColor="text1"/>
          <w:szCs w:val="22"/>
        </w:rPr>
        <w:tab/>
        <w:t>Calculating the likelihood of each plausible PSA configuration being consistent with the observed data</w:t>
      </w:r>
    </w:p>
    <w:p w14:paraId="4B718EF8" w14:textId="50DB0134" w:rsidR="00B53489" w:rsidRDefault="00B53489" w:rsidP="00B53489">
      <w:pPr>
        <w:jc w:val="both"/>
        <w:rPr>
          <w:rFonts w:cs="Times New Roman"/>
        </w:rPr>
      </w:pPr>
      <w:r>
        <w:rPr>
          <w:rFonts w:cs="Times New Roman"/>
        </w:rPr>
        <w:t xml:space="preserve">Approximate Bayesian computation methods were used to estimate the likelihood of a PSA configuration being consistent with the observed data. Full details are provided in Appendix </w:t>
      </w:r>
      <w:r w:rsidR="008C534A">
        <w:rPr>
          <w:rFonts w:cs="Times New Roman"/>
        </w:rPr>
        <w:t>5</w:t>
      </w:r>
      <w:r>
        <w:rPr>
          <w:rFonts w:cs="Times New Roman"/>
        </w:rPr>
        <w:t>.</w:t>
      </w:r>
      <w:r w:rsidRPr="003F5735">
        <w:rPr>
          <w:rFonts w:cs="Times New Roman"/>
        </w:rPr>
        <w:t xml:space="preserve"> </w:t>
      </w:r>
      <w:r>
        <w:rPr>
          <w:rFonts w:cs="Times New Roman"/>
        </w:rPr>
        <w:t>A likelihood ranges from 1, where the simulated number of transmissions that are clinically detected are entirely consistent with the number of observed cases, to 0 where the simulated number of transmissions that are clinically detected cannot be consistent with the number of observed cases.</w:t>
      </w:r>
      <w:r w:rsidR="00C40F84">
        <w:rPr>
          <w:rFonts w:cs="Times New Roman"/>
        </w:rPr>
        <w:t xml:space="preserve"> </w:t>
      </w:r>
      <w:r>
        <w:rPr>
          <w:rFonts w:cs="Times New Roman"/>
        </w:rPr>
        <w:t>Within this decision problem, any PSA configuration that produces 15 or fewer transmissions that result in clinical symptoms would have a likelihood of 1, whereas any PSA configuration that produced more than 30 transmissions that result in clinical symptoms, in patients that are younger than 60 years, would have a likelihood of zero.</w:t>
      </w:r>
    </w:p>
    <w:p w14:paraId="5E86A8B1" w14:textId="77777777" w:rsidR="00B53489" w:rsidRPr="00F17514" w:rsidRDefault="00B53489" w:rsidP="00B53489">
      <w:pPr>
        <w:jc w:val="both"/>
        <w:rPr>
          <w:rFonts w:cs="Times New Roman"/>
        </w:rPr>
      </w:pPr>
    </w:p>
    <w:p w14:paraId="6F027E04" w14:textId="2BE4BA10" w:rsidR="00B53489" w:rsidRPr="00F17514" w:rsidRDefault="00B53489" w:rsidP="00B53489">
      <w:pPr>
        <w:jc w:val="both"/>
        <w:rPr>
          <w:rFonts w:cs="Times New Roman"/>
        </w:rPr>
      </w:pPr>
      <w:r w:rsidRPr="00F17514">
        <w:rPr>
          <w:rFonts w:cs="Times New Roman"/>
        </w:rPr>
        <w:t xml:space="preserve">The likelihoods for each PSA configuration are shown in </w:t>
      </w:r>
      <w:r w:rsidRPr="00F17514">
        <w:rPr>
          <w:rFonts w:cs="Times New Roman"/>
        </w:rPr>
        <w:fldChar w:fldCharType="begin"/>
      </w:r>
      <w:r w:rsidRPr="00F17514">
        <w:rPr>
          <w:rFonts w:cs="Times New Roman"/>
        </w:rPr>
        <w:instrText xml:space="preserve"> REF _Ref518479913  \* MERGEFORMAT </w:instrText>
      </w:r>
      <w:r w:rsidRPr="00F17514">
        <w:rPr>
          <w:rFonts w:cs="Times New Roman"/>
        </w:rPr>
        <w:fldChar w:fldCharType="separate"/>
      </w:r>
      <w:r w:rsidR="00690541" w:rsidRPr="00D20474">
        <w:rPr>
          <w:rFonts w:cs="Times New Roman"/>
        </w:rPr>
        <w:t xml:space="preserve">Figure </w:t>
      </w:r>
      <w:r w:rsidR="00690541">
        <w:rPr>
          <w:rFonts w:cs="Times New Roman"/>
          <w:noProof/>
        </w:rPr>
        <w:t>16</w:t>
      </w:r>
      <w:r w:rsidRPr="00F17514">
        <w:rPr>
          <w:rFonts w:cs="Times New Roman"/>
          <w:noProof/>
        </w:rPr>
        <w:fldChar w:fldCharType="end"/>
      </w:r>
      <w:r w:rsidRPr="00F17514">
        <w:rPr>
          <w:rFonts w:cs="Times New Roman"/>
        </w:rPr>
        <w:t>. These have been ranked in descending order and have been curtailed at 250 of the 509 PSA configurations. A large proportion of the PSA configurations that were not rejected have likelihoods close to zero which offers support to the belief that it was unlikely that potentially appropriate PSA configurations were discarded. For information, the lowest likelihood was 10</w:t>
      </w:r>
      <w:r w:rsidRPr="00F17514">
        <w:rPr>
          <w:rFonts w:cs="Times New Roman"/>
          <w:vertAlign w:val="superscript"/>
        </w:rPr>
        <w:t>-1</w:t>
      </w:r>
      <w:r>
        <w:rPr>
          <w:rFonts w:cs="Times New Roman"/>
          <w:vertAlign w:val="superscript"/>
        </w:rPr>
        <w:t>2</w:t>
      </w:r>
      <w:r w:rsidRPr="00F17514">
        <w:rPr>
          <w:rFonts w:cs="Times New Roman"/>
        </w:rPr>
        <w:t xml:space="preserve"> where the P96 group was assumed to be infectious and 10</w:t>
      </w:r>
      <w:r w:rsidRPr="00F17514">
        <w:rPr>
          <w:rFonts w:cs="Times New Roman"/>
          <w:vertAlign w:val="superscript"/>
        </w:rPr>
        <w:t>-1</w:t>
      </w:r>
      <w:r>
        <w:rPr>
          <w:rFonts w:cs="Times New Roman"/>
          <w:vertAlign w:val="superscript"/>
        </w:rPr>
        <w:t>3</w:t>
      </w:r>
      <w:r w:rsidRPr="00F17514">
        <w:rPr>
          <w:rFonts w:cs="Times New Roman"/>
        </w:rPr>
        <w:t xml:space="preserve"> where the P96 group was assumed not to be infectious.</w:t>
      </w:r>
    </w:p>
    <w:p w14:paraId="4DA958FC" w14:textId="77777777" w:rsidR="00B53489" w:rsidRPr="00F17514" w:rsidRDefault="00B53489" w:rsidP="00B53489">
      <w:pPr>
        <w:jc w:val="both"/>
        <w:rPr>
          <w:rFonts w:cs="Times New Roman"/>
        </w:rPr>
      </w:pPr>
    </w:p>
    <w:p w14:paraId="74C7AD36" w14:textId="5BDCEFEE" w:rsidR="00B53489" w:rsidRPr="00D20474" w:rsidRDefault="00B53489" w:rsidP="00D20474">
      <w:pPr>
        <w:pStyle w:val="Caption"/>
        <w:spacing w:line="360" w:lineRule="auto"/>
        <w:ind w:left="1440" w:hanging="1440"/>
        <w:jc w:val="both"/>
        <w:rPr>
          <w:rFonts w:cs="Times New Roman"/>
          <w:szCs w:val="22"/>
        </w:rPr>
      </w:pPr>
      <w:bookmarkStart w:id="133" w:name="_Ref518479913"/>
      <w:bookmarkStart w:id="134" w:name="_Toc525106733"/>
      <w:r w:rsidRPr="00D20474">
        <w:rPr>
          <w:rFonts w:cs="Times New Roman"/>
          <w:szCs w:val="22"/>
        </w:rPr>
        <w:t xml:space="preserve">Figure </w:t>
      </w:r>
      <w:r w:rsidRPr="00D20474">
        <w:rPr>
          <w:rFonts w:cs="Times New Roman"/>
          <w:szCs w:val="22"/>
        </w:rPr>
        <w:fldChar w:fldCharType="begin"/>
      </w:r>
      <w:r w:rsidRPr="00D20474">
        <w:rPr>
          <w:rFonts w:cs="Times New Roman"/>
          <w:szCs w:val="22"/>
        </w:rPr>
        <w:instrText xml:space="preserve"> SEQ Figure \* ARABIC </w:instrText>
      </w:r>
      <w:r w:rsidRPr="00D20474">
        <w:rPr>
          <w:rFonts w:cs="Times New Roman"/>
          <w:szCs w:val="22"/>
        </w:rPr>
        <w:fldChar w:fldCharType="separate"/>
      </w:r>
      <w:r w:rsidR="00690541">
        <w:rPr>
          <w:rFonts w:cs="Times New Roman"/>
          <w:noProof/>
          <w:szCs w:val="22"/>
        </w:rPr>
        <w:t>16</w:t>
      </w:r>
      <w:r w:rsidRPr="00D20474">
        <w:rPr>
          <w:rFonts w:cs="Times New Roman"/>
          <w:szCs w:val="22"/>
        </w:rPr>
        <w:fldChar w:fldCharType="end"/>
      </w:r>
      <w:bookmarkEnd w:id="133"/>
      <w:r w:rsidR="00D20474">
        <w:rPr>
          <w:rFonts w:cs="Times New Roman"/>
          <w:szCs w:val="22"/>
        </w:rPr>
        <w:t>:</w:t>
      </w:r>
      <w:r w:rsidR="00D20474">
        <w:rPr>
          <w:rFonts w:cs="Times New Roman"/>
          <w:szCs w:val="22"/>
        </w:rPr>
        <w:tab/>
      </w:r>
      <w:r w:rsidRPr="00D20474">
        <w:rPr>
          <w:rFonts w:cs="Times New Roman"/>
          <w:szCs w:val="22"/>
        </w:rPr>
        <w:t>The likelihoods of the PSA configurations being co</w:t>
      </w:r>
      <w:r w:rsidR="00D20474" w:rsidRPr="00D20474">
        <w:rPr>
          <w:rFonts w:cs="Times New Roman"/>
          <w:szCs w:val="22"/>
        </w:rPr>
        <w:t>mpatible with the observed data</w:t>
      </w:r>
      <w:r w:rsidR="009A682E">
        <w:rPr>
          <w:rFonts w:cs="Times New Roman"/>
          <w:szCs w:val="22"/>
        </w:rPr>
        <w:t xml:space="preserve"> (curves are drawn on top of each other)</w:t>
      </w:r>
      <w:bookmarkEnd w:id="134"/>
    </w:p>
    <w:p w14:paraId="2B4CDF83" w14:textId="45403C5C" w:rsidR="00B53489" w:rsidRPr="00F17514" w:rsidRDefault="00DF1BE7" w:rsidP="00B53489">
      <w:pPr>
        <w:jc w:val="both"/>
        <w:rPr>
          <w:rFonts w:cs="Times New Roman"/>
        </w:rPr>
      </w:pPr>
      <w:r>
        <w:rPr>
          <w:noProof/>
          <w:lang w:eastAsia="en-GB"/>
        </w:rPr>
        <w:drawing>
          <wp:inline distT="0" distB="0" distL="0" distR="0" wp14:anchorId="4C58806B" wp14:editId="182BDFF5">
            <wp:extent cx="4810128" cy="2862263"/>
            <wp:effectExtent l="0" t="0" r="9525" b="14605"/>
            <wp:docPr id="31" name="Chart 3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DFB66A" w14:textId="77777777" w:rsidR="009D0674" w:rsidRDefault="009D0674" w:rsidP="00B53489">
      <w:pPr>
        <w:rPr>
          <w:rFonts w:cs="Times New Roman"/>
        </w:rPr>
      </w:pPr>
    </w:p>
    <w:p w14:paraId="3D35C415" w14:textId="612FDCA3" w:rsidR="009D0674" w:rsidRPr="00D20474" w:rsidRDefault="009D0674" w:rsidP="009D0674">
      <w:pPr>
        <w:pStyle w:val="Heading3"/>
        <w:ind w:left="720" w:hanging="720"/>
        <w:rPr>
          <w:b w:val="0"/>
          <w:i/>
          <w:color w:val="000000" w:themeColor="text1"/>
          <w:szCs w:val="22"/>
        </w:rPr>
      </w:pPr>
      <w:r>
        <w:rPr>
          <w:b w:val="0"/>
          <w:i/>
          <w:color w:val="000000" w:themeColor="text1"/>
          <w:szCs w:val="22"/>
        </w:rPr>
        <w:t>3.5.5</w:t>
      </w:r>
      <w:r w:rsidRPr="00D20474">
        <w:rPr>
          <w:b w:val="0"/>
          <w:i/>
          <w:color w:val="000000" w:themeColor="text1"/>
          <w:szCs w:val="22"/>
        </w:rPr>
        <w:t xml:space="preserve"> </w:t>
      </w:r>
      <w:r w:rsidRPr="00D20474">
        <w:rPr>
          <w:b w:val="0"/>
          <w:i/>
          <w:color w:val="000000" w:themeColor="text1"/>
          <w:szCs w:val="22"/>
        </w:rPr>
        <w:tab/>
      </w:r>
      <w:r>
        <w:rPr>
          <w:b w:val="0"/>
          <w:i/>
          <w:color w:val="000000" w:themeColor="text1"/>
          <w:szCs w:val="22"/>
        </w:rPr>
        <w:t xml:space="preserve">Generating estimates of the expected numbers of future stCJD deaths, life years lost, QALYs lost </w:t>
      </w:r>
    </w:p>
    <w:p w14:paraId="3F2777D6" w14:textId="10F6193B" w:rsidR="00B53489" w:rsidRDefault="009D0674" w:rsidP="009D0674">
      <w:pPr>
        <w:rPr>
          <w:rFonts w:cs="Times New Roman"/>
        </w:rPr>
      </w:pPr>
      <w:r>
        <w:rPr>
          <w:rFonts w:cs="Times New Roman"/>
        </w:rPr>
        <w:t xml:space="preserve">The likelihoods associated with each PSA sample was multiplied by the results </w:t>
      </w:r>
      <w:r w:rsidR="004A5111">
        <w:rPr>
          <w:rFonts w:cs="Times New Roman"/>
        </w:rPr>
        <w:t>(future stCJD deaths; life years lost; and QALYs lost) produced when using that PSA sample and these were added together and divided by the sum of the likelihood to produce expectations for the combined results.</w:t>
      </w:r>
    </w:p>
    <w:p w14:paraId="63354273" w14:textId="3AA70A0B" w:rsidR="004A5111" w:rsidRDefault="004A5111" w:rsidP="009D0674">
      <w:pPr>
        <w:rPr>
          <w:rFonts w:cs="Times New Roman"/>
        </w:rPr>
      </w:pPr>
    </w:p>
    <w:p w14:paraId="370402AD" w14:textId="7FC6A80D" w:rsidR="004A5111" w:rsidRPr="00D20474" w:rsidRDefault="004A5111" w:rsidP="00E4407F">
      <w:pPr>
        <w:pStyle w:val="Heading3"/>
        <w:ind w:left="720" w:hanging="720"/>
        <w:rPr>
          <w:b w:val="0"/>
          <w:i/>
          <w:color w:val="000000" w:themeColor="text1"/>
          <w:szCs w:val="22"/>
        </w:rPr>
      </w:pPr>
      <w:r>
        <w:rPr>
          <w:b w:val="0"/>
          <w:i/>
          <w:color w:val="000000" w:themeColor="text1"/>
          <w:szCs w:val="22"/>
        </w:rPr>
        <w:t>3.5.6</w:t>
      </w:r>
      <w:r w:rsidRPr="00D20474">
        <w:rPr>
          <w:b w:val="0"/>
          <w:i/>
          <w:color w:val="000000" w:themeColor="text1"/>
          <w:szCs w:val="22"/>
        </w:rPr>
        <w:t xml:space="preserve"> </w:t>
      </w:r>
      <w:r w:rsidRPr="00D20474">
        <w:rPr>
          <w:b w:val="0"/>
          <w:i/>
          <w:color w:val="000000" w:themeColor="text1"/>
          <w:szCs w:val="22"/>
        </w:rPr>
        <w:tab/>
      </w:r>
      <w:r>
        <w:rPr>
          <w:b w:val="0"/>
          <w:i/>
          <w:color w:val="000000" w:themeColor="text1"/>
          <w:szCs w:val="22"/>
        </w:rPr>
        <w:t>Exploring the uncertainty in the results</w:t>
      </w:r>
      <w:r w:rsidR="00E4407F">
        <w:rPr>
          <w:b w:val="0"/>
          <w:i/>
          <w:color w:val="000000" w:themeColor="text1"/>
          <w:szCs w:val="22"/>
        </w:rPr>
        <w:t xml:space="preserve"> produced within the base case analyses</w:t>
      </w:r>
      <w:r>
        <w:rPr>
          <w:b w:val="0"/>
          <w:i/>
          <w:color w:val="000000" w:themeColor="text1"/>
          <w:szCs w:val="22"/>
        </w:rPr>
        <w:t>.</w:t>
      </w:r>
    </w:p>
    <w:p w14:paraId="2FE78AE1" w14:textId="1C7C1865" w:rsidR="004A5111" w:rsidRDefault="004A5111" w:rsidP="007471CB">
      <w:pPr>
        <w:jc w:val="both"/>
        <w:rPr>
          <w:rFonts w:cs="Times New Roman"/>
        </w:rPr>
      </w:pPr>
      <w:r>
        <w:rPr>
          <w:rFonts w:cs="Times New Roman"/>
        </w:rPr>
        <w:t xml:space="preserve">In order to explore more pessimistic scenarios, the maximum value </w:t>
      </w:r>
      <w:r w:rsidR="00667BE3">
        <w:rPr>
          <w:rFonts w:cs="Times New Roman"/>
        </w:rPr>
        <w:t xml:space="preserve">across all of the 509 PSA configurations </w:t>
      </w:r>
      <w:r>
        <w:rPr>
          <w:rFonts w:cs="Times New Roman"/>
        </w:rPr>
        <w:t xml:space="preserve">of </w:t>
      </w:r>
      <w:r w:rsidR="00667BE3">
        <w:rPr>
          <w:rFonts w:cs="Times New Roman"/>
        </w:rPr>
        <w:t>the number of QALYs simulated to be lost multiplied by the</w:t>
      </w:r>
      <w:r>
        <w:rPr>
          <w:rFonts w:cs="Times New Roman"/>
        </w:rPr>
        <w:t xml:space="preserve"> </w:t>
      </w:r>
      <w:r w:rsidR="00667BE3">
        <w:rPr>
          <w:rFonts w:cs="Times New Roman"/>
        </w:rPr>
        <w:t>likelihood of the PSA</w:t>
      </w:r>
      <w:r>
        <w:rPr>
          <w:rFonts w:cs="Times New Roman"/>
        </w:rPr>
        <w:t xml:space="preserve"> </w:t>
      </w:r>
      <w:r w:rsidR="0033708D">
        <w:rPr>
          <w:rFonts w:cs="Times New Roman"/>
        </w:rPr>
        <w:t>wa</w:t>
      </w:r>
      <w:r>
        <w:rPr>
          <w:rFonts w:cs="Times New Roman"/>
        </w:rPr>
        <w:t xml:space="preserve">s also </w:t>
      </w:r>
      <w:r w:rsidR="0033708D">
        <w:rPr>
          <w:rFonts w:cs="Times New Roman"/>
        </w:rPr>
        <w:t>calculated</w:t>
      </w:r>
      <w:r>
        <w:rPr>
          <w:rFonts w:cs="Times New Roman"/>
        </w:rPr>
        <w:t xml:space="preserve">. </w:t>
      </w:r>
      <w:r w:rsidR="0033708D">
        <w:rPr>
          <w:rFonts w:cs="Times New Roman"/>
        </w:rPr>
        <w:t xml:space="preserve">These values are necessarily greater than the expectations which average across all PSA configurations. Generating </w:t>
      </w:r>
      <w:r w:rsidR="00F95E8C">
        <w:rPr>
          <w:rFonts w:cs="Times New Roman"/>
        </w:rPr>
        <w:t>CI</w:t>
      </w:r>
      <w:r w:rsidR="0033708D">
        <w:rPr>
          <w:rFonts w:cs="Times New Roman"/>
        </w:rPr>
        <w:t xml:space="preserve">s around the mean of each output was more complex due to the use of likelihoods </w:t>
      </w:r>
      <w:r w:rsidR="003C0ED6">
        <w:rPr>
          <w:rFonts w:cs="Times New Roman"/>
        </w:rPr>
        <w:t>as</w:t>
      </w:r>
      <w:r w:rsidR="0033708D">
        <w:rPr>
          <w:rFonts w:cs="Times New Roman"/>
        </w:rPr>
        <w:t xml:space="preserve"> not all of the 509 scenarios were weighted equally. In order to provide an indication of the width of the </w:t>
      </w:r>
      <w:r w:rsidR="003C0ED6">
        <w:rPr>
          <w:rFonts w:cs="Times New Roman"/>
        </w:rPr>
        <w:t>CI</w:t>
      </w:r>
      <w:r w:rsidR="0033708D">
        <w:rPr>
          <w:rFonts w:cs="Times New Roman"/>
        </w:rPr>
        <w:t xml:space="preserve"> (which would need to be halved if only looking at increasing or decreasing the value from the mean) an approximation was made, which is detailed in Appendix </w:t>
      </w:r>
      <w:r w:rsidR="006D2B20">
        <w:rPr>
          <w:rFonts w:cs="Times New Roman"/>
        </w:rPr>
        <w:t>7</w:t>
      </w:r>
      <w:r w:rsidR="0033708D">
        <w:rPr>
          <w:rFonts w:cs="Times New Roman"/>
        </w:rPr>
        <w:t xml:space="preserve">, that involved simulation to translate each PSA likelihood into either zero or one, and then using statistical techniques to estimate a </w:t>
      </w:r>
      <w:r w:rsidR="003C0ED6">
        <w:rPr>
          <w:rFonts w:cs="Times New Roman"/>
        </w:rPr>
        <w:t>CI</w:t>
      </w:r>
      <w:r w:rsidR="0033708D">
        <w:rPr>
          <w:rFonts w:cs="Times New Roman"/>
        </w:rPr>
        <w:t>.</w:t>
      </w:r>
    </w:p>
    <w:p w14:paraId="4D595DE6" w14:textId="1B338F52" w:rsidR="00E4407F" w:rsidRDefault="00E4407F" w:rsidP="004A5111">
      <w:pPr>
        <w:rPr>
          <w:rFonts w:cs="Times New Roman"/>
        </w:rPr>
      </w:pPr>
    </w:p>
    <w:p w14:paraId="452079E0" w14:textId="6DFA4D2F" w:rsidR="00E84138" w:rsidRPr="00D20474" w:rsidRDefault="00E84138" w:rsidP="00E84138">
      <w:pPr>
        <w:pStyle w:val="Heading3"/>
        <w:ind w:left="720" w:hanging="720"/>
        <w:rPr>
          <w:b w:val="0"/>
          <w:i/>
          <w:color w:val="000000" w:themeColor="text1"/>
          <w:szCs w:val="22"/>
        </w:rPr>
      </w:pPr>
      <w:r>
        <w:rPr>
          <w:b w:val="0"/>
          <w:i/>
          <w:color w:val="000000" w:themeColor="text1"/>
          <w:szCs w:val="22"/>
        </w:rPr>
        <w:t>3.5.7</w:t>
      </w:r>
      <w:r w:rsidRPr="00D20474">
        <w:rPr>
          <w:b w:val="0"/>
          <w:i/>
          <w:color w:val="000000" w:themeColor="text1"/>
          <w:szCs w:val="22"/>
        </w:rPr>
        <w:t xml:space="preserve"> </w:t>
      </w:r>
      <w:r w:rsidRPr="00D20474">
        <w:rPr>
          <w:b w:val="0"/>
          <w:i/>
          <w:color w:val="000000" w:themeColor="text1"/>
          <w:szCs w:val="22"/>
        </w:rPr>
        <w:tab/>
      </w:r>
      <w:r>
        <w:rPr>
          <w:b w:val="0"/>
          <w:i/>
          <w:color w:val="000000" w:themeColor="text1"/>
          <w:szCs w:val="22"/>
        </w:rPr>
        <w:t>Exploring the probability that each type of surgical unit was the most cost-effective.</w:t>
      </w:r>
    </w:p>
    <w:p w14:paraId="09F0689C" w14:textId="15C1DC45" w:rsidR="00E84138" w:rsidRDefault="00E84138" w:rsidP="00E84138">
      <w:pPr>
        <w:jc w:val="both"/>
        <w:rPr>
          <w:rFonts w:cs="Times New Roman"/>
        </w:rPr>
      </w:pPr>
      <w:r>
        <w:rPr>
          <w:rFonts w:cs="Times New Roman"/>
        </w:rPr>
        <w:t xml:space="preserve">Exploratory analyses were undertaken to provide indicative probabilities that each surgical unit type, </w:t>
      </w:r>
      <w:r w:rsidR="00F636C4">
        <w:rPr>
          <w:rFonts w:cs="Times New Roman"/>
        </w:rPr>
        <w:t>(</w:t>
      </w:r>
      <w:r>
        <w:rPr>
          <w:rFonts w:cs="Times New Roman"/>
        </w:rPr>
        <w:t>either S1, S2 and S3, or S4, S5 and S6</w:t>
      </w:r>
      <w:r w:rsidR="00F636C4">
        <w:rPr>
          <w:rFonts w:cs="Times New Roman"/>
        </w:rPr>
        <w:t xml:space="preserve">) </w:t>
      </w:r>
      <w:r w:rsidR="008578FA">
        <w:rPr>
          <w:rFonts w:cs="Times New Roman"/>
        </w:rPr>
        <w:t>or</w:t>
      </w:r>
      <w:r w:rsidR="00F636C4">
        <w:rPr>
          <w:rFonts w:cs="Times New Roman"/>
        </w:rPr>
        <w:t xml:space="preserve"> moving to single-use instruments</w:t>
      </w:r>
      <w:r>
        <w:rPr>
          <w:rFonts w:cs="Times New Roman"/>
        </w:rPr>
        <w:t xml:space="preserve"> were most cost-effective across a range of cost per QALY thresholds. </w:t>
      </w:r>
      <w:r w:rsidR="00F636C4">
        <w:rPr>
          <w:rFonts w:cs="Times New Roman"/>
        </w:rPr>
        <w:t xml:space="preserve">This analysis assumed that </w:t>
      </w:r>
      <w:r w:rsidR="00B75566">
        <w:rPr>
          <w:rFonts w:cs="Times New Roman"/>
        </w:rPr>
        <w:t xml:space="preserve">a surgical centre was an S3 </w:t>
      </w:r>
      <w:r w:rsidR="008578FA">
        <w:rPr>
          <w:rFonts w:cs="Times New Roman"/>
        </w:rPr>
        <w:t>(</w:t>
      </w:r>
      <w:r w:rsidR="00B75566">
        <w:rPr>
          <w:rFonts w:cs="Times New Roman"/>
        </w:rPr>
        <w:t>S6</w:t>
      </w:r>
      <w:r w:rsidR="008578FA">
        <w:rPr>
          <w:rFonts w:cs="Times New Roman"/>
        </w:rPr>
        <w:t>)</w:t>
      </w:r>
      <w:r w:rsidR="00B75566">
        <w:rPr>
          <w:rFonts w:cs="Times New Roman"/>
        </w:rPr>
        <w:t xml:space="preserve">, so that expenditure was required to move to S1 or S2 </w:t>
      </w:r>
      <w:r w:rsidR="008578FA">
        <w:rPr>
          <w:rFonts w:cs="Times New Roman"/>
        </w:rPr>
        <w:t>(</w:t>
      </w:r>
      <w:r w:rsidR="00B75566">
        <w:rPr>
          <w:rFonts w:cs="Times New Roman"/>
        </w:rPr>
        <w:t>S4 or S5</w:t>
      </w:r>
      <w:r w:rsidR="008578FA">
        <w:rPr>
          <w:rFonts w:cs="Times New Roman"/>
        </w:rPr>
        <w:t>)</w:t>
      </w:r>
      <w:r w:rsidR="00B75566">
        <w:rPr>
          <w:rFonts w:cs="Times New Roman"/>
        </w:rPr>
        <w:t xml:space="preserve">. </w:t>
      </w:r>
      <w:r>
        <w:rPr>
          <w:rFonts w:cs="Times New Roman"/>
        </w:rPr>
        <w:t xml:space="preserve">The probabilities were calculated assuming that </w:t>
      </w:r>
      <w:r w:rsidR="00F8239D">
        <w:rPr>
          <w:rFonts w:cs="Times New Roman"/>
        </w:rPr>
        <w:t>the weight applied to each of the 509 PSA values would be provided to the surgical unit</w:t>
      </w:r>
      <w:r w:rsidR="008578FA">
        <w:rPr>
          <w:rFonts w:cs="Times New Roman"/>
        </w:rPr>
        <w:t xml:space="preserve"> or single-use instrument</w:t>
      </w:r>
      <w:r w:rsidR="005638C5">
        <w:rPr>
          <w:rFonts w:cs="Times New Roman"/>
        </w:rPr>
        <w:t>,</w:t>
      </w:r>
      <w:r w:rsidR="008578FA">
        <w:rPr>
          <w:rFonts w:cs="Times New Roman"/>
        </w:rPr>
        <w:t xml:space="preserve"> scenario</w:t>
      </w:r>
      <w:r w:rsidR="00F8239D">
        <w:rPr>
          <w:rFonts w:cs="Times New Roman"/>
        </w:rPr>
        <w:t xml:space="preserve"> which was most cost-effective at a chosen cost-per QALY threshold. The summated total of weights for each </w:t>
      </w:r>
      <w:r w:rsidR="008578FA">
        <w:rPr>
          <w:rFonts w:cs="Times New Roman"/>
        </w:rPr>
        <w:t>option</w:t>
      </w:r>
      <w:r w:rsidR="00F8239D">
        <w:rPr>
          <w:rFonts w:cs="Times New Roman"/>
        </w:rPr>
        <w:t xml:space="preserve"> was divided by the sum of the total weights to provide a probability of being most cost-effective, which summate to 1.</w:t>
      </w:r>
    </w:p>
    <w:p w14:paraId="240DEBEC" w14:textId="77777777" w:rsidR="00E84138" w:rsidRDefault="00E84138" w:rsidP="004A5111">
      <w:pPr>
        <w:rPr>
          <w:rFonts w:cs="Times New Roman"/>
        </w:rPr>
      </w:pPr>
    </w:p>
    <w:p w14:paraId="71F7632A" w14:textId="250735EE" w:rsidR="00E4407F" w:rsidRPr="00D20474" w:rsidRDefault="00E4407F" w:rsidP="00E4407F">
      <w:pPr>
        <w:pStyle w:val="Heading3"/>
        <w:ind w:left="720" w:hanging="720"/>
        <w:rPr>
          <w:b w:val="0"/>
          <w:i/>
          <w:color w:val="000000" w:themeColor="text1"/>
          <w:szCs w:val="22"/>
        </w:rPr>
      </w:pPr>
      <w:r>
        <w:rPr>
          <w:b w:val="0"/>
          <w:i/>
          <w:color w:val="000000" w:themeColor="text1"/>
          <w:szCs w:val="22"/>
        </w:rPr>
        <w:t>3.5.</w:t>
      </w:r>
      <w:r w:rsidR="00E84138">
        <w:rPr>
          <w:b w:val="0"/>
          <w:i/>
          <w:color w:val="000000" w:themeColor="text1"/>
          <w:szCs w:val="22"/>
        </w:rPr>
        <w:t>8</w:t>
      </w:r>
      <w:r w:rsidRPr="00D20474">
        <w:rPr>
          <w:b w:val="0"/>
          <w:i/>
          <w:color w:val="000000" w:themeColor="text1"/>
          <w:szCs w:val="22"/>
        </w:rPr>
        <w:t xml:space="preserve"> </w:t>
      </w:r>
      <w:r w:rsidRPr="00D20474">
        <w:rPr>
          <w:b w:val="0"/>
          <w:i/>
          <w:color w:val="000000" w:themeColor="text1"/>
          <w:szCs w:val="22"/>
        </w:rPr>
        <w:tab/>
      </w:r>
      <w:r>
        <w:rPr>
          <w:b w:val="0"/>
          <w:i/>
          <w:color w:val="000000" w:themeColor="text1"/>
          <w:szCs w:val="22"/>
        </w:rPr>
        <w:t>Exploring the changes in the results produced with alternative assumptions relating to the assumed distribution of surgical units between the assumed decontamination levels.</w:t>
      </w:r>
    </w:p>
    <w:p w14:paraId="5C28961B" w14:textId="0F362EC4" w:rsidR="00E4407F" w:rsidRDefault="00E4407F" w:rsidP="007471CB">
      <w:pPr>
        <w:jc w:val="both"/>
        <w:rPr>
          <w:rFonts w:cs="Times New Roman"/>
        </w:rPr>
      </w:pPr>
      <w:r>
        <w:rPr>
          <w:rFonts w:cs="Times New Roman"/>
        </w:rPr>
        <w:t xml:space="preserve">In the base case analyses, it was assumed that: 10% of surgical units would both follow IPG196 and keep instruments moist; 30% would not follow IPG196; and that 60% of surgical units neither kept instruments moist nor followed IPG196. The NICE appraisal committee requested that a scenario analysis be run that changed these proportions to: 50%; 30%; and 20%. Thus, </w:t>
      </w:r>
      <w:r w:rsidR="00F8239D">
        <w:rPr>
          <w:rFonts w:cs="Times New Roman"/>
        </w:rPr>
        <w:t>i</w:t>
      </w:r>
      <w:r>
        <w:rPr>
          <w:rFonts w:cs="Times New Roman"/>
        </w:rPr>
        <w:t>n this scenario analysis half of surgical units both followed IPG196 and kept instruments moist.</w:t>
      </w:r>
    </w:p>
    <w:p w14:paraId="2CACC755" w14:textId="77777777" w:rsidR="00B75566" w:rsidRDefault="00B75566" w:rsidP="007471CB">
      <w:pPr>
        <w:jc w:val="both"/>
        <w:rPr>
          <w:rFonts w:cs="Times New Roman"/>
        </w:rPr>
      </w:pPr>
    </w:p>
    <w:p w14:paraId="763AC1CD" w14:textId="77777777" w:rsidR="004A5111" w:rsidRDefault="004A5111" w:rsidP="009D0674">
      <w:pPr>
        <w:rPr>
          <w:rFonts w:cs="Times New Roman"/>
        </w:rPr>
      </w:pPr>
    </w:p>
    <w:p w14:paraId="682D1F03" w14:textId="77777777" w:rsidR="00B53489" w:rsidRDefault="00B53489" w:rsidP="00B53489">
      <w:pPr>
        <w:pStyle w:val="Heading2"/>
        <w:rPr>
          <w:b w:val="0"/>
          <w:color w:val="000000" w:themeColor="text1"/>
          <w:szCs w:val="22"/>
        </w:rPr>
      </w:pPr>
      <w:bookmarkStart w:id="135" w:name="_Toc525106675"/>
      <w:r>
        <w:rPr>
          <w:b w:val="0"/>
          <w:color w:val="000000" w:themeColor="text1"/>
          <w:szCs w:val="22"/>
        </w:rPr>
        <w:t>3</w:t>
      </w:r>
      <w:r>
        <w:rPr>
          <w:color w:val="000000" w:themeColor="text1"/>
          <w:szCs w:val="22"/>
        </w:rPr>
        <w:t>.6</w:t>
      </w:r>
      <w:r>
        <w:rPr>
          <w:color w:val="000000" w:themeColor="text1"/>
          <w:szCs w:val="22"/>
        </w:rPr>
        <w:tab/>
        <w:t>Strategies modelled</w:t>
      </w:r>
      <w:bookmarkEnd w:id="135"/>
    </w:p>
    <w:p w14:paraId="260BA0DD" w14:textId="772E8BB5" w:rsidR="00B53489" w:rsidRDefault="00B53489" w:rsidP="00B53489">
      <w:pPr>
        <w:jc w:val="both"/>
        <w:rPr>
          <w:rFonts w:cs="Times New Roman"/>
        </w:rPr>
      </w:pPr>
      <w:r>
        <w:rPr>
          <w:rFonts w:cs="Times New Roman"/>
        </w:rPr>
        <w:t>In consultation with the NICE committee</w:t>
      </w:r>
      <w:r w:rsidR="00844E9B">
        <w:rPr>
          <w:rFonts w:cs="Times New Roman"/>
        </w:rPr>
        <w:t>,</w:t>
      </w:r>
      <w:r>
        <w:rPr>
          <w:rFonts w:cs="Times New Roman"/>
        </w:rPr>
        <w:t xml:space="preserve"> the following strategies were run:</w:t>
      </w:r>
    </w:p>
    <w:p w14:paraId="272711E8" w14:textId="77777777" w:rsidR="00B53489" w:rsidRPr="00AE1179" w:rsidRDefault="00B53489" w:rsidP="00B53489">
      <w:pPr>
        <w:pStyle w:val="ListParagraph"/>
        <w:numPr>
          <w:ilvl w:val="0"/>
          <w:numId w:val="31"/>
        </w:numPr>
        <w:rPr>
          <w:rFonts w:cs="Times New Roman"/>
        </w:rPr>
      </w:pPr>
      <w:r w:rsidRPr="00AE1179">
        <w:rPr>
          <w:rFonts w:cs="Times New Roman"/>
        </w:rPr>
        <w:t>Do nothing, assuming that the current situation is maintained</w:t>
      </w:r>
    </w:p>
    <w:p w14:paraId="20E6C008" w14:textId="438ACB99" w:rsidR="00B53489" w:rsidRPr="00C61074" w:rsidRDefault="00B53489" w:rsidP="00B53489">
      <w:pPr>
        <w:pStyle w:val="ListParagraph"/>
        <w:numPr>
          <w:ilvl w:val="0"/>
          <w:numId w:val="31"/>
        </w:numPr>
        <w:rPr>
          <w:rFonts w:cs="Times New Roman"/>
        </w:rPr>
      </w:pPr>
      <w:r>
        <w:rPr>
          <w:rFonts w:cs="Times New Roman"/>
        </w:rPr>
        <w:t>A</w:t>
      </w:r>
      <w:r w:rsidR="00AB280F">
        <w:rPr>
          <w:rFonts w:cs="Times New Roman"/>
        </w:rPr>
        <w:t>dherence to IPG</w:t>
      </w:r>
      <w:r w:rsidRPr="00AE1179">
        <w:rPr>
          <w:rFonts w:cs="Times New Roman"/>
        </w:rPr>
        <w:t>196</w:t>
      </w:r>
      <w:r>
        <w:rPr>
          <w:rFonts w:cs="Times New Roman"/>
        </w:rPr>
        <w:t>, and guidance on keeping instruments moist for those units where this is not followed.</w:t>
      </w:r>
    </w:p>
    <w:p w14:paraId="4F61C913" w14:textId="77777777" w:rsidR="00B53489" w:rsidRPr="00C61074" w:rsidRDefault="00B53489" w:rsidP="00B53489">
      <w:pPr>
        <w:pStyle w:val="ListParagraph"/>
        <w:numPr>
          <w:ilvl w:val="0"/>
          <w:numId w:val="31"/>
        </w:numPr>
        <w:rPr>
          <w:rFonts w:cs="Times New Roman"/>
        </w:rPr>
      </w:pPr>
      <w:r>
        <w:rPr>
          <w:rFonts w:cs="Times New Roman"/>
        </w:rPr>
        <w:t>A</w:t>
      </w:r>
      <w:r w:rsidRPr="00AE1179">
        <w:rPr>
          <w:rFonts w:cs="Times New Roman"/>
        </w:rPr>
        <w:t xml:space="preserve">dherence to </w:t>
      </w:r>
      <w:r>
        <w:rPr>
          <w:rFonts w:cs="Times New Roman"/>
        </w:rPr>
        <w:t>keeping instruments moist for those units where this is not followed.</w:t>
      </w:r>
    </w:p>
    <w:p w14:paraId="756BB365" w14:textId="77777777" w:rsidR="00B53489" w:rsidRDefault="00B53489" w:rsidP="00B53489">
      <w:pPr>
        <w:pStyle w:val="ListParagraph"/>
        <w:numPr>
          <w:ilvl w:val="0"/>
          <w:numId w:val="31"/>
        </w:numPr>
        <w:rPr>
          <w:rFonts w:cs="Times New Roman"/>
        </w:rPr>
      </w:pPr>
      <w:r w:rsidRPr="00AE1179">
        <w:rPr>
          <w:rFonts w:cs="Times New Roman"/>
        </w:rPr>
        <w:t xml:space="preserve">Removal of </w:t>
      </w:r>
      <w:r>
        <w:rPr>
          <w:rFonts w:cs="Times New Roman"/>
        </w:rPr>
        <w:t>the requirements to have separate instrument sets for the P</w:t>
      </w:r>
      <w:r w:rsidRPr="00AE1179">
        <w:rPr>
          <w:rFonts w:cs="Times New Roman"/>
        </w:rPr>
        <w:t xml:space="preserve">96 </w:t>
      </w:r>
      <w:r>
        <w:rPr>
          <w:rFonts w:cs="Times New Roman"/>
        </w:rPr>
        <w:t>group</w:t>
      </w:r>
    </w:p>
    <w:p w14:paraId="3FCE0D32" w14:textId="77777777" w:rsidR="00B53489" w:rsidRDefault="00B53489" w:rsidP="00B53489">
      <w:pPr>
        <w:pStyle w:val="ListParagraph"/>
        <w:numPr>
          <w:ilvl w:val="0"/>
          <w:numId w:val="31"/>
        </w:numPr>
        <w:rPr>
          <w:rFonts w:cs="Times New Roman"/>
        </w:rPr>
      </w:pPr>
      <w:r>
        <w:rPr>
          <w:rFonts w:cs="Times New Roman"/>
        </w:rPr>
        <w:t>Modelling interventions which prohibit the possibility of stCJD. These are likely to take the form of the introduction single-use instruments or the introduction of a decontamination product during the sterilisation process that is 100% effective.</w:t>
      </w:r>
    </w:p>
    <w:p w14:paraId="5EDD1965" w14:textId="77777777" w:rsidR="00B53489" w:rsidRDefault="00B53489" w:rsidP="00B53489">
      <w:pPr>
        <w:jc w:val="both"/>
        <w:rPr>
          <w:rFonts w:cs="Times New Roman"/>
        </w:rPr>
      </w:pPr>
    </w:p>
    <w:p w14:paraId="6324168C" w14:textId="545CE6E5" w:rsidR="00B53489" w:rsidRPr="00F17514" w:rsidRDefault="00F864AE" w:rsidP="00B53489">
      <w:pPr>
        <w:jc w:val="both"/>
        <w:rPr>
          <w:rFonts w:cs="Times New Roman"/>
        </w:rPr>
      </w:pPr>
      <w:r>
        <w:rPr>
          <w:rFonts w:cs="Times New Roman"/>
        </w:rPr>
        <w:t>Within this report</w:t>
      </w:r>
      <w:r w:rsidR="00B53489">
        <w:rPr>
          <w:rFonts w:cs="Times New Roman"/>
        </w:rPr>
        <w:t xml:space="preserve"> ‘adherence to IPG196’ is a slight misnomer as the modelled scenario does not assume that neuroendoscopy instruments are single-use. However, for brevity, we have used the term ‘adherence to IPG196’.</w:t>
      </w:r>
    </w:p>
    <w:p w14:paraId="7A81F769" w14:textId="63CF0F9F" w:rsidR="00B53489" w:rsidRDefault="00B53489" w:rsidP="00B53489">
      <w:pPr>
        <w:jc w:val="both"/>
        <w:rPr>
          <w:rFonts w:cs="Times New Roman"/>
        </w:rPr>
      </w:pPr>
    </w:p>
    <w:p w14:paraId="199721A7" w14:textId="1D9AD91F" w:rsidR="002A099A" w:rsidRDefault="002A099A" w:rsidP="00B53489">
      <w:pPr>
        <w:jc w:val="both"/>
        <w:rPr>
          <w:rFonts w:cs="Times New Roman"/>
        </w:rPr>
      </w:pPr>
      <w:r>
        <w:rPr>
          <w:rFonts w:cs="Times New Roman"/>
        </w:rPr>
        <w:t>Based on advice provided by the NICE committee it was assumed that the quality of single-use and re-usable instruments were equivalent.</w:t>
      </w:r>
    </w:p>
    <w:p w14:paraId="122924B7" w14:textId="77777777" w:rsidR="002A099A" w:rsidRDefault="002A099A" w:rsidP="00B53489">
      <w:pPr>
        <w:jc w:val="both"/>
        <w:rPr>
          <w:rFonts w:cs="Times New Roman"/>
        </w:rPr>
      </w:pPr>
    </w:p>
    <w:p w14:paraId="66FD6F54" w14:textId="77777777" w:rsidR="00B53489" w:rsidRPr="00D20474" w:rsidRDefault="00B53489" w:rsidP="00B53489">
      <w:pPr>
        <w:pStyle w:val="Heading2"/>
        <w:rPr>
          <w:color w:val="000000" w:themeColor="text1"/>
          <w:szCs w:val="22"/>
        </w:rPr>
      </w:pPr>
      <w:bookmarkStart w:id="136" w:name="_Toc525106676"/>
      <w:r w:rsidRPr="00D20474">
        <w:rPr>
          <w:color w:val="000000" w:themeColor="text1"/>
          <w:szCs w:val="22"/>
        </w:rPr>
        <w:t>3.7</w:t>
      </w:r>
      <w:r w:rsidRPr="00D20474">
        <w:rPr>
          <w:color w:val="000000" w:themeColor="text1"/>
          <w:szCs w:val="22"/>
        </w:rPr>
        <w:tab/>
        <w:t>Epidemiological results</w:t>
      </w:r>
      <w:bookmarkEnd w:id="136"/>
    </w:p>
    <w:p w14:paraId="23A4D0D8" w14:textId="457BC1A6" w:rsidR="00B53489" w:rsidRDefault="00B53489" w:rsidP="00B53489">
      <w:pPr>
        <w:jc w:val="both"/>
        <w:rPr>
          <w:rFonts w:cs="Times New Roman"/>
        </w:rPr>
      </w:pPr>
      <w:r w:rsidRPr="00F17514">
        <w:rPr>
          <w:rFonts w:cs="Times New Roman"/>
        </w:rPr>
        <w:t>For each PSA scenario</w:t>
      </w:r>
      <w:r w:rsidR="00844E9B">
        <w:rPr>
          <w:rFonts w:cs="Times New Roman"/>
        </w:rPr>
        <w:t>,</w:t>
      </w:r>
      <w:r w:rsidRPr="00F17514">
        <w:rPr>
          <w:rFonts w:cs="Times New Roman"/>
        </w:rPr>
        <w:t xml:space="preserve"> the number of transmissions by age group that resulted in </w:t>
      </w:r>
      <w:r>
        <w:rPr>
          <w:rFonts w:cs="Times New Roman"/>
        </w:rPr>
        <w:t>clinical symptoms</w:t>
      </w:r>
      <w:r w:rsidRPr="00F17514">
        <w:rPr>
          <w:rFonts w:cs="Times New Roman"/>
        </w:rPr>
        <w:t xml:space="preserve">, whether correctly diagnosed </w:t>
      </w:r>
      <w:r>
        <w:rPr>
          <w:rFonts w:cs="Times New Roman"/>
        </w:rPr>
        <w:t xml:space="preserve">as </w:t>
      </w:r>
      <w:r w:rsidRPr="00F17514">
        <w:rPr>
          <w:rFonts w:cs="Times New Roman"/>
        </w:rPr>
        <w:t xml:space="preserve">CJD or not, the number of life years lost and the number of discounted QALYs lost were simulated through the mathematical model. These results were then weighted by the likelihood with the sum of these values divided by the sum of the likelihoods. </w:t>
      </w:r>
    </w:p>
    <w:p w14:paraId="3B2DA9A2" w14:textId="77777777" w:rsidR="00D20474" w:rsidRPr="00F17514" w:rsidRDefault="00D20474" w:rsidP="00B53489">
      <w:pPr>
        <w:jc w:val="both"/>
        <w:rPr>
          <w:rFonts w:cs="Times New Roman"/>
        </w:rPr>
      </w:pPr>
    </w:p>
    <w:p w14:paraId="04ECB475" w14:textId="65FF11AF" w:rsidR="00B53489" w:rsidRDefault="00B53489" w:rsidP="00D20474">
      <w:pPr>
        <w:jc w:val="both"/>
        <w:rPr>
          <w:rFonts w:cs="Times New Roman"/>
        </w:rPr>
      </w:pPr>
      <w:r w:rsidRPr="00F93CC0">
        <w:rPr>
          <w:rFonts w:cs="Times New Roman"/>
        </w:rPr>
        <w:t xml:space="preserve">The </w:t>
      </w:r>
      <w:r>
        <w:rPr>
          <w:rFonts w:cs="Times New Roman"/>
        </w:rPr>
        <w:t xml:space="preserve">epidemiological </w:t>
      </w:r>
      <w:r w:rsidRPr="00F93CC0">
        <w:rPr>
          <w:rFonts w:cs="Times New Roman"/>
        </w:rPr>
        <w:t xml:space="preserve">results presented </w:t>
      </w:r>
      <w:r>
        <w:rPr>
          <w:rFonts w:cs="Times New Roman"/>
        </w:rPr>
        <w:t xml:space="preserve">are </w:t>
      </w:r>
      <w:r w:rsidRPr="00F93CC0">
        <w:rPr>
          <w:rFonts w:cs="Times New Roman"/>
        </w:rPr>
        <w:t xml:space="preserve">based on an individual </w:t>
      </w:r>
      <w:r>
        <w:rPr>
          <w:rFonts w:cs="Times New Roman"/>
        </w:rPr>
        <w:t xml:space="preserve">surgical </w:t>
      </w:r>
      <w:r w:rsidRPr="00F93CC0">
        <w:rPr>
          <w:rFonts w:cs="Times New Roman"/>
        </w:rPr>
        <w:t>unit</w:t>
      </w:r>
      <w:r>
        <w:rPr>
          <w:rFonts w:cs="Times New Roman"/>
        </w:rPr>
        <w:t xml:space="preserve">. Units are </w:t>
      </w:r>
      <w:r w:rsidR="00F864AE">
        <w:rPr>
          <w:rFonts w:cs="Times New Roman"/>
        </w:rPr>
        <w:t>denoted</w:t>
      </w:r>
      <w:r>
        <w:rPr>
          <w:rFonts w:cs="Times New Roman"/>
        </w:rPr>
        <w:t xml:space="preserve"> </w:t>
      </w:r>
      <w:r w:rsidRPr="00F93CC0">
        <w:rPr>
          <w:rFonts w:cs="Times New Roman"/>
        </w:rPr>
        <w:t xml:space="preserve">S1 to S6 </w:t>
      </w:r>
      <w:r>
        <w:rPr>
          <w:rFonts w:cs="Times New Roman"/>
        </w:rPr>
        <w:t>(</w:t>
      </w:r>
      <w:r w:rsidRPr="00F93CC0">
        <w:rPr>
          <w:rFonts w:cs="Times New Roman"/>
        </w:rPr>
        <w:t xml:space="preserve">defined </w:t>
      </w:r>
      <w:r w:rsidR="00F864AE">
        <w:rPr>
          <w:rFonts w:cs="Times New Roman"/>
        </w:rPr>
        <w:t>in Section 3.5.1</w:t>
      </w:r>
      <w:r>
        <w:rPr>
          <w:rFonts w:cs="Times New Roman"/>
        </w:rPr>
        <w:t>) to represent the combinations of:</w:t>
      </w:r>
      <w:r w:rsidRPr="00F93CC0">
        <w:rPr>
          <w:rFonts w:cs="Times New Roman"/>
        </w:rPr>
        <w:t xml:space="preserve"> the unit’s adherence to IPG196</w:t>
      </w:r>
      <w:r>
        <w:rPr>
          <w:rFonts w:cs="Times New Roman"/>
        </w:rPr>
        <w:t xml:space="preserve"> whether instruments are kept moist;</w:t>
      </w:r>
      <w:r w:rsidRPr="00F93CC0">
        <w:rPr>
          <w:rFonts w:cs="Times New Roman"/>
        </w:rPr>
        <w:t xml:space="preserve"> and whether it is assumed that the P96 group is infectious or not.</w:t>
      </w:r>
      <w:r w:rsidRPr="00432B43">
        <w:rPr>
          <w:rFonts w:cs="Times New Roman"/>
        </w:rPr>
        <w:t xml:space="preserve"> </w:t>
      </w:r>
      <w:r>
        <w:rPr>
          <w:rFonts w:cs="Times New Roman"/>
        </w:rPr>
        <w:t>It has been assumed that there are 27 units in England.</w:t>
      </w:r>
    </w:p>
    <w:p w14:paraId="61D1876A" w14:textId="77777777" w:rsidR="00D20474" w:rsidRPr="00F93CC0" w:rsidRDefault="00D20474" w:rsidP="00B53489">
      <w:pPr>
        <w:rPr>
          <w:rFonts w:cs="Times New Roman"/>
        </w:rPr>
      </w:pPr>
    </w:p>
    <w:p w14:paraId="7BC96143" w14:textId="7B0D707D" w:rsidR="00B53489" w:rsidRPr="00F93CC0" w:rsidRDefault="00B53489" w:rsidP="00D20474">
      <w:pPr>
        <w:jc w:val="both"/>
        <w:rPr>
          <w:rFonts w:cs="Times New Roman"/>
        </w:rPr>
      </w:pPr>
      <w:r>
        <w:rPr>
          <w:rFonts w:cs="Times New Roman"/>
        </w:rPr>
        <w:t>It is assumed that t</w:t>
      </w:r>
      <w:r w:rsidRPr="00F93CC0">
        <w:rPr>
          <w:rFonts w:cs="Times New Roman"/>
        </w:rPr>
        <w:t xml:space="preserve">he answers </w:t>
      </w:r>
      <w:r>
        <w:rPr>
          <w:rFonts w:cs="Times New Roman"/>
        </w:rPr>
        <w:t xml:space="preserve">produced </w:t>
      </w:r>
      <w:r w:rsidRPr="00F93CC0">
        <w:rPr>
          <w:rFonts w:cs="Times New Roman"/>
        </w:rPr>
        <w:t xml:space="preserve">will </w:t>
      </w:r>
      <w:r>
        <w:rPr>
          <w:rFonts w:cs="Times New Roman"/>
        </w:rPr>
        <w:t xml:space="preserve">contain </w:t>
      </w:r>
      <w:r w:rsidRPr="00F93CC0">
        <w:rPr>
          <w:rFonts w:cs="Times New Roman"/>
        </w:rPr>
        <w:t>Monte Carlo sampling error and that further RN streams and PSA configurations would provide more accurate answers</w:t>
      </w:r>
      <w:r>
        <w:rPr>
          <w:rFonts w:cs="Times New Roman"/>
        </w:rPr>
        <w:t>.</w:t>
      </w:r>
      <w:r w:rsidRPr="00F93CC0">
        <w:rPr>
          <w:rFonts w:cs="Times New Roman"/>
        </w:rPr>
        <w:t xml:space="preserve"> </w:t>
      </w:r>
      <w:r>
        <w:rPr>
          <w:rFonts w:cs="Times New Roman"/>
        </w:rPr>
        <w:t>H</w:t>
      </w:r>
      <w:r w:rsidRPr="00F93CC0">
        <w:rPr>
          <w:rFonts w:cs="Times New Roman"/>
        </w:rPr>
        <w:t xml:space="preserve">owever, </w:t>
      </w:r>
      <w:r w:rsidR="00F864AE">
        <w:rPr>
          <w:rFonts w:cs="Times New Roman"/>
        </w:rPr>
        <w:t>we</w:t>
      </w:r>
      <w:r w:rsidRPr="00F93CC0">
        <w:rPr>
          <w:rFonts w:cs="Times New Roman"/>
        </w:rPr>
        <w:t xml:space="preserve"> believe that the results presented are sufficiently robust to draw conclusions. The base case results assume that there may have been up to 15 deaths attributable to stCJD between 2005 and 2018. </w:t>
      </w:r>
    </w:p>
    <w:p w14:paraId="77A54D9C" w14:textId="77777777" w:rsidR="00B53489" w:rsidRDefault="00B53489" w:rsidP="00B53489">
      <w:pPr>
        <w:rPr>
          <w:rFonts w:cs="Times New Roman"/>
        </w:rPr>
      </w:pPr>
    </w:p>
    <w:p w14:paraId="1B9F46B2" w14:textId="77777777" w:rsidR="00B53489" w:rsidRPr="00D20474" w:rsidRDefault="00B53489" w:rsidP="00B53489">
      <w:pPr>
        <w:pStyle w:val="Heading3"/>
        <w:rPr>
          <w:b w:val="0"/>
          <w:i/>
        </w:rPr>
      </w:pPr>
      <w:r w:rsidRPr="00D20474">
        <w:rPr>
          <w:b w:val="0"/>
          <w:i/>
        </w:rPr>
        <w:t xml:space="preserve">3.7.1 </w:t>
      </w:r>
      <w:r w:rsidRPr="00D20474">
        <w:rPr>
          <w:b w:val="0"/>
          <w:i/>
        </w:rPr>
        <w:tab/>
        <w:t>Base case results</w:t>
      </w:r>
    </w:p>
    <w:p w14:paraId="4867D93B" w14:textId="7A9F9CF2" w:rsidR="00B53489" w:rsidRDefault="00B53489" w:rsidP="00D20474">
      <w:pPr>
        <w:jc w:val="both"/>
        <w:rPr>
          <w:rFonts w:cs="Times New Roman"/>
        </w:rPr>
      </w:pPr>
      <w:r>
        <w:rPr>
          <w:rFonts w:cs="Times New Roman"/>
        </w:rPr>
        <w:t xml:space="preserve">The base case results are provided in </w:t>
      </w:r>
      <w:r w:rsidRPr="00CC41CC">
        <w:rPr>
          <w:rFonts w:cs="Times New Roman"/>
        </w:rPr>
        <w:fldChar w:fldCharType="begin"/>
      </w:r>
      <w:r w:rsidRPr="00CC41CC">
        <w:rPr>
          <w:rFonts w:cs="Times New Roman"/>
        </w:rPr>
        <w:instrText xml:space="preserve"> REF _Ref519334448  \* MERGEFORMAT </w:instrText>
      </w:r>
      <w:r w:rsidRPr="00CC41CC">
        <w:rPr>
          <w:rFonts w:cs="Times New Roman"/>
        </w:rPr>
        <w:fldChar w:fldCharType="separate"/>
      </w:r>
      <w:r w:rsidR="00690541" w:rsidRPr="00D20474">
        <w:rPr>
          <w:rFonts w:cs="Times New Roman"/>
          <w:noProof/>
        </w:rPr>
        <w:t>Table</w:t>
      </w:r>
      <w:r w:rsidR="00690541" w:rsidRPr="00D20474">
        <w:rPr>
          <w:rFonts w:cs="Times New Roman"/>
        </w:rPr>
        <w:t xml:space="preserve"> </w:t>
      </w:r>
      <w:r w:rsidR="00690541">
        <w:rPr>
          <w:rFonts w:cs="Times New Roman"/>
          <w:noProof/>
        </w:rPr>
        <w:t>26</w:t>
      </w:r>
      <w:r w:rsidRPr="00CC41CC">
        <w:rPr>
          <w:rFonts w:cs="Times New Roman"/>
        </w:rPr>
        <w:fldChar w:fldCharType="end"/>
      </w:r>
      <w:r>
        <w:rPr>
          <w:rFonts w:cs="Times New Roman"/>
        </w:rPr>
        <w:t xml:space="preserve"> and relate to the period 2019 – 2023</w:t>
      </w:r>
      <w:r w:rsidR="000917F0">
        <w:rPr>
          <w:rFonts w:cs="Times New Roman"/>
        </w:rPr>
        <w:t>,</w:t>
      </w:r>
      <w:r>
        <w:rPr>
          <w:rFonts w:cs="Times New Roman"/>
        </w:rPr>
        <w:t xml:space="preserve"> as agreed with the NICE </w:t>
      </w:r>
      <w:r w:rsidR="007E367F">
        <w:rPr>
          <w:rFonts w:cs="Times New Roman"/>
        </w:rPr>
        <w:t>c</w:t>
      </w:r>
      <w:r>
        <w:rPr>
          <w:rFonts w:cs="Times New Roman"/>
        </w:rPr>
        <w:t>ommittee. The estimated values</w:t>
      </w:r>
      <w:r w:rsidRPr="00432B43">
        <w:rPr>
          <w:rFonts w:cs="Times New Roman"/>
        </w:rPr>
        <w:t xml:space="preserve"> </w:t>
      </w:r>
      <w:r>
        <w:rPr>
          <w:rFonts w:cs="Times New Roman"/>
        </w:rPr>
        <w:t>are presented in columns 2-4: these are calculated using all PSA configurations (509),</w:t>
      </w:r>
      <w:r w:rsidRPr="00432B43">
        <w:rPr>
          <w:rFonts w:cs="Times New Roman"/>
        </w:rPr>
        <w:t xml:space="preserve"> </w:t>
      </w:r>
      <w:r>
        <w:rPr>
          <w:rFonts w:cs="Times New Roman"/>
        </w:rPr>
        <w:t>and all RN streams (27). The values of simulated deaths due to CJD infection weighted by their likelihood that the transmissions of CJD modelled between 2005 and 2018 matched the observed data</w:t>
      </w:r>
      <w:r w:rsidR="000B5D15">
        <w:rPr>
          <w:rFonts w:cs="Times New Roman"/>
        </w:rPr>
        <w:t>. The final column contains a value which represents</w:t>
      </w:r>
      <w:r>
        <w:rPr>
          <w:rFonts w:cs="Times New Roman"/>
        </w:rPr>
        <w:t xml:space="preserve"> the maximum value </w:t>
      </w:r>
      <w:r w:rsidR="000B5D15">
        <w:rPr>
          <w:rFonts w:cs="Times New Roman"/>
        </w:rPr>
        <w:t xml:space="preserve">across the PSA configurations </w:t>
      </w:r>
      <w:r>
        <w:rPr>
          <w:rFonts w:cs="Times New Roman"/>
        </w:rPr>
        <w:t xml:space="preserve">of </w:t>
      </w:r>
      <w:r w:rsidR="000B5D15">
        <w:rPr>
          <w:rFonts w:cs="Times New Roman"/>
        </w:rPr>
        <w:t xml:space="preserve">the </w:t>
      </w:r>
      <w:r>
        <w:rPr>
          <w:rFonts w:cs="Times New Roman"/>
        </w:rPr>
        <w:t xml:space="preserve">simulated deaths </w:t>
      </w:r>
      <w:r w:rsidR="000B5D15">
        <w:rPr>
          <w:rFonts w:cs="Times New Roman"/>
        </w:rPr>
        <w:t xml:space="preserve">in that PSA </w:t>
      </w:r>
      <w:r>
        <w:rPr>
          <w:rFonts w:cs="Times New Roman"/>
        </w:rPr>
        <w:t>multiplied by the likelihood</w:t>
      </w:r>
      <w:r w:rsidR="000B5D15">
        <w:rPr>
          <w:rFonts w:cs="Times New Roman"/>
        </w:rPr>
        <w:t xml:space="preserve"> of that PSA</w:t>
      </w:r>
      <w:r>
        <w:rPr>
          <w:rFonts w:cs="Times New Roman"/>
        </w:rPr>
        <w:t xml:space="preserve">. </w:t>
      </w:r>
      <w:r w:rsidR="00F864AE">
        <w:rPr>
          <w:rFonts w:cs="Times New Roman"/>
        </w:rPr>
        <w:t xml:space="preserve">Note </w:t>
      </w:r>
      <w:r>
        <w:rPr>
          <w:rFonts w:cs="Times New Roman"/>
        </w:rPr>
        <w:t>that the maximum deaths</w:t>
      </w:r>
      <w:r w:rsidR="00F864AE">
        <w:rPr>
          <w:rFonts w:cs="Times New Roman"/>
        </w:rPr>
        <w:t xml:space="preserve"> across the P96 and the non-P96 group</w:t>
      </w:r>
      <w:r>
        <w:rPr>
          <w:rFonts w:cs="Times New Roman"/>
        </w:rPr>
        <w:t xml:space="preserve"> may not </w:t>
      </w:r>
      <w:r w:rsidR="00F864AE">
        <w:rPr>
          <w:rFonts w:cs="Times New Roman"/>
        </w:rPr>
        <w:t>equal</w:t>
      </w:r>
      <w:r>
        <w:rPr>
          <w:rFonts w:cs="Times New Roman"/>
        </w:rPr>
        <w:t xml:space="preserve"> the maximum values for both the P96 group and the non-P96 group individually.</w:t>
      </w:r>
    </w:p>
    <w:p w14:paraId="5305799C" w14:textId="12198D37" w:rsidR="00B53489" w:rsidRDefault="00B53489" w:rsidP="00B53489">
      <w:pPr>
        <w:rPr>
          <w:rFonts w:cs="Times New Roman"/>
        </w:rPr>
      </w:pPr>
    </w:p>
    <w:p w14:paraId="590AC050" w14:textId="012A8AE8" w:rsidR="00B53489" w:rsidRPr="00D20474" w:rsidRDefault="00B53489" w:rsidP="00B53489">
      <w:pPr>
        <w:pStyle w:val="Caption"/>
        <w:rPr>
          <w:rFonts w:cs="Times New Roman"/>
          <w:szCs w:val="22"/>
        </w:rPr>
      </w:pPr>
      <w:bookmarkStart w:id="137" w:name="_Ref519334448"/>
      <w:bookmarkStart w:id="138" w:name="_Toc525106713"/>
      <w:r w:rsidRPr="00D20474">
        <w:rPr>
          <w:rFonts w:cs="Times New Roman"/>
          <w:szCs w:val="22"/>
        </w:rPr>
        <w:t xml:space="preserve">Table </w:t>
      </w:r>
      <w:r w:rsidRPr="00D20474">
        <w:rPr>
          <w:rFonts w:cs="Times New Roman"/>
          <w:szCs w:val="22"/>
        </w:rPr>
        <w:fldChar w:fldCharType="begin"/>
      </w:r>
      <w:r w:rsidRPr="00D20474">
        <w:rPr>
          <w:rFonts w:cs="Times New Roman"/>
          <w:szCs w:val="22"/>
        </w:rPr>
        <w:instrText xml:space="preserve"> SEQ Table \* ARABIC </w:instrText>
      </w:r>
      <w:r w:rsidRPr="00D20474">
        <w:rPr>
          <w:rFonts w:cs="Times New Roman"/>
          <w:szCs w:val="22"/>
        </w:rPr>
        <w:fldChar w:fldCharType="separate"/>
      </w:r>
      <w:r w:rsidR="00690541">
        <w:rPr>
          <w:rFonts w:cs="Times New Roman"/>
          <w:noProof/>
          <w:szCs w:val="22"/>
        </w:rPr>
        <w:t>26</w:t>
      </w:r>
      <w:r w:rsidRPr="00D20474">
        <w:rPr>
          <w:rFonts w:cs="Times New Roman"/>
          <w:szCs w:val="22"/>
        </w:rPr>
        <w:fldChar w:fldCharType="end"/>
      </w:r>
      <w:bookmarkEnd w:id="137"/>
      <w:r w:rsidRPr="00D20474">
        <w:rPr>
          <w:rFonts w:cs="Times New Roman"/>
          <w:szCs w:val="22"/>
        </w:rPr>
        <w:t>:</w:t>
      </w:r>
      <w:r w:rsidR="00D20474">
        <w:rPr>
          <w:rFonts w:cs="Times New Roman"/>
          <w:szCs w:val="22"/>
        </w:rPr>
        <w:tab/>
      </w:r>
      <w:r w:rsidRPr="00D20474">
        <w:rPr>
          <w:rFonts w:cs="Times New Roman"/>
          <w:szCs w:val="22"/>
        </w:rPr>
        <w:t>Base</w:t>
      </w:r>
      <w:r w:rsidR="00D20474">
        <w:rPr>
          <w:rFonts w:cs="Times New Roman"/>
          <w:szCs w:val="22"/>
        </w:rPr>
        <w:t xml:space="preserve"> case results per surgical unit</w:t>
      </w:r>
      <w:bookmarkEnd w:id="138"/>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318"/>
        <w:gridCol w:w="2064"/>
        <w:gridCol w:w="2013"/>
        <w:gridCol w:w="2583"/>
      </w:tblGrid>
      <w:tr w:rsidR="00B53489" w:rsidRPr="00D6530A" w14:paraId="60D1929D" w14:textId="77777777" w:rsidTr="00E15368">
        <w:tc>
          <w:tcPr>
            <w:tcW w:w="798" w:type="dxa"/>
          </w:tcPr>
          <w:p w14:paraId="0C8098B4" w14:textId="77777777" w:rsidR="00B53489" w:rsidRPr="00D6530A" w:rsidRDefault="00B53489" w:rsidP="00D20474">
            <w:pPr>
              <w:spacing w:line="240" w:lineRule="auto"/>
              <w:rPr>
                <w:rFonts w:cs="Times New Roman"/>
              </w:rPr>
            </w:pPr>
          </w:p>
        </w:tc>
        <w:tc>
          <w:tcPr>
            <w:tcW w:w="2318" w:type="dxa"/>
          </w:tcPr>
          <w:p w14:paraId="3C6EEA7D" w14:textId="77777777" w:rsidR="00B53489" w:rsidRPr="00D6530A" w:rsidRDefault="00B53489" w:rsidP="00D20474">
            <w:pPr>
              <w:spacing w:line="240" w:lineRule="auto"/>
              <w:rPr>
                <w:rFonts w:cs="Times New Roman"/>
              </w:rPr>
            </w:pPr>
            <w:r w:rsidRPr="00D6530A">
              <w:rPr>
                <w:rFonts w:cs="Times New Roman"/>
              </w:rPr>
              <w:t>Average future deaths caused by infections between 2019 and 2023</w:t>
            </w:r>
            <w:r>
              <w:rPr>
                <w:rFonts w:cs="Times New Roman"/>
              </w:rPr>
              <w:t>.</w:t>
            </w:r>
            <w:r w:rsidRPr="00D6530A">
              <w:rPr>
                <w:rFonts w:cs="Times New Roman"/>
              </w:rPr>
              <w:t xml:space="preserve"> Total (No</w:t>
            </w:r>
            <w:r>
              <w:rPr>
                <w:rFonts w:cs="Times New Roman"/>
              </w:rPr>
              <w:t>n-</w:t>
            </w:r>
            <w:r w:rsidRPr="00D6530A">
              <w:rPr>
                <w:rFonts w:cs="Times New Roman"/>
              </w:rPr>
              <w:t>P96 group /  P96 group) *</w:t>
            </w:r>
          </w:p>
        </w:tc>
        <w:tc>
          <w:tcPr>
            <w:tcW w:w="2064" w:type="dxa"/>
          </w:tcPr>
          <w:p w14:paraId="062680A0" w14:textId="77777777" w:rsidR="00B53489" w:rsidRPr="00D6530A" w:rsidRDefault="00B53489" w:rsidP="00D20474">
            <w:pPr>
              <w:spacing w:line="240" w:lineRule="auto"/>
              <w:rPr>
                <w:rFonts w:cs="Times New Roman"/>
              </w:rPr>
            </w:pPr>
            <w:r w:rsidRPr="00D6530A">
              <w:rPr>
                <w:rFonts w:cs="Times New Roman"/>
              </w:rPr>
              <w:t>Average future undiscounted life years lost due to infections between 2019 and 2023</w:t>
            </w:r>
          </w:p>
        </w:tc>
        <w:tc>
          <w:tcPr>
            <w:tcW w:w="2013" w:type="dxa"/>
          </w:tcPr>
          <w:p w14:paraId="0E212AFB" w14:textId="77777777" w:rsidR="00B53489" w:rsidRPr="00D6530A" w:rsidRDefault="00B53489" w:rsidP="00D20474">
            <w:pPr>
              <w:spacing w:line="240" w:lineRule="auto"/>
              <w:rPr>
                <w:rFonts w:cs="Times New Roman"/>
              </w:rPr>
            </w:pPr>
            <w:r w:rsidRPr="00D6530A">
              <w:rPr>
                <w:rFonts w:cs="Times New Roman"/>
              </w:rPr>
              <w:t>Average future discounted QALYs lost due to infections between 2019 and 2023</w:t>
            </w:r>
          </w:p>
        </w:tc>
        <w:tc>
          <w:tcPr>
            <w:tcW w:w="2583" w:type="dxa"/>
          </w:tcPr>
          <w:p w14:paraId="297AA325" w14:textId="7378CD93" w:rsidR="00B53489" w:rsidRPr="00D6530A" w:rsidRDefault="00B53489" w:rsidP="00D20474">
            <w:pPr>
              <w:spacing w:line="240" w:lineRule="auto"/>
              <w:rPr>
                <w:rFonts w:cs="Times New Roman"/>
              </w:rPr>
            </w:pPr>
            <w:r w:rsidRPr="00D6530A">
              <w:rPr>
                <w:rFonts w:cs="Times New Roman"/>
              </w:rPr>
              <w:t xml:space="preserve">Maximum </w:t>
            </w:r>
            <w:r w:rsidR="000B5D15">
              <w:rPr>
                <w:rFonts w:cs="Times New Roman"/>
              </w:rPr>
              <w:t xml:space="preserve">across the PSAs of </w:t>
            </w:r>
            <w:r w:rsidRPr="00D6530A">
              <w:rPr>
                <w:rFonts w:cs="Times New Roman"/>
              </w:rPr>
              <w:t>future deaths caused by infections between 2019 and 2023 multiplied by likelihood Total (No</w:t>
            </w:r>
            <w:r>
              <w:rPr>
                <w:rFonts w:cs="Times New Roman"/>
              </w:rPr>
              <w:t>n-</w:t>
            </w:r>
            <w:r w:rsidRPr="00D6530A">
              <w:rPr>
                <w:rFonts w:cs="Times New Roman"/>
              </w:rPr>
              <w:t>P96 group /  P96 group) *</w:t>
            </w:r>
          </w:p>
        </w:tc>
      </w:tr>
      <w:tr w:rsidR="00B53489" w:rsidRPr="00D6530A" w14:paraId="7B390E5A" w14:textId="77777777" w:rsidTr="00E15368">
        <w:tc>
          <w:tcPr>
            <w:tcW w:w="798" w:type="dxa"/>
          </w:tcPr>
          <w:p w14:paraId="62F27882" w14:textId="77777777" w:rsidR="00B53489" w:rsidRPr="00D6530A" w:rsidRDefault="00B53489" w:rsidP="00D20474">
            <w:pPr>
              <w:spacing w:line="240" w:lineRule="auto"/>
              <w:rPr>
                <w:rFonts w:cs="Times New Roman"/>
              </w:rPr>
            </w:pPr>
            <w:r w:rsidRPr="00D6530A">
              <w:rPr>
                <w:rFonts w:cs="Times New Roman"/>
              </w:rPr>
              <w:t>S1</w:t>
            </w:r>
          </w:p>
        </w:tc>
        <w:tc>
          <w:tcPr>
            <w:tcW w:w="2318" w:type="dxa"/>
          </w:tcPr>
          <w:p w14:paraId="0B060D83" w14:textId="77777777" w:rsidR="00B53489" w:rsidRPr="00D6530A" w:rsidRDefault="00B53489" w:rsidP="00D20474">
            <w:pPr>
              <w:spacing w:line="240" w:lineRule="auto"/>
              <w:jc w:val="center"/>
              <w:rPr>
                <w:rFonts w:cs="Times New Roman"/>
              </w:rPr>
            </w:pPr>
            <w:r w:rsidRPr="00D6530A">
              <w:rPr>
                <w:rFonts w:cs="Times New Roman"/>
              </w:rPr>
              <w:t>0.052 (0.036 / 0.016)</w:t>
            </w:r>
          </w:p>
        </w:tc>
        <w:tc>
          <w:tcPr>
            <w:tcW w:w="2064" w:type="dxa"/>
          </w:tcPr>
          <w:p w14:paraId="02411EDB" w14:textId="77777777" w:rsidR="00B53489" w:rsidRPr="00D6530A" w:rsidRDefault="00B53489" w:rsidP="00D20474">
            <w:pPr>
              <w:spacing w:line="240" w:lineRule="auto"/>
              <w:jc w:val="center"/>
              <w:rPr>
                <w:rFonts w:cs="Times New Roman"/>
              </w:rPr>
            </w:pPr>
            <w:r>
              <w:rPr>
                <w:rFonts w:cs="Times New Roman"/>
              </w:rPr>
              <w:t>1.548</w:t>
            </w:r>
          </w:p>
        </w:tc>
        <w:tc>
          <w:tcPr>
            <w:tcW w:w="2013" w:type="dxa"/>
          </w:tcPr>
          <w:p w14:paraId="174956E2" w14:textId="77777777" w:rsidR="00B53489" w:rsidRPr="00D6530A" w:rsidRDefault="00B53489" w:rsidP="00D20474">
            <w:pPr>
              <w:spacing w:line="240" w:lineRule="auto"/>
              <w:jc w:val="center"/>
              <w:rPr>
                <w:rFonts w:cs="Times New Roman"/>
              </w:rPr>
            </w:pPr>
            <w:r w:rsidRPr="00D6530A">
              <w:rPr>
                <w:rFonts w:cs="Times New Roman"/>
              </w:rPr>
              <w:t>0.</w:t>
            </w:r>
            <w:r>
              <w:rPr>
                <w:rFonts w:cs="Times New Roman"/>
              </w:rPr>
              <w:t>459</w:t>
            </w:r>
          </w:p>
        </w:tc>
        <w:tc>
          <w:tcPr>
            <w:tcW w:w="2583" w:type="dxa"/>
          </w:tcPr>
          <w:p w14:paraId="7396CCBB" w14:textId="77777777" w:rsidR="00B53489" w:rsidRPr="00D6530A" w:rsidRDefault="00B53489" w:rsidP="00D20474">
            <w:pPr>
              <w:spacing w:line="240" w:lineRule="auto"/>
              <w:jc w:val="center"/>
              <w:rPr>
                <w:rFonts w:cs="Times New Roman"/>
              </w:rPr>
            </w:pPr>
            <w:r w:rsidRPr="00D6530A">
              <w:rPr>
                <w:rFonts w:cs="Times New Roman"/>
              </w:rPr>
              <w:t>0.</w:t>
            </w:r>
            <w:r>
              <w:rPr>
                <w:rFonts w:cs="Times New Roman"/>
              </w:rPr>
              <w:t>519</w:t>
            </w:r>
            <w:r w:rsidRPr="00D6530A">
              <w:rPr>
                <w:rFonts w:cs="Times New Roman"/>
              </w:rPr>
              <w:t xml:space="preserve"> (0.519 / 0.0</w:t>
            </w:r>
            <w:r>
              <w:rPr>
                <w:rFonts w:cs="Times New Roman"/>
              </w:rPr>
              <w:t>00</w:t>
            </w:r>
            <w:r w:rsidRPr="00D6530A">
              <w:rPr>
                <w:rFonts w:cs="Times New Roman"/>
              </w:rPr>
              <w:t>)</w:t>
            </w:r>
          </w:p>
        </w:tc>
      </w:tr>
      <w:tr w:rsidR="00B53489" w:rsidRPr="00D6530A" w14:paraId="21F3BF2A" w14:textId="77777777" w:rsidTr="00E15368">
        <w:tc>
          <w:tcPr>
            <w:tcW w:w="798" w:type="dxa"/>
          </w:tcPr>
          <w:p w14:paraId="56E88C9A" w14:textId="77777777" w:rsidR="00B53489" w:rsidRPr="00D6530A" w:rsidRDefault="00B53489" w:rsidP="00D20474">
            <w:pPr>
              <w:spacing w:line="240" w:lineRule="auto"/>
              <w:rPr>
                <w:rFonts w:cs="Times New Roman"/>
              </w:rPr>
            </w:pPr>
            <w:r w:rsidRPr="00D6530A">
              <w:rPr>
                <w:rFonts w:cs="Times New Roman"/>
              </w:rPr>
              <w:t>S2</w:t>
            </w:r>
          </w:p>
        </w:tc>
        <w:tc>
          <w:tcPr>
            <w:tcW w:w="2318" w:type="dxa"/>
          </w:tcPr>
          <w:p w14:paraId="3266DE2A" w14:textId="77777777" w:rsidR="00B53489" w:rsidRPr="00D6530A" w:rsidRDefault="00B53489" w:rsidP="00D20474">
            <w:pPr>
              <w:spacing w:line="240" w:lineRule="auto"/>
              <w:jc w:val="center"/>
              <w:rPr>
                <w:rFonts w:cs="Times New Roman"/>
              </w:rPr>
            </w:pPr>
            <w:r w:rsidRPr="00D6530A">
              <w:rPr>
                <w:rFonts w:cs="Times New Roman"/>
              </w:rPr>
              <w:t>0.087 (0.068 / 0.020)</w:t>
            </w:r>
          </w:p>
        </w:tc>
        <w:tc>
          <w:tcPr>
            <w:tcW w:w="2064" w:type="dxa"/>
          </w:tcPr>
          <w:p w14:paraId="2F65D284" w14:textId="77777777" w:rsidR="00B53489" w:rsidRPr="00D6530A" w:rsidRDefault="00B53489" w:rsidP="00D20474">
            <w:pPr>
              <w:spacing w:line="240" w:lineRule="auto"/>
              <w:jc w:val="center"/>
              <w:rPr>
                <w:rFonts w:cs="Times New Roman"/>
              </w:rPr>
            </w:pPr>
            <w:r>
              <w:rPr>
                <w:rFonts w:cs="Times New Roman"/>
              </w:rPr>
              <w:t>2</w:t>
            </w:r>
            <w:r w:rsidRPr="00D6530A">
              <w:rPr>
                <w:rFonts w:cs="Times New Roman"/>
              </w:rPr>
              <w:t>.</w:t>
            </w:r>
            <w:r>
              <w:rPr>
                <w:rFonts w:cs="Times New Roman"/>
              </w:rPr>
              <w:t>699</w:t>
            </w:r>
          </w:p>
        </w:tc>
        <w:tc>
          <w:tcPr>
            <w:tcW w:w="2013" w:type="dxa"/>
          </w:tcPr>
          <w:p w14:paraId="7049E2F3" w14:textId="77777777" w:rsidR="00B53489" w:rsidRPr="00D6530A" w:rsidRDefault="00B53489" w:rsidP="00D20474">
            <w:pPr>
              <w:spacing w:line="240" w:lineRule="auto"/>
              <w:jc w:val="center"/>
              <w:rPr>
                <w:rFonts w:cs="Times New Roman"/>
              </w:rPr>
            </w:pPr>
            <w:r w:rsidRPr="00D6530A">
              <w:rPr>
                <w:rFonts w:cs="Times New Roman"/>
              </w:rPr>
              <w:t>0</w:t>
            </w:r>
            <w:r>
              <w:rPr>
                <w:rFonts w:cs="Times New Roman"/>
              </w:rPr>
              <w:t>.874</w:t>
            </w:r>
          </w:p>
        </w:tc>
        <w:tc>
          <w:tcPr>
            <w:tcW w:w="2583" w:type="dxa"/>
          </w:tcPr>
          <w:p w14:paraId="5D946BAD" w14:textId="77777777" w:rsidR="00B53489" w:rsidRPr="00D6530A" w:rsidRDefault="00B53489" w:rsidP="00D20474">
            <w:pPr>
              <w:spacing w:line="240" w:lineRule="auto"/>
              <w:jc w:val="center"/>
              <w:rPr>
                <w:rFonts w:cs="Times New Roman"/>
              </w:rPr>
            </w:pPr>
            <w:r w:rsidRPr="00D6530A">
              <w:rPr>
                <w:rFonts w:cs="Times New Roman"/>
              </w:rPr>
              <w:t>1.741 (1.481 / 0.259)</w:t>
            </w:r>
          </w:p>
        </w:tc>
      </w:tr>
      <w:tr w:rsidR="00B53489" w:rsidRPr="00D6530A" w14:paraId="3F3C6AF3" w14:textId="77777777" w:rsidTr="00E15368">
        <w:tc>
          <w:tcPr>
            <w:tcW w:w="798" w:type="dxa"/>
          </w:tcPr>
          <w:p w14:paraId="1EF976A4" w14:textId="77777777" w:rsidR="00B53489" w:rsidRPr="00D6530A" w:rsidRDefault="00B53489" w:rsidP="00D20474">
            <w:pPr>
              <w:spacing w:line="240" w:lineRule="auto"/>
              <w:rPr>
                <w:rFonts w:cs="Times New Roman"/>
              </w:rPr>
            </w:pPr>
            <w:r w:rsidRPr="00D6530A">
              <w:rPr>
                <w:rFonts w:cs="Times New Roman"/>
              </w:rPr>
              <w:t>S3</w:t>
            </w:r>
          </w:p>
        </w:tc>
        <w:tc>
          <w:tcPr>
            <w:tcW w:w="2318" w:type="dxa"/>
          </w:tcPr>
          <w:p w14:paraId="634936E3" w14:textId="77777777" w:rsidR="00B53489" w:rsidRPr="00D6530A" w:rsidRDefault="00B53489" w:rsidP="00D20474">
            <w:pPr>
              <w:spacing w:line="240" w:lineRule="auto"/>
              <w:jc w:val="center"/>
              <w:rPr>
                <w:rFonts w:cs="Times New Roman"/>
              </w:rPr>
            </w:pPr>
            <w:r w:rsidRPr="00D6530A">
              <w:rPr>
                <w:rFonts w:cs="Times New Roman"/>
              </w:rPr>
              <w:t>0.430 (0.339 / 0.091)</w:t>
            </w:r>
          </w:p>
        </w:tc>
        <w:tc>
          <w:tcPr>
            <w:tcW w:w="2064" w:type="dxa"/>
          </w:tcPr>
          <w:p w14:paraId="0ACB7CFB" w14:textId="77777777" w:rsidR="00B53489" w:rsidRPr="00D6530A" w:rsidRDefault="00B53489" w:rsidP="00D20474">
            <w:pPr>
              <w:spacing w:line="240" w:lineRule="auto"/>
              <w:jc w:val="center"/>
              <w:rPr>
                <w:rFonts w:cs="Times New Roman"/>
              </w:rPr>
            </w:pPr>
            <w:r>
              <w:rPr>
                <w:rFonts w:cs="Times New Roman"/>
              </w:rPr>
              <w:t>12</w:t>
            </w:r>
            <w:r w:rsidRPr="00D6530A">
              <w:rPr>
                <w:rFonts w:cs="Times New Roman"/>
              </w:rPr>
              <w:t>.</w:t>
            </w:r>
            <w:r>
              <w:rPr>
                <w:rFonts w:cs="Times New Roman"/>
              </w:rPr>
              <w:t>438</w:t>
            </w:r>
          </w:p>
        </w:tc>
        <w:tc>
          <w:tcPr>
            <w:tcW w:w="2013" w:type="dxa"/>
          </w:tcPr>
          <w:p w14:paraId="3B866CD8" w14:textId="77777777" w:rsidR="00B53489" w:rsidRPr="00D6530A" w:rsidRDefault="00B53489" w:rsidP="00D20474">
            <w:pPr>
              <w:spacing w:line="240" w:lineRule="auto"/>
              <w:jc w:val="center"/>
              <w:rPr>
                <w:rFonts w:cs="Times New Roman"/>
              </w:rPr>
            </w:pPr>
            <w:r>
              <w:rPr>
                <w:rFonts w:cs="Times New Roman"/>
              </w:rPr>
              <w:t>4</w:t>
            </w:r>
            <w:r w:rsidRPr="00D6530A">
              <w:rPr>
                <w:rFonts w:cs="Times New Roman"/>
              </w:rPr>
              <w:t>.</w:t>
            </w:r>
            <w:r>
              <w:rPr>
                <w:rFonts w:cs="Times New Roman"/>
              </w:rPr>
              <w:t>009</w:t>
            </w:r>
          </w:p>
        </w:tc>
        <w:tc>
          <w:tcPr>
            <w:tcW w:w="2583" w:type="dxa"/>
          </w:tcPr>
          <w:p w14:paraId="2F0A7522" w14:textId="77777777" w:rsidR="00B53489" w:rsidRPr="00D6530A" w:rsidRDefault="00B53489" w:rsidP="00D20474">
            <w:pPr>
              <w:spacing w:line="240" w:lineRule="auto"/>
              <w:jc w:val="center"/>
              <w:rPr>
                <w:rFonts w:cs="Times New Roman"/>
              </w:rPr>
            </w:pPr>
            <w:r w:rsidRPr="00D6530A">
              <w:rPr>
                <w:rFonts w:cs="Times New Roman"/>
              </w:rPr>
              <w:t>4.</w:t>
            </w:r>
            <w:r>
              <w:rPr>
                <w:rFonts w:cs="Times New Roman"/>
              </w:rPr>
              <w:t>259</w:t>
            </w:r>
            <w:r w:rsidRPr="00D6530A">
              <w:rPr>
                <w:rFonts w:cs="Times New Roman"/>
              </w:rPr>
              <w:t xml:space="preserve"> (3.704 / 0.</w:t>
            </w:r>
            <w:r>
              <w:rPr>
                <w:rFonts w:cs="Times New Roman"/>
              </w:rPr>
              <w:t>556</w:t>
            </w:r>
            <w:r w:rsidRPr="00D6530A">
              <w:rPr>
                <w:rFonts w:cs="Times New Roman"/>
              </w:rPr>
              <w:t>)</w:t>
            </w:r>
          </w:p>
        </w:tc>
      </w:tr>
      <w:tr w:rsidR="00B53489" w:rsidRPr="00D6530A" w14:paraId="77DC870A" w14:textId="77777777" w:rsidTr="00E15368">
        <w:tc>
          <w:tcPr>
            <w:tcW w:w="798" w:type="dxa"/>
          </w:tcPr>
          <w:p w14:paraId="0BDFBEB4" w14:textId="77777777" w:rsidR="00B53489" w:rsidRPr="00D6530A" w:rsidRDefault="00B53489" w:rsidP="00D20474">
            <w:pPr>
              <w:spacing w:line="240" w:lineRule="auto"/>
              <w:rPr>
                <w:rFonts w:cs="Times New Roman"/>
              </w:rPr>
            </w:pPr>
            <w:r w:rsidRPr="00D6530A">
              <w:rPr>
                <w:rFonts w:cs="Times New Roman"/>
              </w:rPr>
              <w:t>S4</w:t>
            </w:r>
          </w:p>
        </w:tc>
        <w:tc>
          <w:tcPr>
            <w:tcW w:w="2318" w:type="dxa"/>
          </w:tcPr>
          <w:p w14:paraId="21A3AB60" w14:textId="77777777" w:rsidR="00B53489" w:rsidRPr="00D6530A" w:rsidRDefault="00B53489" w:rsidP="00D20474">
            <w:pPr>
              <w:spacing w:line="240" w:lineRule="auto"/>
              <w:jc w:val="center"/>
              <w:rPr>
                <w:rFonts w:cs="Times New Roman"/>
              </w:rPr>
            </w:pPr>
            <w:r w:rsidRPr="00D6530A">
              <w:rPr>
                <w:rFonts w:cs="Times New Roman"/>
              </w:rPr>
              <w:t>0.038 (0.038 / 0.000)</w:t>
            </w:r>
          </w:p>
        </w:tc>
        <w:tc>
          <w:tcPr>
            <w:tcW w:w="2064" w:type="dxa"/>
          </w:tcPr>
          <w:p w14:paraId="1EF24D41" w14:textId="77777777" w:rsidR="00B53489" w:rsidRPr="00D6530A" w:rsidRDefault="00B53489" w:rsidP="00D20474">
            <w:pPr>
              <w:spacing w:line="240" w:lineRule="auto"/>
              <w:jc w:val="center"/>
              <w:rPr>
                <w:rFonts w:cs="Times New Roman"/>
              </w:rPr>
            </w:pPr>
            <w:r>
              <w:rPr>
                <w:rFonts w:cs="Times New Roman"/>
              </w:rPr>
              <w:t>0.741</w:t>
            </w:r>
          </w:p>
        </w:tc>
        <w:tc>
          <w:tcPr>
            <w:tcW w:w="2013" w:type="dxa"/>
          </w:tcPr>
          <w:p w14:paraId="508A861D" w14:textId="77777777" w:rsidR="00B53489" w:rsidRPr="00D6530A" w:rsidRDefault="00B53489" w:rsidP="00D20474">
            <w:pPr>
              <w:spacing w:line="240" w:lineRule="auto"/>
              <w:jc w:val="center"/>
              <w:rPr>
                <w:rFonts w:cs="Times New Roman"/>
              </w:rPr>
            </w:pPr>
            <w:r>
              <w:rPr>
                <w:rFonts w:cs="Times New Roman"/>
              </w:rPr>
              <w:t>0.275</w:t>
            </w:r>
          </w:p>
        </w:tc>
        <w:tc>
          <w:tcPr>
            <w:tcW w:w="2583" w:type="dxa"/>
          </w:tcPr>
          <w:p w14:paraId="6D47D5A8" w14:textId="77777777" w:rsidR="00B53489" w:rsidRPr="00D6530A" w:rsidRDefault="00B53489" w:rsidP="00D20474">
            <w:pPr>
              <w:spacing w:line="240" w:lineRule="auto"/>
              <w:jc w:val="center"/>
              <w:rPr>
                <w:rFonts w:cs="Times New Roman"/>
              </w:rPr>
            </w:pPr>
            <w:r w:rsidRPr="00D6530A">
              <w:rPr>
                <w:rFonts w:cs="Times New Roman"/>
              </w:rPr>
              <w:t>0.5</w:t>
            </w:r>
            <w:r>
              <w:rPr>
                <w:rFonts w:cs="Times New Roman"/>
              </w:rPr>
              <w:t>19</w:t>
            </w:r>
            <w:r w:rsidRPr="00D6530A">
              <w:rPr>
                <w:rFonts w:cs="Times New Roman"/>
              </w:rPr>
              <w:t xml:space="preserve"> (0.519 / 0.0</w:t>
            </w:r>
            <w:r>
              <w:rPr>
                <w:rFonts w:cs="Times New Roman"/>
              </w:rPr>
              <w:t>00</w:t>
            </w:r>
            <w:r w:rsidRPr="00D6530A">
              <w:rPr>
                <w:rFonts w:cs="Times New Roman"/>
              </w:rPr>
              <w:t>)</w:t>
            </w:r>
          </w:p>
        </w:tc>
      </w:tr>
      <w:tr w:rsidR="00B53489" w:rsidRPr="00D6530A" w14:paraId="7058B78D" w14:textId="77777777" w:rsidTr="00E15368">
        <w:tc>
          <w:tcPr>
            <w:tcW w:w="798" w:type="dxa"/>
          </w:tcPr>
          <w:p w14:paraId="623571F5" w14:textId="77777777" w:rsidR="00B53489" w:rsidRPr="00D6530A" w:rsidRDefault="00B53489" w:rsidP="00D20474">
            <w:pPr>
              <w:spacing w:line="240" w:lineRule="auto"/>
              <w:rPr>
                <w:rFonts w:cs="Times New Roman"/>
              </w:rPr>
            </w:pPr>
            <w:r w:rsidRPr="00D6530A">
              <w:rPr>
                <w:rFonts w:cs="Times New Roman"/>
              </w:rPr>
              <w:t>S5</w:t>
            </w:r>
          </w:p>
        </w:tc>
        <w:tc>
          <w:tcPr>
            <w:tcW w:w="2318" w:type="dxa"/>
          </w:tcPr>
          <w:p w14:paraId="3761B06D" w14:textId="77777777" w:rsidR="00B53489" w:rsidRPr="00D6530A" w:rsidRDefault="00B53489" w:rsidP="00D20474">
            <w:pPr>
              <w:spacing w:line="240" w:lineRule="auto"/>
              <w:jc w:val="center"/>
              <w:rPr>
                <w:rFonts w:cs="Times New Roman"/>
              </w:rPr>
            </w:pPr>
            <w:r w:rsidRPr="00D6530A">
              <w:rPr>
                <w:rFonts w:cs="Times New Roman"/>
              </w:rPr>
              <w:t>0.078 (0.036 / 0.015)</w:t>
            </w:r>
          </w:p>
        </w:tc>
        <w:tc>
          <w:tcPr>
            <w:tcW w:w="2064" w:type="dxa"/>
          </w:tcPr>
          <w:p w14:paraId="39BA1912" w14:textId="77777777" w:rsidR="00B53489" w:rsidRPr="00D6530A" w:rsidRDefault="00B53489" w:rsidP="00D20474">
            <w:pPr>
              <w:spacing w:line="240" w:lineRule="auto"/>
              <w:jc w:val="center"/>
              <w:rPr>
                <w:rFonts w:cs="Times New Roman"/>
              </w:rPr>
            </w:pPr>
            <w:r>
              <w:rPr>
                <w:rFonts w:cs="Times New Roman"/>
              </w:rPr>
              <w:t>2.276</w:t>
            </w:r>
          </w:p>
        </w:tc>
        <w:tc>
          <w:tcPr>
            <w:tcW w:w="2013" w:type="dxa"/>
          </w:tcPr>
          <w:p w14:paraId="3360885A" w14:textId="77777777" w:rsidR="00B53489" w:rsidRPr="00D6530A" w:rsidRDefault="00B53489" w:rsidP="00D20474">
            <w:pPr>
              <w:spacing w:line="240" w:lineRule="auto"/>
              <w:jc w:val="center"/>
              <w:rPr>
                <w:rFonts w:cs="Times New Roman"/>
              </w:rPr>
            </w:pPr>
            <w:r w:rsidRPr="00D6530A">
              <w:rPr>
                <w:rFonts w:cs="Times New Roman"/>
              </w:rPr>
              <w:t>0</w:t>
            </w:r>
            <w:r>
              <w:rPr>
                <w:rFonts w:cs="Times New Roman"/>
              </w:rPr>
              <w:t>.736</w:t>
            </w:r>
          </w:p>
        </w:tc>
        <w:tc>
          <w:tcPr>
            <w:tcW w:w="2583" w:type="dxa"/>
          </w:tcPr>
          <w:p w14:paraId="195BC31C" w14:textId="77777777" w:rsidR="00B53489" w:rsidRPr="00D6530A" w:rsidRDefault="00B53489" w:rsidP="00D20474">
            <w:pPr>
              <w:spacing w:line="240" w:lineRule="auto"/>
              <w:jc w:val="center"/>
              <w:rPr>
                <w:rFonts w:cs="Times New Roman"/>
              </w:rPr>
            </w:pPr>
            <w:r w:rsidRPr="00D6530A">
              <w:rPr>
                <w:rFonts w:cs="Times New Roman"/>
              </w:rPr>
              <w:t>1.741 (1.481 / 0.259)</w:t>
            </w:r>
          </w:p>
        </w:tc>
      </w:tr>
      <w:tr w:rsidR="00B53489" w:rsidRPr="00D6530A" w14:paraId="567F49F4" w14:textId="77777777" w:rsidTr="00E15368">
        <w:tc>
          <w:tcPr>
            <w:tcW w:w="798" w:type="dxa"/>
            <w:tcBorders>
              <w:bottom w:val="single" w:sz="4" w:space="0" w:color="auto"/>
            </w:tcBorders>
          </w:tcPr>
          <w:p w14:paraId="168686C6" w14:textId="77777777" w:rsidR="00B53489" w:rsidRPr="00D6530A" w:rsidRDefault="00B53489" w:rsidP="00D20474">
            <w:pPr>
              <w:spacing w:line="240" w:lineRule="auto"/>
              <w:rPr>
                <w:rFonts w:cs="Times New Roman"/>
              </w:rPr>
            </w:pPr>
            <w:r w:rsidRPr="00D6530A">
              <w:rPr>
                <w:rFonts w:cs="Times New Roman"/>
              </w:rPr>
              <w:t>S6</w:t>
            </w:r>
          </w:p>
        </w:tc>
        <w:tc>
          <w:tcPr>
            <w:tcW w:w="2318" w:type="dxa"/>
            <w:tcBorders>
              <w:bottom w:val="single" w:sz="4" w:space="0" w:color="auto"/>
            </w:tcBorders>
          </w:tcPr>
          <w:p w14:paraId="41ED18A5" w14:textId="77777777" w:rsidR="00B53489" w:rsidRPr="00D6530A" w:rsidRDefault="00B53489" w:rsidP="00D20474">
            <w:pPr>
              <w:spacing w:line="240" w:lineRule="auto"/>
              <w:jc w:val="center"/>
              <w:rPr>
                <w:rFonts w:cs="Times New Roman"/>
              </w:rPr>
            </w:pPr>
            <w:r w:rsidRPr="00D6530A">
              <w:rPr>
                <w:rFonts w:cs="Times New Roman"/>
              </w:rPr>
              <w:t>0.389 (0.314 / 0.075)</w:t>
            </w:r>
          </w:p>
        </w:tc>
        <w:tc>
          <w:tcPr>
            <w:tcW w:w="2064" w:type="dxa"/>
            <w:tcBorders>
              <w:bottom w:val="single" w:sz="4" w:space="0" w:color="auto"/>
            </w:tcBorders>
          </w:tcPr>
          <w:p w14:paraId="3FD74D0E" w14:textId="77777777" w:rsidR="00B53489" w:rsidRPr="00D6530A" w:rsidRDefault="00B53489" w:rsidP="00D20474">
            <w:pPr>
              <w:spacing w:line="240" w:lineRule="auto"/>
              <w:jc w:val="center"/>
              <w:rPr>
                <w:rFonts w:cs="Times New Roman"/>
              </w:rPr>
            </w:pPr>
            <w:r>
              <w:rPr>
                <w:rFonts w:cs="Times New Roman"/>
              </w:rPr>
              <w:t>1</w:t>
            </w:r>
            <w:r w:rsidRPr="00D6530A">
              <w:rPr>
                <w:rFonts w:cs="Times New Roman"/>
              </w:rPr>
              <w:t>0.</w:t>
            </w:r>
            <w:r>
              <w:rPr>
                <w:rFonts w:cs="Times New Roman"/>
              </w:rPr>
              <w:t>8</w:t>
            </w:r>
            <w:r w:rsidRPr="00D6530A">
              <w:rPr>
                <w:rFonts w:cs="Times New Roman"/>
              </w:rPr>
              <w:t>0</w:t>
            </w:r>
            <w:r>
              <w:rPr>
                <w:rFonts w:cs="Times New Roman"/>
              </w:rPr>
              <w:t>9</w:t>
            </w:r>
          </w:p>
        </w:tc>
        <w:tc>
          <w:tcPr>
            <w:tcW w:w="2013" w:type="dxa"/>
            <w:tcBorders>
              <w:bottom w:val="single" w:sz="4" w:space="0" w:color="auto"/>
            </w:tcBorders>
          </w:tcPr>
          <w:p w14:paraId="41B3E721" w14:textId="77777777" w:rsidR="00B53489" w:rsidRPr="00D6530A" w:rsidRDefault="00B53489" w:rsidP="00D20474">
            <w:pPr>
              <w:spacing w:line="240" w:lineRule="auto"/>
              <w:jc w:val="center"/>
              <w:rPr>
                <w:rFonts w:cs="Times New Roman"/>
              </w:rPr>
            </w:pPr>
            <w:r>
              <w:rPr>
                <w:rFonts w:cs="Times New Roman"/>
              </w:rPr>
              <w:t>3.485</w:t>
            </w:r>
          </w:p>
        </w:tc>
        <w:tc>
          <w:tcPr>
            <w:tcW w:w="2583" w:type="dxa"/>
            <w:tcBorders>
              <w:bottom w:val="single" w:sz="4" w:space="0" w:color="auto"/>
            </w:tcBorders>
          </w:tcPr>
          <w:p w14:paraId="2DB6BD0C" w14:textId="77777777" w:rsidR="00B53489" w:rsidRPr="00D6530A" w:rsidRDefault="00B53489" w:rsidP="00D20474">
            <w:pPr>
              <w:spacing w:line="240" w:lineRule="auto"/>
              <w:jc w:val="center"/>
              <w:rPr>
                <w:rFonts w:cs="Times New Roman"/>
              </w:rPr>
            </w:pPr>
            <w:r w:rsidRPr="00D6530A">
              <w:rPr>
                <w:rFonts w:cs="Times New Roman"/>
              </w:rPr>
              <w:t>4.</w:t>
            </w:r>
            <w:r>
              <w:rPr>
                <w:rFonts w:cs="Times New Roman"/>
              </w:rPr>
              <w:t>259</w:t>
            </w:r>
            <w:r w:rsidRPr="00D6530A">
              <w:rPr>
                <w:rFonts w:cs="Times New Roman"/>
              </w:rPr>
              <w:t xml:space="preserve"> (3.704 / 0.</w:t>
            </w:r>
            <w:r>
              <w:rPr>
                <w:rFonts w:cs="Times New Roman"/>
              </w:rPr>
              <w:t>55</w:t>
            </w:r>
            <w:r w:rsidRPr="00D6530A">
              <w:rPr>
                <w:rFonts w:cs="Times New Roman"/>
              </w:rPr>
              <w:t>6)</w:t>
            </w:r>
          </w:p>
        </w:tc>
      </w:tr>
      <w:tr w:rsidR="00B53489" w:rsidRPr="00D20474" w14:paraId="2C0E6E92" w14:textId="77777777" w:rsidTr="00E15368">
        <w:tc>
          <w:tcPr>
            <w:tcW w:w="9776" w:type="dxa"/>
            <w:gridSpan w:val="5"/>
            <w:tcBorders>
              <w:left w:val="nil"/>
              <w:bottom w:val="nil"/>
              <w:right w:val="nil"/>
            </w:tcBorders>
          </w:tcPr>
          <w:p w14:paraId="6C44F240" w14:textId="77777777" w:rsidR="00B53489" w:rsidRPr="00D20474" w:rsidRDefault="00B53489" w:rsidP="00D20474">
            <w:pPr>
              <w:spacing w:line="240" w:lineRule="auto"/>
              <w:rPr>
                <w:rFonts w:cs="Times New Roman"/>
                <w:sz w:val="16"/>
                <w:szCs w:val="16"/>
              </w:rPr>
            </w:pPr>
            <w:r w:rsidRPr="00D20474">
              <w:rPr>
                <w:rFonts w:cs="Times New Roman"/>
                <w:sz w:val="16"/>
                <w:szCs w:val="16"/>
              </w:rPr>
              <w:t xml:space="preserve">See text for definitions of S1 to S6. *Numbers may appear discrepant due to rounding.  </w:t>
            </w:r>
          </w:p>
        </w:tc>
      </w:tr>
    </w:tbl>
    <w:p w14:paraId="40B4B17A" w14:textId="77777777" w:rsidR="00B53489" w:rsidRPr="00D6530A" w:rsidRDefault="00B53489" w:rsidP="00B53489">
      <w:pPr>
        <w:rPr>
          <w:rFonts w:cs="Times New Roman"/>
        </w:rPr>
      </w:pPr>
    </w:p>
    <w:p w14:paraId="595BD9A8" w14:textId="77777777" w:rsidR="00B53489" w:rsidRPr="00D6530A" w:rsidRDefault="00B53489" w:rsidP="00D20474">
      <w:r>
        <w:t>3</w:t>
      </w:r>
      <w:r w:rsidRPr="00D6530A">
        <w:t>.</w:t>
      </w:r>
      <w:r>
        <w:t>7</w:t>
      </w:r>
      <w:r w:rsidRPr="00D6530A">
        <w:t>.</w:t>
      </w:r>
      <w:r>
        <w:t>1</w:t>
      </w:r>
      <w:r w:rsidRPr="00D6530A">
        <w:t xml:space="preserve">.1 </w:t>
      </w:r>
      <w:r w:rsidRPr="00D6530A">
        <w:tab/>
        <w:t>Interpretation of the base case results</w:t>
      </w:r>
    </w:p>
    <w:p w14:paraId="33B9F9B1" w14:textId="694CB46A" w:rsidR="00B53489" w:rsidRDefault="00B53489" w:rsidP="00D20474">
      <w:pPr>
        <w:jc w:val="both"/>
        <w:rPr>
          <w:rFonts w:cs="Times New Roman"/>
        </w:rPr>
      </w:pPr>
      <w:r w:rsidRPr="00D6530A">
        <w:rPr>
          <w:rFonts w:cs="Times New Roman"/>
        </w:rPr>
        <w:t>As anticipated, fewer deaths due to stCJD were anticipated when IPG196 were followed</w:t>
      </w:r>
      <w:r>
        <w:rPr>
          <w:rFonts w:cs="Times New Roman"/>
        </w:rPr>
        <w:t>,</w:t>
      </w:r>
      <w:r w:rsidRPr="00D6530A">
        <w:rPr>
          <w:rFonts w:cs="Times New Roman"/>
        </w:rPr>
        <w:t xml:space="preserve"> and when residual mass was </w:t>
      </w:r>
      <w:r w:rsidR="00E15368">
        <w:rPr>
          <w:rFonts w:cs="Times New Roman"/>
        </w:rPr>
        <w:t>reduced</w:t>
      </w:r>
      <w:r w:rsidRPr="00D6530A">
        <w:rPr>
          <w:rFonts w:cs="Times New Roman"/>
        </w:rPr>
        <w:t>. Thus, in terms of future deaths due to stCJD, S1 &lt; S2 &lt; S3 and S4 &lt; S5 &lt; S6. Further, as anticipated</w:t>
      </w:r>
      <w:r>
        <w:rPr>
          <w:rFonts w:cs="Times New Roman"/>
        </w:rPr>
        <w:t>,</w:t>
      </w:r>
      <w:r w:rsidRPr="00D6530A">
        <w:rPr>
          <w:rFonts w:cs="Times New Roman"/>
        </w:rPr>
        <w:t xml:space="preserve"> when the </w:t>
      </w:r>
      <w:r>
        <w:rPr>
          <w:rFonts w:cs="Times New Roman"/>
        </w:rPr>
        <w:t>P</w:t>
      </w:r>
      <w:r w:rsidRPr="00D6530A">
        <w:rPr>
          <w:rFonts w:cs="Times New Roman"/>
        </w:rPr>
        <w:t xml:space="preserve">96 group was </w:t>
      </w:r>
      <w:r>
        <w:rPr>
          <w:rFonts w:cs="Times New Roman"/>
        </w:rPr>
        <w:t xml:space="preserve">assumed </w:t>
      </w:r>
      <w:r w:rsidRPr="00D6530A">
        <w:rPr>
          <w:rFonts w:cs="Times New Roman"/>
        </w:rPr>
        <w:t>not</w:t>
      </w:r>
      <w:r>
        <w:rPr>
          <w:rFonts w:cs="Times New Roman"/>
        </w:rPr>
        <w:t xml:space="preserve"> to be</w:t>
      </w:r>
      <w:r w:rsidRPr="00D6530A">
        <w:rPr>
          <w:rFonts w:cs="Times New Roman"/>
        </w:rPr>
        <w:t xml:space="preserve"> infectious there were fewer projected deaths due to stCJD</w:t>
      </w:r>
      <w:r>
        <w:rPr>
          <w:rFonts w:cs="Times New Roman"/>
        </w:rPr>
        <w:t>;</w:t>
      </w:r>
      <w:r w:rsidRPr="00D6530A">
        <w:rPr>
          <w:rFonts w:cs="Times New Roman"/>
        </w:rPr>
        <w:t xml:space="preserve"> that is</w:t>
      </w:r>
      <w:r>
        <w:rPr>
          <w:rFonts w:cs="Times New Roman"/>
        </w:rPr>
        <w:t>,</w:t>
      </w:r>
      <w:r w:rsidRPr="00D6530A">
        <w:rPr>
          <w:rFonts w:cs="Times New Roman"/>
        </w:rPr>
        <w:t xml:space="preserve"> S1 &gt; S4, S2 &gt; S5 and S3 &gt; S6.</w:t>
      </w:r>
    </w:p>
    <w:p w14:paraId="23A45E0C" w14:textId="77777777" w:rsidR="00D20474" w:rsidRPr="00D6530A" w:rsidRDefault="00D20474" w:rsidP="00D20474">
      <w:pPr>
        <w:jc w:val="both"/>
        <w:rPr>
          <w:rFonts w:cs="Times New Roman"/>
        </w:rPr>
      </w:pPr>
    </w:p>
    <w:p w14:paraId="00ACD837" w14:textId="2633DA8D" w:rsidR="00B53489" w:rsidRDefault="00B53489" w:rsidP="004D0FB6">
      <w:pPr>
        <w:jc w:val="both"/>
        <w:rPr>
          <w:rFonts w:cs="Times New Roman"/>
        </w:rPr>
      </w:pPr>
      <w:r w:rsidRPr="00D6530A">
        <w:rPr>
          <w:rFonts w:cs="Times New Roman"/>
        </w:rPr>
        <w:t xml:space="preserve">Those units which followed IPG196 and </w:t>
      </w:r>
      <w:r>
        <w:rPr>
          <w:rFonts w:cs="Times New Roman"/>
        </w:rPr>
        <w:t>kept instruments moist</w:t>
      </w:r>
      <w:r w:rsidRPr="00D6530A">
        <w:rPr>
          <w:rFonts w:cs="Times New Roman"/>
        </w:rPr>
        <w:t xml:space="preserve"> (S1 and S4) had 0.052 and 0.038 future deaths caused by stCJD respectively. Where IPG196 was not followed but </w:t>
      </w:r>
      <w:r>
        <w:rPr>
          <w:rFonts w:cs="Times New Roman"/>
        </w:rPr>
        <w:t>instruments were kept moist</w:t>
      </w:r>
      <w:r w:rsidRPr="00D6530A">
        <w:rPr>
          <w:rFonts w:cs="Times New Roman"/>
        </w:rPr>
        <w:t xml:space="preserve">, there was an increase in future deaths due to stCJD of 0.035 and 0.040 depending on whether the p96 group was deemed infectious or not. When it was assumed that a unit neither followed IPG196 and </w:t>
      </w:r>
      <w:r>
        <w:rPr>
          <w:rFonts w:cs="Times New Roman"/>
        </w:rPr>
        <w:t>instruments were not kept moist</w:t>
      </w:r>
      <w:r w:rsidRPr="00D6530A">
        <w:rPr>
          <w:rFonts w:cs="Times New Roman"/>
        </w:rPr>
        <w:t xml:space="preserve"> the estimated numbers of future deaths</w:t>
      </w:r>
      <w:r>
        <w:rPr>
          <w:rFonts w:cs="Times New Roman"/>
        </w:rPr>
        <w:t>, compared with not following IPG196</w:t>
      </w:r>
      <w:r w:rsidRPr="00D6530A">
        <w:rPr>
          <w:rFonts w:cs="Times New Roman"/>
        </w:rPr>
        <w:t xml:space="preserve"> increased by 0.343 and 0.310 depending on whether the </w:t>
      </w:r>
      <w:r>
        <w:rPr>
          <w:rFonts w:cs="Times New Roman"/>
        </w:rPr>
        <w:t>P</w:t>
      </w:r>
      <w:r w:rsidRPr="00D6530A">
        <w:rPr>
          <w:rFonts w:cs="Times New Roman"/>
        </w:rPr>
        <w:t>96 group was deemed infectious or not. From these results</w:t>
      </w:r>
      <w:r w:rsidR="006E0146">
        <w:rPr>
          <w:rFonts w:cs="Times New Roman"/>
        </w:rPr>
        <w:t>,</w:t>
      </w:r>
      <w:r w:rsidRPr="00D6530A">
        <w:rPr>
          <w:rFonts w:cs="Times New Roman"/>
        </w:rPr>
        <w:t xml:space="preserve"> it is apparent that ensuring that </w:t>
      </w:r>
      <w:r>
        <w:rPr>
          <w:rFonts w:cs="Times New Roman"/>
        </w:rPr>
        <w:t>instruments are kept moist</w:t>
      </w:r>
      <w:r w:rsidRPr="00D6530A">
        <w:rPr>
          <w:rFonts w:cs="Times New Roman"/>
        </w:rPr>
        <w:t xml:space="preserve"> </w:t>
      </w:r>
      <w:r>
        <w:rPr>
          <w:rFonts w:cs="Times New Roman"/>
        </w:rPr>
        <w:t xml:space="preserve">has a large impact on the </w:t>
      </w:r>
      <w:r w:rsidR="004D0FB6">
        <w:rPr>
          <w:rFonts w:cs="Times New Roman"/>
        </w:rPr>
        <w:t>risk</w:t>
      </w:r>
      <w:r>
        <w:rPr>
          <w:rFonts w:cs="Times New Roman"/>
        </w:rPr>
        <w:t xml:space="preserve"> of future transmissions</w:t>
      </w:r>
      <w:r w:rsidRPr="00D6530A">
        <w:rPr>
          <w:rFonts w:cs="Times New Roman"/>
        </w:rPr>
        <w:t>.</w:t>
      </w:r>
    </w:p>
    <w:p w14:paraId="73B8AC80" w14:textId="77777777" w:rsidR="00D20474" w:rsidRPr="00D6530A" w:rsidRDefault="00D20474" w:rsidP="00D20474">
      <w:pPr>
        <w:jc w:val="both"/>
        <w:rPr>
          <w:rFonts w:cs="Times New Roman"/>
        </w:rPr>
      </w:pPr>
    </w:p>
    <w:p w14:paraId="01EF7274" w14:textId="77777777" w:rsidR="00B53489" w:rsidRDefault="00B53489" w:rsidP="00D20474">
      <w:pPr>
        <w:jc w:val="both"/>
        <w:rPr>
          <w:rFonts w:cs="Times New Roman"/>
        </w:rPr>
      </w:pPr>
      <w:r w:rsidRPr="00D6530A">
        <w:rPr>
          <w:rFonts w:cs="Times New Roman"/>
        </w:rPr>
        <w:t>It is</w:t>
      </w:r>
      <w:r>
        <w:rPr>
          <w:rFonts w:cs="Times New Roman"/>
        </w:rPr>
        <w:t xml:space="preserve"> of note</w:t>
      </w:r>
      <w:r w:rsidRPr="00D6530A">
        <w:rPr>
          <w:rFonts w:cs="Times New Roman"/>
        </w:rPr>
        <w:t xml:space="preserve"> that the numbers of potential stCJD infections in the P96 group is not necessarily zero even when the</w:t>
      </w:r>
      <w:r>
        <w:rPr>
          <w:rFonts w:cs="Times New Roman"/>
        </w:rPr>
        <w:t>se patients</w:t>
      </w:r>
      <w:r w:rsidRPr="00D6530A">
        <w:rPr>
          <w:rFonts w:cs="Times New Roman"/>
        </w:rPr>
        <w:t xml:space="preserve"> are assumed not to be infectious. Th</w:t>
      </w:r>
      <w:r>
        <w:rPr>
          <w:rFonts w:cs="Times New Roman"/>
        </w:rPr>
        <w:t>is</w:t>
      </w:r>
      <w:r w:rsidRPr="00D6530A">
        <w:rPr>
          <w:rFonts w:cs="Times New Roman"/>
        </w:rPr>
        <w:t xml:space="preserve"> </w:t>
      </w:r>
      <w:r>
        <w:rPr>
          <w:rFonts w:cs="Times New Roman"/>
        </w:rPr>
        <w:t>can occur</w:t>
      </w:r>
      <w:r w:rsidRPr="00D6530A">
        <w:rPr>
          <w:rFonts w:cs="Times New Roman"/>
        </w:rPr>
        <w:t xml:space="preserve"> </w:t>
      </w:r>
      <w:r>
        <w:rPr>
          <w:rFonts w:cs="Times New Roman"/>
        </w:rPr>
        <w:t xml:space="preserve">when </w:t>
      </w:r>
      <w:r w:rsidRPr="00D6530A">
        <w:rPr>
          <w:rFonts w:cs="Times New Roman"/>
        </w:rPr>
        <w:t xml:space="preserve">a </w:t>
      </w:r>
      <w:r>
        <w:rPr>
          <w:rFonts w:cs="Times New Roman"/>
        </w:rPr>
        <w:t>P</w:t>
      </w:r>
      <w:r w:rsidRPr="00D6530A">
        <w:rPr>
          <w:rFonts w:cs="Times New Roman"/>
        </w:rPr>
        <w:t>96 patient</w:t>
      </w:r>
      <w:r>
        <w:rPr>
          <w:rFonts w:cs="Times New Roman"/>
        </w:rPr>
        <w:t xml:space="preserve"> is </w:t>
      </w:r>
      <w:r w:rsidRPr="00D6530A">
        <w:rPr>
          <w:rFonts w:cs="Times New Roman"/>
        </w:rPr>
        <w:t xml:space="preserve">infected via an operation prior to 2012, the date at which the new instrument sets for the P96 patients were introduced. </w:t>
      </w:r>
      <w:r>
        <w:rPr>
          <w:rFonts w:cs="Times New Roman"/>
        </w:rPr>
        <w:t>Such a patient could then</w:t>
      </w:r>
      <w:r w:rsidRPr="00D6530A">
        <w:rPr>
          <w:rFonts w:cs="Times New Roman"/>
        </w:rPr>
        <w:t xml:space="preserve"> have a further high-risk operation whilst in the sub-clinical, but infectious, period which </w:t>
      </w:r>
      <w:r>
        <w:rPr>
          <w:rFonts w:cs="Times New Roman"/>
        </w:rPr>
        <w:t xml:space="preserve">could have </w:t>
      </w:r>
      <w:r w:rsidRPr="00D6530A">
        <w:rPr>
          <w:rFonts w:cs="Times New Roman"/>
        </w:rPr>
        <w:t>infected P96 patients.</w:t>
      </w:r>
    </w:p>
    <w:p w14:paraId="0EBEA8E8" w14:textId="77777777" w:rsidR="00D20474" w:rsidRPr="00D6530A" w:rsidRDefault="00D20474" w:rsidP="00D20474">
      <w:pPr>
        <w:jc w:val="both"/>
        <w:rPr>
          <w:rFonts w:cs="Times New Roman"/>
        </w:rPr>
      </w:pPr>
    </w:p>
    <w:p w14:paraId="0350A920" w14:textId="293AEE18" w:rsidR="009D0674" w:rsidRDefault="00B53489" w:rsidP="00643453">
      <w:pPr>
        <w:jc w:val="both"/>
        <w:rPr>
          <w:rFonts w:cs="Times New Roman"/>
        </w:rPr>
      </w:pPr>
      <w:r w:rsidRPr="00D6530A">
        <w:rPr>
          <w:rFonts w:cs="Times New Roman"/>
        </w:rPr>
        <w:t xml:space="preserve">The circumstances in which the maximum future deaths </w:t>
      </w:r>
      <w:r w:rsidR="00643453">
        <w:rPr>
          <w:rFonts w:cs="Times New Roman"/>
        </w:rPr>
        <w:t>predicted within the model</w:t>
      </w:r>
      <w:r w:rsidRPr="00D6530A">
        <w:rPr>
          <w:rFonts w:cs="Times New Roman"/>
        </w:rPr>
        <w:t xml:space="preserve"> were </w:t>
      </w:r>
      <w:r>
        <w:rPr>
          <w:rFonts w:cs="Times New Roman"/>
        </w:rPr>
        <w:t>explored</w:t>
      </w:r>
      <w:r w:rsidRPr="00D6530A">
        <w:rPr>
          <w:rFonts w:cs="Times New Roman"/>
        </w:rPr>
        <w:t xml:space="preserve">. </w:t>
      </w:r>
      <w:r w:rsidR="00643453">
        <w:rPr>
          <w:rFonts w:cs="Times New Roman"/>
        </w:rPr>
        <w:t>A high number of future deaths</w:t>
      </w:r>
      <w:r>
        <w:rPr>
          <w:rFonts w:cs="Times New Roman"/>
        </w:rPr>
        <w:t xml:space="preserve"> w</w:t>
      </w:r>
      <w:r w:rsidR="00643453">
        <w:rPr>
          <w:rFonts w:cs="Times New Roman"/>
        </w:rPr>
        <w:t>as</w:t>
      </w:r>
      <w:r>
        <w:rPr>
          <w:rFonts w:cs="Times New Roman"/>
        </w:rPr>
        <w:t xml:space="preserve"> associated</w:t>
      </w:r>
      <w:r w:rsidRPr="00D6530A">
        <w:rPr>
          <w:rFonts w:cs="Times New Roman"/>
        </w:rPr>
        <w:t xml:space="preserve"> </w:t>
      </w:r>
      <w:r>
        <w:rPr>
          <w:rFonts w:cs="Times New Roman"/>
        </w:rPr>
        <w:t xml:space="preserve">with </w:t>
      </w:r>
      <w:r w:rsidRPr="00D6530A">
        <w:rPr>
          <w:rFonts w:cs="Times New Roman"/>
        </w:rPr>
        <w:t xml:space="preserve">the prevalence of </w:t>
      </w:r>
      <w:r>
        <w:rPr>
          <w:rFonts w:cs="Times New Roman"/>
        </w:rPr>
        <w:t xml:space="preserve">CJD </w:t>
      </w:r>
      <w:r w:rsidRPr="00D6530A">
        <w:rPr>
          <w:rFonts w:cs="Times New Roman"/>
        </w:rPr>
        <w:t xml:space="preserve">prions in the tissue </w:t>
      </w:r>
      <w:r>
        <w:rPr>
          <w:rFonts w:cs="Times New Roman"/>
        </w:rPr>
        <w:t>being</w:t>
      </w:r>
      <w:r w:rsidRPr="00D6530A">
        <w:rPr>
          <w:rFonts w:cs="Times New Roman"/>
        </w:rPr>
        <w:t xml:space="preserve"> very low</w:t>
      </w:r>
      <w:r>
        <w:rPr>
          <w:rFonts w:cs="Times New Roman"/>
        </w:rPr>
        <w:t>:</w:t>
      </w:r>
      <w:r w:rsidRPr="00D6530A">
        <w:rPr>
          <w:rFonts w:cs="Times New Roman"/>
        </w:rPr>
        <w:t xml:space="preserve"> less than 1 per 200,000 people. In these PSA runs</w:t>
      </w:r>
      <w:r w:rsidR="006E0146">
        <w:rPr>
          <w:rFonts w:cs="Times New Roman"/>
        </w:rPr>
        <w:t>,</w:t>
      </w:r>
      <w:r w:rsidRPr="00D6530A">
        <w:rPr>
          <w:rFonts w:cs="Times New Roman"/>
        </w:rPr>
        <w:t xml:space="preserve"> no infectious people had entered the system </w:t>
      </w:r>
      <w:r>
        <w:rPr>
          <w:rFonts w:cs="Times New Roman"/>
        </w:rPr>
        <w:t xml:space="preserve">between </w:t>
      </w:r>
      <w:r w:rsidRPr="00D6530A">
        <w:rPr>
          <w:rFonts w:cs="Times New Roman"/>
        </w:rPr>
        <w:t xml:space="preserve">2004 </w:t>
      </w:r>
      <w:r>
        <w:rPr>
          <w:rFonts w:cs="Times New Roman"/>
        </w:rPr>
        <w:t>and</w:t>
      </w:r>
      <w:r w:rsidRPr="00D6530A">
        <w:rPr>
          <w:rFonts w:cs="Times New Roman"/>
        </w:rPr>
        <w:t xml:space="preserve"> 2018 </w:t>
      </w:r>
      <w:r>
        <w:rPr>
          <w:rFonts w:cs="Times New Roman"/>
        </w:rPr>
        <w:t>resulting in</w:t>
      </w:r>
      <w:r w:rsidRPr="00D6530A">
        <w:rPr>
          <w:rFonts w:cs="Times New Roman"/>
        </w:rPr>
        <w:t xml:space="preserve"> no infections, and th</w:t>
      </w:r>
      <w:r>
        <w:rPr>
          <w:rFonts w:cs="Times New Roman"/>
        </w:rPr>
        <w:t>us have a</w:t>
      </w:r>
      <w:r w:rsidRPr="00D6530A">
        <w:rPr>
          <w:rFonts w:cs="Times New Roman"/>
        </w:rPr>
        <w:t xml:space="preserve"> likelihood of 1 </w:t>
      </w:r>
      <w:r>
        <w:rPr>
          <w:rFonts w:cs="Times New Roman"/>
        </w:rPr>
        <w:t>of</w:t>
      </w:r>
      <w:r w:rsidRPr="00D6530A">
        <w:rPr>
          <w:rFonts w:cs="Times New Roman"/>
        </w:rPr>
        <w:t xml:space="preserve"> matching the observed data. In the 2019 – 2023 period, infectious people were simulated to have an operation in some RN streams which </w:t>
      </w:r>
      <w:r>
        <w:rPr>
          <w:rFonts w:cs="Times New Roman"/>
        </w:rPr>
        <w:t>resulted in infections and deaths</w:t>
      </w:r>
      <w:r w:rsidRPr="00D6530A">
        <w:rPr>
          <w:rFonts w:cs="Times New Roman"/>
        </w:rPr>
        <w:t xml:space="preserve">. The numbers of </w:t>
      </w:r>
      <w:r>
        <w:rPr>
          <w:rFonts w:cs="Times New Roman"/>
        </w:rPr>
        <w:t>deaths</w:t>
      </w:r>
      <w:r w:rsidRPr="00D6530A">
        <w:rPr>
          <w:rFonts w:cs="Times New Roman"/>
        </w:rPr>
        <w:t xml:space="preserve"> were greater where IPG196 was not followed and </w:t>
      </w:r>
      <w:r>
        <w:rPr>
          <w:rFonts w:cs="Times New Roman"/>
        </w:rPr>
        <w:t>where instruments were not kept moist</w:t>
      </w:r>
      <w:r w:rsidRPr="00D6530A">
        <w:rPr>
          <w:rFonts w:cs="Times New Roman"/>
        </w:rPr>
        <w:t>.</w:t>
      </w:r>
      <w:r w:rsidR="004446F5">
        <w:rPr>
          <w:rFonts w:cs="Times New Roman"/>
        </w:rPr>
        <w:t xml:space="preserve"> The maximum number of future deaths</w:t>
      </w:r>
      <w:r w:rsidR="000B5D15">
        <w:rPr>
          <w:rFonts w:cs="Times New Roman"/>
        </w:rPr>
        <w:t xml:space="preserve"> multiplied by the likelihood</w:t>
      </w:r>
      <w:r w:rsidR="004446F5">
        <w:rPr>
          <w:rFonts w:cs="Times New Roman"/>
        </w:rPr>
        <w:t xml:space="preserve"> </w:t>
      </w:r>
      <w:r w:rsidR="000B5D15">
        <w:rPr>
          <w:rFonts w:cs="Times New Roman"/>
        </w:rPr>
        <w:t xml:space="preserve">is expected to be associated with </w:t>
      </w:r>
      <w:r w:rsidR="009D0674">
        <w:rPr>
          <w:rFonts w:cs="Times New Roman"/>
        </w:rPr>
        <w:t>approximately ten times more deaths than the expectation. For completeness the best case scenario would be that there were no further deaths, which applies for all types of surgical unit.</w:t>
      </w:r>
    </w:p>
    <w:p w14:paraId="5D2C60D1" w14:textId="77777777" w:rsidR="009D0674" w:rsidRDefault="009D0674" w:rsidP="00D20474">
      <w:pPr>
        <w:jc w:val="both"/>
        <w:rPr>
          <w:rFonts w:cs="Times New Roman"/>
        </w:rPr>
      </w:pPr>
    </w:p>
    <w:p w14:paraId="43F6691E" w14:textId="1DA2E302" w:rsidR="00B53489" w:rsidRDefault="009D0674" w:rsidP="007471CB">
      <w:pPr>
        <w:jc w:val="both"/>
        <w:rPr>
          <w:rFonts w:cs="Times New Roman"/>
        </w:rPr>
      </w:pPr>
      <w:r>
        <w:rPr>
          <w:rFonts w:cs="Times New Roman"/>
        </w:rPr>
        <w:t>Uncertainty in the mean number of QALYs gained was explored</w:t>
      </w:r>
      <w:r w:rsidR="004446F5">
        <w:rPr>
          <w:rFonts w:cs="Times New Roman"/>
        </w:rPr>
        <w:t xml:space="preserve"> </w:t>
      </w:r>
      <w:r>
        <w:rPr>
          <w:rFonts w:cs="Times New Roman"/>
        </w:rPr>
        <w:t xml:space="preserve">as described in Section </w:t>
      </w:r>
      <w:r w:rsidR="006D2B20">
        <w:rPr>
          <w:rFonts w:cs="Times New Roman"/>
        </w:rPr>
        <w:t>3.5.6 and Appendix 7</w:t>
      </w:r>
      <w:r>
        <w:rPr>
          <w:rFonts w:cs="Times New Roman"/>
        </w:rPr>
        <w:t>.</w:t>
      </w:r>
      <w:r w:rsidR="00487CD0">
        <w:rPr>
          <w:rFonts w:cs="Times New Roman"/>
        </w:rPr>
        <w:t xml:space="preserve"> </w:t>
      </w:r>
      <w:r w:rsidR="00667BE3">
        <w:rPr>
          <w:rFonts w:cs="Times New Roman"/>
        </w:rPr>
        <w:t xml:space="preserve">The width of the </w:t>
      </w:r>
      <w:r w:rsidR="003C0ED6">
        <w:rPr>
          <w:rFonts w:cs="Times New Roman"/>
        </w:rPr>
        <w:t>CI</w:t>
      </w:r>
      <w:r w:rsidR="00667BE3">
        <w:rPr>
          <w:rFonts w:cs="Times New Roman"/>
        </w:rPr>
        <w:t xml:space="preserve"> around the mean estimate of QALY loss was estimated to be: 0.25 for S1 units; 0.58 for S2 units; 2.07 for S3 units;</w:t>
      </w:r>
      <w:r w:rsidR="00667BE3" w:rsidRPr="00667BE3">
        <w:rPr>
          <w:rFonts w:cs="Times New Roman"/>
        </w:rPr>
        <w:t xml:space="preserve"> </w:t>
      </w:r>
      <w:r w:rsidR="00667BE3">
        <w:rPr>
          <w:rFonts w:cs="Times New Roman"/>
        </w:rPr>
        <w:t>0.</w:t>
      </w:r>
      <w:r w:rsidR="00524213">
        <w:rPr>
          <w:rFonts w:cs="Times New Roman"/>
        </w:rPr>
        <w:t>19</w:t>
      </w:r>
      <w:r w:rsidR="00667BE3">
        <w:rPr>
          <w:rFonts w:cs="Times New Roman"/>
        </w:rPr>
        <w:t xml:space="preserve"> for S</w:t>
      </w:r>
      <w:r w:rsidR="00524213">
        <w:rPr>
          <w:rFonts w:cs="Times New Roman"/>
        </w:rPr>
        <w:t>4 units; 0.58 for S5</w:t>
      </w:r>
      <w:r w:rsidR="00667BE3">
        <w:rPr>
          <w:rFonts w:cs="Times New Roman"/>
        </w:rPr>
        <w:t xml:space="preserve"> units; </w:t>
      </w:r>
      <w:r w:rsidR="00524213">
        <w:rPr>
          <w:rFonts w:cs="Times New Roman"/>
        </w:rPr>
        <w:t>and 1</w:t>
      </w:r>
      <w:r w:rsidR="00667BE3">
        <w:rPr>
          <w:rFonts w:cs="Times New Roman"/>
        </w:rPr>
        <w:t>.</w:t>
      </w:r>
      <w:r w:rsidR="00524213">
        <w:rPr>
          <w:rFonts w:cs="Times New Roman"/>
        </w:rPr>
        <w:t>89</w:t>
      </w:r>
      <w:r w:rsidR="00667BE3">
        <w:rPr>
          <w:rFonts w:cs="Times New Roman"/>
        </w:rPr>
        <w:t xml:space="preserve"> for S</w:t>
      </w:r>
      <w:r w:rsidR="00524213">
        <w:rPr>
          <w:rFonts w:cs="Times New Roman"/>
        </w:rPr>
        <w:t>6</w:t>
      </w:r>
      <w:r w:rsidR="00667BE3">
        <w:rPr>
          <w:rFonts w:cs="Times New Roman"/>
        </w:rPr>
        <w:t xml:space="preserve"> units</w:t>
      </w:r>
      <w:r w:rsidR="00524213">
        <w:rPr>
          <w:rFonts w:cs="Times New Roman"/>
        </w:rPr>
        <w:t xml:space="preserve">. </w:t>
      </w:r>
      <w:r w:rsidR="001A3E87">
        <w:rPr>
          <w:rFonts w:cs="Times New Roman"/>
        </w:rPr>
        <w:t>To explore the relationship between the number of PSA samples and the width of the CI a randomly selected PSA was removed with the remaining 508 split into two groups of 254. The width</w:t>
      </w:r>
      <w:r w:rsidR="00772F81">
        <w:rPr>
          <w:rFonts w:cs="Times New Roman"/>
        </w:rPr>
        <w:t>s</w:t>
      </w:r>
      <w:r w:rsidR="001A3E87">
        <w:rPr>
          <w:rFonts w:cs="Times New Roman"/>
        </w:rPr>
        <w:t xml:space="preserve"> of the C</w:t>
      </w:r>
      <w:r w:rsidR="003C32FD">
        <w:rPr>
          <w:rFonts w:cs="Times New Roman"/>
        </w:rPr>
        <w:t>I</w:t>
      </w:r>
      <w:r w:rsidR="001A3E87">
        <w:rPr>
          <w:rFonts w:cs="Times New Roman"/>
        </w:rPr>
        <w:t xml:space="preserve">s were: 0.32 and 0.40 for S1; 0.87 and 0.78 for S2; 3.02 and 2.85 for S3; 0.25 and 0.29 for S4; 0.78 and 0.87 for S5; and 2.76 to 2.62 for S6. This indicated that approximately doubling the number of PSA configurations had led to a reduction in the </w:t>
      </w:r>
      <w:r w:rsidR="003C32FD">
        <w:rPr>
          <w:rFonts w:cs="Times New Roman"/>
        </w:rPr>
        <w:t>width of the CIs by approximately 30%. These CIs produced with 509 PSA configurations were not seen by the authors of this report to be significant large such that the conclusions of the analyses are endangered and that further reductions in the width of the CIs, through running further PSAs were not required.</w:t>
      </w:r>
    </w:p>
    <w:p w14:paraId="064FC411" w14:textId="304354D9" w:rsidR="00C6113E" w:rsidRDefault="00C6113E" w:rsidP="007471CB">
      <w:pPr>
        <w:jc w:val="both"/>
        <w:rPr>
          <w:rFonts w:cs="Times New Roman"/>
        </w:rPr>
      </w:pPr>
    </w:p>
    <w:p w14:paraId="1CFF2493" w14:textId="744D52CD" w:rsidR="00E84138" w:rsidRDefault="00E84138" w:rsidP="003C7B4D">
      <w:pPr>
        <w:ind w:left="720" w:hanging="720"/>
      </w:pPr>
      <w:r>
        <w:t>3</w:t>
      </w:r>
      <w:r w:rsidRPr="00D6530A">
        <w:t>.</w:t>
      </w:r>
      <w:r>
        <w:t>7</w:t>
      </w:r>
      <w:r w:rsidRPr="00D6530A">
        <w:t>.</w:t>
      </w:r>
      <w:r>
        <w:t>1</w:t>
      </w:r>
      <w:r w:rsidRPr="00D6530A">
        <w:t>.</w:t>
      </w:r>
      <w:r>
        <w:t>2</w:t>
      </w:r>
      <w:r w:rsidRPr="00D6530A">
        <w:t xml:space="preserve"> </w:t>
      </w:r>
      <w:r w:rsidRPr="00D6530A">
        <w:tab/>
      </w:r>
      <w:r>
        <w:t>Estimating the probabilit</w:t>
      </w:r>
      <w:r w:rsidR="00F8239D">
        <w:t>ies</w:t>
      </w:r>
      <w:r>
        <w:t xml:space="preserve"> that each type of surgical unit</w:t>
      </w:r>
      <w:r w:rsidR="00F8239D">
        <w:t>, or using single use instruments</w:t>
      </w:r>
      <w:r>
        <w:t xml:space="preserve"> </w:t>
      </w:r>
      <w:r w:rsidR="00F8239D">
        <w:t>are</w:t>
      </w:r>
      <w:r>
        <w:t xml:space="preserve"> the most cost-effective </w:t>
      </w:r>
      <w:r w:rsidR="009C3FD5">
        <w:t>assuming that a centre does not currently follow IP</w:t>
      </w:r>
      <w:r w:rsidR="003C7B4D">
        <w:t>G196 nor keep instruments moist</w:t>
      </w:r>
    </w:p>
    <w:p w14:paraId="556E6C45" w14:textId="05A02BC4" w:rsidR="003C7B4D" w:rsidRDefault="00F8239D" w:rsidP="00ED28A1">
      <w:pPr>
        <w:jc w:val="both"/>
        <w:rPr>
          <w:rFonts w:cs="Times New Roman"/>
        </w:rPr>
      </w:pPr>
      <w:r>
        <w:rPr>
          <w:rFonts w:cs="Times New Roman"/>
        </w:rPr>
        <w:t>The probability of each surgical unit</w:t>
      </w:r>
      <w:r w:rsidR="009C3FD5">
        <w:rPr>
          <w:rFonts w:cs="Times New Roman"/>
        </w:rPr>
        <w:t xml:space="preserve"> and using single-use instruments </w:t>
      </w:r>
      <w:r>
        <w:rPr>
          <w:rFonts w:cs="Times New Roman"/>
        </w:rPr>
        <w:t xml:space="preserve">being most cost-effective </w:t>
      </w:r>
      <w:r w:rsidR="009C3FD5">
        <w:rPr>
          <w:rFonts w:cs="Times New Roman"/>
        </w:rPr>
        <w:t>are</w:t>
      </w:r>
      <w:r>
        <w:rPr>
          <w:rFonts w:cs="Times New Roman"/>
        </w:rPr>
        <w:t xml:space="preserve"> provided in </w:t>
      </w:r>
      <w:r w:rsidR="009C3FD5">
        <w:rPr>
          <w:rFonts w:cs="Times New Roman"/>
        </w:rPr>
        <w:fldChar w:fldCharType="begin"/>
      </w:r>
      <w:r w:rsidR="009C3FD5">
        <w:rPr>
          <w:rFonts w:cs="Times New Roman"/>
        </w:rPr>
        <w:instrText xml:space="preserve"> REF _Ref524967719 </w:instrText>
      </w:r>
      <w:r w:rsidR="009C3FD5">
        <w:rPr>
          <w:rFonts w:cs="Times New Roman"/>
        </w:rPr>
        <w:fldChar w:fldCharType="separate"/>
      </w:r>
      <w:r w:rsidR="00690541">
        <w:t xml:space="preserve">Figure </w:t>
      </w:r>
      <w:r w:rsidR="00690541">
        <w:rPr>
          <w:noProof/>
        </w:rPr>
        <w:t>17</w:t>
      </w:r>
      <w:r w:rsidR="009C3FD5">
        <w:rPr>
          <w:rFonts w:cs="Times New Roman"/>
        </w:rPr>
        <w:fldChar w:fldCharType="end"/>
      </w:r>
      <w:r w:rsidR="009C3FD5">
        <w:rPr>
          <w:rFonts w:cs="Times New Roman"/>
        </w:rPr>
        <w:t xml:space="preserve"> </w:t>
      </w:r>
      <w:r>
        <w:rPr>
          <w:rFonts w:cs="Times New Roman"/>
        </w:rPr>
        <w:t xml:space="preserve">when it is assumed that the P96 group are infectious, and in </w:t>
      </w:r>
      <w:r w:rsidR="009C3FD5">
        <w:rPr>
          <w:rFonts w:cs="Times New Roman"/>
        </w:rPr>
        <w:fldChar w:fldCharType="begin"/>
      </w:r>
      <w:r w:rsidR="009C3FD5">
        <w:rPr>
          <w:rFonts w:cs="Times New Roman"/>
        </w:rPr>
        <w:instrText xml:space="preserve"> REF _Ref524967731 </w:instrText>
      </w:r>
      <w:r w:rsidR="009C3FD5">
        <w:rPr>
          <w:rFonts w:cs="Times New Roman"/>
        </w:rPr>
        <w:fldChar w:fldCharType="separate"/>
      </w:r>
      <w:r w:rsidR="00690541">
        <w:t xml:space="preserve">Figure </w:t>
      </w:r>
      <w:r w:rsidR="00690541">
        <w:rPr>
          <w:noProof/>
        </w:rPr>
        <w:t>18</w:t>
      </w:r>
      <w:r w:rsidR="009C3FD5">
        <w:rPr>
          <w:rFonts w:cs="Times New Roman"/>
        </w:rPr>
        <w:fldChar w:fldCharType="end"/>
      </w:r>
      <w:r w:rsidR="009C3FD5">
        <w:rPr>
          <w:rFonts w:cs="Times New Roman"/>
        </w:rPr>
        <w:t xml:space="preserve"> </w:t>
      </w:r>
      <w:r>
        <w:rPr>
          <w:rFonts w:cs="Times New Roman"/>
        </w:rPr>
        <w:t>when it is assumed the P96 group are not infectious.</w:t>
      </w:r>
      <w:r w:rsidR="009C3FD5">
        <w:rPr>
          <w:rFonts w:cs="Times New Roman"/>
        </w:rPr>
        <w:t xml:space="preserve"> These results assume that all surgical units are currently S3 or S6. Both figures have similar characteristics in that S2/S5 (units that keep instruments moist but do not follow IPG196) has the highest probability of being cost-effective, followed by remaining ignoring IPG196 and not keeping instruments moist. Even at high cost per QALY thresholds the probability that single-use instruments are the most cost-effective is negligible.</w:t>
      </w:r>
      <w:r w:rsidR="005638C5">
        <w:rPr>
          <w:rFonts w:cs="Times New Roman"/>
        </w:rPr>
        <w:t xml:space="preserve"> The probability of being most cost-effective accord with the scenarios (S2 and S5) which are estimated to be the most cost-effective.</w:t>
      </w:r>
    </w:p>
    <w:p w14:paraId="13E83267" w14:textId="77777777" w:rsidR="003C7B4D" w:rsidRDefault="003C7B4D" w:rsidP="005638C5">
      <w:pPr>
        <w:jc w:val="both"/>
        <w:rPr>
          <w:rFonts w:cs="Times New Roman"/>
        </w:rPr>
      </w:pPr>
    </w:p>
    <w:p w14:paraId="041BDD95" w14:textId="24D16AA8" w:rsidR="00F8239D" w:rsidRDefault="00F8239D" w:rsidP="003C7B4D">
      <w:pPr>
        <w:pStyle w:val="Caption"/>
        <w:spacing w:line="360" w:lineRule="auto"/>
        <w:ind w:left="1440" w:hanging="1440"/>
      </w:pPr>
      <w:bookmarkStart w:id="139" w:name="_Ref524967719"/>
      <w:bookmarkStart w:id="140" w:name="_Toc525106734"/>
      <w:r>
        <w:t xml:space="preserve">Figure </w:t>
      </w:r>
      <w:r w:rsidR="007E31FF">
        <w:rPr>
          <w:noProof/>
        </w:rPr>
        <w:fldChar w:fldCharType="begin"/>
      </w:r>
      <w:r w:rsidR="007E31FF">
        <w:rPr>
          <w:noProof/>
        </w:rPr>
        <w:instrText xml:space="preserve"> SEQ Figure \* ARABIC </w:instrText>
      </w:r>
      <w:r w:rsidR="007E31FF">
        <w:rPr>
          <w:noProof/>
        </w:rPr>
        <w:fldChar w:fldCharType="separate"/>
      </w:r>
      <w:r w:rsidR="00690541">
        <w:rPr>
          <w:noProof/>
        </w:rPr>
        <w:t>17</w:t>
      </w:r>
      <w:r w:rsidR="007E31FF">
        <w:rPr>
          <w:noProof/>
        </w:rPr>
        <w:fldChar w:fldCharType="end"/>
      </w:r>
      <w:bookmarkEnd w:id="139"/>
      <w:r>
        <w:t>:</w:t>
      </w:r>
      <w:r w:rsidR="003C7B4D">
        <w:tab/>
      </w:r>
      <w:r>
        <w:t>The probabilities that S1, S2, S3 and single-use instruments are most cost-effective at a range of cost per QALY thresholds</w:t>
      </w:r>
      <w:bookmarkEnd w:id="140"/>
    </w:p>
    <w:p w14:paraId="30A6D79D" w14:textId="64FD1255" w:rsidR="00F8239D" w:rsidRPr="00F8239D" w:rsidRDefault="009C3FD5" w:rsidP="00F8239D">
      <w:r w:rsidRPr="009C3FD5">
        <w:rPr>
          <w:noProof/>
          <w:lang w:eastAsia="en-GB"/>
        </w:rPr>
        <w:drawing>
          <wp:inline distT="0" distB="0" distL="0" distR="0" wp14:anchorId="5BB53E2A" wp14:editId="531EB1B1">
            <wp:extent cx="5057143" cy="30380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7143" cy="3038095"/>
                    </a:xfrm>
                    <a:prstGeom prst="rect">
                      <a:avLst/>
                    </a:prstGeom>
                  </pic:spPr>
                </pic:pic>
              </a:graphicData>
            </a:graphic>
          </wp:inline>
        </w:drawing>
      </w:r>
    </w:p>
    <w:p w14:paraId="7DC008CD" w14:textId="53F0476B" w:rsidR="00E84138" w:rsidRPr="00ED28A1" w:rsidRDefault="00ED28A1" w:rsidP="007471CB">
      <w:pPr>
        <w:jc w:val="both"/>
        <w:rPr>
          <w:rFonts w:cs="Times New Roman"/>
          <w:sz w:val="16"/>
          <w:szCs w:val="16"/>
        </w:rPr>
      </w:pPr>
      <w:r w:rsidRPr="00ED28A1">
        <w:rPr>
          <w:rFonts w:cs="Times New Roman"/>
          <w:sz w:val="16"/>
          <w:szCs w:val="16"/>
        </w:rPr>
        <w:t xml:space="preserve">SUI: single-use instruments. </w:t>
      </w:r>
    </w:p>
    <w:p w14:paraId="43F0A9AA" w14:textId="77777777" w:rsidR="00ED28A1" w:rsidRDefault="00ED28A1" w:rsidP="007471CB">
      <w:pPr>
        <w:jc w:val="both"/>
        <w:rPr>
          <w:rFonts w:cs="Times New Roman"/>
        </w:rPr>
      </w:pPr>
    </w:p>
    <w:p w14:paraId="55E95FD9" w14:textId="3FBC3678" w:rsidR="009C3FD5" w:rsidRDefault="009C3FD5" w:rsidP="003C7B4D">
      <w:pPr>
        <w:pStyle w:val="Caption"/>
        <w:spacing w:line="360" w:lineRule="auto"/>
        <w:ind w:left="1440" w:hanging="1440"/>
      </w:pPr>
      <w:bookmarkStart w:id="141" w:name="_Ref524967731"/>
      <w:bookmarkStart w:id="142" w:name="_Toc525106735"/>
      <w:r>
        <w:t xml:space="preserve">Figure </w:t>
      </w:r>
      <w:r w:rsidR="007E31FF">
        <w:rPr>
          <w:noProof/>
        </w:rPr>
        <w:fldChar w:fldCharType="begin"/>
      </w:r>
      <w:r w:rsidR="007E31FF">
        <w:rPr>
          <w:noProof/>
        </w:rPr>
        <w:instrText xml:space="preserve"> SEQ Figure \* ARABIC </w:instrText>
      </w:r>
      <w:r w:rsidR="007E31FF">
        <w:rPr>
          <w:noProof/>
        </w:rPr>
        <w:fldChar w:fldCharType="separate"/>
      </w:r>
      <w:r w:rsidR="00690541">
        <w:rPr>
          <w:noProof/>
        </w:rPr>
        <w:t>18</w:t>
      </w:r>
      <w:r w:rsidR="007E31FF">
        <w:rPr>
          <w:noProof/>
        </w:rPr>
        <w:fldChar w:fldCharType="end"/>
      </w:r>
      <w:bookmarkEnd w:id="141"/>
      <w:r>
        <w:t>:</w:t>
      </w:r>
      <w:r w:rsidR="003C7B4D">
        <w:tab/>
      </w:r>
      <w:r>
        <w:t>The probabilities that S4, S5, S6 and single-use instruments are most cost-effective at a range of cost per QALY thresholds</w:t>
      </w:r>
      <w:bookmarkEnd w:id="142"/>
    </w:p>
    <w:p w14:paraId="69F727B6" w14:textId="2E1A025D" w:rsidR="009C3FD5" w:rsidRDefault="009C3FD5" w:rsidP="009C3FD5">
      <w:r w:rsidRPr="009C3FD5">
        <w:rPr>
          <w:noProof/>
          <w:lang w:eastAsia="en-GB"/>
        </w:rPr>
        <w:drawing>
          <wp:inline distT="0" distB="0" distL="0" distR="0" wp14:anchorId="36D96368" wp14:editId="4CC75A68">
            <wp:extent cx="5161905" cy="3038095"/>
            <wp:effectExtent l="0" t="0" r="127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61905" cy="3038095"/>
                    </a:xfrm>
                    <a:prstGeom prst="rect">
                      <a:avLst/>
                    </a:prstGeom>
                  </pic:spPr>
                </pic:pic>
              </a:graphicData>
            </a:graphic>
          </wp:inline>
        </w:drawing>
      </w:r>
    </w:p>
    <w:p w14:paraId="4F711CE0" w14:textId="77777777" w:rsidR="00ED28A1" w:rsidRPr="00ED28A1" w:rsidRDefault="00ED28A1" w:rsidP="00ED28A1">
      <w:pPr>
        <w:jc w:val="both"/>
        <w:rPr>
          <w:rFonts w:cs="Times New Roman"/>
          <w:sz w:val="16"/>
          <w:szCs w:val="16"/>
        </w:rPr>
      </w:pPr>
      <w:r w:rsidRPr="00ED28A1">
        <w:rPr>
          <w:rFonts w:cs="Times New Roman"/>
          <w:sz w:val="16"/>
          <w:szCs w:val="16"/>
        </w:rPr>
        <w:t xml:space="preserve">SUI: single-use instruments. </w:t>
      </w:r>
    </w:p>
    <w:p w14:paraId="2E6D9C0C" w14:textId="3E08389D" w:rsidR="009C3FD5" w:rsidRDefault="009C3FD5" w:rsidP="007471CB">
      <w:pPr>
        <w:jc w:val="both"/>
        <w:rPr>
          <w:rFonts w:cs="Times New Roman"/>
        </w:rPr>
      </w:pPr>
    </w:p>
    <w:p w14:paraId="5F2B7066" w14:textId="37446AB3" w:rsidR="00B53489" w:rsidRPr="00D20474" w:rsidRDefault="00B53489" w:rsidP="00B53489">
      <w:pPr>
        <w:pStyle w:val="Heading3"/>
        <w:rPr>
          <w:b w:val="0"/>
          <w:i/>
          <w:szCs w:val="22"/>
        </w:rPr>
      </w:pPr>
      <w:r w:rsidRPr="00D20474">
        <w:rPr>
          <w:b w:val="0"/>
          <w:i/>
          <w:szCs w:val="22"/>
        </w:rPr>
        <w:t xml:space="preserve">3.7.2 </w:t>
      </w:r>
      <w:r w:rsidRPr="00D20474">
        <w:rPr>
          <w:b w:val="0"/>
          <w:i/>
          <w:szCs w:val="22"/>
        </w:rPr>
        <w:tab/>
        <w:t>Scenario analyses using the base case as the foundation</w:t>
      </w:r>
    </w:p>
    <w:p w14:paraId="2083E45B" w14:textId="713EA3E0" w:rsidR="00B53489" w:rsidRDefault="00B53489" w:rsidP="00D20474">
      <w:pPr>
        <w:jc w:val="both"/>
        <w:rPr>
          <w:rFonts w:cs="Times New Roman"/>
        </w:rPr>
      </w:pPr>
      <w:r w:rsidRPr="00D6530A">
        <w:rPr>
          <w:rFonts w:cs="Times New Roman"/>
        </w:rPr>
        <w:t xml:space="preserve">Eight scenario analyses were run, with the change </w:t>
      </w:r>
      <w:r>
        <w:rPr>
          <w:rFonts w:cs="Times New Roman"/>
        </w:rPr>
        <w:t>with</w:t>
      </w:r>
      <w:r w:rsidRPr="00D6530A">
        <w:rPr>
          <w:rFonts w:cs="Times New Roman"/>
        </w:rPr>
        <w:t>in a unit being assumed to happen instantly at midnight on the 31</w:t>
      </w:r>
      <w:r w:rsidRPr="00D6530A">
        <w:rPr>
          <w:rFonts w:cs="Times New Roman"/>
          <w:vertAlign w:val="superscript"/>
        </w:rPr>
        <w:t>st</w:t>
      </w:r>
      <w:r w:rsidRPr="00D6530A">
        <w:rPr>
          <w:rFonts w:cs="Times New Roman"/>
        </w:rPr>
        <w:t xml:space="preserve"> December 2018.  </w:t>
      </w:r>
      <w:r>
        <w:rPr>
          <w:rFonts w:cs="Times New Roman"/>
        </w:rPr>
        <w:t xml:space="preserve">These scenarios </w:t>
      </w:r>
      <w:r w:rsidR="006E0146">
        <w:rPr>
          <w:rFonts w:cs="Times New Roman"/>
        </w:rPr>
        <w:t xml:space="preserve">were </w:t>
      </w:r>
      <w:r>
        <w:rPr>
          <w:rFonts w:cs="Times New Roman"/>
        </w:rPr>
        <w:t xml:space="preserve">comprised of strategies to follow IPG196 and/or reduce the residual mass on instruments and, additionally, of estimating the impact of removing the guidance on having different instrument sets for the P96 group from the remaining patients. The results of the scenario analyses are presented in </w:t>
      </w:r>
      <w:r w:rsidRPr="00A02DF7">
        <w:rPr>
          <w:rFonts w:cs="Times New Roman"/>
        </w:rPr>
        <w:fldChar w:fldCharType="begin"/>
      </w:r>
      <w:r w:rsidRPr="00A02DF7">
        <w:rPr>
          <w:rFonts w:cs="Times New Roman"/>
        </w:rPr>
        <w:instrText xml:space="preserve"> REF _Ref519341175  \* MERGEFORMAT </w:instrText>
      </w:r>
      <w:r w:rsidRPr="00A02DF7">
        <w:rPr>
          <w:rFonts w:cs="Times New Roman"/>
        </w:rPr>
        <w:fldChar w:fldCharType="separate"/>
      </w:r>
      <w:r w:rsidR="00690541" w:rsidRPr="00D20474">
        <w:rPr>
          <w:rFonts w:cs="Times New Roman"/>
          <w:noProof/>
        </w:rPr>
        <w:t>Table</w:t>
      </w:r>
      <w:r w:rsidR="00690541" w:rsidRPr="00D20474">
        <w:rPr>
          <w:rFonts w:cs="Times New Roman"/>
        </w:rPr>
        <w:t xml:space="preserve"> </w:t>
      </w:r>
      <w:r w:rsidR="00690541">
        <w:rPr>
          <w:rFonts w:cs="Times New Roman"/>
          <w:noProof/>
        </w:rPr>
        <w:t>27</w:t>
      </w:r>
      <w:r w:rsidRPr="00A02DF7">
        <w:rPr>
          <w:rFonts w:cs="Times New Roman"/>
        </w:rPr>
        <w:fldChar w:fldCharType="end"/>
      </w:r>
      <w:r>
        <w:rPr>
          <w:rFonts w:cs="Times New Roman"/>
        </w:rPr>
        <w:t>.</w:t>
      </w:r>
    </w:p>
    <w:p w14:paraId="4362903E" w14:textId="77777777" w:rsidR="00D20474" w:rsidRDefault="00D20474" w:rsidP="00B53489">
      <w:pPr>
        <w:rPr>
          <w:rFonts w:cs="Times New Roman"/>
        </w:rPr>
      </w:pPr>
    </w:p>
    <w:p w14:paraId="7EDC2EBA" w14:textId="62188A6F" w:rsidR="00B53489" w:rsidRPr="00D20474" w:rsidRDefault="00B53489" w:rsidP="00724BBD">
      <w:pPr>
        <w:pStyle w:val="Caption"/>
        <w:spacing w:line="360" w:lineRule="auto"/>
        <w:ind w:left="1440" w:hanging="1440"/>
        <w:rPr>
          <w:rFonts w:cs="Times New Roman"/>
          <w:szCs w:val="22"/>
        </w:rPr>
      </w:pPr>
      <w:bookmarkStart w:id="143" w:name="_Ref519341175"/>
      <w:bookmarkStart w:id="144" w:name="_Toc525106714"/>
      <w:r w:rsidRPr="00D20474">
        <w:rPr>
          <w:rFonts w:cs="Times New Roman"/>
          <w:szCs w:val="22"/>
        </w:rPr>
        <w:t xml:space="preserve">Table </w:t>
      </w:r>
      <w:r w:rsidRPr="00D20474">
        <w:rPr>
          <w:rFonts w:cs="Times New Roman"/>
          <w:szCs w:val="22"/>
        </w:rPr>
        <w:fldChar w:fldCharType="begin"/>
      </w:r>
      <w:r w:rsidRPr="00D20474">
        <w:rPr>
          <w:rFonts w:cs="Times New Roman"/>
          <w:szCs w:val="22"/>
        </w:rPr>
        <w:instrText xml:space="preserve"> SEQ Table \* ARABIC </w:instrText>
      </w:r>
      <w:r w:rsidRPr="00D20474">
        <w:rPr>
          <w:rFonts w:cs="Times New Roman"/>
          <w:szCs w:val="22"/>
        </w:rPr>
        <w:fldChar w:fldCharType="separate"/>
      </w:r>
      <w:r w:rsidR="00690541">
        <w:rPr>
          <w:rFonts w:cs="Times New Roman"/>
          <w:noProof/>
          <w:szCs w:val="22"/>
        </w:rPr>
        <w:t>27</w:t>
      </w:r>
      <w:r w:rsidRPr="00D20474">
        <w:rPr>
          <w:rFonts w:cs="Times New Roman"/>
          <w:szCs w:val="22"/>
        </w:rPr>
        <w:fldChar w:fldCharType="end"/>
      </w:r>
      <w:bookmarkEnd w:id="143"/>
      <w:r w:rsidR="00D20474">
        <w:rPr>
          <w:rFonts w:cs="Times New Roman"/>
          <w:szCs w:val="22"/>
        </w:rPr>
        <w:t>:</w:t>
      </w:r>
      <w:r w:rsidR="00D20474">
        <w:rPr>
          <w:rFonts w:cs="Times New Roman"/>
          <w:szCs w:val="22"/>
        </w:rPr>
        <w:tab/>
      </w:r>
      <w:r w:rsidRPr="00D20474">
        <w:rPr>
          <w:rFonts w:cs="Times New Roman"/>
          <w:szCs w:val="22"/>
        </w:rPr>
        <w:t>Results of the scenario analyses per surgical unit using the base case as the foundation</w:t>
      </w:r>
      <w:bookmarkEnd w:id="144"/>
    </w:p>
    <w:tbl>
      <w:tblPr>
        <w:tblW w:w="10060" w:type="dxa"/>
        <w:tblLook w:val="04A0" w:firstRow="1" w:lastRow="0" w:firstColumn="1" w:lastColumn="0" w:noHBand="0" w:noVBand="1"/>
      </w:tblPr>
      <w:tblGrid>
        <w:gridCol w:w="988"/>
        <w:gridCol w:w="2409"/>
        <w:gridCol w:w="2127"/>
        <w:gridCol w:w="1984"/>
        <w:gridCol w:w="2552"/>
      </w:tblGrid>
      <w:tr w:rsidR="00B53489" w:rsidRPr="00D6530A" w14:paraId="23998847" w14:textId="77777777" w:rsidTr="003713EF">
        <w:tc>
          <w:tcPr>
            <w:tcW w:w="988" w:type="dxa"/>
            <w:tcBorders>
              <w:top w:val="single" w:sz="4" w:space="0" w:color="auto"/>
              <w:left w:val="single" w:sz="4" w:space="0" w:color="auto"/>
              <w:bottom w:val="single" w:sz="4" w:space="0" w:color="auto"/>
              <w:right w:val="single" w:sz="4" w:space="0" w:color="auto"/>
            </w:tcBorders>
          </w:tcPr>
          <w:p w14:paraId="5FF99433" w14:textId="77777777" w:rsidR="00B53489" w:rsidRPr="00D6530A" w:rsidRDefault="00B53489" w:rsidP="00D20474">
            <w:pPr>
              <w:spacing w:line="240" w:lineRule="auto"/>
              <w:rPr>
                <w:rFonts w:cs="Times New Roman"/>
              </w:rPr>
            </w:pPr>
          </w:p>
        </w:tc>
        <w:tc>
          <w:tcPr>
            <w:tcW w:w="2409" w:type="dxa"/>
            <w:tcBorders>
              <w:top w:val="single" w:sz="4" w:space="0" w:color="auto"/>
              <w:left w:val="single" w:sz="4" w:space="0" w:color="auto"/>
              <w:bottom w:val="single" w:sz="4" w:space="0" w:color="auto"/>
              <w:right w:val="single" w:sz="4" w:space="0" w:color="auto"/>
            </w:tcBorders>
          </w:tcPr>
          <w:p w14:paraId="04B74152" w14:textId="77777777" w:rsidR="00B53489" w:rsidRPr="00D6530A" w:rsidRDefault="00B53489" w:rsidP="00D20474">
            <w:pPr>
              <w:spacing w:line="240" w:lineRule="auto"/>
              <w:rPr>
                <w:rFonts w:cs="Times New Roman"/>
              </w:rPr>
            </w:pPr>
            <w:r w:rsidRPr="00D6530A">
              <w:rPr>
                <w:rFonts w:cs="Times New Roman"/>
              </w:rPr>
              <w:t>Average future deaths caused by infections between 2019 and 2023 Total (Not P96 group /  P96 group) *</w:t>
            </w:r>
          </w:p>
        </w:tc>
        <w:tc>
          <w:tcPr>
            <w:tcW w:w="2127" w:type="dxa"/>
            <w:tcBorders>
              <w:top w:val="single" w:sz="4" w:space="0" w:color="auto"/>
              <w:left w:val="single" w:sz="4" w:space="0" w:color="auto"/>
              <w:bottom w:val="single" w:sz="4" w:space="0" w:color="auto"/>
              <w:right w:val="single" w:sz="4" w:space="0" w:color="auto"/>
            </w:tcBorders>
          </w:tcPr>
          <w:p w14:paraId="0551A3A2" w14:textId="77777777" w:rsidR="00B53489" w:rsidRPr="00D6530A" w:rsidRDefault="00B53489" w:rsidP="00D20474">
            <w:pPr>
              <w:spacing w:line="240" w:lineRule="auto"/>
              <w:rPr>
                <w:rFonts w:cs="Times New Roman"/>
              </w:rPr>
            </w:pPr>
            <w:r w:rsidRPr="00D6530A">
              <w:rPr>
                <w:rFonts w:cs="Times New Roman"/>
              </w:rPr>
              <w:t>Average future undiscounted life years lost due to infections between 2019 and 2023</w:t>
            </w:r>
          </w:p>
        </w:tc>
        <w:tc>
          <w:tcPr>
            <w:tcW w:w="1984" w:type="dxa"/>
            <w:tcBorders>
              <w:top w:val="single" w:sz="4" w:space="0" w:color="auto"/>
              <w:left w:val="single" w:sz="4" w:space="0" w:color="auto"/>
              <w:bottom w:val="single" w:sz="4" w:space="0" w:color="auto"/>
              <w:right w:val="single" w:sz="4" w:space="0" w:color="auto"/>
            </w:tcBorders>
          </w:tcPr>
          <w:p w14:paraId="27FF4436" w14:textId="77777777" w:rsidR="00B53489" w:rsidRPr="00D6530A" w:rsidRDefault="00B53489" w:rsidP="00D20474">
            <w:pPr>
              <w:spacing w:line="240" w:lineRule="auto"/>
              <w:rPr>
                <w:rFonts w:cs="Times New Roman"/>
              </w:rPr>
            </w:pPr>
            <w:r w:rsidRPr="00D6530A">
              <w:rPr>
                <w:rFonts w:cs="Times New Roman"/>
              </w:rPr>
              <w:t>Average future discounted QALYs lost due to infections between 2019 and 2023</w:t>
            </w:r>
          </w:p>
        </w:tc>
        <w:tc>
          <w:tcPr>
            <w:tcW w:w="2552" w:type="dxa"/>
            <w:tcBorders>
              <w:top w:val="single" w:sz="4" w:space="0" w:color="auto"/>
              <w:left w:val="single" w:sz="4" w:space="0" w:color="auto"/>
              <w:bottom w:val="single" w:sz="4" w:space="0" w:color="auto"/>
              <w:right w:val="single" w:sz="4" w:space="0" w:color="auto"/>
            </w:tcBorders>
          </w:tcPr>
          <w:p w14:paraId="06E8949A" w14:textId="58150AFB" w:rsidR="00B53489" w:rsidRPr="00D6530A" w:rsidRDefault="000B5D15" w:rsidP="00D20474">
            <w:pPr>
              <w:spacing w:line="240" w:lineRule="auto"/>
              <w:rPr>
                <w:rFonts w:cs="Times New Roman"/>
              </w:rPr>
            </w:pPr>
            <w:r w:rsidRPr="00D6530A">
              <w:rPr>
                <w:rFonts w:cs="Times New Roman"/>
              </w:rPr>
              <w:t xml:space="preserve">Maximum </w:t>
            </w:r>
            <w:r>
              <w:rPr>
                <w:rFonts w:cs="Times New Roman"/>
              </w:rPr>
              <w:t xml:space="preserve">across the PSAs of </w:t>
            </w:r>
            <w:r w:rsidRPr="00D6530A">
              <w:rPr>
                <w:rFonts w:cs="Times New Roman"/>
              </w:rPr>
              <w:t>future deaths caused by infections between 2019 and 2023 multiplied by likelihood Total (No</w:t>
            </w:r>
            <w:r>
              <w:rPr>
                <w:rFonts w:cs="Times New Roman"/>
              </w:rPr>
              <w:t>n-</w:t>
            </w:r>
            <w:r w:rsidRPr="00D6530A">
              <w:rPr>
                <w:rFonts w:cs="Times New Roman"/>
              </w:rPr>
              <w:t>P96 group /  P96 group) *</w:t>
            </w:r>
          </w:p>
        </w:tc>
      </w:tr>
      <w:tr w:rsidR="00B53489" w:rsidRPr="00D6530A" w14:paraId="34D0BF2D" w14:textId="77777777" w:rsidTr="003713EF">
        <w:tc>
          <w:tcPr>
            <w:tcW w:w="988" w:type="dxa"/>
            <w:tcBorders>
              <w:top w:val="single" w:sz="4" w:space="0" w:color="auto"/>
              <w:left w:val="single" w:sz="4" w:space="0" w:color="auto"/>
              <w:bottom w:val="single" w:sz="4" w:space="0" w:color="auto"/>
              <w:right w:val="single" w:sz="4" w:space="0" w:color="auto"/>
            </w:tcBorders>
          </w:tcPr>
          <w:p w14:paraId="540DC556" w14:textId="77777777" w:rsidR="00B53489" w:rsidRPr="00D6530A" w:rsidRDefault="00B53489" w:rsidP="00D20474">
            <w:pPr>
              <w:spacing w:line="240" w:lineRule="auto"/>
              <w:rPr>
                <w:rFonts w:cs="Times New Roman"/>
              </w:rPr>
            </w:pPr>
            <w:r w:rsidRPr="00D6530A">
              <w:rPr>
                <w:rFonts w:cs="Times New Roman"/>
              </w:rPr>
              <w:t>S</w:t>
            </w:r>
            <w:r>
              <w:rPr>
                <w:rFonts w:cs="Times New Roman"/>
              </w:rPr>
              <w:t>2 to S1</w:t>
            </w:r>
          </w:p>
        </w:tc>
        <w:tc>
          <w:tcPr>
            <w:tcW w:w="2409" w:type="dxa"/>
            <w:tcBorders>
              <w:top w:val="single" w:sz="4" w:space="0" w:color="auto"/>
              <w:left w:val="single" w:sz="4" w:space="0" w:color="auto"/>
              <w:bottom w:val="single" w:sz="4" w:space="0" w:color="auto"/>
              <w:right w:val="single" w:sz="4" w:space="0" w:color="auto"/>
            </w:tcBorders>
          </w:tcPr>
          <w:p w14:paraId="2F586144" w14:textId="77777777" w:rsidR="00B53489" w:rsidRPr="00D6530A" w:rsidRDefault="00B53489" w:rsidP="00D20474">
            <w:pPr>
              <w:spacing w:line="240" w:lineRule="auto"/>
              <w:jc w:val="center"/>
              <w:rPr>
                <w:rFonts w:cs="Times New Roman"/>
              </w:rPr>
            </w:pPr>
            <w:r w:rsidRPr="00D6530A">
              <w:rPr>
                <w:rFonts w:cs="Times New Roman"/>
              </w:rPr>
              <w:t>0.0</w:t>
            </w:r>
            <w:r>
              <w:rPr>
                <w:rFonts w:cs="Times New Roman"/>
              </w:rPr>
              <w:t>45</w:t>
            </w:r>
            <w:r w:rsidRPr="00D6530A">
              <w:rPr>
                <w:rFonts w:cs="Times New Roman"/>
              </w:rPr>
              <w:t xml:space="preserve"> (0.03</w:t>
            </w:r>
            <w:r>
              <w:rPr>
                <w:rFonts w:cs="Times New Roman"/>
              </w:rPr>
              <w:t>7</w:t>
            </w:r>
            <w:r w:rsidRPr="00D6530A">
              <w:rPr>
                <w:rFonts w:cs="Times New Roman"/>
              </w:rPr>
              <w:t xml:space="preserve"> / 0.0</w:t>
            </w:r>
            <w:r>
              <w:rPr>
                <w:rFonts w:cs="Times New Roman"/>
              </w:rPr>
              <w:t>08</w:t>
            </w:r>
            <w:r w:rsidRPr="00D6530A">
              <w:rPr>
                <w:rFonts w:cs="Times New Roman"/>
              </w:rPr>
              <w:t>)</w:t>
            </w:r>
          </w:p>
        </w:tc>
        <w:tc>
          <w:tcPr>
            <w:tcW w:w="2127" w:type="dxa"/>
            <w:tcBorders>
              <w:top w:val="single" w:sz="4" w:space="0" w:color="auto"/>
              <w:left w:val="single" w:sz="4" w:space="0" w:color="auto"/>
              <w:bottom w:val="single" w:sz="4" w:space="0" w:color="auto"/>
              <w:right w:val="single" w:sz="4" w:space="0" w:color="auto"/>
            </w:tcBorders>
            <w:vAlign w:val="bottom"/>
          </w:tcPr>
          <w:p w14:paraId="6C982C31" w14:textId="77777777" w:rsidR="00B53489" w:rsidRPr="00BC3C92" w:rsidRDefault="00B53489" w:rsidP="00D20474">
            <w:pPr>
              <w:spacing w:line="240" w:lineRule="auto"/>
              <w:jc w:val="center"/>
              <w:rPr>
                <w:rFonts w:cs="Times New Roman"/>
              </w:rPr>
            </w:pPr>
            <w:r w:rsidRPr="00BC3C92">
              <w:rPr>
                <w:rFonts w:cs="Times New Roman"/>
                <w:color w:val="000000"/>
              </w:rPr>
              <w:t>1.127</w:t>
            </w:r>
          </w:p>
        </w:tc>
        <w:tc>
          <w:tcPr>
            <w:tcW w:w="1984" w:type="dxa"/>
            <w:tcBorders>
              <w:top w:val="single" w:sz="4" w:space="0" w:color="auto"/>
              <w:left w:val="single" w:sz="4" w:space="0" w:color="auto"/>
              <w:bottom w:val="single" w:sz="4" w:space="0" w:color="auto"/>
              <w:right w:val="single" w:sz="4" w:space="0" w:color="auto"/>
            </w:tcBorders>
            <w:vAlign w:val="bottom"/>
          </w:tcPr>
          <w:p w14:paraId="24E44060" w14:textId="77777777" w:rsidR="00B53489" w:rsidRPr="00BC3C92" w:rsidRDefault="00B53489" w:rsidP="00D20474">
            <w:pPr>
              <w:spacing w:line="240" w:lineRule="auto"/>
              <w:jc w:val="center"/>
              <w:rPr>
                <w:rFonts w:cs="Times New Roman"/>
              </w:rPr>
            </w:pPr>
            <w:r w:rsidRPr="00BC3C92">
              <w:rPr>
                <w:rFonts w:cs="Times New Roman"/>
                <w:color w:val="000000"/>
              </w:rPr>
              <w:t>0.359</w:t>
            </w:r>
          </w:p>
        </w:tc>
        <w:tc>
          <w:tcPr>
            <w:tcW w:w="2552" w:type="dxa"/>
            <w:tcBorders>
              <w:top w:val="single" w:sz="4" w:space="0" w:color="auto"/>
              <w:left w:val="single" w:sz="4" w:space="0" w:color="auto"/>
              <w:bottom w:val="single" w:sz="4" w:space="0" w:color="auto"/>
              <w:right w:val="single" w:sz="4" w:space="0" w:color="auto"/>
            </w:tcBorders>
          </w:tcPr>
          <w:p w14:paraId="63865DFE" w14:textId="77777777" w:rsidR="00B53489" w:rsidRPr="00D6530A" w:rsidRDefault="00B53489" w:rsidP="00D20474">
            <w:pPr>
              <w:spacing w:line="240" w:lineRule="auto"/>
              <w:jc w:val="center"/>
              <w:rPr>
                <w:rFonts w:cs="Times New Roman"/>
              </w:rPr>
            </w:pPr>
            <w:r w:rsidRPr="00D6530A">
              <w:rPr>
                <w:rFonts w:cs="Times New Roman"/>
              </w:rPr>
              <w:t>0.</w:t>
            </w:r>
            <w:r>
              <w:rPr>
                <w:rFonts w:cs="Times New Roman"/>
              </w:rPr>
              <w:t>519</w:t>
            </w:r>
            <w:r w:rsidRPr="00D6530A">
              <w:rPr>
                <w:rFonts w:cs="Times New Roman"/>
              </w:rPr>
              <w:t xml:space="preserve"> (0.519 / 0.0</w:t>
            </w:r>
            <w:r>
              <w:rPr>
                <w:rFonts w:cs="Times New Roman"/>
              </w:rPr>
              <w:t>00</w:t>
            </w:r>
            <w:r w:rsidRPr="00D6530A">
              <w:rPr>
                <w:rFonts w:cs="Times New Roman"/>
              </w:rPr>
              <w:t>)</w:t>
            </w:r>
          </w:p>
        </w:tc>
      </w:tr>
      <w:tr w:rsidR="00B53489" w:rsidRPr="00D6530A" w14:paraId="662338B4" w14:textId="77777777" w:rsidTr="003713EF">
        <w:tc>
          <w:tcPr>
            <w:tcW w:w="988" w:type="dxa"/>
            <w:tcBorders>
              <w:top w:val="single" w:sz="4" w:space="0" w:color="auto"/>
              <w:left w:val="single" w:sz="4" w:space="0" w:color="auto"/>
              <w:bottom w:val="single" w:sz="4" w:space="0" w:color="auto"/>
              <w:right w:val="single" w:sz="4" w:space="0" w:color="auto"/>
            </w:tcBorders>
          </w:tcPr>
          <w:p w14:paraId="4742FC63" w14:textId="77777777" w:rsidR="00B53489" w:rsidRPr="00D6530A" w:rsidRDefault="00B53489" w:rsidP="00D20474">
            <w:pPr>
              <w:spacing w:line="240" w:lineRule="auto"/>
              <w:rPr>
                <w:rFonts w:cs="Times New Roman"/>
              </w:rPr>
            </w:pPr>
            <w:r w:rsidRPr="00D6530A">
              <w:rPr>
                <w:rFonts w:cs="Times New Roman"/>
              </w:rPr>
              <w:t>S</w:t>
            </w:r>
            <w:r>
              <w:rPr>
                <w:rFonts w:cs="Times New Roman"/>
              </w:rPr>
              <w:t>3 to S1</w:t>
            </w:r>
          </w:p>
        </w:tc>
        <w:tc>
          <w:tcPr>
            <w:tcW w:w="2409" w:type="dxa"/>
            <w:tcBorders>
              <w:top w:val="single" w:sz="4" w:space="0" w:color="auto"/>
              <w:left w:val="single" w:sz="4" w:space="0" w:color="auto"/>
              <w:bottom w:val="single" w:sz="4" w:space="0" w:color="auto"/>
              <w:right w:val="single" w:sz="4" w:space="0" w:color="auto"/>
            </w:tcBorders>
          </w:tcPr>
          <w:p w14:paraId="6FD9300A" w14:textId="77777777" w:rsidR="00B53489" w:rsidRPr="00D6530A" w:rsidRDefault="00B53489" w:rsidP="00D20474">
            <w:pPr>
              <w:spacing w:line="240" w:lineRule="auto"/>
              <w:jc w:val="center"/>
              <w:rPr>
                <w:rFonts w:cs="Times New Roman"/>
              </w:rPr>
            </w:pPr>
            <w:r w:rsidRPr="00D6530A">
              <w:rPr>
                <w:rFonts w:cs="Times New Roman"/>
              </w:rPr>
              <w:t>0.0</w:t>
            </w:r>
            <w:r>
              <w:rPr>
                <w:rFonts w:cs="Times New Roman"/>
              </w:rPr>
              <w:t>4</w:t>
            </w:r>
            <w:r w:rsidRPr="00D6530A">
              <w:rPr>
                <w:rFonts w:cs="Times New Roman"/>
              </w:rPr>
              <w:t>7 (0.0</w:t>
            </w:r>
            <w:r>
              <w:rPr>
                <w:rFonts w:cs="Times New Roman"/>
              </w:rPr>
              <w:t>39</w:t>
            </w:r>
            <w:r w:rsidRPr="00D6530A">
              <w:rPr>
                <w:rFonts w:cs="Times New Roman"/>
              </w:rPr>
              <w:t xml:space="preserve"> / 0.00</w:t>
            </w:r>
            <w:r>
              <w:rPr>
                <w:rFonts w:cs="Times New Roman"/>
              </w:rPr>
              <w:t>8</w:t>
            </w:r>
            <w:r w:rsidRPr="00D6530A">
              <w:rPr>
                <w:rFonts w:cs="Times New Roman"/>
              </w:rPr>
              <w:t>)</w:t>
            </w:r>
          </w:p>
        </w:tc>
        <w:tc>
          <w:tcPr>
            <w:tcW w:w="2127" w:type="dxa"/>
            <w:tcBorders>
              <w:top w:val="single" w:sz="4" w:space="0" w:color="auto"/>
              <w:left w:val="single" w:sz="4" w:space="0" w:color="auto"/>
              <w:bottom w:val="single" w:sz="4" w:space="0" w:color="auto"/>
              <w:right w:val="single" w:sz="4" w:space="0" w:color="auto"/>
            </w:tcBorders>
            <w:vAlign w:val="bottom"/>
          </w:tcPr>
          <w:p w14:paraId="7A14D3CF" w14:textId="77777777" w:rsidR="00B53489" w:rsidRPr="00BC3C92" w:rsidRDefault="00B53489" w:rsidP="00D20474">
            <w:pPr>
              <w:spacing w:line="240" w:lineRule="auto"/>
              <w:jc w:val="center"/>
              <w:rPr>
                <w:rFonts w:cs="Times New Roman"/>
              </w:rPr>
            </w:pPr>
            <w:r w:rsidRPr="00BC3C92">
              <w:rPr>
                <w:rFonts w:cs="Times New Roman"/>
                <w:color w:val="000000"/>
              </w:rPr>
              <w:t>1.159</w:t>
            </w:r>
          </w:p>
        </w:tc>
        <w:tc>
          <w:tcPr>
            <w:tcW w:w="1984" w:type="dxa"/>
            <w:tcBorders>
              <w:top w:val="single" w:sz="4" w:space="0" w:color="auto"/>
              <w:left w:val="single" w:sz="4" w:space="0" w:color="auto"/>
              <w:bottom w:val="single" w:sz="4" w:space="0" w:color="auto"/>
              <w:right w:val="single" w:sz="4" w:space="0" w:color="auto"/>
            </w:tcBorders>
            <w:vAlign w:val="bottom"/>
          </w:tcPr>
          <w:p w14:paraId="0C0EA6DC" w14:textId="77777777" w:rsidR="00B53489" w:rsidRPr="00BC3C92" w:rsidRDefault="00B53489" w:rsidP="00D20474">
            <w:pPr>
              <w:spacing w:line="240" w:lineRule="auto"/>
              <w:jc w:val="center"/>
              <w:rPr>
                <w:rFonts w:cs="Times New Roman"/>
              </w:rPr>
            </w:pPr>
            <w:r w:rsidRPr="00BC3C92">
              <w:rPr>
                <w:rFonts w:cs="Times New Roman"/>
                <w:color w:val="000000"/>
              </w:rPr>
              <w:t>0.371</w:t>
            </w:r>
          </w:p>
        </w:tc>
        <w:tc>
          <w:tcPr>
            <w:tcW w:w="2552" w:type="dxa"/>
            <w:tcBorders>
              <w:top w:val="single" w:sz="4" w:space="0" w:color="auto"/>
              <w:left w:val="single" w:sz="4" w:space="0" w:color="auto"/>
              <w:bottom w:val="single" w:sz="4" w:space="0" w:color="auto"/>
              <w:right w:val="single" w:sz="4" w:space="0" w:color="auto"/>
            </w:tcBorders>
          </w:tcPr>
          <w:p w14:paraId="292406BD" w14:textId="77777777" w:rsidR="00B53489" w:rsidRPr="00D6530A" w:rsidRDefault="00B53489" w:rsidP="00D20474">
            <w:pPr>
              <w:spacing w:line="240" w:lineRule="auto"/>
              <w:jc w:val="center"/>
              <w:rPr>
                <w:rFonts w:cs="Times New Roman"/>
              </w:rPr>
            </w:pPr>
            <w:r w:rsidRPr="00D6530A">
              <w:rPr>
                <w:rFonts w:cs="Times New Roman"/>
              </w:rPr>
              <w:t>0.</w:t>
            </w:r>
            <w:r>
              <w:rPr>
                <w:rFonts w:cs="Times New Roman"/>
              </w:rPr>
              <w:t>519</w:t>
            </w:r>
            <w:r w:rsidRPr="00D6530A">
              <w:rPr>
                <w:rFonts w:cs="Times New Roman"/>
              </w:rPr>
              <w:t xml:space="preserve"> (0.519 / 0.0</w:t>
            </w:r>
            <w:r>
              <w:rPr>
                <w:rFonts w:cs="Times New Roman"/>
              </w:rPr>
              <w:t>00</w:t>
            </w:r>
            <w:r w:rsidRPr="00D6530A">
              <w:rPr>
                <w:rFonts w:cs="Times New Roman"/>
              </w:rPr>
              <w:t>)</w:t>
            </w:r>
          </w:p>
        </w:tc>
      </w:tr>
      <w:tr w:rsidR="00B53489" w:rsidRPr="00D6530A" w14:paraId="0DC05917" w14:textId="77777777" w:rsidTr="003713EF">
        <w:tc>
          <w:tcPr>
            <w:tcW w:w="988" w:type="dxa"/>
            <w:tcBorders>
              <w:top w:val="single" w:sz="4" w:space="0" w:color="auto"/>
              <w:left w:val="single" w:sz="4" w:space="0" w:color="auto"/>
              <w:bottom w:val="single" w:sz="4" w:space="0" w:color="auto"/>
              <w:right w:val="single" w:sz="4" w:space="0" w:color="auto"/>
            </w:tcBorders>
          </w:tcPr>
          <w:p w14:paraId="70434C7F" w14:textId="77777777" w:rsidR="00B53489" w:rsidRPr="00D6530A" w:rsidRDefault="00B53489" w:rsidP="00D20474">
            <w:pPr>
              <w:spacing w:line="240" w:lineRule="auto"/>
              <w:rPr>
                <w:rFonts w:cs="Times New Roman"/>
              </w:rPr>
            </w:pPr>
            <w:r w:rsidRPr="00D6530A">
              <w:rPr>
                <w:rFonts w:cs="Times New Roman"/>
              </w:rPr>
              <w:t>S3</w:t>
            </w:r>
            <w:r>
              <w:rPr>
                <w:rFonts w:cs="Times New Roman"/>
              </w:rPr>
              <w:t xml:space="preserve"> to S2</w:t>
            </w:r>
          </w:p>
        </w:tc>
        <w:tc>
          <w:tcPr>
            <w:tcW w:w="2409" w:type="dxa"/>
            <w:tcBorders>
              <w:top w:val="single" w:sz="4" w:space="0" w:color="auto"/>
              <w:left w:val="single" w:sz="4" w:space="0" w:color="auto"/>
              <w:bottom w:val="single" w:sz="4" w:space="0" w:color="auto"/>
              <w:right w:val="single" w:sz="4" w:space="0" w:color="auto"/>
            </w:tcBorders>
          </w:tcPr>
          <w:p w14:paraId="60DA8EAF" w14:textId="77777777" w:rsidR="00B53489" w:rsidRPr="00D6530A" w:rsidRDefault="00B53489" w:rsidP="00D20474">
            <w:pPr>
              <w:spacing w:line="240" w:lineRule="auto"/>
              <w:jc w:val="center"/>
              <w:rPr>
                <w:rFonts w:cs="Times New Roman"/>
              </w:rPr>
            </w:pPr>
            <w:r w:rsidRPr="00D6530A">
              <w:rPr>
                <w:rFonts w:cs="Times New Roman"/>
              </w:rPr>
              <w:t>0.</w:t>
            </w:r>
            <w:r>
              <w:rPr>
                <w:rFonts w:cs="Times New Roman"/>
              </w:rPr>
              <w:t>07</w:t>
            </w:r>
            <w:r w:rsidRPr="00D6530A">
              <w:rPr>
                <w:rFonts w:cs="Times New Roman"/>
              </w:rPr>
              <w:t>3 (0.</w:t>
            </w:r>
            <w:r>
              <w:rPr>
                <w:rFonts w:cs="Times New Roman"/>
              </w:rPr>
              <w:t>073</w:t>
            </w:r>
            <w:r w:rsidRPr="00D6530A">
              <w:rPr>
                <w:rFonts w:cs="Times New Roman"/>
              </w:rPr>
              <w:t xml:space="preserve"> / 0.0</w:t>
            </w:r>
            <w:r>
              <w:rPr>
                <w:rFonts w:cs="Times New Roman"/>
              </w:rPr>
              <w:t>00</w:t>
            </w:r>
            <w:r w:rsidRPr="00D6530A">
              <w:rPr>
                <w:rFonts w:cs="Times New Roman"/>
              </w:rPr>
              <w:t>)</w:t>
            </w:r>
          </w:p>
        </w:tc>
        <w:tc>
          <w:tcPr>
            <w:tcW w:w="2127" w:type="dxa"/>
            <w:tcBorders>
              <w:top w:val="single" w:sz="4" w:space="0" w:color="auto"/>
              <w:left w:val="single" w:sz="4" w:space="0" w:color="auto"/>
              <w:bottom w:val="single" w:sz="4" w:space="0" w:color="auto"/>
              <w:right w:val="single" w:sz="4" w:space="0" w:color="auto"/>
            </w:tcBorders>
            <w:vAlign w:val="bottom"/>
          </w:tcPr>
          <w:p w14:paraId="3BA0B4A7" w14:textId="77777777" w:rsidR="00B53489" w:rsidRPr="00BC3C92" w:rsidRDefault="00B53489" w:rsidP="00D20474">
            <w:pPr>
              <w:spacing w:line="240" w:lineRule="auto"/>
              <w:jc w:val="center"/>
              <w:rPr>
                <w:rFonts w:cs="Times New Roman"/>
              </w:rPr>
            </w:pPr>
            <w:r w:rsidRPr="00BC3C92">
              <w:rPr>
                <w:rFonts w:cs="Times New Roman"/>
                <w:color w:val="000000"/>
              </w:rPr>
              <w:t>2.894</w:t>
            </w:r>
          </w:p>
        </w:tc>
        <w:tc>
          <w:tcPr>
            <w:tcW w:w="1984" w:type="dxa"/>
            <w:tcBorders>
              <w:top w:val="single" w:sz="4" w:space="0" w:color="auto"/>
              <w:left w:val="single" w:sz="4" w:space="0" w:color="auto"/>
              <w:bottom w:val="single" w:sz="4" w:space="0" w:color="auto"/>
              <w:right w:val="single" w:sz="4" w:space="0" w:color="auto"/>
            </w:tcBorders>
            <w:vAlign w:val="bottom"/>
          </w:tcPr>
          <w:p w14:paraId="1F3F45C8" w14:textId="77777777" w:rsidR="00B53489" w:rsidRPr="00BC3C92" w:rsidRDefault="00B53489" w:rsidP="00D20474">
            <w:pPr>
              <w:spacing w:line="240" w:lineRule="auto"/>
              <w:jc w:val="center"/>
              <w:rPr>
                <w:rFonts w:cs="Times New Roman"/>
              </w:rPr>
            </w:pPr>
            <w:r w:rsidRPr="00BC3C92">
              <w:rPr>
                <w:rFonts w:cs="Times New Roman"/>
                <w:color w:val="000000"/>
              </w:rPr>
              <w:t>0.825</w:t>
            </w:r>
          </w:p>
        </w:tc>
        <w:tc>
          <w:tcPr>
            <w:tcW w:w="2552" w:type="dxa"/>
            <w:tcBorders>
              <w:top w:val="single" w:sz="4" w:space="0" w:color="auto"/>
              <w:left w:val="single" w:sz="4" w:space="0" w:color="auto"/>
              <w:bottom w:val="single" w:sz="4" w:space="0" w:color="auto"/>
              <w:right w:val="single" w:sz="4" w:space="0" w:color="auto"/>
            </w:tcBorders>
          </w:tcPr>
          <w:p w14:paraId="5964DEB3" w14:textId="77777777" w:rsidR="00B53489" w:rsidRPr="00D6530A" w:rsidRDefault="00B53489" w:rsidP="00D20474">
            <w:pPr>
              <w:spacing w:line="240" w:lineRule="auto"/>
              <w:jc w:val="center"/>
              <w:rPr>
                <w:rFonts w:cs="Times New Roman"/>
              </w:rPr>
            </w:pPr>
            <w:r>
              <w:rPr>
                <w:rFonts w:cs="Times New Roman"/>
              </w:rPr>
              <w:t>1</w:t>
            </w:r>
            <w:r w:rsidRPr="00D6530A">
              <w:rPr>
                <w:rFonts w:cs="Times New Roman"/>
              </w:rPr>
              <w:t>.</w:t>
            </w:r>
            <w:r>
              <w:rPr>
                <w:rFonts w:cs="Times New Roman"/>
              </w:rPr>
              <w:t>741</w:t>
            </w:r>
            <w:r w:rsidRPr="00D6530A">
              <w:rPr>
                <w:rFonts w:cs="Times New Roman"/>
              </w:rPr>
              <w:t xml:space="preserve"> (</w:t>
            </w:r>
            <w:r>
              <w:rPr>
                <w:rFonts w:cs="Times New Roman"/>
              </w:rPr>
              <w:t>1</w:t>
            </w:r>
            <w:r w:rsidRPr="00D6530A">
              <w:rPr>
                <w:rFonts w:cs="Times New Roman"/>
              </w:rPr>
              <w:t>.4</w:t>
            </w:r>
            <w:r>
              <w:rPr>
                <w:rFonts w:cs="Times New Roman"/>
              </w:rPr>
              <w:t>81</w:t>
            </w:r>
            <w:r w:rsidRPr="00D6530A">
              <w:rPr>
                <w:rFonts w:cs="Times New Roman"/>
              </w:rPr>
              <w:t xml:space="preserve"> / 0.</w:t>
            </w:r>
            <w:r>
              <w:rPr>
                <w:rFonts w:cs="Times New Roman"/>
              </w:rPr>
              <w:t>259</w:t>
            </w:r>
            <w:r w:rsidRPr="00D6530A">
              <w:rPr>
                <w:rFonts w:cs="Times New Roman"/>
              </w:rPr>
              <w:t>)</w:t>
            </w:r>
          </w:p>
        </w:tc>
      </w:tr>
      <w:tr w:rsidR="00B53489" w:rsidRPr="00D6530A" w14:paraId="23FFCCD2" w14:textId="77777777" w:rsidTr="003713EF">
        <w:tc>
          <w:tcPr>
            <w:tcW w:w="988" w:type="dxa"/>
            <w:tcBorders>
              <w:top w:val="single" w:sz="4" w:space="0" w:color="auto"/>
              <w:left w:val="single" w:sz="4" w:space="0" w:color="auto"/>
              <w:bottom w:val="single" w:sz="4" w:space="0" w:color="auto"/>
              <w:right w:val="single" w:sz="4" w:space="0" w:color="auto"/>
            </w:tcBorders>
          </w:tcPr>
          <w:p w14:paraId="27267597" w14:textId="77777777" w:rsidR="00B53489" w:rsidRPr="00D6530A" w:rsidRDefault="00B53489" w:rsidP="00D20474">
            <w:pPr>
              <w:spacing w:line="240" w:lineRule="auto"/>
              <w:rPr>
                <w:rFonts w:cs="Times New Roman"/>
              </w:rPr>
            </w:pPr>
            <w:r w:rsidRPr="00D6530A">
              <w:rPr>
                <w:rFonts w:cs="Times New Roman"/>
              </w:rPr>
              <w:t>S</w:t>
            </w:r>
            <w:r>
              <w:rPr>
                <w:rFonts w:cs="Times New Roman"/>
              </w:rPr>
              <w:t>5 to S4</w:t>
            </w:r>
          </w:p>
        </w:tc>
        <w:tc>
          <w:tcPr>
            <w:tcW w:w="2409" w:type="dxa"/>
            <w:tcBorders>
              <w:top w:val="single" w:sz="4" w:space="0" w:color="auto"/>
              <w:left w:val="single" w:sz="4" w:space="0" w:color="auto"/>
              <w:bottom w:val="single" w:sz="4" w:space="0" w:color="auto"/>
              <w:right w:val="single" w:sz="4" w:space="0" w:color="auto"/>
            </w:tcBorders>
          </w:tcPr>
          <w:p w14:paraId="0979D81B" w14:textId="77777777" w:rsidR="00B53489" w:rsidRPr="00D6530A" w:rsidRDefault="00B53489" w:rsidP="00D20474">
            <w:pPr>
              <w:spacing w:line="240" w:lineRule="auto"/>
              <w:jc w:val="center"/>
              <w:rPr>
                <w:rFonts w:cs="Times New Roman"/>
              </w:rPr>
            </w:pPr>
            <w:r w:rsidRPr="00D6530A">
              <w:rPr>
                <w:rFonts w:cs="Times New Roman"/>
              </w:rPr>
              <w:t>0.038 (0.038 / 0.000)</w:t>
            </w:r>
          </w:p>
        </w:tc>
        <w:tc>
          <w:tcPr>
            <w:tcW w:w="2127" w:type="dxa"/>
            <w:tcBorders>
              <w:top w:val="single" w:sz="4" w:space="0" w:color="auto"/>
              <w:left w:val="single" w:sz="4" w:space="0" w:color="auto"/>
              <w:bottom w:val="single" w:sz="4" w:space="0" w:color="auto"/>
              <w:right w:val="single" w:sz="4" w:space="0" w:color="auto"/>
            </w:tcBorders>
            <w:vAlign w:val="bottom"/>
          </w:tcPr>
          <w:p w14:paraId="22644AC5" w14:textId="77777777" w:rsidR="00B53489" w:rsidRPr="00BC3C92" w:rsidRDefault="00B53489" w:rsidP="00D20474">
            <w:pPr>
              <w:spacing w:line="240" w:lineRule="auto"/>
              <w:jc w:val="center"/>
              <w:rPr>
                <w:rFonts w:cs="Times New Roman"/>
              </w:rPr>
            </w:pPr>
            <w:r w:rsidRPr="00BC3C92">
              <w:rPr>
                <w:rFonts w:cs="Times New Roman"/>
                <w:color w:val="000000"/>
              </w:rPr>
              <w:t>0.744</w:t>
            </w:r>
          </w:p>
        </w:tc>
        <w:tc>
          <w:tcPr>
            <w:tcW w:w="1984" w:type="dxa"/>
            <w:tcBorders>
              <w:top w:val="single" w:sz="4" w:space="0" w:color="auto"/>
              <w:left w:val="single" w:sz="4" w:space="0" w:color="auto"/>
              <w:bottom w:val="single" w:sz="4" w:space="0" w:color="auto"/>
              <w:right w:val="single" w:sz="4" w:space="0" w:color="auto"/>
            </w:tcBorders>
            <w:vAlign w:val="bottom"/>
          </w:tcPr>
          <w:p w14:paraId="7C951B90" w14:textId="77777777" w:rsidR="00B53489" w:rsidRPr="00BC3C92" w:rsidRDefault="00B53489" w:rsidP="00D20474">
            <w:pPr>
              <w:spacing w:line="240" w:lineRule="auto"/>
              <w:jc w:val="center"/>
              <w:rPr>
                <w:rFonts w:cs="Times New Roman"/>
              </w:rPr>
            </w:pPr>
            <w:r w:rsidRPr="00BC3C92">
              <w:rPr>
                <w:rFonts w:cs="Times New Roman"/>
                <w:color w:val="000000"/>
              </w:rPr>
              <w:t>0.271</w:t>
            </w:r>
          </w:p>
        </w:tc>
        <w:tc>
          <w:tcPr>
            <w:tcW w:w="2552" w:type="dxa"/>
            <w:tcBorders>
              <w:top w:val="single" w:sz="4" w:space="0" w:color="auto"/>
              <w:left w:val="single" w:sz="4" w:space="0" w:color="auto"/>
              <w:bottom w:val="single" w:sz="4" w:space="0" w:color="auto"/>
              <w:right w:val="single" w:sz="4" w:space="0" w:color="auto"/>
            </w:tcBorders>
          </w:tcPr>
          <w:p w14:paraId="7F4F65C2" w14:textId="77777777" w:rsidR="00B53489" w:rsidRPr="00D6530A" w:rsidRDefault="00B53489" w:rsidP="00D20474">
            <w:pPr>
              <w:spacing w:line="240" w:lineRule="auto"/>
              <w:jc w:val="center"/>
              <w:rPr>
                <w:rFonts w:cs="Times New Roman"/>
              </w:rPr>
            </w:pPr>
            <w:r w:rsidRPr="00D6530A">
              <w:rPr>
                <w:rFonts w:cs="Times New Roman"/>
              </w:rPr>
              <w:t>0.5</w:t>
            </w:r>
            <w:r>
              <w:rPr>
                <w:rFonts w:cs="Times New Roman"/>
              </w:rPr>
              <w:t>19</w:t>
            </w:r>
            <w:r w:rsidRPr="00D6530A">
              <w:rPr>
                <w:rFonts w:cs="Times New Roman"/>
              </w:rPr>
              <w:t xml:space="preserve"> (0.519 / 0.0</w:t>
            </w:r>
            <w:r>
              <w:rPr>
                <w:rFonts w:cs="Times New Roman"/>
              </w:rPr>
              <w:t>00</w:t>
            </w:r>
            <w:r w:rsidRPr="00D6530A">
              <w:rPr>
                <w:rFonts w:cs="Times New Roman"/>
              </w:rPr>
              <w:t>)</w:t>
            </w:r>
          </w:p>
        </w:tc>
      </w:tr>
      <w:tr w:rsidR="00B53489" w:rsidRPr="00D6530A" w14:paraId="407A59FD" w14:textId="77777777" w:rsidTr="003713EF">
        <w:tc>
          <w:tcPr>
            <w:tcW w:w="988" w:type="dxa"/>
            <w:tcBorders>
              <w:top w:val="single" w:sz="4" w:space="0" w:color="auto"/>
              <w:left w:val="single" w:sz="4" w:space="0" w:color="auto"/>
              <w:bottom w:val="single" w:sz="4" w:space="0" w:color="auto"/>
              <w:right w:val="single" w:sz="4" w:space="0" w:color="auto"/>
            </w:tcBorders>
          </w:tcPr>
          <w:p w14:paraId="27616C2F" w14:textId="77777777" w:rsidR="00B53489" w:rsidRPr="00D6530A" w:rsidRDefault="00B53489" w:rsidP="00D20474">
            <w:pPr>
              <w:spacing w:line="240" w:lineRule="auto"/>
              <w:rPr>
                <w:rFonts w:cs="Times New Roman"/>
              </w:rPr>
            </w:pPr>
            <w:r w:rsidRPr="00D6530A">
              <w:rPr>
                <w:rFonts w:cs="Times New Roman"/>
              </w:rPr>
              <w:t>S</w:t>
            </w:r>
            <w:r>
              <w:rPr>
                <w:rFonts w:cs="Times New Roman"/>
              </w:rPr>
              <w:t>6 to S4</w:t>
            </w:r>
          </w:p>
        </w:tc>
        <w:tc>
          <w:tcPr>
            <w:tcW w:w="2409" w:type="dxa"/>
            <w:tcBorders>
              <w:top w:val="single" w:sz="4" w:space="0" w:color="auto"/>
              <w:left w:val="single" w:sz="4" w:space="0" w:color="auto"/>
              <w:bottom w:val="single" w:sz="4" w:space="0" w:color="auto"/>
              <w:right w:val="single" w:sz="4" w:space="0" w:color="auto"/>
            </w:tcBorders>
          </w:tcPr>
          <w:p w14:paraId="5F7FFD05" w14:textId="77777777" w:rsidR="00B53489" w:rsidRPr="00D6530A" w:rsidRDefault="00B53489" w:rsidP="00D20474">
            <w:pPr>
              <w:spacing w:line="240" w:lineRule="auto"/>
              <w:jc w:val="center"/>
              <w:rPr>
                <w:rFonts w:cs="Times New Roman"/>
              </w:rPr>
            </w:pPr>
            <w:r w:rsidRPr="00D6530A">
              <w:rPr>
                <w:rFonts w:cs="Times New Roman"/>
              </w:rPr>
              <w:t>0.0</w:t>
            </w:r>
            <w:r>
              <w:rPr>
                <w:rFonts w:cs="Times New Roman"/>
              </w:rPr>
              <w:t>40</w:t>
            </w:r>
            <w:r w:rsidRPr="00D6530A">
              <w:rPr>
                <w:rFonts w:cs="Times New Roman"/>
              </w:rPr>
              <w:t xml:space="preserve"> (0.0</w:t>
            </w:r>
            <w:r>
              <w:rPr>
                <w:rFonts w:cs="Times New Roman"/>
              </w:rPr>
              <w:t>40</w:t>
            </w:r>
            <w:r w:rsidRPr="00D6530A">
              <w:rPr>
                <w:rFonts w:cs="Times New Roman"/>
              </w:rPr>
              <w:t xml:space="preserve"> / 0.0</w:t>
            </w:r>
            <w:r>
              <w:rPr>
                <w:rFonts w:cs="Times New Roman"/>
              </w:rPr>
              <w:t>00</w:t>
            </w:r>
            <w:r w:rsidRPr="00D6530A">
              <w:rPr>
                <w:rFonts w:cs="Times New Roman"/>
              </w:rPr>
              <w:t>)</w:t>
            </w:r>
          </w:p>
        </w:tc>
        <w:tc>
          <w:tcPr>
            <w:tcW w:w="2127" w:type="dxa"/>
            <w:tcBorders>
              <w:top w:val="single" w:sz="4" w:space="0" w:color="auto"/>
              <w:left w:val="single" w:sz="4" w:space="0" w:color="auto"/>
              <w:bottom w:val="single" w:sz="4" w:space="0" w:color="auto"/>
              <w:right w:val="single" w:sz="4" w:space="0" w:color="auto"/>
            </w:tcBorders>
            <w:vAlign w:val="bottom"/>
          </w:tcPr>
          <w:p w14:paraId="4C1AA0A0" w14:textId="77777777" w:rsidR="00B53489" w:rsidRPr="00BC3C92" w:rsidRDefault="00B53489" w:rsidP="00D20474">
            <w:pPr>
              <w:spacing w:line="240" w:lineRule="auto"/>
              <w:jc w:val="center"/>
              <w:rPr>
                <w:rFonts w:cs="Times New Roman"/>
              </w:rPr>
            </w:pPr>
            <w:r w:rsidRPr="00BC3C92">
              <w:rPr>
                <w:rFonts w:cs="Times New Roman"/>
                <w:color w:val="000000"/>
              </w:rPr>
              <w:t>0.782</w:t>
            </w:r>
          </w:p>
        </w:tc>
        <w:tc>
          <w:tcPr>
            <w:tcW w:w="1984" w:type="dxa"/>
            <w:tcBorders>
              <w:top w:val="single" w:sz="4" w:space="0" w:color="auto"/>
              <w:left w:val="single" w:sz="4" w:space="0" w:color="auto"/>
              <w:bottom w:val="single" w:sz="4" w:space="0" w:color="auto"/>
              <w:right w:val="single" w:sz="4" w:space="0" w:color="auto"/>
            </w:tcBorders>
            <w:vAlign w:val="bottom"/>
          </w:tcPr>
          <w:p w14:paraId="349104F9" w14:textId="77777777" w:rsidR="00B53489" w:rsidRPr="00BC3C92" w:rsidRDefault="00B53489" w:rsidP="00D20474">
            <w:pPr>
              <w:spacing w:line="240" w:lineRule="auto"/>
              <w:jc w:val="center"/>
              <w:rPr>
                <w:rFonts w:cs="Times New Roman"/>
              </w:rPr>
            </w:pPr>
            <w:r w:rsidRPr="00BC3C92">
              <w:rPr>
                <w:rFonts w:cs="Times New Roman"/>
                <w:color w:val="000000"/>
              </w:rPr>
              <w:t>0.285</w:t>
            </w:r>
          </w:p>
        </w:tc>
        <w:tc>
          <w:tcPr>
            <w:tcW w:w="2552" w:type="dxa"/>
            <w:tcBorders>
              <w:top w:val="single" w:sz="4" w:space="0" w:color="auto"/>
              <w:left w:val="single" w:sz="4" w:space="0" w:color="auto"/>
              <w:bottom w:val="single" w:sz="4" w:space="0" w:color="auto"/>
              <w:right w:val="single" w:sz="4" w:space="0" w:color="auto"/>
            </w:tcBorders>
          </w:tcPr>
          <w:p w14:paraId="3A789F0C" w14:textId="77777777" w:rsidR="00B53489" w:rsidRPr="00D6530A" w:rsidRDefault="00B53489" w:rsidP="00D20474">
            <w:pPr>
              <w:spacing w:line="240" w:lineRule="auto"/>
              <w:jc w:val="center"/>
              <w:rPr>
                <w:rFonts w:cs="Times New Roman"/>
              </w:rPr>
            </w:pPr>
            <w:r w:rsidRPr="00D6530A">
              <w:rPr>
                <w:rFonts w:cs="Times New Roman"/>
              </w:rPr>
              <w:t>0.5</w:t>
            </w:r>
            <w:r>
              <w:rPr>
                <w:rFonts w:cs="Times New Roman"/>
              </w:rPr>
              <w:t>19</w:t>
            </w:r>
            <w:r w:rsidRPr="00D6530A">
              <w:rPr>
                <w:rFonts w:cs="Times New Roman"/>
              </w:rPr>
              <w:t xml:space="preserve"> (0.519 / 0.0</w:t>
            </w:r>
            <w:r>
              <w:rPr>
                <w:rFonts w:cs="Times New Roman"/>
              </w:rPr>
              <w:t>00</w:t>
            </w:r>
            <w:r w:rsidRPr="00D6530A">
              <w:rPr>
                <w:rFonts w:cs="Times New Roman"/>
              </w:rPr>
              <w:t>)</w:t>
            </w:r>
          </w:p>
        </w:tc>
      </w:tr>
      <w:tr w:rsidR="00B53489" w:rsidRPr="00D6530A" w14:paraId="1F4B5EE0" w14:textId="77777777" w:rsidTr="003713EF">
        <w:tc>
          <w:tcPr>
            <w:tcW w:w="988" w:type="dxa"/>
            <w:tcBorders>
              <w:top w:val="single" w:sz="4" w:space="0" w:color="auto"/>
              <w:left w:val="single" w:sz="4" w:space="0" w:color="auto"/>
              <w:bottom w:val="single" w:sz="4" w:space="0" w:color="auto"/>
              <w:right w:val="single" w:sz="4" w:space="0" w:color="auto"/>
            </w:tcBorders>
          </w:tcPr>
          <w:p w14:paraId="30DB1574" w14:textId="77777777" w:rsidR="00B53489" w:rsidRPr="00D6530A" w:rsidRDefault="00B53489" w:rsidP="00D20474">
            <w:pPr>
              <w:spacing w:line="240" w:lineRule="auto"/>
              <w:rPr>
                <w:rFonts w:cs="Times New Roman"/>
              </w:rPr>
            </w:pPr>
            <w:r w:rsidRPr="00D6530A">
              <w:rPr>
                <w:rFonts w:cs="Times New Roman"/>
              </w:rPr>
              <w:t>S6</w:t>
            </w:r>
            <w:r>
              <w:rPr>
                <w:rFonts w:cs="Times New Roman"/>
              </w:rPr>
              <w:t xml:space="preserve"> to S5</w:t>
            </w:r>
          </w:p>
        </w:tc>
        <w:tc>
          <w:tcPr>
            <w:tcW w:w="2409" w:type="dxa"/>
            <w:tcBorders>
              <w:top w:val="single" w:sz="4" w:space="0" w:color="auto"/>
              <w:left w:val="single" w:sz="4" w:space="0" w:color="auto"/>
              <w:bottom w:val="single" w:sz="4" w:space="0" w:color="auto"/>
              <w:right w:val="single" w:sz="4" w:space="0" w:color="auto"/>
            </w:tcBorders>
          </w:tcPr>
          <w:p w14:paraId="5FD2D51C" w14:textId="77777777" w:rsidR="00B53489" w:rsidRPr="00D6530A" w:rsidRDefault="00B53489" w:rsidP="00D20474">
            <w:pPr>
              <w:spacing w:line="240" w:lineRule="auto"/>
              <w:jc w:val="center"/>
              <w:rPr>
                <w:rFonts w:cs="Times New Roman"/>
              </w:rPr>
            </w:pPr>
            <w:r w:rsidRPr="00D6530A">
              <w:rPr>
                <w:rFonts w:cs="Times New Roman"/>
              </w:rPr>
              <w:t>0.</w:t>
            </w:r>
            <w:r>
              <w:rPr>
                <w:rFonts w:cs="Times New Roman"/>
              </w:rPr>
              <w:t>058</w:t>
            </w:r>
            <w:r w:rsidRPr="00D6530A">
              <w:rPr>
                <w:rFonts w:cs="Times New Roman"/>
              </w:rPr>
              <w:t xml:space="preserve"> (0.</w:t>
            </w:r>
            <w:r>
              <w:rPr>
                <w:rFonts w:cs="Times New Roman"/>
              </w:rPr>
              <w:t>058</w:t>
            </w:r>
            <w:r w:rsidRPr="00D6530A">
              <w:rPr>
                <w:rFonts w:cs="Times New Roman"/>
              </w:rPr>
              <w:t xml:space="preserve"> / 0.0</w:t>
            </w:r>
            <w:r>
              <w:rPr>
                <w:rFonts w:cs="Times New Roman"/>
              </w:rPr>
              <w:t>00</w:t>
            </w:r>
            <w:r w:rsidRPr="00D6530A">
              <w:rPr>
                <w:rFonts w:cs="Times New Roman"/>
              </w:rPr>
              <w:t>)</w:t>
            </w:r>
          </w:p>
        </w:tc>
        <w:tc>
          <w:tcPr>
            <w:tcW w:w="2127" w:type="dxa"/>
            <w:tcBorders>
              <w:top w:val="single" w:sz="4" w:space="0" w:color="auto"/>
              <w:left w:val="single" w:sz="4" w:space="0" w:color="auto"/>
              <w:bottom w:val="single" w:sz="4" w:space="0" w:color="auto"/>
              <w:right w:val="single" w:sz="4" w:space="0" w:color="auto"/>
            </w:tcBorders>
            <w:vAlign w:val="bottom"/>
          </w:tcPr>
          <w:p w14:paraId="36468870" w14:textId="77777777" w:rsidR="00B53489" w:rsidRPr="00BC3C92" w:rsidRDefault="00B53489" w:rsidP="00D20474">
            <w:pPr>
              <w:spacing w:line="240" w:lineRule="auto"/>
              <w:jc w:val="center"/>
              <w:rPr>
                <w:rFonts w:cs="Times New Roman"/>
              </w:rPr>
            </w:pPr>
            <w:r w:rsidRPr="00BC3C92">
              <w:rPr>
                <w:rFonts w:cs="Times New Roman"/>
                <w:color w:val="000000"/>
              </w:rPr>
              <w:t>2.238</w:t>
            </w:r>
          </w:p>
        </w:tc>
        <w:tc>
          <w:tcPr>
            <w:tcW w:w="1984" w:type="dxa"/>
            <w:tcBorders>
              <w:top w:val="single" w:sz="4" w:space="0" w:color="auto"/>
              <w:left w:val="single" w:sz="4" w:space="0" w:color="auto"/>
              <w:bottom w:val="single" w:sz="4" w:space="0" w:color="auto"/>
              <w:right w:val="single" w:sz="4" w:space="0" w:color="auto"/>
            </w:tcBorders>
            <w:vAlign w:val="bottom"/>
          </w:tcPr>
          <w:p w14:paraId="4AECEE6E" w14:textId="77777777" w:rsidR="00B53489" w:rsidRPr="00BC3C92" w:rsidRDefault="00B53489" w:rsidP="00D20474">
            <w:pPr>
              <w:spacing w:line="240" w:lineRule="auto"/>
              <w:jc w:val="center"/>
              <w:rPr>
                <w:rFonts w:cs="Times New Roman"/>
              </w:rPr>
            </w:pPr>
            <w:r w:rsidRPr="00BC3C92">
              <w:rPr>
                <w:rFonts w:cs="Times New Roman"/>
                <w:color w:val="000000"/>
              </w:rPr>
              <w:t>0.627</w:t>
            </w:r>
          </w:p>
        </w:tc>
        <w:tc>
          <w:tcPr>
            <w:tcW w:w="2552" w:type="dxa"/>
            <w:tcBorders>
              <w:top w:val="single" w:sz="4" w:space="0" w:color="auto"/>
              <w:left w:val="single" w:sz="4" w:space="0" w:color="auto"/>
              <w:bottom w:val="single" w:sz="4" w:space="0" w:color="auto"/>
              <w:right w:val="single" w:sz="4" w:space="0" w:color="auto"/>
            </w:tcBorders>
          </w:tcPr>
          <w:p w14:paraId="7E83BF35" w14:textId="77777777" w:rsidR="00B53489" w:rsidRPr="00D6530A" w:rsidRDefault="00B53489" w:rsidP="00D20474">
            <w:pPr>
              <w:spacing w:line="240" w:lineRule="auto"/>
              <w:jc w:val="center"/>
              <w:rPr>
                <w:rFonts w:cs="Times New Roman"/>
              </w:rPr>
            </w:pPr>
            <w:r>
              <w:rPr>
                <w:rFonts w:cs="Times New Roman"/>
              </w:rPr>
              <w:t>1</w:t>
            </w:r>
            <w:r w:rsidRPr="00D6530A">
              <w:rPr>
                <w:rFonts w:cs="Times New Roman"/>
              </w:rPr>
              <w:t>.</w:t>
            </w:r>
            <w:r>
              <w:rPr>
                <w:rFonts w:cs="Times New Roman"/>
              </w:rPr>
              <w:t>741</w:t>
            </w:r>
            <w:r w:rsidRPr="00D6530A">
              <w:rPr>
                <w:rFonts w:cs="Times New Roman"/>
              </w:rPr>
              <w:t xml:space="preserve"> (</w:t>
            </w:r>
            <w:r>
              <w:rPr>
                <w:rFonts w:cs="Times New Roman"/>
              </w:rPr>
              <w:t>1</w:t>
            </w:r>
            <w:r w:rsidRPr="00D6530A">
              <w:rPr>
                <w:rFonts w:cs="Times New Roman"/>
              </w:rPr>
              <w:t>.4</w:t>
            </w:r>
            <w:r>
              <w:rPr>
                <w:rFonts w:cs="Times New Roman"/>
              </w:rPr>
              <w:t>81</w:t>
            </w:r>
            <w:r w:rsidRPr="00D6530A">
              <w:rPr>
                <w:rFonts w:cs="Times New Roman"/>
              </w:rPr>
              <w:t xml:space="preserve"> / 0.</w:t>
            </w:r>
            <w:r>
              <w:rPr>
                <w:rFonts w:cs="Times New Roman"/>
              </w:rPr>
              <w:t>259</w:t>
            </w:r>
            <w:r w:rsidRPr="00D6530A">
              <w:rPr>
                <w:rFonts w:cs="Times New Roman"/>
              </w:rPr>
              <w:t>)</w:t>
            </w:r>
          </w:p>
        </w:tc>
      </w:tr>
      <w:tr w:rsidR="00B53489" w:rsidRPr="00D6530A" w14:paraId="5FDAAD24" w14:textId="77777777" w:rsidTr="003713EF">
        <w:tc>
          <w:tcPr>
            <w:tcW w:w="988" w:type="dxa"/>
            <w:tcBorders>
              <w:top w:val="single" w:sz="4" w:space="0" w:color="auto"/>
              <w:left w:val="single" w:sz="4" w:space="0" w:color="auto"/>
              <w:bottom w:val="single" w:sz="4" w:space="0" w:color="auto"/>
              <w:right w:val="single" w:sz="4" w:space="0" w:color="auto"/>
            </w:tcBorders>
          </w:tcPr>
          <w:p w14:paraId="29836C33" w14:textId="77777777" w:rsidR="00B53489" w:rsidRPr="00D6530A" w:rsidRDefault="00B53489" w:rsidP="00D20474">
            <w:pPr>
              <w:spacing w:line="240" w:lineRule="auto"/>
              <w:rPr>
                <w:rFonts w:cs="Times New Roman"/>
              </w:rPr>
            </w:pPr>
            <w:r w:rsidRPr="00D6530A">
              <w:rPr>
                <w:rFonts w:cs="Times New Roman"/>
              </w:rPr>
              <w:t>S</w:t>
            </w:r>
            <w:r>
              <w:rPr>
                <w:rFonts w:cs="Times New Roman"/>
              </w:rPr>
              <w:t>1</w:t>
            </w:r>
            <w:r w:rsidRPr="00A02DF7">
              <w:rPr>
                <w:rFonts w:cs="Times New Roman"/>
                <w:vertAlign w:val="superscript"/>
              </w:rPr>
              <w:sym w:font="Wingdings 2" w:char="F085"/>
            </w:r>
          </w:p>
        </w:tc>
        <w:tc>
          <w:tcPr>
            <w:tcW w:w="2409" w:type="dxa"/>
            <w:tcBorders>
              <w:top w:val="single" w:sz="4" w:space="0" w:color="auto"/>
              <w:left w:val="single" w:sz="4" w:space="0" w:color="auto"/>
              <w:bottom w:val="single" w:sz="4" w:space="0" w:color="auto"/>
              <w:right w:val="single" w:sz="4" w:space="0" w:color="auto"/>
            </w:tcBorders>
          </w:tcPr>
          <w:p w14:paraId="31DABC8A" w14:textId="77777777" w:rsidR="00B53489" w:rsidRPr="00D6530A" w:rsidRDefault="00B53489" w:rsidP="00D20474">
            <w:pPr>
              <w:spacing w:line="240" w:lineRule="auto"/>
              <w:jc w:val="center"/>
              <w:rPr>
                <w:rFonts w:cs="Times New Roman"/>
              </w:rPr>
            </w:pPr>
            <w:r w:rsidRPr="00D6530A">
              <w:rPr>
                <w:rFonts w:cs="Times New Roman"/>
              </w:rPr>
              <w:t>0.</w:t>
            </w:r>
            <w:r>
              <w:rPr>
                <w:rFonts w:cs="Times New Roman"/>
              </w:rPr>
              <w:t>041</w:t>
            </w:r>
            <w:r w:rsidRPr="00D6530A">
              <w:rPr>
                <w:rFonts w:cs="Times New Roman"/>
              </w:rPr>
              <w:t xml:space="preserve"> (0.</w:t>
            </w:r>
            <w:r>
              <w:rPr>
                <w:rFonts w:cs="Times New Roman"/>
              </w:rPr>
              <w:t>041</w:t>
            </w:r>
            <w:r w:rsidRPr="00D6530A">
              <w:rPr>
                <w:rFonts w:cs="Times New Roman"/>
              </w:rPr>
              <w:t xml:space="preserve"> / 0.0</w:t>
            </w:r>
            <w:r>
              <w:rPr>
                <w:rFonts w:cs="Times New Roman"/>
              </w:rPr>
              <w:t>00</w:t>
            </w:r>
            <w:r w:rsidRPr="00D6530A">
              <w:rPr>
                <w:rFonts w:cs="Times New Roman"/>
              </w:rPr>
              <w:t>)</w:t>
            </w:r>
          </w:p>
        </w:tc>
        <w:tc>
          <w:tcPr>
            <w:tcW w:w="2127" w:type="dxa"/>
            <w:tcBorders>
              <w:top w:val="single" w:sz="4" w:space="0" w:color="auto"/>
              <w:left w:val="single" w:sz="4" w:space="0" w:color="auto"/>
              <w:bottom w:val="single" w:sz="4" w:space="0" w:color="auto"/>
              <w:right w:val="single" w:sz="4" w:space="0" w:color="auto"/>
            </w:tcBorders>
            <w:vAlign w:val="bottom"/>
          </w:tcPr>
          <w:p w14:paraId="2F7FD612" w14:textId="77777777" w:rsidR="00B53489" w:rsidRPr="00BC3C92" w:rsidRDefault="00B53489" w:rsidP="00D20474">
            <w:pPr>
              <w:spacing w:line="240" w:lineRule="auto"/>
              <w:jc w:val="center"/>
              <w:rPr>
                <w:rFonts w:cs="Times New Roman"/>
              </w:rPr>
            </w:pPr>
            <w:r w:rsidRPr="00BC3C92">
              <w:rPr>
                <w:rFonts w:cs="Times New Roman"/>
                <w:color w:val="000000"/>
              </w:rPr>
              <w:t>1.661</w:t>
            </w:r>
          </w:p>
        </w:tc>
        <w:tc>
          <w:tcPr>
            <w:tcW w:w="1984" w:type="dxa"/>
            <w:tcBorders>
              <w:top w:val="single" w:sz="4" w:space="0" w:color="auto"/>
              <w:left w:val="single" w:sz="4" w:space="0" w:color="auto"/>
              <w:bottom w:val="single" w:sz="4" w:space="0" w:color="auto"/>
              <w:right w:val="single" w:sz="4" w:space="0" w:color="auto"/>
            </w:tcBorders>
            <w:vAlign w:val="bottom"/>
          </w:tcPr>
          <w:p w14:paraId="56444582" w14:textId="77777777" w:rsidR="00B53489" w:rsidRPr="00BC3C92" w:rsidRDefault="00B53489" w:rsidP="00D20474">
            <w:pPr>
              <w:spacing w:line="240" w:lineRule="auto"/>
              <w:jc w:val="center"/>
              <w:rPr>
                <w:rFonts w:cs="Times New Roman"/>
              </w:rPr>
            </w:pPr>
            <w:r w:rsidRPr="00BC3C92">
              <w:rPr>
                <w:rFonts w:cs="Times New Roman"/>
                <w:color w:val="000000"/>
              </w:rPr>
              <w:t>0.484</w:t>
            </w:r>
          </w:p>
        </w:tc>
        <w:tc>
          <w:tcPr>
            <w:tcW w:w="2552" w:type="dxa"/>
            <w:tcBorders>
              <w:top w:val="single" w:sz="4" w:space="0" w:color="auto"/>
              <w:left w:val="single" w:sz="4" w:space="0" w:color="auto"/>
              <w:bottom w:val="single" w:sz="4" w:space="0" w:color="auto"/>
              <w:right w:val="single" w:sz="4" w:space="0" w:color="auto"/>
            </w:tcBorders>
          </w:tcPr>
          <w:p w14:paraId="142B6552" w14:textId="77777777" w:rsidR="00B53489" w:rsidRPr="00D6530A" w:rsidRDefault="00B53489" w:rsidP="00D20474">
            <w:pPr>
              <w:spacing w:line="240" w:lineRule="auto"/>
              <w:jc w:val="center"/>
              <w:rPr>
                <w:rFonts w:cs="Times New Roman"/>
              </w:rPr>
            </w:pPr>
            <w:r>
              <w:rPr>
                <w:rFonts w:cs="Times New Roman"/>
              </w:rPr>
              <w:t>0</w:t>
            </w:r>
            <w:r w:rsidRPr="00D6530A">
              <w:rPr>
                <w:rFonts w:cs="Times New Roman"/>
              </w:rPr>
              <w:t>.</w:t>
            </w:r>
            <w:r>
              <w:rPr>
                <w:rFonts w:cs="Times New Roman"/>
              </w:rPr>
              <w:t>556</w:t>
            </w:r>
            <w:r w:rsidRPr="00D6530A">
              <w:rPr>
                <w:rFonts w:cs="Times New Roman"/>
              </w:rPr>
              <w:t xml:space="preserve"> (</w:t>
            </w:r>
            <w:r>
              <w:rPr>
                <w:rFonts w:cs="Times New Roman"/>
              </w:rPr>
              <w:t>0</w:t>
            </w:r>
            <w:r w:rsidRPr="00D6530A">
              <w:rPr>
                <w:rFonts w:cs="Times New Roman"/>
              </w:rPr>
              <w:t>.</w:t>
            </w:r>
            <w:r>
              <w:rPr>
                <w:rFonts w:cs="Times New Roman"/>
              </w:rPr>
              <w:t>444</w:t>
            </w:r>
            <w:r w:rsidRPr="00D6530A">
              <w:rPr>
                <w:rFonts w:cs="Times New Roman"/>
              </w:rPr>
              <w:t xml:space="preserve"> / 0.</w:t>
            </w:r>
            <w:r>
              <w:rPr>
                <w:rFonts w:cs="Times New Roman"/>
              </w:rPr>
              <w:t>111</w:t>
            </w:r>
            <w:r w:rsidRPr="00D6530A">
              <w:rPr>
                <w:rFonts w:cs="Times New Roman"/>
              </w:rPr>
              <w:t>)</w:t>
            </w:r>
          </w:p>
        </w:tc>
      </w:tr>
      <w:tr w:rsidR="00B53489" w:rsidRPr="00D6530A" w14:paraId="27287476" w14:textId="77777777" w:rsidTr="003713EF">
        <w:tc>
          <w:tcPr>
            <w:tcW w:w="988" w:type="dxa"/>
            <w:tcBorders>
              <w:top w:val="single" w:sz="4" w:space="0" w:color="auto"/>
              <w:left w:val="single" w:sz="4" w:space="0" w:color="auto"/>
              <w:bottom w:val="single" w:sz="4" w:space="0" w:color="auto"/>
              <w:right w:val="single" w:sz="4" w:space="0" w:color="auto"/>
            </w:tcBorders>
          </w:tcPr>
          <w:p w14:paraId="63311A50" w14:textId="77777777" w:rsidR="00B53489" w:rsidRPr="00D6530A" w:rsidRDefault="00B53489" w:rsidP="00D20474">
            <w:pPr>
              <w:spacing w:line="240" w:lineRule="auto"/>
              <w:rPr>
                <w:rFonts w:cs="Times New Roman"/>
              </w:rPr>
            </w:pPr>
            <w:r w:rsidRPr="00D6530A">
              <w:rPr>
                <w:rFonts w:cs="Times New Roman"/>
              </w:rPr>
              <w:t>S</w:t>
            </w:r>
            <w:r>
              <w:rPr>
                <w:rFonts w:cs="Times New Roman"/>
              </w:rPr>
              <w:t>4</w:t>
            </w:r>
            <w:r w:rsidRPr="00A02DF7">
              <w:rPr>
                <w:rFonts w:cs="Times New Roman"/>
                <w:vertAlign w:val="superscript"/>
              </w:rPr>
              <w:sym w:font="Wingdings 2" w:char="F085"/>
            </w:r>
          </w:p>
        </w:tc>
        <w:tc>
          <w:tcPr>
            <w:tcW w:w="2409" w:type="dxa"/>
            <w:tcBorders>
              <w:top w:val="single" w:sz="4" w:space="0" w:color="auto"/>
              <w:left w:val="single" w:sz="4" w:space="0" w:color="auto"/>
              <w:bottom w:val="single" w:sz="4" w:space="0" w:color="auto"/>
              <w:right w:val="single" w:sz="4" w:space="0" w:color="auto"/>
            </w:tcBorders>
          </w:tcPr>
          <w:p w14:paraId="6DCB5FE7" w14:textId="77777777" w:rsidR="00B53489" w:rsidRPr="00D6530A" w:rsidRDefault="00B53489" w:rsidP="00D20474">
            <w:pPr>
              <w:spacing w:line="240" w:lineRule="auto"/>
              <w:jc w:val="center"/>
              <w:rPr>
                <w:rFonts w:cs="Times New Roman"/>
              </w:rPr>
            </w:pPr>
            <w:r w:rsidRPr="00D6530A">
              <w:rPr>
                <w:rFonts w:cs="Times New Roman"/>
              </w:rPr>
              <w:t>0.</w:t>
            </w:r>
            <w:r>
              <w:rPr>
                <w:rFonts w:cs="Times New Roman"/>
              </w:rPr>
              <w:t>037</w:t>
            </w:r>
            <w:r w:rsidRPr="00D6530A">
              <w:rPr>
                <w:rFonts w:cs="Times New Roman"/>
              </w:rPr>
              <w:t xml:space="preserve"> (0.</w:t>
            </w:r>
            <w:r>
              <w:rPr>
                <w:rFonts w:cs="Times New Roman"/>
              </w:rPr>
              <w:t>037</w:t>
            </w:r>
            <w:r w:rsidRPr="00D6530A">
              <w:rPr>
                <w:rFonts w:cs="Times New Roman"/>
              </w:rPr>
              <w:t xml:space="preserve"> / 0.0</w:t>
            </w:r>
            <w:r>
              <w:rPr>
                <w:rFonts w:cs="Times New Roman"/>
              </w:rPr>
              <w:t>00</w:t>
            </w:r>
            <w:r w:rsidRPr="00D6530A">
              <w:rPr>
                <w:rFonts w:cs="Times New Roman"/>
              </w:rPr>
              <w:t>)</w:t>
            </w:r>
          </w:p>
        </w:tc>
        <w:tc>
          <w:tcPr>
            <w:tcW w:w="2127" w:type="dxa"/>
            <w:tcBorders>
              <w:top w:val="single" w:sz="4" w:space="0" w:color="auto"/>
              <w:left w:val="single" w:sz="4" w:space="0" w:color="auto"/>
              <w:bottom w:val="single" w:sz="4" w:space="0" w:color="auto"/>
              <w:right w:val="single" w:sz="4" w:space="0" w:color="auto"/>
            </w:tcBorders>
            <w:vAlign w:val="bottom"/>
          </w:tcPr>
          <w:p w14:paraId="2E2B0FE3" w14:textId="77777777" w:rsidR="00B53489" w:rsidRPr="00BC3C92" w:rsidRDefault="00B53489" w:rsidP="00D20474">
            <w:pPr>
              <w:spacing w:line="240" w:lineRule="auto"/>
              <w:jc w:val="center"/>
              <w:rPr>
                <w:rFonts w:cs="Times New Roman"/>
              </w:rPr>
            </w:pPr>
            <w:r w:rsidRPr="00BC3C92">
              <w:rPr>
                <w:rFonts w:cs="Times New Roman"/>
                <w:color w:val="000000"/>
              </w:rPr>
              <w:t>1.543</w:t>
            </w:r>
          </w:p>
        </w:tc>
        <w:tc>
          <w:tcPr>
            <w:tcW w:w="1984" w:type="dxa"/>
            <w:tcBorders>
              <w:top w:val="single" w:sz="4" w:space="0" w:color="auto"/>
              <w:left w:val="single" w:sz="4" w:space="0" w:color="auto"/>
              <w:bottom w:val="single" w:sz="4" w:space="0" w:color="auto"/>
              <w:right w:val="single" w:sz="4" w:space="0" w:color="auto"/>
            </w:tcBorders>
            <w:vAlign w:val="bottom"/>
          </w:tcPr>
          <w:p w14:paraId="450D51C1" w14:textId="77777777" w:rsidR="00B53489" w:rsidRPr="00BC3C92" w:rsidRDefault="00B53489" w:rsidP="00D20474">
            <w:pPr>
              <w:spacing w:line="240" w:lineRule="auto"/>
              <w:jc w:val="center"/>
              <w:rPr>
                <w:rFonts w:cs="Times New Roman"/>
              </w:rPr>
            </w:pPr>
            <w:r w:rsidRPr="00BC3C92">
              <w:rPr>
                <w:rFonts w:cs="Times New Roman"/>
                <w:color w:val="000000"/>
              </w:rPr>
              <w:t>0.451</w:t>
            </w:r>
          </w:p>
        </w:tc>
        <w:tc>
          <w:tcPr>
            <w:tcW w:w="2552" w:type="dxa"/>
            <w:tcBorders>
              <w:top w:val="single" w:sz="4" w:space="0" w:color="auto"/>
              <w:left w:val="single" w:sz="4" w:space="0" w:color="auto"/>
              <w:bottom w:val="single" w:sz="4" w:space="0" w:color="auto"/>
              <w:right w:val="single" w:sz="4" w:space="0" w:color="auto"/>
            </w:tcBorders>
          </w:tcPr>
          <w:p w14:paraId="2B062E3C" w14:textId="77777777" w:rsidR="00B53489" w:rsidRPr="00D6530A" w:rsidRDefault="00B53489" w:rsidP="00D20474">
            <w:pPr>
              <w:spacing w:line="240" w:lineRule="auto"/>
              <w:jc w:val="center"/>
              <w:rPr>
                <w:rFonts w:cs="Times New Roman"/>
              </w:rPr>
            </w:pPr>
            <w:r>
              <w:rPr>
                <w:rFonts w:cs="Times New Roman"/>
              </w:rPr>
              <w:t>0</w:t>
            </w:r>
            <w:r w:rsidRPr="00D6530A">
              <w:rPr>
                <w:rFonts w:cs="Times New Roman"/>
              </w:rPr>
              <w:t>.</w:t>
            </w:r>
            <w:r>
              <w:rPr>
                <w:rFonts w:cs="Times New Roman"/>
              </w:rPr>
              <w:t>556</w:t>
            </w:r>
            <w:r w:rsidRPr="00D6530A">
              <w:rPr>
                <w:rFonts w:cs="Times New Roman"/>
              </w:rPr>
              <w:t xml:space="preserve"> (</w:t>
            </w:r>
            <w:r>
              <w:rPr>
                <w:rFonts w:cs="Times New Roman"/>
              </w:rPr>
              <w:t>0</w:t>
            </w:r>
            <w:r w:rsidRPr="00D6530A">
              <w:rPr>
                <w:rFonts w:cs="Times New Roman"/>
              </w:rPr>
              <w:t>.</w:t>
            </w:r>
            <w:r>
              <w:rPr>
                <w:rFonts w:cs="Times New Roman"/>
              </w:rPr>
              <w:t>444</w:t>
            </w:r>
            <w:r w:rsidRPr="00D6530A">
              <w:rPr>
                <w:rFonts w:cs="Times New Roman"/>
              </w:rPr>
              <w:t xml:space="preserve"> / 0.</w:t>
            </w:r>
            <w:r>
              <w:rPr>
                <w:rFonts w:cs="Times New Roman"/>
              </w:rPr>
              <w:t>111</w:t>
            </w:r>
            <w:r w:rsidRPr="00D6530A">
              <w:rPr>
                <w:rFonts w:cs="Times New Roman"/>
              </w:rPr>
              <w:t>)</w:t>
            </w:r>
          </w:p>
        </w:tc>
      </w:tr>
      <w:tr w:rsidR="00B53489" w:rsidRPr="00D6530A" w14:paraId="55CF13A7" w14:textId="77777777" w:rsidTr="00B53489">
        <w:tc>
          <w:tcPr>
            <w:tcW w:w="10060" w:type="dxa"/>
            <w:gridSpan w:val="5"/>
            <w:tcBorders>
              <w:left w:val="nil"/>
              <w:bottom w:val="nil"/>
              <w:right w:val="nil"/>
            </w:tcBorders>
          </w:tcPr>
          <w:p w14:paraId="5608A357" w14:textId="77777777" w:rsidR="00B53489" w:rsidRPr="00D20474" w:rsidRDefault="00B53489" w:rsidP="00D20474">
            <w:pPr>
              <w:spacing w:line="240" w:lineRule="auto"/>
              <w:rPr>
                <w:rFonts w:cs="Times New Roman"/>
                <w:sz w:val="16"/>
                <w:szCs w:val="16"/>
              </w:rPr>
            </w:pPr>
            <w:r w:rsidRPr="00D20474">
              <w:rPr>
                <w:rFonts w:cs="Times New Roman"/>
                <w:sz w:val="16"/>
                <w:szCs w:val="16"/>
              </w:rPr>
              <w:t>See text for definitions of S1 to S6.  *Numbers may appear discrepant due to rounding.</w:t>
            </w:r>
          </w:p>
          <w:p w14:paraId="246F1D98" w14:textId="77777777" w:rsidR="00B53489" w:rsidRPr="00D20474" w:rsidRDefault="00B53489" w:rsidP="00D20474">
            <w:pPr>
              <w:spacing w:line="240" w:lineRule="auto"/>
              <w:rPr>
                <w:rFonts w:cs="Times New Roman"/>
                <w:sz w:val="16"/>
                <w:szCs w:val="16"/>
              </w:rPr>
            </w:pPr>
            <w:r w:rsidRPr="00D20474">
              <w:rPr>
                <w:rFonts w:cs="Times New Roman"/>
                <w:sz w:val="16"/>
                <w:szCs w:val="16"/>
                <w:vertAlign w:val="superscript"/>
              </w:rPr>
              <w:sym w:font="Wingdings 2" w:char="F085"/>
            </w:r>
            <w:r w:rsidRPr="00D20474">
              <w:rPr>
                <w:rFonts w:cs="Times New Roman"/>
                <w:sz w:val="16"/>
                <w:szCs w:val="16"/>
              </w:rPr>
              <w:t xml:space="preserve"> Removing the necessity for the P96 group to have to use a different instrument set.</w:t>
            </w:r>
          </w:p>
        </w:tc>
      </w:tr>
    </w:tbl>
    <w:p w14:paraId="0431D9CB" w14:textId="4C00015B" w:rsidR="00B53489" w:rsidRDefault="00B53489" w:rsidP="00B53489">
      <w:pPr>
        <w:rPr>
          <w:rFonts w:cs="Times New Roman"/>
        </w:rPr>
      </w:pPr>
    </w:p>
    <w:p w14:paraId="7BE6229C" w14:textId="77777777" w:rsidR="00B53489" w:rsidRPr="00D6530A" w:rsidRDefault="00B53489" w:rsidP="00D20474">
      <w:r>
        <w:t>3</w:t>
      </w:r>
      <w:r w:rsidRPr="00D6530A">
        <w:t>.</w:t>
      </w:r>
      <w:r>
        <w:t>7</w:t>
      </w:r>
      <w:r w:rsidRPr="00D6530A">
        <w:t>.</w:t>
      </w:r>
      <w:r>
        <w:t>2</w:t>
      </w:r>
      <w:r w:rsidRPr="00D6530A">
        <w:t xml:space="preserve">.1 </w:t>
      </w:r>
      <w:r w:rsidRPr="00D6530A">
        <w:tab/>
        <w:t xml:space="preserve">Interpretation of the </w:t>
      </w:r>
      <w:r>
        <w:t>scenario analyses</w:t>
      </w:r>
      <w:r w:rsidRPr="00D6530A">
        <w:t xml:space="preserve"> results</w:t>
      </w:r>
      <w:r>
        <w:t xml:space="preserve"> using the base case as the foundation</w:t>
      </w:r>
    </w:p>
    <w:p w14:paraId="46CAC3DE" w14:textId="71449064" w:rsidR="00B53489" w:rsidRDefault="00B53489" w:rsidP="00D20474">
      <w:pPr>
        <w:jc w:val="both"/>
        <w:rPr>
          <w:rFonts w:cs="Times New Roman"/>
        </w:rPr>
      </w:pPr>
      <w:r>
        <w:rPr>
          <w:rFonts w:cs="Times New Roman"/>
        </w:rPr>
        <w:t xml:space="preserve">These results are subject to Monte Carlo sampling error, particularly in relation to the random numbers exhausted within a simulation. For example, in the scenario analysis which changed a unit from S2 to S1, at the start of 2019 this model run will have used significantly more random numbers than a comparison with S1 alone. This is due to the random numbers required in selecting from 2012 onwards the supplementary instruments </w:t>
      </w:r>
      <w:r w:rsidR="00CA4E0C">
        <w:rPr>
          <w:rFonts w:cs="Times New Roman"/>
        </w:rPr>
        <w:t>used in an operation</w:t>
      </w:r>
      <w:r>
        <w:rPr>
          <w:rFonts w:cs="Times New Roman"/>
        </w:rPr>
        <w:t xml:space="preserve"> and the migration of instruments between sets (which is a feature of S2</w:t>
      </w:r>
      <w:r w:rsidR="00CA4E0C">
        <w:rPr>
          <w:rFonts w:cs="Times New Roman"/>
        </w:rPr>
        <w:t xml:space="preserve"> but not of S1</w:t>
      </w:r>
      <w:r>
        <w:rPr>
          <w:rFonts w:cs="Times New Roman"/>
        </w:rPr>
        <w:t xml:space="preserve">). This misalignment of random numbers between runs will result in different simulated outcomes. </w:t>
      </w:r>
    </w:p>
    <w:p w14:paraId="44C8152B" w14:textId="77777777" w:rsidR="00D20474" w:rsidRDefault="00D20474" w:rsidP="00D20474">
      <w:pPr>
        <w:jc w:val="both"/>
        <w:rPr>
          <w:rFonts w:cs="Times New Roman"/>
        </w:rPr>
      </w:pPr>
    </w:p>
    <w:p w14:paraId="6BC8E59A" w14:textId="04FC8171" w:rsidR="00B53489" w:rsidRDefault="00B53489" w:rsidP="00D20474">
      <w:pPr>
        <w:jc w:val="both"/>
        <w:rPr>
          <w:rFonts w:cs="Times New Roman"/>
        </w:rPr>
      </w:pPr>
      <w:r>
        <w:rPr>
          <w:rFonts w:cs="Times New Roman"/>
        </w:rPr>
        <w:t xml:space="preserve">Despite the presence of Monte Carlo sampling error, the results generated are </w:t>
      </w:r>
      <w:r w:rsidR="00CA4E0C">
        <w:rPr>
          <w:rFonts w:cs="Times New Roman"/>
        </w:rPr>
        <w:t xml:space="preserve">broadly </w:t>
      </w:r>
      <w:r>
        <w:rPr>
          <w:rFonts w:cs="Times New Roman"/>
        </w:rPr>
        <w:t>consistent between comparable units, offering support that the values are relatively robust. Caution is advised however, in trying to interpret differences in the results of the scenario analyses (</w:t>
      </w:r>
      <w:r w:rsidRPr="005D6935">
        <w:rPr>
          <w:rFonts w:cs="Times New Roman"/>
        </w:rPr>
        <w:fldChar w:fldCharType="begin"/>
      </w:r>
      <w:r w:rsidRPr="005D6935">
        <w:rPr>
          <w:rFonts w:cs="Times New Roman"/>
        </w:rPr>
        <w:instrText xml:space="preserve"> REF _Ref519341175  \* MERGEFORMAT </w:instrText>
      </w:r>
      <w:r w:rsidRPr="005D6935">
        <w:rPr>
          <w:rFonts w:cs="Times New Roman"/>
        </w:rPr>
        <w:fldChar w:fldCharType="separate"/>
      </w:r>
      <w:r w:rsidR="00690541" w:rsidRPr="00D20474">
        <w:rPr>
          <w:rFonts w:cs="Times New Roman"/>
          <w:noProof/>
        </w:rPr>
        <w:t>Table</w:t>
      </w:r>
      <w:r w:rsidR="00690541" w:rsidRPr="00D20474">
        <w:rPr>
          <w:rFonts w:cs="Times New Roman"/>
        </w:rPr>
        <w:t xml:space="preserve"> </w:t>
      </w:r>
      <w:r w:rsidR="00690541">
        <w:rPr>
          <w:rFonts w:cs="Times New Roman"/>
          <w:noProof/>
        </w:rPr>
        <w:t>27</w:t>
      </w:r>
      <w:r w:rsidRPr="005D6935">
        <w:rPr>
          <w:rFonts w:cs="Times New Roman"/>
        </w:rPr>
        <w:fldChar w:fldCharType="end"/>
      </w:r>
      <w:r>
        <w:rPr>
          <w:rFonts w:cs="Times New Roman"/>
        </w:rPr>
        <w:t>) and the base case results (</w:t>
      </w:r>
      <w:r w:rsidRPr="004E3E7D">
        <w:rPr>
          <w:rFonts w:cs="Times New Roman"/>
        </w:rPr>
        <w:fldChar w:fldCharType="begin"/>
      </w:r>
      <w:r w:rsidRPr="004E3E7D">
        <w:rPr>
          <w:rFonts w:cs="Times New Roman"/>
        </w:rPr>
        <w:instrText xml:space="preserve"> REF _Ref519334448  \* MERGEFORMAT </w:instrText>
      </w:r>
      <w:r w:rsidRPr="004E3E7D">
        <w:rPr>
          <w:rFonts w:cs="Times New Roman"/>
        </w:rPr>
        <w:fldChar w:fldCharType="separate"/>
      </w:r>
      <w:r w:rsidR="00690541" w:rsidRPr="00D20474">
        <w:rPr>
          <w:rFonts w:cs="Times New Roman"/>
          <w:noProof/>
        </w:rPr>
        <w:t>Table</w:t>
      </w:r>
      <w:r w:rsidR="00690541" w:rsidRPr="00D20474">
        <w:rPr>
          <w:rFonts w:cs="Times New Roman"/>
        </w:rPr>
        <w:t xml:space="preserve"> </w:t>
      </w:r>
      <w:r w:rsidR="00690541">
        <w:rPr>
          <w:rFonts w:cs="Times New Roman"/>
          <w:noProof/>
        </w:rPr>
        <w:t>26</w:t>
      </w:r>
      <w:r w:rsidRPr="004E3E7D">
        <w:rPr>
          <w:rFonts w:cs="Times New Roman"/>
        </w:rPr>
        <w:fldChar w:fldCharType="end"/>
      </w:r>
      <w:r>
        <w:rPr>
          <w:rFonts w:cs="Times New Roman"/>
        </w:rPr>
        <w:t>) as these differences could be artefacts of the random numbers selected. Significantly more computational time would be required to provide an accurate comparison of the scenario analyses and the base case results that was beyond the timescales of the project.</w:t>
      </w:r>
    </w:p>
    <w:p w14:paraId="151D2981" w14:textId="64522C0E" w:rsidR="00B53489" w:rsidRDefault="00B53489" w:rsidP="00B53489">
      <w:pPr>
        <w:rPr>
          <w:rFonts w:cs="Times New Roman"/>
        </w:rPr>
      </w:pPr>
    </w:p>
    <w:p w14:paraId="6B07025B" w14:textId="0CEB8B10" w:rsidR="00714799" w:rsidRDefault="00714799" w:rsidP="00714799">
      <w:pPr>
        <w:pStyle w:val="Heading3"/>
        <w:rPr>
          <w:b w:val="0"/>
          <w:i/>
          <w:szCs w:val="22"/>
        </w:rPr>
      </w:pPr>
      <w:r>
        <w:rPr>
          <w:b w:val="0"/>
          <w:i/>
          <w:szCs w:val="22"/>
        </w:rPr>
        <w:t xml:space="preserve">3.7.3 </w:t>
      </w:r>
      <w:r>
        <w:rPr>
          <w:b w:val="0"/>
          <w:i/>
          <w:szCs w:val="22"/>
        </w:rPr>
        <w:tab/>
        <w:t>Scenario analyses using an alternative distribution of surgical unit compliance with following IPG196 and keeping instruments moist</w:t>
      </w:r>
    </w:p>
    <w:p w14:paraId="7A0062B0" w14:textId="6DF43A60" w:rsidR="00714799" w:rsidRDefault="00714799" w:rsidP="007471CB">
      <w:pPr>
        <w:jc w:val="both"/>
      </w:pPr>
      <w:r>
        <w:t>As described in Section 3.5.7 the distribution assumed in relation to following IPG196 and guidance on keeping instruments moist was changed to provide an indication of the sensitivity of the epidemiological results to these parameters. The results in terms of the expected number of QALYs lost due to infections occurring between 2019 and 2023 are shown for the base case and the alternative scenario in</w:t>
      </w:r>
      <w:r w:rsidR="005552F7">
        <w:t xml:space="preserve"> </w:t>
      </w:r>
      <w:r w:rsidR="00EB4E00">
        <w:fldChar w:fldCharType="begin"/>
      </w:r>
      <w:r w:rsidR="00EB4E00">
        <w:instrText xml:space="preserve"> REF _Ref524084270 </w:instrText>
      </w:r>
      <w:r w:rsidR="00EB4E00">
        <w:fldChar w:fldCharType="separate"/>
      </w:r>
      <w:r w:rsidR="00690541">
        <w:t xml:space="preserve">Figure </w:t>
      </w:r>
      <w:r w:rsidR="00690541">
        <w:rPr>
          <w:noProof/>
        </w:rPr>
        <w:t>19</w:t>
      </w:r>
      <w:r w:rsidR="00EB4E00">
        <w:rPr>
          <w:noProof/>
        </w:rPr>
        <w:fldChar w:fldCharType="end"/>
      </w:r>
      <w:r>
        <w:t>. The results are v</w:t>
      </w:r>
      <w:r w:rsidR="005552F7">
        <w:t>ery similar, as will be the costs associated with each strategy, and as such no analyses of the alternative scenario will be provided, as these are highly comparable to those of the base case.</w:t>
      </w:r>
    </w:p>
    <w:p w14:paraId="7E984138" w14:textId="54F01F0C" w:rsidR="005552F7" w:rsidRDefault="005552F7" w:rsidP="005552F7"/>
    <w:p w14:paraId="1AE3FE4B" w14:textId="5CACFA18" w:rsidR="005552F7" w:rsidRPr="00714799" w:rsidRDefault="005552F7" w:rsidP="007471CB">
      <w:pPr>
        <w:pStyle w:val="Caption"/>
        <w:spacing w:line="360" w:lineRule="auto"/>
        <w:ind w:left="1440" w:hanging="1440"/>
      </w:pPr>
      <w:bookmarkStart w:id="145" w:name="_Ref524084270"/>
      <w:bookmarkStart w:id="146" w:name="_Toc525106736"/>
      <w:r>
        <w:t xml:space="preserve">Figure </w:t>
      </w:r>
      <w:r w:rsidR="005C64F0">
        <w:rPr>
          <w:noProof/>
        </w:rPr>
        <w:fldChar w:fldCharType="begin"/>
      </w:r>
      <w:r w:rsidR="005C64F0">
        <w:rPr>
          <w:noProof/>
        </w:rPr>
        <w:instrText xml:space="preserve"> SEQ Figure \* ARABIC </w:instrText>
      </w:r>
      <w:r w:rsidR="005C64F0">
        <w:rPr>
          <w:noProof/>
        </w:rPr>
        <w:fldChar w:fldCharType="separate"/>
      </w:r>
      <w:r w:rsidR="00690541">
        <w:rPr>
          <w:noProof/>
        </w:rPr>
        <w:t>19</w:t>
      </w:r>
      <w:r w:rsidR="005C64F0">
        <w:rPr>
          <w:noProof/>
        </w:rPr>
        <w:fldChar w:fldCharType="end"/>
      </w:r>
      <w:bookmarkEnd w:id="145"/>
      <w:r>
        <w:t>:</w:t>
      </w:r>
      <w:r w:rsidR="007471CB">
        <w:tab/>
      </w:r>
      <w:r>
        <w:t>Comparing the QALYS lost produced within the base case and when using an alternative assumption related to the distribution of surgical units following IPG196 and in keeping instruments moist</w:t>
      </w:r>
      <w:bookmarkEnd w:id="146"/>
    </w:p>
    <w:p w14:paraId="71805D94" w14:textId="11F76870" w:rsidR="005552F7" w:rsidRDefault="005552F7" w:rsidP="00B53489">
      <w:pPr>
        <w:rPr>
          <w:rFonts w:cs="Times New Roman"/>
        </w:rPr>
      </w:pPr>
      <w:r w:rsidRPr="005552F7">
        <w:rPr>
          <w:noProof/>
          <w:lang w:eastAsia="en-GB"/>
        </w:rPr>
        <w:drawing>
          <wp:inline distT="0" distB="0" distL="0" distR="0" wp14:anchorId="5B6E5911" wp14:editId="0746F3DF">
            <wp:extent cx="4733925" cy="285021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48451" cy="2858963"/>
                    </a:xfrm>
                    <a:prstGeom prst="rect">
                      <a:avLst/>
                    </a:prstGeom>
                  </pic:spPr>
                </pic:pic>
              </a:graphicData>
            </a:graphic>
          </wp:inline>
        </w:drawing>
      </w:r>
    </w:p>
    <w:p w14:paraId="4DCB6085" w14:textId="26A09098" w:rsidR="00714799" w:rsidRPr="007471CB" w:rsidRDefault="00937412" w:rsidP="00937412">
      <w:pPr>
        <w:rPr>
          <w:rFonts w:cs="Times New Roman"/>
          <w:sz w:val="16"/>
          <w:szCs w:val="16"/>
        </w:rPr>
      </w:pPr>
      <w:r w:rsidRPr="007471CB">
        <w:rPr>
          <w:rFonts w:cs="Times New Roman"/>
          <w:sz w:val="16"/>
          <w:szCs w:val="16"/>
        </w:rPr>
        <w:t>S1 and S4 are assumed to both follow IPG196 and guidance on keeping instruments moist</w:t>
      </w:r>
    </w:p>
    <w:p w14:paraId="1F817491" w14:textId="65C3D6DE" w:rsidR="00937412" w:rsidRPr="007471CB" w:rsidRDefault="00937412" w:rsidP="00B53489">
      <w:pPr>
        <w:rPr>
          <w:rFonts w:cs="Times New Roman"/>
          <w:sz w:val="16"/>
          <w:szCs w:val="16"/>
        </w:rPr>
      </w:pPr>
      <w:r w:rsidRPr="007471CB">
        <w:rPr>
          <w:rFonts w:cs="Times New Roman"/>
          <w:sz w:val="16"/>
          <w:szCs w:val="16"/>
        </w:rPr>
        <w:t>S2 and S5 are assumed to keep instruments moist</w:t>
      </w:r>
    </w:p>
    <w:p w14:paraId="2516DF1D" w14:textId="360276DD" w:rsidR="00937412" w:rsidRPr="007471CB" w:rsidRDefault="00937412" w:rsidP="00B53489">
      <w:pPr>
        <w:rPr>
          <w:rFonts w:cs="Times New Roman"/>
          <w:sz w:val="16"/>
          <w:szCs w:val="16"/>
        </w:rPr>
      </w:pPr>
      <w:r w:rsidRPr="007471CB">
        <w:rPr>
          <w:rFonts w:cs="Times New Roman"/>
          <w:sz w:val="16"/>
          <w:szCs w:val="16"/>
        </w:rPr>
        <w:t>S3 and S6 are assumed to neither follow IPG196 nor keep instruments moist.</w:t>
      </w:r>
    </w:p>
    <w:p w14:paraId="4D91AB3C" w14:textId="4A417669" w:rsidR="00937412" w:rsidRPr="007471CB" w:rsidRDefault="00937412" w:rsidP="00B53489">
      <w:pPr>
        <w:rPr>
          <w:rFonts w:cs="Times New Roman"/>
          <w:sz w:val="16"/>
          <w:szCs w:val="16"/>
        </w:rPr>
      </w:pPr>
      <w:r w:rsidRPr="007471CB">
        <w:rPr>
          <w:rFonts w:cs="Times New Roman"/>
          <w:sz w:val="16"/>
          <w:szCs w:val="16"/>
        </w:rPr>
        <w:t>The three numbers in the legend relate to the proportion of units that are S1/S4: S2/S5: S3/S6.</w:t>
      </w:r>
    </w:p>
    <w:p w14:paraId="4C6868BE" w14:textId="77777777" w:rsidR="00937412" w:rsidRPr="00937412" w:rsidRDefault="00937412" w:rsidP="00B53489">
      <w:pPr>
        <w:rPr>
          <w:rFonts w:cs="Times New Roman"/>
          <w:sz w:val="18"/>
          <w:szCs w:val="18"/>
        </w:rPr>
      </w:pPr>
    </w:p>
    <w:p w14:paraId="2317AA86" w14:textId="77777777" w:rsidR="00B53489" w:rsidRPr="00D20474" w:rsidRDefault="00B53489" w:rsidP="00B53489">
      <w:pPr>
        <w:pStyle w:val="Heading2"/>
        <w:rPr>
          <w:color w:val="000000" w:themeColor="text1"/>
          <w:szCs w:val="22"/>
        </w:rPr>
      </w:pPr>
      <w:bookmarkStart w:id="147" w:name="_Toc525106677"/>
      <w:r w:rsidRPr="00D20474">
        <w:rPr>
          <w:color w:val="000000" w:themeColor="text1"/>
          <w:szCs w:val="22"/>
        </w:rPr>
        <w:t>3.8</w:t>
      </w:r>
      <w:r w:rsidRPr="00D20474">
        <w:rPr>
          <w:color w:val="000000" w:themeColor="text1"/>
          <w:szCs w:val="22"/>
        </w:rPr>
        <w:tab/>
        <w:t>Cost-effectiveness results</w:t>
      </w:r>
      <w:bookmarkEnd w:id="147"/>
    </w:p>
    <w:p w14:paraId="5DF59D8F" w14:textId="32546664" w:rsidR="00B53489" w:rsidRDefault="00B53489" w:rsidP="00D20474">
      <w:pPr>
        <w:pStyle w:val="Caption"/>
        <w:spacing w:line="360" w:lineRule="auto"/>
        <w:jc w:val="both"/>
        <w:rPr>
          <w:rFonts w:cs="Times New Roman"/>
          <w:b w:val="0"/>
          <w:iCs w:val="0"/>
          <w:szCs w:val="22"/>
        </w:rPr>
      </w:pPr>
      <w:r w:rsidRPr="00D20474">
        <w:rPr>
          <w:rFonts w:cs="Times New Roman"/>
          <w:b w:val="0"/>
          <w:iCs w:val="0"/>
          <w:szCs w:val="22"/>
        </w:rPr>
        <w:t>The presented results have been grouped by type of surgical unit (from S1 to S6). Within each category</w:t>
      </w:r>
      <w:r w:rsidR="006E0146">
        <w:rPr>
          <w:rFonts w:cs="Times New Roman"/>
          <w:b w:val="0"/>
          <w:iCs w:val="0"/>
          <w:szCs w:val="22"/>
        </w:rPr>
        <w:t>,</w:t>
      </w:r>
      <w:r w:rsidRPr="00D20474">
        <w:rPr>
          <w:rFonts w:cs="Times New Roman"/>
          <w:b w:val="0"/>
          <w:iCs w:val="0"/>
          <w:szCs w:val="22"/>
        </w:rPr>
        <w:t xml:space="preserve"> evaluated strategies are compared incrementally if appropriate. In addition to the base case results</w:t>
      </w:r>
      <w:r w:rsidR="006E0146">
        <w:rPr>
          <w:rFonts w:cs="Times New Roman"/>
          <w:b w:val="0"/>
          <w:iCs w:val="0"/>
          <w:szCs w:val="22"/>
        </w:rPr>
        <w:t>,</w:t>
      </w:r>
      <w:r w:rsidRPr="00D20474">
        <w:rPr>
          <w:rFonts w:cs="Times New Roman"/>
          <w:b w:val="0"/>
          <w:iCs w:val="0"/>
          <w:szCs w:val="22"/>
        </w:rPr>
        <w:t xml:space="preserve"> sensitivity analyses have been run changing the values of parameters, and additionally threshold analyses have been performed to determine at what price a single-use kit, or cleaning solution that was 100% effective, the cost per QALY gained would equal the chosen cost-effectiveness threshold.</w:t>
      </w:r>
    </w:p>
    <w:p w14:paraId="313B43C8" w14:textId="77777777" w:rsidR="00D20474" w:rsidRPr="00D20474" w:rsidRDefault="00D20474" w:rsidP="00D20474"/>
    <w:p w14:paraId="32AA70B5" w14:textId="4BF419E0" w:rsidR="00B53489" w:rsidRDefault="00B53489" w:rsidP="00B53489">
      <w:pPr>
        <w:jc w:val="both"/>
        <w:rPr>
          <w:rFonts w:cs="Times New Roman"/>
        </w:rPr>
      </w:pPr>
      <w:r>
        <w:rPr>
          <w:rFonts w:cs="Times New Roman"/>
        </w:rPr>
        <w:t>In all analyses</w:t>
      </w:r>
      <w:r w:rsidR="006E0146">
        <w:rPr>
          <w:rFonts w:cs="Times New Roman"/>
        </w:rPr>
        <w:t>,</w:t>
      </w:r>
      <w:r>
        <w:rPr>
          <w:rFonts w:cs="Times New Roman"/>
        </w:rPr>
        <w:t xml:space="preserve"> the additional costs have been calculated considering the following elements: the costs of single-use sets; the disposal costs of re-usable instruments; the costs of autoclaving re-usable instruments; and the costs associated with stCJD that produced clinical symptoms.</w:t>
      </w:r>
    </w:p>
    <w:p w14:paraId="4FB2AFF6" w14:textId="77777777" w:rsidR="00B53489" w:rsidRDefault="00B53489" w:rsidP="00B53489">
      <w:pPr>
        <w:jc w:val="both"/>
        <w:rPr>
          <w:rFonts w:cs="Times New Roman"/>
        </w:rPr>
      </w:pPr>
    </w:p>
    <w:p w14:paraId="151552E7" w14:textId="0FBE14BD" w:rsidR="00B53489" w:rsidRDefault="00B53489" w:rsidP="00D20474">
      <w:pPr>
        <w:jc w:val="both"/>
        <w:rPr>
          <w:rFonts w:cs="Times New Roman"/>
        </w:rPr>
      </w:pPr>
      <w:r>
        <w:rPr>
          <w:rFonts w:cs="Times New Roman"/>
        </w:rPr>
        <w:t>When cost per QALY values have been calculated</w:t>
      </w:r>
      <w:r w:rsidR="006E0146">
        <w:rPr>
          <w:rFonts w:cs="Times New Roman"/>
        </w:rPr>
        <w:t>,</w:t>
      </w:r>
      <w:r>
        <w:rPr>
          <w:rFonts w:cs="Times New Roman"/>
        </w:rPr>
        <w:t xml:space="preserve"> these are compared with threshold values used within common NICE evaluations. These are: £30,000 within a standard technology appraisal, although this can potentially be raised to approximately £50,000 if the end of life criteria are met,</w:t>
      </w:r>
      <w:r>
        <w:rPr>
          <w:rFonts w:cs="Times New Roman"/>
        </w:rPr>
        <w:fldChar w:fldCharType="begin"/>
      </w:r>
      <w:r w:rsidR="0076576E">
        <w:rPr>
          <w:rFonts w:cs="Times New Roman"/>
        </w:rPr>
        <w:instrText xml:space="preserve"> ADDIN EN.CITE &lt;EndNote&gt;&lt;Cite&gt;&lt;Author&gt;National Institute for Health and Care Excellence&lt;/Author&gt;&lt;Year&gt;2013&lt;/Year&gt;&lt;RecNum&gt;10280&lt;/RecNum&gt;&lt;DisplayText&gt;&lt;style face="superscript"&gt;211&lt;/style&gt;&lt;/DisplayText&gt;&lt;record&gt;&lt;rec-number&gt;10280&lt;/rec-number&gt;&lt;foreign-keys&gt;&lt;key app="EN" db-id="vrp0pptazv05wtesfz5vrzsj2p0rv09ttsa9" timestamp="1521469837" guid="29ded8f1-d0e5-4e45-a86d-92e847bcad99"&gt;10280&lt;/key&gt;&lt;/foreign-keys&gt;&lt;ref-type name="Web Page"&gt;12&lt;/ref-type&gt;&lt;contributors&gt;&lt;authors&gt;&lt;author&gt;National Institute for Health and Care Excellence,&lt;/author&gt;&lt;/authors&gt;&lt;/contributors&gt;&lt;titles&gt;&lt;title&gt;Guide to the methods of technology appraisal 2013&lt;/title&gt;&lt;/titles&gt;&lt;number&gt;19.03.2018&lt;/number&gt;&lt;num-vols&gt;NICE article [PMG9]&lt;/num-vols&gt;&lt;dates&gt;&lt;year&gt;2013&lt;/year&gt;&lt;/dates&gt;&lt;urls&gt;&lt;related-urls&gt;&lt;url&gt;&lt;style face="underline" font="default" size="100%"&gt;https://www.nice.org.uk/article/pmg9/&lt;/style&gt;&lt;/url&gt;&lt;/related-urls&gt;&lt;/urls&gt;&lt;/record&gt;&lt;/Cite&gt;&lt;/EndNote&gt;</w:instrText>
      </w:r>
      <w:r>
        <w:rPr>
          <w:rFonts w:cs="Times New Roman"/>
        </w:rPr>
        <w:fldChar w:fldCharType="separate"/>
      </w:r>
      <w:r w:rsidR="0076576E" w:rsidRPr="0076576E">
        <w:rPr>
          <w:rFonts w:cs="Times New Roman"/>
          <w:noProof/>
          <w:vertAlign w:val="superscript"/>
        </w:rPr>
        <w:t>211</w:t>
      </w:r>
      <w:r>
        <w:rPr>
          <w:rFonts w:cs="Times New Roman"/>
        </w:rPr>
        <w:fldChar w:fldCharType="end"/>
      </w:r>
      <w:r>
        <w:rPr>
          <w:rFonts w:cs="Times New Roman"/>
        </w:rPr>
        <w:t xml:space="preserve"> and between £100,000 and £300,000 for highly specialised technologies.</w:t>
      </w:r>
      <w:r>
        <w:rPr>
          <w:rFonts w:cs="Times New Roman"/>
        </w:rPr>
        <w:fldChar w:fldCharType="begin"/>
      </w:r>
      <w:r w:rsidR="0076576E">
        <w:rPr>
          <w:rFonts w:cs="Times New Roman"/>
        </w:rPr>
        <w:instrText xml:space="preserve"> ADDIN EN.CITE &lt;EndNote&gt;&lt;Cite&gt;&lt;Author&gt;National Institute for Health and Care Excellence&lt;/Author&gt;&lt;Year&gt;2017&lt;/Year&gt;&lt;RecNum&gt;10284&lt;/RecNum&gt;&lt;DisplayText&gt;&lt;style face="superscript"&gt;218&lt;/style&gt;&lt;/DisplayText&gt;&lt;record&gt;&lt;rec-number&gt;10284&lt;/rec-number&gt;&lt;foreign-keys&gt;&lt;key app="EN" db-id="vrp0pptazv05wtesfz5vrzsj2p0rv09ttsa9" timestamp="1532342310" guid="6c77b01e-648d-4158-bf66-c16ba2512a85"&gt;10284&lt;/key&gt;&lt;/foreign-keys&gt;&lt;ref-type name="Journal Article"&gt;17&lt;/ref-type&gt;&lt;contributors&gt;&lt;authors&gt;&lt;author&gt;National Institute for Health and Care Excellence,&lt;/author&gt;&lt;/authors&gt;&lt;/contributors&gt;&lt;titles&gt;&lt;title&gt;Interim Process and Methods of the  Highly Specialised Technologies Programme  Updated to reflect 2017 changes.&lt;/title&gt;&lt;/titles&gt;&lt;dates&gt;&lt;year&gt;2017&lt;/year&gt;&lt;/dates&gt;&lt;urls&gt;&lt;related-urls&gt;&lt;url&gt;&lt;style face="normal" font="default" size="100%"&gt; &lt;/style&gt;&lt;style face="underline" font="default" size="100%"&gt;https://www.nice.org.uk/Media/Default/About/what-we-do/NICE-guidance/NICE-highly-specialised-technologies-guidance/HST-interim-methods-process-guide-may-17.pdf&lt;/style&gt;&lt;style face="normal" font="default" size="100%"&gt;. [Accessed 1st March 2018]&lt;/style&gt;&lt;/url&gt;&lt;/related-urls&gt;&lt;/urls&gt;&lt;/record&gt;&lt;/Cite&gt;&lt;/EndNote&gt;</w:instrText>
      </w:r>
      <w:r>
        <w:rPr>
          <w:rFonts w:cs="Times New Roman"/>
        </w:rPr>
        <w:fldChar w:fldCharType="separate"/>
      </w:r>
      <w:r w:rsidR="0076576E" w:rsidRPr="0076576E">
        <w:rPr>
          <w:rFonts w:cs="Times New Roman"/>
          <w:noProof/>
          <w:vertAlign w:val="superscript"/>
        </w:rPr>
        <w:t>218</w:t>
      </w:r>
      <w:r>
        <w:rPr>
          <w:rFonts w:cs="Times New Roman"/>
        </w:rPr>
        <w:fldChar w:fldCharType="end"/>
      </w:r>
    </w:p>
    <w:p w14:paraId="616C9FA1" w14:textId="77777777" w:rsidR="007471CB" w:rsidRDefault="007471CB">
      <w:pPr>
        <w:spacing w:after="160" w:line="259" w:lineRule="auto"/>
        <w:rPr>
          <w:rFonts w:cs="Times New Roman"/>
        </w:rPr>
      </w:pPr>
    </w:p>
    <w:p w14:paraId="79C7ECCD" w14:textId="77777777" w:rsidR="00B53489" w:rsidRPr="00D20474" w:rsidRDefault="00B53489" w:rsidP="00B53489">
      <w:pPr>
        <w:pStyle w:val="Heading3"/>
        <w:jc w:val="both"/>
        <w:rPr>
          <w:b w:val="0"/>
          <w:i/>
          <w:color w:val="000000" w:themeColor="text1"/>
          <w:szCs w:val="22"/>
        </w:rPr>
      </w:pPr>
      <w:r w:rsidRPr="00D20474">
        <w:rPr>
          <w:b w:val="0"/>
          <w:i/>
          <w:color w:val="000000" w:themeColor="text1"/>
          <w:szCs w:val="22"/>
        </w:rPr>
        <w:t xml:space="preserve">3.8.1 </w:t>
      </w:r>
      <w:r w:rsidRPr="00D20474">
        <w:rPr>
          <w:b w:val="0"/>
          <w:i/>
          <w:color w:val="000000" w:themeColor="text1"/>
          <w:szCs w:val="22"/>
        </w:rPr>
        <w:tab/>
        <w:t>Parameter values within the base case cost-effectiveness results</w:t>
      </w:r>
    </w:p>
    <w:p w14:paraId="05D46E3C" w14:textId="710B7B46" w:rsidR="00B53489" w:rsidRDefault="00B53489" w:rsidP="00D20474">
      <w:pPr>
        <w:jc w:val="both"/>
        <w:rPr>
          <w:rFonts w:cs="Times New Roman"/>
        </w:rPr>
      </w:pPr>
      <w:r w:rsidRPr="003248CF">
        <w:rPr>
          <w:rFonts w:cs="Times New Roman"/>
        </w:rPr>
        <w:t xml:space="preserve">The </w:t>
      </w:r>
      <w:r>
        <w:rPr>
          <w:rFonts w:cs="Times New Roman"/>
        </w:rPr>
        <w:t xml:space="preserve">parameter </w:t>
      </w:r>
      <w:r w:rsidRPr="003248CF">
        <w:rPr>
          <w:rFonts w:cs="Times New Roman"/>
        </w:rPr>
        <w:t xml:space="preserve">values </w:t>
      </w:r>
      <w:r>
        <w:rPr>
          <w:rFonts w:cs="Times New Roman"/>
        </w:rPr>
        <w:t xml:space="preserve">used within the base case estimate of the cost-effectiveness of various strategies are shown in </w:t>
      </w:r>
      <w:r w:rsidRPr="003248CF">
        <w:rPr>
          <w:rFonts w:cs="Times New Roman"/>
        </w:rPr>
        <w:fldChar w:fldCharType="begin"/>
      </w:r>
      <w:r w:rsidRPr="003248CF">
        <w:rPr>
          <w:rFonts w:cs="Times New Roman"/>
        </w:rPr>
        <w:instrText xml:space="preserve"> REF _Ref520045034  \* MERGEFORMAT </w:instrText>
      </w:r>
      <w:r w:rsidRPr="003248CF">
        <w:rPr>
          <w:rFonts w:cs="Times New Roman"/>
        </w:rPr>
        <w:fldChar w:fldCharType="separate"/>
      </w:r>
      <w:r w:rsidR="00690541" w:rsidRPr="00D20474">
        <w:rPr>
          <w:rFonts w:cs="Times New Roman"/>
        </w:rPr>
        <w:t xml:space="preserve">Table </w:t>
      </w:r>
      <w:r w:rsidR="00690541">
        <w:rPr>
          <w:rFonts w:cs="Times New Roman"/>
          <w:noProof/>
        </w:rPr>
        <w:t>28</w:t>
      </w:r>
      <w:r w:rsidRPr="003248CF">
        <w:rPr>
          <w:rFonts w:cs="Times New Roman"/>
        </w:rPr>
        <w:fldChar w:fldCharType="end"/>
      </w:r>
      <w:r>
        <w:rPr>
          <w:rFonts w:cs="Times New Roman"/>
        </w:rPr>
        <w:t>. It is noted that the number of operations were discounted such that sensitivity analyses on the values could be performed without re-running the model. On completion of the runs it was discovered that the number of instruments disposed of within the run was not saved to file. As such, an estimate of this was calculated</w:t>
      </w:r>
      <w:r w:rsidR="00CA4E0C">
        <w:rPr>
          <w:rFonts w:cs="Times New Roman"/>
        </w:rPr>
        <w:t xml:space="preserve"> rather than being directly taken from the model</w:t>
      </w:r>
      <w:r>
        <w:rPr>
          <w:rFonts w:cs="Times New Roman"/>
        </w:rPr>
        <w:t>; it is unlikely that this limitation will influence the results due to the relative</w:t>
      </w:r>
      <w:r w:rsidR="006E0146">
        <w:rPr>
          <w:rFonts w:cs="Times New Roman"/>
        </w:rPr>
        <w:t>ly</w:t>
      </w:r>
      <w:r>
        <w:rPr>
          <w:rFonts w:cs="Times New Roman"/>
        </w:rPr>
        <w:t xml:space="preserve"> small values involved. </w:t>
      </w:r>
    </w:p>
    <w:p w14:paraId="4195ADB7" w14:textId="0F3DB757" w:rsidR="00B53489" w:rsidRDefault="00B53489" w:rsidP="00B53489">
      <w:pPr>
        <w:rPr>
          <w:rFonts w:cs="Times New Roman"/>
        </w:rPr>
      </w:pPr>
    </w:p>
    <w:p w14:paraId="4B1D2168" w14:textId="45879798" w:rsidR="00B53489" w:rsidRPr="00D20474" w:rsidRDefault="00B53489" w:rsidP="00D20474">
      <w:pPr>
        <w:pStyle w:val="Caption"/>
        <w:spacing w:line="360" w:lineRule="auto"/>
        <w:rPr>
          <w:rFonts w:cs="Times New Roman"/>
          <w:szCs w:val="22"/>
        </w:rPr>
      </w:pPr>
      <w:bookmarkStart w:id="148" w:name="_Ref520045034"/>
      <w:bookmarkStart w:id="149" w:name="_Toc525106715"/>
      <w:r w:rsidRPr="00D20474">
        <w:rPr>
          <w:rFonts w:cs="Times New Roman"/>
          <w:szCs w:val="22"/>
        </w:rPr>
        <w:t xml:space="preserve">Table </w:t>
      </w:r>
      <w:r w:rsidRPr="00D20474">
        <w:rPr>
          <w:rFonts w:cs="Times New Roman"/>
          <w:szCs w:val="22"/>
        </w:rPr>
        <w:fldChar w:fldCharType="begin"/>
      </w:r>
      <w:r w:rsidRPr="00D20474">
        <w:rPr>
          <w:rFonts w:cs="Times New Roman"/>
          <w:szCs w:val="22"/>
        </w:rPr>
        <w:instrText xml:space="preserve"> SEQ Table \* ARABIC </w:instrText>
      </w:r>
      <w:r w:rsidRPr="00D20474">
        <w:rPr>
          <w:rFonts w:cs="Times New Roman"/>
          <w:szCs w:val="22"/>
        </w:rPr>
        <w:fldChar w:fldCharType="separate"/>
      </w:r>
      <w:r w:rsidR="00690541">
        <w:rPr>
          <w:rFonts w:cs="Times New Roman"/>
          <w:noProof/>
          <w:szCs w:val="22"/>
        </w:rPr>
        <w:t>28</w:t>
      </w:r>
      <w:r w:rsidRPr="00D20474">
        <w:rPr>
          <w:rFonts w:cs="Times New Roman"/>
          <w:szCs w:val="22"/>
        </w:rPr>
        <w:fldChar w:fldCharType="end"/>
      </w:r>
      <w:bookmarkEnd w:id="148"/>
      <w:r w:rsidR="00D20474">
        <w:rPr>
          <w:rFonts w:cs="Times New Roman"/>
          <w:szCs w:val="22"/>
        </w:rPr>
        <w:t>:</w:t>
      </w:r>
      <w:r w:rsidR="00D20474">
        <w:rPr>
          <w:rFonts w:cs="Times New Roman"/>
          <w:szCs w:val="22"/>
        </w:rPr>
        <w:tab/>
      </w:r>
      <w:r w:rsidRPr="00D20474">
        <w:rPr>
          <w:rFonts w:cs="Times New Roman"/>
          <w:szCs w:val="22"/>
        </w:rPr>
        <w:t>Parameter values used within the cost-effectiveness analyses</w:t>
      </w:r>
      <w:bookmarkEnd w:id="149"/>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843"/>
        <w:gridCol w:w="2693"/>
      </w:tblGrid>
      <w:tr w:rsidR="00B53489" w:rsidRPr="00D6530A" w14:paraId="7A199788" w14:textId="77777777" w:rsidTr="00CA4E0C">
        <w:tc>
          <w:tcPr>
            <w:tcW w:w="4673" w:type="dxa"/>
          </w:tcPr>
          <w:p w14:paraId="37976295" w14:textId="77777777" w:rsidR="00B53489" w:rsidRPr="00D6530A" w:rsidRDefault="00B53489" w:rsidP="00D20474">
            <w:pPr>
              <w:spacing w:line="240" w:lineRule="auto"/>
              <w:rPr>
                <w:rFonts w:cs="Times New Roman"/>
              </w:rPr>
            </w:pPr>
          </w:p>
        </w:tc>
        <w:tc>
          <w:tcPr>
            <w:tcW w:w="1843" w:type="dxa"/>
          </w:tcPr>
          <w:p w14:paraId="45ADB2C3" w14:textId="77777777" w:rsidR="00B53489" w:rsidRPr="00D6530A" w:rsidRDefault="00B53489" w:rsidP="00D20474">
            <w:pPr>
              <w:spacing w:line="240" w:lineRule="auto"/>
              <w:jc w:val="center"/>
              <w:rPr>
                <w:rFonts w:cs="Times New Roman"/>
              </w:rPr>
            </w:pPr>
            <w:r>
              <w:rPr>
                <w:rFonts w:cs="Times New Roman"/>
              </w:rPr>
              <w:t>Base case value</w:t>
            </w:r>
          </w:p>
        </w:tc>
        <w:tc>
          <w:tcPr>
            <w:tcW w:w="2693" w:type="dxa"/>
          </w:tcPr>
          <w:p w14:paraId="33AFCB5E" w14:textId="77777777" w:rsidR="00B53489" w:rsidRPr="00D6530A" w:rsidRDefault="00B53489" w:rsidP="00D20474">
            <w:pPr>
              <w:spacing w:line="240" w:lineRule="auto"/>
              <w:rPr>
                <w:rFonts w:cs="Times New Roman"/>
              </w:rPr>
            </w:pPr>
            <w:r>
              <w:rPr>
                <w:rFonts w:cs="Times New Roman"/>
              </w:rPr>
              <w:t>Intended values for use in the sensitivity analyses</w:t>
            </w:r>
          </w:p>
        </w:tc>
      </w:tr>
      <w:tr w:rsidR="00B53489" w:rsidRPr="00D6530A" w14:paraId="0E730DA6" w14:textId="77777777" w:rsidTr="00CA4E0C">
        <w:tc>
          <w:tcPr>
            <w:tcW w:w="4673" w:type="dxa"/>
          </w:tcPr>
          <w:p w14:paraId="42D73A10" w14:textId="77777777" w:rsidR="00B53489" w:rsidRPr="00D6530A" w:rsidRDefault="00B53489" w:rsidP="00D20474">
            <w:pPr>
              <w:spacing w:line="240" w:lineRule="auto"/>
              <w:rPr>
                <w:rFonts w:cs="Times New Roman"/>
              </w:rPr>
            </w:pPr>
            <w:r>
              <w:rPr>
                <w:rFonts w:cs="Times New Roman"/>
              </w:rPr>
              <w:t>Discounted number of brain operations performed between 2019 and 2023</w:t>
            </w:r>
          </w:p>
        </w:tc>
        <w:tc>
          <w:tcPr>
            <w:tcW w:w="1843" w:type="dxa"/>
          </w:tcPr>
          <w:p w14:paraId="55DB42D1" w14:textId="77777777" w:rsidR="00B53489" w:rsidRPr="00D6530A" w:rsidRDefault="00B53489" w:rsidP="00D20474">
            <w:pPr>
              <w:spacing w:line="240" w:lineRule="auto"/>
              <w:jc w:val="center"/>
              <w:rPr>
                <w:rFonts w:cs="Times New Roman"/>
              </w:rPr>
            </w:pPr>
            <w:r>
              <w:rPr>
                <w:rFonts w:cs="Times New Roman"/>
              </w:rPr>
              <w:t>5199.84</w:t>
            </w:r>
          </w:p>
        </w:tc>
        <w:tc>
          <w:tcPr>
            <w:tcW w:w="2693" w:type="dxa"/>
          </w:tcPr>
          <w:p w14:paraId="579F1EF2" w14:textId="77777777" w:rsidR="00B53489" w:rsidRPr="00D6530A" w:rsidRDefault="00B53489" w:rsidP="00D20474">
            <w:pPr>
              <w:spacing w:line="240" w:lineRule="auto"/>
              <w:jc w:val="center"/>
              <w:rPr>
                <w:rFonts w:cs="Times New Roman"/>
              </w:rPr>
            </w:pPr>
            <w:r>
              <w:rPr>
                <w:rFonts w:cs="Times New Roman"/>
              </w:rPr>
              <w:t>Assumed fixed</w:t>
            </w:r>
          </w:p>
        </w:tc>
      </w:tr>
      <w:tr w:rsidR="00B53489" w:rsidRPr="00D6530A" w14:paraId="0E4EF2D8" w14:textId="77777777" w:rsidTr="00CA4E0C">
        <w:tc>
          <w:tcPr>
            <w:tcW w:w="4673" w:type="dxa"/>
          </w:tcPr>
          <w:p w14:paraId="6EDF43B6" w14:textId="77777777" w:rsidR="00B53489" w:rsidRPr="00D6530A" w:rsidRDefault="00B53489" w:rsidP="00D20474">
            <w:pPr>
              <w:spacing w:line="240" w:lineRule="auto"/>
              <w:rPr>
                <w:rFonts w:cs="Times New Roman"/>
              </w:rPr>
            </w:pPr>
            <w:r>
              <w:rPr>
                <w:rFonts w:cs="Times New Roman"/>
              </w:rPr>
              <w:t>Discounted number of posterior eye operations performed between 2019 and 2023</w:t>
            </w:r>
          </w:p>
        </w:tc>
        <w:tc>
          <w:tcPr>
            <w:tcW w:w="1843" w:type="dxa"/>
          </w:tcPr>
          <w:p w14:paraId="063595FB" w14:textId="77777777" w:rsidR="00B53489" w:rsidRPr="00D6530A" w:rsidRDefault="00B53489" w:rsidP="00D20474">
            <w:pPr>
              <w:spacing w:line="240" w:lineRule="auto"/>
              <w:jc w:val="center"/>
              <w:rPr>
                <w:rFonts w:cs="Times New Roman"/>
              </w:rPr>
            </w:pPr>
            <w:r>
              <w:rPr>
                <w:rFonts w:cs="Times New Roman"/>
              </w:rPr>
              <w:t>904.92</w:t>
            </w:r>
          </w:p>
        </w:tc>
        <w:tc>
          <w:tcPr>
            <w:tcW w:w="2693" w:type="dxa"/>
          </w:tcPr>
          <w:p w14:paraId="50C77136" w14:textId="77777777" w:rsidR="00B53489" w:rsidRPr="00D6530A" w:rsidRDefault="00B53489" w:rsidP="00D20474">
            <w:pPr>
              <w:spacing w:line="240" w:lineRule="auto"/>
              <w:jc w:val="center"/>
              <w:rPr>
                <w:rFonts w:cs="Times New Roman"/>
              </w:rPr>
            </w:pPr>
            <w:r>
              <w:rPr>
                <w:rFonts w:cs="Times New Roman"/>
              </w:rPr>
              <w:t>Assumed fixed</w:t>
            </w:r>
          </w:p>
        </w:tc>
      </w:tr>
      <w:tr w:rsidR="00B53489" w:rsidRPr="00D6530A" w14:paraId="14F0B907" w14:textId="77777777" w:rsidTr="00CA4E0C">
        <w:tc>
          <w:tcPr>
            <w:tcW w:w="4673" w:type="dxa"/>
          </w:tcPr>
          <w:p w14:paraId="05C7143A" w14:textId="77777777" w:rsidR="00B53489" w:rsidRPr="00D6530A" w:rsidRDefault="00B53489" w:rsidP="00D20474">
            <w:pPr>
              <w:spacing w:line="240" w:lineRule="auto"/>
              <w:rPr>
                <w:rFonts w:cs="Times New Roman"/>
              </w:rPr>
            </w:pPr>
            <w:r>
              <w:rPr>
                <w:rFonts w:cs="Times New Roman"/>
              </w:rPr>
              <w:t>Discounted number of neuroendoscopies performed between 2019 and 2023</w:t>
            </w:r>
          </w:p>
        </w:tc>
        <w:tc>
          <w:tcPr>
            <w:tcW w:w="1843" w:type="dxa"/>
          </w:tcPr>
          <w:p w14:paraId="415F9AAF" w14:textId="77777777" w:rsidR="00B53489" w:rsidRPr="00D6530A" w:rsidRDefault="00B53489" w:rsidP="00D20474">
            <w:pPr>
              <w:spacing w:line="240" w:lineRule="auto"/>
              <w:jc w:val="center"/>
              <w:rPr>
                <w:rFonts w:cs="Times New Roman"/>
              </w:rPr>
            </w:pPr>
            <w:r>
              <w:rPr>
                <w:rFonts w:cs="Times New Roman"/>
              </w:rPr>
              <w:t>58.7</w:t>
            </w:r>
          </w:p>
        </w:tc>
        <w:tc>
          <w:tcPr>
            <w:tcW w:w="2693" w:type="dxa"/>
          </w:tcPr>
          <w:p w14:paraId="0BBE0C76" w14:textId="77777777" w:rsidR="00B53489" w:rsidRPr="00D6530A" w:rsidRDefault="00B53489" w:rsidP="00D20474">
            <w:pPr>
              <w:spacing w:line="240" w:lineRule="auto"/>
              <w:jc w:val="center"/>
              <w:rPr>
                <w:rFonts w:cs="Times New Roman"/>
              </w:rPr>
            </w:pPr>
            <w:r>
              <w:rPr>
                <w:rFonts w:cs="Times New Roman"/>
              </w:rPr>
              <w:t>Assumed fixed</w:t>
            </w:r>
          </w:p>
        </w:tc>
      </w:tr>
      <w:tr w:rsidR="00B53489" w:rsidRPr="00D6530A" w14:paraId="75D96157" w14:textId="77777777" w:rsidTr="00CA4E0C">
        <w:tc>
          <w:tcPr>
            <w:tcW w:w="4673" w:type="dxa"/>
          </w:tcPr>
          <w:p w14:paraId="71F6F0D2" w14:textId="77777777" w:rsidR="00B53489" w:rsidRPr="00D6530A" w:rsidRDefault="00B53489" w:rsidP="00D20474">
            <w:pPr>
              <w:spacing w:line="240" w:lineRule="auto"/>
              <w:rPr>
                <w:rFonts w:cs="Times New Roman"/>
              </w:rPr>
            </w:pPr>
            <w:r>
              <w:rPr>
                <w:rFonts w:cs="Times New Roman"/>
              </w:rPr>
              <w:t>Cost of an average single-use set, including disposal costs</w:t>
            </w:r>
          </w:p>
        </w:tc>
        <w:tc>
          <w:tcPr>
            <w:tcW w:w="1843" w:type="dxa"/>
          </w:tcPr>
          <w:p w14:paraId="298199BB" w14:textId="77777777" w:rsidR="00B53489" w:rsidRPr="00D6530A" w:rsidRDefault="00B53489" w:rsidP="00D20474">
            <w:pPr>
              <w:spacing w:line="240" w:lineRule="auto"/>
              <w:jc w:val="center"/>
              <w:rPr>
                <w:rFonts w:cs="Times New Roman"/>
              </w:rPr>
            </w:pPr>
            <w:r>
              <w:rPr>
                <w:rFonts w:cs="Times New Roman"/>
              </w:rPr>
              <w:t>£425</w:t>
            </w:r>
          </w:p>
        </w:tc>
        <w:tc>
          <w:tcPr>
            <w:tcW w:w="2693" w:type="dxa"/>
          </w:tcPr>
          <w:p w14:paraId="6BF374EC" w14:textId="77777777" w:rsidR="00B53489" w:rsidRPr="00D6530A" w:rsidRDefault="00B53489" w:rsidP="00D20474">
            <w:pPr>
              <w:spacing w:line="240" w:lineRule="auto"/>
              <w:jc w:val="center"/>
              <w:rPr>
                <w:rFonts w:cs="Times New Roman"/>
              </w:rPr>
            </w:pPr>
            <w:r>
              <w:rPr>
                <w:rFonts w:cs="Times New Roman"/>
              </w:rPr>
              <w:t>£350; £500</w:t>
            </w:r>
          </w:p>
        </w:tc>
      </w:tr>
      <w:tr w:rsidR="00B53489" w:rsidRPr="00D6530A" w14:paraId="3B276803" w14:textId="77777777" w:rsidTr="00CA4E0C">
        <w:tc>
          <w:tcPr>
            <w:tcW w:w="4673" w:type="dxa"/>
          </w:tcPr>
          <w:p w14:paraId="2F783E1E" w14:textId="77777777" w:rsidR="00B53489" w:rsidRPr="00D6530A" w:rsidRDefault="00B53489" w:rsidP="00D20474">
            <w:pPr>
              <w:spacing w:line="240" w:lineRule="auto"/>
              <w:rPr>
                <w:rFonts w:cs="Times New Roman"/>
              </w:rPr>
            </w:pPr>
            <w:r>
              <w:rPr>
                <w:rFonts w:cs="Times New Roman"/>
              </w:rPr>
              <w:t>Cost of a replacement re-usable instrument</w:t>
            </w:r>
          </w:p>
        </w:tc>
        <w:tc>
          <w:tcPr>
            <w:tcW w:w="1843" w:type="dxa"/>
          </w:tcPr>
          <w:p w14:paraId="32F3D3F3" w14:textId="77777777" w:rsidR="00B53489" w:rsidRPr="00D6530A" w:rsidRDefault="00B53489" w:rsidP="00D20474">
            <w:pPr>
              <w:spacing w:line="240" w:lineRule="auto"/>
              <w:jc w:val="center"/>
              <w:rPr>
                <w:rFonts w:cs="Times New Roman"/>
              </w:rPr>
            </w:pPr>
            <w:r>
              <w:rPr>
                <w:rFonts w:cs="Times New Roman"/>
              </w:rPr>
              <w:t>£150</w:t>
            </w:r>
          </w:p>
        </w:tc>
        <w:tc>
          <w:tcPr>
            <w:tcW w:w="2693" w:type="dxa"/>
          </w:tcPr>
          <w:p w14:paraId="4F16DCF4" w14:textId="77777777" w:rsidR="00B53489" w:rsidRPr="00D6530A" w:rsidRDefault="00B53489" w:rsidP="00D20474">
            <w:pPr>
              <w:spacing w:line="240" w:lineRule="auto"/>
              <w:jc w:val="center"/>
              <w:rPr>
                <w:rFonts w:cs="Times New Roman"/>
              </w:rPr>
            </w:pPr>
            <w:r>
              <w:rPr>
                <w:rFonts w:cs="Times New Roman"/>
              </w:rPr>
              <w:t>£100; £200</w:t>
            </w:r>
          </w:p>
        </w:tc>
      </w:tr>
      <w:tr w:rsidR="00B53489" w:rsidRPr="00D6530A" w14:paraId="63252254" w14:textId="77777777" w:rsidTr="00CA4E0C">
        <w:tc>
          <w:tcPr>
            <w:tcW w:w="4673" w:type="dxa"/>
          </w:tcPr>
          <w:p w14:paraId="71CE2017" w14:textId="77777777" w:rsidR="00B53489" w:rsidRDefault="00B53489" w:rsidP="00D20474">
            <w:pPr>
              <w:spacing w:line="240" w:lineRule="auto"/>
              <w:rPr>
                <w:rFonts w:cs="Times New Roman"/>
              </w:rPr>
            </w:pPr>
            <w:r>
              <w:rPr>
                <w:rFonts w:cs="Times New Roman"/>
              </w:rPr>
              <w:t>Assumed number of new instruments bought per surgical unit between 2019 and 2023</w:t>
            </w:r>
          </w:p>
        </w:tc>
        <w:tc>
          <w:tcPr>
            <w:tcW w:w="1843" w:type="dxa"/>
          </w:tcPr>
          <w:p w14:paraId="0BB20CDE" w14:textId="77777777" w:rsidR="00B53489" w:rsidRDefault="00B53489" w:rsidP="00D20474">
            <w:pPr>
              <w:spacing w:line="240" w:lineRule="auto"/>
              <w:jc w:val="center"/>
              <w:rPr>
                <w:rFonts w:cs="Times New Roman"/>
              </w:rPr>
            </w:pPr>
            <w:r>
              <w:rPr>
                <w:rFonts w:cs="Times New Roman"/>
              </w:rPr>
              <w:t>32</w:t>
            </w:r>
          </w:p>
        </w:tc>
        <w:tc>
          <w:tcPr>
            <w:tcW w:w="2693" w:type="dxa"/>
          </w:tcPr>
          <w:p w14:paraId="48A45386" w14:textId="77777777" w:rsidR="00B53489" w:rsidRDefault="00B53489" w:rsidP="00D20474">
            <w:pPr>
              <w:spacing w:line="240" w:lineRule="auto"/>
              <w:jc w:val="center"/>
              <w:rPr>
                <w:rFonts w:cs="Times New Roman"/>
              </w:rPr>
            </w:pPr>
            <w:r>
              <w:rPr>
                <w:rFonts w:cs="Times New Roman"/>
              </w:rPr>
              <w:t>Assumed fixed</w:t>
            </w:r>
          </w:p>
        </w:tc>
      </w:tr>
      <w:tr w:rsidR="00B53489" w:rsidRPr="00D6530A" w14:paraId="55D33F61" w14:textId="77777777" w:rsidTr="00CA4E0C">
        <w:tc>
          <w:tcPr>
            <w:tcW w:w="4673" w:type="dxa"/>
          </w:tcPr>
          <w:p w14:paraId="22A2EAE0" w14:textId="77777777" w:rsidR="00B53489" w:rsidRPr="00D6530A" w:rsidRDefault="00B53489" w:rsidP="00D20474">
            <w:pPr>
              <w:spacing w:line="240" w:lineRule="auto"/>
              <w:rPr>
                <w:rFonts w:cs="Times New Roman"/>
              </w:rPr>
            </w:pPr>
            <w:r>
              <w:rPr>
                <w:rFonts w:cs="Times New Roman"/>
              </w:rPr>
              <w:t>Assumed cost associated with a clinically CJD transmission (diagnosed correctly or not)</w:t>
            </w:r>
          </w:p>
        </w:tc>
        <w:tc>
          <w:tcPr>
            <w:tcW w:w="1843" w:type="dxa"/>
          </w:tcPr>
          <w:p w14:paraId="5F195E9A" w14:textId="77777777" w:rsidR="00B53489" w:rsidRPr="00D6530A" w:rsidRDefault="00B53489" w:rsidP="00D20474">
            <w:pPr>
              <w:spacing w:line="240" w:lineRule="auto"/>
              <w:jc w:val="center"/>
              <w:rPr>
                <w:rFonts w:cs="Times New Roman"/>
              </w:rPr>
            </w:pPr>
            <w:r>
              <w:rPr>
                <w:rFonts w:cs="Times New Roman"/>
              </w:rPr>
              <w:t>£50,000</w:t>
            </w:r>
          </w:p>
        </w:tc>
        <w:tc>
          <w:tcPr>
            <w:tcW w:w="2693" w:type="dxa"/>
          </w:tcPr>
          <w:p w14:paraId="6B4F21DE" w14:textId="77777777" w:rsidR="00B53489" w:rsidRPr="00D6530A" w:rsidRDefault="00B53489" w:rsidP="00D20474">
            <w:pPr>
              <w:spacing w:line="240" w:lineRule="auto"/>
              <w:jc w:val="center"/>
              <w:rPr>
                <w:rFonts w:cs="Times New Roman"/>
              </w:rPr>
            </w:pPr>
            <w:r>
              <w:rPr>
                <w:rFonts w:cs="Times New Roman"/>
              </w:rPr>
              <w:t>£30,000; £70,000</w:t>
            </w:r>
          </w:p>
        </w:tc>
      </w:tr>
      <w:tr w:rsidR="00B53489" w:rsidRPr="00D6530A" w14:paraId="6ED0047F" w14:textId="77777777" w:rsidTr="00CA4E0C">
        <w:tc>
          <w:tcPr>
            <w:tcW w:w="4673" w:type="dxa"/>
          </w:tcPr>
          <w:p w14:paraId="24333E23" w14:textId="77777777" w:rsidR="00B53489" w:rsidRPr="00D6530A" w:rsidRDefault="00B53489" w:rsidP="00D20474">
            <w:pPr>
              <w:spacing w:line="240" w:lineRule="auto"/>
              <w:rPr>
                <w:rFonts w:cs="Times New Roman"/>
              </w:rPr>
            </w:pPr>
            <w:r>
              <w:rPr>
                <w:rFonts w:cs="Times New Roman"/>
              </w:rPr>
              <w:t>Cost of an autoclaving cycle (per instrument)</w:t>
            </w:r>
          </w:p>
        </w:tc>
        <w:tc>
          <w:tcPr>
            <w:tcW w:w="1843" w:type="dxa"/>
          </w:tcPr>
          <w:p w14:paraId="5CE38CA5" w14:textId="77777777" w:rsidR="00B53489" w:rsidRPr="00D6530A" w:rsidRDefault="00B53489" w:rsidP="00D20474">
            <w:pPr>
              <w:spacing w:line="240" w:lineRule="auto"/>
              <w:jc w:val="center"/>
              <w:rPr>
                <w:rFonts w:cs="Times New Roman"/>
              </w:rPr>
            </w:pPr>
            <w:r>
              <w:rPr>
                <w:rFonts w:cs="Times New Roman"/>
              </w:rPr>
              <w:t>£0.60</w:t>
            </w:r>
          </w:p>
        </w:tc>
        <w:tc>
          <w:tcPr>
            <w:tcW w:w="2693" w:type="dxa"/>
          </w:tcPr>
          <w:p w14:paraId="20977E2B" w14:textId="77777777" w:rsidR="00B53489" w:rsidRPr="00D6530A" w:rsidRDefault="00B53489" w:rsidP="00D20474">
            <w:pPr>
              <w:spacing w:line="240" w:lineRule="auto"/>
              <w:jc w:val="center"/>
              <w:rPr>
                <w:rFonts w:cs="Times New Roman"/>
              </w:rPr>
            </w:pPr>
            <w:r>
              <w:rPr>
                <w:rFonts w:cs="Times New Roman"/>
              </w:rPr>
              <w:t>Assumed fixed</w:t>
            </w:r>
          </w:p>
        </w:tc>
      </w:tr>
      <w:tr w:rsidR="00B53489" w:rsidRPr="00D6530A" w14:paraId="3C8DE917" w14:textId="77777777" w:rsidTr="00CA4E0C">
        <w:tc>
          <w:tcPr>
            <w:tcW w:w="4673" w:type="dxa"/>
          </w:tcPr>
          <w:p w14:paraId="3D4963EA" w14:textId="77777777" w:rsidR="00B53489" w:rsidRPr="00D6530A" w:rsidRDefault="00B53489" w:rsidP="00D20474">
            <w:pPr>
              <w:spacing w:line="240" w:lineRule="auto"/>
              <w:rPr>
                <w:rFonts w:cs="Times New Roman"/>
              </w:rPr>
            </w:pPr>
            <w:r>
              <w:rPr>
                <w:rFonts w:cs="Times New Roman"/>
              </w:rPr>
              <w:t>Cost of keeping an instrument set moist</w:t>
            </w:r>
          </w:p>
        </w:tc>
        <w:tc>
          <w:tcPr>
            <w:tcW w:w="1843" w:type="dxa"/>
          </w:tcPr>
          <w:p w14:paraId="438AD183" w14:textId="77777777" w:rsidR="00B53489" w:rsidRPr="00D6530A" w:rsidRDefault="00B53489" w:rsidP="00D20474">
            <w:pPr>
              <w:spacing w:line="240" w:lineRule="auto"/>
              <w:jc w:val="center"/>
              <w:rPr>
                <w:rFonts w:cs="Times New Roman"/>
              </w:rPr>
            </w:pPr>
            <w:r>
              <w:rPr>
                <w:rFonts w:cs="Times New Roman"/>
              </w:rPr>
              <w:t>£0.12</w:t>
            </w:r>
          </w:p>
        </w:tc>
        <w:tc>
          <w:tcPr>
            <w:tcW w:w="2693" w:type="dxa"/>
          </w:tcPr>
          <w:p w14:paraId="3F946FB2" w14:textId="77777777" w:rsidR="00B53489" w:rsidRPr="00D6530A" w:rsidRDefault="00B53489" w:rsidP="00D20474">
            <w:pPr>
              <w:spacing w:line="240" w:lineRule="auto"/>
              <w:jc w:val="center"/>
              <w:rPr>
                <w:rFonts w:cs="Times New Roman"/>
              </w:rPr>
            </w:pPr>
            <w:r>
              <w:rPr>
                <w:rFonts w:cs="Times New Roman"/>
              </w:rPr>
              <w:t>Assumed fixed</w:t>
            </w:r>
          </w:p>
        </w:tc>
      </w:tr>
      <w:tr w:rsidR="00B53489" w:rsidRPr="00D6530A" w14:paraId="0DF4C4C5" w14:textId="77777777" w:rsidTr="007F6B3F">
        <w:tc>
          <w:tcPr>
            <w:tcW w:w="4673" w:type="dxa"/>
          </w:tcPr>
          <w:p w14:paraId="2B33E0A3" w14:textId="77777777" w:rsidR="00B53489" w:rsidRPr="00D6530A" w:rsidRDefault="00B53489" w:rsidP="00D20474">
            <w:pPr>
              <w:spacing w:line="240" w:lineRule="auto"/>
              <w:rPr>
                <w:rFonts w:cs="Times New Roman"/>
              </w:rPr>
            </w:pPr>
            <w:r>
              <w:rPr>
                <w:rFonts w:cs="Times New Roman"/>
              </w:rPr>
              <w:t>Cost of increasing standards to adhere to IPG196 – set-up costs (running costs per year)</w:t>
            </w:r>
          </w:p>
        </w:tc>
        <w:tc>
          <w:tcPr>
            <w:tcW w:w="1843" w:type="dxa"/>
            <w:shd w:val="clear" w:color="auto" w:fill="auto"/>
          </w:tcPr>
          <w:p w14:paraId="003D996C" w14:textId="1E49ACC6" w:rsidR="00B53489" w:rsidRPr="007F6B3F" w:rsidRDefault="007F6B3F" w:rsidP="00D20474">
            <w:pPr>
              <w:spacing w:line="240" w:lineRule="auto"/>
              <w:jc w:val="center"/>
              <w:rPr>
                <w:rFonts w:cs="Times New Roman"/>
              </w:rPr>
            </w:pPr>
            <w:r w:rsidRPr="007F6B3F">
              <w:rPr>
                <w:rFonts w:cs="Times New Roman"/>
              </w:rPr>
              <w:t>£750,000</w:t>
            </w:r>
          </w:p>
        </w:tc>
        <w:tc>
          <w:tcPr>
            <w:tcW w:w="2693" w:type="dxa"/>
            <w:shd w:val="clear" w:color="auto" w:fill="auto"/>
          </w:tcPr>
          <w:p w14:paraId="56336D4B" w14:textId="46580E1F" w:rsidR="00B53489" w:rsidRPr="007F6B3F" w:rsidRDefault="007F6B3F" w:rsidP="00D20474">
            <w:pPr>
              <w:spacing w:line="240" w:lineRule="auto"/>
              <w:jc w:val="center"/>
              <w:rPr>
                <w:rFonts w:cs="Times New Roman"/>
              </w:rPr>
            </w:pPr>
            <w:r w:rsidRPr="007F6B3F">
              <w:rPr>
                <w:rFonts w:cs="Times New Roman"/>
              </w:rPr>
              <w:t>£500,000; £1,000,000</w:t>
            </w:r>
          </w:p>
        </w:tc>
      </w:tr>
      <w:tr w:rsidR="00B53489" w:rsidRPr="00D6530A" w14:paraId="34555A70" w14:textId="77777777" w:rsidTr="00CA4E0C">
        <w:tc>
          <w:tcPr>
            <w:tcW w:w="4673" w:type="dxa"/>
          </w:tcPr>
          <w:p w14:paraId="022D785C" w14:textId="77777777" w:rsidR="00B53489" w:rsidRPr="00D6530A" w:rsidRDefault="00B53489" w:rsidP="00D20474">
            <w:pPr>
              <w:spacing w:line="240" w:lineRule="auto"/>
              <w:rPr>
                <w:rFonts w:cs="Times New Roman"/>
              </w:rPr>
            </w:pPr>
            <w:r>
              <w:rPr>
                <w:rFonts w:cs="Times New Roman"/>
              </w:rPr>
              <w:t>Assumed cost-effectiveness threshold (per QALY)</w:t>
            </w:r>
          </w:p>
        </w:tc>
        <w:tc>
          <w:tcPr>
            <w:tcW w:w="1843" w:type="dxa"/>
          </w:tcPr>
          <w:p w14:paraId="256F1D24" w14:textId="77777777" w:rsidR="00B53489" w:rsidRPr="006D1363" w:rsidRDefault="00B53489" w:rsidP="00D20474">
            <w:pPr>
              <w:spacing w:line="240" w:lineRule="auto"/>
              <w:jc w:val="center"/>
              <w:rPr>
                <w:rFonts w:cs="Times New Roman"/>
                <w:highlight w:val="yellow"/>
              </w:rPr>
            </w:pPr>
            <w:r>
              <w:rPr>
                <w:rFonts w:cs="Times New Roman"/>
              </w:rPr>
              <w:t>£30,000</w:t>
            </w:r>
          </w:p>
        </w:tc>
        <w:tc>
          <w:tcPr>
            <w:tcW w:w="2693" w:type="dxa"/>
          </w:tcPr>
          <w:p w14:paraId="32BDBF01" w14:textId="77777777" w:rsidR="00B53489" w:rsidRPr="006D1363" w:rsidRDefault="00B53489" w:rsidP="00D20474">
            <w:pPr>
              <w:spacing w:line="240" w:lineRule="auto"/>
              <w:jc w:val="center"/>
              <w:rPr>
                <w:rFonts w:cs="Times New Roman"/>
                <w:highlight w:val="yellow"/>
              </w:rPr>
            </w:pPr>
            <w:r>
              <w:rPr>
                <w:rFonts w:cs="Times New Roman"/>
              </w:rPr>
              <w:t>£50,000; £100,000; £300,000</w:t>
            </w:r>
          </w:p>
        </w:tc>
      </w:tr>
    </w:tbl>
    <w:p w14:paraId="6E893A0F" w14:textId="77777777" w:rsidR="003C7B4D" w:rsidRDefault="003C7B4D">
      <w:pPr>
        <w:spacing w:after="160" w:line="259" w:lineRule="auto"/>
        <w:rPr>
          <w:rFonts w:eastAsiaTheme="majorEastAsia" w:cs="Times New Roman"/>
          <w:i/>
          <w:color w:val="000000" w:themeColor="text1"/>
        </w:rPr>
      </w:pPr>
      <w:r>
        <w:rPr>
          <w:b/>
          <w:i/>
          <w:color w:val="000000" w:themeColor="text1"/>
        </w:rPr>
        <w:br w:type="page"/>
      </w:r>
    </w:p>
    <w:p w14:paraId="18BA6F7F" w14:textId="65FE7988" w:rsidR="00B53489" w:rsidRPr="002A3EB9" w:rsidRDefault="00B53489" w:rsidP="00B53489">
      <w:pPr>
        <w:pStyle w:val="Heading3"/>
        <w:jc w:val="both"/>
        <w:rPr>
          <w:b w:val="0"/>
          <w:i/>
          <w:color w:val="000000" w:themeColor="text1"/>
          <w:szCs w:val="22"/>
        </w:rPr>
      </w:pPr>
      <w:r w:rsidRPr="002A3EB9">
        <w:rPr>
          <w:b w:val="0"/>
          <w:i/>
          <w:color w:val="000000" w:themeColor="text1"/>
          <w:szCs w:val="22"/>
        </w:rPr>
        <w:t>3.8.2</w:t>
      </w:r>
      <w:r w:rsidRPr="002A3EB9">
        <w:rPr>
          <w:b w:val="0"/>
          <w:i/>
          <w:color w:val="000000" w:themeColor="text1"/>
          <w:szCs w:val="22"/>
        </w:rPr>
        <w:tab/>
        <w:t>The base case cost-effectiveness of strategies for reducing the likelihood of stCJD</w:t>
      </w:r>
    </w:p>
    <w:p w14:paraId="435423E4" w14:textId="77EDEC2A" w:rsidR="00B53489" w:rsidRPr="002A3EB9" w:rsidRDefault="00B53489" w:rsidP="002A3EB9">
      <w:r w:rsidRPr="002A3EB9">
        <w:t xml:space="preserve">3.8.2.1 </w:t>
      </w:r>
      <w:r w:rsidRPr="002A3EB9">
        <w:tab/>
        <w:t>Results for S1 and S4 units</w:t>
      </w:r>
    </w:p>
    <w:p w14:paraId="0DF1C9FB" w14:textId="4D30D775" w:rsidR="00B53489" w:rsidRDefault="00B53489" w:rsidP="002A3EB9">
      <w:pPr>
        <w:jc w:val="both"/>
        <w:rPr>
          <w:rFonts w:cs="Times New Roman"/>
        </w:rPr>
      </w:pPr>
      <w:r>
        <w:rPr>
          <w:rFonts w:cs="Times New Roman"/>
        </w:rPr>
        <w:t>For surgical units that are adhering to IPG196 and also keeping instruments moist</w:t>
      </w:r>
      <w:r w:rsidR="00374125">
        <w:rPr>
          <w:rFonts w:cs="Times New Roman"/>
        </w:rPr>
        <w:t>,</w:t>
      </w:r>
      <w:r>
        <w:rPr>
          <w:rFonts w:cs="Times New Roman"/>
        </w:rPr>
        <w:t xml:space="preserve"> the only strategy currently available to reduce the potential for stCJD is to use single-use instruments. Based on the values reported in </w:t>
      </w:r>
      <w:r w:rsidRPr="00375EB2">
        <w:rPr>
          <w:rFonts w:cs="Times New Roman"/>
        </w:rPr>
        <w:fldChar w:fldCharType="begin"/>
      </w:r>
      <w:r w:rsidRPr="00375EB2">
        <w:rPr>
          <w:rFonts w:cs="Times New Roman"/>
        </w:rPr>
        <w:instrText xml:space="preserve"> REF _Ref520045034  \* MERGEFORMAT </w:instrText>
      </w:r>
      <w:r w:rsidRPr="00375EB2">
        <w:rPr>
          <w:rFonts w:cs="Times New Roman"/>
        </w:rPr>
        <w:fldChar w:fldCharType="separate"/>
      </w:r>
      <w:r w:rsidR="00690541" w:rsidRPr="00D20474">
        <w:rPr>
          <w:rFonts w:cs="Times New Roman"/>
        </w:rPr>
        <w:t xml:space="preserve">Table </w:t>
      </w:r>
      <w:r w:rsidR="00690541">
        <w:rPr>
          <w:rFonts w:cs="Times New Roman"/>
          <w:noProof/>
        </w:rPr>
        <w:t>28</w:t>
      </w:r>
      <w:r w:rsidRPr="00375EB2">
        <w:rPr>
          <w:rFonts w:cs="Times New Roman"/>
        </w:rPr>
        <w:fldChar w:fldCharType="end"/>
      </w:r>
      <w:r w:rsidR="00374125">
        <w:rPr>
          <w:rFonts w:cs="Times New Roman"/>
        </w:rPr>
        <w:t>,</w:t>
      </w:r>
      <w:r>
        <w:rPr>
          <w:rFonts w:cs="Times New Roman"/>
        </w:rPr>
        <w:t xml:space="preserve"> it is estimated for an S1 unit that the additional net costs of single-use instruments per unit would be £2,564,139 which would produce an expected 0.459 QALYs, </w:t>
      </w:r>
      <w:r w:rsidR="00374125">
        <w:rPr>
          <w:rFonts w:cs="Times New Roman"/>
        </w:rPr>
        <w:t xml:space="preserve">thereby </w:t>
      </w:r>
      <w:r>
        <w:rPr>
          <w:rFonts w:cs="Times New Roman"/>
        </w:rPr>
        <w:t>resulting in a cost per QALY gained of £5,585,484. For an S4 unit</w:t>
      </w:r>
      <w:r w:rsidR="00374125">
        <w:rPr>
          <w:rFonts w:cs="Times New Roman"/>
        </w:rPr>
        <w:t>,</w:t>
      </w:r>
      <w:r>
        <w:rPr>
          <w:rFonts w:cs="Times New Roman"/>
        </w:rPr>
        <w:t xml:space="preserve"> the net costs were similar (£2,564,545) with fewer QALYs gained (0.275) resulting in a cost per QALY of £9,322,717. Both cost per QALY estimates are markedly higher than </w:t>
      </w:r>
      <w:r w:rsidR="00374125">
        <w:rPr>
          <w:rFonts w:cs="Times New Roman"/>
        </w:rPr>
        <w:t xml:space="preserve">the </w:t>
      </w:r>
      <w:r>
        <w:rPr>
          <w:rFonts w:cs="Times New Roman"/>
        </w:rPr>
        <w:t>thresholds</w:t>
      </w:r>
      <w:r w:rsidR="00374125">
        <w:rPr>
          <w:rFonts w:cs="Times New Roman"/>
        </w:rPr>
        <w:t xml:space="preserve"> commonly used by NICE</w:t>
      </w:r>
      <w:r>
        <w:rPr>
          <w:rFonts w:cs="Times New Roman"/>
        </w:rPr>
        <w:t>.</w:t>
      </w:r>
    </w:p>
    <w:p w14:paraId="0FDE6818" w14:textId="77777777" w:rsidR="00B53489" w:rsidRDefault="00B53489" w:rsidP="00B53489">
      <w:pPr>
        <w:rPr>
          <w:rFonts w:cs="Times New Roman"/>
          <w:i/>
          <w:iCs/>
        </w:rPr>
      </w:pPr>
    </w:p>
    <w:p w14:paraId="624C2640" w14:textId="77777777" w:rsidR="00B53489" w:rsidRDefault="00B53489" w:rsidP="002A3EB9">
      <w:r>
        <w:t>3.8.2.2</w:t>
      </w:r>
      <w:r w:rsidRPr="00F0261C">
        <w:t xml:space="preserve"> </w:t>
      </w:r>
      <w:r>
        <w:tab/>
        <w:t>Results for S2 and S5 units</w:t>
      </w:r>
    </w:p>
    <w:p w14:paraId="1E6454AC" w14:textId="77777777" w:rsidR="00B53489" w:rsidRDefault="00B53489" w:rsidP="002A3EB9">
      <w:pPr>
        <w:jc w:val="both"/>
        <w:rPr>
          <w:rFonts w:cs="Times New Roman"/>
        </w:rPr>
      </w:pPr>
      <w:r>
        <w:rPr>
          <w:rFonts w:cs="Times New Roman"/>
        </w:rPr>
        <w:t xml:space="preserve">For surgical units that are not adhering to IPG196 but are keeping instruments moist, two strategies are currently available to reduce the potential for stCJD: the use of single-use instruments; and adhering to IPG196. </w:t>
      </w:r>
    </w:p>
    <w:p w14:paraId="410111DC" w14:textId="77777777" w:rsidR="002A3EB9" w:rsidRDefault="002A3EB9" w:rsidP="002A3EB9">
      <w:pPr>
        <w:jc w:val="both"/>
        <w:rPr>
          <w:rFonts w:cs="Times New Roman"/>
        </w:rPr>
      </w:pPr>
    </w:p>
    <w:p w14:paraId="0A1101C9" w14:textId="1C503F28" w:rsidR="00B53489" w:rsidRDefault="00B53489" w:rsidP="002A3EB9">
      <w:pPr>
        <w:jc w:val="both"/>
        <w:rPr>
          <w:rFonts w:cs="Times New Roman"/>
        </w:rPr>
      </w:pPr>
      <w:r>
        <w:rPr>
          <w:rFonts w:cs="Times New Roman"/>
        </w:rPr>
        <w:t xml:space="preserve">Based on the values reported in </w:t>
      </w:r>
      <w:r w:rsidRPr="00375EB2">
        <w:rPr>
          <w:rFonts w:cs="Times New Roman"/>
        </w:rPr>
        <w:fldChar w:fldCharType="begin"/>
      </w:r>
      <w:r w:rsidRPr="00375EB2">
        <w:rPr>
          <w:rFonts w:cs="Times New Roman"/>
        </w:rPr>
        <w:instrText xml:space="preserve"> REF _Ref520045034  \* MERGEFORMAT </w:instrText>
      </w:r>
      <w:r w:rsidRPr="00375EB2">
        <w:rPr>
          <w:rFonts w:cs="Times New Roman"/>
        </w:rPr>
        <w:fldChar w:fldCharType="separate"/>
      </w:r>
      <w:r w:rsidR="00690541" w:rsidRPr="00D20474">
        <w:rPr>
          <w:rFonts w:cs="Times New Roman"/>
        </w:rPr>
        <w:t xml:space="preserve">Table </w:t>
      </w:r>
      <w:r w:rsidR="00690541">
        <w:rPr>
          <w:rFonts w:cs="Times New Roman"/>
          <w:noProof/>
        </w:rPr>
        <w:t>28</w:t>
      </w:r>
      <w:r w:rsidRPr="00375EB2">
        <w:rPr>
          <w:rFonts w:cs="Times New Roman"/>
        </w:rPr>
        <w:fldChar w:fldCharType="end"/>
      </w:r>
      <w:r w:rsidR="00374125">
        <w:rPr>
          <w:rFonts w:cs="Times New Roman"/>
        </w:rPr>
        <w:t>,</w:t>
      </w:r>
      <w:r>
        <w:rPr>
          <w:rFonts w:cs="Times New Roman"/>
        </w:rPr>
        <w:t xml:space="preserve"> it is estimated for an S2 unit that the additional net costs of single-use instruments per unit would be £2,562,829 which would produce an expected 0.874 QALYs, </w:t>
      </w:r>
      <w:r w:rsidR="00374125">
        <w:rPr>
          <w:rFonts w:cs="Times New Roman"/>
        </w:rPr>
        <w:t xml:space="preserve">thereby </w:t>
      </w:r>
      <w:r>
        <w:rPr>
          <w:rFonts w:cs="Times New Roman"/>
        </w:rPr>
        <w:t>resulting in a cost per QALY gained of £2,933,530. For an S5 unit</w:t>
      </w:r>
      <w:r w:rsidR="00374125">
        <w:rPr>
          <w:rFonts w:cs="Times New Roman"/>
        </w:rPr>
        <w:t>,</w:t>
      </w:r>
      <w:r>
        <w:rPr>
          <w:rFonts w:cs="Times New Roman"/>
        </w:rPr>
        <w:t xml:space="preserve"> the net costs were similar (£2,563,238) with fewer QALYs gained (0.736) resulting in a cost per QALY of £3,484,476. Both cost per QALY estimates are markedly higher than </w:t>
      </w:r>
      <w:r w:rsidR="00374125">
        <w:rPr>
          <w:rFonts w:cs="Times New Roman"/>
        </w:rPr>
        <w:t xml:space="preserve">the thresholds </w:t>
      </w:r>
      <w:r>
        <w:rPr>
          <w:rFonts w:cs="Times New Roman"/>
        </w:rPr>
        <w:t>common</w:t>
      </w:r>
      <w:r w:rsidR="00374125">
        <w:rPr>
          <w:rFonts w:cs="Times New Roman"/>
        </w:rPr>
        <w:t>ly used by</w:t>
      </w:r>
      <w:r>
        <w:rPr>
          <w:rFonts w:cs="Times New Roman"/>
        </w:rPr>
        <w:t xml:space="preserve"> NICE.</w:t>
      </w:r>
    </w:p>
    <w:p w14:paraId="35BD982D" w14:textId="77777777" w:rsidR="00374125" w:rsidRDefault="00374125" w:rsidP="002A3EB9">
      <w:pPr>
        <w:jc w:val="both"/>
        <w:rPr>
          <w:rFonts w:cs="Times New Roman"/>
        </w:rPr>
      </w:pPr>
    </w:p>
    <w:p w14:paraId="497E3171" w14:textId="52382894" w:rsidR="00B53489" w:rsidRDefault="00B53489" w:rsidP="002A3EB9">
      <w:pPr>
        <w:jc w:val="both"/>
        <w:rPr>
          <w:rFonts w:cs="Times New Roman"/>
        </w:rPr>
      </w:pPr>
      <w:r>
        <w:rPr>
          <w:rFonts w:cs="Times New Roman"/>
        </w:rPr>
        <w:t xml:space="preserve">For an S2 unit, adherence to IPG196 is estimated to cost </w:t>
      </w:r>
      <w:r w:rsidR="002267D2">
        <w:rPr>
          <w:rFonts w:cs="Times New Roman"/>
        </w:rPr>
        <w:t>approximately £750,000</w:t>
      </w:r>
      <w:r>
        <w:rPr>
          <w:rFonts w:cs="Times New Roman"/>
        </w:rPr>
        <w:t xml:space="preserve"> (net) and provide an increase in QALYs of 0.415 resulting in a cost per QALY of </w:t>
      </w:r>
      <w:r w:rsidR="002267D2">
        <w:rPr>
          <w:rFonts w:cs="Times New Roman"/>
        </w:rPr>
        <w:t>approximately £1.8 million</w:t>
      </w:r>
      <w:r>
        <w:rPr>
          <w:rFonts w:cs="Times New Roman"/>
        </w:rPr>
        <w:t xml:space="preserve">. For an S5 unit, these values are a net cost of </w:t>
      </w:r>
      <w:r w:rsidR="002267D2">
        <w:rPr>
          <w:rFonts w:cs="Times New Roman"/>
        </w:rPr>
        <w:t xml:space="preserve">approximately £750,000 </w:t>
      </w:r>
      <w:r>
        <w:rPr>
          <w:rFonts w:cs="Times New Roman"/>
        </w:rPr>
        <w:t xml:space="preserve">an increase in QALYs of 0.461 </w:t>
      </w:r>
      <w:r w:rsidR="002267D2">
        <w:rPr>
          <w:rFonts w:cs="Times New Roman"/>
        </w:rPr>
        <w:t>resulting in a cost per QALY in the region of £1.6 million.</w:t>
      </w:r>
      <w:r w:rsidR="002267D2" w:rsidRPr="002267D2">
        <w:rPr>
          <w:rFonts w:cs="Times New Roman"/>
        </w:rPr>
        <w:t xml:space="preserve"> </w:t>
      </w:r>
      <w:r w:rsidR="002267D2">
        <w:rPr>
          <w:rFonts w:cs="Times New Roman"/>
        </w:rPr>
        <w:t>Both cost per QALY estimates are markedly higher than the thresholds commonly used by NICE.</w:t>
      </w:r>
    </w:p>
    <w:p w14:paraId="093BA973" w14:textId="77777777" w:rsidR="00B53489" w:rsidRDefault="00B53489" w:rsidP="00B53489">
      <w:pPr>
        <w:rPr>
          <w:rFonts w:cs="Times New Roman"/>
          <w:i/>
          <w:iCs/>
        </w:rPr>
      </w:pPr>
    </w:p>
    <w:p w14:paraId="50E05BBF" w14:textId="77777777" w:rsidR="00B53489" w:rsidRDefault="00B53489" w:rsidP="002A3EB9">
      <w:r>
        <w:t>3.8.2.3</w:t>
      </w:r>
      <w:r w:rsidRPr="00F0261C">
        <w:t xml:space="preserve"> </w:t>
      </w:r>
      <w:r>
        <w:tab/>
        <w:t>Results for S3 and S6 units</w:t>
      </w:r>
    </w:p>
    <w:p w14:paraId="4A2C865A" w14:textId="213C4DF7" w:rsidR="00B53489" w:rsidRDefault="00B53489" w:rsidP="002A3EB9">
      <w:pPr>
        <w:jc w:val="both"/>
        <w:rPr>
          <w:rFonts w:cs="Times New Roman"/>
        </w:rPr>
      </w:pPr>
      <w:r>
        <w:rPr>
          <w:rFonts w:cs="Times New Roman"/>
        </w:rPr>
        <w:t>For surgical units that are neither adhering to IPG196 nor keeping instruments moist</w:t>
      </w:r>
      <w:r w:rsidR="00374125">
        <w:rPr>
          <w:rFonts w:cs="Times New Roman"/>
        </w:rPr>
        <w:t>,</w:t>
      </w:r>
      <w:r>
        <w:rPr>
          <w:rFonts w:cs="Times New Roman"/>
        </w:rPr>
        <w:t xml:space="preserve"> three strategies are currently available to reduce the potential for stCJD: the use of single-use instruments; adhering to IPG196</w:t>
      </w:r>
      <w:r w:rsidRPr="00BA09D4">
        <w:rPr>
          <w:rFonts w:cs="Times New Roman"/>
        </w:rPr>
        <w:t xml:space="preserve"> </w:t>
      </w:r>
      <w:r>
        <w:rPr>
          <w:rFonts w:cs="Times New Roman"/>
        </w:rPr>
        <w:t xml:space="preserve">and keeping instruments moist; and keeping instruments moist. </w:t>
      </w:r>
    </w:p>
    <w:p w14:paraId="6DC4C95E" w14:textId="77777777" w:rsidR="002A3EB9" w:rsidRDefault="002A3EB9" w:rsidP="002A3EB9">
      <w:pPr>
        <w:jc w:val="both"/>
        <w:rPr>
          <w:rFonts w:cs="Times New Roman"/>
        </w:rPr>
      </w:pPr>
    </w:p>
    <w:p w14:paraId="292B0DFA" w14:textId="248CA876" w:rsidR="00B53489" w:rsidRDefault="00B53489" w:rsidP="002A3EB9">
      <w:pPr>
        <w:jc w:val="both"/>
        <w:rPr>
          <w:rFonts w:cs="Times New Roman"/>
        </w:rPr>
      </w:pPr>
      <w:r>
        <w:rPr>
          <w:rFonts w:cs="Times New Roman"/>
        </w:rPr>
        <w:t xml:space="preserve">Based on the values reported in </w:t>
      </w:r>
      <w:r w:rsidRPr="00375EB2">
        <w:rPr>
          <w:rFonts w:cs="Times New Roman"/>
        </w:rPr>
        <w:fldChar w:fldCharType="begin"/>
      </w:r>
      <w:r w:rsidRPr="00375EB2">
        <w:rPr>
          <w:rFonts w:cs="Times New Roman"/>
        </w:rPr>
        <w:instrText xml:space="preserve"> REF _Ref520045034  \* MERGEFORMAT </w:instrText>
      </w:r>
      <w:r w:rsidRPr="00375EB2">
        <w:rPr>
          <w:rFonts w:cs="Times New Roman"/>
        </w:rPr>
        <w:fldChar w:fldCharType="separate"/>
      </w:r>
      <w:r w:rsidR="00690541" w:rsidRPr="00D20474">
        <w:rPr>
          <w:rFonts w:cs="Times New Roman"/>
        </w:rPr>
        <w:t xml:space="preserve">Table </w:t>
      </w:r>
      <w:r w:rsidR="00690541">
        <w:rPr>
          <w:rFonts w:cs="Times New Roman"/>
          <w:noProof/>
        </w:rPr>
        <w:t>28</w:t>
      </w:r>
      <w:r w:rsidRPr="00375EB2">
        <w:rPr>
          <w:rFonts w:cs="Times New Roman"/>
        </w:rPr>
        <w:fldChar w:fldCharType="end"/>
      </w:r>
      <w:r w:rsidR="00374125">
        <w:rPr>
          <w:rFonts w:cs="Times New Roman"/>
        </w:rPr>
        <w:t>,</w:t>
      </w:r>
      <w:r>
        <w:rPr>
          <w:rFonts w:cs="Times New Roman"/>
        </w:rPr>
        <w:t xml:space="preserve"> it is estimated for an S3 unit that the additional costs of single-use instruments per unit would be £2,550,760 which would produce an expected 4.009 QALYs</w:t>
      </w:r>
      <w:r w:rsidR="00374125">
        <w:rPr>
          <w:rFonts w:cs="Times New Roman"/>
        </w:rPr>
        <w:t>, thereby</w:t>
      </w:r>
      <w:r>
        <w:rPr>
          <w:rFonts w:cs="Times New Roman"/>
        </w:rPr>
        <w:t xml:space="preserve"> resulting in a cost per QALY gained of £636,292. For an S6 unit the costs were similar (£2,552,043) with fewer QALYs gained (3.485) resulting in a cost per QALY of £732,364. Both cost per QALY estimates are markedly higher than </w:t>
      </w:r>
      <w:r w:rsidR="00374125">
        <w:rPr>
          <w:rFonts w:cs="Times New Roman"/>
        </w:rPr>
        <w:t xml:space="preserve">the thresholds </w:t>
      </w:r>
      <w:r>
        <w:rPr>
          <w:rFonts w:cs="Times New Roman"/>
        </w:rPr>
        <w:t>common</w:t>
      </w:r>
      <w:r w:rsidR="00374125">
        <w:rPr>
          <w:rFonts w:cs="Times New Roman"/>
        </w:rPr>
        <w:t>ly used by</w:t>
      </w:r>
      <w:r>
        <w:rPr>
          <w:rFonts w:cs="Times New Roman"/>
        </w:rPr>
        <w:t xml:space="preserve"> NICE.</w:t>
      </w:r>
    </w:p>
    <w:p w14:paraId="316E0360" w14:textId="77777777" w:rsidR="002A3EB9" w:rsidRDefault="002A3EB9" w:rsidP="002A3EB9">
      <w:pPr>
        <w:jc w:val="both"/>
        <w:rPr>
          <w:rFonts w:cs="Times New Roman"/>
        </w:rPr>
      </w:pPr>
    </w:p>
    <w:p w14:paraId="73C3FD25" w14:textId="7AC4A695" w:rsidR="00B53489" w:rsidRDefault="00B53489" w:rsidP="002A3EB9">
      <w:pPr>
        <w:jc w:val="both"/>
        <w:rPr>
          <w:rFonts w:cs="Times New Roman"/>
        </w:rPr>
      </w:pPr>
      <w:r>
        <w:rPr>
          <w:rFonts w:cs="Times New Roman"/>
        </w:rPr>
        <w:t xml:space="preserve">For an S3 unit, keeping instruments moist is estimated to produce a cost saving </w:t>
      </w:r>
      <w:r w:rsidRPr="007F1C0B">
        <w:rPr>
          <w:rFonts w:cs="Times New Roman"/>
        </w:rPr>
        <w:t xml:space="preserve">(as the costs of potential prevented CJD cases outweighed those </w:t>
      </w:r>
      <w:r w:rsidR="00374125">
        <w:rPr>
          <w:rFonts w:cs="Times New Roman"/>
        </w:rPr>
        <w:t>associated with</w:t>
      </w:r>
      <w:r w:rsidR="00374125" w:rsidRPr="007F1C0B">
        <w:rPr>
          <w:rFonts w:cs="Times New Roman"/>
        </w:rPr>
        <w:t xml:space="preserve"> </w:t>
      </w:r>
      <w:r w:rsidRPr="007F1C0B">
        <w:rPr>
          <w:rFonts w:cs="Times New Roman"/>
        </w:rPr>
        <w:t>keeping the instruments moist)</w:t>
      </w:r>
      <w:r>
        <w:rPr>
          <w:rFonts w:cs="Times New Roman"/>
        </w:rPr>
        <w:t xml:space="preserve"> and </w:t>
      </w:r>
      <w:r w:rsidR="00374125">
        <w:rPr>
          <w:rFonts w:cs="Times New Roman"/>
        </w:rPr>
        <w:t xml:space="preserve">to </w:t>
      </w:r>
      <w:r>
        <w:rPr>
          <w:rFonts w:cs="Times New Roman"/>
        </w:rPr>
        <w:t xml:space="preserve">provide an increase </w:t>
      </w:r>
      <w:r w:rsidR="00374125">
        <w:rPr>
          <w:rFonts w:cs="Times New Roman"/>
        </w:rPr>
        <w:t xml:space="preserve">of 3.135 </w:t>
      </w:r>
      <w:r>
        <w:rPr>
          <w:rFonts w:cs="Times New Roman"/>
        </w:rPr>
        <w:t>QALYs</w:t>
      </w:r>
      <w:r w:rsidR="00374125">
        <w:rPr>
          <w:rFonts w:cs="Times New Roman"/>
        </w:rPr>
        <w:t>,</w:t>
      </w:r>
      <w:r>
        <w:rPr>
          <w:rFonts w:cs="Times New Roman"/>
        </w:rPr>
        <w:t xml:space="preserve"> suggesting that keeping instruments moist is a dominant strategy (lower costs and more health produced). For an S6 unit, there was also an expected cost saving, an increase in QALYs of 2.749 resulting in the strategy of keeping instruments moist being dominant.</w:t>
      </w:r>
    </w:p>
    <w:p w14:paraId="648446D3" w14:textId="77777777" w:rsidR="002A3EB9" w:rsidRDefault="002A3EB9" w:rsidP="002A3EB9">
      <w:pPr>
        <w:jc w:val="both"/>
        <w:rPr>
          <w:rFonts w:cs="Times New Roman"/>
        </w:rPr>
      </w:pPr>
    </w:p>
    <w:p w14:paraId="40D35FAA" w14:textId="12BDF86E" w:rsidR="00B53489" w:rsidRDefault="00B53489" w:rsidP="002A3EB9">
      <w:pPr>
        <w:jc w:val="both"/>
        <w:rPr>
          <w:rFonts w:cs="Times New Roman"/>
        </w:rPr>
      </w:pPr>
      <w:r>
        <w:rPr>
          <w:rFonts w:cs="Times New Roman"/>
        </w:rPr>
        <w:t xml:space="preserve">For an S3 unit, having initially kept instruments moist, the cost-effectiveness of adhering to IPG196 would be similar to that of moving from S2 to S1, that is in the region of </w:t>
      </w:r>
      <w:r w:rsidR="007D4C90" w:rsidRPr="007D4C90">
        <w:rPr>
          <w:rFonts w:cs="Times New Roman"/>
        </w:rPr>
        <w:t xml:space="preserve">£1.8 million </w:t>
      </w:r>
      <w:r>
        <w:rPr>
          <w:rFonts w:cs="Times New Roman"/>
        </w:rPr>
        <w:t xml:space="preserve">per QALY gained. For an S6 unit, </w:t>
      </w:r>
      <w:r w:rsidR="007D4C90">
        <w:rPr>
          <w:rFonts w:cs="Times New Roman"/>
        </w:rPr>
        <w:t xml:space="preserve">having moved to an S5, </w:t>
      </w:r>
      <w:r>
        <w:rPr>
          <w:rFonts w:cs="Times New Roman"/>
        </w:rPr>
        <w:t>the cost per QALY of adhering to I</w:t>
      </w:r>
      <w:r w:rsidR="007D4C90">
        <w:rPr>
          <w:rFonts w:cs="Times New Roman"/>
        </w:rPr>
        <w:t>PG196 would be in the region of £1.6 million.</w:t>
      </w:r>
    </w:p>
    <w:p w14:paraId="0809D3E7" w14:textId="77777777" w:rsidR="00B53489" w:rsidRDefault="00B53489" w:rsidP="00B53489">
      <w:pPr>
        <w:rPr>
          <w:rFonts w:cs="Times New Roman"/>
          <w:iCs/>
        </w:rPr>
      </w:pPr>
    </w:p>
    <w:p w14:paraId="7C1301E8" w14:textId="15939A2E" w:rsidR="00B53489" w:rsidRPr="00E63C8F" w:rsidRDefault="00B53489" w:rsidP="00B53489">
      <w:pPr>
        <w:pStyle w:val="Heading3"/>
        <w:jc w:val="both"/>
        <w:rPr>
          <w:b w:val="0"/>
          <w:i/>
          <w:color w:val="000000" w:themeColor="text1"/>
          <w:szCs w:val="22"/>
        </w:rPr>
      </w:pPr>
      <w:r w:rsidRPr="00E63C8F">
        <w:rPr>
          <w:b w:val="0"/>
          <w:i/>
          <w:color w:val="000000" w:themeColor="text1"/>
          <w:szCs w:val="22"/>
        </w:rPr>
        <w:t xml:space="preserve">3.8.3 </w:t>
      </w:r>
      <w:r w:rsidRPr="00E63C8F">
        <w:rPr>
          <w:b w:val="0"/>
          <w:i/>
          <w:color w:val="000000" w:themeColor="text1"/>
          <w:szCs w:val="22"/>
        </w:rPr>
        <w:tab/>
        <w:t>Sensitivity Analyses per</w:t>
      </w:r>
      <w:r w:rsidR="009B4E5A">
        <w:rPr>
          <w:b w:val="0"/>
          <w:i/>
          <w:color w:val="000000" w:themeColor="text1"/>
          <w:szCs w:val="22"/>
        </w:rPr>
        <w:t>formed on the base case results</w:t>
      </w:r>
    </w:p>
    <w:p w14:paraId="003D1BF1" w14:textId="1FC8F927" w:rsidR="00B53489" w:rsidRDefault="00B53489" w:rsidP="00E63C8F">
      <w:pPr>
        <w:jc w:val="both"/>
        <w:rPr>
          <w:rFonts w:cs="Times New Roman"/>
        </w:rPr>
      </w:pPr>
      <w:r>
        <w:rPr>
          <w:rFonts w:cs="Times New Roman"/>
        </w:rPr>
        <w:t>Having observed the incremental cost-effectiveness ratios (ICERs) presented in terms of cost per QALY gained produced in the base case, the sensitivity analyses performed explored using a combination of all of the values that were more favourable to single-use instruments. Thus, the cost of a CJD case was increased to £70,000, the average cost of a re-usable instrument was assumed to be £200 and the cost of a single-use set was assumed to be £350. Note that these sensitivity analyses change the costs only and that the benefit</w:t>
      </w:r>
      <w:r w:rsidR="002B678B">
        <w:rPr>
          <w:rFonts w:cs="Times New Roman"/>
        </w:rPr>
        <w:t>s</w:t>
      </w:r>
      <w:r>
        <w:rPr>
          <w:rFonts w:cs="Times New Roman"/>
        </w:rPr>
        <w:t xml:space="preserve"> in QALYs are assumed constant. </w:t>
      </w:r>
    </w:p>
    <w:p w14:paraId="4365AD5D" w14:textId="77777777" w:rsidR="00B53489" w:rsidRPr="003248CF" w:rsidRDefault="00B53489" w:rsidP="00B53489">
      <w:pPr>
        <w:rPr>
          <w:rFonts w:cs="Times New Roman"/>
        </w:rPr>
      </w:pPr>
    </w:p>
    <w:p w14:paraId="2EB8A733" w14:textId="77777777" w:rsidR="00B53489" w:rsidRDefault="00B53489" w:rsidP="00E63C8F">
      <w:r>
        <w:t>3.8.3.1</w:t>
      </w:r>
      <w:r w:rsidRPr="00F0261C">
        <w:t xml:space="preserve"> </w:t>
      </w:r>
      <w:r>
        <w:tab/>
        <w:t xml:space="preserve">Sensitivity analyses results for S1 and S4 units </w:t>
      </w:r>
    </w:p>
    <w:p w14:paraId="7CF30C4A" w14:textId="77777777" w:rsidR="00B53489" w:rsidRDefault="00B53489" w:rsidP="00E63C8F">
      <w:pPr>
        <w:jc w:val="both"/>
        <w:rPr>
          <w:rFonts w:cs="Times New Roman"/>
          <w:iCs/>
        </w:rPr>
      </w:pPr>
      <w:r>
        <w:rPr>
          <w:rFonts w:cs="Times New Roman"/>
          <w:iCs/>
        </w:rPr>
        <w:t>The ICER for single-use instruments for an S1 unit became £4,573,372, whilst the ICER for an S4 unit became £7,634,262.  Neither value was below commonly used NICE thresholds.</w:t>
      </w:r>
    </w:p>
    <w:p w14:paraId="132B7F00" w14:textId="77777777" w:rsidR="00B53489" w:rsidRDefault="00B53489" w:rsidP="00B53489">
      <w:pPr>
        <w:rPr>
          <w:rFonts w:cs="Times New Roman"/>
          <w:iCs/>
        </w:rPr>
      </w:pPr>
    </w:p>
    <w:p w14:paraId="06B3F01B" w14:textId="77777777" w:rsidR="00B53489" w:rsidRDefault="00B53489" w:rsidP="00E63C8F">
      <w:r>
        <w:t>3.8.3.2</w:t>
      </w:r>
      <w:r w:rsidRPr="00F0261C">
        <w:t xml:space="preserve"> </w:t>
      </w:r>
      <w:r>
        <w:tab/>
        <w:t xml:space="preserve">Sensitivity analyses results for S2 and S5 units </w:t>
      </w:r>
    </w:p>
    <w:p w14:paraId="400EEBC3" w14:textId="77777777" w:rsidR="00B53489" w:rsidRDefault="00B53489" w:rsidP="00E63C8F">
      <w:pPr>
        <w:jc w:val="both"/>
        <w:rPr>
          <w:rFonts w:cs="Times New Roman"/>
          <w:iCs/>
        </w:rPr>
      </w:pPr>
      <w:r>
        <w:rPr>
          <w:rFonts w:cs="Times New Roman"/>
          <w:iCs/>
        </w:rPr>
        <w:t>The ICER for single-use instruments for an S2 unit became £2,401,091, whilst the ICER for an S5 unit became £2,852,364.  Neither value was below commonly used NICE thresholds.</w:t>
      </w:r>
    </w:p>
    <w:p w14:paraId="3857A3E3" w14:textId="77777777" w:rsidR="00E63C8F" w:rsidRDefault="00E63C8F" w:rsidP="00E63C8F">
      <w:pPr>
        <w:jc w:val="both"/>
        <w:rPr>
          <w:rFonts w:cs="Times New Roman"/>
          <w:iCs/>
        </w:rPr>
      </w:pPr>
    </w:p>
    <w:p w14:paraId="17777B46" w14:textId="70D31DBC" w:rsidR="00B53489" w:rsidRDefault="00B53489" w:rsidP="00E63C8F">
      <w:pPr>
        <w:jc w:val="both"/>
        <w:rPr>
          <w:rFonts w:cs="Times New Roman"/>
        </w:rPr>
      </w:pPr>
      <w:r>
        <w:rPr>
          <w:rFonts w:cs="Times New Roman"/>
        </w:rPr>
        <w:t xml:space="preserve">For an S2 unit, adherence to IPG196 is estimated to have an ICER of </w:t>
      </w:r>
      <w:r w:rsidR="00AC33BD">
        <w:rPr>
          <w:rFonts w:cs="Times New Roman"/>
        </w:rPr>
        <w:t>approximately £1.2 million</w:t>
      </w:r>
      <w:r>
        <w:rPr>
          <w:rFonts w:cs="Times New Roman"/>
        </w:rPr>
        <w:t xml:space="preserve">. For an S5 unit, this ICER was </w:t>
      </w:r>
      <w:r w:rsidR="00AC33BD" w:rsidRPr="00AC33BD">
        <w:rPr>
          <w:rFonts w:cs="Times New Roman"/>
        </w:rPr>
        <w:t>approximately £1.1 million</w:t>
      </w:r>
      <w:r w:rsidRPr="00AC33BD">
        <w:rPr>
          <w:rFonts w:cs="Times New Roman"/>
        </w:rPr>
        <w:t xml:space="preserve">. </w:t>
      </w:r>
      <w:r w:rsidR="00AC33BD">
        <w:rPr>
          <w:rFonts w:cs="Times New Roman"/>
          <w:iCs/>
        </w:rPr>
        <w:t>Neither value was below commonly used NICE thresholds.</w:t>
      </w:r>
    </w:p>
    <w:p w14:paraId="5DC0E154" w14:textId="77777777" w:rsidR="00B53489" w:rsidRPr="00BA09D4" w:rsidRDefault="00B53489" w:rsidP="00B53489">
      <w:pPr>
        <w:rPr>
          <w:rFonts w:cs="Times New Roman"/>
          <w:iCs/>
        </w:rPr>
      </w:pPr>
    </w:p>
    <w:p w14:paraId="10332118" w14:textId="77777777" w:rsidR="003C7B4D" w:rsidRDefault="003C7B4D">
      <w:pPr>
        <w:spacing w:after="160" w:line="259" w:lineRule="auto"/>
      </w:pPr>
      <w:r>
        <w:br w:type="page"/>
      </w:r>
    </w:p>
    <w:p w14:paraId="4B91367F" w14:textId="2185419E" w:rsidR="00B53489" w:rsidRDefault="00B53489" w:rsidP="00E63C8F">
      <w:r>
        <w:t>3.8.3.3</w:t>
      </w:r>
      <w:r w:rsidRPr="00F0261C">
        <w:t xml:space="preserve"> </w:t>
      </w:r>
      <w:r>
        <w:tab/>
        <w:t xml:space="preserve">Sensitivity analyses results for S3 and S6 units </w:t>
      </w:r>
    </w:p>
    <w:p w14:paraId="1CE47DF5" w14:textId="77777777" w:rsidR="00B53489" w:rsidRDefault="00B53489" w:rsidP="00E63C8F">
      <w:pPr>
        <w:jc w:val="both"/>
        <w:rPr>
          <w:rFonts w:cs="Times New Roman"/>
        </w:rPr>
      </w:pPr>
      <w:r>
        <w:rPr>
          <w:rFonts w:cs="Times New Roman"/>
        </w:rPr>
        <w:t xml:space="preserve">For an S3 unit, keeping instruments moist remains a dominant strategy. This is also the case for an S6 unit. </w:t>
      </w:r>
    </w:p>
    <w:p w14:paraId="1537117C" w14:textId="77777777" w:rsidR="00E63C8F" w:rsidRDefault="00E63C8F" w:rsidP="00E63C8F">
      <w:pPr>
        <w:jc w:val="both"/>
        <w:rPr>
          <w:rFonts w:cs="Times New Roman"/>
        </w:rPr>
      </w:pPr>
    </w:p>
    <w:p w14:paraId="04C0CEFD" w14:textId="72E45582" w:rsidR="00B53489" w:rsidRDefault="00B53489" w:rsidP="00E63C8F">
      <w:pPr>
        <w:jc w:val="both"/>
        <w:rPr>
          <w:rFonts w:cs="Times New Roman"/>
        </w:rPr>
      </w:pPr>
      <w:r>
        <w:rPr>
          <w:rFonts w:cs="Times New Roman"/>
        </w:rPr>
        <w:t xml:space="preserve">For an S3 unit, having initially kept instruments moist, the cost-effectiveness of adhering to IPG196 would be similar to that of moving from S2 to S1, that is in the region of </w:t>
      </w:r>
      <w:r w:rsidRPr="00EA1CF8">
        <w:rPr>
          <w:rFonts w:cs="Times New Roman"/>
        </w:rPr>
        <w:t>£</w:t>
      </w:r>
      <w:r w:rsidR="00EA1CF8">
        <w:rPr>
          <w:rFonts w:cs="Times New Roman"/>
        </w:rPr>
        <w:t>1.2 million</w:t>
      </w:r>
      <w:r>
        <w:rPr>
          <w:rFonts w:cs="Times New Roman"/>
        </w:rPr>
        <w:t xml:space="preserve"> per QALY gained. For an S6 unit, the cost per QALY of adhering to IPG196 w</w:t>
      </w:r>
      <w:r w:rsidR="00EA1CF8">
        <w:rPr>
          <w:rFonts w:cs="Times New Roman"/>
        </w:rPr>
        <w:t>ould be in the region of £1.1 million w</w:t>
      </w:r>
      <w:r w:rsidR="00EA1CF8" w:rsidRPr="00EA1CF8">
        <w:rPr>
          <w:rFonts w:cs="Times New Roman"/>
        </w:rPr>
        <w:t>hich is moving from an S5 to an S4.</w:t>
      </w:r>
      <w:r w:rsidR="00EA1CF8">
        <w:rPr>
          <w:rFonts w:cs="Times New Roman"/>
        </w:rPr>
        <w:t xml:space="preserve"> </w:t>
      </w:r>
      <w:r w:rsidR="00EA1CF8" w:rsidRPr="00EA1CF8">
        <w:rPr>
          <w:rFonts w:cs="Times New Roman"/>
        </w:rPr>
        <w:t>These values are similar rather than identical as there may be more infectious material on instruments in the S3 and S6 units than in S2 and S5 units.</w:t>
      </w:r>
    </w:p>
    <w:p w14:paraId="3CB14474" w14:textId="1BD3B11C" w:rsidR="00AB280F" w:rsidRDefault="00AB280F" w:rsidP="00E63C8F">
      <w:pPr>
        <w:jc w:val="both"/>
        <w:rPr>
          <w:rFonts w:cs="Times New Roman"/>
        </w:rPr>
      </w:pPr>
    </w:p>
    <w:p w14:paraId="44A09602" w14:textId="77777777" w:rsidR="00B53489" w:rsidRPr="00E63C8F" w:rsidRDefault="00B53489" w:rsidP="00B53489">
      <w:pPr>
        <w:pStyle w:val="Heading3"/>
        <w:jc w:val="both"/>
        <w:rPr>
          <w:b w:val="0"/>
          <w:i/>
          <w:color w:val="000000" w:themeColor="text1"/>
          <w:szCs w:val="22"/>
        </w:rPr>
      </w:pPr>
      <w:r w:rsidRPr="00E63C8F">
        <w:rPr>
          <w:b w:val="0"/>
          <w:i/>
          <w:color w:val="000000" w:themeColor="text1"/>
          <w:szCs w:val="22"/>
        </w:rPr>
        <w:t xml:space="preserve">3.8.4 </w:t>
      </w:r>
      <w:r w:rsidRPr="00E63C8F">
        <w:rPr>
          <w:b w:val="0"/>
          <w:i/>
          <w:color w:val="000000" w:themeColor="text1"/>
          <w:szCs w:val="22"/>
        </w:rPr>
        <w:tab/>
        <w:t>Threshold analyses on the costs of single-use sets or a completely effective cleaning solution</w:t>
      </w:r>
    </w:p>
    <w:p w14:paraId="5FA7A8E9" w14:textId="1CA711FE" w:rsidR="00B53489" w:rsidRDefault="00B53489" w:rsidP="00E63C8F">
      <w:pPr>
        <w:jc w:val="both"/>
        <w:rPr>
          <w:rFonts w:cs="Times New Roman"/>
        </w:rPr>
      </w:pPr>
      <w:r>
        <w:rPr>
          <w:rFonts w:cs="Times New Roman"/>
        </w:rPr>
        <w:t xml:space="preserve">Analyses were performed to indicate the cost at which a single-use set (including disposal costs), or a cleaning solution which was 100% effective at removing CJD prions would be at a chosen cost per QALY threshold. These results are presented for each unit type, by four cost per QALY thresholds, and for the base case and for </w:t>
      </w:r>
      <w:r w:rsidR="00CA4E0C">
        <w:rPr>
          <w:rFonts w:cs="Times New Roman"/>
        </w:rPr>
        <w:t xml:space="preserve">a </w:t>
      </w:r>
      <w:r>
        <w:rPr>
          <w:rFonts w:cs="Times New Roman"/>
        </w:rPr>
        <w:t>scenario</w:t>
      </w:r>
      <w:r w:rsidR="00CA4E0C">
        <w:rPr>
          <w:rFonts w:cs="Times New Roman"/>
        </w:rPr>
        <w:t xml:space="preserve"> analysis</w:t>
      </w:r>
      <w:r>
        <w:rPr>
          <w:rFonts w:cs="Times New Roman"/>
        </w:rPr>
        <w:t xml:space="preserve"> which was more favourable to re-usable instruments and completely effective cleaning solutions. The results are presented in </w:t>
      </w:r>
      <w:r w:rsidRPr="003701C5">
        <w:rPr>
          <w:rFonts w:cs="Times New Roman"/>
        </w:rPr>
        <w:fldChar w:fldCharType="begin"/>
      </w:r>
      <w:r w:rsidRPr="003701C5">
        <w:rPr>
          <w:rFonts w:cs="Times New Roman"/>
        </w:rPr>
        <w:instrText xml:space="preserve"> REF _Ref520099976  \* MERGEFORMAT </w:instrText>
      </w:r>
      <w:r w:rsidRPr="003701C5">
        <w:rPr>
          <w:rFonts w:cs="Times New Roman"/>
        </w:rPr>
        <w:fldChar w:fldCharType="separate"/>
      </w:r>
      <w:r w:rsidR="00690541" w:rsidRPr="00E63C8F">
        <w:rPr>
          <w:rFonts w:cs="Times New Roman"/>
        </w:rPr>
        <w:t xml:space="preserve">Table </w:t>
      </w:r>
      <w:r w:rsidR="00690541">
        <w:rPr>
          <w:rFonts w:cs="Times New Roman"/>
          <w:noProof/>
        </w:rPr>
        <w:t>29</w:t>
      </w:r>
      <w:r w:rsidRPr="003701C5">
        <w:rPr>
          <w:rFonts w:cs="Times New Roman"/>
        </w:rPr>
        <w:fldChar w:fldCharType="end"/>
      </w:r>
      <w:r>
        <w:rPr>
          <w:rFonts w:cs="Times New Roman"/>
        </w:rPr>
        <w:t>. Caution must be used in interpreting these results as options other than single-use instruments or completely effective cleaning solution exist. For example, moving from an S6 to an S5 (or S3 to an S2) is estimated to be a dominant strategy and thus the thresholds for single-use sets for an S6 unit or an S3 unit is redundant; although these have been presented for information.</w:t>
      </w:r>
    </w:p>
    <w:p w14:paraId="3E07D8D9" w14:textId="1DA638CD" w:rsidR="00E63C8F" w:rsidRDefault="00E63C8F">
      <w:pPr>
        <w:spacing w:after="160" w:line="259" w:lineRule="auto"/>
        <w:rPr>
          <w:rFonts w:cs="Times New Roman"/>
        </w:rPr>
      </w:pPr>
    </w:p>
    <w:p w14:paraId="4E16CD61" w14:textId="0D5C5B69" w:rsidR="00B53489" w:rsidRPr="00E63C8F" w:rsidRDefault="00B53489" w:rsidP="00E63C8F">
      <w:pPr>
        <w:pStyle w:val="Caption"/>
        <w:spacing w:line="360" w:lineRule="auto"/>
        <w:ind w:left="1440" w:hanging="1440"/>
        <w:rPr>
          <w:rFonts w:cs="Times New Roman"/>
          <w:szCs w:val="22"/>
        </w:rPr>
      </w:pPr>
      <w:bookmarkStart w:id="150" w:name="_Ref520099976"/>
      <w:bookmarkStart w:id="151" w:name="_Toc525106716"/>
      <w:r w:rsidRPr="00E63C8F">
        <w:rPr>
          <w:rFonts w:cs="Times New Roman"/>
          <w:szCs w:val="22"/>
        </w:rPr>
        <w:t xml:space="preserve">Table </w:t>
      </w:r>
      <w:r w:rsidRPr="00E63C8F">
        <w:rPr>
          <w:rFonts w:cs="Times New Roman"/>
          <w:szCs w:val="22"/>
        </w:rPr>
        <w:fldChar w:fldCharType="begin"/>
      </w:r>
      <w:r w:rsidRPr="00E63C8F">
        <w:rPr>
          <w:rFonts w:cs="Times New Roman"/>
          <w:szCs w:val="22"/>
        </w:rPr>
        <w:instrText xml:space="preserve"> SEQ Table \* ARABIC </w:instrText>
      </w:r>
      <w:r w:rsidRPr="00E63C8F">
        <w:rPr>
          <w:rFonts w:cs="Times New Roman"/>
          <w:szCs w:val="22"/>
        </w:rPr>
        <w:fldChar w:fldCharType="separate"/>
      </w:r>
      <w:r w:rsidR="00690541">
        <w:rPr>
          <w:rFonts w:cs="Times New Roman"/>
          <w:noProof/>
          <w:szCs w:val="22"/>
        </w:rPr>
        <w:t>29</w:t>
      </w:r>
      <w:r w:rsidRPr="00E63C8F">
        <w:rPr>
          <w:rFonts w:cs="Times New Roman"/>
          <w:szCs w:val="22"/>
        </w:rPr>
        <w:fldChar w:fldCharType="end"/>
      </w:r>
      <w:bookmarkEnd w:id="150"/>
      <w:r w:rsidR="00E63C8F">
        <w:rPr>
          <w:rFonts w:cs="Times New Roman"/>
          <w:szCs w:val="22"/>
        </w:rPr>
        <w:t>:</w:t>
      </w:r>
      <w:r w:rsidR="00E63C8F">
        <w:rPr>
          <w:rFonts w:cs="Times New Roman"/>
          <w:szCs w:val="22"/>
        </w:rPr>
        <w:tab/>
      </w:r>
      <w:r w:rsidRPr="00E63C8F">
        <w:rPr>
          <w:rFonts w:cs="Times New Roman"/>
          <w:szCs w:val="22"/>
        </w:rPr>
        <w:t>Threshold analyses on the cost of single-use sets (including disposal costs) and a completely effective cleaning solution</w:t>
      </w:r>
      <w:bookmarkEnd w:id="151"/>
    </w:p>
    <w:tbl>
      <w:tblPr>
        <w:tblW w:w="0" w:type="auto"/>
        <w:tblLook w:val="04A0" w:firstRow="1" w:lastRow="0" w:firstColumn="1" w:lastColumn="0" w:noHBand="0" w:noVBand="1"/>
      </w:tblPr>
      <w:tblGrid>
        <w:gridCol w:w="1502"/>
        <w:gridCol w:w="1502"/>
        <w:gridCol w:w="1503"/>
        <w:gridCol w:w="1503"/>
        <w:gridCol w:w="1503"/>
        <w:gridCol w:w="1503"/>
      </w:tblGrid>
      <w:tr w:rsidR="00B53489" w14:paraId="26F0735E" w14:textId="77777777" w:rsidTr="00CA4E0C">
        <w:tc>
          <w:tcPr>
            <w:tcW w:w="1502" w:type="dxa"/>
            <w:tcBorders>
              <w:top w:val="single" w:sz="4" w:space="0" w:color="auto"/>
              <w:left w:val="single" w:sz="4" w:space="0" w:color="auto"/>
              <w:bottom w:val="single" w:sz="4" w:space="0" w:color="auto"/>
              <w:right w:val="single" w:sz="4" w:space="0" w:color="auto"/>
            </w:tcBorders>
          </w:tcPr>
          <w:p w14:paraId="5BD1E631" w14:textId="77777777" w:rsidR="00B53489" w:rsidRDefault="00B53489" w:rsidP="00E63C8F">
            <w:pPr>
              <w:spacing w:line="240" w:lineRule="auto"/>
              <w:rPr>
                <w:rFonts w:cs="Times New Roman"/>
              </w:rPr>
            </w:pPr>
          </w:p>
        </w:tc>
        <w:tc>
          <w:tcPr>
            <w:tcW w:w="1502" w:type="dxa"/>
            <w:tcBorders>
              <w:top w:val="single" w:sz="4" w:space="0" w:color="auto"/>
              <w:left w:val="single" w:sz="4" w:space="0" w:color="auto"/>
              <w:bottom w:val="single" w:sz="4" w:space="0" w:color="auto"/>
              <w:right w:val="single" w:sz="4" w:space="0" w:color="auto"/>
            </w:tcBorders>
          </w:tcPr>
          <w:p w14:paraId="1E78CB7B" w14:textId="77777777" w:rsidR="00B53489" w:rsidRDefault="00B53489" w:rsidP="00E63C8F">
            <w:pPr>
              <w:spacing w:line="240" w:lineRule="auto"/>
              <w:rPr>
                <w:rFonts w:cs="Times New Roman"/>
              </w:rPr>
            </w:pPr>
          </w:p>
        </w:tc>
        <w:tc>
          <w:tcPr>
            <w:tcW w:w="6012" w:type="dxa"/>
            <w:gridSpan w:val="4"/>
            <w:tcBorders>
              <w:top w:val="single" w:sz="4" w:space="0" w:color="auto"/>
              <w:left w:val="single" w:sz="4" w:space="0" w:color="auto"/>
              <w:bottom w:val="single" w:sz="4" w:space="0" w:color="auto"/>
              <w:right w:val="single" w:sz="4" w:space="0" w:color="auto"/>
            </w:tcBorders>
          </w:tcPr>
          <w:p w14:paraId="1B22F3D2" w14:textId="77777777" w:rsidR="00B53489" w:rsidRDefault="00B53489" w:rsidP="00E63C8F">
            <w:pPr>
              <w:spacing w:line="240" w:lineRule="auto"/>
              <w:jc w:val="center"/>
              <w:rPr>
                <w:rFonts w:cs="Times New Roman"/>
              </w:rPr>
            </w:pPr>
            <w:r>
              <w:rPr>
                <w:rFonts w:cs="Times New Roman"/>
              </w:rPr>
              <w:t>Cost per QALY threshold</w:t>
            </w:r>
          </w:p>
        </w:tc>
      </w:tr>
      <w:tr w:rsidR="00B53489" w14:paraId="6435322E" w14:textId="77777777" w:rsidTr="00CA4E0C">
        <w:tc>
          <w:tcPr>
            <w:tcW w:w="1502" w:type="dxa"/>
            <w:tcBorders>
              <w:top w:val="single" w:sz="4" w:space="0" w:color="auto"/>
              <w:left w:val="single" w:sz="4" w:space="0" w:color="auto"/>
              <w:bottom w:val="single" w:sz="4" w:space="0" w:color="auto"/>
              <w:right w:val="single" w:sz="4" w:space="0" w:color="auto"/>
            </w:tcBorders>
          </w:tcPr>
          <w:p w14:paraId="718699D6" w14:textId="77777777" w:rsidR="00B53489" w:rsidRDefault="00B53489" w:rsidP="00E63C8F">
            <w:pPr>
              <w:spacing w:line="240" w:lineRule="auto"/>
              <w:rPr>
                <w:rFonts w:cs="Times New Roman"/>
              </w:rPr>
            </w:pPr>
            <w:r>
              <w:rPr>
                <w:rFonts w:cs="Times New Roman"/>
              </w:rPr>
              <w:t>Unit Type</w:t>
            </w:r>
          </w:p>
        </w:tc>
        <w:tc>
          <w:tcPr>
            <w:tcW w:w="1502" w:type="dxa"/>
            <w:tcBorders>
              <w:top w:val="single" w:sz="4" w:space="0" w:color="auto"/>
              <w:left w:val="single" w:sz="4" w:space="0" w:color="auto"/>
              <w:bottom w:val="single" w:sz="4" w:space="0" w:color="auto"/>
              <w:right w:val="single" w:sz="4" w:space="0" w:color="auto"/>
            </w:tcBorders>
          </w:tcPr>
          <w:p w14:paraId="53C8ABE4" w14:textId="77777777" w:rsidR="00B53489" w:rsidRDefault="00B53489" w:rsidP="00E63C8F">
            <w:pPr>
              <w:spacing w:line="240" w:lineRule="auto"/>
              <w:rPr>
                <w:rFonts w:cs="Times New Roman"/>
              </w:rPr>
            </w:pPr>
            <w:r>
              <w:rPr>
                <w:rFonts w:cs="Times New Roman"/>
              </w:rPr>
              <w:t>Assumptions</w:t>
            </w:r>
          </w:p>
        </w:tc>
        <w:tc>
          <w:tcPr>
            <w:tcW w:w="1503" w:type="dxa"/>
            <w:tcBorders>
              <w:top w:val="single" w:sz="4" w:space="0" w:color="auto"/>
              <w:left w:val="single" w:sz="4" w:space="0" w:color="auto"/>
              <w:bottom w:val="single" w:sz="4" w:space="0" w:color="auto"/>
              <w:right w:val="single" w:sz="4" w:space="0" w:color="auto"/>
            </w:tcBorders>
          </w:tcPr>
          <w:p w14:paraId="54771B20" w14:textId="77777777" w:rsidR="00B53489" w:rsidRDefault="00B53489" w:rsidP="00E63C8F">
            <w:pPr>
              <w:spacing w:line="240" w:lineRule="auto"/>
              <w:jc w:val="center"/>
              <w:rPr>
                <w:rFonts w:cs="Times New Roman"/>
              </w:rPr>
            </w:pPr>
            <w:r>
              <w:rPr>
                <w:rFonts w:cs="Times New Roman"/>
              </w:rPr>
              <w:t>£30,000</w:t>
            </w:r>
          </w:p>
        </w:tc>
        <w:tc>
          <w:tcPr>
            <w:tcW w:w="1503" w:type="dxa"/>
            <w:tcBorders>
              <w:top w:val="single" w:sz="4" w:space="0" w:color="auto"/>
              <w:left w:val="single" w:sz="4" w:space="0" w:color="auto"/>
              <w:bottom w:val="single" w:sz="4" w:space="0" w:color="auto"/>
              <w:right w:val="single" w:sz="4" w:space="0" w:color="auto"/>
            </w:tcBorders>
          </w:tcPr>
          <w:p w14:paraId="78587788" w14:textId="77777777" w:rsidR="00B53489" w:rsidRDefault="00B53489" w:rsidP="00E63C8F">
            <w:pPr>
              <w:spacing w:line="240" w:lineRule="auto"/>
              <w:jc w:val="center"/>
              <w:rPr>
                <w:rFonts w:cs="Times New Roman"/>
              </w:rPr>
            </w:pPr>
            <w:r>
              <w:rPr>
                <w:rFonts w:cs="Times New Roman"/>
              </w:rPr>
              <w:t>£50,000</w:t>
            </w:r>
          </w:p>
        </w:tc>
        <w:tc>
          <w:tcPr>
            <w:tcW w:w="1503" w:type="dxa"/>
            <w:tcBorders>
              <w:top w:val="single" w:sz="4" w:space="0" w:color="auto"/>
              <w:left w:val="single" w:sz="4" w:space="0" w:color="auto"/>
              <w:bottom w:val="single" w:sz="4" w:space="0" w:color="auto"/>
              <w:right w:val="single" w:sz="4" w:space="0" w:color="auto"/>
            </w:tcBorders>
          </w:tcPr>
          <w:p w14:paraId="74EEA599" w14:textId="77777777" w:rsidR="00B53489" w:rsidRDefault="00B53489" w:rsidP="00E63C8F">
            <w:pPr>
              <w:spacing w:line="240" w:lineRule="auto"/>
              <w:jc w:val="center"/>
              <w:rPr>
                <w:rFonts w:cs="Times New Roman"/>
              </w:rPr>
            </w:pPr>
            <w:r>
              <w:rPr>
                <w:rFonts w:cs="Times New Roman"/>
              </w:rPr>
              <w:t>£100,000</w:t>
            </w:r>
          </w:p>
        </w:tc>
        <w:tc>
          <w:tcPr>
            <w:tcW w:w="1503" w:type="dxa"/>
            <w:tcBorders>
              <w:top w:val="single" w:sz="4" w:space="0" w:color="auto"/>
              <w:left w:val="single" w:sz="4" w:space="0" w:color="auto"/>
              <w:bottom w:val="single" w:sz="4" w:space="0" w:color="auto"/>
              <w:right w:val="single" w:sz="4" w:space="0" w:color="auto"/>
            </w:tcBorders>
          </w:tcPr>
          <w:p w14:paraId="0253CEE7" w14:textId="77777777" w:rsidR="00B53489" w:rsidRDefault="00B53489" w:rsidP="00E63C8F">
            <w:pPr>
              <w:spacing w:line="240" w:lineRule="auto"/>
              <w:jc w:val="center"/>
              <w:rPr>
                <w:rFonts w:cs="Times New Roman"/>
              </w:rPr>
            </w:pPr>
            <w:r>
              <w:rPr>
                <w:rFonts w:cs="Times New Roman"/>
              </w:rPr>
              <w:t>£300,000</w:t>
            </w:r>
          </w:p>
        </w:tc>
      </w:tr>
      <w:tr w:rsidR="00B53489" w14:paraId="646814E5" w14:textId="77777777" w:rsidTr="00CA4E0C">
        <w:tc>
          <w:tcPr>
            <w:tcW w:w="1502" w:type="dxa"/>
            <w:tcBorders>
              <w:top w:val="single" w:sz="4" w:space="0" w:color="auto"/>
              <w:left w:val="single" w:sz="4" w:space="0" w:color="auto"/>
              <w:bottom w:val="single" w:sz="4" w:space="0" w:color="auto"/>
              <w:right w:val="single" w:sz="4" w:space="0" w:color="auto"/>
            </w:tcBorders>
          </w:tcPr>
          <w:p w14:paraId="67D30CBE" w14:textId="77777777" w:rsidR="00B53489" w:rsidRDefault="00B53489" w:rsidP="00E63C8F">
            <w:pPr>
              <w:spacing w:line="240" w:lineRule="auto"/>
              <w:rPr>
                <w:rFonts w:cs="Times New Roman"/>
              </w:rPr>
            </w:pPr>
            <w:r>
              <w:rPr>
                <w:rFonts w:cs="Times New Roman"/>
              </w:rPr>
              <w:t>S1</w:t>
            </w:r>
          </w:p>
        </w:tc>
        <w:tc>
          <w:tcPr>
            <w:tcW w:w="1502" w:type="dxa"/>
            <w:tcBorders>
              <w:top w:val="single" w:sz="4" w:space="0" w:color="auto"/>
              <w:left w:val="single" w:sz="4" w:space="0" w:color="auto"/>
              <w:bottom w:val="single" w:sz="4" w:space="0" w:color="auto"/>
              <w:right w:val="single" w:sz="4" w:space="0" w:color="auto"/>
            </w:tcBorders>
          </w:tcPr>
          <w:p w14:paraId="269CB36F" w14:textId="77777777" w:rsidR="00B53489" w:rsidRDefault="00B53489" w:rsidP="00E63C8F">
            <w:pPr>
              <w:spacing w:line="240" w:lineRule="auto"/>
              <w:rPr>
                <w:rFonts w:cs="Times New Roman"/>
              </w:rPr>
            </w:pPr>
            <w:r>
              <w:rPr>
                <w:rFonts w:cs="Times New Roman"/>
              </w:rPr>
              <w:t>Base Case</w:t>
            </w:r>
          </w:p>
        </w:tc>
        <w:tc>
          <w:tcPr>
            <w:tcW w:w="1503" w:type="dxa"/>
            <w:tcBorders>
              <w:top w:val="single" w:sz="4" w:space="0" w:color="auto"/>
              <w:left w:val="single" w:sz="4" w:space="0" w:color="auto"/>
              <w:bottom w:val="single" w:sz="4" w:space="0" w:color="auto"/>
              <w:right w:val="single" w:sz="4" w:space="0" w:color="auto"/>
            </w:tcBorders>
          </w:tcPr>
          <w:p w14:paraId="649C7E11" w14:textId="77777777" w:rsidR="00B53489" w:rsidRDefault="00B53489" w:rsidP="00E63C8F">
            <w:pPr>
              <w:spacing w:line="240" w:lineRule="auto"/>
              <w:jc w:val="center"/>
              <w:rPr>
                <w:rFonts w:cs="Times New Roman"/>
              </w:rPr>
            </w:pPr>
            <w:r>
              <w:rPr>
                <w:rFonts w:cs="Times New Roman"/>
              </w:rPr>
              <w:t>£11.21</w:t>
            </w:r>
          </w:p>
        </w:tc>
        <w:tc>
          <w:tcPr>
            <w:tcW w:w="1503" w:type="dxa"/>
            <w:tcBorders>
              <w:top w:val="single" w:sz="4" w:space="0" w:color="auto"/>
              <w:left w:val="single" w:sz="4" w:space="0" w:color="auto"/>
              <w:bottom w:val="single" w:sz="4" w:space="0" w:color="auto"/>
              <w:right w:val="single" w:sz="4" w:space="0" w:color="auto"/>
            </w:tcBorders>
          </w:tcPr>
          <w:p w14:paraId="629D3CB9" w14:textId="77777777" w:rsidR="00B53489" w:rsidRDefault="00B53489" w:rsidP="00E63C8F">
            <w:pPr>
              <w:spacing w:line="240" w:lineRule="auto"/>
              <w:jc w:val="center"/>
              <w:rPr>
                <w:rFonts w:cs="Times New Roman"/>
              </w:rPr>
            </w:pPr>
            <w:r>
              <w:rPr>
                <w:rFonts w:cs="Times New Roman"/>
              </w:rPr>
              <w:t>£12.70</w:t>
            </w:r>
          </w:p>
        </w:tc>
        <w:tc>
          <w:tcPr>
            <w:tcW w:w="1503" w:type="dxa"/>
            <w:tcBorders>
              <w:top w:val="single" w:sz="4" w:space="0" w:color="auto"/>
              <w:left w:val="single" w:sz="4" w:space="0" w:color="auto"/>
              <w:bottom w:val="single" w:sz="4" w:space="0" w:color="auto"/>
              <w:right w:val="single" w:sz="4" w:space="0" w:color="auto"/>
            </w:tcBorders>
          </w:tcPr>
          <w:p w14:paraId="452F6A49" w14:textId="77777777" w:rsidR="00B53489" w:rsidRDefault="00B53489" w:rsidP="00E63C8F">
            <w:pPr>
              <w:spacing w:line="240" w:lineRule="auto"/>
              <w:jc w:val="center"/>
              <w:rPr>
                <w:rFonts w:cs="Times New Roman"/>
              </w:rPr>
            </w:pPr>
            <w:r>
              <w:rPr>
                <w:rFonts w:cs="Times New Roman"/>
              </w:rPr>
              <w:t>£16.43</w:t>
            </w:r>
          </w:p>
        </w:tc>
        <w:tc>
          <w:tcPr>
            <w:tcW w:w="1503" w:type="dxa"/>
            <w:tcBorders>
              <w:top w:val="single" w:sz="4" w:space="0" w:color="auto"/>
              <w:left w:val="single" w:sz="4" w:space="0" w:color="auto"/>
              <w:bottom w:val="single" w:sz="4" w:space="0" w:color="auto"/>
              <w:right w:val="single" w:sz="4" w:space="0" w:color="auto"/>
            </w:tcBorders>
          </w:tcPr>
          <w:p w14:paraId="470D4DA2" w14:textId="77777777" w:rsidR="00B53489" w:rsidRDefault="00B53489" w:rsidP="00E63C8F">
            <w:pPr>
              <w:spacing w:line="240" w:lineRule="auto"/>
              <w:jc w:val="center"/>
              <w:rPr>
                <w:rFonts w:cs="Times New Roman"/>
              </w:rPr>
            </w:pPr>
            <w:r>
              <w:rPr>
                <w:rFonts w:cs="Times New Roman"/>
              </w:rPr>
              <w:t>£31.32</w:t>
            </w:r>
          </w:p>
        </w:tc>
      </w:tr>
      <w:tr w:rsidR="00B53489" w14:paraId="23FCACD9" w14:textId="77777777" w:rsidTr="00CA4E0C">
        <w:tc>
          <w:tcPr>
            <w:tcW w:w="1502" w:type="dxa"/>
            <w:tcBorders>
              <w:top w:val="single" w:sz="4" w:space="0" w:color="auto"/>
              <w:left w:val="single" w:sz="4" w:space="0" w:color="auto"/>
              <w:bottom w:val="single" w:sz="4" w:space="0" w:color="auto"/>
              <w:right w:val="single" w:sz="4" w:space="0" w:color="auto"/>
            </w:tcBorders>
          </w:tcPr>
          <w:p w14:paraId="07F67541" w14:textId="77777777" w:rsidR="00B53489" w:rsidRDefault="00B53489" w:rsidP="00E63C8F">
            <w:pPr>
              <w:spacing w:line="240" w:lineRule="auto"/>
              <w:rPr>
                <w:rFonts w:cs="Times New Roman"/>
              </w:rPr>
            </w:pPr>
          </w:p>
        </w:tc>
        <w:tc>
          <w:tcPr>
            <w:tcW w:w="1502" w:type="dxa"/>
            <w:tcBorders>
              <w:top w:val="single" w:sz="4" w:space="0" w:color="auto"/>
              <w:left w:val="single" w:sz="4" w:space="0" w:color="auto"/>
              <w:bottom w:val="single" w:sz="4" w:space="0" w:color="auto"/>
              <w:right w:val="single" w:sz="4" w:space="0" w:color="auto"/>
            </w:tcBorders>
          </w:tcPr>
          <w:p w14:paraId="14FCECD9" w14:textId="77777777" w:rsidR="00B53489" w:rsidRDefault="00B53489" w:rsidP="00E63C8F">
            <w:pPr>
              <w:spacing w:line="240" w:lineRule="auto"/>
              <w:rPr>
                <w:rFonts w:cs="Times New Roman"/>
              </w:rPr>
            </w:pPr>
            <w:r>
              <w:rPr>
                <w:rFonts w:cs="Times New Roman"/>
              </w:rPr>
              <w:t>Favourable</w:t>
            </w:r>
          </w:p>
        </w:tc>
        <w:tc>
          <w:tcPr>
            <w:tcW w:w="1503" w:type="dxa"/>
            <w:tcBorders>
              <w:top w:val="single" w:sz="4" w:space="0" w:color="auto"/>
              <w:left w:val="single" w:sz="4" w:space="0" w:color="auto"/>
              <w:bottom w:val="single" w:sz="4" w:space="0" w:color="auto"/>
              <w:right w:val="single" w:sz="4" w:space="0" w:color="auto"/>
            </w:tcBorders>
          </w:tcPr>
          <w:p w14:paraId="4616F714" w14:textId="77777777" w:rsidR="00B53489" w:rsidRDefault="00B53489" w:rsidP="00E63C8F">
            <w:pPr>
              <w:spacing w:line="240" w:lineRule="auto"/>
              <w:jc w:val="center"/>
              <w:rPr>
                <w:rFonts w:cs="Times New Roman"/>
              </w:rPr>
            </w:pPr>
            <w:r>
              <w:rPr>
                <w:rFonts w:cs="Times New Roman"/>
              </w:rPr>
              <w:t>£11.60</w:t>
            </w:r>
          </w:p>
        </w:tc>
        <w:tc>
          <w:tcPr>
            <w:tcW w:w="1503" w:type="dxa"/>
            <w:tcBorders>
              <w:top w:val="single" w:sz="4" w:space="0" w:color="auto"/>
              <w:left w:val="single" w:sz="4" w:space="0" w:color="auto"/>
              <w:bottom w:val="single" w:sz="4" w:space="0" w:color="auto"/>
              <w:right w:val="single" w:sz="4" w:space="0" w:color="auto"/>
            </w:tcBorders>
          </w:tcPr>
          <w:p w14:paraId="7A11A795" w14:textId="77777777" w:rsidR="00B53489" w:rsidRDefault="00B53489" w:rsidP="00E63C8F">
            <w:pPr>
              <w:spacing w:line="240" w:lineRule="auto"/>
              <w:jc w:val="center"/>
              <w:rPr>
                <w:rFonts w:cs="Times New Roman"/>
              </w:rPr>
            </w:pPr>
            <w:r>
              <w:rPr>
                <w:rFonts w:cs="Times New Roman"/>
              </w:rPr>
              <w:t>£13.09</w:t>
            </w:r>
          </w:p>
        </w:tc>
        <w:tc>
          <w:tcPr>
            <w:tcW w:w="1503" w:type="dxa"/>
            <w:tcBorders>
              <w:top w:val="single" w:sz="4" w:space="0" w:color="auto"/>
              <w:left w:val="single" w:sz="4" w:space="0" w:color="auto"/>
              <w:bottom w:val="single" w:sz="4" w:space="0" w:color="auto"/>
              <w:right w:val="single" w:sz="4" w:space="0" w:color="auto"/>
            </w:tcBorders>
          </w:tcPr>
          <w:p w14:paraId="1256FFDC" w14:textId="77777777" w:rsidR="00B53489" w:rsidRDefault="00B53489" w:rsidP="00E63C8F">
            <w:pPr>
              <w:spacing w:line="240" w:lineRule="auto"/>
              <w:jc w:val="center"/>
              <w:rPr>
                <w:rFonts w:cs="Times New Roman"/>
              </w:rPr>
            </w:pPr>
            <w:r>
              <w:rPr>
                <w:rFonts w:cs="Times New Roman"/>
              </w:rPr>
              <w:t>£16.81</w:t>
            </w:r>
          </w:p>
        </w:tc>
        <w:tc>
          <w:tcPr>
            <w:tcW w:w="1503" w:type="dxa"/>
            <w:tcBorders>
              <w:top w:val="single" w:sz="4" w:space="0" w:color="auto"/>
              <w:left w:val="single" w:sz="4" w:space="0" w:color="auto"/>
              <w:bottom w:val="single" w:sz="4" w:space="0" w:color="auto"/>
              <w:right w:val="single" w:sz="4" w:space="0" w:color="auto"/>
            </w:tcBorders>
          </w:tcPr>
          <w:p w14:paraId="2EA250A6" w14:textId="77777777" w:rsidR="00B53489" w:rsidRDefault="00B53489" w:rsidP="00E63C8F">
            <w:pPr>
              <w:spacing w:line="240" w:lineRule="auto"/>
              <w:jc w:val="center"/>
              <w:rPr>
                <w:rFonts w:cs="Times New Roman"/>
              </w:rPr>
            </w:pPr>
            <w:r>
              <w:rPr>
                <w:rFonts w:cs="Times New Roman"/>
              </w:rPr>
              <w:t>£31.71</w:t>
            </w:r>
          </w:p>
        </w:tc>
      </w:tr>
      <w:tr w:rsidR="00B53489" w14:paraId="2A9D1082" w14:textId="77777777" w:rsidTr="00CA4E0C">
        <w:tc>
          <w:tcPr>
            <w:tcW w:w="1502" w:type="dxa"/>
            <w:tcBorders>
              <w:top w:val="single" w:sz="4" w:space="0" w:color="auto"/>
              <w:left w:val="single" w:sz="4" w:space="0" w:color="auto"/>
              <w:bottom w:val="single" w:sz="4" w:space="0" w:color="auto"/>
              <w:right w:val="single" w:sz="4" w:space="0" w:color="auto"/>
            </w:tcBorders>
          </w:tcPr>
          <w:p w14:paraId="2F7FD1AE" w14:textId="77777777" w:rsidR="00B53489" w:rsidRDefault="00B53489" w:rsidP="00E63C8F">
            <w:pPr>
              <w:spacing w:line="240" w:lineRule="auto"/>
              <w:rPr>
                <w:rFonts w:cs="Times New Roman"/>
              </w:rPr>
            </w:pPr>
            <w:r>
              <w:rPr>
                <w:rFonts w:cs="Times New Roman"/>
              </w:rPr>
              <w:t>S2</w:t>
            </w:r>
          </w:p>
        </w:tc>
        <w:tc>
          <w:tcPr>
            <w:tcW w:w="1502" w:type="dxa"/>
            <w:tcBorders>
              <w:top w:val="single" w:sz="4" w:space="0" w:color="auto"/>
              <w:left w:val="single" w:sz="4" w:space="0" w:color="auto"/>
              <w:bottom w:val="single" w:sz="4" w:space="0" w:color="auto"/>
              <w:right w:val="single" w:sz="4" w:space="0" w:color="auto"/>
            </w:tcBorders>
          </w:tcPr>
          <w:p w14:paraId="559BD9AD" w14:textId="77777777" w:rsidR="00B53489" w:rsidRDefault="00B53489" w:rsidP="00E63C8F">
            <w:pPr>
              <w:spacing w:line="240" w:lineRule="auto"/>
              <w:rPr>
                <w:rFonts w:cs="Times New Roman"/>
              </w:rPr>
            </w:pPr>
            <w:r>
              <w:rPr>
                <w:rFonts w:cs="Times New Roman"/>
              </w:rPr>
              <w:t>Base Case</w:t>
            </w:r>
          </w:p>
        </w:tc>
        <w:tc>
          <w:tcPr>
            <w:tcW w:w="1503" w:type="dxa"/>
            <w:tcBorders>
              <w:top w:val="single" w:sz="4" w:space="0" w:color="auto"/>
              <w:left w:val="single" w:sz="4" w:space="0" w:color="auto"/>
              <w:bottom w:val="single" w:sz="4" w:space="0" w:color="auto"/>
              <w:right w:val="single" w:sz="4" w:space="0" w:color="auto"/>
            </w:tcBorders>
          </w:tcPr>
          <w:p w14:paraId="56FA970A" w14:textId="77777777" w:rsidR="00B53489" w:rsidRDefault="00B53489" w:rsidP="00E63C8F">
            <w:pPr>
              <w:spacing w:line="240" w:lineRule="auto"/>
              <w:jc w:val="center"/>
              <w:rPr>
                <w:rFonts w:cs="Times New Roman"/>
              </w:rPr>
            </w:pPr>
            <w:r>
              <w:rPr>
                <w:rFonts w:cs="Times New Roman"/>
              </w:rPr>
              <w:t>£13.44</w:t>
            </w:r>
          </w:p>
        </w:tc>
        <w:tc>
          <w:tcPr>
            <w:tcW w:w="1503" w:type="dxa"/>
            <w:tcBorders>
              <w:top w:val="single" w:sz="4" w:space="0" w:color="auto"/>
              <w:left w:val="single" w:sz="4" w:space="0" w:color="auto"/>
              <w:bottom w:val="single" w:sz="4" w:space="0" w:color="auto"/>
              <w:right w:val="single" w:sz="4" w:space="0" w:color="auto"/>
            </w:tcBorders>
          </w:tcPr>
          <w:p w14:paraId="668148A0" w14:textId="77777777" w:rsidR="00B53489" w:rsidRDefault="00B53489" w:rsidP="00E63C8F">
            <w:pPr>
              <w:spacing w:line="240" w:lineRule="auto"/>
              <w:jc w:val="center"/>
              <w:rPr>
                <w:rFonts w:cs="Times New Roman"/>
              </w:rPr>
            </w:pPr>
            <w:r>
              <w:rPr>
                <w:rFonts w:cs="Times New Roman"/>
              </w:rPr>
              <w:t>£16.28</w:t>
            </w:r>
          </w:p>
        </w:tc>
        <w:tc>
          <w:tcPr>
            <w:tcW w:w="1503" w:type="dxa"/>
            <w:tcBorders>
              <w:top w:val="single" w:sz="4" w:space="0" w:color="auto"/>
              <w:left w:val="single" w:sz="4" w:space="0" w:color="auto"/>
              <w:bottom w:val="single" w:sz="4" w:space="0" w:color="auto"/>
              <w:right w:val="single" w:sz="4" w:space="0" w:color="auto"/>
            </w:tcBorders>
          </w:tcPr>
          <w:p w14:paraId="08CC14D8" w14:textId="77777777" w:rsidR="00B53489" w:rsidRDefault="00B53489" w:rsidP="00E63C8F">
            <w:pPr>
              <w:spacing w:line="240" w:lineRule="auto"/>
              <w:jc w:val="center"/>
              <w:rPr>
                <w:rFonts w:cs="Times New Roman"/>
              </w:rPr>
            </w:pPr>
            <w:r>
              <w:rPr>
                <w:rFonts w:cs="Times New Roman"/>
              </w:rPr>
              <w:t>£23.36</w:t>
            </w:r>
          </w:p>
        </w:tc>
        <w:tc>
          <w:tcPr>
            <w:tcW w:w="1503" w:type="dxa"/>
            <w:tcBorders>
              <w:top w:val="single" w:sz="4" w:space="0" w:color="auto"/>
              <w:left w:val="single" w:sz="4" w:space="0" w:color="auto"/>
              <w:bottom w:val="single" w:sz="4" w:space="0" w:color="auto"/>
              <w:right w:val="single" w:sz="4" w:space="0" w:color="auto"/>
            </w:tcBorders>
          </w:tcPr>
          <w:p w14:paraId="18485978" w14:textId="77777777" w:rsidR="00B53489" w:rsidRDefault="00B53489" w:rsidP="00E63C8F">
            <w:pPr>
              <w:spacing w:line="240" w:lineRule="auto"/>
              <w:jc w:val="center"/>
              <w:rPr>
                <w:rFonts w:cs="Times New Roman"/>
              </w:rPr>
            </w:pPr>
            <w:r>
              <w:rPr>
                <w:rFonts w:cs="Times New Roman"/>
              </w:rPr>
              <w:t>£51.71</w:t>
            </w:r>
          </w:p>
        </w:tc>
      </w:tr>
      <w:tr w:rsidR="00B53489" w14:paraId="643D321E" w14:textId="77777777" w:rsidTr="00CA4E0C">
        <w:tc>
          <w:tcPr>
            <w:tcW w:w="1502" w:type="dxa"/>
            <w:tcBorders>
              <w:top w:val="single" w:sz="4" w:space="0" w:color="auto"/>
              <w:left w:val="single" w:sz="4" w:space="0" w:color="auto"/>
              <w:bottom w:val="single" w:sz="4" w:space="0" w:color="auto"/>
              <w:right w:val="single" w:sz="4" w:space="0" w:color="auto"/>
            </w:tcBorders>
          </w:tcPr>
          <w:p w14:paraId="668F22BE" w14:textId="77777777" w:rsidR="00B53489" w:rsidRDefault="00B53489" w:rsidP="00E63C8F">
            <w:pPr>
              <w:spacing w:line="240" w:lineRule="auto"/>
              <w:rPr>
                <w:rFonts w:cs="Times New Roman"/>
              </w:rPr>
            </w:pPr>
          </w:p>
        </w:tc>
        <w:tc>
          <w:tcPr>
            <w:tcW w:w="1502" w:type="dxa"/>
            <w:tcBorders>
              <w:top w:val="single" w:sz="4" w:space="0" w:color="auto"/>
              <w:left w:val="single" w:sz="4" w:space="0" w:color="auto"/>
              <w:bottom w:val="single" w:sz="4" w:space="0" w:color="auto"/>
              <w:right w:val="single" w:sz="4" w:space="0" w:color="auto"/>
            </w:tcBorders>
          </w:tcPr>
          <w:p w14:paraId="1C34B2DC" w14:textId="77777777" w:rsidR="00B53489" w:rsidRDefault="00B53489" w:rsidP="00E63C8F">
            <w:pPr>
              <w:spacing w:line="240" w:lineRule="auto"/>
              <w:rPr>
                <w:rFonts w:cs="Times New Roman"/>
              </w:rPr>
            </w:pPr>
            <w:r>
              <w:rPr>
                <w:rFonts w:cs="Times New Roman"/>
              </w:rPr>
              <w:t>Favourable</w:t>
            </w:r>
          </w:p>
        </w:tc>
        <w:tc>
          <w:tcPr>
            <w:tcW w:w="1503" w:type="dxa"/>
            <w:tcBorders>
              <w:top w:val="single" w:sz="4" w:space="0" w:color="auto"/>
              <w:left w:val="single" w:sz="4" w:space="0" w:color="auto"/>
              <w:bottom w:val="single" w:sz="4" w:space="0" w:color="auto"/>
              <w:right w:val="single" w:sz="4" w:space="0" w:color="auto"/>
            </w:tcBorders>
          </w:tcPr>
          <w:p w14:paraId="2CBE619D" w14:textId="77777777" w:rsidR="00B53489" w:rsidRDefault="00B53489" w:rsidP="00E63C8F">
            <w:pPr>
              <w:spacing w:line="240" w:lineRule="auto"/>
              <w:jc w:val="center"/>
              <w:rPr>
                <w:rFonts w:cs="Times New Roman"/>
              </w:rPr>
            </w:pPr>
            <w:r>
              <w:rPr>
                <w:rFonts w:cs="Times New Roman"/>
              </w:rPr>
              <w:t>£13.91</w:t>
            </w:r>
          </w:p>
        </w:tc>
        <w:tc>
          <w:tcPr>
            <w:tcW w:w="1503" w:type="dxa"/>
            <w:tcBorders>
              <w:top w:val="single" w:sz="4" w:space="0" w:color="auto"/>
              <w:left w:val="single" w:sz="4" w:space="0" w:color="auto"/>
              <w:bottom w:val="single" w:sz="4" w:space="0" w:color="auto"/>
              <w:right w:val="single" w:sz="4" w:space="0" w:color="auto"/>
            </w:tcBorders>
          </w:tcPr>
          <w:p w14:paraId="1EB386A6" w14:textId="77777777" w:rsidR="00B53489" w:rsidRDefault="00B53489" w:rsidP="00E63C8F">
            <w:pPr>
              <w:spacing w:line="240" w:lineRule="auto"/>
              <w:jc w:val="center"/>
              <w:rPr>
                <w:rFonts w:cs="Times New Roman"/>
              </w:rPr>
            </w:pPr>
            <w:r>
              <w:rPr>
                <w:rFonts w:cs="Times New Roman"/>
              </w:rPr>
              <w:t>£16.75</w:t>
            </w:r>
          </w:p>
        </w:tc>
        <w:tc>
          <w:tcPr>
            <w:tcW w:w="1503" w:type="dxa"/>
            <w:tcBorders>
              <w:top w:val="single" w:sz="4" w:space="0" w:color="auto"/>
              <w:left w:val="single" w:sz="4" w:space="0" w:color="auto"/>
              <w:bottom w:val="single" w:sz="4" w:space="0" w:color="auto"/>
              <w:right w:val="single" w:sz="4" w:space="0" w:color="auto"/>
            </w:tcBorders>
          </w:tcPr>
          <w:p w14:paraId="68415423" w14:textId="77777777" w:rsidR="00B53489" w:rsidRDefault="00B53489" w:rsidP="00E63C8F">
            <w:pPr>
              <w:spacing w:line="240" w:lineRule="auto"/>
              <w:jc w:val="center"/>
              <w:rPr>
                <w:rFonts w:cs="Times New Roman"/>
              </w:rPr>
            </w:pPr>
            <w:r>
              <w:rPr>
                <w:rFonts w:cs="Times New Roman"/>
              </w:rPr>
              <w:t>£23.83</w:t>
            </w:r>
          </w:p>
        </w:tc>
        <w:tc>
          <w:tcPr>
            <w:tcW w:w="1503" w:type="dxa"/>
            <w:tcBorders>
              <w:top w:val="single" w:sz="4" w:space="0" w:color="auto"/>
              <w:left w:val="single" w:sz="4" w:space="0" w:color="auto"/>
              <w:bottom w:val="single" w:sz="4" w:space="0" w:color="auto"/>
              <w:right w:val="single" w:sz="4" w:space="0" w:color="auto"/>
            </w:tcBorders>
          </w:tcPr>
          <w:p w14:paraId="2D45A7A5" w14:textId="77777777" w:rsidR="00B53489" w:rsidRDefault="00B53489" w:rsidP="00E63C8F">
            <w:pPr>
              <w:spacing w:line="240" w:lineRule="auto"/>
              <w:jc w:val="center"/>
              <w:rPr>
                <w:rFonts w:cs="Times New Roman"/>
              </w:rPr>
            </w:pPr>
            <w:r>
              <w:rPr>
                <w:rFonts w:cs="Times New Roman"/>
              </w:rPr>
              <w:t>£52.18</w:t>
            </w:r>
          </w:p>
        </w:tc>
      </w:tr>
      <w:tr w:rsidR="00B53489" w14:paraId="57FCE3CE" w14:textId="77777777" w:rsidTr="00CA4E0C">
        <w:tc>
          <w:tcPr>
            <w:tcW w:w="1502" w:type="dxa"/>
            <w:tcBorders>
              <w:top w:val="single" w:sz="4" w:space="0" w:color="auto"/>
              <w:left w:val="single" w:sz="4" w:space="0" w:color="auto"/>
              <w:bottom w:val="single" w:sz="4" w:space="0" w:color="auto"/>
              <w:right w:val="single" w:sz="4" w:space="0" w:color="auto"/>
            </w:tcBorders>
          </w:tcPr>
          <w:p w14:paraId="1AB88630" w14:textId="77777777" w:rsidR="00B53489" w:rsidRDefault="00B53489" w:rsidP="00E63C8F">
            <w:pPr>
              <w:spacing w:line="240" w:lineRule="auto"/>
              <w:rPr>
                <w:rFonts w:cs="Times New Roman"/>
              </w:rPr>
            </w:pPr>
            <w:r>
              <w:rPr>
                <w:rFonts w:cs="Times New Roman"/>
              </w:rPr>
              <w:t>S3</w:t>
            </w:r>
          </w:p>
        </w:tc>
        <w:tc>
          <w:tcPr>
            <w:tcW w:w="1502" w:type="dxa"/>
            <w:tcBorders>
              <w:top w:val="single" w:sz="4" w:space="0" w:color="auto"/>
              <w:left w:val="single" w:sz="4" w:space="0" w:color="auto"/>
              <w:bottom w:val="single" w:sz="4" w:space="0" w:color="auto"/>
              <w:right w:val="single" w:sz="4" w:space="0" w:color="auto"/>
            </w:tcBorders>
          </w:tcPr>
          <w:p w14:paraId="34009862" w14:textId="77777777" w:rsidR="00B53489" w:rsidRDefault="00B53489" w:rsidP="00E63C8F">
            <w:pPr>
              <w:spacing w:line="240" w:lineRule="auto"/>
              <w:rPr>
                <w:rFonts w:cs="Times New Roman"/>
              </w:rPr>
            </w:pPr>
            <w:r>
              <w:rPr>
                <w:rFonts w:cs="Times New Roman"/>
              </w:rPr>
              <w:t>Base Case</w:t>
            </w:r>
          </w:p>
        </w:tc>
        <w:tc>
          <w:tcPr>
            <w:tcW w:w="1503" w:type="dxa"/>
            <w:tcBorders>
              <w:top w:val="single" w:sz="4" w:space="0" w:color="auto"/>
              <w:left w:val="single" w:sz="4" w:space="0" w:color="auto"/>
              <w:bottom w:val="single" w:sz="4" w:space="0" w:color="auto"/>
              <w:right w:val="single" w:sz="4" w:space="0" w:color="auto"/>
            </w:tcBorders>
          </w:tcPr>
          <w:p w14:paraId="15E2C33E" w14:textId="77777777" w:rsidR="00B53489" w:rsidRDefault="00B53489" w:rsidP="00E63C8F">
            <w:pPr>
              <w:spacing w:line="240" w:lineRule="auto"/>
              <w:jc w:val="center"/>
              <w:rPr>
                <w:rFonts w:cs="Times New Roman"/>
              </w:rPr>
            </w:pPr>
            <w:r>
              <w:rPr>
                <w:rFonts w:cs="Times New Roman"/>
              </w:rPr>
              <w:t>£30.66</w:t>
            </w:r>
          </w:p>
        </w:tc>
        <w:tc>
          <w:tcPr>
            <w:tcW w:w="1503" w:type="dxa"/>
            <w:tcBorders>
              <w:top w:val="single" w:sz="4" w:space="0" w:color="auto"/>
              <w:left w:val="single" w:sz="4" w:space="0" w:color="auto"/>
              <w:bottom w:val="single" w:sz="4" w:space="0" w:color="auto"/>
              <w:right w:val="single" w:sz="4" w:space="0" w:color="auto"/>
            </w:tcBorders>
          </w:tcPr>
          <w:p w14:paraId="3768DA9F" w14:textId="77777777" w:rsidR="00B53489" w:rsidRDefault="00B53489" w:rsidP="00E63C8F">
            <w:pPr>
              <w:spacing w:line="240" w:lineRule="auto"/>
              <w:jc w:val="center"/>
              <w:rPr>
                <w:rFonts w:cs="Times New Roman"/>
              </w:rPr>
            </w:pPr>
            <w:r>
              <w:rPr>
                <w:rFonts w:cs="Times New Roman"/>
              </w:rPr>
              <w:t>£43.67</w:t>
            </w:r>
          </w:p>
        </w:tc>
        <w:tc>
          <w:tcPr>
            <w:tcW w:w="1503" w:type="dxa"/>
            <w:tcBorders>
              <w:top w:val="single" w:sz="4" w:space="0" w:color="auto"/>
              <w:left w:val="single" w:sz="4" w:space="0" w:color="auto"/>
              <w:bottom w:val="single" w:sz="4" w:space="0" w:color="auto"/>
              <w:right w:val="single" w:sz="4" w:space="0" w:color="auto"/>
            </w:tcBorders>
          </w:tcPr>
          <w:p w14:paraId="4C97C8F9" w14:textId="77777777" w:rsidR="00B53489" w:rsidRDefault="00B53489" w:rsidP="00E63C8F">
            <w:pPr>
              <w:spacing w:line="240" w:lineRule="auto"/>
              <w:jc w:val="center"/>
              <w:rPr>
                <w:rFonts w:cs="Times New Roman"/>
              </w:rPr>
            </w:pPr>
            <w:r>
              <w:rPr>
                <w:rFonts w:cs="Times New Roman"/>
              </w:rPr>
              <w:t>£76.19</w:t>
            </w:r>
          </w:p>
        </w:tc>
        <w:tc>
          <w:tcPr>
            <w:tcW w:w="1503" w:type="dxa"/>
            <w:tcBorders>
              <w:top w:val="single" w:sz="4" w:space="0" w:color="auto"/>
              <w:left w:val="single" w:sz="4" w:space="0" w:color="auto"/>
              <w:bottom w:val="single" w:sz="4" w:space="0" w:color="auto"/>
              <w:right w:val="single" w:sz="4" w:space="0" w:color="auto"/>
            </w:tcBorders>
          </w:tcPr>
          <w:p w14:paraId="7605CFAC" w14:textId="77777777" w:rsidR="00B53489" w:rsidRDefault="00B53489" w:rsidP="00E63C8F">
            <w:pPr>
              <w:spacing w:line="240" w:lineRule="auto"/>
              <w:jc w:val="center"/>
              <w:rPr>
                <w:rFonts w:cs="Times New Roman"/>
              </w:rPr>
            </w:pPr>
            <w:r>
              <w:rPr>
                <w:rFonts w:cs="Times New Roman"/>
              </w:rPr>
              <w:t>£206.27</w:t>
            </w:r>
          </w:p>
        </w:tc>
      </w:tr>
      <w:tr w:rsidR="00B53489" w14:paraId="07F17B75" w14:textId="77777777" w:rsidTr="00CA4E0C">
        <w:tc>
          <w:tcPr>
            <w:tcW w:w="1502" w:type="dxa"/>
            <w:tcBorders>
              <w:top w:val="single" w:sz="4" w:space="0" w:color="auto"/>
              <w:left w:val="single" w:sz="4" w:space="0" w:color="auto"/>
              <w:bottom w:val="single" w:sz="4" w:space="0" w:color="auto"/>
              <w:right w:val="single" w:sz="4" w:space="0" w:color="auto"/>
            </w:tcBorders>
          </w:tcPr>
          <w:p w14:paraId="1BBC4C73" w14:textId="77777777" w:rsidR="00B53489" w:rsidRDefault="00B53489" w:rsidP="00E63C8F">
            <w:pPr>
              <w:spacing w:line="240" w:lineRule="auto"/>
              <w:rPr>
                <w:rFonts w:cs="Times New Roman"/>
              </w:rPr>
            </w:pPr>
          </w:p>
        </w:tc>
        <w:tc>
          <w:tcPr>
            <w:tcW w:w="1502" w:type="dxa"/>
            <w:tcBorders>
              <w:top w:val="single" w:sz="4" w:space="0" w:color="auto"/>
              <w:left w:val="single" w:sz="4" w:space="0" w:color="auto"/>
              <w:bottom w:val="single" w:sz="4" w:space="0" w:color="auto"/>
              <w:right w:val="single" w:sz="4" w:space="0" w:color="auto"/>
            </w:tcBorders>
          </w:tcPr>
          <w:p w14:paraId="21CD9FDC" w14:textId="77777777" w:rsidR="00B53489" w:rsidRDefault="00B53489" w:rsidP="00E63C8F">
            <w:pPr>
              <w:spacing w:line="240" w:lineRule="auto"/>
              <w:rPr>
                <w:rFonts w:cs="Times New Roman"/>
              </w:rPr>
            </w:pPr>
            <w:r>
              <w:rPr>
                <w:rFonts w:cs="Times New Roman"/>
              </w:rPr>
              <w:t>Favourable</w:t>
            </w:r>
          </w:p>
        </w:tc>
        <w:tc>
          <w:tcPr>
            <w:tcW w:w="1503" w:type="dxa"/>
            <w:tcBorders>
              <w:top w:val="single" w:sz="4" w:space="0" w:color="auto"/>
              <w:left w:val="single" w:sz="4" w:space="0" w:color="auto"/>
              <w:bottom w:val="single" w:sz="4" w:space="0" w:color="auto"/>
              <w:right w:val="single" w:sz="4" w:space="0" w:color="auto"/>
            </w:tcBorders>
          </w:tcPr>
          <w:p w14:paraId="687A8AB8" w14:textId="77777777" w:rsidR="00B53489" w:rsidRDefault="00B53489" w:rsidP="00E63C8F">
            <w:pPr>
              <w:spacing w:line="240" w:lineRule="auto"/>
              <w:jc w:val="center"/>
              <w:rPr>
                <w:rFonts w:cs="Times New Roman"/>
              </w:rPr>
            </w:pPr>
            <w:r>
              <w:rPr>
                <w:rFonts w:cs="Times New Roman"/>
              </w:rPr>
              <w:t>£31.91</w:t>
            </w:r>
          </w:p>
        </w:tc>
        <w:tc>
          <w:tcPr>
            <w:tcW w:w="1503" w:type="dxa"/>
            <w:tcBorders>
              <w:top w:val="single" w:sz="4" w:space="0" w:color="auto"/>
              <w:left w:val="single" w:sz="4" w:space="0" w:color="auto"/>
              <w:bottom w:val="single" w:sz="4" w:space="0" w:color="auto"/>
              <w:right w:val="single" w:sz="4" w:space="0" w:color="auto"/>
            </w:tcBorders>
          </w:tcPr>
          <w:p w14:paraId="40289FD7" w14:textId="77777777" w:rsidR="00B53489" w:rsidRDefault="00B53489" w:rsidP="00E63C8F">
            <w:pPr>
              <w:spacing w:line="240" w:lineRule="auto"/>
              <w:jc w:val="center"/>
              <w:rPr>
                <w:rFonts w:cs="Times New Roman"/>
              </w:rPr>
            </w:pPr>
            <w:r>
              <w:rPr>
                <w:rFonts w:cs="Times New Roman"/>
              </w:rPr>
              <w:t>£44.92</w:t>
            </w:r>
          </w:p>
        </w:tc>
        <w:tc>
          <w:tcPr>
            <w:tcW w:w="1503" w:type="dxa"/>
            <w:tcBorders>
              <w:top w:val="single" w:sz="4" w:space="0" w:color="auto"/>
              <w:left w:val="single" w:sz="4" w:space="0" w:color="auto"/>
              <w:bottom w:val="single" w:sz="4" w:space="0" w:color="auto"/>
              <w:right w:val="single" w:sz="4" w:space="0" w:color="auto"/>
            </w:tcBorders>
          </w:tcPr>
          <w:p w14:paraId="7188E3A1" w14:textId="77777777" w:rsidR="00B53489" w:rsidRDefault="00B53489" w:rsidP="00E63C8F">
            <w:pPr>
              <w:spacing w:line="240" w:lineRule="auto"/>
              <w:jc w:val="center"/>
              <w:rPr>
                <w:rFonts w:cs="Times New Roman"/>
              </w:rPr>
            </w:pPr>
            <w:r>
              <w:rPr>
                <w:rFonts w:cs="Times New Roman"/>
              </w:rPr>
              <w:t>£77.44</w:t>
            </w:r>
          </w:p>
        </w:tc>
        <w:tc>
          <w:tcPr>
            <w:tcW w:w="1503" w:type="dxa"/>
            <w:tcBorders>
              <w:top w:val="single" w:sz="4" w:space="0" w:color="auto"/>
              <w:left w:val="single" w:sz="4" w:space="0" w:color="auto"/>
              <w:bottom w:val="single" w:sz="4" w:space="0" w:color="auto"/>
              <w:right w:val="single" w:sz="4" w:space="0" w:color="auto"/>
            </w:tcBorders>
          </w:tcPr>
          <w:p w14:paraId="2B91803D" w14:textId="77777777" w:rsidR="00B53489" w:rsidRDefault="00B53489" w:rsidP="00E63C8F">
            <w:pPr>
              <w:spacing w:line="240" w:lineRule="auto"/>
              <w:jc w:val="center"/>
              <w:rPr>
                <w:rFonts w:cs="Times New Roman"/>
              </w:rPr>
            </w:pPr>
            <w:r>
              <w:rPr>
                <w:rFonts w:cs="Times New Roman"/>
              </w:rPr>
              <w:t>£207.53</w:t>
            </w:r>
          </w:p>
        </w:tc>
      </w:tr>
      <w:tr w:rsidR="00B53489" w14:paraId="0E8C8C06" w14:textId="77777777" w:rsidTr="00CA4E0C">
        <w:tc>
          <w:tcPr>
            <w:tcW w:w="1502" w:type="dxa"/>
            <w:tcBorders>
              <w:top w:val="single" w:sz="4" w:space="0" w:color="auto"/>
              <w:left w:val="single" w:sz="4" w:space="0" w:color="auto"/>
              <w:bottom w:val="single" w:sz="4" w:space="0" w:color="auto"/>
              <w:right w:val="single" w:sz="4" w:space="0" w:color="auto"/>
            </w:tcBorders>
          </w:tcPr>
          <w:p w14:paraId="5619DC11" w14:textId="77777777" w:rsidR="00B53489" w:rsidRDefault="00B53489" w:rsidP="00E63C8F">
            <w:pPr>
              <w:spacing w:line="240" w:lineRule="auto"/>
              <w:rPr>
                <w:rFonts w:cs="Times New Roman"/>
              </w:rPr>
            </w:pPr>
            <w:r>
              <w:rPr>
                <w:rFonts w:cs="Times New Roman"/>
              </w:rPr>
              <w:t>S4</w:t>
            </w:r>
          </w:p>
        </w:tc>
        <w:tc>
          <w:tcPr>
            <w:tcW w:w="1502" w:type="dxa"/>
            <w:tcBorders>
              <w:top w:val="single" w:sz="4" w:space="0" w:color="auto"/>
              <w:left w:val="single" w:sz="4" w:space="0" w:color="auto"/>
              <w:bottom w:val="single" w:sz="4" w:space="0" w:color="auto"/>
              <w:right w:val="single" w:sz="4" w:space="0" w:color="auto"/>
            </w:tcBorders>
          </w:tcPr>
          <w:p w14:paraId="391C6A98" w14:textId="77777777" w:rsidR="00B53489" w:rsidRDefault="00B53489" w:rsidP="00E63C8F">
            <w:pPr>
              <w:spacing w:line="240" w:lineRule="auto"/>
              <w:rPr>
                <w:rFonts w:cs="Times New Roman"/>
              </w:rPr>
            </w:pPr>
            <w:r>
              <w:rPr>
                <w:rFonts w:cs="Times New Roman"/>
              </w:rPr>
              <w:t>Base Case</w:t>
            </w:r>
          </w:p>
        </w:tc>
        <w:tc>
          <w:tcPr>
            <w:tcW w:w="1503" w:type="dxa"/>
            <w:tcBorders>
              <w:top w:val="single" w:sz="4" w:space="0" w:color="auto"/>
              <w:left w:val="single" w:sz="4" w:space="0" w:color="auto"/>
              <w:bottom w:val="single" w:sz="4" w:space="0" w:color="auto"/>
              <w:right w:val="single" w:sz="4" w:space="0" w:color="auto"/>
            </w:tcBorders>
          </w:tcPr>
          <w:p w14:paraId="12320AB6" w14:textId="77777777" w:rsidR="00B53489" w:rsidRDefault="00B53489" w:rsidP="00E63C8F">
            <w:pPr>
              <w:spacing w:line="240" w:lineRule="auto"/>
              <w:jc w:val="center"/>
              <w:rPr>
                <w:rFonts w:cs="Times New Roman"/>
              </w:rPr>
            </w:pPr>
            <w:r>
              <w:rPr>
                <w:rFonts w:cs="Times New Roman"/>
              </w:rPr>
              <w:t>£10.25</w:t>
            </w:r>
          </w:p>
        </w:tc>
        <w:tc>
          <w:tcPr>
            <w:tcW w:w="1503" w:type="dxa"/>
            <w:tcBorders>
              <w:top w:val="single" w:sz="4" w:space="0" w:color="auto"/>
              <w:left w:val="single" w:sz="4" w:space="0" w:color="auto"/>
              <w:bottom w:val="single" w:sz="4" w:space="0" w:color="auto"/>
              <w:right w:val="single" w:sz="4" w:space="0" w:color="auto"/>
            </w:tcBorders>
          </w:tcPr>
          <w:p w14:paraId="24D19227" w14:textId="77777777" w:rsidR="00B53489" w:rsidRDefault="00B53489" w:rsidP="00E63C8F">
            <w:pPr>
              <w:spacing w:line="240" w:lineRule="auto"/>
              <w:jc w:val="center"/>
              <w:rPr>
                <w:rFonts w:cs="Times New Roman"/>
              </w:rPr>
            </w:pPr>
            <w:r>
              <w:rPr>
                <w:rFonts w:cs="Times New Roman"/>
              </w:rPr>
              <w:t>£11.14</w:t>
            </w:r>
          </w:p>
        </w:tc>
        <w:tc>
          <w:tcPr>
            <w:tcW w:w="1503" w:type="dxa"/>
            <w:tcBorders>
              <w:top w:val="single" w:sz="4" w:space="0" w:color="auto"/>
              <w:left w:val="single" w:sz="4" w:space="0" w:color="auto"/>
              <w:bottom w:val="single" w:sz="4" w:space="0" w:color="auto"/>
              <w:right w:val="single" w:sz="4" w:space="0" w:color="auto"/>
            </w:tcBorders>
          </w:tcPr>
          <w:p w14:paraId="16E0B830" w14:textId="77777777" w:rsidR="00B53489" w:rsidRDefault="00B53489" w:rsidP="00E63C8F">
            <w:pPr>
              <w:spacing w:line="240" w:lineRule="auto"/>
              <w:jc w:val="center"/>
              <w:rPr>
                <w:rFonts w:cs="Times New Roman"/>
              </w:rPr>
            </w:pPr>
            <w:r>
              <w:rPr>
                <w:rFonts w:cs="Times New Roman"/>
              </w:rPr>
              <w:t>£13.37</w:t>
            </w:r>
          </w:p>
        </w:tc>
        <w:tc>
          <w:tcPr>
            <w:tcW w:w="1503" w:type="dxa"/>
            <w:tcBorders>
              <w:top w:val="single" w:sz="4" w:space="0" w:color="auto"/>
              <w:left w:val="single" w:sz="4" w:space="0" w:color="auto"/>
              <w:bottom w:val="single" w:sz="4" w:space="0" w:color="auto"/>
              <w:right w:val="single" w:sz="4" w:space="0" w:color="auto"/>
            </w:tcBorders>
          </w:tcPr>
          <w:p w14:paraId="4606D0FE" w14:textId="77777777" w:rsidR="00B53489" w:rsidRDefault="00B53489" w:rsidP="00E63C8F">
            <w:pPr>
              <w:spacing w:line="240" w:lineRule="auto"/>
              <w:jc w:val="center"/>
              <w:rPr>
                <w:rFonts w:cs="Times New Roman"/>
              </w:rPr>
            </w:pPr>
            <w:r>
              <w:rPr>
                <w:rFonts w:cs="Times New Roman"/>
              </w:rPr>
              <w:t>£22.30</w:t>
            </w:r>
          </w:p>
        </w:tc>
      </w:tr>
      <w:tr w:rsidR="00B53489" w14:paraId="2C479568" w14:textId="77777777" w:rsidTr="00CA4E0C">
        <w:tc>
          <w:tcPr>
            <w:tcW w:w="1502" w:type="dxa"/>
            <w:tcBorders>
              <w:top w:val="single" w:sz="4" w:space="0" w:color="auto"/>
              <w:left w:val="single" w:sz="4" w:space="0" w:color="auto"/>
              <w:bottom w:val="single" w:sz="4" w:space="0" w:color="auto"/>
              <w:right w:val="single" w:sz="4" w:space="0" w:color="auto"/>
            </w:tcBorders>
          </w:tcPr>
          <w:p w14:paraId="40E47D4C" w14:textId="77777777" w:rsidR="00B53489" w:rsidRDefault="00B53489" w:rsidP="00E63C8F">
            <w:pPr>
              <w:spacing w:line="240" w:lineRule="auto"/>
              <w:rPr>
                <w:rFonts w:cs="Times New Roman"/>
              </w:rPr>
            </w:pPr>
          </w:p>
        </w:tc>
        <w:tc>
          <w:tcPr>
            <w:tcW w:w="1502" w:type="dxa"/>
            <w:tcBorders>
              <w:top w:val="single" w:sz="4" w:space="0" w:color="auto"/>
              <w:left w:val="single" w:sz="4" w:space="0" w:color="auto"/>
              <w:bottom w:val="single" w:sz="4" w:space="0" w:color="auto"/>
              <w:right w:val="single" w:sz="4" w:space="0" w:color="auto"/>
            </w:tcBorders>
          </w:tcPr>
          <w:p w14:paraId="18A7B284" w14:textId="77777777" w:rsidR="00B53489" w:rsidRDefault="00B53489" w:rsidP="00E63C8F">
            <w:pPr>
              <w:spacing w:line="240" w:lineRule="auto"/>
              <w:rPr>
                <w:rFonts w:cs="Times New Roman"/>
              </w:rPr>
            </w:pPr>
            <w:r>
              <w:rPr>
                <w:rFonts w:cs="Times New Roman"/>
              </w:rPr>
              <w:t>Favourable</w:t>
            </w:r>
          </w:p>
        </w:tc>
        <w:tc>
          <w:tcPr>
            <w:tcW w:w="1503" w:type="dxa"/>
            <w:tcBorders>
              <w:top w:val="single" w:sz="4" w:space="0" w:color="auto"/>
              <w:left w:val="single" w:sz="4" w:space="0" w:color="auto"/>
              <w:bottom w:val="single" w:sz="4" w:space="0" w:color="auto"/>
              <w:right w:val="single" w:sz="4" w:space="0" w:color="auto"/>
            </w:tcBorders>
          </w:tcPr>
          <w:p w14:paraId="747826A0" w14:textId="77777777" w:rsidR="00B53489" w:rsidRDefault="00B53489" w:rsidP="00E63C8F">
            <w:pPr>
              <w:spacing w:line="240" w:lineRule="auto"/>
              <w:jc w:val="center"/>
              <w:rPr>
                <w:rFonts w:cs="Times New Roman"/>
              </w:rPr>
            </w:pPr>
            <w:r>
              <w:rPr>
                <w:rFonts w:cs="Times New Roman"/>
              </w:rPr>
              <w:t>£10.61</w:t>
            </w:r>
          </w:p>
        </w:tc>
        <w:tc>
          <w:tcPr>
            <w:tcW w:w="1503" w:type="dxa"/>
            <w:tcBorders>
              <w:top w:val="single" w:sz="4" w:space="0" w:color="auto"/>
              <w:left w:val="single" w:sz="4" w:space="0" w:color="auto"/>
              <w:bottom w:val="single" w:sz="4" w:space="0" w:color="auto"/>
              <w:right w:val="single" w:sz="4" w:space="0" w:color="auto"/>
            </w:tcBorders>
          </w:tcPr>
          <w:p w14:paraId="406EBC90" w14:textId="77777777" w:rsidR="00B53489" w:rsidRDefault="00B53489" w:rsidP="00E63C8F">
            <w:pPr>
              <w:spacing w:line="240" w:lineRule="auto"/>
              <w:jc w:val="center"/>
              <w:rPr>
                <w:rFonts w:cs="Times New Roman"/>
              </w:rPr>
            </w:pPr>
            <w:r>
              <w:rPr>
                <w:rFonts w:cs="Times New Roman"/>
              </w:rPr>
              <w:t>£11.50</w:t>
            </w:r>
          </w:p>
        </w:tc>
        <w:tc>
          <w:tcPr>
            <w:tcW w:w="1503" w:type="dxa"/>
            <w:tcBorders>
              <w:top w:val="single" w:sz="4" w:space="0" w:color="auto"/>
              <w:left w:val="single" w:sz="4" w:space="0" w:color="auto"/>
              <w:bottom w:val="single" w:sz="4" w:space="0" w:color="auto"/>
              <w:right w:val="single" w:sz="4" w:space="0" w:color="auto"/>
            </w:tcBorders>
          </w:tcPr>
          <w:p w14:paraId="7344C47D" w14:textId="77777777" w:rsidR="00B53489" w:rsidRDefault="00B53489" w:rsidP="00E63C8F">
            <w:pPr>
              <w:spacing w:line="240" w:lineRule="auto"/>
              <w:jc w:val="center"/>
              <w:rPr>
                <w:rFonts w:cs="Times New Roman"/>
              </w:rPr>
            </w:pPr>
            <w:r>
              <w:rPr>
                <w:rFonts w:cs="Times New Roman"/>
              </w:rPr>
              <w:t>£13.73</w:t>
            </w:r>
          </w:p>
        </w:tc>
        <w:tc>
          <w:tcPr>
            <w:tcW w:w="1503" w:type="dxa"/>
            <w:tcBorders>
              <w:top w:val="single" w:sz="4" w:space="0" w:color="auto"/>
              <w:left w:val="single" w:sz="4" w:space="0" w:color="auto"/>
              <w:bottom w:val="single" w:sz="4" w:space="0" w:color="auto"/>
              <w:right w:val="single" w:sz="4" w:space="0" w:color="auto"/>
            </w:tcBorders>
          </w:tcPr>
          <w:p w14:paraId="3032E9FE" w14:textId="77777777" w:rsidR="00B53489" w:rsidRDefault="00B53489" w:rsidP="00E63C8F">
            <w:pPr>
              <w:spacing w:line="240" w:lineRule="auto"/>
              <w:jc w:val="center"/>
              <w:rPr>
                <w:rFonts w:cs="Times New Roman"/>
              </w:rPr>
            </w:pPr>
            <w:r>
              <w:rPr>
                <w:rFonts w:cs="Times New Roman"/>
              </w:rPr>
              <w:t>£22.66</w:t>
            </w:r>
          </w:p>
        </w:tc>
      </w:tr>
      <w:tr w:rsidR="00B53489" w14:paraId="67556789" w14:textId="77777777" w:rsidTr="00CA4E0C">
        <w:tc>
          <w:tcPr>
            <w:tcW w:w="1502" w:type="dxa"/>
            <w:tcBorders>
              <w:top w:val="single" w:sz="4" w:space="0" w:color="auto"/>
              <w:left w:val="single" w:sz="4" w:space="0" w:color="auto"/>
              <w:bottom w:val="single" w:sz="4" w:space="0" w:color="auto"/>
              <w:right w:val="single" w:sz="4" w:space="0" w:color="auto"/>
            </w:tcBorders>
          </w:tcPr>
          <w:p w14:paraId="513B9258" w14:textId="77777777" w:rsidR="00B53489" w:rsidRDefault="00B53489" w:rsidP="00E63C8F">
            <w:pPr>
              <w:spacing w:line="240" w:lineRule="auto"/>
              <w:rPr>
                <w:rFonts w:cs="Times New Roman"/>
              </w:rPr>
            </w:pPr>
            <w:r>
              <w:rPr>
                <w:rFonts w:cs="Times New Roman"/>
              </w:rPr>
              <w:t>S5</w:t>
            </w:r>
          </w:p>
        </w:tc>
        <w:tc>
          <w:tcPr>
            <w:tcW w:w="1502" w:type="dxa"/>
            <w:tcBorders>
              <w:top w:val="single" w:sz="4" w:space="0" w:color="auto"/>
              <w:left w:val="single" w:sz="4" w:space="0" w:color="auto"/>
              <w:bottom w:val="single" w:sz="4" w:space="0" w:color="auto"/>
              <w:right w:val="single" w:sz="4" w:space="0" w:color="auto"/>
            </w:tcBorders>
          </w:tcPr>
          <w:p w14:paraId="756A1275" w14:textId="77777777" w:rsidR="00B53489" w:rsidRDefault="00B53489" w:rsidP="00E63C8F">
            <w:pPr>
              <w:spacing w:line="240" w:lineRule="auto"/>
              <w:rPr>
                <w:rFonts w:cs="Times New Roman"/>
              </w:rPr>
            </w:pPr>
            <w:r>
              <w:rPr>
                <w:rFonts w:cs="Times New Roman"/>
              </w:rPr>
              <w:t>Base Case</w:t>
            </w:r>
          </w:p>
        </w:tc>
        <w:tc>
          <w:tcPr>
            <w:tcW w:w="1503" w:type="dxa"/>
            <w:tcBorders>
              <w:top w:val="single" w:sz="4" w:space="0" w:color="auto"/>
              <w:left w:val="single" w:sz="4" w:space="0" w:color="auto"/>
              <w:bottom w:val="single" w:sz="4" w:space="0" w:color="auto"/>
              <w:right w:val="single" w:sz="4" w:space="0" w:color="auto"/>
            </w:tcBorders>
          </w:tcPr>
          <w:p w14:paraId="01530034" w14:textId="77777777" w:rsidR="00B53489" w:rsidRDefault="00B53489" w:rsidP="00E63C8F">
            <w:pPr>
              <w:spacing w:line="240" w:lineRule="auto"/>
              <w:jc w:val="center"/>
              <w:rPr>
                <w:rFonts w:cs="Times New Roman"/>
              </w:rPr>
            </w:pPr>
            <w:r>
              <w:rPr>
                <w:rFonts w:cs="Times New Roman"/>
              </w:rPr>
              <w:t>£12.70</w:t>
            </w:r>
          </w:p>
        </w:tc>
        <w:tc>
          <w:tcPr>
            <w:tcW w:w="1503" w:type="dxa"/>
            <w:tcBorders>
              <w:top w:val="single" w:sz="4" w:space="0" w:color="auto"/>
              <w:left w:val="single" w:sz="4" w:space="0" w:color="auto"/>
              <w:bottom w:val="single" w:sz="4" w:space="0" w:color="auto"/>
              <w:right w:val="single" w:sz="4" w:space="0" w:color="auto"/>
            </w:tcBorders>
          </w:tcPr>
          <w:p w14:paraId="683B7B5E" w14:textId="77777777" w:rsidR="00B53489" w:rsidRDefault="00B53489" w:rsidP="00E63C8F">
            <w:pPr>
              <w:spacing w:line="240" w:lineRule="auto"/>
              <w:jc w:val="center"/>
              <w:rPr>
                <w:rFonts w:cs="Times New Roman"/>
              </w:rPr>
            </w:pPr>
            <w:r>
              <w:rPr>
                <w:rFonts w:cs="Times New Roman"/>
              </w:rPr>
              <w:t>£15.09</w:t>
            </w:r>
          </w:p>
        </w:tc>
        <w:tc>
          <w:tcPr>
            <w:tcW w:w="1503" w:type="dxa"/>
            <w:tcBorders>
              <w:top w:val="single" w:sz="4" w:space="0" w:color="auto"/>
              <w:left w:val="single" w:sz="4" w:space="0" w:color="auto"/>
              <w:bottom w:val="single" w:sz="4" w:space="0" w:color="auto"/>
              <w:right w:val="single" w:sz="4" w:space="0" w:color="auto"/>
            </w:tcBorders>
          </w:tcPr>
          <w:p w14:paraId="4CF8B2FE" w14:textId="77777777" w:rsidR="00B53489" w:rsidRDefault="00B53489" w:rsidP="00E63C8F">
            <w:pPr>
              <w:spacing w:line="240" w:lineRule="auto"/>
              <w:jc w:val="center"/>
              <w:rPr>
                <w:rFonts w:cs="Times New Roman"/>
              </w:rPr>
            </w:pPr>
            <w:r>
              <w:rPr>
                <w:rFonts w:cs="Times New Roman"/>
              </w:rPr>
              <w:t>£21.06</w:t>
            </w:r>
          </w:p>
        </w:tc>
        <w:tc>
          <w:tcPr>
            <w:tcW w:w="1503" w:type="dxa"/>
            <w:tcBorders>
              <w:top w:val="single" w:sz="4" w:space="0" w:color="auto"/>
              <w:left w:val="single" w:sz="4" w:space="0" w:color="auto"/>
              <w:bottom w:val="single" w:sz="4" w:space="0" w:color="auto"/>
              <w:right w:val="single" w:sz="4" w:space="0" w:color="auto"/>
            </w:tcBorders>
          </w:tcPr>
          <w:p w14:paraId="7BF7AA83" w14:textId="77777777" w:rsidR="00B53489" w:rsidRDefault="00B53489" w:rsidP="00E63C8F">
            <w:pPr>
              <w:spacing w:line="240" w:lineRule="auto"/>
              <w:jc w:val="center"/>
              <w:rPr>
                <w:rFonts w:cs="Times New Roman"/>
              </w:rPr>
            </w:pPr>
            <w:r>
              <w:rPr>
                <w:rFonts w:cs="Times New Roman"/>
              </w:rPr>
              <w:t>£44.93</w:t>
            </w:r>
          </w:p>
        </w:tc>
      </w:tr>
      <w:tr w:rsidR="00B53489" w14:paraId="3DADD892" w14:textId="77777777" w:rsidTr="00CA4E0C">
        <w:tc>
          <w:tcPr>
            <w:tcW w:w="1502" w:type="dxa"/>
            <w:tcBorders>
              <w:top w:val="single" w:sz="4" w:space="0" w:color="auto"/>
              <w:left w:val="single" w:sz="4" w:space="0" w:color="auto"/>
              <w:bottom w:val="single" w:sz="4" w:space="0" w:color="auto"/>
              <w:right w:val="single" w:sz="4" w:space="0" w:color="auto"/>
            </w:tcBorders>
          </w:tcPr>
          <w:p w14:paraId="5271EE07" w14:textId="77777777" w:rsidR="00B53489" w:rsidRDefault="00B53489" w:rsidP="00E63C8F">
            <w:pPr>
              <w:spacing w:line="240" w:lineRule="auto"/>
              <w:rPr>
                <w:rFonts w:cs="Times New Roman"/>
              </w:rPr>
            </w:pPr>
          </w:p>
        </w:tc>
        <w:tc>
          <w:tcPr>
            <w:tcW w:w="1502" w:type="dxa"/>
            <w:tcBorders>
              <w:top w:val="single" w:sz="4" w:space="0" w:color="auto"/>
              <w:left w:val="single" w:sz="4" w:space="0" w:color="auto"/>
              <w:bottom w:val="single" w:sz="4" w:space="0" w:color="auto"/>
              <w:right w:val="single" w:sz="4" w:space="0" w:color="auto"/>
            </w:tcBorders>
          </w:tcPr>
          <w:p w14:paraId="77C554A9" w14:textId="77777777" w:rsidR="00B53489" w:rsidRDefault="00B53489" w:rsidP="00E63C8F">
            <w:pPr>
              <w:spacing w:line="240" w:lineRule="auto"/>
              <w:rPr>
                <w:rFonts w:cs="Times New Roman"/>
              </w:rPr>
            </w:pPr>
            <w:r>
              <w:rPr>
                <w:rFonts w:cs="Times New Roman"/>
              </w:rPr>
              <w:t>Favourable</w:t>
            </w:r>
          </w:p>
        </w:tc>
        <w:tc>
          <w:tcPr>
            <w:tcW w:w="1503" w:type="dxa"/>
            <w:tcBorders>
              <w:top w:val="single" w:sz="4" w:space="0" w:color="auto"/>
              <w:left w:val="single" w:sz="4" w:space="0" w:color="auto"/>
              <w:bottom w:val="single" w:sz="4" w:space="0" w:color="auto"/>
              <w:right w:val="single" w:sz="4" w:space="0" w:color="auto"/>
            </w:tcBorders>
          </w:tcPr>
          <w:p w14:paraId="684DDA98" w14:textId="77777777" w:rsidR="00B53489" w:rsidRDefault="00B53489" w:rsidP="00E63C8F">
            <w:pPr>
              <w:spacing w:line="240" w:lineRule="auto"/>
              <w:jc w:val="center"/>
              <w:rPr>
                <w:rFonts w:cs="Times New Roman"/>
              </w:rPr>
            </w:pPr>
            <w:r>
              <w:rPr>
                <w:rFonts w:cs="Times New Roman"/>
              </w:rPr>
              <w:t>£13.15</w:t>
            </w:r>
          </w:p>
        </w:tc>
        <w:tc>
          <w:tcPr>
            <w:tcW w:w="1503" w:type="dxa"/>
            <w:tcBorders>
              <w:top w:val="single" w:sz="4" w:space="0" w:color="auto"/>
              <w:left w:val="single" w:sz="4" w:space="0" w:color="auto"/>
              <w:bottom w:val="single" w:sz="4" w:space="0" w:color="auto"/>
              <w:right w:val="single" w:sz="4" w:space="0" w:color="auto"/>
            </w:tcBorders>
          </w:tcPr>
          <w:p w14:paraId="0DC7D529" w14:textId="77777777" w:rsidR="00B53489" w:rsidRDefault="00B53489" w:rsidP="00E63C8F">
            <w:pPr>
              <w:spacing w:line="240" w:lineRule="auto"/>
              <w:jc w:val="center"/>
              <w:rPr>
                <w:rFonts w:cs="Times New Roman"/>
              </w:rPr>
            </w:pPr>
            <w:r>
              <w:rPr>
                <w:rFonts w:cs="Times New Roman"/>
              </w:rPr>
              <w:t>£15.53</w:t>
            </w:r>
          </w:p>
        </w:tc>
        <w:tc>
          <w:tcPr>
            <w:tcW w:w="1503" w:type="dxa"/>
            <w:tcBorders>
              <w:top w:val="single" w:sz="4" w:space="0" w:color="auto"/>
              <w:left w:val="single" w:sz="4" w:space="0" w:color="auto"/>
              <w:bottom w:val="single" w:sz="4" w:space="0" w:color="auto"/>
              <w:right w:val="single" w:sz="4" w:space="0" w:color="auto"/>
            </w:tcBorders>
          </w:tcPr>
          <w:p w14:paraId="46493480" w14:textId="77777777" w:rsidR="00B53489" w:rsidRDefault="00B53489" w:rsidP="00E63C8F">
            <w:pPr>
              <w:spacing w:line="240" w:lineRule="auto"/>
              <w:jc w:val="center"/>
              <w:rPr>
                <w:rFonts w:cs="Times New Roman"/>
              </w:rPr>
            </w:pPr>
            <w:r>
              <w:rPr>
                <w:rFonts w:cs="Times New Roman"/>
              </w:rPr>
              <w:t>£21.50</w:t>
            </w:r>
          </w:p>
        </w:tc>
        <w:tc>
          <w:tcPr>
            <w:tcW w:w="1503" w:type="dxa"/>
            <w:tcBorders>
              <w:top w:val="single" w:sz="4" w:space="0" w:color="auto"/>
              <w:left w:val="single" w:sz="4" w:space="0" w:color="auto"/>
              <w:bottom w:val="single" w:sz="4" w:space="0" w:color="auto"/>
              <w:right w:val="single" w:sz="4" w:space="0" w:color="auto"/>
            </w:tcBorders>
          </w:tcPr>
          <w:p w14:paraId="016FEB98" w14:textId="77777777" w:rsidR="00B53489" w:rsidRDefault="00B53489" w:rsidP="00E63C8F">
            <w:pPr>
              <w:spacing w:line="240" w:lineRule="auto"/>
              <w:jc w:val="center"/>
              <w:rPr>
                <w:rFonts w:cs="Times New Roman"/>
              </w:rPr>
            </w:pPr>
            <w:r>
              <w:rPr>
                <w:rFonts w:cs="Times New Roman"/>
              </w:rPr>
              <w:t>£45.37</w:t>
            </w:r>
          </w:p>
        </w:tc>
      </w:tr>
      <w:tr w:rsidR="00B53489" w14:paraId="37DA3BBD" w14:textId="77777777" w:rsidTr="00CA4E0C">
        <w:tc>
          <w:tcPr>
            <w:tcW w:w="1502" w:type="dxa"/>
            <w:tcBorders>
              <w:top w:val="single" w:sz="4" w:space="0" w:color="auto"/>
              <w:left w:val="single" w:sz="4" w:space="0" w:color="auto"/>
              <w:bottom w:val="single" w:sz="4" w:space="0" w:color="auto"/>
              <w:right w:val="single" w:sz="4" w:space="0" w:color="auto"/>
            </w:tcBorders>
          </w:tcPr>
          <w:p w14:paraId="515A3547" w14:textId="77777777" w:rsidR="00B53489" w:rsidRDefault="00B53489" w:rsidP="00E63C8F">
            <w:pPr>
              <w:spacing w:line="240" w:lineRule="auto"/>
              <w:rPr>
                <w:rFonts w:cs="Times New Roman"/>
              </w:rPr>
            </w:pPr>
            <w:r>
              <w:rPr>
                <w:rFonts w:cs="Times New Roman"/>
              </w:rPr>
              <w:t>S6</w:t>
            </w:r>
          </w:p>
        </w:tc>
        <w:tc>
          <w:tcPr>
            <w:tcW w:w="1502" w:type="dxa"/>
            <w:tcBorders>
              <w:top w:val="single" w:sz="4" w:space="0" w:color="auto"/>
              <w:left w:val="single" w:sz="4" w:space="0" w:color="auto"/>
              <w:bottom w:val="single" w:sz="4" w:space="0" w:color="auto"/>
              <w:right w:val="single" w:sz="4" w:space="0" w:color="auto"/>
            </w:tcBorders>
          </w:tcPr>
          <w:p w14:paraId="0CBABABD" w14:textId="77777777" w:rsidR="00B53489" w:rsidRDefault="00B53489" w:rsidP="00E63C8F">
            <w:pPr>
              <w:spacing w:line="240" w:lineRule="auto"/>
              <w:rPr>
                <w:rFonts w:cs="Times New Roman"/>
              </w:rPr>
            </w:pPr>
            <w:r>
              <w:rPr>
                <w:rFonts w:cs="Times New Roman"/>
              </w:rPr>
              <w:t>Base Case</w:t>
            </w:r>
          </w:p>
        </w:tc>
        <w:tc>
          <w:tcPr>
            <w:tcW w:w="1503" w:type="dxa"/>
            <w:tcBorders>
              <w:top w:val="single" w:sz="4" w:space="0" w:color="auto"/>
              <w:left w:val="single" w:sz="4" w:space="0" w:color="auto"/>
              <w:bottom w:val="single" w:sz="4" w:space="0" w:color="auto"/>
              <w:right w:val="single" w:sz="4" w:space="0" w:color="auto"/>
            </w:tcBorders>
          </w:tcPr>
          <w:p w14:paraId="729AA53F" w14:textId="77777777" w:rsidR="00B53489" w:rsidRDefault="00B53489" w:rsidP="00E63C8F">
            <w:pPr>
              <w:spacing w:line="240" w:lineRule="auto"/>
              <w:jc w:val="center"/>
              <w:rPr>
                <w:rFonts w:cs="Times New Roman"/>
              </w:rPr>
            </w:pPr>
            <w:r>
              <w:rPr>
                <w:rFonts w:cs="Times New Roman"/>
              </w:rPr>
              <w:t>£27.90</w:t>
            </w:r>
          </w:p>
        </w:tc>
        <w:tc>
          <w:tcPr>
            <w:tcW w:w="1503" w:type="dxa"/>
            <w:tcBorders>
              <w:top w:val="single" w:sz="4" w:space="0" w:color="auto"/>
              <w:left w:val="single" w:sz="4" w:space="0" w:color="auto"/>
              <w:bottom w:val="single" w:sz="4" w:space="0" w:color="auto"/>
              <w:right w:val="single" w:sz="4" w:space="0" w:color="auto"/>
            </w:tcBorders>
          </w:tcPr>
          <w:p w14:paraId="31C251C1" w14:textId="77777777" w:rsidR="00B53489" w:rsidRDefault="00B53489" w:rsidP="00E63C8F">
            <w:pPr>
              <w:spacing w:line="240" w:lineRule="auto"/>
              <w:jc w:val="center"/>
              <w:rPr>
                <w:rFonts w:cs="Times New Roman"/>
              </w:rPr>
            </w:pPr>
            <w:r>
              <w:rPr>
                <w:rFonts w:cs="Times New Roman"/>
              </w:rPr>
              <w:t>£39.21</w:t>
            </w:r>
          </w:p>
        </w:tc>
        <w:tc>
          <w:tcPr>
            <w:tcW w:w="1503" w:type="dxa"/>
            <w:tcBorders>
              <w:top w:val="single" w:sz="4" w:space="0" w:color="auto"/>
              <w:left w:val="single" w:sz="4" w:space="0" w:color="auto"/>
              <w:bottom w:val="single" w:sz="4" w:space="0" w:color="auto"/>
              <w:right w:val="single" w:sz="4" w:space="0" w:color="auto"/>
            </w:tcBorders>
          </w:tcPr>
          <w:p w14:paraId="06C73A4D" w14:textId="77777777" w:rsidR="00B53489" w:rsidRDefault="00B53489" w:rsidP="00E63C8F">
            <w:pPr>
              <w:spacing w:line="240" w:lineRule="auto"/>
              <w:jc w:val="center"/>
              <w:rPr>
                <w:rFonts w:cs="Times New Roman"/>
              </w:rPr>
            </w:pPr>
            <w:r>
              <w:rPr>
                <w:rFonts w:cs="Times New Roman"/>
              </w:rPr>
              <w:t>£67.48</w:t>
            </w:r>
          </w:p>
        </w:tc>
        <w:tc>
          <w:tcPr>
            <w:tcW w:w="1503" w:type="dxa"/>
            <w:tcBorders>
              <w:top w:val="single" w:sz="4" w:space="0" w:color="auto"/>
              <w:left w:val="single" w:sz="4" w:space="0" w:color="auto"/>
              <w:bottom w:val="single" w:sz="4" w:space="0" w:color="auto"/>
              <w:right w:val="single" w:sz="4" w:space="0" w:color="auto"/>
            </w:tcBorders>
          </w:tcPr>
          <w:p w14:paraId="24143FA4" w14:textId="77777777" w:rsidR="00B53489" w:rsidRDefault="00B53489" w:rsidP="00E63C8F">
            <w:pPr>
              <w:spacing w:line="240" w:lineRule="auto"/>
              <w:jc w:val="center"/>
              <w:rPr>
                <w:rFonts w:cs="Times New Roman"/>
              </w:rPr>
            </w:pPr>
            <w:r>
              <w:rPr>
                <w:rFonts w:cs="Times New Roman"/>
              </w:rPr>
              <w:t>£180.55</w:t>
            </w:r>
          </w:p>
        </w:tc>
      </w:tr>
      <w:tr w:rsidR="00B53489" w14:paraId="39435C68" w14:textId="77777777" w:rsidTr="00CA4E0C">
        <w:tc>
          <w:tcPr>
            <w:tcW w:w="1502" w:type="dxa"/>
            <w:tcBorders>
              <w:top w:val="single" w:sz="4" w:space="0" w:color="auto"/>
              <w:left w:val="single" w:sz="4" w:space="0" w:color="auto"/>
              <w:bottom w:val="single" w:sz="4" w:space="0" w:color="auto"/>
              <w:right w:val="single" w:sz="4" w:space="0" w:color="auto"/>
            </w:tcBorders>
          </w:tcPr>
          <w:p w14:paraId="4A328E3D" w14:textId="77777777" w:rsidR="00B53489" w:rsidRDefault="00B53489" w:rsidP="00E63C8F">
            <w:pPr>
              <w:spacing w:line="240" w:lineRule="auto"/>
              <w:rPr>
                <w:rFonts w:cs="Times New Roman"/>
              </w:rPr>
            </w:pPr>
          </w:p>
        </w:tc>
        <w:tc>
          <w:tcPr>
            <w:tcW w:w="1502" w:type="dxa"/>
            <w:tcBorders>
              <w:top w:val="single" w:sz="4" w:space="0" w:color="auto"/>
              <w:left w:val="single" w:sz="4" w:space="0" w:color="auto"/>
              <w:bottom w:val="single" w:sz="4" w:space="0" w:color="auto"/>
              <w:right w:val="single" w:sz="4" w:space="0" w:color="auto"/>
            </w:tcBorders>
          </w:tcPr>
          <w:p w14:paraId="10878611" w14:textId="77777777" w:rsidR="00B53489" w:rsidRDefault="00B53489" w:rsidP="00E63C8F">
            <w:pPr>
              <w:spacing w:line="240" w:lineRule="auto"/>
              <w:rPr>
                <w:rFonts w:cs="Times New Roman"/>
              </w:rPr>
            </w:pPr>
            <w:r>
              <w:rPr>
                <w:rFonts w:cs="Times New Roman"/>
              </w:rPr>
              <w:t>Favourable</w:t>
            </w:r>
          </w:p>
        </w:tc>
        <w:tc>
          <w:tcPr>
            <w:tcW w:w="1503" w:type="dxa"/>
            <w:tcBorders>
              <w:top w:val="single" w:sz="4" w:space="0" w:color="auto"/>
              <w:left w:val="single" w:sz="4" w:space="0" w:color="auto"/>
              <w:bottom w:val="single" w:sz="4" w:space="0" w:color="auto"/>
              <w:right w:val="single" w:sz="4" w:space="0" w:color="auto"/>
            </w:tcBorders>
          </w:tcPr>
          <w:p w14:paraId="3A2EEDBA" w14:textId="77777777" w:rsidR="00B53489" w:rsidRDefault="00B53489" w:rsidP="00E63C8F">
            <w:pPr>
              <w:spacing w:line="240" w:lineRule="auto"/>
              <w:jc w:val="center"/>
              <w:rPr>
                <w:rFonts w:cs="Times New Roman"/>
              </w:rPr>
            </w:pPr>
            <w:r>
              <w:rPr>
                <w:rFonts w:cs="Times New Roman"/>
              </w:rPr>
              <w:t>£29.07</w:t>
            </w:r>
          </w:p>
        </w:tc>
        <w:tc>
          <w:tcPr>
            <w:tcW w:w="1503" w:type="dxa"/>
            <w:tcBorders>
              <w:top w:val="single" w:sz="4" w:space="0" w:color="auto"/>
              <w:left w:val="single" w:sz="4" w:space="0" w:color="auto"/>
              <w:bottom w:val="single" w:sz="4" w:space="0" w:color="auto"/>
              <w:right w:val="single" w:sz="4" w:space="0" w:color="auto"/>
            </w:tcBorders>
          </w:tcPr>
          <w:p w14:paraId="3562D136" w14:textId="77777777" w:rsidR="00B53489" w:rsidRDefault="00B53489" w:rsidP="00E63C8F">
            <w:pPr>
              <w:spacing w:line="240" w:lineRule="auto"/>
              <w:jc w:val="center"/>
              <w:rPr>
                <w:rFonts w:cs="Times New Roman"/>
              </w:rPr>
            </w:pPr>
            <w:r>
              <w:rPr>
                <w:rFonts w:cs="Times New Roman"/>
              </w:rPr>
              <w:t>£40.38</w:t>
            </w:r>
          </w:p>
        </w:tc>
        <w:tc>
          <w:tcPr>
            <w:tcW w:w="1503" w:type="dxa"/>
            <w:tcBorders>
              <w:top w:val="single" w:sz="4" w:space="0" w:color="auto"/>
              <w:left w:val="single" w:sz="4" w:space="0" w:color="auto"/>
              <w:bottom w:val="single" w:sz="4" w:space="0" w:color="auto"/>
              <w:right w:val="single" w:sz="4" w:space="0" w:color="auto"/>
            </w:tcBorders>
          </w:tcPr>
          <w:p w14:paraId="2B00D9E3" w14:textId="77777777" w:rsidR="00B53489" w:rsidRDefault="00B53489" w:rsidP="00E63C8F">
            <w:pPr>
              <w:spacing w:line="240" w:lineRule="auto"/>
              <w:jc w:val="center"/>
              <w:rPr>
                <w:rFonts w:cs="Times New Roman"/>
              </w:rPr>
            </w:pPr>
            <w:r>
              <w:rPr>
                <w:rFonts w:cs="Times New Roman"/>
              </w:rPr>
              <w:t>£68.65</w:t>
            </w:r>
          </w:p>
        </w:tc>
        <w:tc>
          <w:tcPr>
            <w:tcW w:w="1503" w:type="dxa"/>
            <w:tcBorders>
              <w:top w:val="single" w:sz="4" w:space="0" w:color="auto"/>
              <w:left w:val="single" w:sz="4" w:space="0" w:color="auto"/>
              <w:bottom w:val="single" w:sz="4" w:space="0" w:color="auto"/>
              <w:right w:val="single" w:sz="4" w:space="0" w:color="auto"/>
            </w:tcBorders>
          </w:tcPr>
          <w:p w14:paraId="5AB3A810" w14:textId="77777777" w:rsidR="00B53489" w:rsidRDefault="00B53489" w:rsidP="00E63C8F">
            <w:pPr>
              <w:spacing w:line="240" w:lineRule="auto"/>
              <w:jc w:val="center"/>
              <w:rPr>
                <w:rFonts w:cs="Times New Roman"/>
              </w:rPr>
            </w:pPr>
            <w:r>
              <w:rPr>
                <w:rFonts w:cs="Times New Roman"/>
              </w:rPr>
              <w:t>£181.72</w:t>
            </w:r>
          </w:p>
        </w:tc>
      </w:tr>
      <w:tr w:rsidR="00B53489" w:rsidRPr="00E63C8F" w14:paraId="0257ADB6" w14:textId="77777777" w:rsidTr="00B53489">
        <w:tc>
          <w:tcPr>
            <w:tcW w:w="9016" w:type="dxa"/>
            <w:gridSpan w:val="6"/>
            <w:tcBorders>
              <w:left w:val="nil"/>
              <w:bottom w:val="nil"/>
              <w:right w:val="nil"/>
            </w:tcBorders>
          </w:tcPr>
          <w:p w14:paraId="683CDF84" w14:textId="77777777" w:rsidR="00B53489" w:rsidRPr="00E63C8F" w:rsidRDefault="00B53489" w:rsidP="00E63C8F">
            <w:pPr>
              <w:spacing w:line="240" w:lineRule="auto"/>
              <w:rPr>
                <w:rFonts w:cs="Times New Roman"/>
                <w:sz w:val="16"/>
                <w:szCs w:val="16"/>
              </w:rPr>
            </w:pPr>
            <w:r w:rsidRPr="00E63C8F">
              <w:rPr>
                <w:rFonts w:cs="Times New Roman"/>
                <w:sz w:val="16"/>
                <w:szCs w:val="16"/>
              </w:rPr>
              <w:t>Favourable denotes assumptions that are more favourable to single-use and effective detergents</w:t>
            </w:r>
          </w:p>
        </w:tc>
      </w:tr>
    </w:tbl>
    <w:p w14:paraId="78AFE206" w14:textId="77777777" w:rsidR="00B53489" w:rsidRDefault="00B53489" w:rsidP="00B53489">
      <w:pPr>
        <w:rPr>
          <w:rFonts w:cs="Times New Roman"/>
        </w:rPr>
      </w:pPr>
    </w:p>
    <w:p w14:paraId="2F7038AC" w14:textId="77777777" w:rsidR="00E55A7F" w:rsidRDefault="00B53489" w:rsidP="007471CB">
      <w:pPr>
        <w:rPr>
          <w:rFonts w:cs="Times New Roman"/>
        </w:rPr>
      </w:pPr>
      <w:r>
        <w:rPr>
          <w:rFonts w:cs="Times New Roman"/>
        </w:rPr>
        <w:t>It is seen that in units where instruments were kept moist that a single-use set price would need in the region of £50 to have a cost per QALY below £300,000; to be below a cost per QALY of £30,000</w:t>
      </w:r>
      <w:r w:rsidR="002B678B">
        <w:rPr>
          <w:rFonts w:cs="Times New Roman"/>
        </w:rPr>
        <w:t>,</w:t>
      </w:r>
      <w:r>
        <w:rPr>
          <w:rFonts w:cs="Times New Roman"/>
        </w:rPr>
        <w:t xml:space="preserve"> the cost of a single-use kit would need to be in the region of £10.</w:t>
      </w:r>
    </w:p>
    <w:p w14:paraId="10BAA357" w14:textId="77777777" w:rsidR="00E55A7F" w:rsidRDefault="00E55A7F" w:rsidP="007471CB">
      <w:pPr>
        <w:rPr>
          <w:rFonts w:cs="Times New Roman"/>
        </w:rPr>
      </w:pPr>
    </w:p>
    <w:p w14:paraId="6C433AC3" w14:textId="0D3FDB07" w:rsidR="00B53489" w:rsidRPr="00E63C8F" w:rsidRDefault="00B53489" w:rsidP="00B53489">
      <w:pPr>
        <w:pStyle w:val="Heading3"/>
        <w:jc w:val="both"/>
        <w:rPr>
          <w:b w:val="0"/>
          <w:i/>
          <w:color w:val="000000" w:themeColor="text1"/>
          <w:szCs w:val="22"/>
        </w:rPr>
      </w:pPr>
      <w:r w:rsidRPr="00E63C8F">
        <w:rPr>
          <w:b w:val="0"/>
          <w:i/>
          <w:color w:val="000000" w:themeColor="text1"/>
          <w:szCs w:val="22"/>
        </w:rPr>
        <w:t xml:space="preserve">3.8.5 </w:t>
      </w:r>
      <w:r w:rsidRPr="00E63C8F">
        <w:rPr>
          <w:b w:val="0"/>
          <w:i/>
          <w:color w:val="000000" w:themeColor="text1"/>
          <w:szCs w:val="22"/>
        </w:rPr>
        <w:tab/>
        <w:t xml:space="preserve">Threshold analyses </w:t>
      </w:r>
      <w:r w:rsidR="00AB280F">
        <w:rPr>
          <w:b w:val="0"/>
          <w:i/>
          <w:color w:val="000000" w:themeColor="text1"/>
          <w:szCs w:val="22"/>
        </w:rPr>
        <w:t>on the costs of adhering to IPG</w:t>
      </w:r>
      <w:r w:rsidRPr="00E63C8F">
        <w:rPr>
          <w:b w:val="0"/>
          <w:i/>
          <w:color w:val="000000" w:themeColor="text1"/>
          <w:szCs w:val="22"/>
        </w:rPr>
        <w:t>196</w:t>
      </w:r>
    </w:p>
    <w:p w14:paraId="6A324558" w14:textId="72B2AA5C" w:rsidR="00B53489" w:rsidRDefault="00B53489" w:rsidP="00176BAD">
      <w:pPr>
        <w:jc w:val="both"/>
        <w:rPr>
          <w:rFonts w:cs="Times New Roman"/>
        </w:rPr>
      </w:pPr>
      <w:r>
        <w:rPr>
          <w:rFonts w:cs="Times New Roman"/>
        </w:rPr>
        <w:t>Analyses were performed to indicate for S2 and S5 units the cost at which adhering to IPG196 would produce an ICER equal to a chosen threshold.</w:t>
      </w:r>
      <w:r w:rsidRPr="00C61626">
        <w:rPr>
          <w:rFonts w:cs="Times New Roman"/>
        </w:rPr>
        <w:t xml:space="preserve"> </w:t>
      </w:r>
      <w:r>
        <w:rPr>
          <w:rFonts w:cs="Times New Roman"/>
        </w:rPr>
        <w:t xml:space="preserve">These results are presented for the S2 and S5 unit types, by four cost per QALY thresholds, and for the base case and for the scenario more favourable to re-usable instruments and completely effective cleaning solutions. The results are presented in </w:t>
      </w:r>
      <w:r w:rsidRPr="00C61626">
        <w:rPr>
          <w:rFonts w:cs="Times New Roman"/>
        </w:rPr>
        <w:fldChar w:fldCharType="begin"/>
      </w:r>
      <w:r w:rsidRPr="00C61626">
        <w:rPr>
          <w:rFonts w:cs="Times New Roman"/>
        </w:rPr>
        <w:instrText xml:space="preserve"> REF _Ref520100853  \* MERGEFORMAT </w:instrText>
      </w:r>
      <w:r w:rsidRPr="00C61626">
        <w:rPr>
          <w:rFonts w:cs="Times New Roman"/>
        </w:rPr>
        <w:fldChar w:fldCharType="separate"/>
      </w:r>
      <w:r w:rsidR="00690541" w:rsidRPr="00E63C8F">
        <w:rPr>
          <w:rFonts w:cs="Times New Roman"/>
          <w:noProof/>
        </w:rPr>
        <w:t>Table</w:t>
      </w:r>
      <w:r w:rsidR="00690541" w:rsidRPr="00E63C8F">
        <w:rPr>
          <w:rFonts w:cs="Times New Roman"/>
        </w:rPr>
        <w:t xml:space="preserve"> </w:t>
      </w:r>
      <w:r w:rsidR="00690541">
        <w:rPr>
          <w:rFonts w:cs="Times New Roman"/>
          <w:noProof/>
        </w:rPr>
        <w:t>30</w:t>
      </w:r>
      <w:r w:rsidRPr="00C61626">
        <w:rPr>
          <w:rFonts w:cs="Times New Roman"/>
        </w:rPr>
        <w:fldChar w:fldCharType="end"/>
      </w:r>
      <w:r>
        <w:rPr>
          <w:rFonts w:cs="Times New Roman"/>
        </w:rPr>
        <w:t>.</w:t>
      </w:r>
    </w:p>
    <w:p w14:paraId="259B4093" w14:textId="77777777" w:rsidR="00B53489" w:rsidRDefault="00B53489" w:rsidP="00B53489">
      <w:pPr>
        <w:rPr>
          <w:rFonts w:cs="Times New Roman"/>
        </w:rPr>
      </w:pPr>
    </w:p>
    <w:p w14:paraId="500907B1" w14:textId="7726292A" w:rsidR="00B53489" w:rsidRPr="00E63C8F" w:rsidRDefault="00B53489" w:rsidP="00724BBD">
      <w:pPr>
        <w:pStyle w:val="Caption"/>
        <w:spacing w:line="360" w:lineRule="auto"/>
        <w:rPr>
          <w:rFonts w:cs="Times New Roman"/>
          <w:szCs w:val="22"/>
        </w:rPr>
      </w:pPr>
      <w:bookmarkStart w:id="152" w:name="_Ref520100853"/>
      <w:bookmarkStart w:id="153" w:name="_Toc525106717"/>
      <w:r w:rsidRPr="00E63C8F">
        <w:rPr>
          <w:rFonts w:cs="Times New Roman"/>
          <w:szCs w:val="22"/>
        </w:rPr>
        <w:t xml:space="preserve">Table </w:t>
      </w:r>
      <w:r w:rsidRPr="00E63C8F">
        <w:rPr>
          <w:rFonts w:cs="Times New Roman"/>
          <w:szCs w:val="22"/>
        </w:rPr>
        <w:fldChar w:fldCharType="begin"/>
      </w:r>
      <w:r w:rsidRPr="00E63C8F">
        <w:rPr>
          <w:rFonts w:cs="Times New Roman"/>
          <w:szCs w:val="22"/>
        </w:rPr>
        <w:instrText xml:space="preserve"> SEQ Table \* ARABIC </w:instrText>
      </w:r>
      <w:r w:rsidRPr="00E63C8F">
        <w:rPr>
          <w:rFonts w:cs="Times New Roman"/>
          <w:szCs w:val="22"/>
        </w:rPr>
        <w:fldChar w:fldCharType="separate"/>
      </w:r>
      <w:r w:rsidR="00690541">
        <w:rPr>
          <w:rFonts w:cs="Times New Roman"/>
          <w:noProof/>
          <w:szCs w:val="22"/>
        </w:rPr>
        <w:t>30</w:t>
      </w:r>
      <w:r w:rsidRPr="00E63C8F">
        <w:rPr>
          <w:rFonts w:cs="Times New Roman"/>
          <w:szCs w:val="22"/>
        </w:rPr>
        <w:fldChar w:fldCharType="end"/>
      </w:r>
      <w:bookmarkEnd w:id="152"/>
      <w:r w:rsidRPr="00E63C8F">
        <w:rPr>
          <w:rFonts w:cs="Times New Roman"/>
          <w:szCs w:val="22"/>
        </w:rPr>
        <w:t>:</w:t>
      </w:r>
      <w:r w:rsidR="00E63C8F">
        <w:rPr>
          <w:rFonts w:cs="Times New Roman"/>
          <w:szCs w:val="22"/>
        </w:rPr>
        <w:tab/>
      </w:r>
      <w:r w:rsidRPr="00E63C8F">
        <w:rPr>
          <w:rFonts w:cs="Times New Roman"/>
          <w:szCs w:val="22"/>
        </w:rPr>
        <w:t>Threshold analyses on the cost of implementing IPG196</w:t>
      </w:r>
      <w:bookmarkEnd w:id="153"/>
    </w:p>
    <w:tbl>
      <w:tblPr>
        <w:tblW w:w="0" w:type="auto"/>
        <w:tblLook w:val="04A0" w:firstRow="1" w:lastRow="0" w:firstColumn="1" w:lastColumn="0" w:noHBand="0" w:noVBand="1"/>
      </w:tblPr>
      <w:tblGrid>
        <w:gridCol w:w="1502"/>
        <w:gridCol w:w="1502"/>
        <w:gridCol w:w="1503"/>
        <w:gridCol w:w="1503"/>
        <w:gridCol w:w="1503"/>
        <w:gridCol w:w="1503"/>
      </w:tblGrid>
      <w:tr w:rsidR="00B53489" w14:paraId="66A9837C" w14:textId="77777777" w:rsidTr="00CA4E0C">
        <w:tc>
          <w:tcPr>
            <w:tcW w:w="1502" w:type="dxa"/>
            <w:tcBorders>
              <w:top w:val="single" w:sz="4" w:space="0" w:color="auto"/>
              <w:left w:val="single" w:sz="4" w:space="0" w:color="auto"/>
              <w:bottom w:val="single" w:sz="4" w:space="0" w:color="auto"/>
              <w:right w:val="single" w:sz="4" w:space="0" w:color="auto"/>
            </w:tcBorders>
          </w:tcPr>
          <w:p w14:paraId="0578E54D" w14:textId="77777777" w:rsidR="00B53489" w:rsidRDefault="00B53489" w:rsidP="00B53489">
            <w:pPr>
              <w:rPr>
                <w:rFonts w:cs="Times New Roman"/>
              </w:rPr>
            </w:pPr>
          </w:p>
        </w:tc>
        <w:tc>
          <w:tcPr>
            <w:tcW w:w="1502" w:type="dxa"/>
            <w:tcBorders>
              <w:top w:val="single" w:sz="4" w:space="0" w:color="auto"/>
              <w:left w:val="single" w:sz="4" w:space="0" w:color="auto"/>
              <w:bottom w:val="single" w:sz="4" w:space="0" w:color="auto"/>
              <w:right w:val="single" w:sz="4" w:space="0" w:color="auto"/>
            </w:tcBorders>
          </w:tcPr>
          <w:p w14:paraId="0A015FD7" w14:textId="77777777" w:rsidR="00B53489" w:rsidRDefault="00B53489" w:rsidP="00B53489">
            <w:pPr>
              <w:rPr>
                <w:rFonts w:cs="Times New Roman"/>
              </w:rPr>
            </w:pPr>
          </w:p>
        </w:tc>
        <w:tc>
          <w:tcPr>
            <w:tcW w:w="6012" w:type="dxa"/>
            <w:gridSpan w:val="4"/>
            <w:tcBorders>
              <w:top w:val="single" w:sz="4" w:space="0" w:color="auto"/>
              <w:left w:val="single" w:sz="4" w:space="0" w:color="auto"/>
              <w:bottom w:val="single" w:sz="4" w:space="0" w:color="auto"/>
              <w:right w:val="single" w:sz="4" w:space="0" w:color="auto"/>
            </w:tcBorders>
          </w:tcPr>
          <w:p w14:paraId="71C67CAA" w14:textId="77777777" w:rsidR="00B53489" w:rsidRDefault="00B53489" w:rsidP="00B53489">
            <w:pPr>
              <w:jc w:val="center"/>
              <w:rPr>
                <w:rFonts w:cs="Times New Roman"/>
              </w:rPr>
            </w:pPr>
            <w:r>
              <w:rPr>
                <w:rFonts w:cs="Times New Roman"/>
              </w:rPr>
              <w:t>Cost per QALY threshold</w:t>
            </w:r>
          </w:p>
        </w:tc>
      </w:tr>
      <w:tr w:rsidR="00B53489" w14:paraId="4A29CA1F" w14:textId="77777777" w:rsidTr="00CA4E0C">
        <w:tc>
          <w:tcPr>
            <w:tcW w:w="1502" w:type="dxa"/>
            <w:tcBorders>
              <w:top w:val="single" w:sz="4" w:space="0" w:color="auto"/>
              <w:left w:val="single" w:sz="4" w:space="0" w:color="auto"/>
              <w:bottom w:val="single" w:sz="4" w:space="0" w:color="auto"/>
              <w:right w:val="single" w:sz="4" w:space="0" w:color="auto"/>
            </w:tcBorders>
          </w:tcPr>
          <w:p w14:paraId="1026244F" w14:textId="77777777" w:rsidR="00B53489" w:rsidRDefault="00B53489" w:rsidP="00B53489">
            <w:pPr>
              <w:rPr>
                <w:rFonts w:cs="Times New Roman"/>
              </w:rPr>
            </w:pPr>
            <w:r>
              <w:rPr>
                <w:rFonts w:cs="Times New Roman"/>
              </w:rPr>
              <w:t>Unit Type</w:t>
            </w:r>
          </w:p>
        </w:tc>
        <w:tc>
          <w:tcPr>
            <w:tcW w:w="1502" w:type="dxa"/>
            <w:tcBorders>
              <w:top w:val="single" w:sz="4" w:space="0" w:color="auto"/>
              <w:left w:val="single" w:sz="4" w:space="0" w:color="auto"/>
              <w:bottom w:val="single" w:sz="4" w:space="0" w:color="auto"/>
              <w:right w:val="single" w:sz="4" w:space="0" w:color="auto"/>
            </w:tcBorders>
          </w:tcPr>
          <w:p w14:paraId="224BB2A2" w14:textId="77777777" w:rsidR="00B53489" w:rsidRDefault="00B53489" w:rsidP="00B53489">
            <w:pPr>
              <w:rPr>
                <w:rFonts w:cs="Times New Roman"/>
              </w:rPr>
            </w:pPr>
            <w:r>
              <w:rPr>
                <w:rFonts w:cs="Times New Roman"/>
              </w:rPr>
              <w:t>Assumptions</w:t>
            </w:r>
          </w:p>
        </w:tc>
        <w:tc>
          <w:tcPr>
            <w:tcW w:w="1503" w:type="dxa"/>
            <w:tcBorders>
              <w:top w:val="single" w:sz="4" w:space="0" w:color="auto"/>
              <w:left w:val="single" w:sz="4" w:space="0" w:color="auto"/>
              <w:bottom w:val="single" w:sz="4" w:space="0" w:color="auto"/>
              <w:right w:val="single" w:sz="4" w:space="0" w:color="auto"/>
            </w:tcBorders>
          </w:tcPr>
          <w:p w14:paraId="4D10B2B7" w14:textId="77777777" w:rsidR="00B53489" w:rsidRDefault="00B53489" w:rsidP="00B53489">
            <w:pPr>
              <w:jc w:val="center"/>
              <w:rPr>
                <w:rFonts w:cs="Times New Roman"/>
              </w:rPr>
            </w:pPr>
            <w:r>
              <w:rPr>
                <w:rFonts w:cs="Times New Roman"/>
              </w:rPr>
              <w:t>£30,000</w:t>
            </w:r>
          </w:p>
        </w:tc>
        <w:tc>
          <w:tcPr>
            <w:tcW w:w="1503" w:type="dxa"/>
            <w:tcBorders>
              <w:top w:val="single" w:sz="4" w:space="0" w:color="auto"/>
              <w:left w:val="single" w:sz="4" w:space="0" w:color="auto"/>
              <w:bottom w:val="single" w:sz="4" w:space="0" w:color="auto"/>
              <w:right w:val="single" w:sz="4" w:space="0" w:color="auto"/>
            </w:tcBorders>
          </w:tcPr>
          <w:p w14:paraId="14A4E35C" w14:textId="77777777" w:rsidR="00B53489" w:rsidRDefault="00B53489" w:rsidP="00B53489">
            <w:pPr>
              <w:jc w:val="center"/>
              <w:rPr>
                <w:rFonts w:cs="Times New Roman"/>
              </w:rPr>
            </w:pPr>
            <w:r>
              <w:rPr>
                <w:rFonts w:cs="Times New Roman"/>
              </w:rPr>
              <w:t>£50,000</w:t>
            </w:r>
          </w:p>
        </w:tc>
        <w:tc>
          <w:tcPr>
            <w:tcW w:w="1503" w:type="dxa"/>
            <w:tcBorders>
              <w:top w:val="single" w:sz="4" w:space="0" w:color="auto"/>
              <w:left w:val="single" w:sz="4" w:space="0" w:color="auto"/>
              <w:bottom w:val="single" w:sz="4" w:space="0" w:color="auto"/>
              <w:right w:val="single" w:sz="4" w:space="0" w:color="auto"/>
            </w:tcBorders>
          </w:tcPr>
          <w:p w14:paraId="14B301D6" w14:textId="77777777" w:rsidR="00B53489" w:rsidRDefault="00B53489" w:rsidP="00B53489">
            <w:pPr>
              <w:jc w:val="center"/>
              <w:rPr>
                <w:rFonts w:cs="Times New Roman"/>
              </w:rPr>
            </w:pPr>
            <w:r>
              <w:rPr>
                <w:rFonts w:cs="Times New Roman"/>
              </w:rPr>
              <w:t>£100,000</w:t>
            </w:r>
          </w:p>
        </w:tc>
        <w:tc>
          <w:tcPr>
            <w:tcW w:w="1503" w:type="dxa"/>
            <w:tcBorders>
              <w:top w:val="single" w:sz="4" w:space="0" w:color="auto"/>
              <w:left w:val="single" w:sz="4" w:space="0" w:color="auto"/>
              <w:bottom w:val="single" w:sz="4" w:space="0" w:color="auto"/>
              <w:right w:val="single" w:sz="4" w:space="0" w:color="auto"/>
            </w:tcBorders>
          </w:tcPr>
          <w:p w14:paraId="325A382C" w14:textId="77777777" w:rsidR="00B53489" w:rsidRDefault="00B53489" w:rsidP="00B53489">
            <w:pPr>
              <w:jc w:val="center"/>
              <w:rPr>
                <w:rFonts w:cs="Times New Roman"/>
              </w:rPr>
            </w:pPr>
            <w:r>
              <w:rPr>
                <w:rFonts w:cs="Times New Roman"/>
              </w:rPr>
              <w:t>£300,000</w:t>
            </w:r>
          </w:p>
        </w:tc>
      </w:tr>
      <w:tr w:rsidR="00B53489" w14:paraId="3564A369" w14:textId="77777777" w:rsidTr="00CA4E0C">
        <w:tc>
          <w:tcPr>
            <w:tcW w:w="1502" w:type="dxa"/>
            <w:tcBorders>
              <w:top w:val="single" w:sz="4" w:space="0" w:color="auto"/>
              <w:left w:val="single" w:sz="4" w:space="0" w:color="auto"/>
              <w:bottom w:val="single" w:sz="4" w:space="0" w:color="auto"/>
              <w:right w:val="single" w:sz="4" w:space="0" w:color="auto"/>
            </w:tcBorders>
          </w:tcPr>
          <w:p w14:paraId="403BF4CF" w14:textId="77777777" w:rsidR="00B53489" w:rsidRDefault="00B53489" w:rsidP="00B53489">
            <w:pPr>
              <w:rPr>
                <w:rFonts w:cs="Times New Roman"/>
              </w:rPr>
            </w:pPr>
            <w:r>
              <w:rPr>
                <w:rFonts w:cs="Times New Roman"/>
              </w:rPr>
              <w:t>S2</w:t>
            </w:r>
          </w:p>
        </w:tc>
        <w:tc>
          <w:tcPr>
            <w:tcW w:w="1502" w:type="dxa"/>
            <w:tcBorders>
              <w:top w:val="single" w:sz="4" w:space="0" w:color="auto"/>
              <w:left w:val="single" w:sz="4" w:space="0" w:color="auto"/>
              <w:bottom w:val="single" w:sz="4" w:space="0" w:color="auto"/>
              <w:right w:val="single" w:sz="4" w:space="0" w:color="auto"/>
            </w:tcBorders>
          </w:tcPr>
          <w:p w14:paraId="572B721A" w14:textId="77777777" w:rsidR="00B53489" w:rsidRDefault="00B53489" w:rsidP="00B53489">
            <w:pPr>
              <w:rPr>
                <w:rFonts w:cs="Times New Roman"/>
              </w:rPr>
            </w:pPr>
            <w:r>
              <w:rPr>
                <w:rFonts w:cs="Times New Roman"/>
              </w:rPr>
              <w:t>Base Case</w:t>
            </w:r>
          </w:p>
        </w:tc>
        <w:tc>
          <w:tcPr>
            <w:tcW w:w="1503" w:type="dxa"/>
            <w:tcBorders>
              <w:top w:val="single" w:sz="4" w:space="0" w:color="auto"/>
              <w:left w:val="single" w:sz="4" w:space="0" w:color="auto"/>
              <w:bottom w:val="single" w:sz="4" w:space="0" w:color="auto"/>
              <w:right w:val="single" w:sz="4" w:space="0" w:color="auto"/>
            </w:tcBorders>
          </w:tcPr>
          <w:p w14:paraId="38C54588" w14:textId="77777777" w:rsidR="00B53489" w:rsidRDefault="00B53489" w:rsidP="00B53489">
            <w:pPr>
              <w:jc w:val="center"/>
              <w:rPr>
                <w:rFonts w:cs="Times New Roman"/>
              </w:rPr>
            </w:pPr>
            <w:r>
              <w:rPr>
                <w:rFonts w:cs="Times New Roman"/>
              </w:rPr>
              <w:t>£13,746</w:t>
            </w:r>
          </w:p>
        </w:tc>
        <w:tc>
          <w:tcPr>
            <w:tcW w:w="1503" w:type="dxa"/>
            <w:tcBorders>
              <w:top w:val="single" w:sz="4" w:space="0" w:color="auto"/>
              <w:left w:val="single" w:sz="4" w:space="0" w:color="auto"/>
              <w:bottom w:val="single" w:sz="4" w:space="0" w:color="auto"/>
              <w:right w:val="single" w:sz="4" w:space="0" w:color="auto"/>
            </w:tcBorders>
          </w:tcPr>
          <w:p w14:paraId="03095671" w14:textId="77777777" w:rsidR="00B53489" w:rsidRDefault="00B53489" w:rsidP="00B53489">
            <w:pPr>
              <w:jc w:val="center"/>
              <w:rPr>
                <w:rFonts w:cs="Times New Roman"/>
              </w:rPr>
            </w:pPr>
            <w:r>
              <w:rPr>
                <w:rFonts w:cs="Times New Roman"/>
              </w:rPr>
              <w:t>£22,038</w:t>
            </w:r>
          </w:p>
        </w:tc>
        <w:tc>
          <w:tcPr>
            <w:tcW w:w="1503" w:type="dxa"/>
            <w:tcBorders>
              <w:top w:val="single" w:sz="4" w:space="0" w:color="auto"/>
              <w:left w:val="single" w:sz="4" w:space="0" w:color="auto"/>
              <w:bottom w:val="single" w:sz="4" w:space="0" w:color="auto"/>
              <w:right w:val="single" w:sz="4" w:space="0" w:color="auto"/>
            </w:tcBorders>
          </w:tcPr>
          <w:p w14:paraId="1845CCF9" w14:textId="77777777" w:rsidR="00B53489" w:rsidRDefault="00B53489" w:rsidP="00B53489">
            <w:pPr>
              <w:jc w:val="center"/>
              <w:rPr>
                <w:rFonts w:cs="Times New Roman"/>
              </w:rPr>
            </w:pPr>
            <w:r>
              <w:rPr>
                <w:rFonts w:cs="Times New Roman"/>
              </w:rPr>
              <w:t>£42,766</w:t>
            </w:r>
          </w:p>
        </w:tc>
        <w:tc>
          <w:tcPr>
            <w:tcW w:w="1503" w:type="dxa"/>
            <w:tcBorders>
              <w:top w:val="single" w:sz="4" w:space="0" w:color="auto"/>
              <w:left w:val="single" w:sz="4" w:space="0" w:color="auto"/>
              <w:bottom w:val="single" w:sz="4" w:space="0" w:color="auto"/>
              <w:right w:val="single" w:sz="4" w:space="0" w:color="auto"/>
            </w:tcBorders>
          </w:tcPr>
          <w:p w14:paraId="48D52E79" w14:textId="77777777" w:rsidR="00B53489" w:rsidRDefault="00B53489" w:rsidP="00B53489">
            <w:pPr>
              <w:jc w:val="center"/>
              <w:rPr>
                <w:rFonts w:cs="Times New Roman"/>
              </w:rPr>
            </w:pPr>
            <w:r>
              <w:rPr>
                <w:rFonts w:cs="Times New Roman"/>
              </w:rPr>
              <w:t>£125,678</w:t>
            </w:r>
          </w:p>
        </w:tc>
      </w:tr>
      <w:tr w:rsidR="00B53489" w14:paraId="1AEFF446" w14:textId="77777777" w:rsidTr="00CA4E0C">
        <w:tc>
          <w:tcPr>
            <w:tcW w:w="1502" w:type="dxa"/>
            <w:tcBorders>
              <w:top w:val="single" w:sz="4" w:space="0" w:color="auto"/>
              <w:left w:val="single" w:sz="4" w:space="0" w:color="auto"/>
              <w:bottom w:val="single" w:sz="4" w:space="0" w:color="auto"/>
              <w:right w:val="single" w:sz="4" w:space="0" w:color="auto"/>
            </w:tcBorders>
          </w:tcPr>
          <w:p w14:paraId="70DDC99C" w14:textId="77777777" w:rsidR="00B53489" w:rsidRDefault="00B53489" w:rsidP="00B53489">
            <w:pPr>
              <w:rPr>
                <w:rFonts w:cs="Times New Roman"/>
              </w:rPr>
            </w:pPr>
          </w:p>
        </w:tc>
        <w:tc>
          <w:tcPr>
            <w:tcW w:w="1502" w:type="dxa"/>
            <w:tcBorders>
              <w:top w:val="single" w:sz="4" w:space="0" w:color="auto"/>
              <w:left w:val="single" w:sz="4" w:space="0" w:color="auto"/>
              <w:bottom w:val="single" w:sz="4" w:space="0" w:color="auto"/>
              <w:right w:val="single" w:sz="4" w:space="0" w:color="auto"/>
            </w:tcBorders>
          </w:tcPr>
          <w:p w14:paraId="078C570B" w14:textId="77777777" w:rsidR="00B53489" w:rsidRDefault="00B53489" w:rsidP="00B53489">
            <w:pPr>
              <w:rPr>
                <w:rFonts w:cs="Times New Roman"/>
              </w:rPr>
            </w:pPr>
            <w:r>
              <w:rPr>
                <w:rFonts w:cs="Times New Roman"/>
              </w:rPr>
              <w:t>Favourable</w:t>
            </w:r>
          </w:p>
        </w:tc>
        <w:tc>
          <w:tcPr>
            <w:tcW w:w="1503" w:type="dxa"/>
            <w:tcBorders>
              <w:top w:val="single" w:sz="4" w:space="0" w:color="auto"/>
              <w:left w:val="single" w:sz="4" w:space="0" w:color="auto"/>
              <w:bottom w:val="single" w:sz="4" w:space="0" w:color="auto"/>
              <w:right w:val="single" w:sz="4" w:space="0" w:color="auto"/>
            </w:tcBorders>
          </w:tcPr>
          <w:p w14:paraId="2DF3EDBB" w14:textId="77777777" w:rsidR="00B53489" w:rsidRDefault="00B53489" w:rsidP="00B53489">
            <w:pPr>
              <w:jc w:val="center"/>
              <w:rPr>
                <w:rFonts w:cs="Times New Roman"/>
              </w:rPr>
            </w:pPr>
            <w:r>
              <w:rPr>
                <w:rFonts w:cs="Times New Roman"/>
              </w:rPr>
              <w:t>£14,270</w:t>
            </w:r>
          </w:p>
        </w:tc>
        <w:tc>
          <w:tcPr>
            <w:tcW w:w="1503" w:type="dxa"/>
            <w:tcBorders>
              <w:top w:val="single" w:sz="4" w:space="0" w:color="auto"/>
              <w:left w:val="single" w:sz="4" w:space="0" w:color="auto"/>
              <w:bottom w:val="single" w:sz="4" w:space="0" w:color="auto"/>
              <w:right w:val="single" w:sz="4" w:space="0" w:color="auto"/>
            </w:tcBorders>
          </w:tcPr>
          <w:p w14:paraId="01F3E346" w14:textId="77777777" w:rsidR="00B53489" w:rsidRDefault="00B53489" w:rsidP="00B53489">
            <w:pPr>
              <w:jc w:val="center"/>
              <w:rPr>
                <w:rFonts w:cs="Times New Roman"/>
              </w:rPr>
            </w:pPr>
            <w:r>
              <w:rPr>
                <w:rFonts w:cs="Times New Roman"/>
              </w:rPr>
              <w:t>£22,561</w:t>
            </w:r>
          </w:p>
        </w:tc>
        <w:tc>
          <w:tcPr>
            <w:tcW w:w="1503" w:type="dxa"/>
            <w:tcBorders>
              <w:top w:val="single" w:sz="4" w:space="0" w:color="auto"/>
              <w:left w:val="single" w:sz="4" w:space="0" w:color="auto"/>
              <w:bottom w:val="single" w:sz="4" w:space="0" w:color="auto"/>
              <w:right w:val="single" w:sz="4" w:space="0" w:color="auto"/>
            </w:tcBorders>
          </w:tcPr>
          <w:p w14:paraId="04629AB9" w14:textId="77777777" w:rsidR="00B53489" w:rsidRDefault="00B53489" w:rsidP="00B53489">
            <w:pPr>
              <w:jc w:val="center"/>
              <w:rPr>
                <w:rFonts w:cs="Times New Roman"/>
              </w:rPr>
            </w:pPr>
            <w:r>
              <w:rPr>
                <w:rFonts w:cs="Times New Roman"/>
              </w:rPr>
              <w:t>£43,290</w:t>
            </w:r>
          </w:p>
        </w:tc>
        <w:tc>
          <w:tcPr>
            <w:tcW w:w="1503" w:type="dxa"/>
            <w:tcBorders>
              <w:top w:val="single" w:sz="4" w:space="0" w:color="auto"/>
              <w:left w:val="single" w:sz="4" w:space="0" w:color="auto"/>
              <w:bottom w:val="single" w:sz="4" w:space="0" w:color="auto"/>
              <w:right w:val="single" w:sz="4" w:space="0" w:color="auto"/>
            </w:tcBorders>
          </w:tcPr>
          <w:p w14:paraId="55D657B7" w14:textId="77777777" w:rsidR="00B53489" w:rsidRDefault="00B53489" w:rsidP="00B53489">
            <w:pPr>
              <w:jc w:val="center"/>
              <w:rPr>
                <w:rFonts w:cs="Times New Roman"/>
              </w:rPr>
            </w:pPr>
            <w:r>
              <w:rPr>
                <w:rFonts w:cs="Times New Roman"/>
              </w:rPr>
              <w:t>£126,202</w:t>
            </w:r>
          </w:p>
        </w:tc>
      </w:tr>
      <w:tr w:rsidR="00B53489" w14:paraId="50632C17" w14:textId="77777777" w:rsidTr="00CA4E0C">
        <w:tc>
          <w:tcPr>
            <w:tcW w:w="1502" w:type="dxa"/>
            <w:tcBorders>
              <w:top w:val="single" w:sz="4" w:space="0" w:color="auto"/>
              <w:left w:val="single" w:sz="4" w:space="0" w:color="auto"/>
              <w:bottom w:val="single" w:sz="4" w:space="0" w:color="auto"/>
              <w:right w:val="single" w:sz="4" w:space="0" w:color="auto"/>
            </w:tcBorders>
          </w:tcPr>
          <w:p w14:paraId="027AE9BD" w14:textId="77777777" w:rsidR="00B53489" w:rsidRDefault="00B53489" w:rsidP="00B53489">
            <w:pPr>
              <w:rPr>
                <w:rFonts w:cs="Times New Roman"/>
              </w:rPr>
            </w:pPr>
            <w:r>
              <w:rPr>
                <w:rFonts w:cs="Times New Roman"/>
              </w:rPr>
              <w:t>S5</w:t>
            </w:r>
          </w:p>
        </w:tc>
        <w:tc>
          <w:tcPr>
            <w:tcW w:w="1502" w:type="dxa"/>
            <w:tcBorders>
              <w:top w:val="single" w:sz="4" w:space="0" w:color="auto"/>
              <w:left w:val="single" w:sz="4" w:space="0" w:color="auto"/>
              <w:bottom w:val="single" w:sz="4" w:space="0" w:color="auto"/>
              <w:right w:val="single" w:sz="4" w:space="0" w:color="auto"/>
            </w:tcBorders>
          </w:tcPr>
          <w:p w14:paraId="4065B600" w14:textId="77777777" w:rsidR="00B53489" w:rsidRDefault="00B53489" w:rsidP="00B53489">
            <w:pPr>
              <w:rPr>
                <w:rFonts w:cs="Times New Roman"/>
              </w:rPr>
            </w:pPr>
            <w:r>
              <w:rPr>
                <w:rFonts w:cs="Times New Roman"/>
              </w:rPr>
              <w:t>Base Case</w:t>
            </w:r>
          </w:p>
        </w:tc>
        <w:tc>
          <w:tcPr>
            <w:tcW w:w="1503" w:type="dxa"/>
            <w:tcBorders>
              <w:top w:val="single" w:sz="4" w:space="0" w:color="auto"/>
              <w:left w:val="single" w:sz="4" w:space="0" w:color="auto"/>
              <w:bottom w:val="single" w:sz="4" w:space="0" w:color="auto"/>
              <w:right w:val="single" w:sz="4" w:space="0" w:color="auto"/>
            </w:tcBorders>
          </w:tcPr>
          <w:p w14:paraId="1903FCA4" w14:textId="77777777" w:rsidR="00B53489" w:rsidRDefault="00B53489" w:rsidP="00B53489">
            <w:pPr>
              <w:jc w:val="center"/>
              <w:rPr>
                <w:rFonts w:cs="Times New Roman"/>
              </w:rPr>
            </w:pPr>
            <w:r>
              <w:rPr>
                <w:rFonts w:cs="Times New Roman"/>
              </w:rPr>
              <w:t>£15,122</w:t>
            </w:r>
          </w:p>
        </w:tc>
        <w:tc>
          <w:tcPr>
            <w:tcW w:w="1503" w:type="dxa"/>
            <w:tcBorders>
              <w:top w:val="single" w:sz="4" w:space="0" w:color="auto"/>
              <w:left w:val="single" w:sz="4" w:space="0" w:color="auto"/>
              <w:bottom w:val="single" w:sz="4" w:space="0" w:color="auto"/>
              <w:right w:val="single" w:sz="4" w:space="0" w:color="auto"/>
            </w:tcBorders>
          </w:tcPr>
          <w:p w14:paraId="48FFD381" w14:textId="77777777" w:rsidR="00B53489" w:rsidRDefault="00B53489" w:rsidP="00B53489">
            <w:pPr>
              <w:jc w:val="center"/>
              <w:rPr>
                <w:rFonts w:cs="Times New Roman"/>
              </w:rPr>
            </w:pPr>
            <w:r>
              <w:rPr>
                <w:rFonts w:cs="Times New Roman"/>
              </w:rPr>
              <w:t>£24,333</w:t>
            </w:r>
          </w:p>
        </w:tc>
        <w:tc>
          <w:tcPr>
            <w:tcW w:w="1503" w:type="dxa"/>
            <w:tcBorders>
              <w:top w:val="single" w:sz="4" w:space="0" w:color="auto"/>
              <w:left w:val="single" w:sz="4" w:space="0" w:color="auto"/>
              <w:bottom w:val="single" w:sz="4" w:space="0" w:color="auto"/>
              <w:right w:val="single" w:sz="4" w:space="0" w:color="auto"/>
            </w:tcBorders>
          </w:tcPr>
          <w:p w14:paraId="1961D0FC" w14:textId="77777777" w:rsidR="00B53489" w:rsidRDefault="00B53489" w:rsidP="00B53489">
            <w:pPr>
              <w:jc w:val="center"/>
              <w:rPr>
                <w:rFonts w:cs="Times New Roman"/>
              </w:rPr>
            </w:pPr>
            <w:r>
              <w:rPr>
                <w:rFonts w:cs="Times New Roman"/>
              </w:rPr>
              <w:t>£47,360</w:t>
            </w:r>
          </w:p>
        </w:tc>
        <w:tc>
          <w:tcPr>
            <w:tcW w:w="1503" w:type="dxa"/>
            <w:tcBorders>
              <w:top w:val="single" w:sz="4" w:space="0" w:color="auto"/>
              <w:left w:val="single" w:sz="4" w:space="0" w:color="auto"/>
              <w:bottom w:val="single" w:sz="4" w:space="0" w:color="auto"/>
              <w:right w:val="single" w:sz="4" w:space="0" w:color="auto"/>
            </w:tcBorders>
          </w:tcPr>
          <w:p w14:paraId="589B1435" w14:textId="77777777" w:rsidR="00B53489" w:rsidRDefault="00B53489" w:rsidP="00B53489">
            <w:pPr>
              <w:jc w:val="center"/>
              <w:rPr>
                <w:rFonts w:cs="Times New Roman"/>
              </w:rPr>
            </w:pPr>
            <w:r>
              <w:rPr>
                <w:rFonts w:cs="Times New Roman"/>
              </w:rPr>
              <w:t>£139,466</w:t>
            </w:r>
          </w:p>
        </w:tc>
      </w:tr>
      <w:tr w:rsidR="00B53489" w14:paraId="606B3B9D" w14:textId="77777777" w:rsidTr="00CA4E0C">
        <w:tc>
          <w:tcPr>
            <w:tcW w:w="1502" w:type="dxa"/>
            <w:tcBorders>
              <w:top w:val="single" w:sz="4" w:space="0" w:color="auto"/>
              <w:left w:val="single" w:sz="4" w:space="0" w:color="auto"/>
              <w:bottom w:val="single" w:sz="4" w:space="0" w:color="auto"/>
              <w:right w:val="single" w:sz="4" w:space="0" w:color="auto"/>
            </w:tcBorders>
          </w:tcPr>
          <w:p w14:paraId="079F4B58" w14:textId="77777777" w:rsidR="00B53489" w:rsidRDefault="00B53489" w:rsidP="00B53489">
            <w:pPr>
              <w:rPr>
                <w:rFonts w:cs="Times New Roman"/>
              </w:rPr>
            </w:pPr>
          </w:p>
        </w:tc>
        <w:tc>
          <w:tcPr>
            <w:tcW w:w="1502" w:type="dxa"/>
            <w:tcBorders>
              <w:top w:val="single" w:sz="4" w:space="0" w:color="auto"/>
              <w:left w:val="single" w:sz="4" w:space="0" w:color="auto"/>
              <w:bottom w:val="single" w:sz="4" w:space="0" w:color="auto"/>
              <w:right w:val="single" w:sz="4" w:space="0" w:color="auto"/>
            </w:tcBorders>
          </w:tcPr>
          <w:p w14:paraId="051A3268" w14:textId="77777777" w:rsidR="00B53489" w:rsidRDefault="00B53489" w:rsidP="00B53489">
            <w:pPr>
              <w:rPr>
                <w:rFonts w:cs="Times New Roman"/>
              </w:rPr>
            </w:pPr>
            <w:r>
              <w:rPr>
                <w:rFonts w:cs="Times New Roman"/>
              </w:rPr>
              <w:t>Favourable</w:t>
            </w:r>
          </w:p>
        </w:tc>
        <w:tc>
          <w:tcPr>
            <w:tcW w:w="1503" w:type="dxa"/>
            <w:tcBorders>
              <w:top w:val="single" w:sz="4" w:space="0" w:color="auto"/>
              <w:left w:val="single" w:sz="4" w:space="0" w:color="auto"/>
              <w:bottom w:val="single" w:sz="4" w:space="0" w:color="auto"/>
              <w:right w:val="single" w:sz="4" w:space="0" w:color="auto"/>
            </w:tcBorders>
          </w:tcPr>
          <w:p w14:paraId="590C858A" w14:textId="77777777" w:rsidR="00B53489" w:rsidRDefault="00B53489" w:rsidP="00B53489">
            <w:pPr>
              <w:jc w:val="center"/>
              <w:rPr>
                <w:rFonts w:cs="Times New Roman"/>
              </w:rPr>
            </w:pPr>
            <w:r>
              <w:rPr>
                <w:rFonts w:cs="Times New Roman"/>
              </w:rPr>
              <w:t>£15,645</w:t>
            </w:r>
          </w:p>
        </w:tc>
        <w:tc>
          <w:tcPr>
            <w:tcW w:w="1503" w:type="dxa"/>
            <w:tcBorders>
              <w:top w:val="single" w:sz="4" w:space="0" w:color="auto"/>
              <w:left w:val="single" w:sz="4" w:space="0" w:color="auto"/>
              <w:bottom w:val="single" w:sz="4" w:space="0" w:color="auto"/>
              <w:right w:val="single" w:sz="4" w:space="0" w:color="auto"/>
            </w:tcBorders>
          </w:tcPr>
          <w:p w14:paraId="506BDD18" w14:textId="77777777" w:rsidR="00B53489" w:rsidRDefault="00B53489" w:rsidP="00B53489">
            <w:pPr>
              <w:jc w:val="center"/>
              <w:rPr>
                <w:rFonts w:cs="Times New Roman"/>
              </w:rPr>
            </w:pPr>
            <w:r>
              <w:rPr>
                <w:rFonts w:cs="Times New Roman"/>
              </w:rPr>
              <w:t>£24,856</w:t>
            </w:r>
          </w:p>
        </w:tc>
        <w:tc>
          <w:tcPr>
            <w:tcW w:w="1503" w:type="dxa"/>
            <w:tcBorders>
              <w:top w:val="single" w:sz="4" w:space="0" w:color="auto"/>
              <w:left w:val="single" w:sz="4" w:space="0" w:color="auto"/>
              <w:bottom w:val="single" w:sz="4" w:space="0" w:color="auto"/>
              <w:right w:val="single" w:sz="4" w:space="0" w:color="auto"/>
            </w:tcBorders>
          </w:tcPr>
          <w:p w14:paraId="550DB304" w14:textId="77777777" w:rsidR="00B53489" w:rsidRDefault="00B53489" w:rsidP="00B53489">
            <w:pPr>
              <w:jc w:val="center"/>
              <w:rPr>
                <w:rFonts w:cs="Times New Roman"/>
              </w:rPr>
            </w:pPr>
            <w:r>
              <w:rPr>
                <w:rFonts w:cs="Times New Roman"/>
              </w:rPr>
              <w:t>£47,882</w:t>
            </w:r>
          </w:p>
        </w:tc>
        <w:tc>
          <w:tcPr>
            <w:tcW w:w="1503" w:type="dxa"/>
            <w:tcBorders>
              <w:top w:val="single" w:sz="4" w:space="0" w:color="auto"/>
              <w:left w:val="single" w:sz="4" w:space="0" w:color="auto"/>
              <w:bottom w:val="single" w:sz="4" w:space="0" w:color="auto"/>
              <w:right w:val="single" w:sz="4" w:space="0" w:color="auto"/>
            </w:tcBorders>
          </w:tcPr>
          <w:p w14:paraId="09997D5E" w14:textId="77777777" w:rsidR="00B53489" w:rsidRDefault="00B53489" w:rsidP="00B53489">
            <w:pPr>
              <w:jc w:val="center"/>
              <w:rPr>
                <w:rFonts w:cs="Times New Roman"/>
              </w:rPr>
            </w:pPr>
            <w:r>
              <w:rPr>
                <w:rFonts w:cs="Times New Roman"/>
              </w:rPr>
              <w:t>£139,988</w:t>
            </w:r>
          </w:p>
        </w:tc>
      </w:tr>
      <w:tr w:rsidR="00B53489" w:rsidRPr="00E63C8F" w14:paraId="44C10F61" w14:textId="77777777" w:rsidTr="00CA4E0C">
        <w:tc>
          <w:tcPr>
            <w:tcW w:w="9016" w:type="dxa"/>
            <w:gridSpan w:val="6"/>
            <w:tcBorders>
              <w:top w:val="single" w:sz="4" w:space="0" w:color="auto"/>
              <w:left w:val="nil"/>
              <w:bottom w:val="nil"/>
              <w:right w:val="nil"/>
            </w:tcBorders>
          </w:tcPr>
          <w:p w14:paraId="0CDAE648" w14:textId="77777777" w:rsidR="00B53489" w:rsidRPr="00E63C8F" w:rsidRDefault="00B53489" w:rsidP="00B53489">
            <w:pPr>
              <w:rPr>
                <w:rFonts w:cs="Times New Roman"/>
                <w:sz w:val="16"/>
                <w:szCs w:val="16"/>
              </w:rPr>
            </w:pPr>
            <w:r w:rsidRPr="00E63C8F">
              <w:rPr>
                <w:rFonts w:cs="Times New Roman"/>
                <w:sz w:val="16"/>
                <w:szCs w:val="16"/>
              </w:rPr>
              <w:t>Favourable denotes assumptions that are more favourable to single-use and effective detergents</w:t>
            </w:r>
          </w:p>
        </w:tc>
      </w:tr>
    </w:tbl>
    <w:p w14:paraId="3D77D10F" w14:textId="77777777" w:rsidR="00B53489" w:rsidRDefault="00B53489" w:rsidP="00B53489">
      <w:pPr>
        <w:rPr>
          <w:rFonts w:cs="Times New Roman"/>
        </w:rPr>
      </w:pPr>
    </w:p>
    <w:p w14:paraId="389BF79A" w14:textId="29005369" w:rsidR="00B53489" w:rsidRPr="003701C5" w:rsidRDefault="00AC33BD" w:rsidP="00E63C8F">
      <w:pPr>
        <w:jc w:val="both"/>
        <w:rPr>
          <w:rFonts w:cs="Times New Roman"/>
        </w:rPr>
      </w:pPr>
      <w:r>
        <w:rPr>
          <w:rFonts w:cs="Times New Roman"/>
        </w:rPr>
        <w:t>T</w:t>
      </w:r>
      <w:r w:rsidR="00B53489">
        <w:rPr>
          <w:rFonts w:cs="Times New Roman"/>
        </w:rPr>
        <w:t xml:space="preserve">he </w:t>
      </w:r>
      <w:r>
        <w:rPr>
          <w:rFonts w:cs="Times New Roman"/>
        </w:rPr>
        <w:t xml:space="preserve">estimated </w:t>
      </w:r>
      <w:r w:rsidR="00B53489">
        <w:rPr>
          <w:rFonts w:cs="Times New Roman"/>
        </w:rPr>
        <w:t xml:space="preserve">costs of fully tracking instruments per unit is </w:t>
      </w:r>
      <w:r>
        <w:rPr>
          <w:rFonts w:cs="Times New Roman"/>
        </w:rPr>
        <w:t>estimated to be £750,000 which is</w:t>
      </w:r>
      <w:r w:rsidR="00B53489">
        <w:rPr>
          <w:rFonts w:cs="Times New Roman"/>
        </w:rPr>
        <w:t xml:space="preserve"> greater than the threshold values provided in </w:t>
      </w:r>
      <w:r w:rsidR="00B53489" w:rsidRPr="00A93B67">
        <w:rPr>
          <w:rFonts w:cs="Times New Roman"/>
        </w:rPr>
        <w:fldChar w:fldCharType="begin"/>
      </w:r>
      <w:r w:rsidR="00B53489" w:rsidRPr="00A93B67">
        <w:rPr>
          <w:rFonts w:cs="Times New Roman"/>
        </w:rPr>
        <w:instrText xml:space="preserve"> REF _Ref520100853  \* MERGEFORMAT </w:instrText>
      </w:r>
      <w:r w:rsidR="00B53489" w:rsidRPr="00A93B67">
        <w:rPr>
          <w:rFonts w:cs="Times New Roman"/>
        </w:rPr>
        <w:fldChar w:fldCharType="separate"/>
      </w:r>
      <w:r w:rsidR="00690541" w:rsidRPr="00E63C8F">
        <w:rPr>
          <w:rFonts w:cs="Times New Roman"/>
          <w:noProof/>
        </w:rPr>
        <w:t>Table</w:t>
      </w:r>
      <w:r w:rsidR="00690541" w:rsidRPr="00E63C8F">
        <w:rPr>
          <w:rFonts w:cs="Times New Roman"/>
        </w:rPr>
        <w:t xml:space="preserve"> </w:t>
      </w:r>
      <w:r w:rsidR="00690541">
        <w:rPr>
          <w:rFonts w:cs="Times New Roman"/>
          <w:noProof/>
        </w:rPr>
        <w:t>30</w:t>
      </w:r>
      <w:r w:rsidR="00B53489" w:rsidRPr="00A93B67">
        <w:rPr>
          <w:rFonts w:cs="Times New Roman"/>
        </w:rPr>
        <w:fldChar w:fldCharType="end"/>
      </w:r>
      <w:r w:rsidR="00B53489">
        <w:rPr>
          <w:rFonts w:cs="Times New Roman"/>
        </w:rPr>
        <w:t>.</w:t>
      </w:r>
    </w:p>
    <w:p w14:paraId="5276AFE7" w14:textId="77777777" w:rsidR="00B53489" w:rsidRDefault="00B53489" w:rsidP="00B53489">
      <w:pPr>
        <w:rPr>
          <w:rFonts w:cs="Times New Roman"/>
        </w:rPr>
      </w:pPr>
    </w:p>
    <w:p w14:paraId="2E470C68" w14:textId="77777777" w:rsidR="00B53489" w:rsidRPr="00E63C8F" w:rsidRDefault="00B53489" w:rsidP="00E63C8F">
      <w:pPr>
        <w:pStyle w:val="Heading3"/>
        <w:ind w:left="720" w:hanging="720"/>
        <w:jc w:val="both"/>
        <w:rPr>
          <w:b w:val="0"/>
          <w:i/>
          <w:color w:val="000000" w:themeColor="text1"/>
          <w:szCs w:val="22"/>
        </w:rPr>
      </w:pPr>
      <w:r w:rsidRPr="00E63C8F">
        <w:rPr>
          <w:b w:val="0"/>
          <w:i/>
          <w:color w:val="000000" w:themeColor="text1"/>
          <w:szCs w:val="22"/>
        </w:rPr>
        <w:t xml:space="preserve">3.8.6 </w:t>
      </w:r>
      <w:r w:rsidRPr="00E63C8F">
        <w:rPr>
          <w:b w:val="0"/>
          <w:i/>
          <w:color w:val="000000" w:themeColor="text1"/>
          <w:szCs w:val="22"/>
        </w:rPr>
        <w:tab/>
        <w:t>Estimating the cost-effectiveness of removing the need for the P96 group to be operated on with separate instrument sets</w:t>
      </w:r>
    </w:p>
    <w:p w14:paraId="76B3C34D" w14:textId="093E9AA5" w:rsidR="00B53489" w:rsidRPr="003701C5" w:rsidRDefault="00B53489" w:rsidP="00E63C8F">
      <w:pPr>
        <w:jc w:val="both"/>
        <w:rPr>
          <w:rFonts w:cs="Times New Roman"/>
        </w:rPr>
      </w:pPr>
      <w:r>
        <w:rPr>
          <w:rFonts w:cs="Times New Roman"/>
        </w:rPr>
        <w:t xml:space="preserve">The data reported in </w:t>
      </w:r>
      <w:r w:rsidR="00CA4E0C" w:rsidRPr="00694CC0">
        <w:rPr>
          <w:rFonts w:cs="Times New Roman"/>
        </w:rPr>
        <w:fldChar w:fldCharType="begin"/>
      </w:r>
      <w:r w:rsidR="00CA4E0C" w:rsidRPr="00694CC0">
        <w:rPr>
          <w:rFonts w:cs="Times New Roman"/>
        </w:rPr>
        <w:instrText xml:space="preserve"> REF _Ref519334448  \* MERGEFORMAT </w:instrText>
      </w:r>
      <w:r w:rsidR="00CA4E0C" w:rsidRPr="00694CC0">
        <w:rPr>
          <w:rFonts w:cs="Times New Roman"/>
        </w:rPr>
        <w:fldChar w:fldCharType="separate"/>
      </w:r>
      <w:r w:rsidR="00690541" w:rsidRPr="00D20474">
        <w:rPr>
          <w:rFonts w:cs="Times New Roman"/>
          <w:noProof/>
        </w:rPr>
        <w:t>Table</w:t>
      </w:r>
      <w:r w:rsidR="00690541" w:rsidRPr="00D20474">
        <w:rPr>
          <w:rFonts w:cs="Times New Roman"/>
        </w:rPr>
        <w:t xml:space="preserve"> </w:t>
      </w:r>
      <w:r w:rsidR="00690541">
        <w:rPr>
          <w:rFonts w:cs="Times New Roman"/>
          <w:noProof/>
        </w:rPr>
        <w:t>26</w:t>
      </w:r>
      <w:r w:rsidR="00CA4E0C" w:rsidRPr="00694CC0">
        <w:rPr>
          <w:rFonts w:cs="Times New Roman"/>
        </w:rPr>
        <w:fldChar w:fldCharType="end"/>
      </w:r>
      <w:r w:rsidR="00CA4E0C">
        <w:rPr>
          <w:rFonts w:cs="Times New Roman"/>
        </w:rPr>
        <w:t xml:space="preserve"> </w:t>
      </w:r>
      <w:r>
        <w:rPr>
          <w:rFonts w:cs="Times New Roman"/>
        </w:rPr>
        <w:t>and</w:t>
      </w:r>
      <w:r w:rsidRPr="00A953AD">
        <w:rPr>
          <w:rFonts w:cs="Times New Roman"/>
        </w:rPr>
        <w:t xml:space="preserve"> </w:t>
      </w:r>
      <w:r>
        <w:rPr>
          <w:rFonts w:cs="Times New Roman"/>
        </w:rPr>
        <w:t xml:space="preserve">in </w:t>
      </w:r>
      <w:r w:rsidR="00CA4E0C" w:rsidRPr="00694CC0">
        <w:rPr>
          <w:rFonts w:cs="Times New Roman"/>
        </w:rPr>
        <w:fldChar w:fldCharType="begin"/>
      </w:r>
      <w:r w:rsidR="00CA4E0C" w:rsidRPr="00694CC0">
        <w:rPr>
          <w:rFonts w:cs="Times New Roman"/>
        </w:rPr>
        <w:instrText xml:space="preserve"> REF _Ref519341175  \* MERGEFORMAT </w:instrText>
      </w:r>
      <w:r w:rsidR="00CA4E0C" w:rsidRPr="00694CC0">
        <w:rPr>
          <w:rFonts w:cs="Times New Roman"/>
        </w:rPr>
        <w:fldChar w:fldCharType="separate"/>
      </w:r>
      <w:r w:rsidR="00690541" w:rsidRPr="00D20474">
        <w:rPr>
          <w:rFonts w:cs="Times New Roman"/>
          <w:noProof/>
        </w:rPr>
        <w:t>Table</w:t>
      </w:r>
      <w:r w:rsidR="00690541" w:rsidRPr="00D20474">
        <w:rPr>
          <w:rFonts w:cs="Times New Roman"/>
        </w:rPr>
        <w:t xml:space="preserve"> </w:t>
      </w:r>
      <w:r w:rsidR="00690541">
        <w:rPr>
          <w:rFonts w:cs="Times New Roman"/>
          <w:noProof/>
        </w:rPr>
        <w:t>27</w:t>
      </w:r>
      <w:r w:rsidR="00CA4E0C" w:rsidRPr="00694CC0">
        <w:rPr>
          <w:rFonts w:cs="Times New Roman"/>
        </w:rPr>
        <w:fldChar w:fldCharType="end"/>
      </w:r>
      <w:r>
        <w:rPr>
          <w:rFonts w:cs="Times New Roman"/>
        </w:rPr>
        <w:t xml:space="preserve"> indicate that there would be fewer deaths and QALYs lost when the recommendation that the P96 group are operated on using different instrument sets is removed. These result</w:t>
      </w:r>
      <w:r w:rsidR="00E84138">
        <w:rPr>
          <w:rFonts w:cs="Times New Roman"/>
        </w:rPr>
        <w:t>s</w:t>
      </w:r>
      <w:r>
        <w:rPr>
          <w:rFonts w:cs="Times New Roman"/>
        </w:rPr>
        <w:t xml:space="preserve"> lack face-validity, particularly in relation to QALYs lost as younger patients can lose more QALYs, and is caused by Monte Carlo sampling error due to the misalignment of random numbers. The computational time required to provide an accurate estimate for both number of deaths (which may be equal in both scenarios) and in QALYs lost is far beyond the resources assigned to this work. As such, the results should be interpreted with caution, although currently there is no indication that removing the recommendation related to separate instrument sets would greatly influence the numbers of predicted CJD cases.</w:t>
      </w:r>
    </w:p>
    <w:p w14:paraId="28592ADE" w14:textId="77777777" w:rsidR="008D3566" w:rsidRDefault="008D3566">
      <w:pPr>
        <w:spacing w:after="160" w:line="259" w:lineRule="auto"/>
        <w:rPr>
          <w:rFonts w:cs="Times New Roman"/>
          <w:b/>
          <w:sz w:val="24"/>
          <w:szCs w:val="24"/>
        </w:rPr>
      </w:pPr>
      <w:r>
        <w:rPr>
          <w:rFonts w:cs="Times New Roman"/>
          <w:b/>
          <w:sz w:val="24"/>
          <w:szCs w:val="24"/>
        </w:rPr>
        <w:br w:type="page"/>
      </w:r>
    </w:p>
    <w:p w14:paraId="39173744" w14:textId="6C29E284" w:rsidR="008D3566" w:rsidRDefault="008D3566" w:rsidP="008D3566">
      <w:pPr>
        <w:pStyle w:val="Heading1"/>
      </w:pPr>
      <w:bookmarkStart w:id="154" w:name="_Toc525106678"/>
      <w:r>
        <w:t>4</w:t>
      </w:r>
      <w:r w:rsidR="007471CB">
        <w:tab/>
      </w:r>
      <w:r>
        <w:t>DISCUSSION AND CONCLUSIONS</w:t>
      </w:r>
      <w:bookmarkEnd w:id="154"/>
    </w:p>
    <w:p w14:paraId="4AB000F9" w14:textId="131C16E5" w:rsidR="008D3566" w:rsidRDefault="00626B7C" w:rsidP="00626B7C">
      <w:pPr>
        <w:jc w:val="both"/>
      </w:pPr>
      <w:r>
        <w:t xml:space="preserve">The purpose of the systematic reviews was to summarise the most up-to-date published evidence about CJD with regards to risk of transmission by surgery. </w:t>
      </w:r>
      <w:r w:rsidR="00555544">
        <w:t xml:space="preserve">As the reviews are largely descriptive, rather than summative, with no attempt to rank evidence, formal critical appraisal of study quality was not deemed to be useful. </w:t>
      </w:r>
      <w:r w:rsidR="008D3566">
        <w:t>Direct evidence to inform the literature review questions was limited due to the rare nature of CJD. As a result, the eight systematic reviews are heavily reliant on historical cases of surgically transmitted CJD, observational data, case-control</w:t>
      </w:r>
      <w:r w:rsidR="00161234">
        <w:t xml:space="preserve"> study designs and animal data.</w:t>
      </w:r>
    </w:p>
    <w:p w14:paraId="0A12DD5B" w14:textId="77777777" w:rsidR="006664FD" w:rsidRDefault="006664FD" w:rsidP="006664FD">
      <w:pPr>
        <w:jc w:val="both"/>
      </w:pPr>
    </w:p>
    <w:p w14:paraId="587D7F7D" w14:textId="742D024E" w:rsidR="00161234" w:rsidRDefault="00161234" w:rsidP="005603AB">
      <w:pPr>
        <w:jc w:val="both"/>
      </w:pPr>
      <w:r>
        <w:t>The review has included evidence from all forms of CJD, whereas the decision problem was focused on vCJD in</w:t>
      </w:r>
      <w:r w:rsidRPr="00161234">
        <w:t xml:space="preserve"> </w:t>
      </w:r>
      <w:r>
        <w:t>the previous work conducted by ScHARR</w:t>
      </w:r>
      <w:r w:rsidR="005603AB">
        <w:t xml:space="preserve"> in 2005</w:t>
      </w:r>
      <w:r>
        <w:t xml:space="preserve">. </w:t>
      </w:r>
      <w:r w:rsidR="008D3566">
        <w:t xml:space="preserve">The apparent increase in sCJD cases noted in several papers is speculated to be due to improved case ascertainment, population increases and an ageing population. </w:t>
      </w:r>
      <w:r>
        <w:t xml:space="preserve">Whilst the vCJD epidemic appears to have subsided, evidence indicates that CJD is an iatrogenic risk from sporadic and genetic forms. </w:t>
      </w:r>
      <w:r w:rsidR="008D3566">
        <w:t xml:space="preserve">The recent Appendix III study </w:t>
      </w:r>
      <w:r w:rsidR="00386B7D">
        <w:t xml:space="preserve">has identified the presence of abnormal prion deposits </w:t>
      </w:r>
      <w:r w:rsidR="008D3566">
        <w:t xml:space="preserve">in cohorts who were not considered to have had significant exposure the BSE epidemic. </w:t>
      </w:r>
      <w:r w:rsidR="005603AB">
        <w:rPr>
          <w:color w:val="222222"/>
        </w:rPr>
        <w:t>Studies using advanced detection assays also highlight wide vCJD involvement in the peripheral tissues of a preclinical patient. However, some studies indicate that prions can accumulate in peripheral tissues such as appendices without transmission to the CNS. Therefore, the assumption that a prevalence of non-clinical prion accumulation in peripheral tissue represents disease that will go on to become clinical CJD has yet to be substantiated.</w:t>
      </w:r>
      <w:r w:rsidR="005603AB" w:rsidRPr="005603AB">
        <w:t xml:space="preserve"> </w:t>
      </w:r>
      <w:r w:rsidR="005603AB">
        <w:t>As CJD detection methods advance, more accurate confirmation of CJD pathology will be possible from autopsy and excised tissue samples.</w:t>
      </w:r>
      <w:r w:rsidR="005603AB" w:rsidRPr="005603AB">
        <w:t xml:space="preserve"> </w:t>
      </w:r>
      <w:r w:rsidR="005603AB">
        <w:t xml:space="preserve">Data on the likely incubation periods of CJD are limited to retrospective data from iatrogenic CJD, vCJD or Kuru cases. These data indicate that </w:t>
      </w:r>
      <w:r w:rsidR="005603AB">
        <w:rPr>
          <w:color w:val="222222"/>
        </w:rPr>
        <w:t>very long incubation periods which exceed life expectancy are possible. Whilst sCJD cannot be considered to have an incubation period, as the precise time of disease onset cannot be ascertained, on the basis of having the highest incidence, sCJD (rather than vCJD or gCJD) is likely to pose the greatest risk to surgery.</w:t>
      </w:r>
    </w:p>
    <w:p w14:paraId="763951BD" w14:textId="77777777" w:rsidR="00161234" w:rsidRDefault="00161234" w:rsidP="006664FD">
      <w:pPr>
        <w:jc w:val="both"/>
      </w:pPr>
    </w:p>
    <w:p w14:paraId="5D221F0E" w14:textId="118B4E29" w:rsidR="008D3566" w:rsidRDefault="00161234" w:rsidP="006664FD">
      <w:pPr>
        <w:jc w:val="both"/>
      </w:pPr>
      <w:r>
        <w:t xml:space="preserve">In the period covered by </w:t>
      </w:r>
      <w:r w:rsidR="005603AB">
        <w:t>the reviews no observed cases</w:t>
      </w:r>
      <w:r>
        <w:t xml:space="preserve"> surgical</w:t>
      </w:r>
      <w:r w:rsidR="005603AB">
        <w:t xml:space="preserve">ly transmitted CJD have been published. </w:t>
      </w:r>
      <w:r w:rsidR="008D3566" w:rsidRPr="001375D1">
        <w:t xml:space="preserve">Whilst many studies </w:t>
      </w:r>
      <w:r w:rsidR="008D3566">
        <w:t xml:space="preserve">aim to retrospectively </w:t>
      </w:r>
      <w:r w:rsidR="00626B7C">
        <w:t>suggest a</w:t>
      </w:r>
      <w:r w:rsidR="008D3566">
        <w:t xml:space="preserve"> relationship between prior surgery and risk of developing CJD, these case-control designs are</w:t>
      </w:r>
      <w:r w:rsidR="00626B7C">
        <w:t xml:space="preserve"> known to be</w:t>
      </w:r>
      <w:r w:rsidR="008D3566">
        <w:t xml:space="preserve"> prone to bias and confounding. </w:t>
      </w:r>
      <w:r w:rsidR="008D3566" w:rsidRPr="00086A2C">
        <w:t>Few data to supersede the original review conducted by ScH</w:t>
      </w:r>
      <w:r w:rsidR="008D3566">
        <w:t>ARR regarding infectious dose required to transmit CJD but s</w:t>
      </w:r>
      <w:r w:rsidR="008D3566" w:rsidRPr="00086A2C">
        <w:t xml:space="preserve">ome </w:t>
      </w:r>
      <w:r w:rsidR="008D3566">
        <w:t>animal</w:t>
      </w:r>
      <w:r w:rsidR="008D3566" w:rsidRPr="00086A2C">
        <w:t xml:space="preserve"> </w:t>
      </w:r>
      <w:r w:rsidR="008D3566">
        <w:t xml:space="preserve">studies </w:t>
      </w:r>
      <w:r w:rsidR="008D3566" w:rsidRPr="00086A2C">
        <w:t xml:space="preserve">using advanced detection methods indicate </w:t>
      </w:r>
      <w:r w:rsidR="008D3566">
        <w:t xml:space="preserve">that infectious </w:t>
      </w:r>
      <w:r w:rsidR="008D3566" w:rsidRPr="00086A2C">
        <w:t xml:space="preserve">doses greater than </w:t>
      </w:r>
      <w:r w:rsidR="00272ED6">
        <w:t>10</w:t>
      </w:r>
      <w:r w:rsidR="00272ED6" w:rsidRPr="00272ED6">
        <w:rPr>
          <w:vertAlign w:val="superscript"/>
        </w:rPr>
        <w:t>8</w:t>
      </w:r>
      <w:r w:rsidR="00272ED6">
        <w:t xml:space="preserve"> </w:t>
      </w:r>
      <w:r w:rsidR="008D3566" w:rsidRPr="00086A2C">
        <w:t>ID</w:t>
      </w:r>
      <w:r w:rsidR="008D3566" w:rsidRPr="00272ED6">
        <w:rPr>
          <w:vertAlign w:val="subscript"/>
        </w:rPr>
        <w:t>50</w:t>
      </w:r>
      <w:r w:rsidR="00272ED6">
        <w:rPr>
          <w:vertAlign w:val="subscript"/>
        </w:rPr>
        <w:t>s</w:t>
      </w:r>
      <w:r w:rsidR="008D3566" w:rsidRPr="00086A2C">
        <w:t xml:space="preserve"> are possible.</w:t>
      </w:r>
      <w:r w:rsidR="008D3566">
        <w:t xml:space="preserve"> </w:t>
      </w:r>
    </w:p>
    <w:p w14:paraId="2E28B504" w14:textId="77777777" w:rsidR="00626B7C" w:rsidRDefault="00626B7C" w:rsidP="006664FD">
      <w:pPr>
        <w:jc w:val="both"/>
      </w:pPr>
    </w:p>
    <w:p w14:paraId="010E4AAF" w14:textId="13CE0EE5" w:rsidR="008D3566" w:rsidRDefault="008D3566" w:rsidP="006664FD">
      <w:pPr>
        <w:jc w:val="both"/>
      </w:pPr>
      <w:r>
        <w:t xml:space="preserve">Evidence on decontamination of surgical instruments is fragmented with no single study assessing the efficacy of all strategies including: reducing residual mass, keeping instruments moist, autoclaving and sterilisation. Comparison of included studies is also problematic due to being conducted under different conditions and in laboratory settings which limit their external validity to the clinical setting. As empirical data on instrument set-keeping and single-use instruments were not retrieved, no evidence to substantiate or refute anecdotal claims about the drawbacks and merits of reusable versus single-use instruments is available. Data on the </w:t>
      </w:r>
      <w:r w:rsidR="000778B0">
        <w:t xml:space="preserve">likelihood </w:t>
      </w:r>
      <w:r>
        <w:t>of future surgery in those undergoing high-risk procedures is limited in its potential to inform the model as it did not focus solely on high-risk procedures and does not compare the risk of additional procedures with control data for those who had not undergone an index high-risk procedure.</w:t>
      </w:r>
    </w:p>
    <w:p w14:paraId="7C9F16D6" w14:textId="51F58BA8" w:rsidR="00626B7C" w:rsidRDefault="00626B7C" w:rsidP="006664FD">
      <w:pPr>
        <w:jc w:val="both"/>
      </w:pPr>
    </w:p>
    <w:p w14:paraId="7AAD98DD" w14:textId="6049E358" w:rsidR="00CB3F6F" w:rsidRDefault="00CB3F6F" w:rsidP="00CB3F6F">
      <w:pPr>
        <w:jc w:val="both"/>
      </w:pPr>
      <w:r>
        <w:t>The mathematical model followed, as much as possible, guidance provided by</w:t>
      </w:r>
      <w:r w:rsidRPr="00AA7A35">
        <w:t xml:space="preserve"> </w:t>
      </w:r>
      <w:r>
        <w:t>NICE.</w:t>
      </w:r>
      <w:r>
        <w:fldChar w:fldCharType="begin"/>
      </w:r>
      <w:r w:rsidR="0076576E">
        <w:instrText xml:space="preserve"> ADDIN EN.CITE &lt;EndNote&gt;&lt;Cite&gt;&lt;Author&gt;National Institute for Health and Care Excellence&lt;/Author&gt;&lt;Year&gt;2013&lt;/Year&gt;&lt;RecNum&gt;10280&lt;/RecNum&gt;&lt;DisplayText&gt;&lt;style face="superscript"&gt;211&lt;/style&gt;&lt;/DisplayText&gt;&lt;record&gt;&lt;rec-number&gt;10280&lt;/rec-number&gt;&lt;foreign-keys&gt;&lt;key app="EN" db-id="vrp0pptazv05wtesfz5vrzsj2p0rv09ttsa9" timestamp="1521469837" guid="29ded8f1-d0e5-4e45-a86d-92e847bcad99"&gt;10280&lt;/key&gt;&lt;/foreign-keys&gt;&lt;ref-type name="Web Page"&gt;12&lt;/ref-type&gt;&lt;contributors&gt;&lt;authors&gt;&lt;author&gt;National Institute for Health and Care Excellence,&lt;/author&gt;&lt;/authors&gt;&lt;/contributors&gt;&lt;titles&gt;&lt;title&gt;Guide to the methods of technology appraisal 2013&lt;/title&gt;&lt;/titles&gt;&lt;number&gt;19.03.2018&lt;/number&gt;&lt;num-vols&gt;NICE article [PMG9]&lt;/num-vols&gt;&lt;dates&gt;&lt;year&gt;2013&lt;/year&gt;&lt;/dates&gt;&lt;urls&gt;&lt;related-urls&gt;&lt;url&gt;&lt;style face="underline" font="default" size="100%"&gt;https://www.nice.org.uk/article/pmg9/&lt;/style&gt;&lt;/url&gt;&lt;/related-urls&gt;&lt;/urls&gt;&lt;/record&gt;&lt;/Cite&gt;&lt;/EndNote&gt;</w:instrText>
      </w:r>
      <w:r>
        <w:fldChar w:fldCharType="separate"/>
      </w:r>
      <w:r w:rsidR="0076576E" w:rsidRPr="0076576E">
        <w:rPr>
          <w:noProof/>
          <w:vertAlign w:val="superscript"/>
        </w:rPr>
        <w:t>211</w:t>
      </w:r>
      <w:r>
        <w:fldChar w:fldCharType="end"/>
      </w:r>
      <w:r>
        <w:t xml:space="preserve"> This recommends the use of QALYs. However, at least one committee member was critical of the use of QALYs and stated that “</w:t>
      </w:r>
      <w:r w:rsidRPr="00D76F7B">
        <w:rPr>
          <w:i/>
        </w:rPr>
        <w:t>Personally I reject the idea that the value of ensuring safety of neurosurgery is in the QALYs saved from future CJD patients. This is rather an issue of infection control/ perceptions of safety which cannot be estimated in this way. Similarly, this method doesn’t take into account the harm of CJD Incidents and notifications.</w:t>
      </w:r>
      <w:r>
        <w:t xml:space="preserve">” Ideally, any benefits not captured in the model would attempted to be quantified </w:t>
      </w:r>
      <w:r w:rsidR="00764F8B">
        <w:t xml:space="preserve">either </w:t>
      </w:r>
      <w:r>
        <w:t>in terms of QALYs</w:t>
      </w:r>
      <w:r w:rsidR="00764F8B">
        <w:t>, or in monetary terms via a willingness to pay approach,</w:t>
      </w:r>
      <w:r>
        <w:t xml:space="preserve"> whilst additional costs deemed appropriate considered. Given the large ICERs for the strategies the additional QALYs that would need to be gained through an improved perceptions of infection control would have to be very large to bring the ICERs for strategies below the thresholds commonly used by NICE.</w:t>
      </w:r>
    </w:p>
    <w:p w14:paraId="6C68B4E3" w14:textId="562F6282" w:rsidR="00CB3F6F" w:rsidRDefault="00CB3F6F" w:rsidP="00CB3F6F">
      <w:pPr>
        <w:jc w:val="both"/>
      </w:pPr>
    </w:p>
    <w:p w14:paraId="7DAE4302" w14:textId="6C6625BA" w:rsidR="00FE2486" w:rsidRDefault="00FE2486" w:rsidP="00FE2486">
      <w:pPr>
        <w:jc w:val="both"/>
      </w:pPr>
      <w:r>
        <w:t xml:space="preserve">Whilst simplifications were made in the modelling process all decisions were made in consultation with the NICE appraisal committee meaning that it is likely that all key aspects were included. </w:t>
      </w:r>
      <w:r w:rsidR="002C2063">
        <w:rPr>
          <w:bCs/>
        </w:rPr>
        <w:t xml:space="preserve">Whilst running a greater number of probabilistic sensitivity analysis configurations would increase the accuracy in the ICER related to uncertainty in parameter estimates and running more random number streams would increase the accuracy for a given PSA configuration, </w:t>
      </w:r>
      <w:r>
        <w:t xml:space="preserve">it is believed that the results are suitable for </w:t>
      </w:r>
      <w:r w:rsidR="002C2063">
        <w:t xml:space="preserve">robust </w:t>
      </w:r>
      <w:r>
        <w:t xml:space="preserve">decision making, given that (1) the estimated uncertainty in the mean QALYs lost </w:t>
      </w:r>
      <w:r w:rsidR="002C2063">
        <w:t xml:space="preserve">is relatively small </w:t>
      </w:r>
      <w:r>
        <w:t xml:space="preserve">and (2) that keeping instruments moist is a dominant strategy, and that all other ICERs are in excess of £1 million per QALY gained. </w:t>
      </w:r>
    </w:p>
    <w:p w14:paraId="72E2FE46" w14:textId="77777777" w:rsidR="00FE2486" w:rsidRPr="00D76F7B" w:rsidRDefault="00FE2486" w:rsidP="00CB3F6F">
      <w:pPr>
        <w:jc w:val="both"/>
      </w:pPr>
    </w:p>
    <w:p w14:paraId="1C53D2F3" w14:textId="70EF35CF" w:rsidR="008D3566" w:rsidRDefault="00D76F7B" w:rsidP="006664FD">
      <w:pPr>
        <w:jc w:val="both"/>
      </w:pPr>
      <w:r>
        <w:t>T</w:t>
      </w:r>
      <w:r w:rsidR="008D3566">
        <w:t xml:space="preserve">he decision problem was complex due to the paucity of robust data on key modelling parameters such as: the efficacy of current decontamination methods and the incubation period associated with stCJD; the lack of observed stCJD cases; the possibility for patients with stCJD to be misdiagnosed as having a different neurodegenerative disease; and the number of model runs required to produce accurate results for the scenarios evaluated. In order to provide additional data to populate the model output from elicitation sessions were used alongside heuristics that increased the efficiency of the available computational time. The results produced </w:t>
      </w:r>
      <w:r w:rsidR="00FE2486">
        <w:t>suggest</w:t>
      </w:r>
      <w:r w:rsidR="008D3566">
        <w:t xml:space="preserve"> that whilst there is a possibility that stCJD cases are observed between 2019 and 2023 these are unlikely to be large in number.</w:t>
      </w:r>
    </w:p>
    <w:p w14:paraId="3E223B34" w14:textId="77777777" w:rsidR="00CB3F6F" w:rsidRDefault="00CB3F6F" w:rsidP="006664FD">
      <w:pPr>
        <w:jc w:val="both"/>
      </w:pPr>
    </w:p>
    <w:p w14:paraId="56D070AB" w14:textId="668B9823" w:rsidR="008D3566" w:rsidRDefault="008D3566" w:rsidP="001932E5">
      <w:pPr>
        <w:jc w:val="both"/>
      </w:pPr>
      <w:r>
        <w:t xml:space="preserve">The results of the mathematical model indicate that keeping instruments moist is a dominant strategy in that there would be an increase in population health as well as a decrease in costs. Keeping instruments moist is also aligned with </w:t>
      </w:r>
      <w:r>
        <w:rPr>
          <w:rFonts w:cs="Times New Roman"/>
          <w:lang w:val="en"/>
        </w:rPr>
        <w:t>guidance from Department of Health and Social Care (2016).</w:t>
      </w:r>
      <w:r>
        <w:rPr>
          <w:rFonts w:cs="Times New Roman"/>
          <w:lang w:val="en"/>
        </w:rPr>
        <w:fldChar w:fldCharType="begin"/>
      </w:r>
      <w:r w:rsidR="0076576E">
        <w:rPr>
          <w:rFonts w:cs="Times New Roman"/>
          <w:lang w:val="en"/>
        </w:rPr>
        <w:instrText xml:space="preserve"> ADDIN EN.CITE &lt;EndNote&gt;&lt;Cite&gt;&lt;Author&gt;Department of Health and Social Care&lt;/Author&gt;&lt;Year&gt;2016&lt;/Year&gt;&lt;RecNum&gt;10288&lt;/RecNum&gt;&lt;DisplayText&gt;&lt;style face="superscript"&gt;198&lt;/style&gt;&lt;/DisplayText&gt;&lt;record&gt;&lt;rec-number&gt;10288&lt;/rec-number&gt;&lt;foreign-keys&gt;&lt;key app="EN" db-id="vrp0pptazv05wtesfz5vrzsj2p0rv09ttsa9" timestamp="1532939754" guid="ddb4a8a5-7cc0-4800-b450-2fc86504d648"&gt;10288&lt;/key&gt;&lt;/foreign-keys&gt;&lt;ref-type name="Journal Article"&gt;17&lt;/ref-type&gt;&lt;contributors&gt;&lt;authors&gt;&lt;author&gt;Department of Health and Social Care,&lt;/author&gt;&lt;/authors&gt;&lt;/contributors&gt;&lt;titles&gt;&lt;title&gt;CFPP-01-01: Decontamination of surgical instruments (HTM 01-01) Health Technical Memorandum (HTM) 01-01: management and decontamination of surgical instruments (medical devices) used in acute care. Part B: Common elements.&lt;/title&gt;&lt;/titles&gt;&lt;dates&gt;&lt;year&gt;2016&lt;/year&gt;&lt;/dates&gt;&lt;urls&gt;&lt;/urls&gt;&lt;/record&gt;&lt;/Cite&gt;&lt;/EndNote&gt;</w:instrText>
      </w:r>
      <w:r>
        <w:rPr>
          <w:rFonts w:cs="Times New Roman"/>
          <w:lang w:val="en"/>
        </w:rPr>
        <w:fldChar w:fldCharType="separate"/>
      </w:r>
      <w:r w:rsidR="0076576E" w:rsidRPr="0076576E">
        <w:rPr>
          <w:rFonts w:cs="Times New Roman"/>
          <w:noProof/>
          <w:vertAlign w:val="superscript"/>
          <w:lang w:val="en"/>
        </w:rPr>
        <w:t>198</w:t>
      </w:r>
      <w:r>
        <w:rPr>
          <w:rFonts w:cs="Times New Roman"/>
          <w:lang w:val="en"/>
        </w:rPr>
        <w:fldChar w:fldCharType="end"/>
      </w:r>
      <w:r>
        <w:t xml:space="preserve">. Assuming that instruments are kept moist then the cost-effectiveness of other strategies evaluated with an aim of reducing the future </w:t>
      </w:r>
      <w:r w:rsidR="001932E5">
        <w:t>risk</w:t>
      </w:r>
      <w:r>
        <w:t xml:space="preserve"> of stCJD cases were in excess of £1,000,000 per QALY. These values are greater than the cost-effectiveness thresholds reported by NICE.</w:t>
      </w:r>
    </w:p>
    <w:p w14:paraId="79B4BEBE" w14:textId="77777777" w:rsidR="00FE2486" w:rsidRDefault="00FE2486" w:rsidP="006664FD">
      <w:pPr>
        <w:jc w:val="both"/>
      </w:pPr>
    </w:p>
    <w:p w14:paraId="558D8557" w14:textId="77777777" w:rsidR="00CB3F6F" w:rsidRDefault="008D3566" w:rsidP="006664FD">
      <w:pPr>
        <w:jc w:val="both"/>
      </w:pPr>
      <w:r>
        <w:t>Threshold analyses undertaken indicate that the cost of single-use instruments (per cycle) or the cost per set of using a completely effective decontamination method would need to be in the region of £50 to be cost-effective at a threshold of £300,000 per QALY. Assuming a lower cost per QALY threshold of £30,000 meant that the single-use sets or decontamination method would need to be in the region of £10 per set. Threshold analyses were also undertaken to determine the maximum cost to a unit, over a five-year period, of following IPG196. Assuming a cost per QALY threshold of £300,000 and £30,000 these costs were approximately £125,000 and £15,000 respectively.</w:t>
      </w:r>
    </w:p>
    <w:p w14:paraId="2C3DF8B0" w14:textId="1DE3CD2E" w:rsidR="00CB3F6F" w:rsidRDefault="00CB3F6F" w:rsidP="006664FD">
      <w:pPr>
        <w:jc w:val="both"/>
      </w:pPr>
    </w:p>
    <w:p w14:paraId="157F44E6" w14:textId="23FE97C1" w:rsidR="008D3566" w:rsidRDefault="00CB3F6F" w:rsidP="001932E5">
      <w:pPr>
        <w:jc w:val="both"/>
      </w:pPr>
      <w:r>
        <w:t xml:space="preserve">Further, the analyses run indicated that there would be no marked increase in the </w:t>
      </w:r>
      <w:r w:rsidR="001932E5">
        <w:t>risk</w:t>
      </w:r>
      <w:r>
        <w:t xml:space="preserve"> of stCJD cases when the requirement that P96 patients need to be operated on with separate instruments were removed.</w:t>
      </w:r>
    </w:p>
    <w:p w14:paraId="0BE13C17" w14:textId="6C6DE281" w:rsidR="00D76F7B" w:rsidRDefault="00D76F7B" w:rsidP="006664FD">
      <w:pPr>
        <w:jc w:val="both"/>
      </w:pPr>
    </w:p>
    <w:p w14:paraId="111440A7" w14:textId="20852723" w:rsidR="00F87986" w:rsidRDefault="008D3566" w:rsidP="00127F1F">
      <w:pPr>
        <w:jc w:val="both"/>
      </w:pPr>
      <w:r>
        <w:t xml:space="preserve">As such, the authors </w:t>
      </w:r>
      <w:r w:rsidR="00124454">
        <w:t xml:space="preserve">of this report </w:t>
      </w:r>
      <w:r>
        <w:t>believe that</w:t>
      </w:r>
      <w:r w:rsidR="00FE2486">
        <w:t xml:space="preserve"> (1)</w:t>
      </w:r>
      <w:r>
        <w:t xml:space="preserve"> implementing measures to ensure that instruments are kept moist should be of paramount importance</w:t>
      </w:r>
      <w:r w:rsidR="00FE2486">
        <w:t>, (2) if surgical units do not current</w:t>
      </w:r>
      <w:r w:rsidR="00764F8B">
        <w:t>ly</w:t>
      </w:r>
      <w:r w:rsidR="00FE2486">
        <w:t xml:space="preserve"> prevent instrument migration then the costs of ensuring this does not happen </w:t>
      </w:r>
      <w:r w:rsidR="00127F1F">
        <w:t>has ICERs greater than all of NICE’s published thresholds</w:t>
      </w:r>
      <w:r w:rsidR="00FE2486">
        <w:t xml:space="preserve">, and (3) if surgical units that treat both the P96 group and the non-P96 group have not instigated procedures to ensure that separate instruments are used in the P96 group, then the expenditure require to ensure </w:t>
      </w:r>
      <w:r w:rsidR="00127F1F">
        <w:t>such segregation</w:t>
      </w:r>
      <w:r w:rsidR="00FE2486">
        <w:t xml:space="preserve"> </w:t>
      </w:r>
      <w:r w:rsidR="00127F1F">
        <w:t>has an ICER greater all of NICE’s published thresholds</w:t>
      </w:r>
      <w:r w:rsidR="00FE2486">
        <w:t>.</w:t>
      </w:r>
      <w:r w:rsidR="00127F1F">
        <w:t xml:space="preserve"> These results appeared robust to assumptions regarding the current standard of decontamination amongst surgical units.</w:t>
      </w:r>
    </w:p>
    <w:p w14:paraId="0746F3F4" w14:textId="77777777" w:rsidR="00F87986" w:rsidRDefault="00F87986">
      <w:pPr>
        <w:spacing w:after="160" w:line="259" w:lineRule="auto"/>
      </w:pPr>
      <w:r>
        <w:br w:type="page"/>
      </w:r>
    </w:p>
    <w:p w14:paraId="58F6ED8F" w14:textId="6C8A068F" w:rsidR="008D3566" w:rsidRPr="00F87986" w:rsidRDefault="00F87986" w:rsidP="00F87986">
      <w:pPr>
        <w:pStyle w:val="Heading1"/>
        <w:rPr>
          <w:b w:val="0"/>
        </w:rPr>
      </w:pPr>
      <w:bookmarkStart w:id="155" w:name="_Toc525106679"/>
      <w:r w:rsidRPr="00F87986">
        <w:rPr>
          <w:b w:val="0"/>
        </w:rPr>
        <w:t>Acknowledgements</w:t>
      </w:r>
      <w:bookmarkEnd w:id="155"/>
    </w:p>
    <w:p w14:paraId="7B4CBD7B" w14:textId="39906670" w:rsidR="00F87986" w:rsidRDefault="00F87986" w:rsidP="00127F1F">
      <w:pPr>
        <w:jc w:val="both"/>
      </w:pPr>
      <w:r>
        <w:t xml:space="preserve">This study was funded by the NIHR HTA programme (reference number </w:t>
      </w:r>
      <w:r w:rsidR="00127F1F">
        <w:rPr>
          <w:rFonts w:cs="Times New Roman"/>
        </w:rPr>
        <w:t>17</w:t>
      </w:r>
      <w:r w:rsidR="00127F1F" w:rsidRPr="0084515B">
        <w:rPr>
          <w:rFonts w:cs="Times New Roman"/>
        </w:rPr>
        <w:t>/</w:t>
      </w:r>
      <w:r w:rsidR="00127F1F">
        <w:rPr>
          <w:rFonts w:cs="Times New Roman"/>
        </w:rPr>
        <w:t>48</w:t>
      </w:r>
      <w:r w:rsidR="00127F1F" w:rsidRPr="0084515B">
        <w:rPr>
          <w:rFonts w:cs="Times New Roman"/>
        </w:rPr>
        <w:t>/</w:t>
      </w:r>
      <w:r w:rsidR="00127F1F">
        <w:rPr>
          <w:rFonts w:cs="Times New Roman"/>
        </w:rPr>
        <w:t>01</w:t>
      </w:r>
      <w:r>
        <w:t>). The views expressed are those of the authors and not necessarily those of the NHS, the NIHR or the Department of Health and Social Care.</w:t>
      </w:r>
    </w:p>
    <w:p w14:paraId="02A3F459" w14:textId="63B5816F" w:rsidR="00F87986" w:rsidRDefault="00F87986" w:rsidP="00F87986">
      <w:pPr>
        <w:jc w:val="both"/>
      </w:pPr>
    </w:p>
    <w:p w14:paraId="45336381" w14:textId="47209C38" w:rsidR="00F87986" w:rsidRDefault="00F87986" w:rsidP="00F87986">
      <w:pPr>
        <w:jc w:val="both"/>
      </w:pPr>
      <w:r>
        <w:t>We would like to thank the NICE Committee members who provided feedback and data during the research. We would like to thank Andrea Shippam for help in extracting data and in formatting the report, and Paul Tappenden for providing a peer-review of a draft.</w:t>
      </w:r>
    </w:p>
    <w:p w14:paraId="4915ECCE" w14:textId="7DA58891" w:rsidR="00F87986" w:rsidRDefault="00F87986" w:rsidP="00F87986">
      <w:pPr>
        <w:jc w:val="both"/>
      </w:pPr>
    </w:p>
    <w:p w14:paraId="52751EE8" w14:textId="26857D03" w:rsidR="00F87986" w:rsidRDefault="00F87986" w:rsidP="00F87986">
      <w:pPr>
        <w:jc w:val="both"/>
      </w:pPr>
      <w:r>
        <w:t>Contributions of the authors</w:t>
      </w:r>
    </w:p>
    <w:p w14:paraId="0D34F16A" w14:textId="2B81B3DA" w:rsidR="00F87986" w:rsidRDefault="00F87986" w:rsidP="00F87986">
      <w:pPr>
        <w:jc w:val="both"/>
      </w:pPr>
      <w:r>
        <w:t xml:space="preserve">Matt Stevenson led the project, </w:t>
      </w:r>
      <w:r w:rsidR="008D1571">
        <w:t xml:space="preserve">undertook the review of cost-effectiveness literature, </w:t>
      </w:r>
      <w:r>
        <w:t xml:space="preserve">constructed the mathematical model, interpreted the results. Lesley Uttley and Christopher Carroll undertook the </w:t>
      </w:r>
      <w:r w:rsidR="008D1571">
        <w:t>review of clinical literature, and reviewed a proportion of the cost-effectiveness literature review to ensure consistency. Jeremy Oakley led the elicitation session and devised the methods to produce the likelihoods for PSA configurations, and to approximate the width of the confidence intervals. Ste</w:t>
      </w:r>
      <w:r w:rsidR="00764F8B">
        <w:t>phen</w:t>
      </w:r>
      <w:r w:rsidR="008D1571">
        <w:t xml:space="preserve"> Chick provided simulation advice throughout the project. Ruth Wong </w:t>
      </w:r>
      <w:r w:rsidR="00F7738B">
        <w:t>updated and performed</w:t>
      </w:r>
      <w:r w:rsidR="008D1571">
        <w:t xml:space="preserve"> the</w:t>
      </w:r>
      <w:r w:rsidR="00F7738B">
        <w:t xml:space="preserve"> literature</w:t>
      </w:r>
      <w:r w:rsidR="008D1571">
        <w:t xml:space="preserve"> searches of electronic databases.</w:t>
      </w:r>
    </w:p>
    <w:p w14:paraId="5101133E" w14:textId="3A1D941A" w:rsidR="008D3566" w:rsidRDefault="008D3566" w:rsidP="006664FD">
      <w:pPr>
        <w:jc w:val="both"/>
      </w:pPr>
    </w:p>
    <w:p w14:paraId="1BC77D98" w14:textId="25C2355A" w:rsidR="00596632" w:rsidRDefault="00596632" w:rsidP="006664FD">
      <w:pPr>
        <w:jc w:val="both"/>
      </w:pPr>
      <w:r>
        <w:t>Conflicts</w:t>
      </w:r>
    </w:p>
    <w:p w14:paraId="17A4F5F1" w14:textId="29234FF9" w:rsidR="00596632" w:rsidRDefault="00596632" w:rsidP="006664FD">
      <w:pPr>
        <w:jc w:val="both"/>
      </w:pPr>
      <w:r>
        <w:t>No author declares any conflict of interest.</w:t>
      </w:r>
    </w:p>
    <w:p w14:paraId="314C23CA" w14:textId="77777777" w:rsidR="008D3566" w:rsidRDefault="008D3566" w:rsidP="008D3566"/>
    <w:p w14:paraId="5DDDE5D0" w14:textId="6440E334" w:rsidR="00E111FA" w:rsidRPr="009F5584" w:rsidRDefault="00E111FA" w:rsidP="009F5584">
      <w:pPr>
        <w:spacing w:after="120"/>
        <w:jc w:val="both"/>
        <w:rPr>
          <w:rFonts w:cs="Times New Roman"/>
          <w:b/>
          <w:sz w:val="24"/>
          <w:szCs w:val="24"/>
        </w:rPr>
      </w:pPr>
      <w:r w:rsidRPr="009F5584">
        <w:rPr>
          <w:rFonts w:cs="Times New Roman"/>
          <w:b/>
          <w:sz w:val="24"/>
          <w:szCs w:val="24"/>
        </w:rPr>
        <w:br w:type="page"/>
      </w:r>
    </w:p>
    <w:p w14:paraId="7C077EB0" w14:textId="0724469F" w:rsidR="00E111FA" w:rsidRPr="009F5584" w:rsidRDefault="00DD794C" w:rsidP="009F5584">
      <w:pPr>
        <w:pStyle w:val="Heading1"/>
        <w:spacing w:after="120"/>
        <w:jc w:val="both"/>
        <w:rPr>
          <w:sz w:val="24"/>
          <w:szCs w:val="24"/>
        </w:rPr>
      </w:pPr>
      <w:bookmarkStart w:id="156" w:name="_Toc525106680"/>
      <w:r w:rsidRPr="009F5584">
        <w:rPr>
          <w:sz w:val="24"/>
          <w:szCs w:val="24"/>
        </w:rPr>
        <w:t>REFERENCES</w:t>
      </w:r>
      <w:bookmarkEnd w:id="156"/>
    </w:p>
    <w:p w14:paraId="23DEBD65" w14:textId="64630ED5" w:rsidR="0076576E" w:rsidRPr="0076576E" w:rsidRDefault="00FC5BBC" w:rsidP="0076576E">
      <w:pPr>
        <w:pStyle w:val="EndNoteBibliography"/>
        <w:ind w:left="720" w:hanging="720"/>
      </w:pPr>
      <w:r w:rsidRPr="009F5584">
        <w:rPr>
          <w:szCs w:val="24"/>
        </w:rPr>
        <w:fldChar w:fldCharType="begin"/>
      </w:r>
      <w:r w:rsidRPr="009F5584">
        <w:rPr>
          <w:szCs w:val="24"/>
        </w:rPr>
        <w:instrText xml:space="preserve"> ADDIN EN.REFLIST </w:instrText>
      </w:r>
      <w:r w:rsidRPr="009F5584">
        <w:rPr>
          <w:szCs w:val="24"/>
        </w:rPr>
        <w:fldChar w:fldCharType="separate"/>
      </w:r>
      <w:r w:rsidR="0076576E" w:rsidRPr="0076576E">
        <w:t>1.</w:t>
      </w:r>
      <w:r w:rsidR="0076576E" w:rsidRPr="0076576E">
        <w:tab/>
        <w:t xml:space="preserve">The University of Edinburgh. The National CJD Research &amp; Surveilance Unit (NCJDRSU). 2017. </w:t>
      </w:r>
      <w:hyperlink r:id="rId32" w:history="1">
        <w:r w:rsidR="0076576E" w:rsidRPr="0076576E">
          <w:rPr>
            <w:rStyle w:val="Hyperlink"/>
          </w:rPr>
          <w:t>http://www.cjd.ed.ac.uk/</w:t>
        </w:r>
      </w:hyperlink>
      <w:r w:rsidR="0076576E" w:rsidRPr="0076576E">
        <w:t xml:space="preserve"> (Accessed 11.07.2017).</w:t>
      </w:r>
    </w:p>
    <w:p w14:paraId="4A67B035" w14:textId="473CFD50" w:rsidR="0076576E" w:rsidRPr="0076576E" w:rsidRDefault="0076576E" w:rsidP="0076576E">
      <w:pPr>
        <w:pStyle w:val="EndNoteBibliography"/>
        <w:ind w:left="720" w:hanging="720"/>
      </w:pPr>
      <w:r w:rsidRPr="0076576E">
        <w:t>2.</w:t>
      </w:r>
      <w:r w:rsidRPr="0076576E">
        <w:tab/>
        <w:t xml:space="preserve">National CJD Research &amp; Surveillance Unit. Creutzfeldt-Jakob Disease Surveillance in the UK: 25th Annual Report 2016: The National CJD Research &amp; Surveillance Unit, Western General Hospital, Edinburgh, EH4 2XU; 2016 </w:t>
      </w:r>
      <w:hyperlink r:id="rId33" w:history="1">
        <w:r w:rsidRPr="0076576E">
          <w:rPr>
            <w:rStyle w:val="Hyperlink"/>
          </w:rPr>
          <w:t>https://www.cjd.ed.ac.uk/sites/default/files/report25.pdf</w:t>
        </w:r>
      </w:hyperlink>
      <w:r w:rsidRPr="0076576E">
        <w:t>.</w:t>
      </w:r>
    </w:p>
    <w:p w14:paraId="16CF377E" w14:textId="77777777" w:rsidR="0076576E" w:rsidRPr="0076576E" w:rsidRDefault="0076576E" w:rsidP="0076576E">
      <w:pPr>
        <w:pStyle w:val="EndNoteBibliography"/>
        <w:ind w:left="720" w:hanging="720"/>
      </w:pPr>
      <w:r w:rsidRPr="0076576E">
        <w:t>3.</w:t>
      </w:r>
      <w:r w:rsidRPr="0076576E">
        <w:tab/>
        <w:t>Brown P, Brandel JP, Sato T, Nakamura Y, MacKenzie J, Will RG</w:t>
      </w:r>
      <w:r w:rsidRPr="0076576E">
        <w:rPr>
          <w:i/>
        </w:rPr>
        <w:t>, et al.</w:t>
      </w:r>
      <w:r w:rsidRPr="0076576E">
        <w:t xml:space="preserve"> Iatrogenic Creutzfeldt-Jakob disease, final assessment. </w:t>
      </w:r>
      <w:r w:rsidRPr="0076576E">
        <w:rPr>
          <w:i/>
        </w:rPr>
        <w:t>Emerging Infectious Diseases</w:t>
      </w:r>
      <w:r w:rsidRPr="0076576E">
        <w:t xml:space="preserve"> 2012;18:901-7. </w:t>
      </w:r>
    </w:p>
    <w:p w14:paraId="028769E8" w14:textId="77777777" w:rsidR="0076576E" w:rsidRPr="0076576E" w:rsidRDefault="0076576E" w:rsidP="0076576E">
      <w:pPr>
        <w:pStyle w:val="EndNoteBibliography"/>
        <w:ind w:left="720" w:hanging="720"/>
      </w:pPr>
      <w:r w:rsidRPr="0076576E">
        <w:t>4.</w:t>
      </w:r>
      <w:r w:rsidRPr="0076576E">
        <w:tab/>
        <w:t xml:space="preserve">World Health Organization. WHO infection control guidelines for transmissible spongiform encephalopathies: report of a WHO consultation, Geneva, Switzerland, 23-26 March 1999. 2000. </w:t>
      </w:r>
    </w:p>
    <w:p w14:paraId="7DDC630E" w14:textId="09CEB5A4" w:rsidR="0076576E" w:rsidRPr="0076576E" w:rsidRDefault="0076576E" w:rsidP="0076576E">
      <w:pPr>
        <w:pStyle w:val="EndNoteBibliography"/>
        <w:ind w:left="720" w:hanging="720"/>
      </w:pPr>
      <w:r w:rsidRPr="0076576E">
        <w:t>5.</w:t>
      </w:r>
      <w:r w:rsidRPr="0076576E">
        <w:tab/>
        <w:t xml:space="preserve">World Health Organization. WHO Tables on Tissue Infectivity Distribution in Transmissible Spongiform Encephalopathies. World Health Organization, 20 Avenue Appia, 1211 Geneva 27, Switzerland; 2010 </w:t>
      </w:r>
      <w:hyperlink r:id="rId34" w:history="1">
        <w:r w:rsidRPr="0076576E">
          <w:rPr>
            <w:rStyle w:val="Hyperlink"/>
          </w:rPr>
          <w:t>http://www.who.int/bloodproducts/tablestissueinfectivity.pdf</w:t>
        </w:r>
      </w:hyperlink>
      <w:r w:rsidRPr="0076576E">
        <w:t>.</w:t>
      </w:r>
    </w:p>
    <w:p w14:paraId="10F4DDDC" w14:textId="77777777" w:rsidR="0076576E" w:rsidRPr="0076576E" w:rsidRDefault="0076576E" w:rsidP="0076576E">
      <w:pPr>
        <w:pStyle w:val="EndNoteBibliography"/>
        <w:ind w:left="720" w:hanging="720"/>
      </w:pPr>
      <w:r w:rsidRPr="0076576E">
        <w:t>6.</w:t>
      </w:r>
      <w:r w:rsidRPr="0076576E">
        <w:tab/>
        <w:t xml:space="preserve">Brown P, Farrell M. A practical approach to avoiding iatrogenic CJD from invasive instruments. </w:t>
      </w:r>
      <w:r w:rsidRPr="0076576E">
        <w:rPr>
          <w:i/>
        </w:rPr>
        <w:t>Prion</w:t>
      </w:r>
      <w:r w:rsidRPr="0076576E">
        <w:t xml:space="preserve"> 2015;9:S98. </w:t>
      </w:r>
    </w:p>
    <w:p w14:paraId="210DE2FC" w14:textId="5C2E5309" w:rsidR="0076576E" w:rsidRPr="0076576E" w:rsidRDefault="0076576E" w:rsidP="0076576E">
      <w:pPr>
        <w:pStyle w:val="EndNoteBibliography"/>
        <w:ind w:left="720" w:hanging="720"/>
      </w:pPr>
      <w:r w:rsidRPr="0076576E">
        <w:t>7.</w:t>
      </w:r>
      <w:r w:rsidRPr="0076576E">
        <w:tab/>
        <w:t>Hilton DA, Ghani AC, Conyers L, Edwards P, McCardle L, Ritchie D</w:t>
      </w:r>
      <w:r w:rsidRPr="0076576E">
        <w:rPr>
          <w:i/>
        </w:rPr>
        <w:t>, et al.</w:t>
      </w:r>
      <w:r w:rsidRPr="0076576E">
        <w:t xml:space="preserve"> Prevalence of lymphoreticular prion protein accumulation in UK tissue samples. </w:t>
      </w:r>
      <w:r w:rsidRPr="0076576E">
        <w:rPr>
          <w:i/>
        </w:rPr>
        <w:t xml:space="preserve">The Journal of </w:t>
      </w:r>
      <w:r w:rsidR="00C4555B">
        <w:rPr>
          <w:i/>
        </w:rPr>
        <w:t>P</w:t>
      </w:r>
      <w:r w:rsidRPr="0076576E">
        <w:rPr>
          <w:i/>
        </w:rPr>
        <w:t>athology</w:t>
      </w:r>
      <w:r w:rsidRPr="0076576E">
        <w:t xml:space="preserve"> 2004;203:733-9. </w:t>
      </w:r>
    </w:p>
    <w:p w14:paraId="3A9AA7A1" w14:textId="77777777" w:rsidR="0076576E" w:rsidRPr="0076576E" w:rsidRDefault="0076576E" w:rsidP="0076576E">
      <w:pPr>
        <w:pStyle w:val="EndNoteBibliography"/>
        <w:ind w:left="720" w:hanging="720"/>
      </w:pPr>
      <w:r w:rsidRPr="0076576E">
        <w:t>8.</w:t>
      </w:r>
      <w:r w:rsidRPr="0076576E">
        <w:tab/>
        <w:t xml:space="preserve">Ghani AC, Ferguson NM, Donnelly CA, Anderson RM. Factors determining the pattern of the variant Creutzfeldt-Jakob disease (vCJD) epidemic in the UK. </w:t>
      </w:r>
      <w:r w:rsidRPr="0076576E">
        <w:rPr>
          <w:i/>
        </w:rPr>
        <w:t>Proceedings of the Royal Society of London B: Biological Sciences</w:t>
      </w:r>
      <w:r w:rsidRPr="0076576E">
        <w:t xml:space="preserve"> 2003;270:689-98. </w:t>
      </w:r>
    </w:p>
    <w:p w14:paraId="098FF5F1" w14:textId="77777777" w:rsidR="0076576E" w:rsidRPr="0076576E" w:rsidRDefault="0076576E" w:rsidP="0076576E">
      <w:pPr>
        <w:pStyle w:val="EndNoteBibliography"/>
        <w:ind w:left="720" w:hanging="720"/>
      </w:pPr>
      <w:r w:rsidRPr="0076576E">
        <w:t>9.</w:t>
      </w:r>
      <w:r w:rsidRPr="0076576E">
        <w:tab/>
        <w:t xml:space="preserve">Clarke P, Ghani AC. Projections of the future course of the primary vCJD epidemic in the UK: inclusion of subclinical infection and the possibility of wider genetic susceptibility. </w:t>
      </w:r>
      <w:r w:rsidRPr="0076576E">
        <w:rPr>
          <w:i/>
        </w:rPr>
        <w:t>Journal of the Royal Society Interface</w:t>
      </w:r>
      <w:r w:rsidRPr="0076576E">
        <w:t xml:space="preserve"> 2005;2:19-31. </w:t>
      </w:r>
    </w:p>
    <w:p w14:paraId="689BAD4B" w14:textId="5A1B044E" w:rsidR="0076576E" w:rsidRPr="0076576E" w:rsidRDefault="0076576E" w:rsidP="0076576E">
      <w:pPr>
        <w:pStyle w:val="EndNoteBibliography"/>
        <w:ind w:left="720" w:hanging="720"/>
      </w:pPr>
      <w:r w:rsidRPr="0076576E">
        <w:t>10.</w:t>
      </w:r>
      <w:r w:rsidRPr="0076576E">
        <w:tab/>
        <w:t xml:space="preserve">Lloyd Jones M, Stevenson M, Sutton A. Patient safety and reduction of risk of transmission of Creutzfeldt– Jakob disease (CJD) via interventional procedures. Systematic literature reviews final report. National Institute for Health and Care Excellence: School of Health and Related Research, University of Sheffield; 2006 </w:t>
      </w:r>
      <w:hyperlink r:id="rId35" w:history="1">
        <w:r w:rsidRPr="0076576E">
          <w:rPr>
            <w:rStyle w:val="Hyperlink"/>
          </w:rPr>
          <w:t>https://www.nice.org.uk/guidance/ipg196/documents/ipg196-patient-safety-and-reduction-of-risk-of-transmission-of-creutzfeldtjakob-disease-cjd-via-interventional-procedures-systematic-review2</w:t>
        </w:r>
      </w:hyperlink>
      <w:r w:rsidRPr="0076576E">
        <w:t>.</w:t>
      </w:r>
    </w:p>
    <w:p w14:paraId="72822237" w14:textId="59811939" w:rsidR="0076576E" w:rsidRPr="0076576E" w:rsidRDefault="0076576E" w:rsidP="0076576E">
      <w:pPr>
        <w:pStyle w:val="EndNoteBibliography"/>
        <w:ind w:left="720" w:hanging="720"/>
      </w:pPr>
      <w:r w:rsidRPr="0076576E">
        <w:t>11.</w:t>
      </w:r>
      <w:r w:rsidRPr="0076576E">
        <w:tab/>
        <w:t xml:space="preserve">Stevenson M, Oakley J, Chick SE. Patient safety and reduction of risk of transmission of Creutzfeldt–Jakob disease (CJD) via interventional procedures—final report: School of Health and Related Research, University of Sheffield; 2006 </w:t>
      </w:r>
      <w:hyperlink r:id="rId36" w:history="1">
        <w:r w:rsidRPr="0076576E">
          <w:rPr>
            <w:rStyle w:val="Hyperlink"/>
          </w:rPr>
          <w:t>https://www.nice.org.uk/guidance/ipg196/documents/ipg196-patient-safety-and-reduction-of-risk-of-transmission-of-creutzfeldtjakob-disease-cjd-via-interventional-procedures-final-report2</w:t>
        </w:r>
      </w:hyperlink>
      <w:r w:rsidRPr="0076576E">
        <w:t>.</w:t>
      </w:r>
    </w:p>
    <w:p w14:paraId="60D83E07" w14:textId="77777777" w:rsidR="0076576E" w:rsidRPr="0076576E" w:rsidRDefault="0076576E" w:rsidP="0076576E">
      <w:pPr>
        <w:pStyle w:val="EndNoteBibliography"/>
        <w:ind w:left="720" w:hanging="720"/>
      </w:pPr>
      <w:r w:rsidRPr="0076576E">
        <w:t>12.</w:t>
      </w:r>
      <w:r w:rsidRPr="0076576E">
        <w:tab/>
        <w:t xml:space="preserve">Stevenson MD, Oakley JE, Chick SE, Chalkidou K. The cost-effectiveness of surgical instrument management policies to reduce the risk of vCJD transmission to humans. </w:t>
      </w:r>
      <w:r w:rsidRPr="0076576E">
        <w:rPr>
          <w:i/>
        </w:rPr>
        <w:t>Journal of the Operational Research Society</w:t>
      </w:r>
      <w:r w:rsidRPr="0076576E">
        <w:t xml:space="preserve"> 2009;60:506-18. </w:t>
      </w:r>
    </w:p>
    <w:p w14:paraId="4990891B" w14:textId="77777777" w:rsidR="0076576E" w:rsidRPr="0076576E" w:rsidRDefault="0076576E" w:rsidP="0076576E">
      <w:pPr>
        <w:pStyle w:val="EndNoteBibliography"/>
        <w:ind w:left="720" w:hanging="720"/>
      </w:pPr>
      <w:r w:rsidRPr="0076576E">
        <w:t>13.</w:t>
      </w:r>
      <w:r w:rsidRPr="0076576E">
        <w:tab/>
        <w:t xml:space="preserve">Bennett P, Hare A, Townshend J. Assessing the risk of vCJD transmission via surgery: models for uncertainty and complexity. </w:t>
      </w:r>
      <w:r w:rsidRPr="0076576E">
        <w:rPr>
          <w:i/>
        </w:rPr>
        <w:t>Journal of the Operational Research Society</w:t>
      </w:r>
      <w:r w:rsidRPr="0076576E">
        <w:t xml:space="preserve"> 2005;56:202-13. </w:t>
      </w:r>
    </w:p>
    <w:p w14:paraId="32651D28" w14:textId="48B18755" w:rsidR="0076576E" w:rsidRPr="0076576E" w:rsidRDefault="0076576E" w:rsidP="0076576E">
      <w:pPr>
        <w:pStyle w:val="EndNoteBibliography"/>
        <w:ind w:left="720" w:hanging="720"/>
      </w:pPr>
      <w:r w:rsidRPr="0076576E">
        <w:t>14.</w:t>
      </w:r>
      <w:r w:rsidRPr="0076576E">
        <w:tab/>
        <w:t xml:space="preserve">National Institute for Health and Care Excellence. NICE interventional procedure guidance 196. Patient safety and reduction of risk of transmission of Creutzfeldt–Jakob disease (CJD) via interventional procedures.; 2008. </w:t>
      </w:r>
      <w:hyperlink r:id="rId37" w:history="1">
        <w:r w:rsidRPr="0076576E">
          <w:rPr>
            <w:rStyle w:val="Hyperlink"/>
          </w:rPr>
          <w:t>https://www.nice.org.uk/guidance/ipg196/documents/ipg196-patient-safety-and-reduction-of-risk-of-transmission-of-creutzfeldtjakob-disease-cjd-via-interventional-procedures-guidance2</w:t>
        </w:r>
      </w:hyperlink>
      <w:r w:rsidRPr="0076576E">
        <w:t xml:space="preserve"> (Accessed 02.02.2018).</w:t>
      </w:r>
    </w:p>
    <w:p w14:paraId="1699D927" w14:textId="5DA1A9BC" w:rsidR="0076576E" w:rsidRPr="0076576E" w:rsidRDefault="0076576E" w:rsidP="0076576E">
      <w:pPr>
        <w:pStyle w:val="EndNoteBibliography"/>
        <w:ind w:left="720" w:hanging="720"/>
      </w:pPr>
      <w:r w:rsidRPr="0076576E">
        <w:t>15.</w:t>
      </w:r>
      <w:r w:rsidRPr="0076576E">
        <w:tab/>
        <w:t xml:space="preserve">Public Health England. Summary results of the third national survey of abnormal prion prevalence in archived appendix specimens; 2016 </w:t>
      </w:r>
      <w:hyperlink r:id="rId38" w:history="1">
        <w:r w:rsidRPr="0076576E">
          <w:rPr>
            <w:rStyle w:val="Hyperlink"/>
          </w:rPr>
          <w:t>https://app.box.com/s/hhhhg857fjpu2bnxhv6e/file/91796156506</w:t>
        </w:r>
      </w:hyperlink>
      <w:r w:rsidRPr="0076576E">
        <w:t>.</w:t>
      </w:r>
    </w:p>
    <w:p w14:paraId="46322A68" w14:textId="1DF973AE" w:rsidR="0076576E" w:rsidRPr="0076576E" w:rsidRDefault="0076576E" w:rsidP="0076576E">
      <w:pPr>
        <w:pStyle w:val="EndNoteBibliography"/>
        <w:ind w:left="720" w:hanging="720"/>
      </w:pPr>
      <w:r w:rsidRPr="0076576E">
        <w:t>16.</w:t>
      </w:r>
      <w:r w:rsidRPr="0076576E">
        <w:tab/>
        <w:t xml:space="preserve">Advisory Committee on Dangerous Pathogens TSE Subgroup. Updated position statement on occurrence of vCJD and prevalence of infection in the UK; 2016 </w:t>
      </w:r>
      <w:hyperlink r:id="rId39" w:history="1">
        <w:r w:rsidRPr="0076576E">
          <w:rPr>
            <w:rStyle w:val="Hyperlink"/>
          </w:rPr>
          <w:t>https://app.box.com/s/hhhhg857fjpu2bnxhv6e/file/30140977007</w:t>
        </w:r>
      </w:hyperlink>
      <w:r w:rsidRPr="0076576E">
        <w:t>.</w:t>
      </w:r>
    </w:p>
    <w:p w14:paraId="2479F165" w14:textId="77777777" w:rsidR="0076576E" w:rsidRPr="0076576E" w:rsidRDefault="0076576E" w:rsidP="0076576E">
      <w:pPr>
        <w:pStyle w:val="EndNoteBibliography"/>
        <w:ind w:left="720" w:hanging="720"/>
      </w:pPr>
      <w:r w:rsidRPr="0076576E">
        <w:t>17.</w:t>
      </w:r>
      <w:r w:rsidRPr="0076576E">
        <w:tab/>
        <w:t>Jaunmuktane Z, Quaegebeur A, Taipa R, Viana-Baptista M, Barbosa R, Koriath C</w:t>
      </w:r>
      <w:r w:rsidRPr="0076576E">
        <w:rPr>
          <w:i/>
        </w:rPr>
        <w:t>, et al.</w:t>
      </w:r>
      <w:r w:rsidRPr="0076576E">
        <w:t xml:space="preserve"> Evidence of amyloid-β cerebral amyloid angiopathy transmission through neurosurgery. </w:t>
      </w:r>
      <w:r w:rsidRPr="0076576E">
        <w:rPr>
          <w:i/>
        </w:rPr>
        <w:t>Acta Neuropathologica</w:t>
      </w:r>
      <w:r w:rsidRPr="0076576E">
        <w:t xml:space="preserve"> 2018:1-9. </w:t>
      </w:r>
    </w:p>
    <w:p w14:paraId="1CD91E1F" w14:textId="77777777" w:rsidR="0076576E" w:rsidRPr="0076576E" w:rsidRDefault="0076576E" w:rsidP="0076576E">
      <w:pPr>
        <w:pStyle w:val="EndNoteBibliography"/>
        <w:ind w:left="720" w:hanging="720"/>
      </w:pPr>
      <w:r w:rsidRPr="0076576E">
        <w:t>18.</w:t>
      </w:r>
      <w:r w:rsidRPr="0076576E">
        <w:tab/>
        <w:t xml:space="preserve">Moher D, Liberati A, Tetzlaff J, Altman DG, Group P. Preferred reporting items for systematic reviews and meta-analyses: the PRISMA statement. </w:t>
      </w:r>
      <w:r w:rsidRPr="0076576E">
        <w:rPr>
          <w:i/>
        </w:rPr>
        <w:t>Plos Medicine</w:t>
      </w:r>
      <w:r w:rsidRPr="0076576E">
        <w:t xml:space="preserve"> 2009;6:e1000097. </w:t>
      </w:r>
    </w:p>
    <w:p w14:paraId="47CB5E04" w14:textId="05D7A0A6" w:rsidR="0076576E" w:rsidRPr="0076576E" w:rsidRDefault="0076576E" w:rsidP="0076576E">
      <w:pPr>
        <w:pStyle w:val="EndNoteBibliography"/>
        <w:ind w:left="720" w:hanging="720"/>
      </w:pPr>
      <w:r w:rsidRPr="0076576E">
        <w:t>19.</w:t>
      </w:r>
      <w:r w:rsidRPr="0076576E">
        <w:tab/>
        <w:t xml:space="preserve">Creutzfeldt-Jakob Disease International Surveillance Network formerly EuroCJD. CJD Surveillance Data 1993-2017. 2017. </w:t>
      </w:r>
      <w:hyperlink r:id="rId40" w:history="1">
        <w:r w:rsidRPr="0076576E">
          <w:rPr>
            <w:rStyle w:val="Hyperlink"/>
          </w:rPr>
          <w:t>http://www.eurocjd.ed.ac.uk/surveillance%20data%201.html</w:t>
        </w:r>
      </w:hyperlink>
      <w:r w:rsidRPr="0076576E">
        <w:t xml:space="preserve"> (Accessed </w:t>
      </w:r>
      <w:r w:rsidR="00C4555B" w:rsidRPr="00C4555B">
        <w:rPr>
          <w:szCs w:val="24"/>
        </w:rPr>
        <w:t>23.01.18</w:t>
      </w:r>
      <w:r w:rsidR="00C4555B">
        <w:rPr>
          <w:szCs w:val="24"/>
        </w:rPr>
        <w:t>).</w:t>
      </w:r>
    </w:p>
    <w:p w14:paraId="10B2BFDB" w14:textId="63EAB27E" w:rsidR="0076576E" w:rsidRPr="0076576E" w:rsidRDefault="0076576E" w:rsidP="0076576E">
      <w:pPr>
        <w:pStyle w:val="EndNoteBibliography"/>
        <w:ind w:left="720" w:hanging="720"/>
      </w:pPr>
      <w:r w:rsidRPr="0076576E">
        <w:t>20.</w:t>
      </w:r>
      <w:r w:rsidRPr="0076576E">
        <w:tab/>
        <w:t xml:space="preserve">Jeon BH, Kim J, Kim GK, Park SC, Kim S, Cheong HK. Estimation of the size of the iatrogenic Creutzfeldt-Jakob disease outbreak associated with cadaveric dura mater grafts in Korea. </w:t>
      </w:r>
      <w:r w:rsidRPr="0076576E">
        <w:rPr>
          <w:i/>
        </w:rPr>
        <w:t xml:space="preserve">Epidemiology and </w:t>
      </w:r>
      <w:r w:rsidR="003C7B4D">
        <w:rPr>
          <w:i/>
        </w:rPr>
        <w:t>H</w:t>
      </w:r>
      <w:r w:rsidRPr="0076576E">
        <w:rPr>
          <w:i/>
        </w:rPr>
        <w:t>ealth</w:t>
      </w:r>
      <w:r w:rsidRPr="0076576E">
        <w:t xml:space="preserve"> 2016;19:19. </w:t>
      </w:r>
    </w:p>
    <w:p w14:paraId="532AEA39" w14:textId="3C3AA9E4" w:rsidR="0076576E" w:rsidRPr="0076576E" w:rsidRDefault="0076576E" w:rsidP="0076576E">
      <w:pPr>
        <w:pStyle w:val="EndNoteBibliography"/>
        <w:ind w:left="720" w:hanging="720"/>
      </w:pPr>
      <w:r w:rsidRPr="0076576E">
        <w:t>21.</w:t>
      </w:r>
      <w:r w:rsidRPr="0076576E">
        <w:tab/>
        <w:t xml:space="preserve">US Centres for Disease Control and Prevention (CDC). Creutzfeldt-Jakob Disease, Classic (CJD) Occurrence and Transmission. 2018. </w:t>
      </w:r>
      <w:hyperlink r:id="rId41" w:history="1">
        <w:r w:rsidRPr="0076576E">
          <w:rPr>
            <w:rStyle w:val="Hyperlink"/>
          </w:rPr>
          <w:t>https://www.cdc.gov/prions/cjd/occurrence-transmission.html</w:t>
        </w:r>
      </w:hyperlink>
      <w:r w:rsidRPr="0076576E">
        <w:t xml:space="preserve"> (Accessed 23.01.18).</w:t>
      </w:r>
    </w:p>
    <w:p w14:paraId="781AFE2A" w14:textId="77777777" w:rsidR="0076576E" w:rsidRPr="0076576E" w:rsidRDefault="0076576E" w:rsidP="0076576E">
      <w:pPr>
        <w:pStyle w:val="EndNoteBibliography"/>
        <w:ind w:left="720" w:hanging="720"/>
      </w:pPr>
      <w:r w:rsidRPr="0076576E">
        <w:t>22.</w:t>
      </w:r>
      <w:r w:rsidRPr="0076576E">
        <w:tab/>
        <w:t>Yamada M, Hamaguchi T, Sakai K, Nozaki I, Noguchi-Shinohara M, Sanjo N</w:t>
      </w:r>
      <w:r w:rsidRPr="0076576E">
        <w:rPr>
          <w:i/>
        </w:rPr>
        <w:t>, et al.</w:t>
      </w:r>
      <w:r w:rsidRPr="0076576E">
        <w:t xml:space="preserve"> Epidemiological and clinical features of human prion diseases in Japan: Prospective 17-year surveillance. </w:t>
      </w:r>
      <w:r w:rsidRPr="0076576E">
        <w:rPr>
          <w:i/>
        </w:rPr>
        <w:t>Prion</w:t>
      </w:r>
      <w:r w:rsidRPr="0076576E">
        <w:t xml:space="preserve"> 2016;10:S10-S1. </w:t>
      </w:r>
    </w:p>
    <w:p w14:paraId="564E2224" w14:textId="77777777" w:rsidR="0076576E" w:rsidRPr="0076576E" w:rsidRDefault="0076576E" w:rsidP="0076576E">
      <w:pPr>
        <w:pStyle w:val="EndNoteBibliography"/>
        <w:ind w:left="720" w:hanging="720"/>
      </w:pPr>
      <w:r w:rsidRPr="0076576E">
        <w:t>23.</w:t>
      </w:r>
      <w:r w:rsidRPr="0076576E">
        <w:tab/>
        <w:t>Klug GM, Boyd A, Sarros S, Stehmann C, Simpson M, McLean CA</w:t>
      </w:r>
      <w:r w:rsidRPr="0076576E">
        <w:rPr>
          <w:i/>
        </w:rPr>
        <w:t>, et al.</w:t>
      </w:r>
      <w:r w:rsidRPr="0076576E">
        <w:t xml:space="preserve"> Creutzfeldt-Jakob disease surveillance in Australia: update to December 2015. </w:t>
      </w:r>
      <w:r w:rsidRPr="0076576E">
        <w:rPr>
          <w:i/>
        </w:rPr>
        <w:t>Communicable Diseases Intelligence Quarterly Report</w:t>
      </w:r>
      <w:r w:rsidRPr="0076576E">
        <w:t xml:space="preserve"> 2016;40:E368-E76. </w:t>
      </w:r>
    </w:p>
    <w:p w14:paraId="7916F01C" w14:textId="77777777" w:rsidR="0076576E" w:rsidRPr="007E31FF" w:rsidRDefault="0076576E" w:rsidP="0076576E">
      <w:pPr>
        <w:pStyle w:val="EndNoteBibliography"/>
        <w:ind w:left="720" w:hanging="720"/>
        <w:rPr>
          <w:lang w:val="it-IT"/>
        </w:rPr>
      </w:pPr>
      <w:r w:rsidRPr="007E31FF">
        <w:rPr>
          <w:lang w:val="it-IT"/>
        </w:rPr>
        <w:t>24.</w:t>
      </w:r>
      <w:r w:rsidRPr="007E31FF">
        <w:rPr>
          <w:lang w:val="it-IT"/>
        </w:rPr>
        <w:tab/>
        <w:t>Begue C, Martinetto H, Schultz M, Rojas E, Romero C, D'Giano C</w:t>
      </w:r>
      <w:r w:rsidRPr="007E31FF">
        <w:rPr>
          <w:i/>
          <w:lang w:val="it-IT"/>
        </w:rPr>
        <w:t>, et al.</w:t>
      </w:r>
      <w:r w:rsidRPr="007E31FF">
        <w:rPr>
          <w:lang w:val="it-IT"/>
        </w:rPr>
        <w:t xml:space="preserve"> Creutzfeldt-Jakob disease surveillance in Argentina, 1997-2008. </w:t>
      </w:r>
      <w:r w:rsidRPr="007E31FF">
        <w:rPr>
          <w:i/>
          <w:lang w:val="it-IT"/>
        </w:rPr>
        <w:t>Neuroepidemiology</w:t>
      </w:r>
      <w:r w:rsidRPr="007E31FF">
        <w:rPr>
          <w:lang w:val="it-IT"/>
        </w:rPr>
        <w:t xml:space="preserve"> 2011;37:193-202. </w:t>
      </w:r>
    </w:p>
    <w:p w14:paraId="0F35576B" w14:textId="77777777" w:rsidR="0076576E" w:rsidRPr="0076576E" w:rsidRDefault="0076576E" w:rsidP="0076576E">
      <w:pPr>
        <w:pStyle w:val="EndNoteBibliography"/>
        <w:ind w:left="720" w:hanging="720"/>
      </w:pPr>
      <w:r w:rsidRPr="007E31FF">
        <w:rPr>
          <w:lang w:val="it-IT"/>
        </w:rPr>
        <w:t>25.</w:t>
      </w:r>
      <w:r w:rsidRPr="007E31FF">
        <w:rPr>
          <w:lang w:val="it-IT"/>
        </w:rPr>
        <w:tab/>
        <w:t xml:space="preserve">Lu CJ, Sun Y, Chen SS. </w:t>
      </w:r>
      <w:r w:rsidRPr="0076576E">
        <w:t xml:space="preserve">Incidence of Creutzfeldt-Jakob disease in Taiwan: a prospective 10-year surveillance. </w:t>
      </w:r>
      <w:r w:rsidRPr="0076576E">
        <w:rPr>
          <w:i/>
        </w:rPr>
        <w:t>European Journal of Epidemiology</w:t>
      </w:r>
      <w:r w:rsidRPr="0076576E">
        <w:t xml:space="preserve"> 2010;25:341-7. </w:t>
      </w:r>
    </w:p>
    <w:p w14:paraId="75BE3A9C" w14:textId="77777777" w:rsidR="0076576E" w:rsidRPr="0076576E" w:rsidRDefault="0076576E" w:rsidP="0076576E">
      <w:pPr>
        <w:pStyle w:val="EndNoteBibliography"/>
        <w:ind w:left="720" w:hanging="720"/>
      </w:pPr>
      <w:r w:rsidRPr="0076576E">
        <w:t>26.</w:t>
      </w:r>
      <w:r w:rsidRPr="0076576E">
        <w:tab/>
        <w:t>Gao C, Shi Q, Tian C, Chen C, Han J, Zhou W</w:t>
      </w:r>
      <w:r w:rsidRPr="0076576E">
        <w:rPr>
          <w:i/>
        </w:rPr>
        <w:t>, et al.</w:t>
      </w:r>
      <w:r w:rsidRPr="0076576E">
        <w:t xml:space="preserve"> The epidemiological, clinical, and laboratory features of sporadic Creutzfeldt-Jakob disease patients in China: surveillance data from 2006 to 2010. </w:t>
      </w:r>
      <w:r w:rsidRPr="0076576E">
        <w:rPr>
          <w:i/>
        </w:rPr>
        <w:t>PLoS ONE [Electronic Resource]</w:t>
      </w:r>
      <w:r w:rsidRPr="0076576E">
        <w:t xml:space="preserve"> 2011;6:e24231. </w:t>
      </w:r>
    </w:p>
    <w:p w14:paraId="4A2F4910" w14:textId="77777777" w:rsidR="0076576E" w:rsidRPr="0076576E" w:rsidRDefault="0076576E" w:rsidP="0076576E">
      <w:pPr>
        <w:pStyle w:val="EndNoteBibliography"/>
        <w:ind w:left="720" w:hanging="720"/>
      </w:pPr>
      <w:r w:rsidRPr="0076576E">
        <w:t>27.</w:t>
      </w:r>
      <w:r w:rsidRPr="0076576E">
        <w:tab/>
        <w:t>Molesworth A, Yates P, Hewitt P, Mackenzie J, Ironside J, Galea G</w:t>
      </w:r>
      <w:r w:rsidRPr="0076576E">
        <w:rPr>
          <w:i/>
        </w:rPr>
        <w:t>, et al.</w:t>
      </w:r>
      <w:r w:rsidRPr="0076576E">
        <w:t xml:space="preserve"> vCJD associated with organ or tissue transplantation in the UK: A lookback study. </w:t>
      </w:r>
      <w:r w:rsidRPr="0076576E">
        <w:rPr>
          <w:i/>
        </w:rPr>
        <w:t>Prion</w:t>
      </w:r>
      <w:r w:rsidRPr="0076576E">
        <w:t xml:space="preserve"> 2013;7:60. </w:t>
      </w:r>
    </w:p>
    <w:p w14:paraId="364B0E26" w14:textId="77777777" w:rsidR="0076576E" w:rsidRPr="0076576E" w:rsidRDefault="0076576E" w:rsidP="0076576E">
      <w:pPr>
        <w:pStyle w:val="EndNoteBibliography"/>
        <w:ind w:left="720" w:hanging="720"/>
      </w:pPr>
      <w:r w:rsidRPr="0076576E">
        <w:t>28.</w:t>
      </w:r>
      <w:r w:rsidRPr="0076576E">
        <w:tab/>
        <w:t>Isotalo J, Gardberg M, Verkkoniemi-Ahola A, Paetau A, Martikainen MH, Korpela J</w:t>
      </w:r>
      <w:r w:rsidRPr="0076576E">
        <w:rPr>
          <w:i/>
        </w:rPr>
        <w:t>, et al.</w:t>
      </w:r>
      <w:r w:rsidRPr="0076576E">
        <w:t xml:space="preserve"> Phenotype and incidence of Creutzfeldt-Jakob disease in Finland in 1997-2013. </w:t>
      </w:r>
      <w:r w:rsidRPr="0076576E">
        <w:rPr>
          <w:i/>
        </w:rPr>
        <w:t>Duodecim</w:t>
      </w:r>
      <w:r w:rsidRPr="0076576E">
        <w:t xml:space="preserve"> 2015;131:465-74. </w:t>
      </w:r>
    </w:p>
    <w:p w14:paraId="2C103C67" w14:textId="77777777" w:rsidR="0076576E" w:rsidRPr="0076576E" w:rsidRDefault="0076576E" w:rsidP="0076576E">
      <w:pPr>
        <w:pStyle w:val="EndNoteBibliography"/>
        <w:ind w:left="720" w:hanging="720"/>
      </w:pPr>
      <w:r w:rsidRPr="0076576E">
        <w:t>29.</w:t>
      </w:r>
      <w:r w:rsidRPr="0076576E">
        <w:tab/>
        <w:t xml:space="preserve">Chen SS. Surveillance of prion diseases in Taiwan. </w:t>
      </w:r>
      <w:r w:rsidRPr="0076576E">
        <w:rPr>
          <w:i/>
        </w:rPr>
        <w:t>Prion</w:t>
      </w:r>
      <w:r w:rsidRPr="0076576E">
        <w:t xml:space="preserve"> 2016;10:S11. </w:t>
      </w:r>
    </w:p>
    <w:p w14:paraId="4DB15BD7" w14:textId="77777777" w:rsidR="0076576E" w:rsidRPr="0076576E" w:rsidRDefault="0076576E" w:rsidP="0076576E">
      <w:pPr>
        <w:pStyle w:val="EndNoteBibliography"/>
        <w:ind w:left="720" w:hanging="720"/>
      </w:pPr>
      <w:r w:rsidRPr="0076576E">
        <w:t>30.</w:t>
      </w:r>
      <w:r w:rsidRPr="0076576E">
        <w:tab/>
        <w:t>Van Everbroeck B, Michotte A, Sciot R, Godfraind C, Deprez M, Quoilin S</w:t>
      </w:r>
      <w:r w:rsidRPr="0076576E">
        <w:rPr>
          <w:i/>
        </w:rPr>
        <w:t>, et al.</w:t>
      </w:r>
      <w:r w:rsidRPr="0076576E">
        <w:t xml:space="preserve"> Increased incidence of sporadic Creutzfeldt-Jakob disease in the age groups between 70 and 90 years in Belgium. </w:t>
      </w:r>
      <w:r w:rsidRPr="0076576E">
        <w:rPr>
          <w:i/>
        </w:rPr>
        <w:t>European Journal of Epidemiology</w:t>
      </w:r>
      <w:r w:rsidRPr="0076576E">
        <w:t xml:space="preserve"> 2006;21:443-7. </w:t>
      </w:r>
    </w:p>
    <w:p w14:paraId="3C5FAE81" w14:textId="77777777" w:rsidR="0076576E" w:rsidRPr="0076576E" w:rsidRDefault="0076576E" w:rsidP="0076576E">
      <w:pPr>
        <w:pStyle w:val="EndNoteBibliography"/>
        <w:ind w:left="720" w:hanging="720"/>
      </w:pPr>
      <w:r w:rsidRPr="0076576E">
        <w:t>31.</w:t>
      </w:r>
      <w:r w:rsidRPr="0076576E">
        <w:tab/>
        <w:t>Ae R, Nakamura Y, Takumi I, Sanjo N, Kitamoto T, Yamada M</w:t>
      </w:r>
      <w:r w:rsidRPr="0076576E">
        <w:rPr>
          <w:i/>
        </w:rPr>
        <w:t>, et al.</w:t>
      </w:r>
      <w:r w:rsidRPr="0076576E">
        <w:t xml:space="preserve"> Epidemiologic features of human prion diseases in Japan: A prospective 15-year surveillance study. </w:t>
      </w:r>
      <w:r w:rsidRPr="0076576E">
        <w:rPr>
          <w:i/>
        </w:rPr>
        <w:t>Prion</w:t>
      </w:r>
      <w:r w:rsidRPr="0076576E">
        <w:t xml:space="preserve"> 2016;10:S103-S4. </w:t>
      </w:r>
    </w:p>
    <w:p w14:paraId="4620972B" w14:textId="77777777" w:rsidR="0076576E" w:rsidRPr="0076576E" w:rsidRDefault="0076576E" w:rsidP="0076576E">
      <w:pPr>
        <w:pStyle w:val="EndNoteBibliography"/>
        <w:ind w:left="720" w:hanging="720"/>
      </w:pPr>
      <w:r w:rsidRPr="0076576E">
        <w:t>32.</w:t>
      </w:r>
      <w:r w:rsidRPr="0076576E">
        <w:tab/>
        <w:t xml:space="preserve">Rus T, Caks Jager N, Popovic M, Blasko Markic M, Kramberger Gregoric M. High incidence of sporadic Creutzfeldt-Jakob disease in Slovenia in 2015. </w:t>
      </w:r>
      <w:r w:rsidRPr="0076576E">
        <w:rPr>
          <w:i/>
        </w:rPr>
        <w:t>European Journal of Neurology</w:t>
      </w:r>
      <w:r w:rsidRPr="0076576E">
        <w:t xml:space="preserve"> 2016;23:602. </w:t>
      </w:r>
    </w:p>
    <w:p w14:paraId="15BBF565" w14:textId="77777777" w:rsidR="0076576E" w:rsidRPr="0076576E" w:rsidRDefault="0076576E" w:rsidP="0076576E">
      <w:pPr>
        <w:pStyle w:val="EndNoteBibliography"/>
        <w:ind w:left="720" w:hanging="720"/>
      </w:pPr>
      <w:r w:rsidRPr="0076576E">
        <w:t>33.</w:t>
      </w:r>
      <w:r w:rsidRPr="0076576E">
        <w:tab/>
        <w:t>Mok T, Jaunmuktane Z, Joiner S, Campbell T, Morgan C, Wakerley B</w:t>
      </w:r>
      <w:r w:rsidRPr="0076576E">
        <w:rPr>
          <w:i/>
        </w:rPr>
        <w:t>, et al.</w:t>
      </w:r>
      <w:r w:rsidRPr="0076576E">
        <w:t xml:space="preserve"> Variant Creutzfeldt–Jakob Disease in a Patient with Heterozygosity at PRNP Codon 129. </w:t>
      </w:r>
      <w:r w:rsidRPr="0076576E">
        <w:rPr>
          <w:i/>
        </w:rPr>
        <w:t>New England Journal of Medicine</w:t>
      </w:r>
      <w:r w:rsidRPr="0076576E">
        <w:t xml:space="preserve"> 2017;376:292-4. </w:t>
      </w:r>
    </w:p>
    <w:p w14:paraId="443B025E" w14:textId="77777777" w:rsidR="0076576E" w:rsidRPr="0076576E" w:rsidRDefault="0076576E" w:rsidP="0076576E">
      <w:pPr>
        <w:pStyle w:val="EndNoteBibliography"/>
        <w:ind w:left="720" w:hanging="720"/>
      </w:pPr>
      <w:r w:rsidRPr="0076576E">
        <w:t>34.</w:t>
      </w:r>
      <w:r w:rsidRPr="0076576E">
        <w:tab/>
        <w:t xml:space="preserve">Urwin PJM, Mackenzie JM, Knight RSG, Will RG, Molesworth AM. Is sporadic CJD an acquired disease? A review of the UK CJD cases. </w:t>
      </w:r>
      <w:r w:rsidRPr="0076576E">
        <w:rPr>
          <w:i/>
        </w:rPr>
        <w:t>Prion</w:t>
      </w:r>
      <w:r w:rsidRPr="0076576E">
        <w:t xml:space="preserve"> 2016;10:S77. </w:t>
      </w:r>
    </w:p>
    <w:p w14:paraId="7EDD3510" w14:textId="77777777" w:rsidR="0076576E" w:rsidRPr="0076576E" w:rsidRDefault="0076576E" w:rsidP="0076576E">
      <w:pPr>
        <w:pStyle w:val="EndNoteBibliography"/>
        <w:ind w:left="720" w:hanging="720"/>
      </w:pPr>
      <w:r w:rsidRPr="0076576E">
        <w:t>35.</w:t>
      </w:r>
      <w:r w:rsidRPr="0076576E">
        <w:tab/>
        <w:t xml:space="preserve">Shi J, Chen Q, Chen X, Zhang J. Case Report Clinical scenarios in creutzfeldt-jakob disease (CJD): report of nine cases. </w:t>
      </w:r>
      <w:r w:rsidRPr="0076576E">
        <w:rPr>
          <w:i/>
        </w:rPr>
        <w:t>Int J Clin Exp Pathol</w:t>
      </w:r>
      <w:r w:rsidRPr="0076576E">
        <w:t xml:space="preserve"> 2016;9:2744-51. </w:t>
      </w:r>
    </w:p>
    <w:p w14:paraId="312B8418" w14:textId="77777777" w:rsidR="0076576E" w:rsidRPr="0076576E" w:rsidRDefault="0076576E" w:rsidP="0076576E">
      <w:pPr>
        <w:pStyle w:val="EndNoteBibliography"/>
        <w:ind w:left="720" w:hanging="720"/>
      </w:pPr>
      <w:r w:rsidRPr="0076576E">
        <w:t>36.</w:t>
      </w:r>
      <w:r w:rsidRPr="0076576E">
        <w:tab/>
        <w:t xml:space="preserve">Baig M, M., Phillips M. A case of Creutzfeldt-Jakob disease: diagnostic dilemmas of a rapidly fatal disease. </w:t>
      </w:r>
      <w:r w:rsidRPr="0076576E">
        <w:rPr>
          <w:i/>
        </w:rPr>
        <w:t>Infectious Disease Reports</w:t>
      </w:r>
      <w:r w:rsidRPr="0076576E">
        <w:t xml:space="preserve"> 2013;5:e10. </w:t>
      </w:r>
    </w:p>
    <w:p w14:paraId="1B6A5CE7" w14:textId="77777777" w:rsidR="0076576E" w:rsidRPr="0076576E" w:rsidRDefault="0076576E" w:rsidP="0076576E">
      <w:pPr>
        <w:pStyle w:val="EndNoteBibliography"/>
        <w:ind w:left="720" w:hanging="720"/>
      </w:pPr>
      <w:r w:rsidRPr="0076576E">
        <w:t>37.</w:t>
      </w:r>
      <w:r w:rsidRPr="0076576E">
        <w:tab/>
        <w:t>Maddox RA, Holman RC, Folkema AM, Gambetti P, Zou WQ, Minino AM</w:t>
      </w:r>
      <w:r w:rsidRPr="0076576E">
        <w:rPr>
          <w:i/>
        </w:rPr>
        <w:t>, et al.</w:t>
      </w:r>
      <w:r w:rsidRPr="0076576E">
        <w:t xml:space="preserve"> Creutzfeldt-Jakob disease among blacks in the United States, 1994-2007. </w:t>
      </w:r>
      <w:r w:rsidRPr="0076576E">
        <w:rPr>
          <w:i/>
        </w:rPr>
        <w:t>Prion</w:t>
      </w:r>
      <w:r w:rsidRPr="0076576E">
        <w:t xml:space="preserve"> 2010;4 (3):161. </w:t>
      </w:r>
    </w:p>
    <w:p w14:paraId="5E78BE53" w14:textId="77777777" w:rsidR="0076576E" w:rsidRPr="0076576E" w:rsidRDefault="0076576E" w:rsidP="0076576E">
      <w:pPr>
        <w:pStyle w:val="EndNoteBibliography"/>
        <w:ind w:left="720" w:hanging="720"/>
      </w:pPr>
      <w:r w:rsidRPr="0076576E">
        <w:t>38.</w:t>
      </w:r>
      <w:r w:rsidRPr="0076576E">
        <w:tab/>
        <w:t>Holman RC, Belay ED, Christensen KY, Maddox RA, Minino AM, Folkema AM</w:t>
      </w:r>
      <w:r w:rsidRPr="0076576E">
        <w:rPr>
          <w:i/>
        </w:rPr>
        <w:t>, et al.</w:t>
      </w:r>
      <w:r w:rsidRPr="0076576E">
        <w:t xml:space="preserve"> Human prion diseases in the United States. </w:t>
      </w:r>
      <w:r w:rsidRPr="0076576E">
        <w:rPr>
          <w:i/>
        </w:rPr>
        <w:t>PLoS ONE [Electronic Resource]</w:t>
      </w:r>
      <w:r w:rsidRPr="0076576E">
        <w:t xml:space="preserve"> 2010;5:e8521. </w:t>
      </w:r>
    </w:p>
    <w:p w14:paraId="49623CE4" w14:textId="77777777" w:rsidR="0076576E" w:rsidRPr="0076576E" w:rsidRDefault="0076576E" w:rsidP="0076576E">
      <w:pPr>
        <w:pStyle w:val="EndNoteBibliography"/>
        <w:ind w:left="720" w:hanging="720"/>
      </w:pPr>
      <w:r w:rsidRPr="0076576E">
        <w:t>39.</w:t>
      </w:r>
      <w:r w:rsidRPr="0076576E">
        <w:tab/>
        <w:t xml:space="preserve">Maddox RA, Holman RC, Minino AM, Blevins JE, Schonberger LB, Belay ED. Prion disease among Asians and Pacific Islanders in the United States, 2003-2009. </w:t>
      </w:r>
      <w:r w:rsidRPr="0076576E">
        <w:rPr>
          <w:i/>
        </w:rPr>
        <w:t>Prion</w:t>
      </w:r>
      <w:r w:rsidRPr="0076576E">
        <w:t xml:space="preserve"> 2013;7:60. </w:t>
      </w:r>
    </w:p>
    <w:p w14:paraId="11AB49B4" w14:textId="77777777" w:rsidR="0076576E" w:rsidRPr="0076576E" w:rsidRDefault="0076576E" w:rsidP="0076576E">
      <w:pPr>
        <w:pStyle w:val="EndNoteBibliography"/>
        <w:ind w:left="720" w:hanging="720"/>
      </w:pPr>
      <w:r w:rsidRPr="0076576E">
        <w:t>40.</w:t>
      </w:r>
      <w:r w:rsidRPr="0076576E">
        <w:tab/>
        <w:t>Nakatani E, Nishimura T, Zhou B, Kaneda H, Teramukai S, Nagai Y</w:t>
      </w:r>
      <w:r w:rsidRPr="0076576E">
        <w:rPr>
          <w:i/>
        </w:rPr>
        <w:t>, et al.</w:t>
      </w:r>
      <w:r w:rsidRPr="0076576E">
        <w:t xml:space="preserve"> Temporal and regional variations in sporadic Creutzfeldt-Jakob disease in Japan, 2001-2010. </w:t>
      </w:r>
      <w:r w:rsidRPr="0076576E">
        <w:rPr>
          <w:i/>
        </w:rPr>
        <w:t>Epidemiology &amp; Infection</w:t>
      </w:r>
      <w:r w:rsidRPr="0076576E">
        <w:t xml:space="preserve"> 2015;143:1073-8. </w:t>
      </w:r>
    </w:p>
    <w:p w14:paraId="6F7BC303" w14:textId="77777777" w:rsidR="0076576E" w:rsidRPr="0076576E" w:rsidRDefault="0076576E" w:rsidP="0076576E">
      <w:pPr>
        <w:pStyle w:val="EndNoteBibliography"/>
        <w:ind w:left="720" w:hanging="720"/>
      </w:pPr>
      <w:r w:rsidRPr="0076576E">
        <w:t>41.</w:t>
      </w:r>
      <w:r w:rsidRPr="0076576E">
        <w:tab/>
        <w:t>Klug GM, Wand H, Boyd A, Law M, Whyte S, Kaldor J</w:t>
      </w:r>
      <w:r w:rsidRPr="0076576E">
        <w:rPr>
          <w:i/>
        </w:rPr>
        <w:t>, et al.</w:t>
      </w:r>
      <w:r w:rsidRPr="0076576E">
        <w:t xml:space="preserve"> Enhanced geographically restricted surveillance simulates sporadic Creutzfeldt-Jakob disease cluster. </w:t>
      </w:r>
      <w:r w:rsidRPr="0076576E">
        <w:rPr>
          <w:i/>
        </w:rPr>
        <w:t>Brain</w:t>
      </w:r>
      <w:r w:rsidRPr="0076576E">
        <w:t xml:space="preserve"> 2009;132:493-501. </w:t>
      </w:r>
    </w:p>
    <w:p w14:paraId="28572F70" w14:textId="77777777" w:rsidR="0076576E" w:rsidRPr="0076576E" w:rsidRDefault="0076576E" w:rsidP="0076576E">
      <w:pPr>
        <w:pStyle w:val="EndNoteBibliography"/>
        <w:ind w:left="720" w:hanging="720"/>
      </w:pPr>
      <w:r w:rsidRPr="0076576E">
        <w:t>42.</w:t>
      </w:r>
      <w:r w:rsidRPr="0076576E">
        <w:tab/>
        <w:t xml:space="preserve">Brandel JP, Peckeu L, Haik S. The French surveillance network of Creutzfeldt-Jakob disease. Epidemiological data in France and worldwide. </w:t>
      </w:r>
      <w:r w:rsidRPr="0076576E">
        <w:rPr>
          <w:i/>
        </w:rPr>
        <w:t>Transfusion Clinique et Biologique</w:t>
      </w:r>
      <w:r w:rsidRPr="0076576E">
        <w:t xml:space="preserve"> 2013;20:395-7. </w:t>
      </w:r>
    </w:p>
    <w:p w14:paraId="744342CB" w14:textId="77777777" w:rsidR="0076576E" w:rsidRPr="0076576E" w:rsidRDefault="0076576E" w:rsidP="0076576E">
      <w:pPr>
        <w:pStyle w:val="EndNoteBibliography"/>
        <w:ind w:left="720" w:hanging="720"/>
      </w:pPr>
      <w:r w:rsidRPr="0076576E">
        <w:t>43.</w:t>
      </w:r>
      <w:r w:rsidRPr="0076576E">
        <w:tab/>
        <w:t xml:space="preserve">Mitrova E, Kosorinova D, Gajdos M, Sebekova K, Tomeckova I. A pilot study of a genetic CJD risk factor (E200K) in the general Slovak population. </w:t>
      </w:r>
      <w:r w:rsidRPr="0076576E">
        <w:rPr>
          <w:i/>
        </w:rPr>
        <w:t>European Journal of Epidemiology</w:t>
      </w:r>
      <w:r w:rsidRPr="0076576E">
        <w:t xml:space="preserve"> 2014;29:595-7. </w:t>
      </w:r>
    </w:p>
    <w:p w14:paraId="051BB1C5" w14:textId="77777777" w:rsidR="0076576E" w:rsidRPr="0076576E" w:rsidRDefault="0076576E" w:rsidP="0076576E">
      <w:pPr>
        <w:pStyle w:val="EndNoteBibliography"/>
        <w:ind w:left="720" w:hanging="720"/>
      </w:pPr>
      <w:r w:rsidRPr="0076576E">
        <w:t>44.</w:t>
      </w:r>
      <w:r w:rsidRPr="0076576E">
        <w:tab/>
        <w:t>Ladogana A, Puopolo M, Croes EA, Budka H, Jarius C, Collins S</w:t>
      </w:r>
      <w:r w:rsidRPr="0076576E">
        <w:rPr>
          <w:i/>
        </w:rPr>
        <w:t>, et al.</w:t>
      </w:r>
      <w:r w:rsidRPr="0076576E">
        <w:t xml:space="preserve"> Mortality from Creutzfeldt-Jakob disease and related disorders in Europe, Australia, and Canada. </w:t>
      </w:r>
      <w:r w:rsidRPr="0076576E">
        <w:rPr>
          <w:i/>
        </w:rPr>
        <w:t>Neurology</w:t>
      </w:r>
      <w:r w:rsidRPr="0076576E">
        <w:t xml:space="preserve"> 2005;64:1586-91. </w:t>
      </w:r>
    </w:p>
    <w:p w14:paraId="1587A004" w14:textId="77777777" w:rsidR="0076576E" w:rsidRPr="0076576E" w:rsidRDefault="0076576E" w:rsidP="0076576E">
      <w:pPr>
        <w:pStyle w:val="EndNoteBibliography"/>
        <w:ind w:left="720" w:hanging="720"/>
      </w:pPr>
      <w:r w:rsidRPr="0076576E">
        <w:t>45.</w:t>
      </w:r>
      <w:r w:rsidRPr="0076576E">
        <w:tab/>
        <w:t xml:space="preserve">Tuskan-Mohar L, Legac M, Prunk DA, Bucuk M, Perkovic O, Antoncic I. The frequency of creutzfeldtjakob disease in primorsko-goranska county. </w:t>
      </w:r>
      <w:r w:rsidRPr="0076576E">
        <w:rPr>
          <w:i/>
        </w:rPr>
        <w:t>Acta Clinica Croatica, Supplement</w:t>
      </w:r>
      <w:r w:rsidRPr="0076576E">
        <w:t xml:space="preserve"> 2012;51:83-4. </w:t>
      </w:r>
    </w:p>
    <w:p w14:paraId="30AE3835" w14:textId="77777777" w:rsidR="0076576E" w:rsidRPr="0076576E" w:rsidRDefault="0076576E" w:rsidP="0076576E">
      <w:pPr>
        <w:pStyle w:val="EndNoteBibliography"/>
        <w:ind w:left="720" w:hanging="720"/>
      </w:pPr>
      <w:r w:rsidRPr="0076576E">
        <w:t>46.</w:t>
      </w:r>
      <w:r w:rsidRPr="0076576E">
        <w:tab/>
        <w:t xml:space="preserve">Kosier N. Why won't she talk? A case of Creutzfeldt-Jakob disease masquerading as psychiatric decompensation. </w:t>
      </w:r>
      <w:r w:rsidRPr="0076576E">
        <w:rPr>
          <w:i/>
        </w:rPr>
        <w:t>Journal of the American Geriatrics Society</w:t>
      </w:r>
      <w:r w:rsidRPr="0076576E">
        <w:t xml:space="preserve"> 2017;65:S25. </w:t>
      </w:r>
    </w:p>
    <w:p w14:paraId="272469EE" w14:textId="77777777" w:rsidR="0076576E" w:rsidRPr="0076576E" w:rsidRDefault="0076576E" w:rsidP="0076576E">
      <w:pPr>
        <w:pStyle w:val="EndNoteBibliography"/>
        <w:ind w:left="720" w:hanging="720"/>
      </w:pPr>
      <w:r w:rsidRPr="0076576E">
        <w:t>47.</w:t>
      </w:r>
      <w:r w:rsidRPr="0076576E">
        <w:tab/>
        <w:t xml:space="preserve">Litzroth A, Cras P, De Vil B, Quoilin S. Overview and evaluation of 15 years of Creutzfeldt-Jakob disease surveillance in Belgium, 1998-2012. </w:t>
      </w:r>
      <w:r w:rsidRPr="0076576E">
        <w:rPr>
          <w:i/>
        </w:rPr>
        <w:t>Bmc Neurology</w:t>
      </w:r>
      <w:r w:rsidRPr="0076576E">
        <w:t xml:space="preserve"> 2015;15:250. </w:t>
      </w:r>
    </w:p>
    <w:p w14:paraId="25F716F1" w14:textId="77777777" w:rsidR="0076576E" w:rsidRPr="0076576E" w:rsidRDefault="0076576E" w:rsidP="0076576E">
      <w:pPr>
        <w:pStyle w:val="EndNoteBibliography"/>
        <w:ind w:left="720" w:hanging="720"/>
      </w:pPr>
      <w:r w:rsidRPr="0076576E">
        <w:t>48.</w:t>
      </w:r>
      <w:r w:rsidRPr="0076576E">
        <w:tab/>
        <w:t>Brett FM, Looby S, Chalissery A, Chen D, Heaney C, Heffernan J</w:t>
      </w:r>
      <w:r w:rsidRPr="0076576E">
        <w:rPr>
          <w:i/>
        </w:rPr>
        <w:t>, et al.</w:t>
      </w:r>
      <w:r w:rsidRPr="0076576E">
        <w:t xml:space="preserve"> Brain biopsies requiring Creutzfeldt-Jakob disease precautions in the Republic of Ireland 2005-2016. </w:t>
      </w:r>
      <w:r w:rsidRPr="0076576E">
        <w:rPr>
          <w:i/>
        </w:rPr>
        <w:t>Irish Journal of Medical Science</w:t>
      </w:r>
      <w:r w:rsidRPr="0076576E">
        <w:t xml:space="preserve"> 2017;12:12. </w:t>
      </w:r>
    </w:p>
    <w:p w14:paraId="1C17E174" w14:textId="77777777" w:rsidR="0076576E" w:rsidRPr="0076576E" w:rsidRDefault="0076576E" w:rsidP="0076576E">
      <w:pPr>
        <w:pStyle w:val="EndNoteBibliography"/>
        <w:ind w:left="720" w:hanging="720"/>
      </w:pPr>
      <w:r w:rsidRPr="0076576E">
        <w:t>49.</w:t>
      </w:r>
      <w:r w:rsidRPr="0076576E">
        <w:tab/>
        <w:t>Loftus T, Chen D, Looby S, Chalissery A, Howley R, Heaney C</w:t>
      </w:r>
      <w:r w:rsidRPr="0076576E">
        <w:rPr>
          <w:i/>
        </w:rPr>
        <w:t>, et al.</w:t>
      </w:r>
      <w:r w:rsidRPr="0076576E">
        <w:t xml:space="preserve"> CJD surveillance in the Republic of Ireland from 2005 to 2015: a suggested algorithm for referrals. </w:t>
      </w:r>
      <w:r w:rsidRPr="0076576E">
        <w:rPr>
          <w:i/>
        </w:rPr>
        <w:t>Clinical Neuropathology</w:t>
      </w:r>
      <w:r w:rsidRPr="0076576E">
        <w:t xml:space="preserve"> 2017;36:188-94. </w:t>
      </w:r>
    </w:p>
    <w:p w14:paraId="7BD60004" w14:textId="77777777" w:rsidR="0076576E" w:rsidRPr="0076576E" w:rsidRDefault="0076576E" w:rsidP="0076576E">
      <w:pPr>
        <w:pStyle w:val="EndNoteBibliography"/>
        <w:ind w:left="720" w:hanging="720"/>
      </w:pPr>
      <w:r w:rsidRPr="0076576E">
        <w:t>50.</w:t>
      </w:r>
      <w:r w:rsidRPr="0076576E">
        <w:tab/>
        <w:t xml:space="preserve">Ali A, Abbas M, Ahmed S, Ejaz K. Creutzfeldt-Kajob Disease (CJD) rare stroke mimic. </w:t>
      </w:r>
      <w:r w:rsidRPr="0076576E">
        <w:rPr>
          <w:i/>
        </w:rPr>
        <w:t>Cerebrovascular Diseases</w:t>
      </w:r>
      <w:r w:rsidRPr="0076576E">
        <w:t xml:space="preserve"> 2015;39:147. </w:t>
      </w:r>
    </w:p>
    <w:p w14:paraId="7AAB9763" w14:textId="77777777" w:rsidR="0076576E" w:rsidRPr="0076576E" w:rsidRDefault="0076576E" w:rsidP="0076576E">
      <w:pPr>
        <w:pStyle w:val="EndNoteBibliography"/>
        <w:ind w:left="720" w:hanging="720"/>
      </w:pPr>
      <w:r w:rsidRPr="0076576E">
        <w:t>51.</w:t>
      </w:r>
      <w:r w:rsidRPr="0076576E">
        <w:tab/>
        <w:t xml:space="preserve">Hirst CL. Sporadic Creutzfeldt-Jakob disease presenting as a stroke mimic590. </w:t>
      </w:r>
      <w:r w:rsidRPr="0076576E">
        <w:rPr>
          <w:i/>
        </w:rPr>
        <w:t>British Journal of Hospital Medicine</w:t>
      </w:r>
      <w:r w:rsidRPr="0076576E">
        <w:t xml:space="preserve"> 2011;72:590-1. </w:t>
      </w:r>
    </w:p>
    <w:p w14:paraId="0FDD363A" w14:textId="77777777" w:rsidR="0076576E" w:rsidRPr="0076576E" w:rsidRDefault="0076576E" w:rsidP="0076576E">
      <w:pPr>
        <w:pStyle w:val="EndNoteBibliography"/>
        <w:ind w:left="720" w:hanging="720"/>
      </w:pPr>
      <w:r w:rsidRPr="0076576E">
        <w:t>52.</w:t>
      </w:r>
      <w:r w:rsidRPr="0076576E">
        <w:tab/>
        <w:t xml:space="preserve">Hanumanthu R, Alchaki A, Nyaboga A, Ghuman H, Chen J, Feinstein E. An unusual case of sporadic Creutzfeld Jacob disease presenting as acute neuropathy. </w:t>
      </w:r>
      <w:r w:rsidRPr="0076576E">
        <w:rPr>
          <w:i/>
        </w:rPr>
        <w:t>Movement Disorders</w:t>
      </w:r>
      <w:r w:rsidRPr="0076576E">
        <w:t xml:space="preserve"> 2017;32:563-4. </w:t>
      </w:r>
    </w:p>
    <w:p w14:paraId="2520825D" w14:textId="77777777" w:rsidR="0076576E" w:rsidRPr="0076576E" w:rsidRDefault="0076576E" w:rsidP="0076576E">
      <w:pPr>
        <w:pStyle w:val="EndNoteBibliography"/>
        <w:ind w:left="720" w:hanging="720"/>
      </w:pPr>
      <w:r w:rsidRPr="0076576E">
        <w:t>53.</w:t>
      </w:r>
      <w:r w:rsidRPr="0076576E">
        <w:tab/>
        <w:t xml:space="preserve">Karatas H, Dericioglu N, Kursun O, Saygi S. Creutzfeldt-Jakob disease presenting as hyperparathyroidism and generalized tonic status epilepticus. </w:t>
      </w:r>
      <w:r w:rsidRPr="0076576E">
        <w:rPr>
          <w:i/>
        </w:rPr>
        <w:t>Clinical EEG &amp; Neuroscience: Official Journal of the EEG &amp; Clinical Neuroscience Society (ENCS)</w:t>
      </w:r>
      <w:r w:rsidRPr="0076576E">
        <w:t xml:space="preserve"> 2007;38:203-6. </w:t>
      </w:r>
    </w:p>
    <w:p w14:paraId="1221C3B5" w14:textId="77777777" w:rsidR="0076576E" w:rsidRPr="0076576E" w:rsidRDefault="0076576E" w:rsidP="0076576E">
      <w:pPr>
        <w:pStyle w:val="EndNoteBibliography"/>
        <w:ind w:left="720" w:hanging="720"/>
      </w:pPr>
      <w:r w:rsidRPr="0076576E">
        <w:t>54.</w:t>
      </w:r>
      <w:r w:rsidRPr="0076576E">
        <w:tab/>
        <w:t xml:space="preserve">Kher M, Rao MY, Acharya PT, Mahadevan A, Shankar SK. Heidenhain variant of Creutzfeldt-Jakob disease: An autopsy study from India. </w:t>
      </w:r>
      <w:r w:rsidRPr="0076576E">
        <w:rPr>
          <w:i/>
        </w:rPr>
        <w:t>Annals of Indian Academy of Neurology</w:t>
      </w:r>
      <w:r w:rsidRPr="0076576E">
        <w:t xml:space="preserve"> 2009;12:48-51. </w:t>
      </w:r>
    </w:p>
    <w:p w14:paraId="66C32AA1" w14:textId="77777777" w:rsidR="0076576E" w:rsidRPr="0076576E" w:rsidRDefault="0076576E" w:rsidP="0076576E">
      <w:pPr>
        <w:pStyle w:val="EndNoteBibliography"/>
        <w:ind w:left="720" w:hanging="720"/>
      </w:pPr>
      <w:r w:rsidRPr="0076576E">
        <w:t>55.</w:t>
      </w:r>
      <w:r w:rsidRPr="0076576E">
        <w:tab/>
        <w:t xml:space="preserve">Neville JL, Fichtenbaum C. 'Rapidly progressive dementia: Sometimes it is a zebra'. </w:t>
      </w:r>
      <w:r w:rsidRPr="0076576E">
        <w:rPr>
          <w:i/>
        </w:rPr>
        <w:t>Journal of General Internal Medicine</w:t>
      </w:r>
      <w:r w:rsidRPr="0076576E">
        <w:t xml:space="preserve"> 2012;27:S508. </w:t>
      </w:r>
    </w:p>
    <w:p w14:paraId="7B7561F9" w14:textId="77777777" w:rsidR="0076576E" w:rsidRPr="0076576E" w:rsidRDefault="0076576E" w:rsidP="0076576E">
      <w:pPr>
        <w:pStyle w:val="EndNoteBibliography"/>
        <w:ind w:left="720" w:hanging="720"/>
      </w:pPr>
      <w:r w:rsidRPr="0076576E">
        <w:t>56.</w:t>
      </w:r>
      <w:r w:rsidRPr="0076576E">
        <w:tab/>
        <w:t xml:space="preserve">Pachalska M, Kurzbauer H, Forminska-Kapuscik M, Urbanik A, Bierzynska-Macyszyn G, Wlaszczuk P. Atypical features of dementia in a patient with Creutzfeldt-Jakob disease. </w:t>
      </w:r>
      <w:r w:rsidRPr="0076576E">
        <w:rPr>
          <w:i/>
        </w:rPr>
        <w:t>Medical Science Monitor</w:t>
      </w:r>
      <w:r w:rsidRPr="0076576E">
        <w:t xml:space="preserve"> 2007;13:CS9-19. </w:t>
      </w:r>
    </w:p>
    <w:p w14:paraId="69922F78" w14:textId="77777777" w:rsidR="0076576E" w:rsidRPr="0076576E" w:rsidRDefault="0076576E" w:rsidP="0076576E">
      <w:pPr>
        <w:pStyle w:val="EndNoteBibliography"/>
        <w:ind w:left="720" w:hanging="720"/>
      </w:pPr>
      <w:r w:rsidRPr="0076576E">
        <w:t>57.</w:t>
      </w:r>
      <w:r w:rsidRPr="0076576E">
        <w:tab/>
        <w:t xml:space="preserve">Patrawala S, Soltani M, Zulauf M. A rare case of ataxia and rapidly progressing dementia. </w:t>
      </w:r>
      <w:r w:rsidRPr="0076576E">
        <w:rPr>
          <w:i/>
        </w:rPr>
        <w:t>Journal of General Internal Medicine</w:t>
      </w:r>
      <w:r w:rsidRPr="0076576E">
        <w:t xml:space="preserve"> 2014;29:S280-S1. </w:t>
      </w:r>
    </w:p>
    <w:p w14:paraId="4C7E896D" w14:textId="77777777" w:rsidR="0076576E" w:rsidRPr="0076576E" w:rsidRDefault="0076576E" w:rsidP="0076576E">
      <w:pPr>
        <w:pStyle w:val="EndNoteBibliography"/>
        <w:ind w:left="720" w:hanging="720"/>
      </w:pPr>
      <w:r w:rsidRPr="0076576E">
        <w:t>58.</w:t>
      </w:r>
      <w:r w:rsidRPr="0076576E">
        <w:tab/>
        <w:t xml:space="preserve">Krystina C, Abbas A, Hall A, Khadjooi K, Elhag RA, Rostami K. Sporadic CJD presenting with aphasia diagnosed in medical admissions unit. </w:t>
      </w:r>
      <w:r w:rsidRPr="0076576E">
        <w:rPr>
          <w:i/>
        </w:rPr>
        <w:t>European Journal of Internal Medicine</w:t>
      </w:r>
      <w:r w:rsidRPr="0076576E">
        <w:t xml:space="preserve"> 2011;22:S111. </w:t>
      </w:r>
    </w:p>
    <w:p w14:paraId="19FF2FBB" w14:textId="77777777" w:rsidR="0076576E" w:rsidRPr="0076576E" w:rsidRDefault="0076576E" w:rsidP="0076576E">
      <w:pPr>
        <w:pStyle w:val="EndNoteBibliography"/>
        <w:ind w:left="720" w:hanging="720"/>
      </w:pPr>
      <w:r w:rsidRPr="0076576E">
        <w:t>59.</w:t>
      </w:r>
      <w:r w:rsidRPr="0076576E">
        <w:tab/>
        <w:t xml:space="preserve">Sann AA, Zaw MM, Choie TL. Creutzfeldt-Jakob disease presenting predominantly with movement disorder: A case report. </w:t>
      </w:r>
      <w:r w:rsidRPr="0076576E">
        <w:rPr>
          <w:i/>
        </w:rPr>
        <w:t>Movement Disorders</w:t>
      </w:r>
      <w:r w:rsidRPr="0076576E">
        <w:t xml:space="preserve"> 2016;31:S577-S8. </w:t>
      </w:r>
    </w:p>
    <w:p w14:paraId="318A6FB2" w14:textId="77777777" w:rsidR="0076576E" w:rsidRPr="0076576E" w:rsidRDefault="0076576E" w:rsidP="0076576E">
      <w:pPr>
        <w:pStyle w:val="EndNoteBibliography"/>
        <w:ind w:left="720" w:hanging="720"/>
      </w:pPr>
      <w:r w:rsidRPr="0076576E">
        <w:t>60.</w:t>
      </w:r>
      <w:r w:rsidRPr="0076576E">
        <w:tab/>
        <w:t xml:space="preserve">Bruton C, Bruton R, Gentleman S, Roberts G. Diagnosis and incidence of prion (Creutzfeldt-Jakob) disease: a retrospective archival survey with implications for future research. </w:t>
      </w:r>
      <w:r w:rsidRPr="0076576E">
        <w:rPr>
          <w:i/>
        </w:rPr>
        <w:t>Neurodegeneration</w:t>
      </w:r>
      <w:r w:rsidRPr="0076576E">
        <w:t xml:space="preserve"> 1995;4:357-68. </w:t>
      </w:r>
    </w:p>
    <w:p w14:paraId="606A07FD" w14:textId="77777777" w:rsidR="0076576E" w:rsidRPr="0076576E" w:rsidRDefault="0076576E" w:rsidP="0076576E">
      <w:pPr>
        <w:pStyle w:val="EndNoteBibliography"/>
        <w:ind w:left="720" w:hanging="720"/>
      </w:pPr>
      <w:r w:rsidRPr="0076576E">
        <w:t>61.</w:t>
      </w:r>
      <w:r w:rsidRPr="0076576E">
        <w:tab/>
        <w:t>Urwin P, Thanigaikumar K, Ironside JW, Molesworth A, Knight RS, Hewitt PE</w:t>
      </w:r>
      <w:r w:rsidRPr="0076576E">
        <w:rPr>
          <w:i/>
        </w:rPr>
        <w:t>, et al.</w:t>
      </w:r>
      <w:r w:rsidRPr="0076576E">
        <w:t xml:space="preserve"> Sporadic Creutzfeldt-Jakob Disease in 2 Plasma Product Recipients, United Kingdom. </w:t>
      </w:r>
      <w:r w:rsidRPr="0076576E">
        <w:rPr>
          <w:i/>
        </w:rPr>
        <w:t>Emerging Infectious Diseases</w:t>
      </w:r>
      <w:r w:rsidRPr="0076576E">
        <w:t xml:space="preserve"> 2017;23:893. </w:t>
      </w:r>
    </w:p>
    <w:p w14:paraId="3C720555" w14:textId="77777777" w:rsidR="0076576E" w:rsidRPr="007E31FF" w:rsidRDefault="0076576E" w:rsidP="0076576E">
      <w:pPr>
        <w:pStyle w:val="EndNoteBibliography"/>
        <w:ind w:left="720" w:hanging="720"/>
        <w:rPr>
          <w:lang w:val="it-IT"/>
        </w:rPr>
      </w:pPr>
      <w:r w:rsidRPr="0076576E">
        <w:t>62.</w:t>
      </w:r>
      <w:r w:rsidRPr="0076576E">
        <w:tab/>
        <w:t xml:space="preserve">Shepherd KJ, Barker BR. A common presentation of a rare disease: Sporadic CJD. </w:t>
      </w:r>
      <w:r w:rsidRPr="007E31FF">
        <w:rPr>
          <w:i/>
          <w:lang w:val="it-IT"/>
        </w:rPr>
        <w:t>Journal of General Internal Medicine</w:t>
      </w:r>
      <w:r w:rsidRPr="007E31FF">
        <w:rPr>
          <w:lang w:val="it-IT"/>
        </w:rPr>
        <w:t xml:space="preserve"> 2016;1):S500-S1. </w:t>
      </w:r>
    </w:p>
    <w:p w14:paraId="0199A5D7" w14:textId="77777777" w:rsidR="0076576E" w:rsidRPr="0076576E" w:rsidRDefault="0076576E" w:rsidP="0076576E">
      <w:pPr>
        <w:pStyle w:val="EndNoteBibliography"/>
        <w:ind w:left="720" w:hanging="720"/>
      </w:pPr>
      <w:r w:rsidRPr="007E31FF">
        <w:rPr>
          <w:lang w:val="it-IT"/>
        </w:rPr>
        <w:t>63.</w:t>
      </w:r>
      <w:r w:rsidRPr="007E31FF">
        <w:rPr>
          <w:lang w:val="it-IT"/>
        </w:rPr>
        <w:tab/>
        <w:t>Galeno R, Di Bari MA, Nonno R, Cardone F, Sbriccoli M, Graziano S</w:t>
      </w:r>
      <w:r w:rsidRPr="007E31FF">
        <w:rPr>
          <w:i/>
          <w:lang w:val="it-IT"/>
        </w:rPr>
        <w:t>, et al.</w:t>
      </w:r>
      <w:r w:rsidRPr="007E31FF">
        <w:rPr>
          <w:lang w:val="it-IT"/>
        </w:rPr>
        <w:t xml:space="preserve"> </w:t>
      </w:r>
      <w:r w:rsidRPr="0076576E">
        <w:t xml:space="preserve">Prion Strain Characterization of a Novel Subtype of Creutzfeldt-Jakob Disease. </w:t>
      </w:r>
      <w:r w:rsidRPr="0076576E">
        <w:rPr>
          <w:i/>
        </w:rPr>
        <w:t>Journal of Virology</w:t>
      </w:r>
      <w:r w:rsidRPr="0076576E">
        <w:t xml:space="preserve"> 2017;91:01. </w:t>
      </w:r>
    </w:p>
    <w:p w14:paraId="4C1454C8" w14:textId="77777777" w:rsidR="0076576E" w:rsidRPr="0076576E" w:rsidRDefault="0076576E" w:rsidP="0076576E">
      <w:pPr>
        <w:pStyle w:val="EndNoteBibliography"/>
        <w:ind w:left="720" w:hanging="720"/>
      </w:pPr>
      <w:r w:rsidRPr="0076576E">
        <w:t>64.</w:t>
      </w:r>
      <w:r w:rsidRPr="0076576E">
        <w:tab/>
        <w:t>Rudge P, Jaunmuktane Z, Adlard P, Bjurstrom N, Caine D, Lowe J</w:t>
      </w:r>
      <w:r w:rsidRPr="0076576E">
        <w:rPr>
          <w:i/>
        </w:rPr>
        <w:t>, et al.</w:t>
      </w:r>
      <w:r w:rsidRPr="0076576E">
        <w:t xml:space="preserve"> Iatrogenic CJD due to pituitary-derived growth hormone with genetically determined incubation times of up to 40 years. </w:t>
      </w:r>
      <w:r w:rsidRPr="0076576E">
        <w:rPr>
          <w:i/>
        </w:rPr>
        <w:t>Brain</w:t>
      </w:r>
      <w:r w:rsidRPr="0076576E">
        <w:t xml:space="preserve"> 2015;138:3386-99. </w:t>
      </w:r>
    </w:p>
    <w:p w14:paraId="18BCF868" w14:textId="460CF847" w:rsidR="0076576E" w:rsidRPr="0076576E" w:rsidRDefault="0076576E" w:rsidP="0076576E">
      <w:pPr>
        <w:pStyle w:val="EndNoteBibliography"/>
        <w:ind w:left="720" w:hanging="720"/>
      </w:pPr>
      <w:r w:rsidRPr="0076576E">
        <w:t>65.</w:t>
      </w:r>
      <w:r w:rsidRPr="0076576E">
        <w:tab/>
        <w:t>Sanchez-Juan P, Bishop MT, Croes EA, Knight RSG, Will RG, van Duijn CM</w:t>
      </w:r>
      <w:r w:rsidRPr="0076576E">
        <w:rPr>
          <w:i/>
        </w:rPr>
        <w:t>, et al.</w:t>
      </w:r>
      <w:r w:rsidRPr="0076576E">
        <w:t xml:space="preserve"> A polymorphism in the regulatory region of PRNP is associated with increased risk of sporadic Creutzfeldt-Jakob disease. </w:t>
      </w:r>
      <w:r w:rsidRPr="0076576E">
        <w:rPr>
          <w:i/>
        </w:rPr>
        <w:t>B</w:t>
      </w:r>
      <w:r w:rsidR="003C7B4D">
        <w:rPr>
          <w:i/>
        </w:rPr>
        <w:t>MC</w:t>
      </w:r>
      <w:r w:rsidRPr="0076576E">
        <w:rPr>
          <w:i/>
        </w:rPr>
        <w:t xml:space="preserve"> Medical Genetics</w:t>
      </w:r>
      <w:r w:rsidRPr="0076576E">
        <w:t xml:space="preserve"> 2011;12. </w:t>
      </w:r>
    </w:p>
    <w:p w14:paraId="21A3B061" w14:textId="77777777" w:rsidR="0076576E" w:rsidRPr="007E31FF" w:rsidRDefault="0076576E" w:rsidP="0076576E">
      <w:pPr>
        <w:pStyle w:val="EndNoteBibliography"/>
        <w:ind w:left="720" w:hanging="720"/>
        <w:rPr>
          <w:lang w:val="it-IT"/>
        </w:rPr>
      </w:pPr>
      <w:r w:rsidRPr="0076576E">
        <w:t>66.</w:t>
      </w:r>
      <w:r w:rsidRPr="0076576E">
        <w:tab/>
        <w:t xml:space="preserve">Brandner S, Jaunmuktane Z. Prion disease: experimental models and reality. </w:t>
      </w:r>
      <w:r w:rsidRPr="007E31FF">
        <w:rPr>
          <w:i/>
          <w:lang w:val="it-IT"/>
        </w:rPr>
        <w:t>Acta Neuropathologica</w:t>
      </w:r>
      <w:r w:rsidRPr="007E31FF">
        <w:rPr>
          <w:lang w:val="it-IT"/>
        </w:rPr>
        <w:t xml:space="preserve"> 2017;133:197-222. </w:t>
      </w:r>
    </w:p>
    <w:p w14:paraId="36B6345E" w14:textId="77777777" w:rsidR="0076576E" w:rsidRPr="0076576E" w:rsidRDefault="0076576E" w:rsidP="0076576E">
      <w:pPr>
        <w:pStyle w:val="EndNoteBibliography"/>
        <w:ind w:left="720" w:hanging="720"/>
      </w:pPr>
      <w:r w:rsidRPr="007E31FF">
        <w:rPr>
          <w:lang w:val="it-IT"/>
        </w:rPr>
        <w:t>67.</w:t>
      </w:r>
      <w:r w:rsidRPr="007E31FF">
        <w:rPr>
          <w:lang w:val="it-IT"/>
        </w:rPr>
        <w:tab/>
        <w:t>Giaccone G, Capellari S, Ingrosso L, Ferrari S, Imperiale D, Taraglio S</w:t>
      </w:r>
      <w:r w:rsidRPr="007E31FF">
        <w:rPr>
          <w:i/>
          <w:lang w:val="it-IT"/>
        </w:rPr>
        <w:t>, et al.</w:t>
      </w:r>
      <w:r w:rsidRPr="007E31FF">
        <w:rPr>
          <w:lang w:val="it-IT"/>
        </w:rPr>
        <w:t xml:space="preserve"> </w:t>
      </w:r>
      <w:r w:rsidRPr="0076576E">
        <w:t xml:space="preserve">An update of the epidemiology of sporadic Creutzfeldt-Jakob disease in Italy based on neuropathologic and molecular typing of a large cohort of patients. </w:t>
      </w:r>
      <w:r w:rsidRPr="0076576E">
        <w:rPr>
          <w:i/>
        </w:rPr>
        <w:t>Clinical Neuropathology</w:t>
      </w:r>
      <w:r w:rsidRPr="0076576E">
        <w:t xml:space="preserve"> 2009;28 (3):229. </w:t>
      </w:r>
    </w:p>
    <w:p w14:paraId="6C2F8671" w14:textId="751A152F" w:rsidR="0076576E" w:rsidRPr="0076576E" w:rsidRDefault="0076576E" w:rsidP="0076576E">
      <w:pPr>
        <w:pStyle w:val="EndNoteBibliography"/>
        <w:ind w:left="720" w:hanging="720"/>
      </w:pPr>
      <w:r w:rsidRPr="0076576E">
        <w:t>68.</w:t>
      </w:r>
      <w:r w:rsidRPr="0076576E">
        <w:tab/>
        <w:t>Ironside JW, Bishop MT, Connolly K, Hegazy D, Lowrie S, Le Grice M</w:t>
      </w:r>
      <w:r w:rsidRPr="0076576E">
        <w:rPr>
          <w:i/>
        </w:rPr>
        <w:t>, et al.</w:t>
      </w:r>
      <w:r w:rsidRPr="0076576E">
        <w:t xml:space="preserve"> Variant Creutzfeldt-Jakob disease: prion protein genotype analysis of positive appendix tissue samples from a retrospective prevalence study. Erratum appears in BMJ. 2006 Aug 26;333(7565):416. </w:t>
      </w:r>
      <w:r w:rsidR="00C4555B" w:rsidRPr="0076576E">
        <w:rPr>
          <w:i/>
        </w:rPr>
        <w:t>BMJ</w:t>
      </w:r>
      <w:r w:rsidR="00C4555B" w:rsidRPr="0076576E">
        <w:t xml:space="preserve"> </w:t>
      </w:r>
      <w:r w:rsidRPr="0076576E">
        <w:t xml:space="preserve">2006;332:1186-8. </w:t>
      </w:r>
    </w:p>
    <w:p w14:paraId="5055F79C" w14:textId="070211E1" w:rsidR="0076576E" w:rsidRPr="0076576E" w:rsidRDefault="0076576E" w:rsidP="0076576E">
      <w:pPr>
        <w:pStyle w:val="EndNoteBibliography"/>
        <w:ind w:left="720" w:hanging="720"/>
      </w:pPr>
      <w:r w:rsidRPr="0076576E">
        <w:t>69.</w:t>
      </w:r>
      <w:r w:rsidRPr="0076576E">
        <w:tab/>
        <w:t>Gill ON, Spencer Y, Richard-Loendt A, Kelly C, Dabaghian R, Boyes L</w:t>
      </w:r>
      <w:r w:rsidRPr="0076576E">
        <w:rPr>
          <w:i/>
        </w:rPr>
        <w:t>, et al.</w:t>
      </w:r>
      <w:r w:rsidRPr="0076576E">
        <w:t xml:space="preserve"> Prevalent abnormal prion protein in human appendixes after bovine spongiform encephalopathy epizootic: large scale survey. </w:t>
      </w:r>
      <w:r w:rsidR="00C4555B" w:rsidRPr="0076576E">
        <w:rPr>
          <w:i/>
        </w:rPr>
        <w:t>BMJ</w:t>
      </w:r>
      <w:r w:rsidR="00C4555B" w:rsidRPr="0076576E">
        <w:t xml:space="preserve"> </w:t>
      </w:r>
      <w:r w:rsidRPr="0076576E">
        <w:t xml:space="preserve">2013;347:f5675. </w:t>
      </w:r>
    </w:p>
    <w:p w14:paraId="0A624EB8" w14:textId="77777777" w:rsidR="0076576E" w:rsidRPr="0076576E" w:rsidRDefault="0076576E" w:rsidP="0076576E">
      <w:pPr>
        <w:pStyle w:val="EndNoteBibliography"/>
        <w:ind w:left="720" w:hanging="720"/>
      </w:pPr>
      <w:r w:rsidRPr="0076576E">
        <w:t>70.</w:t>
      </w:r>
      <w:r w:rsidRPr="0076576E">
        <w:tab/>
        <w:t>Mead S, Whitfield J, Poulter M, Shah P, Uphill J, Beck J</w:t>
      </w:r>
      <w:r w:rsidRPr="0076576E">
        <w:rPr>
          <w:i/>
        </w:rPr>
        <w:t>, et al.</w:t>
      </w:r>
      <w:r w:rsidRPr="0076576E">
        <w:t xml:space="preserve"> Genetic susceptibility, evolution and the kuru epidemic. </w:t>
      </w:r>
      <w:r w:rsidRPr="0076576E">
        <w:rPr>
          <w:i/>
        </w:rPr>
        <w:t>Philosophical Transactions of the Royal Society of London - Series B: Biological Sciences</w:t>
      </w:r>
      <w:r w:rsidRPr="0076576E">
        <w:t xml:space="preserve"> 2008;363:3741-6. </w:t>
      </w:r>
    </w:p>
    <w:p w14:paraId="19651920" w14:textId="77777777" w:rsidR="0076576E" w:rsidRPr="0076576E" w:rsidRDefault="0076576E" w:rsidP="0076576E">
      <w:pPr>
        <w:pStyle w:val="EndNoteBibliography"/>
        <w:ind w:left="720" w:hanging="720"/>
      </w:pPr>
      <w:r w:rsidRPr="0076576E">
        <w:t>71.</w:t>
      </w:r>
      <w:r w:rsidRPr="0076576E">
        <w:tab/>
        <w:t>Kaski D, Mead S, Hyare H, Cooper S, Jampana R, Overell J</w:t>
      </w:r>
      <w:r w:rsidRPr="0076576E">
        <w:rPr>
          <w:i/>
        </w:rPr>
        <w:t>, et al.</w:t>
      </w:r>
      <w:r w:rsidRPr="0076576E">
        <w:t xml:space="preserve"> Variant CJD in an individual heterozygous for PRNP codon 129. </w:t>
      </w:r>
      <w:r w:rsidRPr="0076576E">
        <w:rPr>
          <w:i/>
        </w:rPr>
        <w:t>The Lancet</w:t>
      </w:r>
      <w:r w:rsidRPr="0076576E">
        <w:t xml:space="preserve"> 2009;374:2128. </w:t>
      </w:r>
    </w:p>
    <w:p w14:paraId="0C1A9FA2" w14:textId="77777777" w:rsidR="0076576E" w:rsidRPr="0076576E" w:rsidRDefault="0076576E" w:rsidP="0076576E">
      <w:pPr>
        <w:pStyle w:val="EndNoteBibliography"/>
        <w:ind w:left="720" w:hanging="720"/>
      </w:pPr>
      <w:r w:rsidRPr="0076576E">
        <w:t>72.</w:t>
      </w:r>
      <w:r w:rsidRPr="0076576E">
        <w:tab/>
        <w:t>Peden A, McCardle L, Head MW, Love S, Ward HJT, Cousens SN</w:t>
      </w:r>
      <w:r w:rsidRPr="0076576E">
        <w:rPr>
          <w:i/>
        </w:rPr>
        <w:t>, et al.</w:t>
      </w:r>
      <w:r w:rsidRPr="0076576E">
        <w:t xml:space="preserve"> Variant CJD infection in the spleen of a neurologically asymptomatic UK adult patient with haemophilia. </w:t>
      </w:r>
      <w:r w:rsidRPr="0076576E">
        <w:rPr>
          <w:i/>
        </w:rPr>
        <w:t>Haemophilia</w:t>
      </w:r>
      <w:r w:rsidRPr="0076576E">
        <w:t xml:space="preserve"> 2010;16:296-304. </w:t>
      </w:r>
    </w:p>
    <w:p w14:paraId="40553583" w14:textId="77777777" w:rsidR="0076576E" w:rsidRPr="0076576E" w:rsidRDefault="0076576E" w:rsidP="0076576E">
      <w:pPr>
        <w:pStyle w:val="EndNoteBibliography"/>
        <w:ind w:left="720" w:hanging="720"/>
      </w:pPr>
      <w:r w:rsidRPr="0076576E">
        <w:t>73.</w:t>
      </w:r>
      <w:r w:rsidRPr="0076576E">
        <w:tab/>
        <w:t xml:space="preserve">Peden AH, Head MW, Diane LR, Jeanne EB, James WI. Preclinical vCJD after blood transfusion in a PRNP codon 129 heterozygous patient. </w:t>
      </w:r>
      <w:r w:rsidRPr="0076576E">
        <w:rPr>
          <w:i/>
        </w:rPr>
        <w:t>The Lancet</w:t>
      </w:r>
      <w:r w:rsidRPr="0076576E">
        <w:t xml:space="preserve"> 2004;364:527-9. </w:t>
      </w:r>
    </w:p>
    <w:p w14:paraId="5C99B53D" w14:textId="77777777" w:rsidR="0076576E" w:rsidRPr="0076576E" w:rsidRDefault="0076576E" w:rsidP="0076576E">
      <w:pPr>
        <w:pStyle w:val="EndNoteBibliography"/>
        <w:ind w:left="720" w:hanging="720"/>
      </w:pPr>
      <w:r w:rsidRPr="0076576E">
        <w:t>74.</w:t>
      </w:r>
      <w:r w:rsidRPr="0076576E">
        <w:tab/>
        <w:t>Bishop MT, Hart P, Aitchison L, Baybutt HN, Plinston C, Thomson V</w:t>
      </w:r>
      <w:r w:rsidRPr="0076576E">
        <w:rPr>
          <w:i/>
        </w:rPr>
        <w:t>, et al.</w:t>
      </w:r>
      <w:r w:rsidRPr="0076576E">
        <w:t xml:space="preserve"> Predicting susceptibility and incubation time of human-to-human transmission of vCJD. </w:t>
      </w:r>
      <w:r w:rsidRPr="0076576E">
        <w:rPr>
          <w:i/>
        </w:rPr>
        <w:t>Lancet Neurology</w:t>
      </w:r>
      <w:r w:rsidRPr="0076576E">
        <w:t xml:space="preserve"> 2006;5:393-8. </w:t>
      </w:r>
    </w:p>
    <w:p w14:paraId="34392ED7" w14:textId="77777777" w:rsidR="0076576E" w:rsidRPr="0076576E" w:rsidRDefault="0076576E" w:rsidP="0076576E">
      <w:pPr>
        <w:pStyle w:val="EndNoteBibliography"/>
        <w:ind w:left="720" w:hanging="720"/>
      </w:pPr>
      <w:r w:rsidRPr="0076576E">
        <w:t>75.</w:t>
      </w:r>
      <w:r w:rsidRPr="0076576E">
        <w:tab/>
        <w:t xml:space="preserve">Nagoshi K, Sadakane A, Nakamura Y, Yamada M, Mizusawa H. Duration of prion disease is longer in Japan than in other countries. </w:t>
      </w:r>
      <w:r w:rsidRPr="0076576E">
        <w:rPr>
          <w:i/>
        </w:rPr>
        <w:t>Journal of Epidemiology</w:t>
      </w:r>
      <w:r w:rsidRPr="0076576E">
        <w:t xml:space="preserve"> 2011;21:255-62. </w:t>
      </w:r>
    </w:p>
    <w:p w14:paraId="35FF946E" w14:textId="77777777" w:rsidR="0076576E" w:rsidRPr="0076576E" w:rsidRDefault="0076576E" w:rsidP="0076576E">
      <w:pPr>
        <w:pStyle w:val="EndNoteBibliography"/>
        <w:ind w:left="720" w:hanging="720"/>
      </w:pPr>
      <w:r w:rsidRPr="0076576E">
        <w:t>76.</w:t>
      </w:r>
      <w:r w:rsidRPr="0076576E">
        <w:tab/>
        <w:t xml:space="preserve">Pennington C, Knight R. The clinicopathological phenotype of genetic CJD due to the E200K mutation in the UK. </w:t>
      </w:r>
      <w:r w:rsidRPr="0076576E">
        <w:rPr>
          <w:i/>
        </w:rPr>
        <w:t>Prion</w:t>
      </w:r>
      <w:r w:rsidRPr="0076576E">
        <w:t xml:space="preserve"> 2010;4 (3):197. </w:t>
      </w:r>
    </w:p>
    <w:p w14:paraId="635EFDF4" w14:textId="77777777" w:rsidR="0076576E" w:rsidRPr="0076576E" w:rsidRDefault="0076576E" w:rsidP="0076576E">
      <w:pPr>
        <w:pStyle w:val="EndNoteBibliography"/>
        <w:ind w:left="720" w:hanging="720"/>
      </w:pPr>
      <w:r w:rsidRPr="0076576E">
        <w:t>77.</w:t>
      </w:r>
      <w:r w:rsidRPr="0076576E">
        <w:tab/>
        <w:t>Coulthart MB, Geschwind MD, Qureshi S, Phielipp N, Demarsh A, Abrams JY</w:t>
      </w:r>
      <w:r w:rsidRPr="0076576E">
        <w:rPr>
          <w:i/>
        </w:rPr>
        <w:t>, et al.</w:t>
      </w:r>
      <w:r w:rsidRPr="0076576E">
        <w:t xml:space="preserve"> A case cluster of variant Creutzfeldt-Jakob disease linked to the Kingdom of Saudi Arabia. </w:t>
      </w:r>
      <w:r w:rsidRPr="0076576E">
        <w:rPr>
          <w:i/>
        </w:rPr>
        <w:t>Brain</w:t>
      </w:r>
      <w:r w:rsidRPr="0076576E">
        <w:t xml:space="preserve"> 2016;139:2609-16. </w:t>
      </w:r>
    </w:p>
    <w:p w14:paraId="5CB3C107" w14:textId="77777777" w:rsidR="0076576E" w:rsidRPr="0076576E" w:rsidRDefault="0076576E" w:rsidP="0076576E">
      <w:pPr>
        <w:pStyle w:val="EndNoteBibliography"/>
        <w:ind w:left="720" w:hanging="720"/>
      </w:pPr>
      <w:r w:rsidRPr="0076576E">
        <w:t>78.</w:t>
      </w:r>
      <w:r w:rsidRPr="0076576E">
        <w:tab/>
        <w:t>Chohan G, Llewelyn C, Mackenzie J, Cousens S, Kennedy A, Will R</w:t>
      </w:r>
      <w:r w:rsidRPr="0076576E">
        <w:rPr>
          <w:i/>
        </w:rPr>
        <w:t>, et al.</w:t>
      </w:r>
      <w:r w:rsidRPr="0076576E">
        <w:t xml:space="preserve"> Variant Creutzfeldt-Jakob disease in a transfusion recipient: coincidence or cause? </w:t>
      </w:r>
      <w:r w:rsidRPr="0076576E">
        <w:rPr>
          <w:i/>
        </w:rPr>
        <w:t>Transfusion</w:t>
      </w:r>
      <w:r w:rsidRPr="0076576E">
        <w:t xml:space="preserve"> 2010;50:1003-6. </w:t>
      </w:r>
    </w:p>
    <w:p w14:paraId="7F80BA86" w14:textId="77777777" w:rsidR="0076576E" w:rsidRPr="0076576E" w:rsidRDefault="0076576E" w:rsidP="0076576E">
      <w:pPr>
        <w:pStyle w:val="EndNoteBibliography"/>
        <w:ind w:left="720" w:hanging="720"/>
      </w:pPr>
      <w:r w:rsidRPr="0076576E">
        <w:t>79.</w:t>
      </w:r>
      <w:r w:rsidRPr="0076576E">
        <w:tab/>
        <w:t xml:space="preserve">Davidson LR, Llewelyn CA, Mackenzie JM, Hewitt PE, Will RG. Variant CJD and blood transfusion: are there additional cases? </w:t>
      </w:r>
      <w:r w:rsidRPr="0076576E">
        <w:rPr>
          <w:i/>
        </w:rPr>
        <w:t>Vox Sanguinis</w:t>
      </w:r>
      <w:r w:rsidRPr="0076576E">
        <w:t xml:space="preserve"> 2014;107:220-5. </w:t>
      </w:r>
    </w:p>
    <w:p w14:paraId="7248DE71" w14:textId="77777777" w:rsidR="0076576E" w:rsidRPr="0076576E" w:rsidRDefault="0076576E" w:rsidP="0076576E">
      <w:pPr>
        <w:pStyle w:val="EndNoteBibliography"/>
        <w:ind w:left="720" w:hanging="720"/>
      </w:pPr>
      <w:r w:rsidRPr="0076576E">
        <w:t>80.</w:t>
      </w:r>
      <w:r w:rsidRPr="0076576E">
        <w:tab/>
        <w:t>Molesworth A, Yates P, Hewitt PE, Mackenzie J, Ironside JW, Galea G</w:t>
      </w:r>
      <w:r w:rsidRPr="0076576E">
        <w:rPr>
          <w:i/>
        </w:rPr>
        <w:t>, et al.</w:t>
      </w:r>
      <w:r w:rsidRPr="0076576E">
        <w:t xml:space="preserve"> Investigation of variant Creutzfeldt-Jakob disease implicated organ or tissue transplantation in the United Kingdom. </w:t>
      </w:r>
      <w:r w:rsidRPr="0076576E">
        <w:rPr>
          <w:i/>
        </w:rPr>
        <w:t>Transplantation</w:t>
      </w:r>
      <w:r w:rsidRPr="0076576E">
        <w:t xml:space="preserve"> 2014;98:585-9. </w:t>
      </w:r>
    </w:p>
    <w:p w14:paraId="46C9C613" w14:textId="77777777" w:rsidR="0076576E" w:rsidRPr="0076576E" w:rsidRDefault="0076576E" w:rsidP="0076576E">
      <w:pPr>
        <w:pStyle w:val="EndNoteBibliography"/>
        <w:ind w:left="720" w:hanging="720"/>
      </w:pPr>
      <w:r w:rsidRPr="0076576E">
        <w:t>81.</w:t>
      </w:r>
      <w:r w:rsidRPr="0076576E">
        <w:tab/>
        <w:t xml:space="preserve">Ward HJT, Will RG, Ghani A, Ironside JW. An update on variant CJD (vCJD), secondary transmission and prevalence. </w:t>
      </w:r>
      <w:r w:rsidRPr="0076576E">
        <w:rPr>
          <w:i/>
        </w:rPr>
        <w:t>European Journal of Neurology</w:t>
      </w:r>
      <w:r w:rsidRPr="0076576E">
        <w:t xml:space="preserve"> 2006;13:306-7. </w:t>
      </w:r>
    </w:p>
    <w:p w14:paraId="3F927FF1" w14:textId="77777777" w:rsidR="0076576E" w:rsidRPr="0076576E" w:rsidRDefault="0076576E" w:rsidP="0076576E">
      <w:pPr>
        <w:pStyle w:val="EndNoteBibliography"/>
        <w:ind w:left="720" w:hanging="720"/>
      </w:pPr>
      <w:r w:rsidRPr="0076576E">
        <w:t>82.</w:t>
      </w:r>
      <w:r w:rsidRPr="0076576E">
        <w:tab/>
        <w:t xml:space="preserve">Urwin PJ, Mackenzie JM, Llewelyn CA, Will RG, Hewitt PE. Creutzfeldt-Jakob disease and blood transfusion: updated results of the UK Transfusion Medicine Epidemiology Review Study. </w:t>
      </w:r>
      <w:r w:rsidRPr="0076576E">
        <w:rPr>
          <w:i/>
        </w:rPr>
        <w:t>Vox Sanguinis</w:t>
      </w:r>
      <w:r w:rsidRPr="0076576E">
        <w:t xml:space="preserve"> 2016;110:310-6. </w:t>
      </w:r>
    </w:p>
    <w:p w14:paraId="103923F5" w14:textId="77777777" w:rsidR="0076576E" w:rsidRPr="0076576E" w:rsidRDefault="0076576E" w:rsidP="0076576E">
      <w:pPr>
        <w:pStyle w:val="EndNoteBibliography"/>
        <w:ind w:left="720" w:hanging="720"/>
      </w:pPr>
      <w:r w:rsidRPr="0076576E">
        <w:t>83.</w:t>
      </w:r>
      <w:r w:rsidRPr="0076576E">
        <w:tab/>
        <w:t>Ward HJ, MacKenzie JM, Llewelyn CA, Knight RS, Hewitt PE, Connor N</w:t>
      </w:r>
      <w:r w:rsidRPr="0076576E">
        <w:rPr>
          <w:i/>
        </w:rPr>
        <w:t>, et al.</w:t>
      </w:r>
      <w:r w:rsidRPr="0076576E">
        <w:t xml:space="preserve"> Variant Creutzfeldt-Jakob disease and exposure to fractionated plasma products. </w:t>
      </w:r>
      <w:r w:rsidRPr="0076576E">
        <w:rPr>
          <w:i/>
        </w:rPr>
        <w:t>Vox Sanguinis</w:t>
      </w:r>
      <w:r w:rsidRPr="0076576E">
        <w:t xml:space="preserve"> 2009;97:207-10. </w:t>
      </w:r>
    </w:p>
    <w:p w14:paraId="149135C3" w14:textId="77777777" w:rsidR="0076576E" w:rsidRPr="0076576E" w:rsidRDefault="0076576E" w:rsidP="0076576E">
      <w:pPr>
        <w:pStyle w:val="EndNoteBibliography"/>
        <w:ind w:left="720" w:hanging="720"/>
      </w:pPr>
      <w:r w:rsidRPr="0076576E">
        <w:t>84.</w:t>
      </w:r>
      <w:r w:rsidRPr="0076576E">
        <w:tab/>
        <w:t xml:space="preserve">Diack AB, Will RG, Manson JC. Public health risks from subclinical variant CJD. </w:t>
      </w:r>
      <w:r w:rsidRPr="0076576E">
        <w:rPr>
          <w:i/>
        </w:rPr>
        <w:t>PLoS Pathogens</w:t>
      </w:r>
      <w:r w:rsidRPr="0076576E">
        <w:t xml:space="preserve"> 2017;13:e1006642. </w:t>
      </w:r>
    </w:p>
    <w:p w14:paraId="173D3113" w14:textId="77777777" w:rsidR="0076576E" w:rsidRPr="0076576E" w:rsidRDefault="0076576E" w:rsidP="0076576E">
      <w:pPr>
        <w:pStyle w:val="EndNoteBibliography"/>
        <w:ind w:left="720" w:hanging="720"/>
      </w:pPr>
      <w:r w:rsidRPr="0076576E">
        <w:t>85.</w:t>
      </w:r>
      <w:r w:rsidRPr="0076576E">
        <w:tab/>
        <w:t>Diack AB, Head MW, McCutcheon S, Boyle A, Knight R, Ironside JW</w:t>
      </w:r>
      <w:r w:rsidRPr="0076576E">
        <w:rPr>
          <w:i/>
        </w:rPr>
        <w:t>, et al.</w:t>
      </w:r>
      <w:r w:rsidRPr="0076576E">
        <w:t xml:space="preserve"> Variant CJD. 18 years of research and surveillance. </w:t>
      </w:r>
      <w:r w:rsidRPr="0076576E">
        <w:rPr>
          <w:i/>
        </w:rPr>
        <w:t>Prion</w:t>
      </w:r>
      <w:r w:rsidRPr="0076576E">
        <w:t xml:space="preserve"> 2014;8:286-95. </w:t>
      </w:r>
    </w:p>
    <w:p w14:paraId="01D36226" w14:textId="77777777" w:rsidR="0076576E" w:rsidRPr="0076576E" w:rsidRDefault="0076576E" w:rsidP="0076576E">
      <w:pPr>
        <w:pStyle w:val="EndNoteBibliography"/>
        <w:ind w:left="720" w:hanging="720"/>
      </w:pPr>
      <w:r w:rsidRPr="0076576E">
        <w:t>86.</w:t>
      </w:r>
      <w:r w:rsidRPr="0076576E">
        <w:tab/>
        <w:t xml:space="preserve">Ritchie DL, Boyle A, McConnell I, Head MW, Ironside JW, Bruce ME. Transmissions of variant Creutzfeldt-Jakob disease from brain and lymphoreticular tissue show uniform and conserved bovine spongiform encephalopathy-related phenotypic properties on primary and secondary passage in wild-type mice. </w:t>
      </w:r>
      <w:r w:rsidRPr="0076576E">
        <w:rPr>
          <w:i/>
        </w:rPr>
        <w:t>Journal of General Virology</w:t>
      </w:r>
      <w:r w:rsidRPr="0076576E">
        <w:t xml:space="preserve"> 2009;90:3075-82. </w:t>
      </w:r>
    </w:p>
    <w:p w14:paraId="486F5AD2" w14:textId="77777777" w:rsidR="0076576E" w:rsidRPr="0076576E" w:rsidRDefault="0076576E" w:rsidP="0076576E">
      <w:pPr>
        <w:pStyle w:val="EndNoteBibliography"/>
        <w:ind w:left="720" w:hanging="720"/>
      </w:pPr>
      <w:r w:rsidRPr="0076576E">
        <w:t>87.</w:t>
      </w:r>
      <w:r w:rsidRPr="0076576E">
        <w:tab/>
        <w:t>Diack AB, Boyle A, Ritchie DL, Rabano A, De Pedro-Cuesta J, Brandel JP</w:t>
      </w:r>
      <w:r w:rsidRPr="0076576E">
        <w:rPr>
          <w:i/>
        </w:rPr>
        <w:t>, et al.</w:t>
      </w:r>
      <w:r w:rsidRPr="0076576E">
        <w:t xml:space="preserve"> Variant CJD: Lessons in public health. </w:t>
      </w:r>
      <w:r w:rsidRPr="0076576E">
        <w:rPr>
          <w:i/>
        </w:rPr>
        <w:t>Prion</w:t>
      </w:r>
      <w:r w:rsidRPr="0076576E">
        <w:t xml:space="preserve"> 2016;10:S82-S3. </w:t>
      </w:r>
    </w:p>
    <w:p w14:paraId="42ADC15A" w14:textId="5025DD4D" w:rsidR="0076576E" w:rsidRPr="0076576E" w:rsidRDefault="0076576E" w:rsidP="0076576E">
      <w:pPr>
        <w:pStyle w:val="EndNoteBibliography"/>
        <w:ind w:left="720" w:hanging="720"/>
      </w:pPr>
      <w:r w:rsidRPr="0076576E">
        <w:t>88.</w:t>
      </w:r>
      <w:r w:rsidRPr="0076576E">
        <w:tab/>
        <w:t>Gill ON, Spencer Y, Richard-Loendt A, Kelly C, Dabaghian R, Boyes L</w:t>
      </w:r>
      <w:r w:rsidRPr="0076576E">
        <w:rPr>
          <w:i/>
        </w:rPr>
        <w:t>, et al.</w:t>
      </w:r>
      <w:r w:rsidRPr="0076576E">
        <w:t xml:space="preserve"> Prevalent abnormal prion protein in human appendixes after bovine spongiform encephalopathy epizootic: large scale survey. </w:t>
      </w:r>
      <w:r w:rsidR="00C4555B" w:rsidRPr="0076576E">
        <w:rPr>
          <w:i/>
        </w:rPr>
        <w:t>BMJ</w:t>
      </w:r>
      <w:r w:rsidR="00C4555B" w:rsidRPr="0076576E">
        <w:t xml:space="preserve"> </w:t>
      </w:r>
      <w:r w:rsidRPr="0076576E">
        <w:t xml:space="preserve">2013;347:f5675. </w:t>
      </w:r>
    </w:p>
    <w:p w14:paraId="67DC8334" w14:textId="77777777" w:rsidR="0076576E" w:rsidRPr="0076576E" w:rsidRDefault="0076576E" w:rsidP="0076576E">
      <w:pPr>
        <w:pStyle w:val="EndNoteBibliography"/>
        <w:ind w:left="720" w:hanging="720"/>
      </w:pPr>
      <w:r w:rsidRPr="0076576E">
        <w:t>89.</w:t>
      </w:r>
      <w:r w:rsidRPr="0076576E">
        <w:tab/>
        <w:t xml:space="preserve">Olsen SB, Sheikh A, Peck D, Darzi A. Variant Creutzfeldt-Jakob disease: a cause for concern. Review of the evidence for risk of transmission through abdominal lymphoreticular tissue surgery. </w:t>
      </w:r>
      <w:r w:rsidRPr="0076576E">
        <w:rPr>
          <w:i/>
        </w:rPr>
        <w:t>Surgical Endoscopy</w:t>
      </w:r>
      <w:r w:rsidRPr="0076576E">
        <w:t xml:space="preserve"> 2005;19:747-50. </w:t>
      </w:r>
    </w:p>
    <w:p w14:paraId="6064B27D" w14:textId="77777777" w:rsidR="0076576E" w:rsidRPr="0076576E" w:rsidRDefault="0076576E" w:rsidP="0076576E">
      <w:pPr>
        <w:pStyle w:val="EndNoteBibliography"/>
        <w:ind w:left="720" w:hanging="720"/>
      </w:pPr>
      <w:r w:rsidRPr="0076576E">
        <w:t>90.</w:t>
      </w:r>
      <w:r w:rsidRPr="0076576E">
        <w:tab/>
        <w:t xml:space="preserve">de Marco MF, Linehan J, Gill ON, Clewley JP, Brandner S. Large-scale immunohistochemical examination for lymphoreticular prion protein in tonsil specimens collected in Britain. </w:t>
      </w:r>
      <w:r w:rsidRPr="0076576E">
        <w:rPr>
          <w:i/>
        </w:rPr>
        <w:t>Journal of Pathology</w:t>
      </w:r>
      <w:r w:rsidRPr="0076576E">
        <w:t xml:space="preserve"> 2010;222:380-7. </w:t>
      </w:r>
    </w:p>
    <w:p w14:paraId="7924BCFF" w14:textId="6CFF069C" w:rsidR="0076576E" w:rsidRPr="0076576E" w:rsidRDefault="0076576E" w:rsidP="0076576E">
      <w:pPr>
        <w:pStyle w:val="EndNoteBibliography"/>
        <w:ind w:left="720" w:hanging="720"/>
      </w:pPr>
      <w:r w:rsidRPr="0076576E">
        <w:t>91.</w:t>
      </w:r>
      <w:r w:rsidRPr="0076576E">
        <w:tab/>
        <w:t>Clewley JP, Kelly CM, Andrews N, Vogliqi K, Mallinson G, Kaisar M</w:t>
      </w:r>
      <w:r w:rsidRPr="0076576E">
        <w:rPr>
          <w:i/>
        </w:rPr>
        <w:t>, et al.</w:t>
      </w:r>
      <w:r w:rsidRPr="0076576E">
        <w:t xml:space="preserve"> Prevalence of disease related prion protein in anonymous tonsil specimens in Britain: cross sectional opportunistic survey. </w:t>
      </w:r>
      <w:r w:rsidR="00C4555B" w:rsidRPr="0076576E">
        <w:rPr>
          <w:i/>
        </w:rPr>
        <w:t>BMJ</w:t>
      </w:r>
      <w:r w:rsidR="00C4555B" w:rsidRPr="0076576E">
        <w:t xml:space="preserve"> </w:t>
      </w:r>
      <w:r w:rsidRPr="0076576E">
        <w:t xml:space="preserve">2009;338:b1442. </w:t>
      </w:r>
    </w:p>
    <w:p w14:paraId="755707CC" w14:textId="77777777" w:rsidR="0076576E" w:rsidRPr="0076576E" w:rsidRDefault="0076576E" w:rsidP="0076576E">
      <w:pPr>
        <w:pStyle w:val="EndNoteBibliography"/>
        <w:ind w:left="720" w:hanging="720"/>
      </w:pPr>
      <w:r w:rsidRPr="0076576E">
        <w:t>92.</w:t>
      </w:r>
      <w:r w:rsidRPr="0076576E">
        <w:tab/>
        <w:t xml:space="preserve">McGowan CR, Viens AM. Coroners and the obligation to protect public health: the case of the failed UK vCJD study. </w:t>
      </w:r>
      <w:r w:rsidRPr="0076576E">
        <w:rPr>
          <w:i/>
        </w:rPr>
        <w:t>Public Health</w:t>
      </w:r>
      <w:r w:rsidRPr="0076576E">
        <w:t xml:space="preserve"> 2011;125:234-7. </w:t>
      </w:r>
    </w:p>
    <w:p w14:paraId="0CCA8FCB" w14:textId="77777777" w:rsidR="0076576E" w:rsidRPr="0076576E" w:rsidRDefault="0076576E" w:rsidP="0076576E">
      <w:pPr>
        <w:pStyle w:val="EndNoteBibliography"/>
        <w:ind w:left="720" w:hanging="720"/>
      </w:pPr>
      <w:r w:rsidRPr="0076576E">
        <w:t>93.</w:t>
      </w:r>
      <w:r w:rsidRPr="0076576E">
        <w:tab/>
        <w:t xml:space="preserve">McGowan C, Viens A. Death investigation systems and disease surveillance. </w:t>
      </w:r>
      <w:r w:rsidRPr="0076576E">
        <w:rPr>
          <w:i/>
        </w:rPr>
        <w:t>Epidemiology &amp; Infection</w:t>
      </w:r>
      <w:r w:rsidRPr="0076576E">
        <w:t xml:space="preserve"> 2011;139:986-90. </w:t>
      </w:r>
    </w:p>
    <w:p w14:paraId="33BAE618" w14:textId="77777777" w:rsidR="0076576E" w:rsidRPr="0076576E" w:rsidRDefault="0076576E" w:rsidP="0076576E">
      <w:pPr>
        <w:pStyle w:val="EndNoteBibliography"/>
        <w:ind w:left="720" w:hanging="720"/>
      </w:pPr>
      <w:r w:rsidRPr="0076576E">
        <w:t>94.</w:t>
      </w:r>
      <w:r w:rsidRPr="0076576E">
        <w:tab/>
        <w:t xml:space="preserve">Terasaka S, Asaoka K, Yamaguchi S, Kobayashi H, Motegi H, Houkin K. A significant correlation between delayed cure after microvascular decompression and positive response to preoperative anticonvulsant therapy in patients with hemifacial spasm. </w:t>
      </w:r>
      <w:r w:rsidRPr="0076576E">
        <w:rPr>
          <w:i/>
        </w:rPr>
        <w:t>Neurosurgical Review</w:t>
      </w:r>
      <w:r w:rsidRPr="0076576E">
        <w:t xml:space="preserve"> 2016;39:607-13. </w:t>
      </w:r>
    </w:p>
    <w:p w14:paraId="502DE65B" w14:textId="77777777" w:rsidR="0076576E" w:rsidRPr="0076576E" w:rsidRDefault="0076576E" w:rsidP="0076576E">
      <w:pPr>
        <w:pStyle w:val="EndNoteBibliography"/>
        <w:ind w:left="720" w:hanging="720"/>
      </w:pPr>
      <w:r w:rsidRPr="0076576E">
        <w:t>95.</w:t>
      </w:r>
      <w:r w:rsidRPr="0076576E">
        <w:tab/>
        <w:t>Kobayashi A, Parchi P, Yamada M, Brown P, Saverioni D, Matsuura Y</w:t>
      </w:r>
      <w:r w:rsidRPr="0076576E">
        <w:rPr>
          <w:i/>
        </w:rPr>
        <w:t>, et al.</w:t>
      </w:r>
      <w:r w:rsidRPr="0076576E">
        <w:t xml:space="preserve"> Iatrogenic transmission of Creutzfeldt-Jakob disease. </w:t>
      </w:r>
      <w:r w:rsidRPr="0076576E">
        <w:rPr>
          <w:i/>
        </w:rPr>
        <w:t>Prion</w:t>
      </w:r>
      <w:r w:rsidRPr="0076576E">
        <w:t xml:space="preserve"> 2016;10:S5. </w:t>
      </w:r>
    </w:p>
    <w:p w14:paraId="67D89B81" w14:textId="77777777" w:rsidR="0076576E" w:rsidRPr="0076576E" w:rsidRDefault="0076576E" w:rsidP="0076576E">
      <w:pPr>
        <w:pStyle w:val="EndNoteBibliography"/>
        <w:ind w:left="720" w:hanging="720"/>
      </w:pPr>
      <w:r w:rsidRPr="0076576E">
        <w:t>96.</w:t>
      </w:r>
      <w:r w:rsidRPr="0076576E">
        <w:tab/>
        <w:t>Kobayashi A, Parchi P, Yamada M, Brown P, Saverioni D, Matsuura Y</w:t>
      </w:r>
      <w:r w:rsidRPr="0076576E">
        <w:rPr>
          <w:i/>
        </w:rPr>
        <w:t>, et al.</w:t>
      </w:r>
      <w:r w:rsidRPr="0076576E">
        <w:t xml:space="preserve"> Transmission properties of atypical Creutzfeldt-Jakob disease: a clue to disease etiology? </w:t>
      </w:r>
      <w:r w:rsidRPr="0076576E">
        <w:rPr>
          <w:i/>
        </w:rPr>
        <w:t>Journal of Virology</w:t>
      </w:r>
      <w:r w:rsidRPr="0076576E">
        <w:t xml:space="preserve"> 2015;89:3939-46. </w:t>
      </w:r>
    </w:p>
    <w:p w14:paraId="571B9DD1" w14:textId="77777777" w:rsidR="0076576E" w:rsidRPr="0076576E" w:rsidRDefault="0076576E" w:rsidP="0076576E">
      <w:pPr>
        <w:pStyle w:val="EndNoteBibliography"/>
        <w:ind w:left="720" w:hanging="720"/>
      </w:pPr>
      <w:r w:rsidRPr="0076576E">
        <w:t>97.</w:t>
      </w:r>
      <w:r w:rsidRPr="0076576E">
        <w:tab/>
        <w:t xml:space="preserve">Gnanajothy R, Umashanker D, Vega MC, Wu BJ. A case of Creutzfeldt-Jakob disease following cataract surgery: sporadic versus iatrogenic cause. </w:t>
      </w:r>
      <w:r w:rsidRPr="0076576E">
        <w:rPr>
          <w:i/>
        </w:rPr>
        <w:t>Connecticut Medicine</w:t>
      </w:r>
      <w:r w:rsidRPr="0076576E">
        <w:t xml:space="preserve"> 2013;77:335-7. </w:t>
      </w:r>
    </w:p>
    <w:p w14:paraId="4C510E1E" w14:textId="77777777" w:rsidR="0076576E" w:rsidRPr="0076576E" w:rsidRDefault="0076576E" w:rsidP="0076576E">
      <w:pPr>
        <w:pStyle w:val="EndNoteBibliography"/>
        <w:ind w:left="720" w:hanging="720"/>
      </w:pPr>
      <w:r w:rsidRPr="0076576E">
        <w:t>98.</w:t>
      </w:r>
      <w:r w:rsidRPr="0076576E">
        <w:tab/>
        <w:t xml:space="preserve">Tuck K, Mass M. Sporadic creutzfeld jakob disease in a 33 year old male with prior cerebral instrumentation. </w:t>
      </w:r>
      <w:r w:rsidRPr="0076576E">
        <w:rPr>
          <w:i/>
        </w:rPr>
        <w:t>Neurology Conference: 65th American Academy of Neurology Annual Meeting San Diego, CA United States Conference Publication:</w:t>
      </w:r>
      <w:r w:rsidRPr="0076576E">
        <w:t xml:space="preserve"> 2013;80. </w:t>
      </w:r>
    </w:p>
    <w:p w14:paraId="01CDA1D7" w14:textId="77777777" w:rsidR="0076576E" w:rsidRPr="0076576E" w:rsidRDefault="0076576E" w:rsidP="0076576E">
      <w:pPr>
        <w:pStyle w:val="EndNoteBibliography"/>
        <w:ind w:left="720" w:hanging="720"/>
      </w:pPr>
      <w:r w:rsidRPr="0076576E">
        <w:t>99.</w:t>
      </w:r>
      <w:r w:rsidRPr="0076576E">
        <w:tab/>
        <w:t>Moreno MJ, Escriche D, Romero J, Macineiras JL, Corredera E, Castro MD</w:t>
      </w:r>
      <w:r w:rsidRPr="0076576E">
        <w:rPr>
          <w:i/>
        </w:rPr>
        <w:t>, et al.</w:t>
      </w:r>
      <w:r w:rsidRPr="0076576E">
        <w:t xml:space="preserve"> Creutzfeldt-Jakob disease cluster in the health area of Meixoeiro Hospital. </w:t>
      </w:r>
      <w:r w:rsidRPr="0076576E">
        <w:rPr>
          <w:i/>
        </w:rPr>
        <w:t>Acta Neurologica Scandinavica</w:t>
      </w:r>
      <w:r w:rsidRPr="0076576E">
        <w:t xml:space="preserve"> 2013;127:38-45. </w:t>
      </w:r>
    </w:p>
    <w:p w14:paraId="6110DCA1" w14:textId="77777777" w:rsidR="0076576E" w:rsidRPr="0076576E" w:rsidRDefault="0076576E" w:rsidP="0076576E">
      <w:pPr>
        <w:pStyle w:val="EndNoteBibliography"/>
        <w:ind w:left="720" w:hanging="720"/>
      </w:pPr>
      <w:r w:rsidRPr="0076576E">
        <w:t>100.</w:t>
      </w:r>
      <w:r w:rsidRPr="0076576E">
        <w:tab/>
        <w:t xml:space="preserve">Puopolo M, Ladogana A, Vetrugno V, Pocchiari M. Transmission of sporadic Creutzfeldt-Jakob disease by blood transfusion: risk factor or possible biases. </w:t>
      </w:r>
      <w:r w:rsidRPr="0076576E">
        <w:rPr>
          <w:i/>
        </w:rPr>
        <w:t>Transfusion</w:t>
      </w:r>
      <w:r w:rsidRPr="0076576E">
        <w:t xml:space="preserve"> 2011;51:1556-66. </w:t>
      </w:r>
    </w:p>
    <w:p w14:paraId="441CF6BE" w14:textId="77777777" w:rsidR="0076576E" w:rsidRPr="0076576E" w:rsidRDefault="0076576E" w:rsidP="0076576E">
      <w:pPr>
        <w:pStyle w:val="EndNoteBibliography"/>
        <w:ind w:left="720" w:hanging="720"/>
      </w:pPr>
      <w:r w:rsidRPr="0076576E">
        <w:t>101.</w:t>
      </w:r>
      <w:r w:rsidRPr="0076576E">
        <w:tab/>
        <w:t>de Pedro-Cuesta J, Mahillo-Fernandez I, Rabano A, Calero M, Cruz M, Siden A</w:t>
      </w:r>
      <w:r w:rsidRPr="0076576E">
        <w:rPr>
          <w:i/>
        </w:rPr>
        <w:t>, et al.</w:t>
      </w:r>
      <w:r w:rsidRPr="0076576E">
        <w:t xml:space="preserve"> Nosocomial transmission of sporadic Creutzfeldt-Jakob disease: results from a risk-based assessment of surgical interventions. </w:t>
      </w:r>
      <w:r w:rsidRPr="0076576E">
        <w:rPr>
          <w:i/>
        </w:rPr>
        <w:t>Journal of Neurology, Neurosurgery &amp; Psychiatry</w:t>
      </w:r>
      <w:r w:rsidRPr="0076576E">
        <w:t xml:space="preserve"> 2011;82:204-12. </w:t>
      </w:r>
    </w:p>
    <w:p w14:paraId="399BABDF" w14:textId="77777777" w:rsidR="0076576E" w:rsidRPr="0076576E" w:rsidRDefault="0076576E" w:rsidP="0076576E">
      <w:pPr>
        <w:pStyle w:val="EndNoteBibliography"/>
        <w:ind w:left="720" w:hanging="720"/>
      </w:pPr>
      <w:r w:rsidRPr="0076576E">
        <w:t>102.</w:t>
      </w:r>
      <w:r w:rsidRPr="0076576E">
        <w:tab/>
        <w:t>Mahillo-Fernandez I, de Pedro-Cuesta J, Bleda MJ, Cruz M, Molbak K, Laursen H</w:t>
      </w:r>
      <w:r w:rsidRPr="0076576E">
        <w:rPr>
          <w:i/>
        </w:rPr>
        <w:t>, et al.</w:t>
      </w:r>
      <w:r w:rsidRPr="0076576E">
        <w:t xml:space="preserve"> Surgery and risk of sporadic Creutzfeldt-Jakob disease in Denmark and Sweden: registry-based case-control studies. </w:t>
      </w:r>
      <w:r w:rsidRPr="0076576E">
        <w:rPr>
          <w:i/>
        </w:rPr>
        <w:t>Neuroepidemiology</w:t>
      </w:r>
      <w:r w:rsidRPr="0076576E">
        <w:t xml:space="preserve"> 2008;31:229-40. </w:t>
      </w:r>
    </w:p>
    <w:p w14:paraId="7BDFD269" w14:textId="77777777" w:rsidR="0076576E" w:rsidRPr="0076576E" w:rsidRDefault="0076576E" w:rsidP="0076576E">
      <w:pPr>
        <w:pStyle w:val="EndNoteBibliography"/>
        <w:ind w:left="720" w:hanging="720"/>
      </w:pPr>
      <w:r w:rsidRPr="0076576E">
        <w:t>103.</w:t>
      </w:r>
      <w:r w:rsidRPr="0076576E">
        <w:tab/>
        <w:t>Hamaguchi T, Noguchi-Shinohara M, Nozaki I, Nakamura Y, Sato T, Kitamoto T</w:t>
      </w:r>
      <w:r w:rsidRPr="0076576E">
        <w:rPr>
          <w:i/>
        </w:rPr>
        <w:t>, et al.</w:t>
      </w:r>
      <w:r w:rsidRPr="0076576E">
        <w:t xml:space="preserve"> The risk of iatrogenic Creutzfeldt-Jakob disease through medical and surgical procedures. </w:t>
      </w:r>
      <w:r w:rsidRPr="0076576E">
        <w:rPr>
          <w:i/>
        </w:rPr>
        <w:t>Neuropathology</w:t>
      </w:r>
      <w:r w:rsidRPr="0076576E">
        <w:t xml:space="preserve"> 2009;29:625-31. </w:t>
      </w:r>
    </w:p>
    <w:p w14:paraId="66D3BA87" w14:textId="77777777" w:rsidR="0076576E" w:rsidRPr="0076576E" w:rsidRDefault="0076576E" w:rsidP="0076576E">
      <w:pPr>
        <w:pStyle w:val="EndNoteBibliography"/>
        <w:ind w:left="720" w:hanging="720"/>
      </w:pPr>
      <w:r w:rsidRPr="0076576E">
        <w:t>104.</w:t>
      </w:r>
      <w:r w:rsidRPr="0076576E">
        <w:tab/>
        <w:t>Hamaguchi T, Noguchi-Shinohara M, Nozaki I, Nakamura Y, Sato T, Kitamoto T</w:t>
      </w:r>
      <w:r w:rsidRPr="0076576E">
        <w:rPr>
          <w:i/>
        </w:rPr>
        <w:t>, et al.</w:t>
      </w:r>
      <w:r w:rsidRPr="0076576E">
        <w:t xml:space="preserve"> Medical procedures and risk for sporadic Creutzfeldt-Jakob disease, Japan, 1999-2008. </w:t>
      </w:r>
      <w:r w:rsidRPr="0076576E">
        <w:rPr>
          <w:i/>
        </w:rPr>
        <w:t>Emerging Infectious Diseases</w:t>
      </w:r>
      <w:r w:rsidRPr="0076576E">
        <w:t xml:space="preserve"> 2009;15:265-71. </w:t>
      </w:r>
    </w:p>
    <w:p w14:paraId="56460BAC" w14:textId="444477FD" w:rsidR="0076576E" w:rsidRPr="0076576E" w:rsidRDefault="0076576E" w:rsidP="0076576E">
      <w:pPr>
        <w:pStyle w:val="EndNoteBibliography"/>
        <w:ind w:left="720" w:hanging="720"/>
      </w:pPr>
      <w:r w:rsidRPr="0076576E">
        <w:t>105.</w:t>
      </w:r>
      <w:r w:rsidRPr="0076576E">
        <w:tab/>
        <w:t>Ruegger J, Stoeck K, Amsler L, Blaettler T, Zwahlen M, Aguzzi A</w:t>
      </w:r>
      <w:r w:rsidRPr="0076576E">
        <w:rPr>
          <w:i/>
        </w:rPr>
        <w:t>, et al.</w:t>
      </w:r>
      <w:r w:rsidRPr="0076576E">
        <w:t xml:space="preserve"> A case-control study of sporadic Creutzfeldt-Jakob disease in Switzerland: analysis of potential risk factors with regard to an increased CJD incidence in the years 2001-2004. </w:t>
      </w:r>
      <w:r w:rsidRPr="0076576E">
        <w:rPr>
          <w:i/>
        </w:rPr>
        <w:t>B</w:t>
      </w:r>
      <w:r w:rsidR="00921D8D">
        <w:rPr>
          <w:i/>
        </w:rPr>
        <w:t>MC</w:t>
      </w:r>
      <w:r w:rsidRPr="0076576E">
        <w:rPr>
          <w:i/>
        </w:rPr>
        <w:t xml:space="preserve"> Public Health</w:t>
      </w:r>
      <w:r w:rsidRPr="0076576E">
        <w:t xml:space="preserve"> 2009;9:18. </w:t>
      </w:r>
    </w:p>
    <w:p w14:paraId="5EB98565" w14:textId="77777777" w:rsidR="0076576E" w:rsidRPr="0076576E" w:rsidRDefault="0076576E" w:rsidP="0076576E">
      <w:pPr>
        <w:pStyle w:val="EndNoteBibliography"/>
        <w:ind w:left="720" w:hanging="720"/>
      </w:pPr>
      <w:r w:rsidRPr="0076576E">
        <w:t>106.</w:t>
      </w:r>
      <w:r w:rsidRPr="0076576E">
        <w:tab/>
        <w:t>Ward HJ, Everington D, Cousens SN, Smith-Bathgate B, Leitch M, Cooper S</w:t>
      </w:r>
      <w:r w:rsidRPr="0076576E">
        <w:rPr>
          <w:i/>
        </w:rPr>
        <w:t>, et al.</w:t>
      </w:r>
      <w:r w:rsidRPr="0076576E">
        <w:t xml:space="preserve"> Risk factors for variant Creutzfeldt-Jakob disease: a case-control study. </w:t>
      </w:r>
      <w:r w:rsidRPr="0076576E">
        <w:rPr>
          <w:i/>
        </w:rPr>
        <w:t>Annals of Neurology</w:t>
      </w:r>
      <w:r w:rsidRPr="0076576E">
        <w:t xml:space="preserve"> 2006;59:111-20. </w:t>
      </w:r>
    </w:p>
    <w:p w14:paraId="64D73520" w14:textId="77777777" w:rsidR="0076576E" w:rsidRPr="0076576E" w:rsidRDefault="0076576E" w:rsidP="0076576E">
      <w:pPr>
        <w:pStyle w:val="EndNoteBibliography"/>
        <w:ind w:left="720" w:hanging="720"/>
      </w:pPr>
      <w:r w:rsidRPr="0076576E">
        <w:t>107.</w:t>
      </w:r>
      <w:r w:rsidRPr="0076576E">
        <w:tab/>
        <w:t>Ward HJ, Everington D, Cousens SN, Smith-Bathgate B, Gillies M, Murray K</w:t>
      </w:r>
      <w:r w:rsidRPr="0076576E">
        <w:rPr>
          <w:i/>
        </w:rPr>
        <w:t>, et al.</w:t>
      </w:r>
      <w:r w:rsidRPr="0076576E">
        <w:t xml:space="preserve"> Risk factors for sporadic Creutzfeldt-Jakob disease. </w:t>
      </w:r>
      <w:r w:rsidRPr="0076576E">
        <w:rPr>
          <w:i/>
        </w:rPr>
        <w:t>Annals of Neurology</w:t>
      </w:r>
      <w:r w:rsidRPr="0076576E">
        <w:t xml:space="preserve"> 2008;63:347-54. </w:t>
      </w:r>
    </w:p>
    <w:p w14:paraId="624B0087" w14:textId="77777777" w:rsidR="0076576E" w:rsidRPr="0076576E" w:rsidRDefault="0076576E" w:rsidP="0076576E">
      <w:pPr>
        <w:pStyle w:val="EndNoteBibliography"/>
        <w:ind w:left="720" w:hanging="720"/>
      </w:pPr>
      <w:r w:rsidRPr="0076576E">
        <w:t>108.</w:t>
      </w:r>
      <w:r w:rsidRPr="0076576E">
        <w:tab/>
        <w:t>de Pedro Cuesta J, Ruiz Tovar M, Ward H, Calero M, Smith A, Verduras CA</w:t>
      </w:r>
      <w:r w:rsidRPr="0076576E">
        <w:rPr>
          <w:i/>
        </w:rPr>
        <w:t>, et al.</w:t>
      </w:r>
      <w:r w:rsidRPr="0076576E">
        <w:t xml:space="preserve"> Sensitivity to biases of case-control studies on medical procedures, particularly surgery and blood transfusion, and risk of Creutzfeldt-Jakob disease. </w:t>
      </w:r>
      <w:r w:rsidRPr="0076576E">
        <w:rPr>
          <w:i/>
        </w:rPr>
        <w:t>Neuroepidemiology</w:t>
      </w:r>
      <w:r w:rsidRPr="0076576E">
        <w:t xml:space="preserve"> 2012;39:1-18. </w:t>
      </w:r>
    </w:p>
    <w:p w14:paraId="55EFE972" w14:textId="77777777" w:rsidR="0076576E" w:rsidRPr="0076576E" w:rsidRDefault="0076576E" w:rsidP="0076576E">
      <w:pPr>
        <w:pStyle w:val="EndNoteBibliography"/>
        <w:ind w:left="720" w:hanging="720"/>
      </w:pPr>
      <w:r w:rsidRPr="0076576E">
        <w:t>109.</w:t>
      </w:r>
      <w:r w:rsidRPr="0076576E">
        <w:tab/>
        <w:t>Alcalde-Cabero E, Almazan-Isla J, Brandel J-P, Breithaupt M, Catarino J, Collins S</w:t>
      </w:r>
      <w:r w:rsidRPr="0076576E">
        <w:rPr>
          <w:i/>
        </w:rPr>
        <w:t>, et al.</w:t>
      </w:r>
      <w:r w:rsidRPr="0076576E">
        <w:t xml:space="preserve"> Health professions and risk of sporadic Creutzfeldt-Jakob disease, 1965 to 2010. </w:t>
      </w:r>
      <w:r w:rsidRPr="0076576E">
        <w:rPr>
          <w:i/>
        </w:rPr>
        <w:t>Eurosurveillance</w:t>
      </w:r>
      <w:r w:rsidRPr="0076576E">
        <w:t xml:space="preserve"> 2012;17. </w:t>
      </w:r>
    </w:p>
    <w:p w14:paraId="2ABE7ED3" w14:textId="77777777" w:rsidR="0076576E" w:rsidRPr="0076576E" w:rsidRDefault="0076576E" w:rsidP="0076576E">
      <w:pPr>
        <w:pStyle w:val="EndNoteBibliography"/>
        <w:ind w:left="720" w:hanging="720"/>
      </w:pPr>
      <w:r w:rsidRPr="0076576E">
        <w:t>110.</w:t>
      </w:r>
      <w:r w:rsidRPr="0076576E">
        <w:tab/>
        <w:t>de Pedro-Cuesta J, Mahillo-Fernandez I, Calero M, Rabano A, Cruz M, Siden A</w:t>
      </w:r>
      <w:r w:rsidRPr="0076576E">
        <w:rPr>
          <w:i/>
        </w:rPr>
        <w:t>, et al.</w:t>
      </w:r>
      <w:r w:rsidRPr="0076576E">
        <w:t xml:space="preserve"> Towards an age-dependent transmission model of acquired and sporadic Creutzfeldt-Jakob disease. </w:t>
      </w:r>
      <w:r w:rsidRPr="0076576E">
        <w:rPr>
          <w:i/>
        </w:rPr>
        <w:t>PLoS ONE [Electronic Resource]</w:t>
      </w:r>
      <w:r w:rsidRPr="0076576E">
        <w:t xml:space="preserve"> 2014;9:e109412. </w:t>
      </w:r>
    </w:p>
    <w:p w14:paraId="1262BC49" w14:textId="77777777" w:rsidR="0076576E" w:rsidRPr="0076576E" w:rsidRDefault="0076576E" w:rsidP="0076576E">
      <w:pPr>
        <w:pStyle w:val="EndNoteBibliography"/>
        <w:ind w:left="720" w:hanging="720"/>
      </w:pPr>
      <w:r w:rsidRPr="0076576E">
        <w:t>111.</w:t>
      </w:r>
      <w:r w:rsidRPr="0076576E">
        <w:tab/>
        <w:t>Cruz M, Mahillo-Fernandez I, Rabano A, Siden A, Calero M, Laursen H</w:t>
      </w:r>
      <w:r w:rsidRPr="0076576E">
        <w:rPr>
          <w:i/>
        </w:rPr>
        <w:t>, et al.</w:t>
      </w:r>
      <w:r w:rsidRPr="0076576E">
        <w:t xml:space="preserve"> Late-in-life surgery associated with Creutzfeldt-Jakob disease: a methodological outline for evidence-based guidance. </w:t>
      </w:r>
      <w:r w:rsidRPr="0076576E">
        <w:rPr>
          <w:i/>
        </w:rPr>
        <w:t>Emerging Themes in Epidemiology</w:t>
      </w:r>
      <w:r w:rsidRPr="0076576E">
        <w:t xml:space="preserve"> 2013;10:5. </w:t>
      </w:r>
    </w:p>
    <w:p w14:paraId="0D91D835" w14:textId="77777777" w:rsidR="0076576E" w:rsidRPr="0076576E" w:rsidRDefault="0076576E" w:rsidP="0076576E">
      <w:pPr>
        <w:pStyle w:val="EndNoteBibliography"/>
        <w:ind w:left="720" w:hanging="720"/>
      </w:pPr>
      <w:r w:rsidRPr="0076576E">
        <w:t>112.</w:t>
      </w:r>
      <w:r w:rsidRPr="0076576E">
        <w:tab/>
        <w:t xml:space="preserve">Kobayashi A. Mechanisms of transmission of prion diseases. </w:t>
      </w:r>
      <w:r w:rsidRPr="0076576E">
        <w:rPr>
          <w:i/>
        </w:rPr>
        <w:t>Clinical Neurology</w:t>
      </w:r>
      <w:r w:rsidRPr="0076576E">
        <w:t xml:space="preserve"> 2016;56:S84. </w:t>
      </w:r>
    </w:p>
    <w:p w14:paraId="178907BD" w14:textId="77777777" w:rsidR="0076576E" w:rsidRPr="0076576E" w:rsidRDefault="0076576E" w:rsidP="0076576E">
      <w:pPr>
        <w:pStyle w:val="EndNoteBibliography"/>
        <w:ind w:left="720" w:hanging="720"/>
      </w:pPr>
      <w:r w:rsidRPr="0076576E">
        <w:t>113.</w:t>
      </w:r>
      <w:r w:rsidRPr="0076576E">
        <w:tab/>
        <w:t>Bryant G, Hewitt P, Hope J, Howard C, Ironside J, Knight R</w:t>
      </w:r>
      <w:r w:rsidRPr="0076576E">
        <w:rPr>
          <w:i/>
        </w:rPr>
        <w:t>, et al.</w:t>
      </w:r>
      <w:r w:rsidRPr="0076576E">
        <w:t xml:space="preserve"> Minimise transmission risk of CJD and vCJD in healthcare settings. Report on the Prevention of CJD and vCJD by Advisory Committee on Dangerous Pathogens' Transmission Spongiform Encephalopathy (ACDP TSE) Subgroup. 2015. </w:t>
      </w:r>
    </w:p>
    <w:p w14:paraId="7B53F3B2" w14:textId="77777777" w:rsidR="0076576E" w:rsidRPr="0076576E" w:rsidRDefault="0076576E" w:rsidP="0076576E">
      <w:pPr>
        <w:pStyle w:val="EndNoteBibliography"/>
        <w:ind w:left="720" w:hanging="720"/>
      </w:pPr>
      <w:r w:rsidRPr="0076576E">
        <w:t>114.</w:t>
      </w:r>
      <w:r w:rsidRPr="0076576E">
        <w:tab/>
        <w:t xml:space="preserve">Hall V, Brookes D, Nacul L, Gill ON, Connor N, Panel CJDI. Managing the risk of iatrogenic transmission of Creutzfeldt-Jakob disease in the UK. </w:t>
      </w:r>
      <w:r w:rsidRPr="0076576E">
        <w:rPr>
          <w:i/>
        </w:rPr>
        <w:t>Journal of Hospital Infection</w:t>
      </w:r>
      <w:r w:rsidRPr="0076576E">
        <w:t xml:space="preserve"> 2014;88:22-7. </w:t>
      </w:r>
    </w:p>
    <w:p w14:paraId="0DC7CE65" w14:textId="1FBB1E87" w:rsidR="0076576E" w:rsidRPr="0076576E" w:rsidRDefault="0076576E" w:rsidP="0076576E">
      <w:pPr>
        <w:pStyle w:val="EndNoteBibliography"/>
        <w:ind w:left="720" w:hanging="720"/>
      </w:pPr>
      <w:r w:rsidRPr="0076576E">
        <w:t>115.</w:t>
      </w:r>
      <w:r w:rsidRPr="0076576E">
        <w:tab/>
        <w:t xml:space="preserve">Belay ED, Blase J, Sehulster LM, Maddox RA, Schonberger LB. Management of neurosurgical instruments and patients exposed to Creutzfeldt-Jakob disease. </w:t>
      </w:r>
      <w:r w:rsidR="00921D8D">
        <w:rPr>
          <w:i/>
        </w:rPr>
        <w:t>Infection Control &amp; Hospital E</w:t>
      </w:r>
      <w:r w:rsidRPr="0076576E">
        <w:rPr>
          <w:i/>
        </w:rPr>
        <w:t>pidemiology</w:t>
      </w:r>
      <w:r w:rsidRPr="0076576E">
        <w:t xml:space="preserve"> 2013;34:1272-80. </w:t>
      </w:r>
    </w:p>
    <w:p w14:paraId="20067053" w14:textId="77777777" w:rsidR="0076576E" w:rsidRPr="0076576E" w:rsidRDefault="0076576E" w:rsidP="0076576E">
      <w:pPr>
        <w:pStyle w:val="EndNoteBibliography"/>
        <w:ind w:left="720" w:hanging="720"/>
      </w:pPr>
      <w:r w:rsidRPr="0076576E">
        <w:t>116.</w:t>
      </w:r>
      <w:r w:rsidRPr="0076576E">
        <w:tab/>
        <w:t xml:space="preserve">Thomas JG, Chenoweth CE, Sullivan SE. Iatrogenic Creutzfeldt-Jakob disease via surgical instruments. </w:t>
      </w:r>
      <w:r w:rsidRPr="0076576E">
        <w:rPr>
          <w:i/>
        </w:rPr>
        <w:t>Journal of Clinical Neuroscience</w:t>
      </w:r>
      <w:r w:rsidRPr="0076576E">
        <w:t xml:space="preserve"> 2013;20:1207-12. </w:t>
      </w:r>
    </w:p>
    <w:p w14:paraId="28E5433C" w14:textId="77777777" w:rsidR="0076576E" w:rsidRPr="0076576E" w:rsidRDefault="0076576E" w:rsidP="0076576E">
      <w:pPr>
        <w:pStyle w:val="EndNoteBibliography"/>
        <w:ind w:left="720" w:hanging="720"/>
      </w:pPr>
      <w:r w:rsidRPr="0076576E">
        <w:t>117.</w:t>
      </w:r>
      <w:r w:rsidRPr="0076576E">
        <w:tab/>
        <w:t>Orrú CD, Yuan J, Appleby BS, Li B, Li Y, Winner D</w:t>
      </w:r>
      <w:r w:rsidRPr="0076576E">
        <w:rPr>
          <w:i/>
        </w:rPr>
        <w:t>, et al.</w:t>
      </w:r>
      <w:r w:rsidRPr="0076576E">
        <w:t xml:space="preserve"> Prion seeding activity and infectivity in skin samples from patients with sporadic Creutzfeldt-Jakob disease. </w:t>
      </w:r>
      <w:r w:rsidRPr="0076576E">
        <w:rPr>
          <w:i/>
        </w:rPr>
        <w:t>Science Translational Medicine</w:t>
      </w:r>
      <w:r w:rsidRPr="0076576E">
        <w:t xml:space="preserve"> 2017;9. </w:t>
      </w:r>
    </w:p>
    <w:p w14:paraId="0604AD17" w14:textId="77777777" w:rsidR="0076576E" w:rsidRPr="0076576E" w:rsidRDefault="0076576E" w:rsidP="0076576E">
      <w:pPr>
        <w:pStyle w:val="EndNoteBibliography"/>
        <w:ind w:left="720" w:hanging="720"/>
      </w:pPr>
      <w:r w:rsidRPr="0076576E">
        <w:t>118.</w:t>
      </w:r>
      <w:r w:rsidRPr="0076576E">
        <w:tab/>
        <w:t>Zou W, Orru CD, Yuan J, Appleby BS, Li Y, Rarick J</w:t>
      </w:r>
      <w:r w:rsidRPr="0076576E">
        <w:rPr>
          <w:i/>
        </w:rPr>
        <w:t>, et al.</w:t>
      </w:r>
      <w:r w:rsidRPr="0076576E">
        <w:t xml:space="preserve"> PrP&lt;sup&gt;Sc&lt;/sup&gt; in the skin of CJD patients. </w:t>
      </w:r>
      <w:r w:rsidRPr="0076576E">
        <w:rPr>
          <w:i/>
        </w:rPr>
        <w:t>Prion</w:t>
      </w:r>
      <w:r w:rsidRPr="0076576E">
        <w:t xml:space="preserve"> 2016;10:S29. </w:t>
      </w:r>
    </w:p>
    <w:p w14:paraId="38E035D3" w14:textId="77777777" w:rsidR="0076576E" w:rsidRPr="0076576E" w:rsidRDefault="0076576E" w:rsidP="0076576E">
      <w:pPr>
        <w:pStyle w:val="EndNoteBibliography"/>
        <w:ind w:left="720" w:hanging="720"/>
      </w:pPr>
      <w:r w:rsidRPr="0076576E">
        <w:t>119.</w:t>
      </w:r>
      <w:r w:rsidRPr="0076576E">
        <w:tab/>
        <w:t>Notari S, Moleres FJ, Hunter SB, Belay ED, Schonberger LB, Cali I</w:t>
      </w:r>
      <w:r w:rsidRPr="0076576E">
        <w:rPr>
          <w:i/>
        </w:rPr>
        <w:t>, et al.</w:t>
      </w:r>
      <w:r w:rsidRPr="0076576E">
        <w:t xml:space="preserve"> Multiorgan detection and characterization of protease-resistant prion protein in a case of variant CJD examined in the United States. </w:t>
      </w:r>
      <w:r w:rsidRPr="0076576E">
        <w:rPr>
          <w:i/>
        </w:rPr>
        <w:t>PLoS ONE [Electronic Resource]</w:t>
      </w:r>
      <w:r w:rsidRPr="0076576E">
        <w:t xml:space="preserve"> 2010;5:e8765. </w:t>
      </w:r>
    </w:p>
    <w:p w14:paraId="029FF6CB" w14:textId="77777777" w:rsidR="0076576E" w:rsidRPr="0076576E" w:rsidRDefault="0076576E" w:rsidP="0076576E">
      <w:pPr>
        <w:pStyle w:val="EndNoteBibliography"/>
        <w:ind w:left="720" w:hanging="720"/>
      </w:pPr>
      <w:r w:rsidRPr="0076576E">
        <w:t>120.</w:t>
      </w:r>
      <w:r w:rsidRPr="0076576E">
        <w:tab/>
        <w:t>Davanipour Z, Sobel E, Ziogas A, Smoak C, Bohr T, Doram K</w:t>
      </w:r>
      <w:r w:rsidRPr="0076576E">
        <w:rPr>
          <w:i/>
        </w:rPr>
        <w:t>, et al.</w:t>
      </w:r>
      <w:r w:rsidRPr="0076576E">
        <w:t xml:space="preserve"> Ocular Tonometry and Sporadic Creutzfeldt - Jakob Disease (sCJD): A Confirmatory Case-Control Study. </w:t>
      </w:r>
      <w:r w:rsidRPr="0076576E">
        <w:rPr>
          <w:i/>
        </w:rPr>
        <w:t>British Journal of Medicine &amp; Medical Research</w:t>
      </w:r>
      <w:r w:rsidRPr="0076576E">
        <w:t xml:space="preserve"> 2014;4:2322-33. </w:t>
      </w:r>
    </w:p>
    <w:p w14:paraId="6195AD82" w14:textId="77777777" w:rsidR="0076576E" w:rsidRPr="0076576E" w:rsidRDefault="0076576E" w:rsidP="0076576E">
      <w:pPr>
        <w:pStyle w:val="EndNoteBibliography"/>
        <w:ind w:left="720" w:hanging="720"/>
      </w:pPr>
      <w:r w:rsidRPr="0076576E">
        <w:t>121.</w:t>
      </w:r>
      <w:r w:rsidRPr="0076576E">
        <w:tab/>
        <w:t>Tullo AB, Buckley RJ, Kelly T, Head MW, Bennett P, Armitage WJ</w:t>
      </w:r>
      <w:r w:rsidRPr="0076576E">
        <w:rPr>
          <w:i/>
        </w:rPr>
        <w:t>, et al.</w:t>
      </w:r>
      <w:r w:rsidRPr="0076576E">
        <w:t xml:space="preserve"> Transplantation of ocular tissue from a donor with sporadic Creutzfeldt-Jakob disease. </w:t>
      </w:r>
      <w:r w:rsidRPr="0076576E">
        <w:rPr>
          <w:i/>
        </w:rPr>
        <w:t>Clinical &amp; Experimental Ophthalmology</w:t>
      </w:r>
      <w:r w:rsidRPr="0076576E">
        <w:t xml:space="preserve"> 2006;34:645-9. </w:t>
      </w:r>
    </w:p>
    <w:p w14:paraId="4CE649CC" w14:textId="77777777" w:rsidR="0076576E" w:rsidRPr="0076576E" w:rsidRDefault="0076576E" w:rsidP="0076576E">
      <w:pPr>
        <w:pStyle w:val="EndNoteBibliography"/>
        <w:ind w:left="720" w:hanging="720"/>
      </w:pPr>
      <w:r w:rsidRPr="0076576E">
        <w:t>122.</w:t>
      </w:r>
      <w:r w:rsidRPr="0076576E">
        <w:tab/>
        <w:t>Jirsova K, Krabcova I, Novakova J, Hnathova I, Koukolik F, Kubesova B</w:t>
      </w:r>
      <w:r w:rsidRPr="0076576E">
        <w:rPr>
          <w:i/>
        </w:rPr>
        <w:t>, et al.</w:t>
      </w:r>
      <w:r w:rsidRPr="0076576E">
        <w:t xml:space="preserve"> The assessment of pathogenic prions in the brains of eye tissue donors: 2-years experience in the Czech Republic. </w:t>
      </w:r>
      <w:r w:rsidRPr="0076576E">
        <w:rPr>
          <w:i/>
        </w:rPr>
        <w:t>Cornea</w:t>
      </w:r>
      <w:r w:rsidRPr="0076576E">
        <w:t xml:space="preserve"> 2010;29:996-9. </w:t>
      </w:r>
    </w:p>
    <w:p w14:paraId="46C43500" w14:textId="77777777" w:rsidR="0076576E" w:rsidRPr="0076576E" w:rsidRDefault="0076576E" w:rsidP="0076576E">
      <w:pPr>
        <w:pStyle w:val="EndNoteBibliography"/>
        <w:ind w:left="720" w:hanging="720"/>
      </w:pPr>
      <w:r w:rsidRPr="0076576E">
        <w:t>123.</w:t>
      </w:r>
      <w:r w:rsidRPr="0076576E">
        <w:tab/>
        <w:t>Maddox RA, Belay ED, Curns AT, Zou WQ, Nowicki S, Lembach RG</w:t>
      </w:r>
      <w:r w:rsidRPr="0076576E">
        <w:rPr>
          <w:i/>
        </w:rPr>
        <w:t>, et al.</w:t>
      </w:r>
      <w:r w:rsidRPr="0076576E">
        <w:t xml:space="preserve"> Creutzfeldt-Jakob disease in recipients of corneal transplants. </w:t>
      </w:r>
      <w:r w:rsidRPr="0076576E">
        <w:rPr>
          <w:i/>
        </w:rPr>
        <w:t>Cornea</w:t>
      </w:r>
      <w:r w:rsidRPr="0076576E">
        <w:t xml:space="preserve"> 2008;27:851-4. </w:t>
      </w:r>
    </w:p>
    <w:p w14:paraId="23E8E642" w14:textId="77777777" w:rsidR="0076576E" w:rsidRPr="0076576E" w:rsidRDefault="0076576E" w:rsidP="0076576E">
      <w:pPr>
        <w:pStyle w:val="EndNoteBibliography"/>
        <w:ind w:left="720" w:hanging="720"/>
      </w:pPr>
      <w:r w:rsidRPr="0076576E">
        <w:t>124.</w:t>
      </w:r>
      <w:r w:rsidRPr="0076576E">
        <w:tab/>
        <w:t xml:space="preserve">Bourvis N, Boelle PY, Cesbron JY, Valleron AJ. Risk assessment of transmission of sporadic Creutzfeldt-Jakob disease in endodontic practice in absence of adequate prion inactivation. </w:t>
      </w:r>
      <w:r w:rsidRPr="0076576E">
        <w:rPr>
          <w:i/>
        </w:rPr>
        <w:t>PLoS ONE [Electronic Resource]</w:t>
      </w:r>
      <w:r w:rsidRPr="0076576E">
        <w:t xml:space="preserve"> 2007;2:e1330. </w:t>
      </w:r>
    </w:p>
    <w:p w14:paraId="6472A5B8" w14:textId="77777777" w:rsidR="0076576E" w:rsidRPr="0076576E" w:rsidRDefault="0076576E" w:rsidP="0076576E">
      <w:pPr>
        <w:pStyle w:val="EndNoteBibliography"/>
        <w:ind w:left="720" w:hanging="720"/>
      </w:pPr>
      <w:r w:rsidRPr="0076576E">
        <w:t>125.</w:t>
      </w:r>
      <w:r w:rsidRPr="0076576E">
        <w:tab/>
        <w:t xml:space="preserve">Everington D, Smith AJ, Ward HJ, Letters S, Will RG, Bagg J. Dental treatment and risk of variant CJD--a case control study. </w:t>
      </w:r>
      <w:r w:rsidRPr="0076576E">
        <w:rPr>
          <w:i/>
        </w:rPr>
        <w:t>British Dental Journal</w:t>
      </w:r>
      <w:r w:rsidRPr="0076576E">
        <w:t xml:space="preserve"> 2007;202:E19; discussion 470-1. </w:t>
      </w:r>
    </w:p>
    <w:p w14:paraId="1AC05A0D" w14:textId="77777777" w:rsidR="0076576E" w:rsidRPr="0076576E" w:rsidRDefault="0076576E" w:rsidP="0076576E">
      <w:pPr>
        <w:pStyle w:val="EndNoteBibliography"/>
        <w:ind w:left="720" w:hanging="720"/>
      </w:pPr>
      <w:r w:rsidRPr="0076576E">
        <w:t>126.</w:t>
      </w:r>
      <w:r w:rsidRPr="0076576E">
        <w:tab/>
        <w:t xml:space="preserve">Azarpazhooh A, Fillery ED. Prion disease: the implications for dentistry. </w:t>
      </w:r>
      <w:r w:rsidRPr="0076576E">
        <w:rPr>
          <w:i/>
        </w:rPr>
        <w:t>Journal of Endodontics</w:t>
      </w:r>
      <w:r w:rsidRPr="0076576E">
        <w:t xml:space="preserve"> 2008;34:1158-66. </w:t>
      </w:r>
    </w:p>
    <w:p w14:paraId="6178C79E" w14:textId="77777777" w:rsidR="0076576E" w:rsidRPr="0076576E" w:rsidRDefault="0076576E" w:rsidP="0076576E">
      <w:pPr>
        <w:pStyle w:val="EndNoteBibliography"/>
        <w:ind w:left="720" w:hanging="720"/>
      </w:pPr>
      <w:r w:rsidRPr="0076576E">
        <w:t>127.</w:t>
      </w:r>
      <w:r w:rsidRPr="0076576E">
        <w:tab/>
        <w:t>Collinge J, Whitfield J, McKintosh E, Frosh A, Mead S, Hill AF</w:t>
      </w:r>
      <w:r w:rsidRPr="0076576E">
        <w:rPr>
          <w:i/>
        </w:rPr>
        <w:t>, et al.</w:t>
      </w:r>
      <w:r w:rsidRPr="0076576E">
        <w:t xml:space="preserve"> A clinical study of kuru patients with long incubation periods at the end of the epidemic in Papua New Guinea. </w:t>
      </w:r>
      <w:r w:rsidRPr="0076576E">
        <w:rPr>
          <w:i/>
        </w:rPr>
        <w:t>Philosophical Transactions of the Royal Society of London - Series B: Biological Sciences</w:t>
      </w:r>
      <w:r w:rsidRPr="0076576E">
        <w:t xml:space="preserve"> 2008;363:3725-39. </w:t>
      </w:r>
    </w:p>
    <w:p w14:paraId="222AD53C" w14:textId="77777777" w:rsidR="0076576E" w:rsidRPr="0076576E" w:rsidRDefault="0076576E" w:rsidP="0076576E">
      <w:pPr>
        <w:pStyle w:val="EndNoteBibliography"/>
        <w:ind w:left="720" w:hanging="720"/>
      </w:pPr>
      <w:r w:rsidRPr="0076576E">
        <w:t>128.</w:t>
      </w:r>
      <w:r w:rsidRPr="0076576E">
        <w:tab/>
        <w:t xml:space="preserve">Collinge J. Review. Lessons of kuru research: background to recent studies with some personal reflections. </w:t>
      </w:r>
      <w:r w:rsidRPr="0076576E">
        <w:rPr>
          <w:i/>
        </w:rPr>
        <w:t>Philosophical Transactions of the Royal Society of London - Series B: Biological Sciences</w:t>
      </w:r>
      <w:r w:rsidRPr="0076576E">
        <w:t xml:space="preserve"> 2008;363:3689-96. </w:t>
      </w:r>
    </w:p>
    <w:p w14:paraId="02599996" w14:textId="77777777" w:rsidR="0076576E" w:rsidRPr="0076576E" w:rsidRDefault="0076576E" w:rsidP="0076576E">
      <w:pPr>
        <w:pStyle w:val="EndNoteBibliography"/>
        <w:ind w:left="720" w:hanging="720"/>
      </w:pPr>
      <w:r w:rsidRPr="0076576E">
        <w:t>129.</w:t>
      </w:r>
      <w:r w:rsidRPr="0076576E">
        <w:tab/>
        <w:t>Collinge J, Whitfield J, McKintosh E, Beck J, Mead S, Thomas DJ</w:t>
      </w:r>
      <w:r w:rsidRPr="0076576E">
        <w:rPr>
          <w:i/>
        </w:rPr>
        <w:t>, et al.</w:t>
      </w:r>
      <w:r w:rsidRPr="0076576E">
        <w:t xml:space="preserve"> Kuru in the 21st century--an acquired human prion disease with very long incubation periods. </w:t>
      </w:r>
      <w:r w:rsidRPr="0076576E">
        <w:rPr>
          <w:i/>
        </w:rPr>
        <w:t>Lancet</w:t>
      </w:r>
      <w:r w:rsidRPr="0076576E">
        <w:t xml:space="preserve"> 2006;367:2068-74. </w:t>
      </w:r>
    </w:p>
    <w:p w14:paraId="528891B4" w14:textId="77777777" w:rsidR="0076576E" w:rsidRPr="0076576E" w:rsidRDefault="0076576E" w:rsidP="0076576E">
      <w:pPr>
        <w:pStyle w:val="EndNoteBibliography"/>
        <w:ind w:left="720" w:hanging="720"/>
      </w:pPr>
      <w:r w:rsidRPr="0076576E">
        <w:t>130.</w:t>
      </w:r>
      <w:r w:rsidRPr="0076576E">
        <w:tab/>
        <w:t xml:space="preserve">Collinge J, Alpers MP. Incubation period of human prion disease - Author's reply. </w:t>
      </w:r>
      <w:r w:rsidRPr="0076576E">
        <w:rPr>
          <w:i/>
        </w:rPr>
        <w:t>Lancet</w:t>
      </w:r>
      <w:r w:rsidRPr="0076576E">
        <w:t xml:space="preserve"> 2006;368:914-5. </w:t>
      </w:r>
    </w:p>
    <w:p w14:paraId="2FF296F2" w14:textId="77777777" w:rsidR="0076576E" w:rsidRPr="0076576E" w:rsidRDefault="0076576E" w:rsidP="0076576E">
      <w:pPr>
        <w:pStyle w:val="EndNoteBibliography"/>
        <w:ind w:left="720" w:hanging="720"/>
      </w:pPr>
      <w:r w:rsidRPr="0076576E">
        <w:t>131.</w:t>
      </w:r>
      <w:r w:rsidRPr="0076576E">
        <w:tab/>
        <w:t xml:space="preserve">Haik S, Brandel JP. Infectious prion diseases in humans: cannibalism, iatrogenicity and zoonoses. </w:t>
      </w:r>
      <w:r w:rsidRPr="0076576E">
        <w:rPr>
          <w:i/>
        </w:rPr>
        <w:t>Infection, Genetics &amp; Evolution</w:t>
      </w:r>
      <w:r w:rsidRPr="0076576E">
        <w:t xml:space="preserve"> 2014;26:303-12. </w:t>
      </w:r>
    </w:p>
    <w:p w14:paraId="5A64B762" w14:textId="77777777" w:rsidR="0076576E" w:rsidRPr="0076576E" w:rsidRDefault="0076576E" w:rsidP="0076576E">
      <w:pPr>
        <w:pStyle w:val="EndNoteBibliography"/>
        <w:ind w:left="720" w:hanging="720"/>
      </w:pPr>
      <w:r w:rsidRPr="0076576E">
        <w:t>132.</w:t>
      </w:r>
      <w:r w:rsidRPr="0076576E">
        <w:tab/>
        <w:t xml:space="preserve">Hamaguchi T. Clinical manifestations and epidemiology of prion diseases in Japan. </w:t>
      </w:r>
      <w:r w:rsidRPr="0076576E">
        <w:rPr>
          <w:i/>
        </w:rPr>
        <w:t>Rinsho Shinkeigaku - Clinical Neurology</w:t>
      </w:r>
      <w:r w:rsidRPr="0076576E">
        <w:t xml:space="preserve"> 2013;23:1246-8. </w:t>
      </w:r>
    </w:p>
    <w:p w14:paraId="1A91A07A" w14:textId="77777777" w:rsidR="0076576E" w:rsidRPr="0076576E" w:rsidRDefault="0076576E" w:rsidP="0076576E">
      <w:pPr>
        <w:pStyle w:val="EndNoteBibliography"/>
        <w:ind w:left="720" w:hanging="720"/>
      </w:pPr>
      <w:r w:rsidRPr="0076576E">
        <w:t>133.</w:t>
      </w:r>
      <w:r w:rsidRPr="0076576E">
        <w:tab/>
        <w:t>Heath CA, Barker RA, Esmonde TF, Harvey P, Roberts R, Trend P</w:t>
      </w:r>
      <w:r w:rsidRPr="0076576E">
        <w:rPr>
          <w:i/>
        </w:rPr>
        <w:t>, et al.</w:t>
      </w:r>
      <w:r w:rsidRPr="0076576E">
        <w:t xml:space="preserve"> Dura mater-associated Creutzfeldt-Jakob disease: experience from surveillance in the UK. </w:t>
      </w:r>
      <w:r w:rsidRPr="0076576E">
        <w:rPr>
          <w:i/>
        </w:rPr>
        <w:t>Journal of Neurology, Neurosurgery &amp; Psychiatry</w:t>
      </w:r>
      <w:r w:rsidRPr="0076576E">
        <w:t xml:space="preserve"> 2006;77:880-2. </w:t>
      </w:r>
    </w:p>
    <w:p w14:paraId="4F8C829D" w14:textId="77777777" w:rsidR="0076576E" w:rsidRPr="0076576E" w:rsidRDefault="0076576E" w:rsidP="0076576E">
      <w:pPr>
        <w:pStyle w:val="EndNoteBibliography"/>
        <w:ind w:left="720" w:hanging="720"/>
      </w:pPr>
      <w:r w:rsidRPr="0076576E">
        <w:t>134.</w:t>
      </w:r>
      <w:r w:rsidRPr="0076576E">
        <w:tab/>
        <w:t xml:space="preserve">Hirst C. Iatrogenic Creutzfeldt-Jakob disease presenting 24 years after human growth hormone administration. </w:t>
      </w:r>
      <w:r w:rsidRPr="0076576E">
        <w:rPr>
          <w:i/>
        </w:rPr>
        <w:t>British Journal of Hospital Medicine</w:t>
      </w:r>
      <w:r w:rsidRPr="0076576E">
        <w:t xml:space="preserve"> 2005;66:592-3. </w:t>
      </w:r>
    </w:p>
    <w:p w14:paraId="42493D5F" w14:textId="77777777" w:rsidR="0076576E" w:rsidRPr="0076576E" w:rsidRDefault="0076576E" w:rsidP="0076576E">
      <w:pPr>
        <w:pStyle w:val="EndNoteBibliography"/>
        <w:ind w:left="720" w:hanging="720"/>
      </w:pPr>
      <w:r w:rsidRPr="0076576E">
        <w:t>135.</w:t>
      </w:r>
      <w:r w:rsidRPr="0076576E">
        <w:tab/>
        <w:t>Meissner B, Kallenberg K, Sanchez-Juan P, Ramljak S, Krasnianski A, Heinemann U</w:t>
      </w:r>
      <w:r w:rsidRPr="0076576E">
        <w:rPr>
          <w:i/>
        </w:rPr>
        <w:t>, et al.</w:t>
      </w:r>
      <w:r w:rsidRPr="0076576E">
        <w:t xml:space="preserve"> MRI and clinical syndrome in dura mater-related Creutzfeldt-Jakob disease. </w:t>
      </w:r>
      <w:r w:rsidRPr="0076576E">
        <w:rPr>
          <w:i/>
        </w:rPr>
        <w:t>Journal of Neurology</w:t>
      </w:r>
      <w:r w:rsidRPr="0076576E">
        <w:t xml:space="preserve"> 2009;256:355-63. </w:t>
      </w:r>
    </w:p>
    <w:p w14:paraId="106BD888" w14:textId="77777777" w:rsidR="0076576E" w:rsidRPr="0076576E" w:rsidRDefault="0076576E" w:rsidP="0076576E">
      <w:pPr>
        <w:pStyle w:val="EndNoteBibliography"/>
        <w:ind w:left="720" w:hanging="720"/>
      </w:pPr>
      <w:r w:rsidRPr="0076576E">
        <w:t>136.</w:t>
      </w:r>
      <w:r w:rsidRPr="0076576E">
        <w:tab/>
        <w:t>Ritchie DL, Barria MA, Peden AH, Yull HM, Kirkpatrick J, Adlard P</w:t>
      </w:r>
      <w:r w:rsidRPr="0076576E">
        <w:rPr>
          <w:i/>
        </w:rPr>
        <w:t>, et al.</w:t>
      </w:r>
      <w:r w:rsidRPr="0076576E">
        <w:t xml:space="preserve"> UK Iatrogenic Creutzfeldt–Jakob disease: investigating human prion transmission across genotypic barriers using human tissue-based and molecular approaches. </w:t>
      </w:r>
      <w:r w:rsidRPr="0076576E">
        <w:rPr>
          <w:i/>
        </w:rPr>
        <w:t>Acta Neuropathologica</w:t>
      </w:r>
      <w:r w:rsidRPr="0076576E">
        <w:t xml:space="preserve"> 2017;133:579-95. </w:t>
      </w:r>
    </w:p>
    <w:p w14:paraId="2A79CB47" w14:textId="77777777" w:rsidR="0076576E" w:rsidRPr="0076576E" w:rsidRDefault="0076576E" w:rsidP="0076576E">
      <w:pPr>
        <w:pStyle w:val="EndNoteBibliography"/>
        <w:ind w:left="720" w:hanging="720"/>
      </w:pPr>
      <w:r w:rsidRPr="0076576E">
        <w:t>137.</w:t>
      </w:r>
      <w:r w:rsidRPr="0076576E">
        <w:tab/>
        <w:t xml:space="preserve">Wroe SJ. Clinical presentation and pre-mortem diagnosis of variant Creutzfeldt–Jakob disease associated with blood transfusion: a case report. </w:t>
      </w:r>
      <w:r w:rsidRPr="0076576E">
        <w:rPr>
          <w:i/>
        </w:rPr>
        <w:t>Lancet</w:t>
      </w:r>
      <w:r w:rsidRPr="0076576E">
        <w:t xml:space="preserve"> 2006;368:2061-7. </w:t>
      </w:r>
    </w:p>
    <w:p w14:paraId="26E9397A" w14:textId="77777777" w:rsidR="0076576E" w:rsidRPr="0076576E" w:rsidRDefault="0076576E" w:rsidP="0076576E">
      <w:pPr>
        <w:pStyle w:val="EndNoteBibliography"/>
        <w:ind w:left="720" w:hanging="720"/>
      </w:pPr>
      <w:r w:rsidRPr="0076576E">
        <w:t>138.</w:t>
      </w:r>
      <w:r w:rsidRPr="0076576E">
        <w:tab/>
        <w:t xml:space="preserve">Ironside JW. Variant Creutzfeldt-Jakob disease. </w:t>
      </w:r>
      <w:r w:rsidRPr="0076576E">
        <w:rPr>
          <w:i/>
        </w:rPr>
        <w:t>Haemophilia</w:t>
      </w:r>
      <w:r w:rsidRPr="0076576E">
        <w:t xml:space="preserve"> 2010;16 Suppl 5:175-80. </w:t>
      </w:r>
    </w:p>
    <w:p w14:paraId="735AB32D" w14:textId="77777777" w:rsidR="0076576E" w:rsidRPr="0076576E" w:rsidRDefault="0076576E" w:rsidP="0076576E">
      <w:pPr>
        <w:pStyle w:val="EndNoteBibliography"/>
        <w:ind w:left="720" w:hanging="720"/>
      </w:pPr>
      <w:r w:rsidRPr="0076576E">
        <w:t>139.</w:t>
      </w:r>
      <w:r w:rsidRPr="0076576E">
        <w:tab/>
        <w:t>Hamaguchi T, Sakai K, Noguchi-Shinohara M, Nozaki I, Takumi I, Sanjo N</w:t>
      </w:r>
      <w:r w:rsidRPr="0076576E">
        <w:rPr>
          <w:i/>
        </w:rPr>
        <w:t>, et al.</w:t>
      </w:r>
      <w:r w:rsidRPr="0076576E">
        <w:t xml:space="preserve"> Insight into the frequent occurrence of dura mater graft-associated Creutzfeldt-Jakob disease in Japan. </w:t>
      </w:r>
      <w:r w:rsidRPr="0076576E">
        <w:rPr>
          <w:i/>
        </w:rPr>
        <w:t>Journal of Neurology, Neurosurgery &amp; Psychiatry</w:t>
      </w:r>
      <w:r w:rsidRPr="0076576E">
        <w:t xml:space="preserve"> 2013;84:1171-5. </w:t>
      </w:r>
    </w:p>
    <w:p w14:paraId="2297B73B" w14:textId="77777777" w:rsidR="0076576E" w:rsidRPr="0076576E" w:rsidRDefault="0076576E" w:rsidP="0076576E">
      <w:pPr>
        <w:pStyle w:val="EndNoteBibliography"/>
        <w:ind w:left="720" w:hanging="720"/>
      </w:pPr>
      <w:r w:rsidRPr="001932E5">
        <w:t>140.</w:t>
      </w:r>
      <w:r w:rsidRPr="001932E5">
        <w:tab/>
        <w:t>Ibrahim-Verbaas C, Engelen-Lee JY, Spliet W, Mondria T, Willems S, Van Duijn C</w:t>
      </w:r>
      <w:r w:rsidRPr="001932E5">
        <w:rPr>
          <w:i/>
        </w:rPr>
        <w:t>, et al.</w:t>
      </w:r>
      <w:r w:rsidRPr="001932E5">
        <w:t xml:space="preserve"> </w:t>
      </w:r>
      <w:r w:rsidRPr="0076576E">
        <w:t xml:space="preserve">CJD with numerous Abeta plaques in a 58-year old patient 28 years after dura mater grafting. </w:t>
      </w:r>
      <w:r w:rsidRPr="0076576E">
        <w:rPr>
          <w:i/>
        </w:rPr>
        <w:t>Prion</w:t>
      </w:r>
      <w:r w:rsidRPr="0076576E">
        <w:t xml:space="preserve"> 2012;6:131-2. </w:t>
      </w:r>
    </w:p>
    <w:p w14:paraId="05C65662" w14:textId="77777777" w:rsidR="0076576E" w:rsidRPr="0076576E" w:rsidRDefault="0076576E" w:rsidP="0076576E">
      <w:pPr>
        <w:pStyle w:val="EndNoteBibliography"/>
        <w:ind w:left="720" w:hanging="720"/>
      </w:pPr>
      <w:r w:rsidRPr="0076576E">
        <w:t>141.</w:t>
      </w:r>
      <w:r w:rsidRPr="0076576E">
        <w:tab/>
        <w:t>Kobayashi A, Teruya K, Matsuura Y, Shirai T, Nakamura Y, Yamada M</w:t>
      </w:r>
      <w:r w:rsidRPr="0076576E">
        <w:rPr>
          <w:i/>
        </w:rPr>
        <w:t>, et al.</w:t>
      </w:r>
      <w:r w:rsidRPr="0076576E">
        <w:t xml:space="preserve"> The influence of PRNP polymorphisms on human prion disease susceptibility: an update. </w:t>
      </w:r>
      <w:r w:rsidRPr="0076576E">
        <w:rPr>
          <w:i/>
        </w:rPr>
        <w:t>Acta Neuropathologica</w:t>
      </w:r>
      <w:r w:rsidRPr="0076576E">
        <w:t xml:space="preserve"> 2015;130:159-70. </w:t>
      </w:r>
    </w:p>
    <w:p w14:paraId="27001604" w14:textId="575E48C7" w:rsidR="0076576E" w:rsidRPr="0076576E" w:rsidRDefault="0076576E" w:rsidP="0076576E">
      <w:pPr>
        <w:pStyle w:val="EndNoteBibliography"/>
        <w:ind w:left="720" w:hanging="720"/>
      </w:pPr>
      <w:r w:rsidRPr="0076576E">
        <w:t>142.</w:t>
      </w:r>
      <w:r w:rsidRPr="0076576E">
        <w:tab/>
        <w:t xml:space="preserve">Makarava N, Savtchenko R, Alexeeva I, Rohwer RG, Baskakov IV. Fast and ultrasensitive method for quantitating prion infectivity titre. </w:t>
      </w:r>
      <w:r w:rsidR="00921D8D">
        <w:rPr>
          <w:i/>
        </w:rPr>
        <w:t>Nature C</w:t>
      </w:r>
      <w:r w:rsidRPr="0076576E">
        <w:rPr>
          <w:i/>
        </w:rPr>
        <w:t>ommunications</w:t>
      </w:r>
      <w:r w:rsidRPr="0076576E">
        <w:t xml:space="preserve"> 2012;3:741. </w:t>
      </w:r>
    </w:p>
    <w:p w14:paraId="34361E37" w14:textId="77777777" w:rsidR="0076576E" w:rsidRPr="0076576E" w:rsidRDefault="0076576E" w:rsidP="0076576E">
      <w:pPr>
        <w:pStyle w:val="EndNoteBibliography"/>
        <w:ind w:left="720" w:hanging="720"/>
      </w:pPr>
      <w:r w:rsidRPr="0076576E">
        <w:t>143.</w:t>
      </w:r>
      <w:r w:rsidRPr="0076576E">
        <w:tab/>
        <w:t>Halliez S, Reine F, Herzog L, Jaumain E, Haik S, Rezaei H</w:t>
      </w:r>
      <w:r w:rsidRPr="0076576E">
        <w:rPr>
          <w:i/>
        </w:rPr>
        <w:t>, et al.</w:t>
      </w:r>
      <w:r w:rsidRPr="0076576E">
        <w:t xml:space="preserve"> Accelerated, spleen-based titration of variant Creutzfeldt-Jakob disease infectivity in transgenic mice expressing human prion protein with sensitivity comparable to that of survival time bioassay. </w:t>
      </w:r>
      <w:r w:rsidRPr="0076576E">
        <w:rPr>
          <w:i/>
        </w:rPr>
        <w:t>Journal of Virology</w:t>
      </w:r>
      <w:r w:rsidRPr="0076576E">
        <w:t xml:space="preserve"> 2014;88:8678-86. </w:t>
      </w:r>
    </w:p>
    <w:p w14:paraId="66D4FF1E" w14:textId="77777777" w:rsidR="0076576E" w:rsidRPr="0076576E" w:rsidRDefault="0076576E" w:rsidP="0076576E">
      <w:pPr>
        <w:pStyle w:val="EndNoteBibliography"/>
        <w:ind w:left="720" w:hanging="720"/>
      </w:pPr>
      <w:r w:rsidRPr="0076576E">
        <w:t>144.</w:t>
      </w:r>
      <w:r w:rsidRPr="0076576E">
        <w:tab/>
        <w:t xml:space="preserve">Ironside JW. Variant Creutzfeldt-Jakob disease: an update. </w:t>
      </w:r>
      <w:r w:rsidRPr="0076576E">
        <w:rPr>
          <w:i/>
        </w:rPr>
        <w:t>Folia Neuropathologica</w:t>
      </w:r>
      <w:r w:rsidRPr="0076576E">
        <w:t xml:space="preserve"> 2012;50:50-6. </w:t>
      </w:r>
    </w:p>
    <w:p w14:paraId="5574F075" w14:textId="77777777" w:rsidR="0076576E" w:rsidRPr="0076576E" w:rsidRDefault="0076576E" w:rsidP="0076576E">
      <w:pPr>
        <w:pStyle w:val="EndNoteBibliography"/>
        <w:ind w:left="720" w:hanging="720"/>
      </w:pPr>
      <w:r w:rsidRPr="0076576E">
        <w:t>145.</w:t>
      </w:r>
      <w:r w:rsidRPr="0076576E">
        <w:tab/>
        <w:t xml:space="preserve">Bishop MT, Diack AB, Ritchie DL, Ironside JW, Will RG, Manson JC. Prion infectivity in the spleen of a PRNP heterozygous individual with subclinical variant Creutzfeldt-Jakob disease. </w:t>
      </w:r>
      <w:r w:rsidRPr="0076576E">
        <w:rPr>
          <w:i/>
        </w:rPr>
        <w:t>Brain</w:t>
      </w:r>
      <w:r w:rsidRPr="0076576E">
        <w:t xml:space="preserve"> 2013;136:1139-45. </w:t>
      </w:r>
    </w:p>
    <w:p w14:paraId="7D9C4EDC" w14:textId="77777777" w:rsidR="0076576E" w:rsidRPr="0076576E" w:rsidRDefault="0076576E" w:rsidP="0076576E">
      <w:pPr>
        <w:pStyle w:val="EndNoteBibliography"/>
        <w:ind w:left="720" w:hanging="720"/>
      </w:pPr>
      <w:r w:rsidRPr="0076576E">
        <w:t>146.</w:t>
      </w:r>
      <w:r w:rsidRPr="0076576E">
        <w:tab/>
        <w:t>Cali I, Cohen I, Blevins J, Castellani R, Al-Shekhlee A, Yuan J</w:t>
      </w:r>
      <w:r w:rsidRPr="0076576E">
        <w:rPr>
          <w:i/>
        </w:rPr>
        <w:t>, et al.</w:t>
      </w:r>
      <w:r w:rsidRPr="0076576E">
        <w:t xml:space="preserve"> The co-existence of PrPSc type 1 and 2 in sporadic creutzfeldt-jakob disease affects the phenotype and PrPSc conformation. </w:t>
      </w:r>
      <w:r w:rsidRPr="0076576E">
        <w:rPr>
          <w:i/>
        </w:rPr>
        <w:t>Journal of Neuropathology and Experimental Neurology</w:t>
      </w:r>
      <w:r w:rsidRPr="0076576E">
        <w:t xml:space="preserve"> 2009;68 (5):553. </w:t>
      </w:r>
    </w:p>
    <w:p w14:paraId="36157FE2" w14:textId="77777777" w:rsidR="0076576E" w:rsidRPr="0076576E" w:rsidRDefault="0076576E" w:rsidP="0076576E">
      <w:pPr>
        <w:pStyle w:val="EndNoteBibliography"/>
        <w:ind w:left="720" w:hanging="720"/>
      </w:pPr>
      <w:r w:rsidRPr="0076576E">
        <w:t>147.</w:t>
      </w:r>
      <w:r w:rsidRPr="0076576E">
        <w:tab/>
        <w:t>Parchi P, Strammiello R, Notari S, Giese A, Langeveld JP, Ladogana A</w:t>
      </w:r>
      <w:r w:rsidRPr="0076576E">
        <w:rPr>
          <w:i/>
        </w:rPr>
        <w:t>, et al.</w:t>
      </w:r>
      <w:r w:rsidRPr="0076576E">
        <w:t xml:space="preserve"> Incidence and spectrum of sporadic Creutzfeldt-Jakob disease variants with mixed phenotype and co-occurrence of PrPSc types: an updated classification. </w:t>
      </w:r>
      <w:r w:rsidRPr="0076576E">
        <w:rPr>
          <w:i/>
        </w:rPr>
        <w:t>Acta Neuropathologica</w:t>
      </w:r>
      <w:r w:rsidRPr="0076576E">
        <w:t xml:space="preserve"> 2009;118:659-71. </w:t>
      </w:r>
    </w:p>
    <w:p w14:paraId="341187A5" w14:textId="77777777" w:rsidR="0076576E" w:rsidRPr="0076576E" w:rsidRDefault="0076576E" w:rsidP="0076576E">
      <w:pPr>
        <w:pStyle w:val="EndNoteBibliography"/>
        <w:ind w:left="720" w:hanging="720"/>
      </w:pPr>
      <w:r w:rsidRPr="0076576E">
        <w:t>148.</w:t>
      </w:r>
      <w:r w:rsidRPr="0076576E">
        <w:tab/>
        <w:t xml:space="preserve">Bishop MT, Will RG, Manson JC. Defining sporadic Creutzfeldt-Jakob disease strains and their transmission properties. </w:t>
      </w:r>
      <w:r w:rsidRPr="0076576E">
        <w:rPr>
          <w:i/>
        </w:rPr>
        <w:t>Proceedings of the National Academy of Sciences</w:t>
      </w:r>
      <w:r w:rsidRPr="0076576E">
        <w:t xml:space="preserve"> 2010;107:12005-10. </w:t>
      </w:r>
    </w:p>
    <w:p w14:paraId="16F471A0" w14:textId="77777777" w:rsidR="0076576E" w:rsidRPr="0076576E" w:rsidRDefault="0076576E" w:rsidP="0076576E">
      <w:pPr>
        <w:pStyle w:val="EndNoteBibliography"/>
        <w:ind w:left="720" w:hanging="720"/>
      </w:pPr>
      <w:r w:rsidRPr="0076576E">
        <w:t>149.</w:t>
      </w:r>
      <w:r w:rsidRPr="0076576E">
        <w:tab/>
        <w:t>Uro-Coste E, Cassard H, Simon S, Lugan S, Bilheude JM, Perret-Liaudet A</w:t>
      </w:r>
      <w:r w:rsidRPr="0076576E">
        <w:rPr>
          <w:i/>
        </w:rPr>
        <w:t>, et al.</w:t>
      </w:r>
      <w:r w:rsidRPr="0076576E">
        <w:t xml:space="preserve"> Beyond PrP9res) type 1/type 2 dichotomy in Creutzfeldt-Jakob disease. </w:t>
      </w:r>
      <w:r w:rsidRPr="0076576E">
        <w:rPr>
          <w:i/>
        </w:rPr>
        <w:t>PLoS Pathogens</w:t>
      </w:r>
      <w:r w:rsidRPr="0076576E">
        <w:t xml:space="preserve"> 2008;4:e1000029. </w:t>
      </w:r>
    </w:p>
    <w:p w14:paraId="188CFE4B" w14:textId="77777777" w:rsidR="0076576E" w:rsidRPr="0076576E" w:rsidRDefault="0076576E" w:rsidP="0076576E">
      <w:pPr>
        <w:pStyle w:val="EndNoteBibliography"/>
        <w:ind w:left="720" w:hanging="720"/>
      </w:pPr>
      <w:r w:rsidRPr="0076576E">
        <w:t>150.</w:t>
      </w:r>
      <w:r w:rsidRPr="0076576E">
        <w:tab/>
        <w:t>Jansen C, Parchi P, Capellari S, Ibrahim-Verbaas CA, Schuur M, Strammiello R</w:t>
      </w:r>
      <w:r w:rsidRPr="0076576E">
        <w:rPr>
          <w:i/>
        </w:rPr>
        <w:t>, et al.</w:t>
      </w:r>
      <w:r w:rsidRPr="0076576E">
        <w:t xml:space="preserve"> Human prion diseases in the Netherlands (1998-2009): clinical, genetic and molecular aspects. </w:t>
      </w:r>
      <w:r w:rsidRPr="0076576E">
        <w:rPr>
          <w:i/>
        </w:rPr>
        <w:t>PLoS ONE [Electronic Resource]</w:t>
      </w:r>
      <w:r w:rsidRPr="0076576E">
        <w:t xml:space="preserve"> 2012;7:e36333. </w:t>
      </w:r>
    </w:p>
    <w:p w14:paraId="21F12AA8" w14:textId="77777777" w:rsidR="0076576E" w:rsidRPr="0076576E" w:rsidRDefault="0076576E" w:rsidP="0076576E">
      <w:pPr>
        <w:pStyle w:val="EndNoteBibliography"/>
        <w:ind w:left="720" w:hanging="720"/>
      </w:pPr>
      <w:r w:rsidRPr="0076576E">
        <w:t>151.</w:t>
      </w:r>
      <w:r w:rsidRPr="0076576E">
        <w:tab/>
        <w:t xml:space="preserve">Mackay G, Yull H, Ironside J, Head M, Knight R. Unravelling the mysteries of sporadic CJD. </w:t>
      </w:r>
      <w:r w:rsidRPr="0076576E">
        <w:rPr>
          <w:i/>
        </w:rPr>
        <w:t>Journal of Neurology, Neurosurgery and Psychiatry Conference: Association of British Neurologists, ABN Joint Meeting with the Royal College of Physicians, RCP</w:t>
      </w:r>
      <w:r w:rsidRPr="0076576E">
        <w:t xml:space="preserve"> 2013;84. </w:t>
      </w:r>
    </w:p>
    <w:p w14:paraId="757C1902" w14:textId="77777777" w:rsidR="0076576E" w:rsidRPr="0076576E" w:rsidRDefault="0076576E" w:rsidP="0076576E">
      <w:pPr>
        <w:pStyle w:val="EndNoteBibliography"/>
        <w:ind w:left="720" w:hanging="720"/>
      </w:pPr>
      <w:r w:rsidRPr="0076576E">
        <w:t>152.</w:t>
      </w:r>
      <w:r w:rsidRPr="0076576E">
        <w:tab/>
        <w:t xml:space="preserve">Iwasaki Y, Mimuro M, Yoshida M, Hashizume Y, Kitamoto T, Sobue G. Clinicopathologic characteristics of five autopsied cases of dura mater-associated Creutzfeldt-Jakob disease. </w:t>
      </w:r>
      <w:r w:rsidRPr="0076576E">
        <w:rPr>
          <w:i/>
        </w:rPr>
        <w:t>Neuropathology</w:t>
      </w:r>
      <w:r w:rsidRPr="0076576E">
        <w:t xml:space="preserve"> 2008;28:51-61. </w:t>
      </w:r>
    </w:p>
    <w:p w14:paraId="551663C9" w14:textId="77777777" w:rsidR="0076576E" w:rsidRPr="0076576E" w:rsidRDefault="0076576E" w:rsidP="0076576E">
      <w:pPr>
        <w:pStyle w:val="EndNoteBibliography"/>
        <w:ind w:left="720" w:hanging="720"/>
      </w:pPr>
      <w:r w:rsidRPr="0076576E">
        <w:t>153.</w:t>
      </w:r>
      <w:r w:rsidRPr="0076576E">
        <w:tab/>
        <w:t>Sakai K, Hamaguchi T, Noguchi-Shinohara M, Nozaki I, Takumi I, Sanjo N</w:t>
      </w:r>
      <w:r w:rsidRPr="0076576E">
        <w:rPr>
          <w:i/>
        </w:rPr>
        <w:t>, et al.</w:t>
      </w:r>
      <w:r w:rsidRPr="0076576E">
        <w:t xml:space="preserve"> Graft-related disease progression in dura mater graft-associated Creutzfeldt-Jakob disease: a cross-sectional study. </w:t>
      </w:r>
      <w:r w:rsidRPr="0076576E">
        <w:rPr>
          <w:i/>
        </w:rPr>
        <w:t>BMJ Open</w:t>
      </w:r>
      <w:r w:rsidRPr="0076576E">
        <w:t xml:space="preserve"> 2013;3:e003400. </w:t>
      </w:r>
    </w:p>
    <w:p w14:paraId="0E2D6186" w14:textId="77777777" w:rsidR="0076576E" w:rsidRPr="0076576E" w:rsidRDefault="0076576E" w:rsidP="0076576E">
      <w:pPr>
        <w:pStyle w:val="EndNoteBibliography"/>
        <w:ind w:left="720" w:hanging="720"/>
      </w:pPr>
      <w:r w:rsidRPr="0076576E">
        <w:t>154.</w:t>
      </w:r>
      <w:r w:rsidRPr="0076576E">
        <w:tab/>
        <w:t>Beringue V, Le Dur A, Tixador P, Reine F, Lepourry L, Perret-Liaudet A</w:t>
      </w:r>
      <w:r w:rsidRPr="0076576E">
        <w:rPr>
          <w:i/>
        </w:rPr>
        <w:t>, et al.</w:t>
      </w:r>
      <w:r w:rsidRPr="0076576E">
        <w:t xml:space="preserve"> Prominent and persistent extraneural infection in human PrP transgenic mice infected with variant CJD. </w:t>
      </w:r>
      <w:r w:rsidRPr="0076576E">
        <w:rPr>
          <w:i/>
        </w:rPr>
        <w:t>PLoS ONE [Electronic Resource]</w:t>
      </w:r>
      <w:r w:rsidRPr="0076576E">
        <w:t xml:space="preserve"> 2008;3:e1419. </w:t>
      </w:r>
    </w:p>
    <w:p w14:paraId="0A2DA4D8" w14:textId="77777777" w:rsidR="0076576E" w:rsidRPr="0076576E" w:rsidRDefault="0076576E" w:rsidP="0076576E">
      <w:pPr>
        <w:pStyle w:val="EndNoteBibliography"/>
        <w:ind w:left="720" w:hanging="720"/>
      </w:pPr>
      <w:r w:rsidRPr="0076576E">
        <w:t>155.</w:t>
      </w:r>
      <w:r w:rsidRPr="0076576E">
        <w:tab/>
        <w:t xml:space="preserve">Beringue V, Vilotte JL, Laude H. Prion agent diversity and species barrier. </w:t>
      </w:r>
      <w:r w:rsidRPr="0076576E">
        <w:rPr>
          <w:i/>
        </w:rPr>
        <w:t>Veterinary Research</w:t>
      </w:r>
      <w:r w:rsidRPr="0076576E">
        <w:t xml:space="preserve"> 2008;39:47. </w:t>
      </w:r>
    </w:p>
    <w:p w14:paraId="37985FBC" w14:textId="77777777" w:rsidR="0076576E" w:rsidRPr="0076576E" w:rsidRDefault="0076576E" w:rsidP="0076576E">
      <w:pPr>
        <w:pStyle w:val="EndNoteBibliography"/>
        <w:ind w:left="720" w:hanging="720"/>
      </w:pPr>
      <w:r w:rsidRPr="0076576E">
        <w:t>156.</w:t>
      </w:r>
      <w:r w:rsidRPr="0076576E">
        <w:tab/>
        <w:t xml:space="preserve">Cali I, Miller CJ, Parisi JE, Geschwind MD, Gambetti P, Schonberger LB. Distinct pathological phenotypes of Creutzfeldt-Jakob disease in recipients of prion-contaminated growth hormone. </w:t>
      </w:r>
      <w:r w:rsidRPr="0076576E">
        <w:rPr>
          <w:i/>
        </w:rPr>
        <w:t>Acta Neuropathologica Communications</w:t>
      </w:r>
      <w:r w:rsidRPr="0076576E">
        <w:t xml:space="preserve"> 2015;3:37. </w:t>
      </w:r>
    </w:p>
    <w:p w14:paraId="2195BDE7" w14:textId="77777777" w:rsidR="0076576E" w:rsidRPr="0076576E" w:rsidRDefault="0076576E" w:rsidP="0076576E">
      <w:pPr>
        <w:pStyle w:val="EndNoteBibliography"/>
        <w:ind w:left="720" w:hanging="720"/>
      </w:pPr>
      <w:r w:rsidRPr="0076576E">
        <w:t>157.</w:t>
      </w:r>
      <w:r w:rsidRPr="0076576E">
        <w:tab/>
        <w:t xml:space="preserve">Peden AH, Kirkpatrick JRM, Head MW, Ironside JW. Comparison of the in vitro seeding activity of UK iatrogenic and sporadic Creutzfeldt-Jakob disease subtypes by real time quaking induced conversion. </w:t>
      </w:r>
      <w:r w:rsidRPr="0076576E">
        <w:rPr>
          <w:i/>
        </w:rPr>
        <w:t>Prion</w:t>
      </w:r>
      <w:r w:rsidRPr="0076576E">
        <w:t xml:space="preserve"> 2016;10:S50-S1. </w:t>
      </w:r>
    </w:p>
    <w:p w14:paraId="32CB9563" w14:textId="77777777" w:rsidR="0076576E" w:rsidRPr="0076576E" w:rsidRDefault="0076576E" w:rsidP="0076576E">
      <w:pPr>
        <w:pStyle w:val="EndNoteBibliography"/>
        <w:ind w:left="720" w:hanging="720"/>
      </w:pPr>
      <w:r w:rsidRPr="0076576E">
        <w:t>158.</w:t>
      </w:r>
      <w:r w:rsidRPr="0076576E">
        <w:tab/>
        <w:t>Bougard D, Brandel JP, Belondrade M, Beringue V, Segarra C, Fleury H</w:t>
      </w:r>
      <w:r w:rsidRPr="0076576E">
        <w:rPr>
          <w:i/>
        </w:rPr>
        <w:t>, et al.</w:t>
      </w:r>
      <w:r w:rsidRPr="0076576E">
        <w:t xml:space="preserve"> Detection of prions in the plasma of presymptomatic and symptomatic patients with variant Creutzfeldt-Jakob disease. </w:t>
      </w:r>
      <w:r w:rsidRPr="0076576E">
        <w:rPr>
          <w:i/>
        </w:rPr>
        <w:t>Science Translational Medicine</w:t>
      </w:r>
      <w:r w:rsidRPr="0076576E">
        <w:t xml:space="preserve"> 2016;8:370ra182. </w:t>
      </w:r>
    </w:p>
    <w:p w14:paraId="12133E94" w14:textId="77777777" w:rsidR="0076576E" w:rsidRPr="0076576E" w:rsidRDefault="0076576E" w:rsidP="0076576E">
      <w:pPr>
        <w:pStyle w:val="EndNoteBibliography"/>
        <w:ind w:left="720" w:hanging="720"/>
      </w:pPr>
      <w:r w:rsidRPr="0076576E">
        <w:t>159.</w:t>
      </w:r>
      <w:r w:rsidRPr="0076576E">
        <w:tab/>
        <w:t>Mead S, Wadsworth JD, Porter MC, Linehan JM, Pietkiewicz W, Jackson GS</w:t>
      </w:r>
      <w:r w:rsidRPr="0076576E">
        <w:rPr>
          <w:i/>
        </w:rPr>
        <w:t>, et al.</w:t>
      </w:r>
      <w:r w:rsidRPr="0076576E">
        <w:t xml:space="preserve"> Variant Creutzfeldt-Jakob disease with extremely low lymphoreticular deposition of prion protein. </w:t>
      </w:r>
      <w:r w:rsidRPr="0076576E">
        <w:rPr>
          <w:i/>
        </w:rPr>
        <w:t>JAMA Neurology</w:t>
      </w:r>
      <w:r w:rsidRPr="0076576E">
        <w:t xml:space="preserve"> 2014;71:340-3. </w:t>
      </w:r>
    </w:p>
    <w:p w14:paraId="619AEF59" w14:textId="77777777" w:rsidR="0076576E" w:rsidRPr="0076576E" w:rsidRDefault="0076576E" w:rsidP="0076576E">
      <w:pPr>
        <w:pStyle w:val="EndNoteBibliography"/>
        <w:ind w:left="720" w:hanging="720"/>
      </w:pPr>
      <w:r w:rsidRPr="0076576E">
        <w:t>160.</w:t>
      </w:r>
      <w:r w:rsidRPr="0076576E">
        <w:tab/>
        <w:t>Peden AH, McGuire LI, Appleford NE, Mallinson G, Wilham JM, Orrú CD</w:t>
      </w:r>
      <w:r w:rsidRPr="0076576E">
        <w:rPr>
          <w:i/>
        </w:rPr>
        <w:t>, et al.</w:t>
      </w:r>
      <w:r w:rsidRPr="0076576E">
        <w:t xml:space="preserve"> Sensitive and specific detection of sporadic Creutzfeldt–Jakob disease brain prion protein using real-time quaking-induced conversion. </w:t>
      </w:r>
      <w:r w:rsidRPr="0076576E">
        <w:rPr>
          <w:i/>
        </w:rPr>
        <w:t>Journal of General Virology</w:t>
      </w:r>
      <w:r w:rsidRPr="0076576E">
        <w:t xml:space="preserve"> 2012;93:438-49. </w:t>
      </w:r>
    </w:p>
    <w:p w14:paraId="28D9F160" w14:textId="77777777" w:rsidR="0076576E" w:rsidRPr="0076576E" w:rsidRDefault="0076576E" w:rsidP="0076576E">
      <w:pPr>
        <w:pStyle w:val="EndNoteBibliography"/>
        <w:ind w:left="720" w:hanging="720"/>
      </w:pPr>
      <w:r w:rsidRPr="0076576E">
        <w:t>161.</w:t>
      </w:r>
      <w:r w:rsidRPr="0076576E">
        <w:tab/>
        <w:t>Douet JY, Lacroux C, Aron N, Head MW, Lugan S, Tillier C</w:t>
      </w:r>
      <w:r w:rsidRPr="0076576E">
        <w:rPr>
          <w:i/>
        </w:rPr>
        <w:t>, et al.</w:t>
      </w:r>
      <w:r w:rsidRPr="0076576E">
        <w:t xml:space="preserve"> Distribution and Quantitative Estimates of Variant Creutzfeldt-Jakob Disease Prions in Tissues of Clinical and Asymptomatic Patients. </w:t>
      </w:r>
      <w:r w:rsidRPr="0076576E">
        <w:rPr>
          <w:i/>
        </w:rPr>
        <w:t>Emerging Infectious Diseases</w:t>
      </w:r>
      <w:r w:rsidRPr="0076576E">
        <w:t xml:space="preserve"> 2017;23:946-56. </w:t>
      </w:r>
    </w:p>
    <w:p w14:paraId="33C7E232" w14:textId="77777777" w:rsidR="0076576E" w:rsidRPr="0076576E" w:rsidRDefault="0076576E" w:rsidP="0076576E">
      <w:pPr>
        <w:pStyle w:val="EndNoteBibliography"/>
        <w:ind w:left="720" w:hanging="720"/>
      </w:pPr>
      <w:r w:rsidRPr="0076576E">
        <w:t>162.</w:t>
      </w:r>
      <w:r w:rsidRPr="0076576E">
        <w:tab/>
        <w:t xml:space="preserve">Bishop MT, Diack A, Cancellotti E, Will R, Manson J. Variant cjd strain remains stable after secondary transmission. </w:t>
      </w:r>
      <w:r w:rsidRPr="0076576E">
        <w:rPr>
          <w:i/>
        </w:rPr>
        <w:t>Prion</w:t>
      </w:r>
      <w:r w:rsidRPr="0076576E">
        <w:t xml:space="preserve"> 2010;4 (3):143. </w:t>
      </w:r>
    </w:p>
    <w:p w14:paraId="0684B7CE" w14:textId="77777777" w:rsidR="0076576E" w:rsidRPr="0076576E" w:rsidRDefault="0076576E" w:rsidP="0076576E">
      <w:pPr>
        <w:pStyle w:val="EndNoteBibliography"/>
        <w:ind w:left="720" w:hanging="720"/>
      </w:pPr>
      <w:r w:rsidRPr="0076576E">
        <w:t>163.</w:t>
      </w:r>
      <w:r w:rsidRPr="0076576E">
        <w:tab/>
        <w:t>Wadsworth JD, Dalmau-Mena I, Joiner S, Linehan JM, O'Malley C, Powell C</w:t>
      </w:r>
      <w:r w:rsidRPr="0076576E">
        <w:rPr>
          <w:i/>
        </w:rPr>
        <w:t>, et al.</w:t>
      </w:r>
      <w:r w:rsidRPr="0076576E">
        <w:t xml:space="preserve"> Effect of fixation on brain and lymphoreticular vCJD prions and bioassay of key positive specimens from a retrospective vCJD prevalence study. </w:t>
      </w:r>
      <w:r w:rsidRPr="0076576E">
        <w:rPr>
          <w:i/>
        </w:rPr>
        <w:t>Journal of Pathology</w:t>
      </w:r>
      <w:r w:rsidRPr="0076576E">
        <w:t xml:space="preserve"> 2011;223:511-8. </w:t>
      </w:r>
    </w:p>
    <w:p w14:paraId="12A3AB6D" w14:textId="77777777" w:rsidR="0076576E" w:rsidRPr="0076576E" w:rsidRDefault="0076576E" w:rsidP="0076576E">
      <w:pPr>
        <w:pStyle w:val="EndNoteBibliography"/>
        <w:ind w:left="720" w:hanging="720"/>
      </w:pPr>
      <w:r w:rsidRPr="0076576E">
        <w:t>164.</w:t>
      </w:r>
      <w:r w:rsidRPr="0076576E">
        <w:tab/>
        <w:t xml:space="preserve">Ritchie DL, Gibson SV, Abee CR, Kreil TR, Ironside JW, Brown P. Blood transmission studies of prion infectivity in the squirrel monkey (Saimiri sciureus): the Baxter study. </w:t>
      </w:r>
      <w:r w:rsidRPr="0076576E">
        <w:rPr>
          <w:i/>
        </w:rPr>
        <w:t>Transfusion</w:t>
      </w:r>
      <w:r w:rsidRPr="0076576E">
        <w:t xml:space="preserve"> 2016;56:712-21. </w:t>
      </w:r>
    </w:p>
    <w:p w14:paraId="54BD0404" w14:textId="77777777" w:rsidR="0076576E" w:rsidRPr="0076576E" w:rsidRDefault="0076576E" w:rsidP="0076576E">
      <w:pPr>
        <w:pStyle w:val="EndNoteBibliography"/>
        <w:ind w:left="720" w:hanging="720"/>
      </w:pPr>
      <w:r w:rsidRPr="0076576E">
        <w:t>165.</w:t>
      </w:r>
      <w:r w:rsidRPr="0076576E">
        <w:tab/>
        <w:t>Brown P, Ritchie D, Ironside J, Abee C, Kreil T, Gibson S. Blood transmission of prion infectivity in the squirrel monkey: The Baxter study. Prion, abstract no. 10260, p. S98-S.</w:t>
      </w:r>
    </w:p>
    <w:p w14:paraId="3B8B18EA" w14:textId="77777777" w:rsidR="0076576E" w:rsidRPr="0076576E" w:rsidRDefault="0076576E" w:rsidP="0076576E">
      <w:pPr>
        <w:pStyle w:val="EndNoteBibliography"/>
        <w:ind w:left="720" w:hanging="720"/>
      </w:pPr>
      <w:r w:rsidRPr="0076576E">
        <w:t>166.</w:t>
      </w:r>
      <w:r w:rsidRPr="0076576E">
        <w:tab/>
        <w:t>Moore RA, Head MW, Ironside JW, Ritchie DL, Zanusso G, Choi YP</w:t>
      </w:r>
      <w:r w:rsidRPr="0076576E">
        <w:rPr>
          <w:i/>
        </w:rPr>
        <w:t>, et al.</w:t>
      </w:r>
      <w:r w:rsidRPr="0076576E">
        <w:t xml:space="preserve"> The Distribution of Prion Protein Allotypes Differs Between Sporadic and Iatrogenic Creutzfeldt-Jakob Disease Patients. Erratum appears in PLoS Pathog. 2016 Mar;12(3):e1005496 Note: Pyo Choi, Young corrected to Choi, Young Pyo ; PMID: 26954665. </w:t>
      </w:r>
      <w:r w:rsidRPr="0076576E">
        <w:rPr>
          <w:i/>
        </w:rPr>
        <w:t>PLoS Pathogens</w:t>
      </w:r>
      <w:r w:rsidRPr="0076576E">
        <w:t xml:space="preserve"> 2016;12:e1005416. </w:t>
      </w:r>
    </w:p>
    <w:p w14:paraId="47759299" w14:textId="31946266" w:rsidR="0076576E" w:rsidRPr="0076576E" w:rsidRDefault="0076576E" w:rsidP="0076576E">
      <w:pPr>
        <w:pStyle w:val="EndNoteBibliography"/>
        <w:ind w:left="720" w:hanging="720"/>
      </w:pPr>
      <w:r w:rsidRPr="0076576E">
        <w:t>167.</w:t>
      </w:r>
      <w:r w:rsidRPr="0076576E">
        <w:tab/>
        <w:t xml:space="preserve">House of Commons. Science and Technology Committee. After the storm? UK blood safety and the risk of variant Creutzfeldt-Jakob Disease. Second Report of Session. 2014. </w:t>
      </w:r>
      <w:hyperlink r:id="rId42" w:anchor="a7" w:history="1">
        <w:r w:rsidRPr="0076576E">
          <w:rPr>
            <w:rStyle w:val="Hyperlink"/>
          </w:rPr>
          <w:t>https://publications.parliament.uk/pa/cm201415/cmselect/cmsctech/327/32706.htm#a7</w:t>
        </w:r>
      </w:hyperlink>
      <w:r w:rsidRPr="0076576E">
        <w:t xml:space="preserve"> (Accessed 15.03.2018).</w:t>
      </w:r>
    </w:p>
    <w:p w14:paraId="77FFC93D" w14:textId="77777777" w:rsidR="0076576E" w:rsidRPr="0076576E" w:rsidRDefault="0076576E" w:rsidP="0076576E">
      <w:pPr>
        <w:pStyle w:val="EndNoteBibliography"/>
        <w:ind w:left="720" w:hanging="720"/>
      </w:pPr>
      <w:r w:rsidRPr="0076576E">
        <w:t>168.</w:t>
      </w:r>
      <w:r w:rsidRPr="0076576E">
        <w:tab/>
        <w:t>Lehmann S, Pastore M, Rogez-Kreuz C, Richard M, Belondrade M, Rauwel G</w:t>
      </w:r>
      <w:r w:rsidRPr="0076576E">
        <w:rPr>
          <w:i/>
        </w:rPr>
        <w:t>, et al.</w:t>
      </w:r>
      <w:r w:rsidRPr="0076576E">
        <w:t xml:space="preserve"> New hospital disinfection processes for both conventional and prion infectious agents compatible with thermosensitive medical equipment. </w:t>
      </w:r>
      <w:r w:rsidRPr="0076576E">
        <w:rPr>
          <w:i/>
        </w:rPr>
        <w:t>Journal of Hospital Infection</w:t>
      </w:r>
      <w:r w:rsidRPr="0076576E">
        <w:t xml:space="preserve"> 2009;72:342-50. </w:t>
      </w:r>
    </w:p>
    <w:p w14:paraId="04BD5FA8" w14:textId="77777777" w:rsidR="0076576E" w:rsidRPr="0076576E" w:rsidRDefault="0076576E" w:rsidP="0076576E">
      <w:pPr>
        <w:pStyle w:val="EndNoteBibliography"/>
        <w:ind w:left="720" w:hanging="720"/>
      </w:pPr>
      <w:r w:rsidRPr="0076576E">
        <w:t>169.</w:t>
      </w:r>
      <w:r w:rsidRPr="0076576E">
        <w:tab/>
        <w:t>Lemmer K, Mielke M, Kratzel C, Joncic M, Oezel M, Pauli G</w:t>
      </w:r>
      <w:r w:rsidRPr="0076576E">
        <w:rPr>
          <w:i/>
        </w:rPr>
        <w:t>, et al.</w:t>
      </w:r>
      <w:r w:rsidRPr="0076576E">
        <w:t xml:space="preserve"> Decontamination of surgical instruments from prions. II. In vivo findings with a model system for testing the removal of scrapie infectivity from steel surfaces. </w:t>
      </w:r>
      <w:r w:rsidRPr="0076576E">
        <w:rPr>
          <w:i/>
        </w:rPr>
        <w:t>Journal of General Virology</w:t>
      </w:r>
      <w:r w:rsidRPr="0076576E">
        <w:t xml:space="preserve"> 2008;89:348-58. </w:t>
      </w:r>
    </w:p>
    <w:p w14:paraId="389289B9" w14:textId="1FD513BB" w:rsidR="0076576E" w:rsidRPr="0076576E" w:rsidRDefault="0076576E" w:rsidP="0076576E">
      <w:pPr>
        <w:pStyle w:val="EndNoteBibliography"/>
        <w:ind w:left="720" w:hanging="720"/>
      </w:pPr>
      <w:r w:rsidRPr="0076576E">
        <w:t>170.</w:t>
      </w:r>
      <w:r w:rsidRPr="0076576E">
        <w:tab/>
        <w:t>Rogez-Kreuz C, Yousfi R, Soufflet C, Quadrio I, Yan ZX, Huyot V</w:t>
      </w:r>
      <w:r w:rsidRPr="0076576E">
        <w:rPr>
          <w:i/>
        </w:rPr>
        <w:t>, et al.</w:t>
      </w:r>
      <w:r w:rsidRPr="0076576E">
        <w:t xml:space="preserve"> Inactivation of animal and human prions by hydrogen peroxide gas plasma sterilization. </w:t>
      </w:r>
      <w:r w:rsidR="00C4555B" w:rsidRPr="0076576E">
        <w:rPr>
          <w:i/>
        </w:rPr>
        <w:t xml:space="preserve">Infection Control </w:t>
      </w:r>
      <w:r w:rsidRPr="0076576E">
        <w:rPr>
          <w:i/>
        </w:rPr>
        <w:t xml:space="preserve">&amp; </w:t>
      </w:r>
      <w:r w:rsidR="00C4555B" w:rsidRPr="0076576E">
        <w:rPr>
          <w:i/>
        </w:rPr>
        <w:t>Hospital Epidemiology</w:t>
      </w:r>
      <w:r w:rsidR="00C4555B" w:rsidRPr="0076576E">
        <w:t xml:space="preserve"> </w:t>
      </w:r>
      <w:r w:rsidRPr="0076576E">
        <w:t xml:space="preserve">2009;30:769-77. </w:t>
      </w:r>
    </w:p>
    <w:p w14:paraId="65480809" w14:textId="77777777" w:rsidR="0076576E" w:rsidRPr="0076576E" w:rsidRDefault="0076576E" w:rsidP="0076576E">
      <w:pPr>
        <w:pStyle w:val="EndNoteBibliography"/>
        <w:ind w:left="720" w:hanging="720"/>
      </w:pPr>
      <w:r w:rsidRPr="0076576E">
        <w:t>171.</w:t>
      </w:r>
      <w:r w:rsidRPr="0076576E">
        <w:tab/>
        <w:t xml:space="preserve">Belondrade M, Nicot S, Béringue V, Coste J, Lehmann S, Bougard D. Rapid and highly sensitive detection of variant Creutzfeldt-Jakob disease abnormal prion protein on steel surfaces by protein misfolding cyclic amplification: application to prion decontamination Studies. </w:t>
      </w:r>
      <w:r w:rsidRPr="0076576E">
        <w:rPr>
          <w:i/>
        </w:rPr>
        <w:t>PLoS ONE [Electronic Resource]</w:t>
      </w:r>
      <w:r w:rsidRPr="0076576E">
        <w:t xml:space="preserve"> 2016;11:e0146833. </w:t>
      </w:r>
    </w:p>
    <w:p w14:paraId="22093190" w14:textId="77777777" w:rsidR="0076576E" w:rsidRPr="0076576E" w:rsidRDefault="0076576E" w:rsidP="0076576E">
      <w:pPr>
        <w:pStyle w:val="EndNoteBibliography"/>
        <w:ind w:left="720" w:hanging="720"/>
      </w:pPr>
      <w:r w:rsidRPr="0076576E">
        <w:t>172.</w:t>
      </w:r>
      <w:r w:rsidRPr="0076576E">
        <w:tab/>
        <w:t xml:space="preserve">Lawson VA, Stewart JD, Masters CL. Enzymatic detergent treatment protocol that reduces protease-resistant prion protein load and infectivity from surgical-steel monofilaments contaminated with a human-derived prion strain. </w:t>
      </w:r>
      <w:r w:rsidRPr="0076576E">
        <w:rPr>
          <w:i/>
        </w:rPr>
        <w:t>Journal of General Virology</w:t>
      </w:r>
      <w:r w:rsidRPr="0076576E">
        <w:t xml:space="preserve"> 2007;88:2905-14. </w:t>
      </w:r>
    </w:p>
    <w:p w14:paraId="32FE1AF6" w14:textId="77777777" w:rsidR="0076576E" w:rsidRPr="0076576E" w:rsidRDefault="0076576E" w:rsidP="0076576E">
      <w:pPr>
        <w:pStyle w:val="EndNoteBibliography"/>
        <w:ind w:left="720" w:hanging="720"/>
      </w:pPr>
      <w:r w:rsidRPr="0076576E">
        <w:t>173.</w:t>
      </w:r>
      <w:r w:rsidRPr="0076576E">
        <w:tab/>
        <w:t xml:space="preserve">Beekes M, Lemmer K, Thomzig A, Joncic M, Tintelnot K, Mielke M. Fast, broad-range disinfection of bacteria, fungi, viruses and prions. </w:t>
      </w:r>
      <w:r w:rsidRPr="0076576E">
        <w:rPr>
          <w:i/>
        </w:rPr>
        <w:t>Journal of General Virology</w:t>
      </w:r>
      <w:r w:rsidRPr="0076576E">
        <w:t xml:space="preserve"> 2010;91:580-9. </w:t>
      </w:r>
    </w:p>
    <w:p w14:paraId="265F4ACA" w14:textId="77777777" w:rsidR="0076576E" w:rsidRPr="0076576E" w:rsidRDefault="0076576E" w:rsidP="0076576E">
      <w:pPr>
        <w:pStyle w:val="EndNoteBibliography"/>
        <w:ind w:left="720" w:hanging="720"/>
      </w:pPr>
      <w:r w:rsidRPr="0076576E">
        <w:t>174.</w:t>
      </w:r>
      <w:r w:rsidRPr="0076576E">
        <w:tab/>
        <w:t>Bellon A, Comoy E, Simoneau S, Mornac S, Dehen C, Perrin A</w:t>
      </w:r>
      <w:r w:rsidRPr="0076576E">
        <w:rPr>
          <w:i/>
        </w:rPr>
        <w:t>, et al.</w:t>
      </w:r>
      <w:r w:rsidRPr="0076576E">
        <w:t xml:space="preserve"> Decontamination of prions in a plasma product manufacturing environment. </w:t>
      </w:r>
      <w:r w:rsidRPr="0076576E">
        <w:rPr>
          <w:i/>
        </w:rPr>
        <w:t>Transfusion</w:t>
      </w:r>
      <w:r w:rsidRPr="0076576E">
        <w:t xml:space="preserve"> 2014;54:1028-36. </w:t>
      </w:r>
    </w:p>
    <w:p w14:paraId="0F514A74" w14:textId="77777777" w:rsidR="0076576E" w:rsidRPr="0076576E" w:rsidRDefault="0076576E" w:rsidP="0076576E">
      <w:pPr>
        <w:pStyle w:val="EndNoteBibliography"/>
        <w:ind w:left="720" w:hanging="720"/>
      </w:pPr>
      <w:r w:rsidRPr="0076576E">
        <w:t>175.</w:t>
      </w:r>
      <w:r w:rsidRPr="0076576E">
        <w:tab/>
        <w:t xml:space="preserve">Fichet G, Antloga K, Comoy E, Deslys JP, McDonnell G. Prion inactivation using a new gaseous hydrogen peroxide sterilisation process. </w:t>
      </w:r>
      <w:r w:rsidRPr="0076576E">
        <w:rPr>
          <w:i/>
        </w:rPr>
        <w:t>Journal of Hospital Infection</w:t>
      </w:r>
      <w:r w:rsidRPr="0076576E">
        <w:t xml:space="preserve"> 2007;67:278-86. </w:t>
      </w:r>
    </w:p>
    <w:p w14:paraId="65593086" w14:textId="77777777" w:rsidR="0076576E" w:rsidRPr="0076576E" w:rsidRDefault="0076576E" w:rsidP="0076576E">
      <w:pPr>
        <w:pStyle w:val="EndNoteBibliography"/>
        <w:ind w:left="720" w:hanging="720"/>
      </w:pPr>
      <w:r w:rsidRPr="0076576E">
        <w:t>176.</w:t>
      </w:r>
      <w:r w:rsidRPr="0076576E">
        <w:tab/>
        <w:t xml:space="preserve">Herve R, Kong M, Comoy E, Deslys JP, Keevil B. Cold atmospheric plasma for the decontamination of reusable surgical instruments. </w:t>
      </w:r>
      <w:r w:rsidRPr="0076576E">
        <w:rPr>
          <w:i/>
        </w:rPr>
        <w:t>Prion</w:t>
      </w:r>
      <w:r w:rsidRPr="0076576E">
        <w:t xml:space="preserve"> 2010;4 (3):218. </w:t>
      </w:r>
    </w:p>
    <w:p w14:paraId="17F8626D" w14:textId="77777777" w:rsidR="0076576E" w:rsidRPr="0076576E" w:rsidRDefault="0076576E" w:rsidP="0076576E">
      <w:pPr>
        <w:pStyle w:val="EndNoteBibliography"/>
        <w:ind w:left="720" w:hanging="720"/>
      </w:pPr>
      <w:r w:rsidRPr="0076576E">
        <w:t>177.</w:t>
      </w:r>
      <w:r w:rsidRPr="0076576E">
        <w:tab/>
        <w:t xml:space="preserve">Herve R, Keevil CW. Current limitations about the cleaning of luminal endoscopes. </w:t>
      </w:r>
      <w:r w:rsidRPr="0076576E">
        <w:rPr>
          <w:i/>
        </w:rPr>
        <w:t>Journal of Hospital Infection</w:t>
      </w:r>
      <w:r w:rsidRPr="0076576E">
        <w:t xml:space="preserve"> 2013;83:22-9. </w:t>
      </w:r>
    </w:p>
    <w:p w14:paraId="1FF80168" w14:textId="77777777" w:rsidR="0076576E" w:rsidRPr="0076576E" w:rsidRDefault="0076576E" w:rsidP="0076576E">
      <w:pPr>
        <w:pStyle w:val="EndNoteBibliography"/>
        <w:ind w:left="720" w:hanging="720"/>
      </w:pPr>
      <w:r w:rsidRPr="0076576E">
        <w:t>178.</w:t>
      </w:r>
      <w:r w:rsidRPr="0076576E">
        <w:tab/>
        <w:t xml:space="preserve">Howlin RP, Khammo N, Secker T, McDonnell G, Keevil CW. Application of a fluorescent dual stain to assess decontamination of tissue protein and prion amyloid from surgical stainless steel during simulated washer-disinfector cycles. </w:t>
      </w:r>
      <w:r w:rsidRPr="0076576E">
        <w:rPr>
          <w:i/>
        </w:rPr>
        <w:t>Journal of Hospital Infection</w:t>
      </w:r>
      <w:r w:rsidRPr="0076576E">
        <w:t xml:space="preserve"> 2010;75:66-71. </w:t>
      </w:r>
    </w:p>
    <w:p w14:paraId="1C2CBB2C" w14:textId="77777777" w:rsidR="0076576E" w:rsidRPr="0076576E" w:rsidRDefault="0076576E" w:rsidP="0076576E">
      <w:pPr>
        <w:pStyle w:val="EndNoteBibliography"/>
        <w:ind w:left="720" w:hanging="720"/>
      </w:pPr>
      <w:r w:rsidRPr="0076576E">
        <w:t>179.</w:t>
      </w:r>
      <w:r w:rsidRPr="0076576E">
        <w:tab/>
        <w:t xml:space="preserve">Edgeworth JA, Sicilia A, Linehan J, Brandner S, Jackson GS, Collinge J. A standardized comparison of commercially available prion decontamination reagents using the Standard Steel-Binding Assay. </w:t>
      </w:r>
      <w:r w:rsidRPr="0076576E">
        <w:rPr>
          <w:i/>
        </w:rPr>
        <w:t>Journal of General Virology</w:t>
      </w:r>
      <w:r w:rsidRPr="0076576E">
        <w:t xml:space="preserve"> 2011;92:718-26. </w:t>
      </w:r>
    </w:p>
    <w:p w14:paraId="1F21EB27" w14:textId="77777777" w:rsidR="0076576E" w:rsidRPr="0076576E" w:rsidRDefault="0076576E" w:rsidP="0076576E">
      <w:pPr>
        <w:pStyle w:val="EndNoteBibliography"/>
        <w:ind w:left="720" w:hanging="720"/>
      </w:pPr>
      <w:r w:rsidRPr="0076576E">
        <w:t>180.</w:t>
      </w:r>
      <w:r w:rsidRPr="0076576E">
        <w:tab/>
        <w:t>Jackson GS, McKintosh E, Flechsig E, Prodromidou K, Hirsch P, Linehan J</w:t>
      </w:r>
      <w:r w:rsidRPr="0076576E">
        <w:rPr>
          <w:i/>
        </w:rPr>
        <w:t>, et al.</w:t>
      </w:r>
      <w:r w:rsidRPr="0076576E">
        <w:t xml:space="preserve"> An enzyme-detergent method for effective prion decontamination of surgical steel. </w:t>
      </w:r>
      <w:r w:rsidRPr="0076576E">
        <w:rPr>
          <w:i/>
        </w:rPr>
        <w:t>Journal of General Virology</w:t>
      </w:r>
      <w:r w:rsidRPr="0076576E">
        <w:t xml:space="preserve"> 2005;86:869-78. </w:t>
      </w:r>
    </w:p>
    <w:p w14:paraId="6D6B55D8" w14:textId="77777777" w:rsidR="0076576E" w:rsidRPr="0076576E" w:rsidRDefault="0076576E" w:rsidP="0076576E">
      <w:pPr>
        <w:pStyle w:val="EndNoteBibliography"/>
        <w:ind w:left="720" w:hanging="720"/>
      </w:pPr>
      <w:r w:rsidRPr="0076576E">
        <w:t>181.</w:t>
      </w:r>
      <w:r w:rsidRPr="0076576E">
        <w:tab/>
        <w:t>Peretz D, Supattapone S, Giles K, Vergara J, Freyman Y, Lessard P</w:t>
      </w:r>
      <w:r w:rsidRPr="0076576E">
        <w:rPr>
          <w:i/>
        </w:rPr>
        <w:t>, et al.</w:t>
      </w:r>
      <w:r w:rsidRPr="0076576E">
        <w:t xml:space="preserve"> Inactivation of prions by acidic sodium dodecyl sulfate. </w:t>
      </w:r>
      <w:r w:rsidRPr="0076576E">
        <w:rPr>
          <w:i/>
        </w:rPr>
        <w:t>Journal of Virology</w:t>
      </w:r>
      <w:r w:rsidRPr="0076576E">
        <w:t xml:space="preserve"> 2006;80:322-31. </w:t>
      </w:r>
    </w:p>
    <w:p w14:paraId="6C14F7E3" w14:textId="77777777" w:rsidR="0076576E" w:rsidRPr="0076576E" w:rsidRDefault="0076576E" w:rsidP="0076576E">
      <w:pPr>
        <w:pStyle w:val="EndNoteBibliography"/>
        <w:ind w:left="720" w:hanging="720"/>
      </w:pPr>
      <w:r w:rsidRPr="0076576E">
        <w:t>182.</w:t>
      </w:r>
      <w:r w:rsidRPr="0076576E">
        <w:tab/>
        <w:t xml:space="preserve">Giles K, Supattapone S, Peretz D, Glidden DV, Baron H, Prusiner SB. Disinfection of Prions. </w:t>
      </w:r>
      <w:r w:rsidRPr="0076576E">
        <w:rPr>
          <w:i/>
        </w:rPr>
        <w:t>New Biocides Development: Combined Approach of Chemistry and Microbiology</w:t>
      </w:r>
      <w:r w:rsidRPr="0076576E">
        <w:t xml:space="preserve"> 2007;967:52-74. </w:t>
      </w:r>
    </w:p>
    <w:p w14:paraId="455C60F4" w14:textId="77777777" w:rsidR="0076576E" w:rsidRPr="0076576E" w:rsidRDefault="0076576E" w:rsidP="0076576E">
      <w:pPr>
        <w:pStyle w:val="EndNoteBibliography"/>
        <w:ind w:left="720" w:hanging="720"/>
      </w:pPr>
      <w:r w:rsidRPr="0076576E">
        <w:t>183.</w:t>
      </w:r>
      <w:r w:rsidRPr="0076576E">
        <w:tab/>
        <w:t>Baxter HC, Campbell GA, Whittaker AG, Jones AC, Aitken A, Simpson AH</w:t>
      </w:r>
      <w:r w:rsidRPr="0076576E">
        <w:rPr>
          <w:i/>
        </w:rPr>
        <w:t>, et al.</w:t>
      </w:r>
      <w:r w:rsidRPr="0076576E">
        <w:t xml:space="preserve"> Elimination of transmissible spongiform encephalopathy infectivity and decontamination of surgical instruments by using radio-frequency gas-plasma treatment. </w:t>
      </w:r>
      <w:r w:rsidRPr="0076576E">
        <w:rPr>
          <w:i/>
        </w:rPr>
        <w:t>Journal of General Virology</w:t>
      </w:r>
      <w:r w:rsidRPr="0076576E">
        <w:t xml:space="preserve"> 2005;86:2393-9. </w:t>
      </w:r>
    </w:p>
    <w:p w14:paraId="3D71509F" w14:textId="77777777" w:rsidR="0076576E" w:rsidRPr="0076576E" w:rsidRDefault="0076576E" w:rsidP="0076576E">
      <w:pPr>
        <w:pStyle w:val="EndNoteBibliography"/>
        <w:ind w:left="720" w:hanging="720"/>
      </w:pPr>
      <w:r w:rsidRPr="0076576E">
        <w:t>184.</w:t>
      </w:r>
      <w:r w:rsidRPr="0076576E">
        <w:tab/>
        <w:t>Giles K, Glidden DV, Beckwith R, Seoanes R, Peretz D, DeArmond SJ</w:t>
      </w:r>
      <w:r w:rsidRPr="0076576E">
        <w:rPr>
          <w:i/>
        </w:rPr>
        <w:t>, et al.</w:t>
      </w:r>
      <w:r w:rsidRPr="0076576E">
        <w:t xml:space="preserve"> Resistance of bovine spongiform encephalopathy (BSE) prions to inactivation. </w:t>
      </w:r>
      <w:r w:rsidRPr="0076576E">
        <w:rPr>
          <w:i/>
        </w:rPr>
        <w:t>PLoS Pathogens</w:t>
      </w:r>
      <w:r w:rsidRPr="0076576E">
        <w:t xml:space="preserve"> 2008;4:e1000206. </w:t>
      </w:r>
    </w:p>
    <w:p w14:paraId="08E8629B" w14:textId="77777777" w:rsidR="0076576E" w:rsidRPr="0076576E" w:rsidRDefault="0076576E" w:rsidP="0076576E">
      <w:pPr>
        <w:pStyle w:val="EndNoteBibliography"/>
        <w:ind w:left="720" w:hanging="720"/>
      </w:pPr>
      <w:r w:rsidRPr="007E31FF">
        <w:rPr>
          <w:lang w:val="de-DE"/>
        </w:rPr>
        <w:t>185.</w:t>
      </w:r>
      <w:r w:rsidRPr="007E31FF">
        <w:rPr>
          <w:lang w:val="de-DE"/>
        </w:rPr>
        <w:tab/>
        <w:t>McKintosh E, Jackson G, Flechsig E, Prodromidou K, Hirsch P, Linehan J</w:t>
      </w:r>
      <w:r w:rsidRPr="007E31FF">
        <w:rPr>
          <w:i/>
          <w:lang w:val="de-DE"/>
        </w:rPr>
        <w:t>, et al.</w:t>
      </w:r>
      <w:r w:rsidRPr="007E31FF">
        <w:rPr>
          <w:lang w:val="de-DE"/>
        </w:rPr>
        <w:t xml:space="preserve"> </w:t>
      </w:r>
      <w:r w:rsidRPr="0076576E">
        <w:t xml:space="preserve">A detergent-enzyme method for effective prion decontamination of surgical steel. </w:t>
      </w:r>
      <w:r w:rsidRPr="0076576E">
        <w:rPr>
          <w:i/>
        </w:rPr>
        <w:t>Proceedings of the 13th World Congress of Neurological Surgery, Vols 1 and 2</w:t>
      </w:r>
      <w:r w:rsidRPr="0076576E">
        <w:t xml:space="preserve"> 2005, &lt;Go to ISI&gt;://WOS:000233429700179:923-7. </w:t>
      </w:r>
    </w:p>
    <w:p w14:paraId="7899C2AC" w14:textId="77777777" w:rsidR="0076576E" w:rsidRPr="0076576E" w:rsidRDefault="0076576E" w:rsidP="0076576E">
      <w:pPr>
        <w:pStyle w:val="EndNoteBibliography"/>
        <w:ind w:left="720" w:hanging="720"/>
      </w:pPr>
      <w:r w:rsidRPr="0076576E">
        <w:t>186.</w:t>
      </w:r>
      <w:r w:rsidRPr="0076576E">
        <w:tab/>
        <w:t xml:space="preserve">Herve RC, Keevil CW. Persistent residual contamination in endoscope channels; a fluorescence epimicroscopy study. </w:t>
      </w:r>
      <w:r w:rsidRPr="0076576E">
        <w:rPr>
          <w:i/>
        </w:rPr>
        <w:t>Endoscopy</w:t>
      </w:r>
      <w:r w:rsidRPr="0076576E">
        <w:t xml:space="preserve"> 2016;48:609-16. </w:t>
      </w:r>
    </w:p>
    <w:p w14:paraId="50257ABD" w14:textId="77777777" w:rsidR="0076576E" w:rsidRPr="0076576E" w:rsidRDefault="0076576E" w:rsidP="0076576E">
      <w:pPr>
        <w:pStyle w:val="EndNoteBibliography"/>
        <w:ind w:left="720" w:hanging="720"/>
      </w:pPr>
      <w:r w:rsidRPr="0076576E">
        <w:t>187.</w:t>
      </w:r>
      <w:r w:rsidRPr="0076576E">
        <w:tab/>
        <w:t>Baxter RL, Baxter HC, Campbell GA, Grant K, Jones A, Richardson P</w:t>
      </w:r>
      <w:r w:rsidRPr="0076576E">
        <w:rPr>
          <w:i/>
        </w:rPr>
        <w:t>, et al.</w:t>
      </w:r>
      <w:r w:rsidRPr="0076576E">
        <w:t xml:space="preserve"> Quantitative analysis of residual protein contamination on reprocessed surgical instruments. </w:t>
      </w:r>
      <w:r w:rsidRPr="0076576E">
        <w:rPr>
          <w:i/>
        </w:rPr>
        <w:t>Journal of Hospital Infection</w:t>
      </w:r>
      <w:r w:rsidRPr="0076576E">
        <w:t xml:space="preserve"> 2006;63:439-44. </w:t>
      </w:r>
    </w:p>
    <w:p w14:paraId="2FEBB56B" w14:textId="77777777" w:rsidR="0076576E" w:rsidRPr="0076576E" w:rsidRDefault="0076576E" w:rsidP="0076576E">
      <w:pPr>
        <w:pStyle w:val="EndNoteBibliography"/>
        <w:ind w:left="720" w:hanging="720"/>
      </w:pPr>
      <w:r w:rsidRPr="0076576E">
        <w:t>188.</w:t>
      </w:r>
      <w:r w:rsidRPr="0076576E">
        <w:tab/>
        <w:t>Murdoch H, Taylor D, Dickinson J, Walker JT, Perrett D, Raven ND</w:t>
      </w:r>
      <w:r w:rsidRPr="0076576E">
        <w:rPr>
          <w:i/>
        </w:rPr>
        <w:t>, et al.</w:t>
      </w:r>
      <w:r w:rsidRPr="0076576E">
        <w:t xml:space="preserve"> Surface decontamination of surgical instruments: an ongoing dilemma. </w:t>
      </w:r>
      <w:r w:rsidRPr="0076576E">
        <w:rPr>
          <w:i/>
        </w:rPr>
        <w:t>Journal of Hospital Infection</w:t>
      </w:r>
      <w:r w:rsidRPr="0076576E">
        <w:t xml:space="preserve"> 2006;63:432-8. </w:t>
      </w:r>
    </w:p>
    <w:p w14:paraId="2464ADDF" w14:textId="77777777" w:rsidR="0076576E" w:rsidRPr="0076576E" w:rsidRDefault="0076576E" w:rsidP="0076576E">
      <w:pPr>
        <w:pStyle w:val="EndNoteBibliography"/>
        <w:ind w:left="720" w:hanging="720"/>
      </w:pPr>
      <w:r w:rsidRPr="0076576E">
        <w:t>189.</w:t>
      </w:r>
      <w:r w:rsidRPr="0076576E">
        <w:tab/>
        <w:t xml:space="preserve">Lipscomb IP, Sihota AK, Botham M, Harris KL, Keevil CW. Rapid method for the sensitive detection of protein contamination on surgical instruments. </w:t>
      </w:r>
      <w:r w:rsidRPr="0076576E">
        <w:rPr>
          <w:i/>
        </w:rPr>
        <w:t>Journal of Hospital Infection</w:t>
      </w:r>
      <w:r w:rsidRPr="0076576E">
        <w:t xml:space="preserve"> 2006a;62:141-8. </w:t>
      </w:r>
    </w:p>
    <w:p w14:paraId="553B90CD" w14:textId="77777777" w:rsidR="0076576E" w:rsidRPr="0076576E" w:rsidRDefault="0076576E" w:rsidP="0076576E">
      <w:pPr>
        <w:pStyle w:val="EndNoteBibliography"/>
        <w:ind w:left="720" w:hanging="720"/>
      </w:pPr>
      <w:r w:rsidRPr="0076576E">
        <w:t>190.</w:t>
      </w:r>
      <w:r w:rsidRPr="0076576E">
        <w:tab/>
        <w:t xml:space="preserve">Lipscomb IP, Sihota AK, Keevil CW. Comparative study of surgical instruments from sterile-service departments for presence of residual gram-negative endotoxin and proteinaceous deposits. </w:t>
      </w:r>
      <w:r w:rsidRPr="0076576E">
        <w:rPr>
          <w:i/>
        </w:rPr>
        <w:t>Journal of Clinical Microbiology</w:t>
      </w:r>
      <w:r w:rsidRPr="0076576E">
        <w:t xml:space="preserve"> 2006b;44:3728-33. </w:t>
      </w:r>
    </w:p>
    <w:p w14:paraId="46B2A87A" w14:textId="77777777" w:rsidR="0076576E" w:rsidRPr="0076576E" w:rsidRDefault="0076576E" w:rsidP="0076576E">
      <w:pPr>
        <w:pStyle w:val="EndNoteBibliography"/>
        <w:ind w:left="720" w:hanging="720"/>
      </w:pPr>
      <w:r w:rsidRPr="0076576E">
        <w:t>191.</w:t>
      </w:r>
      <w:r w:rsidRPr="0076576E">
        <w:tab/>
        <w:t>Smith A, Winter S, Lappin D, Sherriff A, McIvor I, Philp P</w:t>
      </w:r>
      <w:r w:rsidRPr="0076576E">
        <w:rPr>
          <w:i/>
        </w:rPr>
        <w:t>, et al.</w:t>
      </w:r>
      <w:r w:rsidRPr="0076576E">
        <w:t xml:space="preserve"> Reducing the risk of iatrogenic CJD by improving the cleaning of neurosurgical instruments. </w:t>
      </w:r>
      <w:r w:rsidRPr="0076576E">
        <w:rPr>
          <w:i/>
        </w:rPr>
        <w:t>Journal of Hospital Infection</w:t>
      </w:r>
      <w:r w:rsidRPr="0076576E">
        <w:t xml:space="preserve"> 2018;epub. </w:t>
      </w:r>
    </w:p>
    <w:p w14:paraId="5F22BEE1" w14:textId="77777777" w:rsidR="0076576E" w:rsidRPr="0076576E" w:rsidRDefault="0076576E" w:rsidP="0076576E">
      <w:pPr>
        <w:pStyle w:val="EndNoteBibliography"/>
        <w:ind w:left="720" w:hanging="720"/>
      </w:pPr>
      <w:r w:rsidRPr="0076576E">
        <w:t>192.</w:t>
      </w:r>
      <w:r w:rsidRPr="0076576E">
        <w:tab/>
        <w:t>Baxter HC, Campbell GA, Richardson PR, Jones AC, Whittle IR, Casey M</w:t>
      </w:r>
      <w:r w:rsidRPr="0076576E">
        <w:rPr>
          <w:i/>
        </w:rPr>
        <w:t>, et al.</w:t>
      </w:r>
      <w:r w:rsidRPr="0076576E">
        <w:t xml:space="preserve"> Surgical instrument decontamination: Efficacy of introducing an argon : oxygen RF gas-plasma cleaning step as part of the cleaning cycle for stainless steel instruments. </w:t>
      </w:r>
      <w:r w:rsidRPr="0076576E">
        <w:rPr>
          <w:i/>
        </w:rPr>
        <w:t>Ieee Transactions on Plasma Science</w:t>
      </w:r>
      <w:r w:rsidRPr="0076576E">
        <w:t xml:space="preserve"> 2006;34:1337-44. </w:t>
      </w:r>
    </w:p>
    <w:p w14:paraId="00BEC7D2" w14:textId="77777777" w:rsidR="0076576E" w:rsidRPr="0076576E" w:rsidRDefault="0076576E" w:rsidP="0076576E">
      <w:pPr>
        <w:pStyle w:val="EndNoteBibliography"/>
        <w:ind w:left="720" w:hanging="720"/>
      </w:pPr>
      <w:r w:rsidRPr="0076576E">
        <w:t>193.</w:t>
      </w:r>
      <w:r w:rsidRPr="0076576E">
        <w:tab/>
        <w:t xml:space="preserve">Baxter HC, Jones AC, Baxter RL. Application of epifluorescence scanning for monitoring the efficacy of protein removal by RF gas-plasma decontamination. </w:t>
      </w:r>
      <w:r w:rsidRPr="0076576E">
        <w:rPr>
          <w:i/>
        </w:rPr>
        <w:t>Prion</w:t>
      </w:r>
      <w:r w:rsidRPr="0076576E">
        <w:t xml:space="preserve"> 2009;4 (3):204-5. </w:t>
      </w:r>
    </w:p>
    <w:p w14:paraId="5F96CB29" w14:textId="77777777" w:rsidR="0076576E" w:rsidRPr="0076576E" w:rsidRDefault="0076576E" w:rsidP="0076576E">
      <w:pPr>
        <w:pStyle w:val="EndNoteBibliography"/>
        <w:ind w:left="720" w:hanging="720"/>
      </w:pPr>
      <w:r w:rsidRPr="0076576E">
        <w:t>194.</w:t>
      </w:r>
      <w:r w:rsidRPr="0076576E">
        <w:tab/>
        <w:t xml:space="preserve">Secker TJ, Pinchin HE, Herve RC, Keevil CW. Efficacy of humidity retention bags for the reduced adsorption and improved cleaning of tissue proteins including prion-associated amyloid to surgical stainless steel surfaces. </w:t>
      </w:r>
      <w:r w:rsidRPr="0076576E">
        <w:rPr>
          <w:i/>
        </w:rPr>
        <w:t>Biofouling</w:t>
      </w:r>
      <w:r w:rsidRPr="0076576E">
        <w:t xml:space="preserve"> 2015;31:535-41. </w:t>
      </w:r>
    </w:p>
    <w:p w14:paraId="60C86FA7" w14:textId="77777777" w:rsidR="0076576E" w:rsidRPr="0076576E" w:rsidRDefault="0076576E" w:rsidP="0076576E">
      <w:pPr>
        <w:pStyle w:val="EndNoteBibliography"/>
        <w:ind w:left="720" w:hanging="720"/>
      </w:pPr>
      <w:r w:rsidRPr="0076576E">
        <w:t>195.</w:t>
      </w:r>
      <w:r w:rsidRPr="0076576E">
        <w:tab/>
        <w:t xml:space="preserve">Secker TJ, Herve R, Keevil CW. Adsorption of prion and tissue proteins to surgical stainless steel surfaces and the efficacy of decontamination following dry and wet storage conditions. </w:t>
      </w:r>
      <w:r w:rsidRPr="0076576E">
        <w:rPr>
          <w:i/>
        </w:rPr>
        <w:t>Journal of Hospital Infection</w:t>
      </w:r>
      <w:r w:rsidRPr="0076576E">
        <w:t xml:space="preserve"> 2011;78:251-5. </w:t>
      </w:r>
    </w:p>
    <w:p w14:paraId="2162050D" w14:textId="77777777" w:rsidR="0076576E" w:rsidRPr="0076576E" w:rsidRDefault="0076576E" w:rsidP="0076576E">
      <w:pPr>
        <w:pStyle w:val="EndNoteBibliography"/>
        <w:ind w:left="720" w:hanging="720"/>
      </w:pPr>
      <w:r w:rsidRPr="0076576E">
        <w:t>196.</w:t>
      </w:r>
      <w:r w:rsidRPr="0076576E">
        <w:tab/>
        <w:t xml:space="preserve">Lipscomb IP, Pinchin H, Collin R, Keevil CW. Effect of drying time, ambient temperature and pre-soaks on prion-infected tissue contamination levels on surgical stainless steel: concerns over prolonged transportation of instruments from theatre to central sterile service departments. </w:t>
      </w:r>
      <w:r w:rsidRPr="0076576E">
        <w:rPr>
          <w:i/>
        </w:rPr>
        <w:t>Journal of Hospital Infection</w:t>
      </w:r>
      <w:r w:rsidRPr="0076576E">
        <w:t xml:space="preserve"> 2007;65:72-7. </w:t>
      </w:r>
    </w:p>
    <w:p w14:paraId="6B022D93" w14:textId="77777777" w:rsidR="0076576E" w:rsidRPr="0076576E" w:rsidRDefault="0076576E" w:rsidP="0076576E">
      <w:pPr>
        <w:pStyle w:val="EndNoteBibliography"/>
        <w:ind w:left="720" w:hanging="720"/>
      </w:pPr>
      <w:r w:rsidRPr="0076576E">
        <w:t>197.</w:t>
      </w:r>
      <w:r w:rsidRPr="0076576E">
        <w:tab/>
        <w:t xml:space="preserve">Secker TJ, Hervea R, Keevil CW. Wet versus dry: Do environmental conditions have an effect on prion decontamination? </w:t>
      </w:r>
      <w:r w:rsidRPr="0076576E">
        <w:rPr>
          <w:i/>
        </w:rPr>
        <w:t>Prion</w:t>
      </w:r>
      <w:r w:rsidRPr="0076576E">
        <w:t xml:space="preserve"> 2010;4 (3):213-4. </w:t>
      </w:r>
    </w:p>
    <w:p w14:paraId="470D9289" w14:textId="77777777" w:rsidR="0076576E" w:rsidRPr="0076576E" w:rsidRDefault="0076576E" w:rsidP="0076576E">
      <w:pPr>
        <w:pStyle w:val="EndNoteBibliography"/>
        <w:ind w:left="720" w:hanging="720"/>
      </w:pPr>
      <w:r w:rsidRPr="0076576E">
        <w:t>198.</w:t>
      </w:r>
      <w:r w:rsidRPr="0076576E">
        <w:tab/>
        <w:t xml:space="preserve">Department of Health and Social Care. CFPP-01-01: Decontamination of surgical instruments (HTM 01-01) Health Technical Memorandum (HTM) 01-01: management and decontamination of surgical instruments (medical devices) used in acute care. Part B: Common elements. 2016. </w:t>
      </w:r>
    </w:p>
    <w:p w14:paraId="082272CF" w14:textId="77777777" w:rsidR="0076576E" w:rsidRPr="0076576E" w:rsidRDefault="0076576E" w:rsidP="0076576E">
      <w:pPr>
        <w:pStyle w:val="EndNoteBibliography"/>
        <w:ind w:left="720" w:hanging="720"/>
      </w:pPr>
      <w:r w:rsidRPr="0076576E">
        <w:t>199.</w:t>
      </w:r>
      <w:r w:rsidRPr="0076576E">
        <w:tab/>
        <w:t>Bonda DJ, Manjila S, Mehndiratta P, Khan F, Miller BR, Onwuzulike K</w:t>
      </w:r>
      <w:r w:rsidRPr="0076576E">
        <w:rPr>
          <w:i/>
        </w:rPr>
        <w:t>, et al.</w:t>
      </w:r>
      <w:r w:rsidRPr="0076576E">
        <w:t xml:space="preserve"> Human prion diseases: surgical lessons learned from iatrogenic prion transmission. </w:t>
      </w:r>
      <w:r w:rsidRPr="0076576E">
        <w:rPr>
          <w:i/>
        </w:rPr>
        <w:t>Neurosurgical Focus</w:t>
      </w:r>
      <w:r w:rsidRPr="0076576E">
        <w:t xml:space="preserve"> 2016;41:E10. </w:t>
      </w:r>
    </w:p>
    <w:p w14:paraId="089700DA" w14:textId="773ECEB6" w:rsidR="0076576E" w:rsidRPr="0076576E" w:rsidRDefault="0076576E" w:rsidP="0076576E">
      <w:pPr>
        <w:pStyle w:val="EndNoteBibliography"/>
        <w:ind w:left="720" w:hanging="720"/>
      </w:pPr>
      <w:r w:rsidRPr="0076576E">
        <w:t>200.</w:t>
      </w:r>
      <w:r w:rsidRPr="0076576E">
        <w:tab/>
        <w:t xml:space="preserve">Rutala WA, Weber DJ, Society for Healthcare Epidemiology of A. Guideline for disinfection and sterilization of prion-contaminated medical instruments. </w:t>
      </w:r>
      <w:r w:rsidR="00C4555B" w:rsidRPr="0076576E">
        <w:rPr>
          <w:i/>
        </w:rPr>
        <w:t xml:space="preserve">Infection Control </w:t>
      </w:r>
      <w:r w:rsidRPr="0076576E">
        <w:rPr>
          <w:i/>
        </w:rPr>
        <w:t xml:space="preserve">&amp; </w:t>
      </w:r>
      <w:r w:rsidR="00C4555B" w:rsidRPr="0076576E">
        <w:rPr>
          <w:i/>
        </w:rPr>
        <w:t>Hospital Epidemiology</w:t>
      </w:r>
      <w:r w:rsidR="00C4555B" w:rsidRPr="0076576E">
        <w:t xml:space="preserve"> </w:t>
      </w:r>
      <w:r w:rsidRPr="0076576E">
        <w:t xml:space="preserve">2010;31:107-17. </w:t>
      </w:r>
    </w:p>
    <w:p w14:paraId="7D634695" w14:textId="77777777" w:rsidR="0076576E" w:rsidRPr="0076576E" w:rsidRDefault="0076576E" w:rsidP="0076576E">
      <w:pPr>
        <w:pStyle w:val="EndNoteBibliography"/>
        <w:ind w:left="720" w:hanging="720"/>
      </w:pPr>
      <w:r w:rsidRPr="0076576E">
        <w:t>201.</w:t>
      </w:r>
      <w:r w:rsidRPr="0076576E">
        <w:tab/>
        <w:t>Dickinson J, Murdoch H, Dennis MJ, Hall GA, Bott R, Crabb WD</w:t>
      </w:r>
      <w:r w:rsidRPr="0076576E">
        <w:rPr>
          <w:i/>
        </w:rPr>
        <w:t>, et al.</w:t>
      </w:r>
      <w:r w:rsidRPr="0076576E">
        <w:t xml:space="preserve"> Decontamination of prion protein (BSE301V) using a genetically engineered protease. </w:t>
      </w:r>
      <w:r w:rsidRPr="0076576E">
        <w:rPr>
          <w:i/>
        </w:rPr>
        <w:t>Journal of Hospital Infection</w:t>
      </w:r>
      <w:r w:rsidRPr="0076576E">
        <w:t xml:space="preserve"> 2009;72:65-70. </w:t>
      </w:r>
    </w:p>
    <w:p w14:paraId="2DD5FF51" w14:textId="77777777" w:rsidR="0076576E" w:rsidRPr="0076576E" w:rsidRDefault="0076576E" w:rsidP="0076576E">
      <w:pPr>
        <w:pStyle w:val="EndNoteBibliography"/>
        <w:ind w:left="720" w:hanging="720"/>
      </w:pPr>
      <w:r w:rsidRPr="0076576E">
        <w:t>202.</w:t>
      </w:r>
      <w:r w:rsidRPr="0076576E">
        <w:tab/>
        <w:t>Fichet G, Comoy E, Duval C, Antloga K, Dehen C, Charbonnier A</w:t>
      </w:r>
      <w:r w:rsidRPr="0076576E">
        <w:rPr>
          <w:i/>
        </w:rPr>
        <w:t>, et al.</w:t>
      </w:r>
      <w:r w:rsidRPr="0076576E">
        <w:t xml:space="preserve"> Novel methods for disinfection of prion-contaminated medical devices. </w:t>
      </w:r>
      <w:r w:rsidRPr="0076576E">
        <w:rPr>
          <w:i/>
        </w:rPr>
        <w:t>The Lancet</w:t>
      </w:r>
      <w:r w:rsidRPr="0076576E">
        <w:t xml:space="preserve"> 2004;364:521-6. </w:t>
      </w:r>
    </w:p>
    <w:p w14:paraId="1D130BDE" w14:textId="77777777" w:rsidR="0076576E" w:rsidRPr="0076576E" w:rsidRDefault="0076576E" w:rsidP="0076576E">
      <w:pPr>
        <w:pStyle w:val="EndNoteBibliography"/>
        <w:ind w:left="720" w:hanging="720"/>
      </w:pPr>
      <w:r w:rsidRPr="0076576E">
        <w:t>203.</w:t>
      </w:r>
      <w:r w:rsidRPr="0076576E">
        <w:tab/>
        <w:t xml:space="preserve">Rochefort F. The role of detergents in prevention of transmission of Creutzfeldt-Jakob disease. German, English. </w:t>
      </w:r>
      <w:r w:rsidRPr="0076576E">
        <w:rPr>
          <w:i/>
        </w:rPr>
        <w:t>Zentralsterilisation - Central Service</w:t>
      </w:r>
      <w:r w:rsidRPr="0076576E">
        <w:t xml:space="preserve"> 2010;18:395-400+1-5. </w:t>
      </w:r>
    </w:p>
    <w:p w14:paraId="4E58BBFF" w14:textId="77777777" w:rsidR="0076576E" w:rsidRPr="0076576E" w:rsidRDefault="0076576E" w:rsidP="0076576E">
      <w:pPr>
        <w:pStyle w:val="EndNoteBibliography"/>
        <w:ind w:left="720" w:hanging="720"/>
      </w:pPr>
      <w:r w:rsidRPr="0076576E">
        <w:t>204.</w:t>
      </w:r>
      <w:r w:rsidRPr="0076576E">
        <w:tab/>
        <w:t xml:space="preserve">Herve R, Secker TJ, Keevil CW. Current risk of iatrogenic Creutzfeld-Jakob disease in the UK: efficacy of available cleaning chemistries and reusability of neurosurgical instruments. </w:t>
      </w:r>
      <w:r w:rsidRPr="0076576E">
        <w:rPr>
          <w:i/>
        </w:rPr>
        <w:t>Journal of Hospital Infection</w:t>
      </w:r>
      <w:r w:rsidRPr="0076576E">
        <w:t xml:space="preserve"> 2010;75:309-13. </w:t>
      </w:r>
    </w:p>
    <w:p w14:paraId="1C301836" w14:textId="77777777" w:rsidR="0076576E" w:rsidRPr="0076576E" w:rsidRDefault="0076576E" w:rsidP="0076576E">
      <w:pPr>
        <w:pStyle w:val="EndNoteBibliography"/>
        <w:ind w:left="720" w:hanging="720"/>
      </w:pPr>
      <w:r w:rsidRPr="0076576E">
        <w:t>205.</w:t>
      </w:r>
      <w:r w:rsidRPr="0076576E">
        <w:tab/>
        <w:t xml:space="preserve">National Institute for Health and Care Excellence. Adoption and Impact Programme. IPG196 Adoption Scoping Report. 2016. </w:t>
      </w:r>
    </w:p>
    <w:p w14:paraId="150C9C5D" w14:textId="248FC357" w:rsidR="0076576E" w:rsidRPr="0076576E" w:rsidRDefault="0076576E" w:rsidP="0076576E">
      <w:pPr>
        <w:pStyle w:val="EndNoteBibliography"/>
        <w:ind w:left="720" w:hanging="720"/>
      </w:pPr>
      <w:r w:rsidRPr="0076576E">
        <w:t>206.</w:t>
      </w:r>
      <w:r w:rsidRPr="0076576E">
        <w:tab/>
        <w:t xml:space="preserve">Department of Health and Social Care U. Minimise transmission risk of CJD and vCJD in healthcare settings. 2012. </w:t>
      </w:r>
      <w:hyperlink r:id="rId43" w:history="1">
        <w:r w:rsidRPr="0076576E">
          <w:rPr>
            <w:rStyle w:val="Hyperlink"/>
          </w:rPr>
          <w:t>https://www.gov.uk/government/publications/guidance-from-the-acdp-tse-risk-management-subgroup-formerly-tse-working-group</w:t>
        </w:r>
      </w:hyperlink>
      <w:r w:rsidRPr="0076576E">
        <w:t xml:space="preserve"> (Accessed 23.01.18).</w:t>
      </w:r>
    </w:p>
    <w:p w14:paraId="215C16C6" w14:textId="77777777" w:rsidR="0076576E" w:rsidRPr="0076576E" w:rsidRDefault="0076576E" w:rsidP="0076576E">
      <w:pPr>
        <w:pStyle w:val="EndNoteBibliography"/>
        <w:ind w:left="720" w:hanging="720"/>
      </w:pPr>
      <w:r w:rsidRPr="0076576E">
        <w:t>207.</w:t>
      </w:r>
      <w:r w:rsidRPr="0076576E">
        <w:tab/>
        <w:t>Department of Health: Economics and Operational Research Division (EOR4). Risk Assessment for Transmission of vCJD via Surgical Instruments: A Modelling Approach and Numerical Scenarios; 2001</w:t>
      </w:r>
    </w:p>
    <w:p w14:paraId="042D7F43" w14:textId="77777777" w:rsidR="0076576E" w:rsidRPr="0076576E" w:rsidRDefault="0076576E" w:rsidP="0076576E">
      <w:pPr>
        <w:pStyle w:val="EndNoteBibliography"/>
        <w:ind w:left="720" w:hanging="720"/>
      </w:pPr>
      <w:r w:rsidRPr="0076576E">
        <w:t>208.</w:t>
      </w:r>
      <w:r w:rsidRPr="0076576E">
        <w:tab/>
        <w:t xml:space="preserve">Bird SM, Merrall EL, Ward HJ, Will RG. Survival and re-operation rates after neurosurgical procedures in Scotland: implications for targeted surveillance of sub-clinical variant Creutzfeldt-Jakob disease. </w:t>
      </w:r>
      <w:r w:rsidRPr="0076576E">
        <w:rPr>
          <w:i/>
        </w:rPr>
        <w:t>Neuroepidemiology</w:t>
      </w:r>
      <w:r w:rsidRPr="0076576E">
        <w:t xml:space="preserve"> 2009;33:1-11. </w:t>
      </w:r>
    </w:p>
    <w:p w14:paraId="2CE2D384" w14:textId="3A45A3BE" w:rsidR="0076576E" w:rsidRPr="0076576E" w:rsidRDefault="0076576E" w:rsidP="0076576E">
      <w:pPr>
        <w:pStyle w:val="EndNoteBibliography"/>
        <w:ind w:left="720" w:hanging="720"/>
      </w:pPr>
      <w:r w:rsidRPr="0076576E">
        <w:t>209.</w:t>
      </w:r>
      <w:r w:rsidRPr="0076576E">
        <w:tab/>
        <w:t xml:space="preserve">National Institute for Health and Care Excellence. Patient safety and reduction of risk of transmission of Creutzfeldt-Jakob (CJD) via interventional procedures. . 2006, </w:t>
      </w:r>
      <w:hyperlink r:id="rId44" w:history="1">
        <w:r w:rsidRPr="0076576E">
          <w:rPr>
            <w:rStyle w:val="Hyperlink"/>
          </w:rPr>
          <w:t>https://www.nice.org.uk/Guidance/IPG196</w:t>
        </w:r>
      </w:hyperlink>
      <w:r w:rsidRPr="0076576E">
        <w:t xml:space="preserve"> Accessed 7th March 2018. </w:t>
      </w:r>
    </w:p>
    <w:p w14:paraId="10EE89F4" w14:textId="77777777" w:rsidR="0076576E" w:rsidRPr="0076576E" w:rsidRDefault="0076576E" w:rsidP="0076576E">
      <w:pPr>
        <w:pStyle w:val="EndNoteBibliography"/>
        <w:ind w:left="720" w:hanging="720"/>
      </w:pPr>
      <w:r w:rsidRPr="0076576E">
        <w:t>210.</w:t>
      </w:r>
      <w:r w:rsidRPr="0076576E">
        <w:tab/>
        <w:t xml:space="preserve">Garske T, Ward HJ, Clarke P, Will RG, Ghani AC. Factors determining the potential for onward transmission of variant Creutzfeldt-Jakob disease via surgical instruments. </w:t>
      </w:r>
      <w:r w:rsidRPr="0076576E">
        <w:rPr>
          <w:i/>
        </w:rPr>
        <w:t>Journal of the Royal Society Interface</w:t>
      </w:r>
      <w:r w:rsidRPr="0076576E">
        <w:t xml:space="preserve"> 2006;3:757-66. </w:t>
      </w:r>
    </w:p>
    <w:p w14:paraId="1404F9B6" w14:textId="1CA78046" w:rsidR="0076576E" w:rsidRPr="0076576E" w:rsidRDefault="0076576E" w:rsidP="0076576E">
      <w:pPr>
        <w:pStyle w:val="EndNoteBibliography"/>
        <w:ind w:left="720" w:hanging="720"/>
      </w:pPr>
      <w:r w:rsidRPr="0076576E">
        <w:t>211.</w:t>
      </w:r>
      <w:r w:rsidRPr="0076576E">
        <w:tab/>
        <w:t xml:space="preserve">National Institute for Health and Care Excellence. Guide to the methods of technology appraisal 2013. 2013. </w:t>
      </w:r>
      <w:hyperlink r:id="rId45" w:history="1">
        <w:r w:rsidRPr="0076576E">
          <w:rPr>
            <w:rStyle w:val="Hyperlink"/>
          </w:rPr>
          <w:t>https://www.nice.org.uk/article/pmg9/</w:t>
        </w:r>
      </w:hyperlink>
      <w:r w:rsidRPr="0076576E">
        <w:t xml:space="preserve"> (Accessed 19.03.2018).</w:t>
      </w:r>
    </w:p>
    <w:p w14:paraId="3070DC93" w14:textId="77777777" w:rsidR="0076576E" w:rsidRPr="0076576E" w:rsidRDefault="0076576E" w:rsidP="0076576E">
      <w:pPr>
        <w:pStyle w:val="EndNoteBibliography"/>
        <w:ind w:left="720" w:hanging="720"/>
      </w:pPr>
      <w:r w:rsidRPr="0076576E">
        <w:t>212.</w:t>
      </w:r>
      <w:r w:rsidRPr="0076576E">
        <w:tab/>
        <w:t>Baxter R, Baxter H, Campbell G, Grant K, Jones A, Richardson P</w:t>
      </w:r>
      <w:r w:rsidRPr="0076576E">
        <w:rPr>
          <w:i/>
        </w:rPr>
        <w:t>, et al.</w:t>
      </w:r>
      <w:r w:rsidRPr="0076576E">
        <w:t xml:space="preserve"> Quantitative analysis of residual protein contamination on reprocessed surgical instruments. </w:t>
      </w:r>
      <w:r w:rsidRPr="0076576E">
        <w:rPr>
          <w:i/>
        </w:rPr>
        <w:t>J Hosp Infect</w:t>
      </w:r>
      <w:r w:rsidRPr="0076576E">
        <w:t xml:space="preserve"> 2006;63:439-44. </w:t>
      </w:r>
    </w:p>
    <w:p w14:paraId="00A26F4D" w14:textId="60F0C582" w:rsidR="0076576E" w:rsidRPr="0076576E" w:rsidRDefault="0076576E" w:rsidP="0076576E">
      <w:pPr>
        <w:pStyle w:val="EndNoteBibliography"/>
        <w:ind w:left="720" w:hanging="720"/>
      </w:pPr>
      <w:r w:rsidRPr="0076576E">
        <w:t>213.</w:t>
      </w:r>
      <w:r w:rsidRPr="0076576E">
        <w:tab/>
        <w:t xml:space="preserve">Office for National Statistics. National life tables: United Kingdom. 2017, </w:t>
      </w:r>
      <w:hyperlink r:id="rId46" w:history="1">
        <w:r w:rsidRPr="0076576E">
          <w:rPr>
            <w:rStyle w:val="Hyperlink"/>
          </w:rPr>
          <w:t>https://www.ons.gov.uk/peoplepopulationandcommunity/birthsdeathsandmarriages/lifeexpectancies/datasets/nationallifetablesunitedkingdomreferencetables</w:t>
        </w:r>
      </w:hyperlink>
      <w:r w:rsidRPr="0076576E">
        <w:t xml:space="preserve">. Accessed 12th March 2018. </w:t>
      </w:r>
    </w:p>
    <w:p w14:paraId="468AD391" w14:textId="0FD60264" w:rsidR="0076576E" w:rsidRPr="0076576E" w:rsidRDefault="0076576E" w:rsidP="0076576E">
      <w:pPr>
        <w:pStyle w:val="EndNoteBibliography"/>
        <w:ind w:left="720" w:hanging="720"/>
      </w:pPr>
      <w:r w:rsidRPr="0076576E">
        <w:t>214.</w:t>
      </w:r>
      <w:r w:rsidRPr="0076576E">
        <w:tab/>
        <w:t xml:space="preserve">Curtis LA, Burns A. Unit Costs of Health and Social Care 2017. . University of Kent; 2017 </w:t>
      </w:r>
      <w:hyperlink r:id="rId47" w:history="1">
        <w:r w:rsidRPr="0076576E">
          <w:rPr>
            <w:rStyle w:val="Hyperlink"/>
          </w:rPr>
          <w:t>https://doi.org/10.22024/UniKent/01.02/65559</w:t>
        </w:r>
      </w:hyperlink>
      <w:r w:rsidRPr="0076576E">
        <w:t xml:space="preserve"> </w:t>
      </w:r>
    </w:p>
    <w:p w14:paraId="7C41EEC1" w14:textId="20267AF7" w:rsidR="0076576E" w:rsidRPr="0076576E" w:rsidRDefault="0076576E" w:rsidP="0076576E">
      <w:pPr>
        <w:pStyle w:val="EndNoteBibliography"/>
        <w:ind w:left="720" w:hanging="720"/>
      </w:pPr>
      <w:r w:rsidRPr="0076576E">
        <w:t>215.</w:t>
      </w:r>
      <w:r w:rsidRPr="0076576E">
        <w:tab/>
        <w:t xml:space="preserve">Curtis L. Unit Costs of Health &amp; Social Care 2014. . University of Kent.; 2014 </w:t>
      </w:r>
      <w:hyperlink r:id="rId48" w:history="1">
        <w:r w:rsidRPr="0076576E">
          <w:rPr>
            <w:rStyle w:val="Hyperlink"/>
          </w:rPr>
          <w:t>https://www.pssru.ac.uk/pub/uc/uc2014/full-with-covers.pdf</w:t>
        </w:r>
      </w:hyperlink>
      <w:r w:rsidRPr="0076576E">
        <w:t xml:space="preserve">  Accessed 12th March 2018 </w:t>
      </w:r>
    </w:p>
    <w:p w14:paraId="00B5F086" w14:textId="77777777" w:rsidR="0076576E" w:rsidRPr="0076576E" w:rsidRDefault="0076576E" w:rsidP="0076576E">
      <w:pPr>
        <w:pStyle w:val="EndNoteBibliography"/>
        <w:ind w:left="720" w:hanging="720"/>
      </w:pPr>
      <w:r w:rsidRPr="0076576E">
        <w:t>216.</w:t>
      </w:r>
      <w:r w:rsidRPr="0076576E">
        <w:tab/>
        <w:t xml:space="preserve">Barnett F, McLean G. Care management of Creutzfeldt-Jakob Disease within the United Kingdom. </w:t>
      </w:r>
      <w:r w:rsidRPr="0076576E">
        <w:rPr>
          <w:i/>
        </w:rPr>
        <w:t>Journal of Nursing Management</w:t>
      </w:r>
      <w:r w:rsidRPr="0076576E">
        <w:t xml:space="preserve"> 2005;13:111-8. </w:t>
      </w:r>
    </w:p>
    <w:p w14:paraId="652AF43B" w14:textId="7F4817E3" w:rsidR="0076576E" w:rsidRPr="0076576E" w:rsidRDefault="0076576E" w:rsidP="0076576E">
      <w:pPr>
        <w:pStyle w:val="EndNoteBibliography"/>
        <w:ind w:left="720" w:hanging="720"/>
      </w:pPr>
      <w:r w:rsidRPr="0076576E">
        <w:t>217.</w:t>
      </w:r>
      <w:r w:rsidRPr="0076576E">
        <w:tab/>
        <w:t xml:space="preserve">Creutzfeldt-Jakob Disease Surveillance in the UK. 24th Annual Report 2015. Edinburgh: The National CJD Research &amp; Surveillance Unit, Western General Hospital, Edinburgh, EH4 2XU; 2015 </w:t>
      </w:r>
      <w:hyperlink r:id="rId49" w:history="1">
        <w:r w:rsidRPr="0076576E">
          <w:rPr>
            <w:rStyle w:val="Hyperlink"/>
          </w:rPr>
          <w:t>http://www.cjd.ed.ac.uk/sites/default/files/Report24.pdf</w:t>
        </w:r>
      </w:hyperlink>
      <w:r w:rsidRPr="0076576E">
        <w:t xml:space="preserve"> Accessed 19th March 2018. .</w:t>
      </w:r>
    </w:p>
    <w:p w14:paraId="4F99C90C" w14:textId="0BC96E95" w:rsidR="0076576E" w:rsidRPr="0076576E" w:rsidRDefault="0076576E" w:rsidP="0076576E">
      <w:pPr>
        <w:pStyle w:val="EndNoteBibliography"/>
        <w:ind w:left="720" w:hanging="720"/>
      </w:pPr>
      <w:r w:rsidRPr="0076576E">
        <w:t>218.</w:t>
      </w:r>
      <w:r w:rsidRPr="0076576E">
        <w:tab/>
        <w:t xml:space="preserve">National Institute for Health and Care Excellence. Interim Process and Methods of the  Highly Specialised Technologies Programme  Updated to reflect 2017 changes. 2017, </w:t>
      </w:r>
      <w:hyperlink r:id="rId50" w:history="1">
        <w:r w:rsidRPr="0076576E">
          <w:rPr>
            <w:rStyle w:val="Hyperlink"/>
          </w:rPr>
          <w:t>https://www.nice.org.uk/Media/Default/About/what-we-do/NICE-guidance/NICE-highly-specialised-technologies-guidance/HST-interim-methods-process-guide-may-17.pdf</w:t>
        </w:r>
      </w:hyperlink>
      <w:r w:rsidRPr="0076576E">
        <w:t xml:space="preserve">. [Accessed 1st March 2018]. </w:t>
      </w:r>
    </w:p>
    <w:p w14:paraId="67635F96" w14:textId="6903BDEB" w:rsidR="0009633C" w:rsidRDefault="00FC5BBC" w:rsidP="009F5584">
      <w:pPr>
        <w:spacing w:after="120"/>
        <w:jc w:val="both"/>
        <w:rPr>
          <w:rFonts w:cs="Times New Roman"/>
          <w:sz w:val="24"/>
          <w:szCs w:val="24"/>
        </w:rPr>
      </w:pPr>
      <w:r w:rsidRPr="009F5584">
        <w:rPr>
          <w:rFonts w:cs="Times New Roman"/>
          <w:sz w:val="24"/>
          <w:szCs w:val="24"/>
        </w:rPr>
        <w:fldChar w:fldCharType="end"/>
      </w:r>
    </w:p>
    <w:p w14:paraId="5D083F19" w14:textId="77777777" w:rsidR="0009633C" w:rsidRDefault="0009633C">
      <w:pPr>
        <w:rPr>
          <w:rFonts w:cs="Times New Roman"/>
          <w:sz w:val="24"/>
          <w:szCs w:val="24"/>
        </w:rPr>
      </w:pPr>
      <w:r>
        <w:rPr>
          <w:rFonts w:cs="Times New Roman"/>
          <w:sz w:val="24"/>
          <w:szCs w:val="24"/>
        </w:rPr>
        <w:br w:type="page"/>
      </w:r>
    </w:p>
    <w:p w14:paraId="28941209" w14:textId="4DA61082" w:rsidR="0009633C" w:rsidRPr="0027212B" w:rsidRDefault="0009633C" w:rsidP="0027212B">
      <w:pPr>
        <w:pStyle w:val="Heading1"/>
        <w:rPr>
          <w:szCs w:val="22"/>
        </w:rPr>
      </w:pPr>
      <w:bookmarkStart w:id="157" w:name="_Ref517783886"/>
      <w:bookmarkStart w:id="158" w:name="_Toc525106681"/>
      <w:r w:rsidRPr="0027212B">
        <w:rPr>
          <w:rStyle w:val="Heading2Char"/>
          <w:b/>
          <w:szCs w:val="22"/>
        </w:rPr>
        <w:t xml:space="preserve">Appendix </w:t>
      </w:r>
      <w:r w:rsidR="00F86BA3" w:rsidRPr="0027212B">
        <w:rPr>
          <w:rStyle w:val="Heading2Char"/>
          <w:b/>
          <w:szCs w:val="22"/>
        </w:rPr>
        <w:t>1</w:t>
      </w:r>
      <w:r w:rsidRPr="0027212B">
        <w:rPr>
          <w:b w:val="0"/>
          <w:szCs w:val="22"/>
        </w:rPr>
        <w:t>:</w:t>
      </w:r>
      <w:r w:rsidRPr="0027212B">
        <w:rPr>
          <w:b w:val="0"/>
          <w:szCs w:val="22"/>
        </w:rPr>
        <w:tab/>
      </w:r>
      <w:r w:rsidRPr="0027212B">
        <w:rPr>
          <w:szCs w:val="22"/>
        </w:rPr>
        <w:t>Clinical Effectiveness Search Strategies</w:t>
      </w:r>
      <w:bookmarkEnd w:id="157"/>
      <w:bookmarkEnd w:id="158"/>
    </w:p>
    <w:p w14:paraId="24B9BF78" w14:textId="77777777" w:rsidR="0009633C" w:rsidRPr="002E7B7B" w:rsidRDefault="0009633C" w:rsidP="0009633C">
      <w:pPr>
        <w:spacing w:after="120" w:line="240" w:lineRule="auto"/>
        <w:contextualSpacing/>
        <w:jc w:val="both"/>
        <w:rPr>
          <w:rFonts w:cs="Times New Roman"/>
          <w:b/>
        </w:rPr>
      </w:pPr>
      <w:r w:rsidRPr="002E7B7B">
        <w:rPr>
          <w:rFonts w:cs="Times New Roman"/>
          <w:b/>
        </w:rPr>
        <w:t>MEDLINE, MEDLINE Epub Ahead of Print, In-Process &amp; Other Non-Indexed Citations: Ovid, 1946 to 2017</w:t>
      </w:r>
    </w:p>
    <w:p w14:paraId="04F3239B" w14:textId="77777777" w:rsidR="0009633C" w:rsidRPr="002E7B7B" w:rsidRDefault="0009633C" w:rsidP="0009633C">
      <w:pPr>
        <w:spacing w:after="120" w:line="240" w:lineRule="auto"/>
        <w:contextualSpacing/>
        <w:jc w:val="both"/>
        <w:rPr>
          <w:rFonts w:cs="Times New Roman"/>
        </w:rPr>
      </w:pPr>
      <w:r w:rsidRPr="002E7B7B">
        <w:rPr>
          <w:rFonts w:cs="Times New Roman"/>
        </w:rPr>
        <w:t>14</w:t>
      </w:r>
      <w:r w:rsidRPr="002E7B7B">
        <w:rPr>
          <w:rFonts w:cs="Times New Roman"/>
          <w:vertAlign w:val="superscript"/>
        </w:rPr>
        <w:t>th</w:t>
      </w:r>
      <w:r w:rsidRPr="002E7B7B">
        <w:rPr>
          <w:rFonts w:cs="Times New Roman"/>
        </w:rPr>
        <w:t xml:space="preserve"> August 2017</w:t>
      </w:r>
    </w:p>
    <w:p w14:paraId="7EA9AFF2" w14:textId="77777777" w:rsidR="0009633C" w:rsidRPr="002E7B7B" w:rsidRDefault="0009633C" w:rsidP="0009633C">
      <w:pPr>
        <w:spacing w:after="120" w:line="240" w:lineRule="auto"/>
        <w:contextualSpacing/>
        <w:jc w:val="both"/>
        <w:rPr>
          <w:rFonts w:cs="Times New Roman"/>
        </w:rPr>
      </w:pPr>
    </w:p>
    <w:tbl>
      <w:tblPr>
        <w:tblW w:w="0" w:type="auto"/>
        <w:tblLook w:val="04A0" w:firstRow="1" w:lastRow="0" w:firstColumn="1" w:lastColumn="0" w:noHBand="0" w:noVBand="1"/>
      </w:tblPr>
      <w:tblGrid>
        <w:gridCol w:w="846"/>
        <w:gridCol w:w="8170"/>
      </w:tblGrid>
      <w:tr w:rsidR="0009633C" w:rsidRPr="002E7B7B" w14:paraId="0153099D" w14:textId="77777777" w:rsidTr="0009633C">
        <w:trPr>
          <w:trHeight w:val="300"/>
        </w:trPr>
        <w:tc>
          <w:tcPr>
            <w:tcW w:w="846" w:type="dxa"/>
            <w:hideMark/>
          </w:tcPr>
          <w:p w14:paraId="4ECFD16C" w14:textId="77777777" w:rsidR="0009633C" w:rsidRPr="002E7B7B" w:rsidRDefault="0009633C" w:rsidP="0009633C">
            <w:pPr>
              <w:spacing w:after="120"/>
              <w:contextualSpacing/>
              <w:jc w:val="both"/>
              <w:rPr>
                <w:rFonts w:cs="Times New Roman"/>
                <w:b/>
                <w:bCs/>
              </w:rPr>
            </w:pPr>
            <w:r w:rsidRPr="002E7B7B">
              <w:rPr>
                <w:rFonts w:cs="Times New Roman"/>
                <w:b/>
                <w:bCs/>
              </w:rPr>
              <w:t>#</w:t>
            </w:r>
          </w:p>
        </w:tc>
        <w:tc>
          <w:tcPr>
            <w:tcW w:w="8170" w:type="dxa"/>
            <w:hideMark/>
          </w:tcPr>
          <w:p w14:paraId="15A1F57A" w14:textId="77777777" w:rsidR="0009633C" w:rsidRPr="002E7B7B" w:rsidRDefault="0009633C" w:rsidP="0009633C">
            <w:pPr>
              <w:spacing w:after="120"/>
              <w:contextualSpacing/>
              <w:jc w:val="both"/>
              <w:rPr>
                <w:rFonts w:cs="Times New Roman"/>
                <w:b/>
                <w:bCs/>
              </w:rPr>
            </w:pPr>
            <w:r w:rsidRPr="002E7B7B">
              <w:rPr>
                <w:rFonts w:cs="Times New Roman"/>
                <w:b/>
                <w:bCs/>
              </w:rPr>
              <w:t>Searches</w:t>
            </w:r>
          </w:p>
        </w:tc>
      </w:tr>
      <w:tr w:rsidR="0009633C" w:rsidRPr="002E7B7B" w14:paraId="526929B9" w14:textId="77777777" w:rsidTr="0009633C">
        <w:trPr>
          <w:trHeight w:val="300"/>
        </w:trPr>
        <w:tc>
          <w:tcPr>
            <w:tcW w:w="846" w:type="dxa"/>
            <w:hideMark/>
          </w:tcPr>
          <w:p w14:paraId="69A479AA" w14:textId="77777777" w:rsidR="0009633C" w:rsidRPr="002E7B7B" w:rsidRDefault="0009633C" w:rsidP="0009633C">
            <w:pPr>
              <w:spacing w:after="120"/>
              <w:contextualSpacing/>
              <w:jc w:val="both"/>
              <w:rPr>
                <w:rFonts w:cs="Times New Roman"/>
              </w:rPr>
            </w:pPr>
            <w:r w:rsidRPr="002E7B7B">
              <w:rPr>
                <w:rFonts w:cs="Times New Roman"/>
              </w:rPr>
              <w:t>1</w:t>
            </w:r>
          </w:p>
        </w:tc>
        <w:tc>
          <w:tcPr>
            <w:tcW w:w="8170" w:type="dxa"/>
            <w:hideMark/>
          </w:tcPr>
          <w:p w14:paraId="65DC6059" w14:textId="77777777" w:rsidR="0009633C" w:rsidRPr="002E7B7B" w:rsidRDefault="0009633C" w:rsidP="0009633C">
            <w:pPr>
              <w:spacing w:after="120"/>
              <w:contextualSpacing/>
              <w:jc w:val="both"/>
              <w:rPr>
                <w:rFonts w:cs="Times New Roman"/>
              </w:rPr>
            </w:pPr>
            <w:r w:rsidRPr="002E7B7B">
              <w:rPr>
                <w:rFonts w:cs="Times New Roman"/>
              </w:rPr>
              <w:t>exp Creutzfeldt-Jakob Syndrome/</w:t>
            </w:r>
          </w:p>
        </w:tc>
      </w:tr>
      <w:tr w:rsidR="0009633C" w:rsidRPr="002E7B7B" w14:paraId="4FC7C19A" w14:textId="77777777" w:rsidTr="0009633C">
        <w:trPr>
          <w:trHeight w:val="300"/>
        </w:trPr>
        <w:tc>
          <w:tcPr>
            <w:tcW w:w="846" w:type="dxa"/>
            <w:hideMark/>
          </w:tcPr>
          <w:p w14:paraId="27726D8F" w14:textId="77777777" w:rsidR="0009633C" w:rsidRPr="002E7B7B" w:rsidRDefault="0009633C" w:rsidP="0009633C">
            <w:pPr>
              <w:spacing w:after="120"/>
              <w:contextualSpacing/>
              <w:jc w:val="both"/>
              <w:rPr>
                <w:rFonts w:cs="Times New Roman"/>
              </w:rPr>
            </w:pPr>
            <w:r w:rsidRPr="002E7B7B">
              <w:rPr>
                <w:rFonts w:cs="Times New Roman"/>
              </w:rPr>
              <w:t>2</w:t>
            </w:r>
          </w:p>
        </w:tc>
        <w:tc>
          <w:tcPr>
            <w:tcW w:w="8170" w:type="dxa"/>
            <w:hideMark/>
          </w:tcPr>
          <w:p w14:paraId="6BE1C822" w14:textId="77777777" w:rsidR="0009633C" w:rsidRPr="002E7B7B" w:rsidRDefault="0009633C" w:rsidP="0009633C">
            <w:pPr>
              <w:spacing w:after="120"/>
              <w:contextualSpacing/>
              <w:jc w:val="both"/>
              <w:rPr>
                <w:rFonts w:cs="Times New Roman"/>
              </w:rPr>
            </w:pPr>
            <w:r w:rsidRPr="002E7B7B">
              <w:rPr>
                <w:rFonts w:cs="Times New Roman"/>
              </w:rPr>
              <w:t>((creutzfeldt jakob or creutzfeldt-jakob) adj (disease or syndrome)).tw.</w:t>
            </w:r>
          </w:p>
        </w:tc>
      </w:tr>
      <w:tr w:rsidR="0009633C" w:rsidRPr="002E7B7B" w14:paraId="6CFFBB1A" w14:textId="77777777" w:rsidTr="0009633C">
        <w:trPr>
          <w:trHeight w:val="300"/>
        </w:trPr>
        <w:tc>
          <w:tcPr>
            <w:tcW w:w="846" w:type="dxa"/>
            <w:hideMark/>
          </w:tcPr>
          <w:p w14:paraId="3D5B1786" w14:textId="77777777" w:rsidR="0009633C" w:rsidRPr="002E7B7B" w:rsidRDefault="0009633C" w:rsidP="0009633C">
            <w:pPr>
              <w:spacing w:after="120"/>
              <w:contextualSpacing/>
              <w:jc w:val="both"/>
              <w:rPr>
                <w:rFonts w:cs="Times New Roman"/>
              </w:rPr>
            </w:pPr>
            <w:r w:rsidRPr="002E7B7B">
              <w:rPr>
                <w:rFonts w:cs="Times New Roman"/>
              </w:rPr>
              <w:t>3</w:t>
            </w:r>
          </w:p>
        </w:tc>
        <w:tc>
          <w:tcPr>
            <w:tcW w:w="8170" w:type="dxa"/>
            <w:hideMark/>
          </w:tcPr>
          <w:p w14:paraId="6AA23CB4" w14:textId="77777777" w:rsidR="0009633C" w:rsidRPr="002E7B7B" w:rsidRDefault="0009633C" w:rsidP="0009633C">
            <w:pPr>
              <w:spacing w:after="120"/>
              <w:contextualSpacing/>
              <w:jc w:val="both"/>
              <w:rPr>
                <w:rFonts w:cs="Times New Roman"/>
              </w:rPr>
            </w:pPr>
            <w:r w:rsidRPr="002E7B7B">
              <w:rPr>
                <w:rFonts w:cs="Times New Roman"/>
              </w:rPr>
              <w:t>(cjd or vcjd or v-cjd).tw.</w:t>
            </w:r>
          </w:p>
        </w:tc>
      </w:tr>
      <w:tr w:rsidR="0009633C" w:rsidRPr="002E7B7B" w14:paraId="781CBAEB" w14:textId="77777777" w:rsidTr="0009633C">
        <w:trPr>
          <w:trHeight w:val="300"/>
        </w:trPr>
        <w:tc>
          <w:tcPr>
            <w:tcW w:w="846" w:type="dxa"/>
            <w:hideMark/>
          </w:tcPr>
          <w:p w14:paraId="29B9BBFF" w14:textId="77777777" w:rsidR="0009633C" w:rsidRPr="002E7B7B" w:rsidRDefault="0009633C" w:rsidP="0009633C">
            <w:pPr>
              <w:spacing w:after="120"/>
              <w:contextualSpacing/>
              <w:jc w:val="both"/>
              <w:rPr>
                <w:rFonts w:cs="Times New Roman"/>
              </w:rPr>
            </w:pPr>
            <w:r w:rsidRPr="002E7B7B">
              <w:rPr>
                <w:rFonts w:cs="Times New Roman"/>
              </w:rPr>
              <w:t>4</w:t>
            </w:r>
          </w:p>
        </w:tc>
        <w:tc>
          <w:tcPr>
            <w:tcW w:w="8170" w:type="dxa"/>
            <w:hideMark/>
          </w:tcPr>
          <w:p w14:paraId="556E00AC" w14:textId="77777777" w:rsidR="0009633C" w:rsidRPr="002E7B7B" w:rsidRDefault="0009633C" w:rsidP="0009633C">
            <w:pPr>
              <w:spacing w:after="120"/>
              <w:contextualSpacing/>
              <w:jc w:val="both"/>
              <w:rPr>
                <w:rFonts w:cs="Times New Roman"/>
              </w:rPr>
            </w:pPr>
            <w:r w:rsidRPr="002E7B7B">
              <w:rPr>
                <w:rFonts w:cs="Times New Roman"/>
              </w:rPr>
              <w:t>exp Prion Diseases/</w:t>
            </w:r>
          </w:p>
        </w:tc>
      </w:tr>
      <w:tr w:rsidR="0009633C" w:rsidRPr="002E7B7B" w14:paraId="273C4D14" w14:textId="77777777" w:rsidTr="0009633C">
        <w:trPr>
          <w:trHeight w:val="300"/>
        </w:trPr>
        <w:tc>
          <w:tcPr>
            <w:tcW w:w="846" w:type="dxa"/>
            <w:hideMark/>
          </w:tcPr>
          <w:p w14:paraId="013BD3EB" w14:textId="77777777" w:rsidR="0009633C" w:rsidRPr="002E7B7B" w:rsidRDefault="0009633C" w:rsidP="0009633C">
            <w:pPr>
              <w:spacing w:after="120"/>
              <w:contextualSpacing/>
              <w:jc w:val="both"/>
              <w:rPr>
                <w:rFonts w:cs="Times New Roman"/>
              </w:rPr>
            </w:pPr>
            <w:r w:rsidRPr="002E7B7B">
              <w:rPr>
                <w:rFonts w:cs="Times New Roman"/>
              </w:rPr>
              <w:t>5</w:t>
            </w:r>
          </w:p>
        </w:tc>
        <w:tc>
          <w:tcPr>
            <w:tcW w:w="8170" w:type="dxa"/>
            <w:hideMark/>
          </w:tcPr>
          <w:p w14:paraId="6F3D8C4D" w14:textId="77777777" w:rsidR="0009633C" w:rsidRPr="002E7B7B" w:rsidRDefault="0009633C" w:rsidP="0009633C">
            <w:pPr>
              <w:spacing w:after="120"/>
              <w:contextualSpacing/>
              <w:jc w:val="both"/>
              <w:rPr>
                <w:rFonts w:cs="Times New Roman"/>
              </w:rPr>
            </w:pPr>
            <w:r w:rsidRPr="002E7B7B">
              <w:rPr>
                <w:rFonts w:cs="Times New Roman"/>
              </w:rPr>
              <w:t>exp Prions/</w:t>
            </w:r>
          </w:p>
        </w:tc>
      </w:tr>
      <w:tr w:rsidR="0009633C" w:rsidRPr="002E7B7B" w14:paraId="22C421B7" w14:textId="77777777" w:rsidTr="0009633C">
        <w:trPr>
          <w:trHeight w:val="300"/>
        </w:trPr>
        <w:tc>
          <w:tcPr>
            <w:tcW w:w="846" w:type="dxa"/>
            <w:hideMark/>
          </w:tcPr>
          <w:p w14:paraId="4F65B4E2" w14:textId="77777777" w:rsidR="0009633C" w:rsidRPr="002E7B7B" w:rsidRDefault="0009633C" w:rsidP="0009633C">
            <w:pPr>
              <w:spacing w:after="120"/>
              <w:contextualSpacing/>
              <w:jc w:val="both"/>
              <w:rPr>
                <w:rFonts w:cs="Times New Roman"/>
              </w:rPr>
            </w:pPr>
            <w:r w:rsidRPr="002E7B7B">
              <w:rPr>
                <w:rFonts w:cs="Times New Roman"/>
              </w:rPr>
              <w:t>6</w:t>
            </w:r>
          </w:p>
        </w:tc>
        <w:tc>
          <w:tcPr>
            <w:tcW w:w="8170" w:type="dxa"/>
            <w:hideMark/>
          </w:tcPr>
          <w:p w14:paraId="0BD919EC" w14:textId="77777777" w:rsidR="0009633C" w:rsidRPr="002E7B7B" w:rsidRDefault="0009633C" w:rsidP="0009633C">
            <w:pPr>
              <w:spacing w:after="120"/>
              <w:contextualSpacing/>
              <w:jc w:val="both"/>
              <w:rPr>
                <w:rFonts w:cs="Times New Roman"/>
              </w:rPr>
            </w:pPr>
            <w:r w:rsidRPr="002E7B7B">
              <w:rPr>
                <w:rFonts w:cs="Times New Roman"/>
              </w:rPr>
              <w:t>((transmissible or spong*) adj encephalopath*).tw.</w:t>
            </w:r>
          </w:p>
        </w:tc>
      </w:tr>
      <w:tr w:rsidR="0009633C" w:rsidRPr="002E7B7B" w14:paraId="027B5E7E" w14:textId="77777777" w:rsidTr="0009633C">
        <w:trPr>
          <w:trHeight w:val="300"/>
        </w:trPr>
        <w:tc>
          <w:tcPr>
            <w:tcW w:w="846" w:type="dxa"/>
            <w:hideMark/>
          </w:tcPr>
          <w:p w14:paraId="594E3F0C" w14:textId="77777777" w:rsidR="0009633C" w:rsidRPr="002E7B7B" w:rsidRDefault="0009633C" w:rsidP="0009633C">
            <w:pPr>
              <w:spacing w:after="120"/>
              <w:contextualSpacing/>
              <w:jc w:val="both"/>
              <w:rPr>
                <w:rFonts w:cs="Times New Roman"/>
              </w:rPr>
            </w:pPr>
            <w:r w:rsidRPr="002E7B7B">
              <w:rPr>
                <w:rFonts w:cs="Times New Roman"/>
              </w:rPr>
              <w:t>7</w:t>
            </w:r>
          </w:p>
        </w:tc>
        <w:tc>
          <w:tcPr>
            <w:tcW w:w="8170" w:type="dxa"/>
            <w:hideMark/>
          </w:tcPr>
          <w:p w14:paraId="29D599D6" w14:textId="77777777" w:rsidR="0009633C" w:rsidRPr="002E7B7B" w:rsidRDefault="0009633C" w:rsidP="0009633C">
            <w:pPr>
              <w:spacing w:after="120"/>
              <w:contextualSpacing/>
              <w:jc w:val="both"/>
              <w:rPr>
                <w:rFonts w:cs="Times New Roman"/>
              </w:rPr>
            </w:pPr>
            <w:r w:rsidRPr="002E7B7B">
              <w:rPr>
                <w:rFonts w:cs="Times New Roman"/>
              </w:rPr>
              <w:t>(prion* or tse).tw.</w:t>
            </w:r>
          </w:p>
        </w:tc>
      </w:tr>
      <w:tr w:rsidR="0009633C" w:rsidRPr="002E7B7B" w14:paraId="7937B140" w14:textId="77777777" w:rsidTr="0009633C">
        <w:trPr>
          <w:trHeight w:val="300"/>
        </w:trPr>
        <w:tc>
          <w:tcPr>
            <w:tcW w:w="846" w:type="dxa"/>
            <w:hideMark/>
          </w:tcPr>
          <w:p w14:paraId="51E4C0A5" w14:textId="77777777" w:rsidR="0009633C" w:rsidRPr="002E7B7B" w:rsidRDefault="0009633C" w:rsidP="0009633C">
            <w:pPr>
              <w:spacing w:after="120"/>
              <w:contextualSpacing/>
              <w:jc w:val="both"/>
              <w:rPr>
                <w:rFonts w:cs="Times New Roman"/>
              </w:rPr>
            </w:pPr>
            <w:r w:rsidRPr="002E7B7B">
              <w:rPr>
                <w:rFonts w:cs="Times New Roman"/>
              </w:rPr>
              <w:t>8</w:t>
            </w:r>
          </w:p>
        </w:tc>
        <w:tc>
          <w:tcPr>
            <w:tcW w:w="8170" w:type="dxa"/>
            <w:hideMark/>
          </w:tcPr>
          <w:p w14:paraId="4FBF4E9D" w14:textId="77777777" w:rsidR="0009633C" w:rsidRPr="002E7B7B" w:rsidRDefault="0009633C" w:rsidP="0009633C">
            <w:pPr>
              <w:spacing w:after="120"/>
              <w:contextualSpacing/>
              <w:jc w:val="both"/>
              <w:rPr>
                <w:rFonts w:cs="Times New Roman"/>
              </w:rPr>
            </w:pPr>
            <w:r w:rsidRPr="002E7B7B">
              <w:rPr>
                <w:rFonts w:cs="Times New Roman"/>
              </w:rPr>
              <w:t>prp.tw.</w:t>
            </w:r>
          </w:p>
        </w:tc>
      </w:tr>
      <w:tr w:rsidR="0009633C" w:rsidRPr="002E7B7B" w14:paraId="7E6A2EA3" w14:textId="77777777" w:rsidTr="0009633C">
        <w:trPr>
          <w:trHeight w:val="300"/>
        </w:trPr>
        <w:tc>
          <w:tcPr>
            <w:tcW w:w="846" w:type="dxa"/>
            <w:hideMark/>
          </w:tcPr>
          <w:p w14:paraId="6897EABE" w14:textId="77777777" w:rsidR="0009633C" w:rsidRPr="002E7B7B" w:rsidRDefault="0009633C" w:rsidP="0009633C">
            <w:pPr>
              <w:spacing w:after="120"/>
              <w:contextualSpacing/>
              <w:jc w:val="both"/>
              <w:rPr>
                <w:rFonts w:cs="Times New Roman"/>
              </w:rPr>
            </w:pPr>
            <w:r w:rsidRPr="002E7B7B">
              <w:rPr>
                <w:rFonts w:cs="Times New Roman"/>
              </w:rPr>
              <w:t>9</w:t>
            </w:r>
          </w:p>
        </w:tc>
        <w:tc>
          <w:tcPr>
            <w:tcW w:w="8170" w:type="dxa"/>
            <w:hideMark/>
          </w:tcPr>
          <w:p w14:paraId="27157D07" w14:textId="77777777" w:rsidR="0009633C" w:rsidRPr="002E7B7B" w:rsidRDefault="0009633C" w:rsidP="0009633C">
            <w:pPr>
              <w:spacing w:after="120"/>
              <w:contextualSpacing/>
              <w:jc w:val="both"/>
              <w:rPr>
                <w:rFonts w:cs="Times New Roman"/>
              </w:rPr>
            </w:pPr>
            <w:r w:rsidRPr="002E7B7B">
              <w:rPr>
                <w:rFonts w:cs="Times New Roman"/>
              </w:rPr>
              <w:t>or/1-8</w:t>
            </w:r>
          </w:p>
        </w:tc>
      </w:tr>
      <w:tr w:rsidR="0009633C" w:rsidRPr="002E7B7B" w14:paraId="40C94FC7" w14:textId="77777777" w:rsidTr="0009633C">
        <w:trPr>
          <w:trHeight w:val="300"/>
        </w:trPr>
        <w:tc>
          <w:tcPr>
            <w:tcW w:w="846" w:type="dxa"/>
            <w:hideMark/>
          </w:tcPr>
          <w:p w14:paraId="4A8C0CCA" w14:textId="77777777" w:rsidR="0009633C" w:rsidRPr="002E7B7B" w:rsidRDefault="0009633C" w:rsidP="0009633C">
            <w:pPr>
              <w:spacing w:after="120"/>
              <w:contextualSpacing/>
              <w:jc w:val="both"/>
              <w:rPr>
                <w:rFonts w:cs="Times New Roman"/>
              </w:rPr>
            </w:pPr>
            <w:r w:rsidRPr="002E7B7B">
              <w:rPr>
                <w:rFonts w:cs="Times New Roman"/>
              </w:rPr>
              <w:t>10</w:t>
            </w:r>
          </w:p>
        </w:tc>
        <w:tc>
          <w:tcPr>
            <w:tcW w:w="8170" w:type="dxa"/>
            <w:hideMark/>
          </w:tcPr>
          <w:p w14:paraId="79D378AC" w14:textId="77777777" w:rsidR="0009633C" w:rsidRPr="002E7B7B" w:rsidRDefault="0009633C" w:rsidP="0009633C">
            <w:pPr>
              <w:spacing w:after="120"/>
              <w:contextualSpacing/>
              <w:jc w:val="both"/>
              <w:rPr>
                <w:rFonts w:cs="Times New Roman"/>
              </w:rPr>
            </w:pPr>
            <w:r w:rsidRPr="002E7B7B">
              <w:rPr>
                <w:rFonts w:cs="Times New Roman"/>
              </w:rPr>
              <w:t>exp Incidence/</w:t>
            </w:r>
          </w:p>
        </w:tc>
      </w:tr>
      <w:tr w:rsidR="0009633C" w:rsidRPr="002E7B7B" w14:paraId="26D33CB0" w14:textId="77777777" w:rsidTr="0009633C">
        <w:trPr>
          <w:trHeight w:val="300"/>
        </w:trPr>
        <w:tc>
          <w:tcPr>
            <w:tcW w:w="846" w:type="dxa"/>
            <w:hideMark/>
          </w:tcPr>
          <w:p w14:paraId="06065159" w14:textId="77777777" w:rsidR="0009633C" w:rsidRPr="002E7B7B" w:rsidRDefault="0009633C" w:rsidP="0009633C">
            <w:pPr>
              <w:spacing w:after="120"/>
              <w:contextualSpacing/>
              <w:jc w:val="both"/>
              <w:rPr>
                <w:rFonts w:cs="Times New Roman"/>
              </w:rPr>
            </w:pPr>
            <w:r w:rsidRPr="002E7B7B">
              <w:rPr>
                <w:rFonts w:cs="Times New Roman"/>
              </w:rPr>
              <w:t>11</w:t>
            </w:r>
          </w:p>
        </w:tc>
        <w:tc>
          <w:tcPr>
            <w:tcW w:w="8170" w:type="dxa"/>
            <w:hideMark/>
          </w:tcPr>
          <w:p w14:paraId="3B6B84D2" w14:textId="77777777" w:rsidR="0009633C" w:rsidRPr="002E7B7B" w:rsidRDefault="0009633C" w:rsidP="0009633C">
            <w:pPr>
              <w:spacing w:after="120"/>
              <w:contextualSpacing/>
              <w:jc w:val="both"/>
              <w:rPr>
                <w:rFonts w:cs="Times New Roman"/>
              </w:rPr>
            </w:pPr>
            <w:r w:rsidRPr="002E7B7B">
              <w:rPr>
                <w:rFonts w:cs="Times New Roman"/>
              </w:rPr>
              <w:t>exp Prevalence/</w:t>
            </w:r>
          </w:p>
        </w:tc>
      </w:tr>
      <w:tr w:rsidR="0009633C" w:rsidRPr="002E7B7B" w14:paraId="60BAE8B2" w14:textId="77777777" w:rsidTr="0009633C">
        <w:trPr>
          <w:trHeight w:val="300"/>
        </w:trPr>
        <w:tc>
          <w:tcPr>
            <w:tcW w:w="846" w:type="dxa"/>
            <w:hideMark/>
          </w:tcPr>
          <w:p w14:paraId="10CC01F5" w14:textId="77777777" w:rsidR="0009633C" w:rsidRPr="002E7B7B" w:rsidRDefault="0009633C" w:rsidP="0009633C">
            <w:pPr>
              <w:spacing w:after="120"/>
              <w:contextualSpacing/>
              <w:jc w:val="both"/>
              <w:rPr>
                <w:rFonts w:cs="Times New Roman"/>
              </w:rPr>
            </w:pPr>
            <w:r w:rsidRPr="002E7B7B">
              <w:rPr>
                <w:rFonts w:cs="Times New Roman"/>
              </w:rPr>
              <w:t>12</w:t>
            </w:r>
          </w:p>
        </w:tc>
        <w:tc>
          <w:tcPr>
            <w:tcW w:w="8170" w:type="dxa"/>
            <w:hideMark/>
          </w:tcPr>
          <w:p w14:paraId="7D73DB8F" w14:textId="77777777" w:rsidR="0009633C" w:rsidRPr="002E7B7B" w:rsidRDefault="0009633C" w:rsidP="0009633C">
            <w:pPr>
              <w:spacing w:after="120"/>
              <w:contextualSpacing/>
              <w:jc w:val="both"/>
              <w:rPr>
                <w:rFonts w:cs="Times New Roman"/>
              </w:rPr>
            </w:pPr>
            <w:r w:rsidRPr="002E7B7B">
              <w:rPr>
                <w:rFonts w:cs="Times New Roman"/>
              </w:rPr>
              <w:t>incidence.tw.</w:t>
            </w:r>
          </w:p>
        </w:tc>
      </w:tr>
      <w:tr w:rsidR="0009633C" w:rsidRPr="002E7B7B" w14:paraId="22EAF1F1" w14:textId="77777777" w:rsidTr="0009633C">
        <w:trPr>
          <w:trHeight w:val="300"/>
        </w:trPr>
        <w:tc>
          <w:tcPr>
            <w:tcW w:w="846" w:type="dxa"/>
            <w:hideMark/>
          </w:tcPr>
          <w:p w14:paraId="7D7DD64B" w14:textId="77777777" w:rsidR="0009633C" w:rsidRPr="002E7B7B" w:rsidRDefault="0009633C" w:rsidP="0009633C">
            <w:pPr>
              <w:spacing w:after="120"/>
              <w:contextualSpacing/>
              <w:jc w:val="both"/>
              <w:rPr>
                <w:rFonts w:cs="Times New Roman"/>
              </w:rPr>
            </w:pPr>
            <w:r w:rsidRPr="002E7B7B">
              <w:rPr>
                <w:rFonts w:cs="Times New Roman"/>
              </w:rPr>
              <w:t>13</w:t>
            </w:r>
          </w:p>
        </w:tc>
        <w:tc>
          <w:tcPr>
            <w:tcW w:w="8170" w:type="dxa"/>
            <w:hideMark/>
          </w:tcPr>
          <w:p w14:paraId="5F92EF15" w14:textId="77777777" w:rsidR="0009633C" w:rsidRPr="002E7B7B" w:rsidRDefault="0009633C" w:rsidP="0009633C">
            <w:pPr>
              <w:spacing w:after="120"/>
              <w:contextualSpacing/>
              <w:jc w:val="both"/>
              <w:rPr>
                <w:rFonts w:cs="Times New Roman"/>
              </w:rPr>
            </w:pPr>
            <w:r w:rsidRPr="002E7B7B">
              <w:rPr>
                <w:rFonts w:cs="Times New Roman"/>
              </w:rPr>
              <w:t>prevalence.tw.</w:t>
            </w:r>
          </w:p>
        </w:tc>
      </w:tr>
      <w:tr w:rsidR="0009633C" w:rsidRPr="002E7B7B" w14:paraId="7B4CAD1A" w14:textId="77777777" w:rsidTr="0009633C">
        <w:trPr>
          <w:trHeight w:val="300"/>
        </w:trPr>
        <w:tc>
          <w:tcPr>
            <w:tcW w:w="846" w:type="dxa"/>
            <w:hideMark/>
          </w:tcPr>
          <w:p w14:paraId="2A5060F3" w14:textId="77777777" w:rsidR="0009633C" w:rsidRPr="002E7B7B" w:rsidRDefault="0009633C" w:rsidP="0009633C">
            <w:pPr>
              <w:spacing w:after="120"/>
              <w:contextualSpacing/>
              <w:jc w:val="both"/>
              <w:rPr>
                <w:rFonts w:cs="Times New Roman"/>
              </w:rPr>
            </w:pPr>
            <w:r w:rsidRPr="002E7B7B">
              <w:rPr>
                <w:rFonts w:cs="Times New Roman"/>
              </w:rPr>
              <w:t>14</w:t>
            </w:r>
          </w:p>
        </w:tc>
        <w:tc>
          <w:tcPr>
            <w:tcW w:w="8170" w:type="dxa"/>
            <w:hideMark/>
          </w:tcPr>
          <w:p w14:paraId="68A41F2B" w14:textId="77777777" w:rsidR="0009633C" w:rsidRPr="002E7B7B" w:rsidRDefault="0009633C" w:rsidP="0009633C">
            <w:pPr>
              <w:spacing w:after="120"/>
              <w:contextualSpacing/>
              <w:jc w:val="both"/>
              <w:rPr>
                <w:rFonts w:cs="Times New Roman"/>
              </w:rPr>
            </w:pPr>
            <w:r w:rsidRPr="002E7B7B">
              <w:rPr>
                <w:rFonts w:cs="Times New Roman"/>
              </w:rPr>
              <w:t>or/10-13</w:t>
            </w:r>
          </w:p>
        </w:tc>
      </w:tr>
      <w:tr w:rsidR="0009633C" w:rsidRPr="002E7B7B" w14:paraId="462936B5" w14:textId="77777777" w:rsidTr="0009633C">
        <w:trPr>
          <w:trHeight w:val="300"/>
        </w:trPr>
        <w:tc>
          <w:tcPr>
            <w:tcW w:w="846" w:type="dxa"/>
            <w:hideMark/>
          </w:tcPr>
          <w:p w14:paraId="4799C1A5" w14:textId="77777777" w:rsidR="0009633C" w:rsidRPr="002E7B7B" w:rsidRDefault="0009633C" w:rsidP="0009633C">
            <w:pPr>
              <w:spacing w:after="120"/>
              <w:contextualSpacing/>
              <w:jc w:val="both"/>
              <w:rPr>
                <w:rFonts w:cs="Times New Roman"/>
              </w:rPr>
            </w:pPr>
            <w:r w:rsidRPr="002E7B7B">
              <w:rPr>
                <w:rFonts w:cs="Times New Roman"/>
              </w:rPr>
              <w:t>15</w:t>
            </w:r>
          </w:p>
        </w:tc>
        <w:tc>
          <w:tcPr>
            <w:tcW w:w="8170" w:type="dxa"/>
            <w:hideMark/>
          </w:tcPr>
          <w:p w14:paraId="70A6B2E0" w14:textId="77777777" w:rsidR="0009633C" w:rsidRPr="002E7B7B" w:rsidRDefault="0009633C" w:rsidP="0009633C">
            <w:pPr>
              <w:spacing w:after="120"/>
              <w:contextualSpacing/>
              <w:jc w:val="both"/>
              <w:rPr>
                <w:rFonts w:cs="Times New Roman"/>
              </w:rPr>
            </w:pPr>
            <w:r w:rsidRPr="002E7B7B">
              <w:rPr>
                <w:rFonts w:cs="Times New Roman"/>
              </w:rPr>
              <w:t>incubat*.tw.</w:t>
            </w:r>
          </w:p>
        </w:tc>
      </w:tr>
      <w:tr w:rsidR="0009633C" w:rsidRPr="002E7B7B" w14:paraId="7CAF7C17" w14:textId="77777777" w:rsidTr="0009633C">
        <w:trPr>
          <w:trHeight w:val="300"/>
        </w:trPr>
        <w:tc>
          <w:tcPr>
            <w:tcW w:w="846" w:type="dxa"/>
            <w:hideMark/>
          </w:tcPr>
          <w:p w14:paraId="362496FF" w14:textId="77777777" w:rsidR="0009633C" w:rsidRPr="002E7B7B" w:rsidRDefault="0009633C" w:rsidP="0009633C">
            <w:pPr>
              <w:spacing w:after="120"/>
              <w:contextualSpacing/>
              <w:jc w:val="both"/>
              <w:rPr>
                <w:rFonts w:cs="Times New Roman"/>
              </w:rPr>
            </w:pPr>
            <w:r w:rsidRPr="002E7B7B">
              <w:rPr>
                <w:rFonts w:cs="Times New Roman"/>
              </w:rPr>
              <w:t>16</w:t>
            </w:r>
          </w:p>
        </w:tc>
        <w:tc>
          <w:tcPr>
            <w:tcW w:w="8170" w:type="dxa"/>
            <w:hideMark/>
          </w:tcPr>
          <w:p w14:paraId="34C174ED" w14:textId="77777777" w:rsidR="0009633C" w:rsidRPr="002E7B7B" w:rsidRDefault="0009633C" w:rsidP="0009633C">
            <w:pPr>
              <w:spacing w:after="120"/>
              <w:contextualSpacing/>
              <w:jc w:val="both"/>
              <w:rPr>
                <w:rFonts w:cs="Times New Roman"/>
              </w:rPr>
            </w:pPr>
            <w:r w:rsidRPr="002E7B7B">
              <w:rPr>
                <w:rFonts w:cs="Times New Roman"/>
              </w:rPr>
              <w:t>9 and (14 or 15)</w:t>
            </w:r>
          </w:p>
        </w:tc>
      </w:tr>
      <w:tr w:rsidR="0009633C" w:rsidRPr="002E7B7B" w14:paraId="3AADD58C" w14:textId="77777777" w:rsidTr="0009633C">
        <w:trPr>
          <w:trHeight w:val="300"/>
        </w:trPr>
        <w:tc>
          <w:tcPr>
            <w:tcW w:w="846" w:type="dxa"/>
            <w:hideMark/>
          </w:tcPr>
          <w:p w14:paraId="73386FF2" w14:textId="77777777" w:rsidR="0009633C" w:rsidRPr="002E7B7B" w:rsidRDefault="0009633C" w:rsidP="0009633C">
            <w:pPr>
              <w:spacing w:after="120"/>
              <w:contextualSpacing/>
              <w:jc w:val="both"/>
              <w:rPr>
                <w:rFonts w:cs="Times New Roman"/>
              </w:rPr>
            </w:pPr>
            <w:r w:rsidRPr="002E7B7B">
              <w:rPr>
                <w:rFonts w:cs="Times New Roman"/>
              </w:rPr>
              <w:t>17</w:t>
            </w:r>
          </w:p>
        </w:tc>
        <w:tc>
          <w:tcPr>
            <w:tcW w:w="8170" w:type="dxa"/>
            <w:hideMark/>
          </w:tcPr>
          <w:p w14:paraId="572B7ED7" w14:textId="77777777" w:rsidR="0009633C" w:rsidRPr="002E7B7B" w:rsidRDefault="0009633C" w:rsidP="0009633C">
            <w:pPr>
              <w:spacing w:after="120"/>
              <w:contextualSpacing/>
              <w:jc w:val="both"/>
              <w:rPr>
                <w:rFonts w:cs="Times New Roman"/>
              </w:rPr>
            </w:pPr>
            <w:r w:rsidRPr="002E7B7B">
              <w:rPr>
                <w:rFonts w:cs="Times New Roman"/>
              </w:rPr>
              <w:t>limit 16 to yr="2005 -Current"</w:t>
            </w:r>
          </w:p>
        </w:tc>
      </w:tr>
      <w:tr w:rsidR="0009633C" w:rsidRPr="002E7B7B" w14:paraId="37337CD7" w14:textId="77777777" w:rsidTr="0009633C">
        <w:trPr>
          <w:trHeight w:val="300"/>
        </w:trPr>
        <w:tc>
          <w:tcPr>
            <w:tcW w:w="846" w:type="dxa"/>
            <w:hideMark/>
          </w:tcPr>
          <w:p w14:paraId="39E634BA" w14:textId="77777777" w:rsidR="0009633C" w:rsidRPr="002E7B7B" w:rsidRDefault="0009633C" w:rsidP="0009633C">
            <w:pPr>
              <w:spacing w:after="120"/>
              <w:contextualSpacing/>
              <w:jc w:val="both"/>
              <w:rPr>
                <w:rFonts w:cs="Times New Roman"/>
              </w:rPr>
            </w:pPr>
            <w:r w:rsidRPr="002E7B7B">
              <w:rPr>
                <w:rFonts w:cs="Times New Roman"/>
              </w:rPr>
              <w:t>18</w:t>
            </w:r>
          </w:p>
        </w:tc>
        <w:tc>
          <w:tcPr>
            <w:tcW w:w="8170" w:type="dxa"/>
            <w:hideMark/>
          </w:tcPr>
          <w:p w14:paraId="4F818761" w14:textId="77777777" w:rsidR="0009633C" w:rsidRPr="002E7B7B" w:rsidRDefault="0009633C" w:rsidP="0009633C">
            <w:pPr>
              <w:spacing w:after="120"/>
              <w:contextualSpacing/>
              <w:jc w:val="both"/>
              <w:rPr>
                <w:rFonts w:cs="Times New Roman"/>
              </w:rPr>
            </w:pPr>
            <w:r w:rsidRPr="002E7B7B">
              <w:rPr>
                <w:rFonts w:cs="Times New Roman"/>
              </w:rPr>
              <w:t>exp Creutzfeldt-Jakob Syndrome/</w:t>
            </w:r>
          </w:p>
        </w:tc>
      </w:tr>
      <w:tr w:rsidR="0009633C" w:rsidRPr="002E7B7B" w14:paraId="4C63B9EF" w14:textId="77777777" w:rsidTr="0009633C">
        <w:trPr>
          <w:trHeight w:val="300"/>
        </w:trPr>
        <w:tc>
          <w:tcPr>
            <w:tcW w:w="846" w:type="dxa"/>
            <w:hideMark/>
          </w:tcPr>
          <w:p w14:paraId="4D490D76" w14:textId="77777777" w:rsidR="0009633C" w:rsidRPr="002E7B7B" w:rsidRDefault="0009633C" w:rsidP="0009633C">
            <w:pPr>
              <w:spacing w:after="120"/>
              <w:contextualSpacing/>
              <w:jc w:val="both"/>
              <w:rPr>
                <w:rFonts w:cs="Times New Roman"/>
              </w:rPr>
            </w:pPr>
            <w:r w:rsidRPr="002E7B7B">
              <w:rPr>
                <w:rFonts w:cs="Times New Roman"/>
              </w:rPr>
              <w:t>19</w:t>
            </w:r>
          </w:p>
        </w:tc>
        <w:tc>
          <w:tcPr>
            <w:tcW w:w="8170" w:type="dxa"/>
            <w:hideMark/>
          </w:tcPr>
          <w:p w14:paraId="06963B0B" w14:textId="77777777" w:rsidR="0009633C" w:rsidRPr="002E7B7B" w:rsidRDefault="0009633C" w:rsidP="0009633C">
            <w:pPr>
              <w:spacing w:after="120"/>
              <w:contextualSpacing/>
              <w:jc w:val="both"/>
              <w:rPr>
                <w:rFonts w:cs="Times New Roman"/>
              </w:rPr>
            </w:pPr>
            <w:r w:rsidRPr="002E7B7B">
              <w:rPr>
                <w:rFonts w:cs="Times New Roman"/>
              </w:rPr>
              <w:t>((creutzfeldt jakob or creutzfeldt-jakob) adj (disease or syndrome)).tw.</w:t>
            </w:r>
          </w:p>
        </w:tc>
      </w:tr>
      <w:tr w:rsidR="0009633C" w:rsidRPr="002E7B7B" w14:paraId="30A4E6A1" w14:textId="77777777" w:rsidTr="0009633C">
        <w:trPr>
          <w:trHeight w:val="300"/>
        </w:trPr>
        <w:tc>
          <w:tcPr>
            <w:tcW w:w="846" w:type="dxa"/>
            <w:hideMark/>
          </w:tcPr>
          <w:p w14:paraId="28E0F4B8" w14:textId="77777777" w:rsidR="0009633C" w:rsidRPr="002E7B7B" w:rsidRDefault="0009633C" w:rsidP="0009633C">
            <w:pPr>
              <w:spacing w:after="120"/>
              <w:contextualSpacing/>
              <w:jc w:val="both"/>
              <w:rPr>
                <w:rFonts w:cs="Times New Roman"/>
              </w:rPr>
            </w:pPr>
            <w:r w:rsidRPr="002E7B7B">
              <w:rPr>
                <w:rFonts w:cs="Times New Roman"/>
              </w:rPr>
              <w:t>20</w:t>
            </w:r>
          </w:p>
        </w:tc>
        <w:tc>
          <w:tcPr>
            <w:tcW w:w="8170" w:type="dxa"/>
            <w:hideMark/>
          </w:tcPr>
          <w:p w14:paraId="59190A16" w14:textId="77777777" w:rsidR="0009633C" w:rsidRPr="002E7B7B" w:rsidRDefault="0009633C" w:rsidP="0009633C">
            <w:pPr>
              <w:spacing w:after="120"/>
              <w:contextualSpacing/>
              <w:jc w:val="both"/>
              <w:rPr>
                <w:rFonts w:cs="Times New Roman"/>
              </w:rPr>
            </w:pPr>
            <w:r w:rsidRPr="002E7B7B">
              <w:rPr>
                <w:rFonts w:cs="Times New Roman"/>
              </w:rPr>
              <w:t>(cjd or vcjd or v-cjd).tw.</w:t>
            </w:r>
          </w:p>
        </w:tc>
      </w:tr>
      <w:tr w:rsidR="0009633C" w:rsidRPr="002E7B7B" w14:paraId="01974E1A" w14:textId="77777777" w:rsidTr="0009633C">
        <w:trPr>
          <w:trHeight w:val="300"/>
        </w:trPr>
        <w:tc>
          <w:tcPr>
            <w:tcW w:w="846" w:type="dxa"/>
            <w:hideMark/>
          </w:tcPr>
          <w:p w14:paraId="413072E6" w14:textId="77777777" w:rsidR="0009633C" w:rsidRPr="002E7B7B" w:rsidRDefault="0009633C" w:rsidP="0009633C">
            <w:pPr>
              <w:spacing w:after="120"/>
              <w:contextualSpacing/>
              <w:jc w:val="both"/>
              <w:rPr>
                <w:rFonts w:cs="Times New Roman"/>
              </w:rPr>
            </w:pPr>
            <w:r w:rsidRPr="002E7B7B">
              <w:rPr>
                <w:rFonts w:cs="Times New Roman"/>
              </w:rPr>
              <w:t>21</w:t>
            </w:r>
          </w:p>
        </w:tc>
        <w:tc>
          <w:tcPr>
            <w:tcW w:w="8170" w:type="dxa"/>
            <w:hideMark/>
          </w:tcPr>
          <w:p w14:paraId="7AB4B52C" w14:textId="77777777" w:rsidR="0009633C" w:rsidRPr="002E7B7B" w:rsidRDefault="0009633C" w:rsidP="0009633C">
            <w:pPr>
              <w:spacing w:after="120"/>
              <w:contextualSpacing/>
              <w:jc w:val="both"/>
              <w:rPr>
                <w:rFonts w:cs="Times New Roman"/>
              </w:rPr>
            </w:pPr>
            <w:r w:rsidRPr="002E7B7B">
              <w:rPr>
                <w:rFonts w:cs="Times New Roman"/>
              </w:rPr>
              <w:t>exp Prion Diseases/</w:t>
            </w:r>
          </w:p>
        </w:tc>
      </w:tr>
      <w:tr w:rsidR="0009633C" w:rsidRPr="002E7B7B" w14:paraId="648790EB" w14:textId="77777777" w:rsidTr="0009633C">
        <w:trPr>
          <w:trHeight w:val="300"/>
        </w:trPr>
        <w:tc>
          <w:tcPr>
            <w:tcW w:w="846" w:type="dxa"/>
            <w:hideMark/>
          </w:tcPr>
          <w:p w14:paraId="249BEB54" w14:textId="77777777" w:rsidR="0009633C" w:rsidRPr="002E7B7B" w:rsidRDefault="0009633C" w:rsidP="0009633C">
            <w:pPr>
              <w:spacing w:after="120"/>
              <w:contextualSpacing/>
              <w:jc w:val="both"/>
              <w:rPr>
                <w:rFonts w:cs="Times New Roman"/>
              </w:rPr>
            </w:pPr>
            <w:r w:rsidRPr="002E7B7B">
              <w:rPr>
                <w:rFonts w:cs="Times New Roman"/>
              </w:rPr>
              <w:t>22</w:t>
            </w:r>
          </w:p>
        </w:tc>
        <w:tc>
          <w:tcPr>
            <w:tcW w:w="8170" w:type="dxa"/>
            <w:hideMark/>
          </w:tcPr>
          <w:p w14:paraId="0C9FAB9E" w14:textId="77777777" w:rsidR="0009633C" w:rsidRPr="002E7B7B" w:rsidRDefault="0009633C" w:rsidP="0009633C">
            <w:pPr>
              <w:spacing w:after="120"/>
              <w:contextualSpacing/>
              <w:jc w:val="both"/>
              <w:rPr>
                <w:rFonts w:cs="Times New Roman"/>
              </w:rPr>
            </w:pPr>
            <w:r w:rsidRPr="002E7B7B">
              <w:rPr>
                <w:rFonts w:cs="Times New Roman"/>
              </w:rPr>
              <w:t>exp Prions/</w:t>
            </w:r>
          </w:p>
        </w:tc>
      </w:tr>
      <w:tr w:rsidR="0009633C" w:rsidRPr="002E7B7B" w14:paraId="3CA9912B" w14:textId="77777777" w:rsidTr="0009633C">
        <w:trPr>
          <w:trHeight w:val="300"/>
        </w:trPr>
        <w:tc>
          <w:tcPr>
            <w:tcW w:w="846" w:type="dxa"/>
            <w:hideMark/>
          </w:tcPr>
          <w:p w14:paraId="3FCF78A0" w14:textId="77777777" w:rsidR="0009633C" w:rsidRPr="002E7B7B" w:rsidRDefault="0009633C" w:rsidP="0009633C">
            <w:pPr>
              <w:spacing w:after="120"/>
              <w:contextualSpacing/>
              <w:jc w:val="both"/>
              <w:rPr>
                <w:rFonts w:cs="Times New Roman"/>
              </w:rPr>
            </w:pPr>
            <w:r w:rsidRPr="002E7B7B">
              <w:rPr>
                <w:rFonts w:cs="Times New Roman"/>
              </w:rPr>
              <w:t>23</w:t>
            </w:r>
          </w:p>
        </w:tc>
        <w:tc>
          <w:tcPr>
            <w:tcW w:w="8170" w:type="dxa"/>
            <w:hideMark/>
          </w:tcPr>
          <w:p w14:paraId="15536DD7" w14:textId="77777777" w:rsidR="0009633C" w:rsidRPr="002E7B7B" w:rsidRDefault="0009633C" w:rsidP="0009633C">
            <w:pPr>
              <w:spacing w:after="120"/>
              <w:contextualSpacing/>
              <w:jc w:val="both"/>
              <w:rPr>
                <w:rFonts w:cs="Times New Roman"/>
              </w:rPr>
            </w:pPr>
            <w:r w:rsidRPr="002E7B7B">
              <w:rPr>
                <w:rFonts w:cs="Times New Roman"/>
              </w:rPr>
              <w:t>((transmissible or spong*) adj encephalopath*).tw.</w:t>
            </w:r>
          </w:p>
        </w:tc>
      </w:tr>
      <w:tr w:rsidR="0009633C" w:rsidRPr="002E7B7B" w14:paraId="61F4DC93" w14:textId="77777777" w:rsidTr="0009633C">
        <w:trPr>
          <w:trHeight w:val="300"/>
        </w:trPr>
        <w:tc>
          <w:tcPr>
            <w:tcW w:w="846" w:type="dxa"/>
            <w:hideMark/>
          </w:tcPr>
          <w:p w14:paraId="50330413" w14:textId="77777777" w:rsidR="0009633C" w:rsidRPr="002E7B7B" w:rsidRDefault="0009633C" w:rsidP="0009633C">
            <w:pPr>
              <w:spacing w:after="120"/>
              <w:contextualSpacing/>
              <w:jc w:val="both"/>
              <w:rPr>
                <w:rFonts w:cs="Times New Roman"/>
              </w:rPr>
            </w:pPr>
            <w:r w:rsidRPr="002E7B7B">
              <w:rPr>
                <w:rFonts w:cs="Times New Roman"/>
              </w:rPr>
              <w:t>24</w:t>
            </w:r>
          </w:p>
        </w:tc>
        <w:tc>
          <w:tcPr>
            <w:tcW w:w="8170" w:type="dxa"/>
            <w:hideMark/>
          </w:tcPr>
          <w:p w14:paraId="5030247E" w14:textId="77777777" w:rsidR="0009633C" w:rsidRPr="002E7B7B" w:rsidRDefault="0009633C" w:rsidP="0009633C">
            <w:pPr>
              <w:spacing w:after="120"/>
              <w:contextualSpacing/>
              <w:jc w:val="both"/>
              <w:rPr>
                <w:rFonts w:cs="Times New Roman"/>
              </w:rPr>
            </w:pPr>
            <w:r w:rsidRPr="002E7B7B">
              <w:rPr>
                <w:rFonts w:cs="Times New Roman"/>
              </w:rPr>
              <w:t>(prion* or tse).tw.</w:t>
            </w:r>
          </w:p>
        </w:tc>
      </w:tr>
      <w:tr w:rsidR="0009633C" w:rsidRPr="002E7B7B" w14:paraId="372124BF" w14:textId="77777777" w:rsidTr="0009633C">
        <w:trPr>
          <w:trHeight w:val="300"/>
        </w:trPr>
        <w:tc>
          <w:tcPr>
            <w:tcW w:w="846" w:type="dxa"/>
            <w:hideMark/>
          </w:tcPr>
          <w:p w14:paraId="09BED556" w14:textId="77777777" w:rsidR="0009633C" w:rsidRPr="002E7B7B" w:rsidRDefault="0009633C" w:rsidP="0009633C">
            <w:pPr>
              <w:spacing w:after="120"/>
              <w:contextualSpacing/>
              <w:jc w:val="both"/>
              <w:rPr>
                <w:rFonts w:cs="Times New Roman"/>
              </w:rPr>
            </w:pPr>
            <w:r w:rsidRPr="002E7B7B">
              <w:rPr>
                <w:rFonts w:cs="Times New Roman"/>
              </w:rPr>
              <w:t>25</w:t>
            </w:r>
          </w:p>
        </w:tc>
        <w:tc>
          <w:tcPr>
            <w:tcW w:w="8170" w:type="dxa"/>
            <w:hideMark/>
          </w:tcPr>
          <w:p w14:paraId="790B073A" w14:textId="77777777" w:rsidR="0009633C" w:rsidRPr="002E7B7B" w:rsidRDefault="0009633C" w:rsidP="0009633C">
            <w:pPr>
              <w:spacing w:after="120"/>
              <w:contextualSpacing/>
              <w:jc w:val="both"/>
              <w:rPr>
                <w:rFonts w:cs="Times New Roman"/>
              </w:rPr>
            </w:pPr>
            <w:r w:rsidRPr="002E7B7B">
              <w:rPr>
                <w:rFonts w:cs="Times New Roman"/>
              </w:rPr>
              <w:t>prp.tw.</w:t>
            </w:r>
          </w:p>
        </w:tc>
      </w:tr>
      <w:tr w:rsidR="0009633C" w:rsidRPr="002E7B7B" w14:paraId="39482331" w14:textId="77777777" w:rsidTr="0009633C">
        <w:trPr>
          <w:trHeight w:val="300"/>
        </w:trPr>
        <w:tc>
          <w:tcPr>
            <w:tcW w:w="846" w:type="dxa"/>
            <w:hideMark/>
          </w:tcPr>
          <w:p w14:paraId="0D8B83CA" w14:textId="77777777" w:rsidR="0009633C" w:rsidRPr="002E7B7B" w:rsidRDefault="0009633C" w:rsidP="0009633C">
            <w:pPr>
              <w:spacing w:after="120"/>
              <w:contextualSpacing/>
              <w:jc w:val="both"/>
              <w:rPr>
                <w:rFonts w:cs="Times New Roman"/>
              </w:rPr>
            </w:pPr>
            <w:r w:rsidRPr="002E7B7B">
              <w:rPr>
                <w:rFonts w:cs="Times New Roman"/>
              </w:rPr>
              <w:t>26</w:t>
            </w:r>
          </w:p>
        </w:tc>
        <w:tc>
          <w:tcPr>
            <w:tcW w:w="8170" w:type="dxa"/>
            <w:hideMark/>
          </w:tcPr>
          <w:p w14:paraId="3C4B8C0A" w14:textId="77777777" w:rsidR="0009633C" w:rsidRPr="002E7B7B" w:rsidRDefault="0009633C" w:rsidP="0009633C">
            <w:pPr>
              <w:spacing w:after="120"/>
              <w:contextualSpacing/>
              <w:jc w:val="both"/>
              <w:rPr>
                <w:rFonts w:cs="Times New Roman"/>
              </w:rPr>
            </w:pPr>
            <w:r w:rsidRPr="002E7B7B">
              <w:rPr>
                <w:rFonts w:cs="Times New Roman"/>
              </w:rPr>
              <w:t>or/18-25</w:t>
            </w:r>
          </w:p>
        </w:tc>
      </w:tr>
      <w:tr w:rsidR="0009633C" w:rsidRPr="002E7B7B" w14:paraId="785B5D7C" w14:textId="77777777" w:rsidTr="0009633C">
        <w:trPr>
          <w:trHeight w:val="600"/>
        </w:trPr>
        <w:tc>
          <w:tcPr>
            <w:tcW w:w="846" w:type="dxa"/>
            <w:hideMark/>
          </w:tcPr>
          <w:p w14:paraId="1F7AD430" w14:textId="77777777" w:rsidR="0009633C" w:rsidRPr="002E7B7B" w:rsidRDefault="0009633C" w:rsidP="0009633C">
            <w:pPr>
              <w:spacing w:after="120"/>
              <w:contextualSpacing/>
              <w:jc w:val="both"/>
              <w:rPr>
                <w:rFonts w:cs="Times New Roman"/>
              </w:rPr>
            </w:pPr>
            <w:r w:rsidRPr="002E7B7B">
              <w:rPr>
                <w:rFonts w:cs="Times New Roman"/>
              </w:rPr>
              <w:t>27</w:t>
            </w:r>
          </w:p>
        </w:tc>
        <w:tc>
          <w:tcPr>
            <w:tcW w:w="8170" w:type="dxa"/>
            <w:hideMark/>
          </w:tcPr>
          <w:p w14:paraId="462AF08E" w14:textId="77777777" w:rsidR="0009633C" w:rsidRPr="002E7B7B" w:rsidRDefault="0009633C" w:rsidP="0009633C">
            <w:pPr>
              <w:spacing w:after="120"/>
              <w:contextualSpacing/>
              <w:jc w:val="both"/>
              <w:rPr>
                <w:rFonts w:cs="Times New Roman"/>
              </w:rPr>
            </w:pPr>
            <w:r w:rsidRPr="002E7B7B">
              <w:rPr>
                <w:rFonts w:cs="Times New Roman"/>
              </w:rPr>
              <w:t>((transmission or transmit* or iatrogenic or transfer*) adj5 (creutzfeldt or cjd or vcjd or v-cjd or encephalopath* or prion* or tse or prp)).tw.</w:t>
            </w:r>
          </w:p>
        </w:tc>
      </w:tr>
      <w:tr w:rsidR="0009633C" w:rsidRPr="002E7B7B" w14:paraId="536B4B3F" w14:textId="77777777" w:rsidTr="0009633C">
        <w:trPr>
          <w:trHeight w:val="300"/>
        </w:trPr>
        <w:tc>
          <w:tcPr>
            <w:tcW w:w="846" w:type="dxa"/>
            <w:hideMark/>
          </w:tcPr>
          <w:p w14:paraId="641E5F72" w14:textId="77777777" w:rsidR="0009633C" w:rsidRPr="002E7B7B" w:rsidRDefault="0009633C" w:rsidP="0009633C">
            <w:pPr>
              <w:spacing w:after="120"/>
              <w:contextualSpacing/>
              <w:jc w:val="both"/>
              <w:rPr>
                <w:rFonts w:cs="Times New Roman"/>
              </w:rPr>
            </w:pPr>
            <w:r w:rsidRPr="002E7B7B">
              <w:rPr>
                <w:rFonts w:cs="Times New Roman"/>
              </w:rPr>
              <w:t>28</w:t>
            </w:r>
          </w:p>
        </w:tc>
        <w:tc>
          <w:tcPr>
            <w:tcW w:w="8170" w:type="dxa"/>
            <w:hideMark/>
          </w:tcPr>
          <w:p w14:paraId="7C408CED" w14:textId="77777777" w:rsidR="0009633C" w:rsidRPr="002E7B7B" w:rsidRDefault="0009633C" w:rsidP="0009633C">
            <w:pPr>
              <w:spacing w:after="120"/>
              <w:contextualSpacing/>
              <w:jc w:val="both"/>
              <w:rPr>
                <w:rFonts w:cs="Times New Roman"/>
              </w:rPr>
            </w:pPr>
            <w:r w:rsidRPr="002E7B7B">
              <w:rPr>
                <w:rFonts w:cs="Times New Roman"/>
              </w:rPr>
              <w:t>exp Surgical Instruments/</w:t>
            </w:r>
          </w:p>
        </w:tc>
      </w:tr>
      <w:tr w:rsidR="0009633C" w:rsidRPr="002E7B7B" w14:paraId="13C20FE9" w14:textId="77777777" w:rsidTr="0009633C">
        <w:trPr>
          <w:trHeight w:val="300"/>
        </w:trPr>
        <w:tc>
          <w:tcPr>
            <w:tcW w:w="846" w:type="dxa"/>
            <w:hideMark/>
          </w:tcPr>
          <w:p w14:paraId="56328022" w14:textId="77777777" w:rsidR="0009633C" w:rsidRPr="002E7B7B" w:rsidRDefault="0009633C" w:rsidP="0009633C">
            <w:pPr>
              <w:spacing w:after="120"/>
              <w:contextualSpacing/>
              <w:jc w:val="both"/>
              <w:rPr>
                <w:rFonts w:cs="Times New Roman"/>
              </w:rPr>
            </w:pPr>
            <w:r w:rsidRPr="002E7B7B">
              <w:rPr>
                <w:rFonts w:cs="Times New Roman"/>
              </w:rPr>
              <w:t>29</w:t>
            </w:r>
          </w:p>
        </w:tc>
        <w:tc>
          <w:tcPr>
            <w:tcW w:w="8170" w:type="dxa"/>
            <w:hideMark/>
          </w:tcPr>
          <w:p w14:paraId="6A6A86CB" w14:textId="77777777" w:rsidR="0009633C" w:rsidRPr="002E7B7B" w:rsidRDefault="0009633C" w:rsidP="0009633C">
            <w:pPr>
              <w:spacing w:after="120"/>
              <w:contextualSpacing/>
              <w:jc w:val="both"/>
              <w:rPr>
                <w:rFonts w:cs="Times New Roman"/>
              </w:rPr>
            </w:pPr>
            <w:r w:rsidRPr="002E7B7B">
              <w:rPr>
                <w:rFonts w:cs="Times New Roman"/>
              </w:rPr>
              <w:t>exp Decontamination/</w:t>
            </w:r>
          </w:p>
        </w:tc>
      </w:tr>
      <w:tr w:rsidR="0009633C" w:rsidRPr="002E7B7B" w14:paraId="6A949A2C" w14:textId="77777777" w:rsidTr="0009633C">
        <w:trPr>
          <w:trHeight w:val="300"/>
        </w:trPr>
        <w:tc>
          <w:tcPr>
            <w:tcW w:w="846" w:type="dxa"/>
            <w:hideMark/>
          </w:tcPr>
          <w:p w14:paraId="16E92248" w14:textId="77777777" w:rsidR="0009633C" w:rsidRPr="002E7B7B" w:rsidRDefault="0009633C" w:rsidP="0009633C">
            <w:pPr>
              <w:spacing w:after="120"/>
              <w:contextualSpacing/>
              <w:jc w:val="both"/>
              <w:rPr>
                <w:rFonts w:cs="Times New Roman"/>
              </w:rPr>
            </w:pPr>
            <w:r w:rsidRPr="002E7B7B">
              <w:rPr>
                <w:rFonts w:cs="Times New Roman"/>
              </w:rPr>
              <w:t>30</w:t>
            </w:r>
          </w:p>
        </w:tc>
        <w:tc>
          <w:tcPr>
            <w:tcW w:w="8170" w:type="dxa"/>
            <w:hideMark/>
          </w:tcPr>
          <w:p w14:paraId="08D4E652" w14:textId="77777777" w:rsidR="0009633C" w:rsidRPr="002E7B7B" w:rsidRDefault="0009633C" w:rsidP="0009633C">
            <w:pPr>
              <w:spacing w:after="120"/>
              <w:contextualSpacing/>
              <w:jc w:val="both"/>
              <w:rPr>
                <w:rFonts w:cs="Times New Roman"/>
              </w:rPr>
            </w:pPr>
            <w:r w:rsidRPr="002E7B7B">
              <w:rPr>
                <w:rFonts w:cs="Times New Roman"/>
              </w:rPr>
              <w:t>exp Sterilization/</w:t>
            </w:r>
          </w:p>
        </w:tc>
      </w:tr>
      <w:tr w:rsidR="0009633C" w:rsidRPr="002E7B7B" w14:paraId="013F6C48" w14:textId="77777777" w:rsidTr="0009633C">
        <w:trPr>
          <w:trHeight w:val="300"/>
        </w:trPr>
        <w:tc>
          <w:tcPr>
            <w:tcW w:w="846" w:type="dxa"/>
            <w:hideMark/>
          </w:tcPr>
          <w:p w14:paraId="61EB87A3" w14:textId="77777777" w:rsidR="0009633C" w:rsidRPr="002E7B7B" w:rsidRDefault="0009633C" w:rsidP="0009633C">
            <w:pPr>
              <w:spacing w:after="120"/>
              <w:contextualSpacing/>
              <w:jc w:val="both"/>
              <w:rPr>
                <w:rFonts w:cs="Times New Roman"/>
              </w:rPr>
            </w:pPr>
            <w:r w:rsidRPr="002E7B7B">
              <w:rPr>
                <w:rFonts w:cs="Times New Roman"/>
              </w:rPr>
              <w:t>31</w:t>
            </w:r>
          </w:p>
        </w:tc>
        <w:tc>
          <w:tcPr>
            <w:tcW w:w="8170" w:type="dxa"/>
            <w:hideMark/>
          </w:tcPr>
          <w:p w14:paraId="23BF6982" w14:textId="77777777" w:rsidR="0009633C" w:rsidRPr="002E7B7B" w:rsidRDefault="0009633C" w:rsidP="0009633C">
            <w:pPr>
              <w:spacing w:after="120"/>
              <w:contextualSpacing/>
              <w:jc w:val="both"/>
              <w:rPr>
                <w:rFonts w:cs="Times New Roman"/>
              </w:rPr>
            </w:pPr>
            <w:r w:rsidRPr="002E7B7B">
              <w:rPr>
                <w:rFonts w:cs="Times New Roman"/>
              </w:rPr>
              <w:t>28 and (29 or 30)</w:t>
            </w:r>
          </w:p>
        </w:tc>
      </w:tr>
      <w:tr w:rsidR="0009633C" w:rsidRPr="002E7B7B" w14:paraId="7CF14C3C" w14:textId="77777777" w:rsidTr="0009633C">
        <w:trPr>
          <w:trHeight w:val="600"/>
        </w:trPr>
        <w:tc>
          <w:tcPr>
            <w:tcW w:w="846" w:type="dxa"/>
            <w:hideMark/>
          </w:tcPr>
          <w:p w14:paraId="7929C7A4" w14:textId="77777777" w:rsidR="0009633C" w:rsidRPr="002E7B7B" w:rsidRDefault="0009633C" w:rsidP="0009633C">
            <w:pPr>
              <w:spacing w:after="120"/>
              <w:contextualSpacing/>
              <w:jc w:val="both"/>
              <w:rPr>
                <w:rFonts w:cs="Times New Roman"/>
              </w:rPr>
            </w:pPr>
            <w:r w:rsidRPr="002E7B7B">
              <w:rPr>
                <w:rFonts w:cs="Times New Roman"/>
              </w:rPr>
              <w:t>32</w:t>
            </w:r>
          </w:p>
        </w:tc>
        <w:tc>
          <w:tcPr>
            <w:tcW w:w="8170" w:type="dxa"/>
            <w:hideMark/>
          </w:tcPr>
          <w:p w14:paraId="52DCD557" w14:textId="77777777" w:rsidR="0009633C" w:rsidRPr="002E7B7B" w:rsidRDefault="0009633C" w:rsidP="0009633C">
            <w:pPr>
              <w:spacing w:after="120"/>
              <w:contextualSpacing/>
              <w:jc w:val="both"/>
              <w:rPr>
                <w:rFonts w:cs="Times New Roman"/>
              </w:rPr>
            </w:pPr>
            <w:r w:rsidRPr="002E7B7B">
              <w:rPr>
                <w:rFonts w:cs="Times New Roman"/>
              </w:rPr>
              <w:t>((surgery or surgical* or instrument* or device* or equipment*) adj5 (decontaminat* or reprocess* or disinfect* or wash* or clean* or steril* or contaminat* or prerinse or pre-rinse or inactivat*)).tw.</w:t>
            </w:r>
          </w:p>
        </w:tc>
      </w:tr>
      <w:tr w:rsidR="0009633C" w:rsidRPr="002E7B7B" w14:paraId="5D58F6A7" w14:textId="77777777" w:rsidTr="0009633C">
        <w:trPr>
          <w:trHeight w:val="300"/>
        </w:trPr>
        <w:tc>
          <w:tcPr>
            <w:tcW w:w="846" w:type="dxa"/>
            <w:hideMark/>
          </w:tcPr>
          <w:p w14:paraId="50068DA3" w14:textId="77777777" w:rsidR="0009633C" w:rsidRPr="002E7B7B" w:rsidRDefault="0009633C" w:rsidP="0009633C">
            <w:pPr>
              <w:spacing w:after="120"/>
              <w:contextualSpacing/>
              <w:jc w:val="both"/>
              <w:rPr>
                <w:rFonts w:cs="Times New Roman"/>
              </w:rPr>
            </w:pPr>
            <w:r w:rsidRPr="002E7B7B">
              <w:rPr>
                <w:rFonts w:cs="Times New Roman"/>
              </w:rPr>
              <w:t>33</w:t>
            </w:r>
          </w:p>
        </w:tc>
        <w:tc>
          <w:tcPr>
            <w:tcW w:w="8170" w:type="dxa"/>
            <w:hideMark/>
          </w:tcPr>
          <w:p w14:paraId="2674792A" w14:textId="77777777" w:rsidR="0009633C" w:rsidRPr="002E7B7B" w:rsidRDefault="0009633C" w:rsidP="0009633C">
            <w:pPr>
              <w:spacing w:after="120"/>
              <w:contextualSpacing/>
              <w:jc w:val="both"/>
              <w:rPr>
                <w:rFonts w:cs="Times New Roman"/>
              </w:rPr>
            </w:pPr>
            <w:r w:rsidRPr="002E7B7B">
              <w:rPr>
                <w:rFonts w:cs="Times New Roman"/>
              </w:rPr>
              <w:t>31 or 32</w:t>
            </w:r>
          </w:p>
        </w:tc>
      </w:tr>
      <w:tr w:rsidR="0009633C" w:rsidRPr="002E7B7B" w14:paraId="5BE9162E" w14:textId="77777777" w:rsidTr="0009633C">
        <w:trPr>
          <w:trHeight w:val="300"/>
        </w:trPr>
        <w:tc>
          <w:tcPr>
            <w:tcW w:w="846" w:type="dxa"/>
            <w:hideMark/>
          </w:tcPr>
          <w:p w14:paraId="38FB5FED" w14:textId="77777777" w:rsidR="0009633C" w:rsidRPr="002E7B7B" w:rsidRDefault="0009633C" w:rsidP="0009633C">
            <w:pPr>
              <w:spacing w:after="120"/>
              <w:contextualSpacing/>
              <w:jc w:val="both"/>
              <w:rPr>
                <w:rFonts w:cs="Times New Roman"/>
              </w:rPr>
            </w:pPr>
            <w:r w:rsidRPr="002E7B7B">
              <w:rPr>
                <w:rFonts w:cs="Times New Roman"/>
              </w:rPr>
              <w:t>34</w:t>
            </w:r>
          </w:p>
        </w:tc>
        <w:tc>
          <w:tcPr>
            <w:tcW w:w="8170" w:type="dxa"/>
            <w:hideMark/>
          </w:tcPr>
          <w:p w14:paraId="1E9BD939" w14:textId="77777777" w:rsidR="0009633C" w:rsidRPr="002E7B7B" w:rsidRDefault="0009633C" w:rsidP="0009633C">
            <w:pPr>
              <w:spacing w:after="120"/>
              <w:contextualSpacing/>
              <w:jc w:val="both"/>
              <w:rPr>
                <w:rFonts w:cs="Times New Roman"/>
              </w:rPr>
            </w:pPr>
            <w:r w:rsidRPr="002E7B7B">
              <w:rPr>
                <w:rFonts w:cs="Times New Roman"/>
              </w:rPr>
              <w:t>26 and (27 or 33)</w:t>
            </w:r>
          </w:p>
        </w:tc>
      </w:tr>
      <w:tr w:rsidR="0009633C" w:rsidRPr="002E7B7B" w14:paraId="4060DBA1" w14:textId="77777777" w:rsidTr="0009633C">
        <w:trPr>
          <w:trHeight w:val="300"/>
        </w:trPr>
        <w:tc>
          <w:tcPr>
            <w:tcW w:w="846" w:type="dxa"/>
            <w:hideMark/>
          </w:tcPr>
          <w:p w14:paraId="1804BE93" w14:textId="77777777" w:rsidR="0009633C" w:rsidRPr="002E7B7B" w:rsidRDefault="0009633C" w:rsidP="0009633C">
            <w:pPr>
              <w:spacing w:after="120"/>
              <w:contextualSpacing/>
              <w:jc w:val="both"/>
              <w:rPr>
                <w:rFonts w:cs="Times New Roman"/>
              </w:rPr>
            </w:pPr>
            <w:r w:rsidRPr="002E7B7B">
              <w:rPr>
                <w:rFonts w:cs="Times New Roman"/>
              </w:rPr>
              <w:t>35</w:t>
            </w:r>
          </w:p>
        </w:tc>
        <w:tc>
          <w:tcPr>
            <w:tcW w:w="8170" w:type="dxa"/>
            <w:hideMark/>
          </w:tcPr>
          <w:p w14:paraId="090FDB68" w14:textId="77777777" w:rsidR="0009633C" w:rsidRPr="002E7B7B" w:rsidRDefault="0009633C" w:rsidP="0009633C">
            <w:pPr>
              <w:spacing w:after="120"/>
              <w:contextualSpacing/>
              <w:jc w:val="both"/>
              <w:rPr>
                <w:rFonts w:cs="Times New Roman"/>
              </w:rPr>
            </w:pPr>
            <w:r w:rsidRPr="002E7B7B">
              <w:rPr>
                <w:rFonts w:cs="Times New Roman"/>
              </w:rPr>
              <w:t>limit 34 to yr="2005 -Current"</w:t>
            </w:r>
          </w:p>
        </w:tc>
      </w:tr>
      <w:tr w:rsidR="0009633C" w:rsidRPr="002E7B7B" w14:paraId="2BD51E04" w14:textId="77777777" w:rsidTr="0009633C">
        <w:trPr>
          <w:trHeight w:val="300"/>
        </w:trPr>
        <w:tc>
          <w:tcPr>
            <w:tcW w:w="846" w:type="dxa"/>
            <w:hideMark/>
          </w:tcPr>
          <w:p w14:paraId="5ED687D4" w14:textId="77777777" w:rsidR="0009633C" w:rsidRPr="002E7B7B" w:rsidRDefault="0009633C" w:rsidP="0009633C">
            <w:pPr>
              <w:spacing w:after="120"/>
              <w:contextualSpacing/>
              <w:jc w:val="both"/>
              <w:rPr>
                <w:rFonts w:cs="Times New Roman"/>
              </w:rPr>
            </w:pPr>
            <w:r w:rsidRPr="002E7B7B">
              <w:rPr>
                <w:rFonts w:cs="Times New Roman"/>
              </w:rPr>
              <w:t>36</w:t>
            </w:r>
          </w:p>
        </w:tc>
        <w:tc>
          <w:tcPr>
            <w:tcW w:w="8170" w:type="dxa"/>
            <w:hideMark/>
          </w:tcPr>
          <w:p w14:paraId="6725AFC6" w14:textId="77777777" w:rsidR="0009633C" w:rsidRPr="002E7B7B" w:rsidRDefault="0009633C" w:rsidP="0009633C">
            <w:pPr>
              <w:spacing w:after="120"/>
              <w:contextualSpacing/>
              <w:jc w:val="both"/>
              <w:rPr>
                <w:rFonts w:cs="Times New Roman"/>
              </w:rPr>
            </w:pPr>
            <w:r w:rsidRPr="002E7B7B">
              <w:rPr>
                <w:rFonts w:cs="Times New Roman"/>
              </w:rPr>
              <w:t>exp Surgical Instruments/</w:t>
            </w:r>
          </w:p>
        </w:tc>
      </w:tr>
      <w:tr w:rsidR="0009633C" w:rsidRPr="002E7B7B" w14:paraId="39ED8DA4" w14:textId="77777777" w:rsidTr="0009633C">
        <w:trPr>
          <w:trHeight w:val="300"/>
        </w:trPr>
        <w:tc>
          <w:tcPr>
            <w:tcW w:w="846" w:type="dxa"/>
            <w:hideMark/>
          </w:tcPr>
          <w:p w14:paraId="29ED4630" w14:textId="77777777" w:rsidR="0009633C" w:rsidRPr="002E7B7B" w:rsidRDefault="0009633C" w:rsidP="0009633C">
            <w:pPr>
              <w:spacing w:after="120"/>
              <w:contextualSpacing/>
              <w:jc w:val="both"/>
              <w:rPr>
                <w:rFonts w:cs="Times New Roman"/>
              </w:rPr>
            </w:pPr>
            <w:r w:rsidRPr="002E7B7B">
              <w:rPr>
                <w:rFonts w:cs="Times New Roman"/>
              </w:rPr>
              <w:t>37</w:t>
            </w:r>
          </w:p>
        </w:tc>
        <w:tc>
          <w:tcPr>
            <w:tcW w:w="8170" w:type="dxa"/>
            <w:hideMark/>
          </w:tcPr>
          <w:p w14:paraId="0EAA64E6" w14:textId="77777777" w:rsidR="0009633C" w:rsidRPr="002E7B7B" w:rsidRDefault="0009633C" w:rsidP="0009633C">
            <w:pPr>
              <w:spacing w:after="120"/>
              <w:contextualSpacing/>
              <w:jc w:val="both"/>
              <w:rPr>
                <w:rFonts w:cs="Times New Roman"/>
              </w:rPr>
            </w:pPr>
            <w:r w:rsidRPr="002E7B7B">
              <w:rPr>
                <w:rFonts w:cs="Times New Roman"/>
              </w:rPr>
              <w:t>exp Decontamination/</w:t>
            </w:r>
          </w:p>
        </w:tc>
      </w:tr>
      <w:tr w:rsidR="0009633C" w:rsidRPr="002E7B7B" w14:paraId="19C80E4C" w14:textId="77777777" w:rsidTr="0009633C">
        <w:trPr>
          <w:trHeight w:val="300"/>
        </w:trPr>
        <w:tc>
          <w:tcPr>
            <w:tcW w:w="846" w:type="dxa"/>
            <w:hideMark/>
          </w:tcPr>
          <w:p w14:paraId="695FAE5B" w14:textId="77777777" w:rsidR="0009633C" w:rsidRPr="002E7B7B" w:rsidRDefault="0009633C" w:rsidP="0009633C">
            <w:pPr>
              <w:spacing w:after="120"/>
              <w:contextualSpacing/>
              <w:jc w:val="both"/>
              <w:rPr>
                <w:rFonts w:cs="Times New Roman"/>
              </w:rPr>
            </w:pPr>
            <w:r w:rsidRPr="002E7B7B">
              <w:rPr>
                <w:rFonts w:cs="Times New Roman"/>
              </w:rPr>
              <w:t>38</w:t>
            </w:r>
          </w:p>
        </w:tc>
        <w:tc>
          <w:tcPr>
            <w:tcW w:w="8170" w:type="dxa"/>
            <w:hideMark/>
          </w:tcPr>
          <w:p w14:paraId="16B0DAD6" w14:textId="77777777" w:rsidR="0009633C" w:rsidRPr="002E7B7B" w:rsidRDefault="0009633C" w:rsidP="0009633C">
            <w:pPr>
              <w:spacing w:after="120"/>
              <w:contextualSpacing/>
              <w:jc w:val="both"/>
              <w:rPr>
                <w:rFonts w:cs="Times New Roman"/>
              </w:rPr>
            </w:pPr>
            <w:r w:rsidRPr="002E7B7B">
              <w:rPr>
                <w:rFonts w:cs="Times New Roman"/>
              </w:rPr>
              <w:t>exp Sterilization/</w:t>
            </w:r>
          </w:p>
        </w:tc>
      </w:tr>
      <w:tr w:rsidR="0009633C" w:rsidRPr="002E7B7B" w14:paraId="6B314E25" w14:textId="77777777" w:rsidTr="0009633C">
        <w:trPr>
          <w:trHeight w:val="300"/>
        </w:trPr>
        <w:tc>
          <w:tcPr>
            <w:tcW w:w="846" w:type="dxa"/>
            <w:hideMark/>
          </w:tcPr>
          <w:p w14:paraId="2AD9492F" w14:textId="77777777" w:rsidR="0009633C" w:rsidRPr="002E7B7B" w:rsidRDefault="0009633C" w:rsidP="0009633C">
            <w:pPr>
              <w:spacing w:after="120"/>
              <w:contextualSpacing/>
              <w:jc w:val="both"/>
              <w:rPr>
                <w:rFonts w:cs="Times New Roman"/>
              </w:rPr>
            </w:pPr>
            <w:r w:rsidRPr="002E7B7B">
              <w:rPr>
                <w:rFonts w:cs="Times New Roman"/>
              </w:rPr>
              <w:t>39</w:t>
            </w:r>
          </w:p>
        </w:tc>
        <w:tc>
          <w:tcPr>
            <w:tcW w:w="8170" w:type="dxa"/>
            <w:hideMark/>
          </w:tcPr>
          <w:p w14:paraId="6CD9662A" w14:textId="77777777" w:rsidR="0009633C" w:rsidRPr="002E7B7B" w:rsidRDefault="0009633C" w:rsidP="0009633C">
            <w:pPr>
              <w:spacing w:after="120"/>
              <w:contextualSpacing/>
              <w:jc w:val="both"/>
              <w:rPr>
                <w:rFonts w:cs="Times New Roman"/>
              </w:rPr>
            </w:pPr>
            <w:r w:rsidRPr="002E7B7B">
              <w:rPr>
                <w:rFonts w:cs="Times New Roman"/>
              </w:rPr>
              <w:t>36 and (37 or 38)</w:t>
            </w:r>
          </w:p>
        </w:tc>
      </w:tr>
      <w:tr w:rsidR="0009633C" w:rsidRPr="002E7B7B" w14:paraId="4E49BC28" w14:textId="77777777" w:rsidTr="0009633C">
        <w:trPr>
          <w:trHeight w:val="600"/>
        </w:trPr>
        <w:tc>
          <w:tcPr>
            <w:tcW w:w="846" w:type="dxa"/>
            <w:hideMark/>
          </w:tcPr>
          <w:p w14:paraId="5D8FC911" w14:textId="77777777" w:rsidR="0009633C" w:rsidRPr="002E7B7B" w:rsidRDefault="0009633C" w:rsidP="0009633C">
            <w:pPr>
              <w:spacing w:after="120"/>
              <w:contextualSpacing/>
              <w:jc w:val="both"/>
              <w:rPr>
                <w:rFonts w:cs="Times New Roman"/>
              </w:rPr>
            </w:pPr>
            <w:r w:rsidRPr="002E7B7B">
              <w:rPr>
                <w:rFonts w:cs="Times New Roman"/>
              </w:rPr>
              <w:t>40</w:t>
            </w:r>
          </w:p>
        </w:tc>
        <w:tc>
          <w:tcPr>
            <w:tcW w:w="8170" w:type="dxa"/>
            <w:hideMark/>
          </w:tcPr>
          <w:p w14:paraId="7021731B" w14:textId="77777777" w:rsidR="0009633C" w:rsidRPr="002E7B7B" w:rsidRDefault="0009633C" w:rsidP="0009633C">
            <w:pPr>
              <w:spacing w:after="120"/>
              <w:contextualSpacing/>
              <w:jc w:val="both"/>
              <w:rPr>
                <w:rFonts w:cs="Times New Roman"/>
              </w:rPr>
            </w:pPr>
            <w:r w:rsidRPr="002E7B7B">
              <w:rPr>
                <w:rFonts w:cs="Times New Roman"/>
              </w:rPr>
              <w:t>((surgery or surgical* or instrument* or device* or equipment*) adj5 (decontaminat* or reprocess* or disinfect* or wash* or clean* or steril* or contaminat* or prerinse or pre-rinse or inactivat*)).tw.</w:t>
            </w:r>
          </w:p>
        </w:tc>
      </w:tr>
      <w:tr w:rsidR="0009633C" w:rsidRPr="002E7B7B" w14:paraId="0892F8C0" w14:textId="77777777" w:rsidTr="0009633C">
        <w:trPr>
          <w:trHeight w:val="300"/>
        </w:trPr>
        <w:tc>
          <w:tcPr>
            <w:tcW w:w="846" w:type="dxa"/>
            <w:hideMark/>
          </w:tcPr>
          <w:p w14:paraId="7DC4335A" w14:textId="77777777" w:rsidR="0009633C" w:rsidRPr="002E7B7B" w:rsidRDefault="0009633C" w:rsidP="0009633C">
            <w:pPr>
              <w:spacing w:after="120"/>
              <w:contextualSpacing/>
              <w:jc w:val="both"/>
              <w:rPr>
                <w:rFonts w:cs="Times New Roman"/>
              </w:rPr>
            </w:pPr>
            <w:r w:rsidRPr="002E7B7B">
              <w:rPr>
                <w:rFonts w:cs="Times New Roman"/>
              </w:rPr>
              <w:t>41</w:t>
            </w:r>
          </w:p>
        </w:tc>
        <w:tc>
          <w:tcPr>
            <w:tcW w:w="8170" w:type="dxa"/>
            <w:hideMark/>
          </w:tcPr>
          <w:p w14:paraId="6AF30851" w14:textId="77777777" w:rsidR="0009633C" w:rsidRPr="002E7B7B" w:rsidRDefault="0009633C" w:rsidP="0009633C">
            <w:pPr>
              <w:spacing w:after="120"/>
              <w:contextualSpacing/>
              <w:jc w:val="both"/>
              <w:rPr>
                <w:rFonts w:cs="Times New Roman"/>
              </w:rPr>
            </w:pPr>
            <w:r w:rsidRPr="002E7B7B">
              <w:rPr>
                <w:rFonts w:cs="Times New Roman"/>
              </w:rPr>
              <w:t>39 or 40</w:t>
            </w:r>
          </w:p>
        </w:tc>
      </w:tr>
      <w:tr w:rsidR="0009633C" w:rsidRPr="002E7B7B" w14:paraId="32FCB48A" w14:textId="77777777" w:rsidTr="0009633C">
        <w:trPr>
          <w:trHeight w:val="300"/>
        </w:trPr>
        <w:tc>
          <w:tcPr>
            <w:tcW w:w="846" w:type="dxa"/>
            <w:hideMark/>
          </w:tcPr>
          <w:p w14:paraId="095D91D4" w14:textId="77777777" w:rsidR="0009633C" w:rsidRPr="002E7B7B" w:rsidRDefault="0009633C" w:rsidP="0009633C">
            <w:pPr>
              <w:spacing w:after="120"/>
              <w:contextualSpacing/>
              <w:jc w:val="both"/>
              <w:rPr>
                <w:rFonts w:cs="Times New Roman"/>
              </w:rPr>
            </w:pPr>
            <w:r w:rsidRPr="002E7B7B">
              <w:rPr>
                <w:rFonts w:cs="Times New Roman"/>
              </w:rPr>
              <w:t>42</w:t>
            </w:r>
          </w:p>
        </w:tc>
        <w:tc>
          <w:tcPr>
            <w:tcW w:w="8170" w:type="dxa"/>
            <w:hideMark/>
          </w:tcPr>
          <w:p w14:paraId="65B02EB5" w14:textId="77777777" w:rsidR="0009633C" w:rsidRPr="002E7B7B" w:rsidRDefault="0009633C" w:rsidP="0009633C">
            <w:pPr>
              <w:spacing w:after="120"/>
              <w:contextualSpacing/>
              <w:jc w:val="both"/>
              <w:rPr>
                <w:rFonts w:cs="Times New Roman"/>
              </w:rPr>
            </w:pPr>
            <w:r w:rsidRPr="002E7B7B">
              <w:rPr>
                <w:rFonts w:cs="Times New Roman"/>
              </w:rPr>
              <w:t>Neurosurgery/</w:t>
            </w:r>
          </w:p>
        </w:tc>
      </w:tr>
      <w:tr w:rsidR="0009633C" w:rsidRPr="002E7B7B" w14:paraId="724016F3" w14:textId="77777777" w:rsidTr="0009633C">
        <w:trPr>
          <w:trHeight w:val="300"/>
        </w:trPr>
        <w:tc>
          <w:tcPr>
            <w:tcW w:w="846" w:type="dxa"/>
            <w:hideMark/>
          </w:tcPr>
          <w:p w14:paraId="23A6E35B" w14:textId="77777777" w:rsidR="0009633C" w:rsidRPr="002E7B7B" w:rsidRDefault="0009633C" w:rsidP="0009633C">
            <w:pPr>
              <w:spacing w:after="120"/>
              <w:contextualSpacing/>
              <w:jc w:val="both"/>
              <w:rPr>
                <w:rFonts w:cs="Times New Roman"/>
              </w:rPr>
            </w:pPr>
            <w:r w:rsidRPr="002E7B7B">
              <w:rPr>
                <w:rFonts w:cs="Times New Roman"/>
              </w:rPr>
              <w:t>43</w:t>
            </w:r>
          </w:p>
        </w:tc>
        <w:tc>
          <w:tcPr>
            <w:tcW w:w="8170" w:type="dxa"/>
            <w:hideMark/>
          </w:tcPr>
          <w:p w14:paraId="546CF000" w14:textId="77777777" w:rsidR="0009633C" w:rsidRPr="002E7B7B" w:rsidRDefault="0009633C" w:rsidP="0009633C">
            <w:pPr>
              <w:spacing w:after="120"/>
              <w:contextualSpacing/>
              <w:jc w:val="both"/>
              <w:rPr>
                <w:rFonts w:cs="Times New Roman"/>
              </w:rPr>
            </w:pPr>
            <w:r w:rsidRPr="002E7B7B">
              <w:rPr>
                <w:rFonts w:cs="Times New Roman"/>
              </w:rPr>
              <w:t>Neurosurgical Procedures/</w:t>
            </w:r>
          </w:p>
        </w:tc>
      </w:tr>
      <w:tr w:rsidR="0009633C" w:rsidRPr="002E7B7B" w14:paraId="0A801828" w14:textId="77777777" w:rsidTr="0009633C">
        <w:trPr>
          <w:trHeight w:val="300"/>
        </w:trPr>
        <w:tc>
          <w:tcPr>
            <w:tcW w:w="846" w:type="dxa"/>
            <w:hideMark/>
          </w:tcPr>
          <w:p w14:paraId="1FBD5826" w14:textId="77777777" w:rsidR="0009633C" w:rsidRPr="002E7B7B" w:rsidRDefault="0009633C" w:rsidP="0009633C">
            <w:pPr>
              <w:spacing w:after="120"/>
              <w:contextualSpacing/>
              <w:jc w:val="both"/>
              <w:rPr>
                <w:rFonts w:cs="Times New Roman"/>
              </w:rPr>
            </w:pPr>
            <w:r w:rsidRPr="002E7B7B">
              <w:rPr>
                <w:rFonts w:cs="Times New Roman"/>
              </w:rPr>
              <w:t>44</w:t>
            </w:r>
          </w:p>
        </w:tc>
        <w:tc>
          <w:tcPr>
            <w:tcW w:w="8170" w:type="dxa"/>
            <w:hideMark/>
          </w:tcPr>
          <w:p w14:paraId="3DEB64A0" w14:textId="77777777" w:rsidR="0009633C" w:rsidRPr="002E7B7B" w:rsidRDefault="0009633C" w:rsidP="0009633C">
            <w:pPr>
              <w:spacing w:after="120"/>
              <w:contextualSpacing/>
              <w:jc w:val="both"/>
              <w:rPr>
                <w:rFonts w:cs="Times New Roman"/>
              </w:rPr>
            </w:pPr>
            <w:r w:rsidRPr="002E7B7B">
              <w:rPr>
                <w:rFonts w:cs="Times New Roman"/>
              </w:rPr>
              <w:t>(neurosurgery or neurological surgery).tw.</w:t>
            </w:r>
          </w:p>
        </w:tc>
      </w:tr>
      <w:tr w:rsidR="0009633C" w:rsidRPr="002E7B7B" w14:paraId="7695E0CA" w14:textId="77777777" w:rsidTr="0009633C">
        <w:trPr>
          <w:trHeight w:val="300"/>
        </w:trPr>
        <w:tc>
          <w:tcPr>
            <w:tcW w:w="846" w:type="dxa"/>
            <w:hideMark/>
          </w:tcPr>
          <w:p w14:paraId="6F2B7BB0" w14:textId="77777777" w:rsidR="0009633C" w:rsidRPr="002E7B7B" w:rsidRDefault="0009633C" w:rsidP="0009633C">
            <w:pPr>
              <w:spacing w:after="120"/>
              <w:contextualSpacing/>
              <w:jc w:val="both"/>
              <w:rPr>
                <w:rFonts w:cs="Times New Roman"/>
              </w:rPr>
            </w:pPr>
            <w:r w:rsidRPr="002E7B7B">
              <w:rPr>
                <w:rFonts w:cs="Times New Roman"/>
              </w:rPr>
              <w:t>45</w:t>
            </w:r>
          </w:p>
        </w:tc>
        <w:tc>
          <w:tcPr>
            <w:tcW w:w="8170" w:type="dxa"/>
            <w:hideMark/>
          </w:tcPr>
          <w:p w14:paraId="723501E0" w14:textId="77777777" w:rsidR="0009633C" w:rsidRPr="002E7B7B" w:rsidRDefault="0009633C" w:rsidP="0009633C">
            <w:pPr>
              <w:spacing w:after="120"/>
              <w:contextualSpacing/>
              <w:jc w:val="both"/>
              <w:rPr>
                <w:rFonts w:cs="Times New Roman"/>
              </w:rPr>
            </w:pPr>
            <w:r w:rsidRPr="002E7B7B">
              <w:rPr>
                <w:rFonts w:cs="Times New Roman"/>
              </w:rPr>
              <w:t>exp Brain/su [Surgery]</w:t>
            </w:r>
          </w:p>
        </w:tc>
      </w:tr>
      <w:tr w:rsidR="0009633C" w:rsidRPr="002E7B7B" w14:paraId="6CEA2904" w14:textId="77777777" w:rsidTr="0009633C">
        <w:trPr>
          <w:trHeight w:val="300"/>
        </w:trPr>
        <w:tc>
          <w:tcPr>
            <w:tcW w:w="846" w:type="dxa"/>
            <w:hideMark/>
          </w:tcPr>
          <w:p w14:paraId="6EDD8D4E" w14:textId="77777777" w:rsidR="0009633C" w:rsidRPr="002E7B7B" w:rsidRDefault="0009633C" w:rsidP="0009633C">
            <w:pPr>
              <w:spacing w:after="120"/>
              <w:contextualSpacing/>
              <w:jc w:val="both"/>
              <w:rPr>
                <w:rFonts w:cs="Times New Roman"/>
              </w:rPr>
            </w:pPr>
            <w:r w:rsidRPr="002E7B7B">
              <w:rPr>
                <w:rFonts w:cs="Times New Roman"/>
              </w:rPr>
              <w:t>46</w:t>
            </w:r>
          </w:p>
        </w:tc>
        <w:tc>
          <w:tcPr>
            <w:tcW w:w="8170" w:type="dxa"/>
            <w:hideMark/>
          </w:tcPr>
          <w:p w14:paraId="4482E724" w14:textId="77777777" w:rsidR="0009633C" w:rsidRPr="002E7B7B" w:rsidRDefault="0009633C" w:rsidP="0009633C">
            <w:pPr>
              <w:spacing w:after="120"/>
              <w:contextualSpacing/>
              <w:jc w:val="both"/>
              <w:rPr>
                <w:rFonts w:cs="Times New Roman"/>
              </w:rPr>
            </w:pPr>
            <w:r w:rsidRPr="002E7B7B">
              <w:rPr>
                <w:rFonts w:cs="Times New Roman"/>
              </w:rPr>
              <w:t>exp Meninges/su [Surgery]</w:t>
            </w:r>
          </w:p>
        </w:tc>
      </w:tr>
      <w:tr w:rsidR="0009633C" w:rsidRPr="002E7B7B" w14:paraId="50A2A293" w14:textId="77777777" w:rsidTr="0009633C">
        <w:trPr>
          <w:trHeight w:val="300"/>
        </w:trPr>
        <w:tc>
          <w:tcPr>
            <w:tcW w:w="846" w:type="dxa"/>
            <w:hideMark/>
          </w:tcPr>
          <w:p w14:paraId="6E346F98" w14:textId="77777777" w:rsidR="0009633C" w:rsidRPr="002E7B7B" w:rsidRDefault="0009633C" w:rsidP="0009633C">
            <w:pPr>
              <w:spacing w:after="120"/>
              <w:contextualSpacing/>
              <w:jc w:val="both"/>
              <w:rPr>
                <w:rFonts w:cs="Times New Roman"/>
              </w:rPr>
            </w:pPr>
            <w:r w:rsidRPr="002E7B7B">
              <w:rPr>
                <w:rFonts w:cs="Times New Roman"/>
              </w:rPr>
              <w:t>47</w:t>
            </w:r>
          </w:p>
        </w:tc>
        <w:tc>
          <w:tcPr>
            <w:tcW w:w="8170" w:type="dxa"/>
            <w:hideMark/>
          </w:tcPr>
          <w:p w14:paraId="6CA9FED8" w14:textId="77777777" w:rsidR="0009633C" w:rsidRPr="002E7B7B" w:rsidRDefault="0009633C" w:rsidP="0009633C">
            <w:pPr>
              <w:spacing w:after="120"/>
              <w:contextualSpacing/>
              <w:jc w:val="both"/>
              <w:rPr>
                <w:rFonts w:cs="Times New Roman"/>
              </w:rPr>
            </w:pPr>
            <w:r w:rsidRPr="002E7B7B">
              <w:rPr>
                <w:rFonts w:cs="Times New Roman"/>
              </w:rPr>
              <w:t>exp Pituitary Gland/su [Surgery]</w:t>
            </w:r>
          </w:p>
        </w:tc>
      </w:tr>
      <w:tr w:rsidR="0009633C" w:rsidRPr="002E7B7B" w14:paraId="55B2772C" w14:textId="77777777" w:rsidTr="0009633C">
        <w:trPr>
          <w:trHeight w:val="300"/>
        </w:trPr>
        <w:tc>
          <w:tcPr>
            <w:tcW w:w="846" w:type="dxa"/>
            <w:hideMark/>
          </w:tcPr>
          <w:p w14:paraId="0A43AFDB" w14:textId="77777777" w:rsidR="0009633C" w:rsidRPr="002E7B7B" w:rsidRDefault="0009633C" w:rsidP="0009633C">
            <w:pPr>
              <w:spacing w:after="120"/>
              <w:contextualSpacing/>
              <w:jc w:val="both"/>
              <w:rPr>
                <w:rFonts w:cs="Times New Roman"/>
              </w:rPr>
            </w:pPr>
            <w:r w:rsidRPr="002E7B7B">
              <w:rPr>
                <w:rFonts w:cs="Times New Roman"/>
              </w:rPr>
              <w:t>48</w:t>
            </w:r>
          </w:p>
        </w:tc>
        <w:tc>
          <w:tcPr>
            <w:tcW w:w="8170" w:type="dxa"/>
            <w:hideMark/>
          </w:tcPr>
          <w:p w14:paraId="61BE1EDA" w14:textId="77777777" w:rsidR="0009633C" w:rsidRPr="002E7B7B" w:rsidRDefault="0009633C" w:rsidP="0009633C">
            <w:pPr>
              <w:spacing w:after="120"/>
              <w:contextualSpacing/>
              <w:jc w:val="both"/>
              <w:rPr>
                <w:rFonts w:cs="Times New Roman"/>
              </w:rPr>
            </w:pPr>
            <w:r w:rsidRPr="002E7B7B">
              <w:rPr>
                <w:rFonts w:cs="Times New Roman"/>
              </w:rPr>
              <w:t>Pineal Gland/su [Surgery]</w:t>
            </w:r>
          </w:p>
        </w:tc>
      </w:tr>
      <w:tr w:rsidR="0009633C" w:rsidRPr="002E7B7B" w14:paraId="20FE1BA0" w14:textId="77777777" w:rsidTr="0009633C">
        <w:trPr>
          <w:trHeight w:val="600"/>
        </w:trPr>
        <w:tc>
          <w:tcPr>
            <w:tcW w:w="846" w:type="dxa"/>
            <w:hideMark/>
          </w:tcPr>
          <w:p w14:paraId="3A92B4FE" w14:textId="77777777" w:rsidR="0009633C" w:rsidRPr="002E7B7B" w:rsidRDefault="0009633C" w:rsidP="0009633C">
            <w:pPr>
              <w:spacing w:after="120"/>
              <w:contextualSpacing/>
              <w:jc w:val="both"/>
              <w:rPr>
                <w:rFonts w:cs="Times New Roman"/>
              </w:rPr>
            </w:pPr>
            <w:r w:rsidRPr="002E7B7B">
              <w:rPr>
                <w:rFonts w:cs="Times New Roman"/>
              </w:rPr>
              <w:t>49</w:t>
            </w:r>
          </w:p>
        </w:tc>
        <w:tc>
          <w:tcPr>
            <w:tcW w:w="8170" w:type="dxa"/>
            <w:hideMark/>
          </w:tcPr>
          <w:p w14:paraId="29363E3B" w14:textId="77777777" w:rsidR="0009633C" w:rsidRPr="002E7B7B" w:rsidRDefault="0009633C" w:rsidP="0009633C">
            <w:pPr>
              <w:spacing w:after="120"/>
              <w:contextualSpacing/>
              <w:jc w:val="both"/>
              <w:rPr>
                <w:rFonts w:cs="Times New Roman"/>
              </w:rPr>
            </w:pPr>
            <w:r w:rsidRPr="002E7B7B">
              <w:rPr>
                <w:rFonts w:cs="Times New Roman"/>
              </w:rPr>
              <w:t>((brain or meninges or cerebral or pituitary or pineal) adj5 (surgery or surgical* or excision or lesion or ablation or operation* or neurostimulation or connection or destruction)).tw.</w:t>
            </w:r>
          </w:p>
        </w:tc>
      </w:tr>
      <w:tr w:rsidR="0009633C" w:rsidRPr="00A4124E" w14:paraId="2C056526" w14:textId="77777777" w:rsidTr="0009633C">
        <w:trPr>
          <w:trHeight w:val="300"/>
        </w:trPr>
        <w:tc>
          <w:tcPr>
            <w:tcW w:w="846" w:type="dxa"/>
            <w:hideMark/>
          </w:tcPr>
          <w:p w14:paraId="4F7699D2" w14:textId="77777777" w:rsidR="0009633C" w:rsidRPr="002E7B7B" w:rsidRDefault="0009633C" w:rsidP="0009633C">
            <w:pPr>
              <w:spacing w:after="120"/>
              <w:contextualSpacing/>
              <w:jc w:val="both"/>
              <w:rPr>
                <w:rFonts w:cs="Times New Roman"/>
              </w:rPr>
            </w:pPr>
            <w:r w:rsidRPr="002E7B7B">
              <w:rPr>
                <w:rFonts w:cs="Times New Roman"/>
              </w:rPr>
              <w:t>50</w:t>
            </w:r>
          </w:p>
        </w:tc>
        <w:tc>
          <w:tcPr>
            <w:tcW w:w="8170" w:type="dxa"/>
            <w:hideMark/>
          </w:tcPr>
          <w:p w14:paraId="13F7FF2F" w14:textId="77777777" w:rsidR="0009633C" w:rsidRPr="00CA4E0C" w:rsidRDefault="0009633C" w:rsidP="0009633C">
            <w:pPr>
              <w:spacing w:after="120"/>
              <w:contextualSpacing/>
              <w:jc w:val="both"/>
              <w:rPr>
                <w:rFonts w:cs="Times New Roman"/>
              </w:rPr>
            </w:pPr>
            <w:r w:rsidRPr="00CA4E0C">
              <w:rPr>
                <w:rFonts w:cs="Times New Roman"/>
              </w:rPr>
              <w:t>exp Cranial Nerves/su [Surgery]</w:t>
            </w:r>
          </w:p>
        </w:tc>
      </w:tr>
      <w:tr w:rsidR="0009633C" w:rsidRPr="002E7B7B" w14:paraId="08045517" w14:textId="77777777" w:rsidTr="0009633C">
        <w:trPr>
          <w:trHeight w:val="600"/>
        </w:trPr>
        <w:tc>
          <w:tcPr>
            <w:tcW w:w="846" w:type="dxa"/>
            <w:hideMark/>
          </w:tcPr>
          <w:p w14:paraId="660629AF" w14:textId="77777777" w:rsidR="0009633C" w:rsidRPr="002E7B7B" w:rsidRDefault="0009633C" w:rsidP="0009633C">
            <w:pPr>
              <w:spacing w:after="120"/>
              <w:contextualSpacing/>
              <w:jc w:val="both"/>
              <w:rPr>
                <w:rFonts w:cs="Times New Roman"/>
              </w:rPr>
            </w:pPr>
            <w:r w:rsidRPr="002E7B7B">
              <w:rPr>
                <w:rFonts w:cs="Times New Roman"/>
              </w:rPr>
              <w:t>51</w:t>
            </w:r>
          </w:p>
        </w:tc>
        <w:tc>
          <w:tcPr>
            <w:tcW w:w="8170" w:type="dxa"/>
            <w:hideMark/>
          </w:tcPr>
          <w:p w14:paraId="157A1856" w14:textId="77777777" w:rsidR="0009633C" w:rsidRPr="002E7B7B" w:rsidRDefault="0009633C" w:rsidP="0009633C">
            <w:pPr>
              <w:spacing w:after="120"/>
              <w:contextualSpacing/>
              <w:jc w:val="both"/>
              <w:rPr>
                <w:rFonts w:cs="Times New Roman"/>
              </w:rPr>
            </w:pPr>
            <w:r w:rsidRPr="002E7B7B">
              <w:rPr>
                <w:rFonts w:cs="Times New Roman"/>
              </w:rPr>
              <w:t>((cranial or dura) adj5 (graft* or transection or destruction or lesion or repair* or decompress* or neurostimulation or exploration or operation*)).tw.</w:t>
            </w:r>
          </w:p>
        </w:tc>
      </w:tr>
      <w:tr w:rsidR="0009633C" w:rsidRPr="002E7B7B" w14:paraId="75C1266D" w14:textId="77777777" w:rsidTr="0009633C">
        <w:trPr>
          <w:trHeight w:val="300"/>
        </w:trPr>
        <w:tc>
          <w:tcPr>
            <w:tcW w:w="846" w:type="dxa"/>
            <w:hideMark/>
          </w:tcPr>
          <w:p w14:paraId="29410F86" w14:textId="77777777" w:rsidR="0009633C" w:rsidRPr="002E7B7B" w:rsidRDefault="0009633C" w:rsidP="0009633C">
            <w:pPr>
              <w:spacing w:after="120"/>
              <w:contextualSpacing/>
              <w:jc w:val="both"/>
              <w:rPr>
                <w:rFonts w:cs="Times New Roman"/>
              </w:rPr>
            </w:pPr>
            <w:r w:rsidRPr="002E7B7B">
              <w:rPr>
                <w:rFonts w:cs="Times New Roman"/>
              </w:rPr>
              <w:t>52</w:t>
            </w:r>
          </w:p>
        </w:tc>
        <w:tc>
          <w:tcPr>
            <w:tcW w:w="8170" w:type="dxa"/>
            <w:hideMark/>
          </w:tcPr>
          <w:p w14:paraId="3FFD5C0D" w14:textId="77777777" w:rsidR="0009633C" w:rsidRPr="002E7B7B" w:rsidRDefault="0009633C" w:rsidP="0009633C">
            <w:pPr>
              <w:spacing w:after="120"/>
              <w:contextualSpacing/>
              <w:jc w:val="both"/>
              <w:rPr>
                <w:rFonts w:cs="Times New Roman"/>
              </w:rPr>
            </w:pPr>
            <w:r w:rsidRPr="002E7B7B">
              <w:rPr>
                <w:rFonts w:cs="Times New Roman"/>
              </w:rPr>
              <w:t>Ophthalmologic Surgical Procedures/</w:t>
            </w:r>
          </w:p>
        </w:tc>
      </w:tr>
      <w:tr w:rsidR="0009633C" w:rsidRPr="002E7B7B" w14:paraId="57B00558" w14:textId="77777777" w:rsidTr="0009633C">
        <w:trPr>
          <w:trHeight w:val="600"/>
        </w:trPr>
        <w:tc>
          <w:tcPr>
            <w:tcW w:w="846" w:type="dxa"/>
            <w:hideMark/>
          </w:tcPr>
          <w:p w14:paraId="0DEC1D49" w14:textId="77777777" w:rsidR="0009633C" w:rsidRPr="002E7B7B" w:rsidRDefault="0009633C" w:rsidP="0009633C">
            <w:pPr>
              <w:spacing w:after="120"/>
              <w:contextualSpacing/>
              <w:jc w:val="both"/>
              <w:rPr>
                <w:rFonts w:cs="Times New Roman"/>
              </w:rPr>
            </w:pPr>
            <w:r w:rsidRPr="002E7B7B">
              <w:rPr>
                <w:rFonts w:cs="Times New Roman"/>
              </w:rPr>
              <w:t>53</w:t>
            </w:r>
          </w:p>
        </w:tc>
        <w:tc>
          <w:tcPr>
            <w:tcW w:w="8170" w:type="dxa"/>
            <w:hideMark/>
          </w:tcPr>
          <w:p w14:paraId="362C2C66" w14:textId="77777777" w:rsidR="0009633C" w:rsidRPr="002E7B7B" w:rsidRDefault="0009633C" w:rsidP="0009633C">
            <w:pPr>
              <w:spacing w:after="120"/>
              <w:contextualSpacing/>
              <w:jc w:val="both"/>
              <w:rPr>
                <w:rFonts w:cs="Times New Roman"/>
              </w:rPr>
            </w:pPr>
            <w:r w:rsidRPr="002E7B7B">
              <w:rPr>
                <w:rFonts w:cs="Times New Roman"/>
              </w:rPr>
              <w:t>((eye or vitreous or retina) adj5 (surgery or surgical* or excision or operation* or photocoagulation or destruction)).tw.</w:t>
            </w:r>
          </w:p>
        </w:tc>
      </w:tr>
      <w:tr w:rsidR="0009633C" w:rsidRPr="002E7B7B" w14:paraId="72D8E8ED" w14:textId="77777777" w:rsidTr="0009633C">
        <w:trPr>
          <w:trHeight w:val="300"/>
        </w:trPr>
        <w:tc>
          <w:tcPr>
            <w:tcW w:w="846" w:type="dxa"/>
            <w:hideMark/>
          </w:tcPr>
          <w:p w14:paraId="16C9D4F7" w14:textId="77777777" w:rsidR="0009633C" w:rsidRPr="002E7B7B" w:rsidRDefault="0009633C" w:rsidP="0009633C">
            <w:pPr>
              <w:spacing w:after="120"/>
              <w:contextualSpacing/>
              <w:jc w:val="both"/>
              <w:rPr>
                <w:rFonts w:cs="Times New Roman"/>
              </w:rPr>
            </w:pPr>
            <w:r w:rsidRPr="002E7B7B">
              <w:rPr>
                <w:rFonts w:cs="Times New Roman"/>
              </w:rPr>
              <w:t>54</w:t>
            </w:r>
          </w:p>
        </w:tc>
        <w:tc>
          <w:tcPr>
            <w:tcW w:w="8170" w:type="dxa"/>
            <w:hideMark/>
          </w:tcPr>
          <w:p w14:paraId="57FBD2F5" w14:textId="77777777" w:rsidR="0009633C" w:rsidRPr="002E7B7B" w:rsidRDefault="0009633C" w:rsidP="0009633C">
            <w:pPr>
              <w:spacing w:after="120"/>
              <w:contextualSpacing/>
              <w:jc w:val="both"/>
              <w:rPr>
                <w:rFonts w:cs="Times New Roman"/>
              </w:rPr>
            </w:pPr>
            <w:r w:rsidRPr="002E7B7B">
              <w:rPr>
                <w:rFonts w:cs="Times New Roman"/>
              </w:rPr>
              <w:t>Eye/su [Surgery]</w:t>
            </w:r>
          </w:p>
        </w:tc>
      </w:tr>
      <w:tr w:rsidR="0009633C" w:rsidRPr="002E7B7B" w14:paraId="6B7AE7AE" w14:textId="77777777" w:rsidTr="0009633C">
        <w:trPr>
          <w:trHeight w:val="300"/>
        </w:trPr>
        <w:tc>
          <w:tcPr>
            <w:tcW w:w="846" w:type="dxa"/>
            <w:hideMark/>
          </w:tcPr>
          <w:p w14:paraId="066CC9D5" w14:textId="77777777" w:rsidR="0009633C" w:rsidRPr="002E7B7B" w:rsidRDefault="0009633C" w:rsidP="0009633C">
            <w:pPr>
              <w:spacing w:after="120"/>
              <w:contextualSpacing/>
              <w:jc w:val="both"/>
              <w:rPr>
                <w:rFonts w:cs="Times New Roman"/>
              </w:rPr>
            </w:pPr>
            <w:r w:rsidRPr="002E7B7B">
              <w:rPr>
                <w:rFonts w:cs="Times New Roman"/>
              </w:rPr>
              <w:t>55</w:t>
            </w:r>
          </w:p>
        </w:tc>
        <w:tc>
          <w:tcPr>
            <w:tcW w:w="8170" w:type="dxa"/>
            <w:hideMark/>
          </w:tcPr>
          <w:p w14:paraId="16879C11" w14:textId="77777777" w:rsidR="0009633C" w:rsidRPr="002E7B7B" w:rsidRDefault="0009633C" w:rsidP="0009633C">
            <w:pPr>
              <w:spacing w:after="120"/>
              <w:contextualSpacing/>
              <w:jc w:val="both"/>
              <w:rPr>
                <w:rFonts w:cs="Times New Roman"/>
              </w:rPr>
            </w:pPr>
            <w:r w:rsidRPr="002E7B7B">
              <w:rPr>
                <w:rFonts w:cs="Times New Roman"/>
              </w:rPr>
              <w:t>Vitreous Body/su [Surgery]</w:t>
            </w:r>
          </w:p>
        </w:tc>
      </w:tr>
      <w:tr w:rsidR="0009633C" w:rsidRPr="002E7B7B" w14:paraId="578992FC" w14:textId="77777777" w:rsidTr="0009633C">
        <w:trPr>
          <w:trHeight w:val="300"/>
        </w:trPr>
        <w:tc>
          <w:tcPr>
            <w:tcW w:w="846" w:type="dxa"/>
            <w:hideMark/>
          </w:tcPr>
          <w:p w14:paraId="6516DE31" w14:textId="77777777" w:rsidR="0009633C" w:rsidRPr="002E7B7B" w:rsidRDefault="0009633C" w:rsidP="0009633C">
            <w:pPr>
              <w:spacing w:after="120"/>
              <w:contextualSpacing/>
              <w:jc w:val="both"/>
              <w:rPr>
                <w:rFonts w:cs="Times New Roman"/>
              </w:rPr>
            </w:pPr>
            <w:r w:rsidRPr="002E7B7B">
              <w:rPr>
                <w:rFonts w:cs="Times New Roman"/>
              </w:rPr>
              <w:t>56</w:t>
            </w:r>
          </w:p>
        </w:tc>
        <w:tc>
          <w:tcPr>
            <w:tcW w:w="8170" w:type="dxa"/>
            <w:hideMark/>
          </w:tcPr>
          <w:p w14:paraId="3956F1DE" w14:textId="77777777" w:rsidR="0009633C" w:rsidRPr="002E7B7B" w:rsidRDefault="0009633C" w:rsidP="0009633C">
            <w:pPr>
              <w:spacing w:after="120"/>
              <w:contextualSpacing/>
              <w:jc w:val="both"/>
              <w:rPr>
                <w:rFonts w:cs="Times New Roman"/>
              </w:rPr>
            </w:pPr>
            <w:r w:rsidRPr="002E7B7B">
              <w:rPr>
                <w:rFonts w:cs="Times New Roman"/>
              </w:rPr>
              <w:t>exp Retina/su [Surgery]</w:t>
            </w:r>
          </w:p>
        </w:tc>
      </w:tr>
      <w:tr w:rsidR="0009633C" w:rsidRPr="002E7B7B" w14:paraId="1763CABD" w14:textId="77777777" w:rsidTr="0009633C">
        <w:trPr>
          <w:trHeight w:val="300"/>
        </w:trPr>
        <w:tc>
          <w:tcPr>
            <w:tcW w:w="846" w:type="dxa"/>
            <w:hideMark/>
          </w:tcPr>
          <w:p w14:paraId="53D8B65F" w14:textId="77777777" w:rsidR="0009633C" w:rsidRPr="002E7B7B" w:rsidRDefault="0009633C" w:rsidP="0009633C">
            <w:pPr>
              <w:spacing w:after="120"/>
              <w:contextualSpacing/>
              <w:jc w:val="both"/>
              <w:rPr>
                <w:rFonts w:cs="Times New Roman"/>
              </w:rPr>
            </w:pPr>
            <w:r w:rsidRPr="002E7B7B">
              <w:rPr>
                <w:rFonts w:cs="Times New Roman"/>
              </w:rPr>
              <w:t>57</w:t>
            </w:r>
          </w:p>
        </w:tc>
        <w:tc>
          <w:tcPr>
            <w:tcW w:w="8170" w:type="dxa"/>
            <w:hideMark/>
          </w:tcPr>
          <w:p w14:paraId="3BD938C6" w14:textId="77777777" w:rsidR="0009633C" w:rsidRPr="002E7B7B" w:rsidRDefault="0009633C" w:rsidP="0009633C">
            <w:pPr>
              <w:spacing w:after="120"/>
              <w:contextualSpacing/>
              <w:jc w:val="both"/>
              <w:rPr>
                <w:rFonts w:cs="Times New Roman"/>
              </w:rPr>
            </w:pPr>
            <w:r w:rsidRPr="002E7B7B">
              <w:rPr>
                <w:rFonts w:cs="Times New Roman"/>
              </w:rPr>
              <w:t>or/42-56</w:t>
            </w:r>
          </w:p>
        </w:tc>
      </w:tr>
      <w:tr w:rsidR="0009633C" w:rsidRPr="002E7B7B" w14:paraId="1009E4F3" w14:textId="77777777" w:rsidTr="0009633C">
        <w:trPr>
          <w:trHeight w:val="300"/>
        </w:trPr>
        <w:tc>
          <w:tcPr>
            <w:tcW w:w="846" w:type="dxa"/>
            <w:hideMark/>
          </w:tcPr>
          <w:p w14:paraId="6A658116" w14:textId="77777777" w:rsidR="0009633C" w:rsidRPr="002E7B7B" w:rsidRDefault="0009633C" w:rsidP="0009633C">
            <w:pPr>
              <w:spacing w:after="120"/>
              <w:contextualSpacing/>
              <w:jc w:val="both"/>
              <w:rPr>
                <w:rFonts w:cs="Times New Roman"/>
              </w:rPr>
            </w:pPr>
            <w:r w:rsidRPr="002E7B7B">
              <w:rPr>
                <w:rFonts w:cs="Times New Roman"/>
              </w:rPr>
              <w:t>58</w:t>
            </w:r>
          </w:p>
        </w:tc>
        <w:tc>
          <w:tcPr>
            <w:tcW w:w="8170" w:type="dxa"/>
            <w:hideMark/>
          </w:tcPr>
          <w:p w14:paraId="53160D52" w14:textId="77777777" w:rsidR="0009633C" w:rsidRPr="002E7B7B" w:rsidRDefault="0009633C" w:rsidP="0009633C">
            <w:pPr>
              <w:spacing w:after="120"/>
              <w:contextualSpacing/>
              <w:jc w:val="both"/>
              <w:rPr>
                <w:rFonts w:cs="Times New Roman"/>
              </w:rPr>
            </w:pPr>
            <w:r w:rsidRPr="002E7B7B">
              <w:rPr>
                <w:rFonts w:cs="Times New Roman"/>
              </w:rPr>
              <w:t>41 and 57</w:t>
            </w:r>
          </w:p>
        </w:tc>
      </w:tr>
      <w:tr w:rsidR="0009633C" w:rsidRPr="002E7B7B" w14:paraId="2D861941" w14:textId="77777777" w:rsidTr="0009633C">
        <w:trPr>
          <w:trHeight w:val="300"/>
        </w:trPr>
        <w:tc>
          <w:tcPr>
            <w:tcW w:w="846" w:type="dxa"/>
            <w:hideMark/>
          </w:tcPr>
          <w:p w14:paraId="66A0EFCE" w14:textId="77777777" w:rsidR="0009633C" w:rsidRPr="002E7B7B" w:rsidRDefault="0009633C" w:rsidP="0009633C">
            <w:pPr>
              <w:spacing w:after="120"/>
              <w:contextualSpacing/>
              <w:jc w:val="both"/>
              <w:rPr>
                <w:rFonts w:cs="Times New Roman"/>
              </w:rPr>
            </w:pPr>
            <w:r w:rsidRPr="002E7B7B">
              <w:rPr>
                <w:rFonts w:cs="Times New Roman"/>
              </w:rPr>
              <w:t>59</w:t>
            </w:r>
          </w:p>
        </w:tc>
        <w:tc>
          <w:tcPr>
            <w:tcW w:w="8170" w:type="dxa"/>
            <w:hideMark/>
          </w:tcPr>
          <w:p w14:paraId="471C8E26" w14:textId="77777777" w:rsidR="0009633C" w:rsidRPr="002E7B7B" w:rsidRDefault="0009633C" w:rsidP="0009633C">
            <w:pPr>
              <w:spacing w:after="120"/>
              <w:contextualSpacing/>
              <w:jc w:val="both"/>
              <w:rPr>
                <w:rFonts w:cs="Times New Roman"/>
              </w:rPr>
            </w:pPr>
            <w:r w:rsidRPr="002E7B7B">
              <w:rPr>
                <w:rFonts w:cs="Times New Roman"/>
              </w:rPr>
              <w:t>limit 58 to yr="2005 -Current"</w:t>
            </w:r>
          </w:p>
        </w:tc>
      </w:tr>
      <w:tr w:rsidR="0009633C" w:rsidRPr="002E7B7B" w14:paraId="09B0B51E" w14:textId="77777777" w:rsidTr="0009633C">
        <w:trPr>
          <w:trHeight w:val="600"/>
        </w:trPr>
        <w:tc>
          <w:tcPr>
            <w:tcW w:w="846" w:type="dxa"/>
            <w:hideMark/>
          </w:tcPr>
          <w:p w14:paraId="0C83971A" w14:textId="77777777" w:rsidR="0009633C" w:rsidRPr="002E7B7B" w:rsidRDefault="0009633C" w:rsidP="0009633C">
            <w:pPr>
              <w:spacing w:after="120"/>
              <w:contextualSpacing/>
              <w:jc w:val="both"/>
              <w:rPr>
                <w:rFonts w:cs="Times New Roman"/>
              </w:rPr>
            </w:pPr>
            <w:r w:rsidRPr="002E7B7B">
              <w:rPr>
                <w:rFonts w:cs="Times New Roman"/>
              </w:rPr>
              <w:t>60</w:t>
            </w:r>
          </w:p>
        </w:tc>
        <w:tc>
          <w:tcPr>
            <w:tcW w:w="8170" w:type="dxa"/>
            <w:hideMark/>
          </w:tcPr>
          <w:p w14:paraId="2F4874AC" w14:textId="77777777" w:rsidR="0009633C" w:rsidRPr="002E7B7B" w:rsidRDefault="0009633C" w:rsidP="0009633C">
            <w:pPr>
              <w:spacing w:after="120"/>
              <w:contextualSpacing/>
              <w:jc w:val="both"/>
              <w:rPr>
                <w:rFonts w:cs="Times New Roman"/>
              </w:rPr>
            </w:pPr>
            <w:r w:rsidRPr="002E7B7B">
              <w:rPr>
                <w:rFonts w:cs="Times New Roman"/>
              </w:rPr>
              <w:t>(disposable or dispose* or nondispos* or non-dispos* or reus* or re-us* or "single use" or "single-use").mp.</w:t>
            </w:r>
          </w:p>
        </w:tc>
      </w:tr>
      <w:tr w:rsidR="0009633C" w:rsidRPr="002E7B7B" w14:paraId="36E7500F" w14:textId="77777777" w:rsidTr="0009633C">
        <w:trPr>
          <w:trHeight w:val="300"/>
        </w:trPr>
        <w:tc>
          <w:tcPr>
            <w:tcW w:w="846" w:type="dxa"/>
            <w:hideMark/>
          </w:tcPr>
          <w:p w14:paraId="5B20F013" w14:textId="77777777" w:rsidR="0009633C" w:rsidRPr="002E7B7B" w:rsidRDefault="0009633C" w:rsidP="0009633C">
            <w:pPr>
              <w:spacing w:after="120"/>
              <w:contextualSpacing/>
              <w:jc w:val="both"/>
              <w:rPr>
                <w:rFonts w:cs="Times New Roman"/>
              </w:rPr>
            </w:pPr>
            <w:r w:rsidRPr="002E7B7B">
              <w:rPr>
                <w:rFonts w:cs="Times New Roman"/>
              </w:rPr>
              <w:t>61</w:t>
            </w:r>
          </w:p>
        </w:tc>
        <w:tc>
          <w:tcPr>
            <w:tcW w:w="8170" w:type="dxa"/>
            <w:hideMark/>
          </w:tcPr>
          <w:p w14:paraId="19A7013D" w14:textId="77777777" w:rsidR="0009633C" w:rsidRPr="002E7B7B" w:rsidRDefault="0009633C" w:rsidP="0009633C">
            <w:pPr>
              <w:spacing w:after="120"/>
              <w:contextualSpacing/>
              <w:jc w:val="both"/>
              <w:rPr>
                <w:rFonts w:cs="Times New Roman"/>
              </w:rPr>
            </w:pPr>
            <w:r w:rsidRPr="002E7B7B">
              <w:rPr>
                <w:rFonts w:cs="Times New Roman"/>
              </w:rPr>
              <w:t>Disposable Equipment/</w:t>
            </w:r>
          </w:p>
        </w:tc>
      </w:tr>
      <w:tr w:rsidR="0009633C" w:rsidRPr="002E7B7B" w14:paraId="474444FF" w14:textId="77777777" w:rsidTr="0009633C">
        <w:trPr>
          <w:trHeight w:val="300"/>
        </w:trPr>
        <w:tc>
          <w:tcPr>
            <w:tcW w:w="846" w:type="dxa"/>
            <w:hideMark/>
          </w:tcPr>
          <w:p w14:paraId="62F7338D" w14:textId="77777777" w:rsidR="0009633C" w:rsidRPr="002E7B7B" w:rsidRDefault="0009633C" w:rsidP="0009633C">
            <w:pPr>
              <w:spacing w:after="120"/>
              <w:contextualSpacing/>
              <w:jc w:val="both"/>
              <w:rPr>
                <w:rFonts w:cs="Times New Roman"/>
              </w:rPr>
            </w:pPr>
            <w:r w:rsidRPr="002E7B7B">
              <w:rPr>
                <w:rFonts w:cs="Times New Roman"/>
              </w:rPr>
              <w:t>62</w:t>
            </w:r>
          </w:p>
        </w:tc>
        <w:tc>
          <w:tcPr>
            <w:tcW w:w="8170" w:type="dxa"/>
            <w:hideMark/>
          </w:tcPr>
          <w:p w14:paraId="40819BD6" w14:textId="77777777" w:rsidR="0009633C" w:rsidRPr="002E7B7B" w:rsidRDefault="0009633C" w:rsidP="0009633C">
            <w:pPr>
              <w:spacing w:after="120"/>
              <w:contextualSpacing/>
              <w:jc w:val="both"/>
              <w:rPr>
                <w:rFonts w:cs="Times New Roman"/>
              </w:rPr>
            </w:pPr>
            <w:r w:rsidRPr="002E7B7B">
              <w:rPr>
                <w:rFonts w:cs="Times New Roman"/>
              </w:rPr>
              <w:t>exp Equipment Reuse/</w:t>
            </w:r>
          </w:p>
        </w:tc>
      </w:tr>
      <w:tr w:rsidR="0009633C" w:rsidRPr="002E7B7B" w14:paraId="178554B3" w14:textId="77777777" w:rsidTr="0009633C">
        <w:trPr>
          <w:trHeight w:val="600"/>
        </w:trPr>
        <w:tc>
          <w:tcPr>
            <w:tcW w:w="846" w:type="dxa"/>
            <w:hideMark/>
          </w:tcPr>
          <w:p w14:paraId="2117C5D4" w14:textId="77777777" w:rsidR="0009633C" w:rsidRPr="002E7B7B" w:rsidRDefault="0009633C" w:rsidP="0009633C">
            <w:pPr>
              <w:spacing w:after="120"/>
              <w:contextualSpacing/>
              <w:jc w:val="both"/>
              <w:rPr>
                <w:rFonts w:cs="Times New Roman"/>
              </w:rPr>
            </w:pPr>
            <w:r w:rsidRPr="002E7B7B">
              <w:rPr>
                <w:rFonts w:cs="Times New Roman"/>
              </w:rPr>
              <w:t>63</w:t>
            </w:r>
          </w:p>
        </w:tc>
        <w:tc>
          <w:tcPr>
            <w:tcW w:w="8170" w:type="dxa"/>
            <w:hideMark/>
          </w:tcPr>
          <w:p w14:paraId="280D0BAB" w14:textId="77777777" w:rsidR="0009633C" w:rsidRPr="002E7B7B" w:rsidRDefault="0009633C" w:rsidP="0009633C">
            <w:pPr>
              <w:spacing w:after="120"/>
              <w:contextualSpacing/>
              <w:jc w:val="both"/>
              <w:rPr>
                <w:rFonts w:cs="Times New Roman"/>
              </w:rPr>
            </w:pPr>
            <w:r w:rsidRPr="002E7B7B">
              <w:rPr>
                <w:rFonts w:cs="Times New Roman"/>
              </w:rPr>
              <w:t>(ultrasonic aspirator or aneurysm clip applicator or rhoton dissectors or microsurgical scissors or upcut rongeurs or budde halo or retraction system or self-retaining retractors or neuroendoscope*).mp.</w:t>
            </w:r>
          </w:p>
        </w:tc>
      </w:tr>
      <w:tr w:rsidR="0009633C" w:rsidRPr="002E7B7B" w14:paraId="10C32658" w14:textId="77777777" w:rsidTr="0009633C">
        <w:trPr>
          <w:trHeight w:val="300"/>
        </w:trPr>
        <w:tc>
          <w:tcPr>
            <w:tcW w:w="846" w:type="dxa"/>
            <w:hideMark/>
          </w:tcPr>
          <w:p w14:paraId="710F05A1" w14:textId="77777777" w:rsidR="0009633C" w:rsidRPr="002E7B7B" w:rsidRDefault="0009633C" w:rsidP="0009633C">
            <w:pPr>
              <w:spacing w:after="120"/>
              <w:contextualSpacing/>
              <w:jc w:val="both"/>
              <w:rPr>
                <w:rFonts w:cs="Times New Roman"/>
              </w:rPr>
            </w:pPr>
            <w:r w:rsidRPr="002E7B7B">
              <w:rPr>
                <w:rFonts w:cs="Times New Roman"/>
              </w:rPr>
              <w:t>64</w:t>
            </w:r>
          </w:p>
        </w:tc>
        <w:tc>
          <w:tcPr>
            <w:tcW w:w="8170" w:type="dxa"/>
            <w:hideMark/>
          </w:tcPr>
          <w:p w14:paraId="6857F0F0" w14:textId="77777777" w:rsidR="0009633C" w:rsidRPr="002E7B7B" w:rsidRDefault="0009633C" w:rsidP="0009633C">
            <w:pPr>
              <w:spacing w:after="120"/>
              <w:contextualSpacing/>
              <w:jc w:val="both"/>
              <w:rPr>
                <w:rFonts w:cs="Times New Roman"/>
              </w:rPr>
            </w:pPr>
            <w:r w:rsidRPr="002E7B7B">
              <w:rPr>
                <w:rFonts w:cs="Times New Roman"/>
              </w:rPr>
              <w:t>or/60-63</w:t>
            </w:r>
          </w:p>
        </w:tc>
      </w:tr>
      <w:tr w:rsidR="0009633C" w:rsidRPr="002E7B7B" w14:paraId="1A02BDB8" w14:textId="77777777" w:rsidTr="0009633C">
        <w:trPr>
          <w:trHeight w:val="300"/>
        </w:trPr>
        <w:tc>
          <w:tcPr>
            <w:tcW w:w="846" w:type="dxa"/>
            <w:hideMark/>
          </w:tcPr>
          <w:p w14:paraId="29A2BAD0" w14:textId="77777777" w:rsidR="0009633C" w:rsidRPr="002E7B7B" w:rsidRDefault="0009633C" w:rsidP="0009633C">
            <w:pPr>
              <w:spacing w:after="120"/>
              <w:contextualSpacing/>
              <w:jc w:val="both"/>
              <w:rPr>
                <w:rFonts w:cs="Times New Roman"/>
              </w:rPr>
            </w:pPr>
            <w:r w:rsidRPr="002E7B7B">
              <w:rPr>
                <w:rFonts w:cs="Times New Roman"/>
              </w:rPr>
              <w:t>65</w:t>
            </w:r>
          </w:p>
        </w:tc>
        <w:tc>
          <w:tcPr>
            <w:tcW w:w="8170" w:type="dxa"/>
            <w:hideMark/>
          </w:tcPr>
          <w:p w14:paraId="62E583EB" w14:textId="77777777" w:rsidR="0009633C" w:rsidRPr="002E7B7B" w:rsidRDefault="0009633C" w:rsidP="0009633C">
            <w:pPr>
              <w:spacing w:after="120"/>
              <w:contextualSpacing/>
              <w:jc w:val="both"/>
              <w:rPr>
                <w:rFonts w:cs="Times New Roman"/>
              </w:rPr>
            </w:pPr>
            <w:r w:rsidRPr="002E7B7B">
              <w:rPr>
                <w:rFonts w:cs="Times New Roman"/>
              </w:rPr>
              <w:t>Neurosurgery/</w:t>
            </w:r>
          </w:p>
        </w:tc>
      </w:tr>
      <w:tr w:rsidR="0009633C" w:rsidRPr="002E7B7B" w14:paraId="4AB49ED9" w14:textId="77777777" w:rsidTr="0009633C">
        <w:trPr>
          <w:trHeight w:val="300"/>
        </w:trPr>
        <w:tc>
          <w:tcPr>
            <w:tcW w:w="846" w:type="dxa"/>
            <w:hideMark/>
          </w:tcPr>
          <w:p w14:paraId="7634EC2B" w14:textId="77777777" w:rsidR="0009633C" w:rsidRPr="002E7B7B" w:rsidRDefault="0009633C" w:rsidP="0009633C">
            <w:pPr>
              <w:spacing w:after="120"/>
              <w:contextualSpacing/>
              <w:jc w:val="both"/>
              <w:rPr>
                <w:rFonts w:cs="Times New Roman"/>
              </w:rPr>
            </w:pPr>
            <w:r w:rsidRPr="002E7B7B">
              <w:rPr>
                <w:rFonts w:cs="Times New Roman"/>
              </w:rPr>
              <w:t>66</w:t>
            </w:r>
          </w:p>
        </w:tc>
        <w:tc>
          <w:tcPr>
            <w:tcW w:w="8170" w:type="dxa"/>
            <w:hideMark/>
          </w:tcPr>
          <w:p w14:paraId="675533E4" w14:textId="77777777" w:rsidR="0009633C" w:rsidRPr="002E7B7B" w:rsidRDefault="0009633C" w:rsidP="0009633C">
            <w:pPr>
              <w:spacing w:after="120"/>
              <w:contextualSpacing/>
              <w:jc w:val="both"/>
              <w:rPr>
                <w:rFonts w:cs="Times New Roman"/>
              </w:rPr>
            </w:pPr>
            <w:r w:rsidRPr="002E7B7B">
              <w:rPr>
                <w:rFonts w:cs="Times New Roman"/>
              </w:rPr>
              <w:t>Neurosurgical Procedures/</w:t>
            </w:r>
          </w:p>
        </w:tc>
      </w:tr>
      <w:tr w:rsidR="0009633C" w:rsidRPr="002E7B7B" w14:paraId="4712C1D9" w14:textId="77777777" w:rsidTr="0009633C">
        <w:trPr>
          <w:trHeight w:val="300"/>
        </w:trPr>
        <w:tc>
          <w:tcPr>
            <w:tcW w:w="846" w:type="dxa"/>
            <w:hideMark/>
          </w:tcPr>
          <w:p w14:paraId="0E3ECFB0" w14:textId="77777777" w:rsidR="0009633C" w:rsidRPr="002E7B7B" w:rsidRDefault="0009633C" w:rsidP="0009633C">
            <w:pPr>
              <w:spacing w:after="120"/>
              <w:contextualSpacing/>
              <w:jc w:val="both"/>
              <w:rPr>
                <w:rFonts w:cs="Times New Roman"/>
              </w:rPr>
            </w:pPr>
            <w:r w:rsidRPr="002E7B7B">
              <w:rPr>
                <w:rFonts w:cs="Times New Roman"/>
              </w:rPr>
              <w:t>67</w:t>
            </w:r>
          </w:p>
        </w:tc>
        <w:tc>
          <w:tcPr>
            <w:tcW w:w="8170" w:type="dxa"/>
            <w:hideMark/>
          </w:tcPr>
          <w:p w14:paraId="1AB25926" w14:textId="77777777" w:rsidR="0009633C" w:rsidRPr="002E7B7B" w:rsidRDefault="0009633C" w:rsidP="0009633C">
            <w:pPr>
              <w:spacing w:after="120"/>
              <w:contextualSpacing/>
              <w:jc w:val="both"/>
              <w:rPr>
                <w:rFonts w:cs="Times New Roman"/>
              </w:rPr>
            </w:pPr>
            <w:r w:rsidRPr="002E7B7B">
              <w:rPr>
                <w:rFonts w:cs="Times New Roman"/>
              </w:rPr>
              <w:t>(neurosurgery or neurological surgery).tw.</w:t>
            </w:r>
          </w:p>
        </w:tc>
      </w:tr>
      <w:tr w:rsidR="0009633C" w:rsidRPr="002E7B7B" w14:paraId="1186C37D" w14:textId="77777777" w:rsidTr="0009633C">
        <w:trPr>
          <w:trHeight w:val="300"/>
        </w:trPr>
        <w:tc>
          <w:tcPr>
            <w:tcW w:w="846" w:type="dxa"/>
            <w:hideMark/>
          </w:tcPr>
          <w:p w14:paraId="35A380C4" w14:textId="77777777" w:rsidR="0009633C" w:rsidRPr="002E7B7B" w:rsidRDefault="0009633C" w:rsidP="0009633C">
            <w:pPr>
              <w:spacing w:after="120"/>
              <w:contextualSpacing/>
              <w:jc w:val="both"/>
              <w:rPr>
                <w:rFonts w:cs="Times New Roman"/>
              </w:rPr>
            </w:pPr>
            <w:r w:rsidRPr="002E7B7B">
              <w:rPr>
                <w:rFonts w:cs="Times New Roman"/>
              </w:rPr>
              <w:t>68</w:t>
            </w:r>
          </w:p>
        </w:tc>
        <w:tc>
          <w:tcPr>
            <w:tcW w:w="8170" w:type="dxa"/>
            <w:hideMark/>
          </w:tcPr>
          <w:p w14:paraId="5C8FBE5C" w14:textId="77777777" w:rsidR="0009633C" w:rsidRPr="002E7B7B" w:rsidRDefault="0009633C" w:rsidP="0009633C">
            <w:pPr>
              <w:spacing w:after="120"/>
              <w:contextualSpacing/>
              <w:jc w:val="both"/>
              <w:rPr>
                <w:rFonts w:cs="Times New Roman"/>
              </w:rPr>
            </w:pPr>
            <w:r w:rsidRPr="002E7B7B">
              <w:rPr>
                <w:rFonts w:cs="Times New Roman"/>
              </w:rPr>
              <w:t>exp Brain/su [Surgery]</w:t>
            </w:r>
          </w:p>
        </w:tc>
      </w:tr>
      <w:tr w:rsidR="0009633C" w:rsidRPr="002E7B7B" w14:paraId="0A9988F5" w14:textId="77777777" w:rsidTr="0009633C">
        <w:trPr>
          <w:trHeight w:val="300"/>
        </w:trPr>
        <w:tc>
          <w:tcPr>
            <w:tcW w:w="846" w:type="dxa"/>
            <w:hideMark/>
          </w:tcPr>
          <w:p w14:paraId="7A0653BF" w14:textId="77777777" w:rsidR="0009633C" w:rsidRPr="002E7B7B" w:rsidRDefault="0009633C" w:rsidP="0009633C">
            <w:pPr>
              <w:spacing w:after="120"/>
              <w:contextualSpacing/>
              <w:jc w:val="both"/>
              <w:rPr>
                <w:rFonts w:cs="Times New Roman"/>
              </w:rPr>
            </w:pPr>
            <w:r w:rsidRPr="002E7B7B">
              <w:rPr>
                <w:rFonts w:cs="Times New Roman"/>
              </w:rPr>
              <w:t>69</w:t>
            </w:r>
          </w:p>
        </w:tc>
        <w:tc>
          <w:tcPr>
            <w:tcW w:w="8170" w:type="dxa"/>
            <w:hideMark/>
          </w:tcPr>
          <w:p w14:paraId="5FC7AF36" w14:textId="77777777" w:rsidR="0009633C" w:rsidRPr="002E7B7B" w:rsidRDefault="0009633C" w:rsidP="0009633C">
            <w:pPr>
              <w:spacing w:after="120"/>
              <w:contextualSpacing/>
              <w:jc w:val="both"/>
              <w:rPr>
                <w:rFonts w:cs="Times New Roman"/>
              </w:rPr>
            </w:pPr>
            <w:r w:rsidRPr="002E7B7B">
              <w:rPr>
                <w:rFonts w:cs="Times New Roman"/>
              </w:rPr>
              <w:t>exp Meninges/su [Surgery]</w:t>
            </w:r>
          </w:p>
        </w:tc>
      </w:tr>
      <w:tr w:rsidR="0009633C" w:rsidRPr="002E7B7B" w14:paraId="68FA060D" w14:textId="77777777" w:rsidTr="0009633C">
        <w:trPr>
          <w:trHeight w:val="300"/>
        </w:trPr>
        <w:tc>
          <w:tcPr>
            <w:tcW w:w="846" w:type="dxa"/>
            <w:hideMark/>
          </w:tcPr>
          <w:p w14:paraId="3F27C66B" w14:textId="77777777" w:rsidR="0009633C" w:rsidRPr="002E7B7B" w:rsidRDefault="0009633C" w:rsidP="0009633C">
            <w:pPr>
              <w:spacing w:after="120"/>
              <w:contextualSpacing/>
              <w:jc w:val="both"/>
              <w:rPr>
                <w:rFonts w:cs="Times New Roman"/>
              </w:rPr>
            </w:pPr>
            <w:r w:rsidRPr="002E7B7B">
              <w:rPr>
                <w:rFonts w:cs="Times New Roman"/>
              </w:rPr>
              <w:t>70</w:t>
            </w:r>
          </w:p>
        </w:tc>
        <w:tc>
          <w:tcPr>
            <w:tcW w:w="8170" w:type="dxa"/>
            <w:hideMark/>
          </w:tcPr>
          <w:p w14:paraId="73F3BF2D" w14:textId="77777777" w:rsidR="0009633C" w:rsidRPr="002E7B7B" w:rsidRDefault="0009633C" w:rsidP="0009633C">
            <w:pPr>
              <w:spacing w:after="120"/>
              <w:contextualSpacing/>
              <w:jc w:val="both"/>
              <w:rPr>
                <w:rFonts w:cs="Times New Roman"/>
              </w:rPr>
            </w:pPr>
            <w:r w:rsidRPr="002E7B7B">
              <w:rPr>
                <w:rFonts w:cs="Times New Roman"/>
              </w:rPr>
              <w:t>exp Pituitary Gland/su [Surgery]</w:t>
            </w:r>
          </w:p>
        </w:tc>
      </w:tr>
      <w:tr w:rsidR="0009633C" w:rsidRPr="002E7B7B" w14:paraId="561610F0" w14:textId="77777777" w:rsidTr="0009633C">
        <w:trPr>
          <w:trHeight w:val="300"/>
        </w:trPr>
        <w:tc>
          <w:tcPr>
            <w:tcW w:w="846" w:type="dxa"/>
            <w:hideMark/>
          </w:tcPr>
          <w:p w14:paraId="5AC6FF5B" w14:textId="77777777" w:rsidR="0009633C" w:rsidRPr="002E7B7B" w:rsidRDefault="0009633C" w:rsidP="0009633C">
            <w:pPr>
              <w:spacing w:after="120"/>
              <w:contextualSpacing/>
              <w:jc w:val="both"/>
              <w:rPr>
                <w:rFonts w:cs="Times New Roman"/>
              </w:rPr>
            </w:pPr>
            <w:r w:rsidRPr="002E7B7B">
              <w:rPr>
                <w:rFonts w:cs="Times New Roman"/>
              </w:rPr>
              <w:t>71</w:t>
            </w:r>
          </w:p>
        </w:tc>
        <w:tc>
          <w:tcPr>
            <w:tcW w:w="8170" w:type="dxa"/>
            <w:hideMark/>
          </w:tcPr>
          <w:p w14:paraId="1F3F2FB6" w14:textId="77777777" w:rsidR="0009633C" w:rsidRPr="002E7B7B" w:rsidRDefault="0009633C" w:rsidP="0009633C">
            <w:pPr>
              <w:spacing w:after="120"/>
              <w:contextualSpacing/>
              <w:jc w:val="both"/>
              <w:rPr>
                <w:rFonts w:cs="Times New Roman"/>
              </w:rPr>
            </w:pPr>
            <w:r w:rsidRPr="002E7B7B">
              <w:rPr>
                <w:rFonts w:cs="Times New Roman"/>
              </w:rPr>
              <w:t>Pineal Gland/su [Surgery]</w:t>
            </w:r>
          </w:p>
        </w:tc>
      </w:tr>
      <w:tr w:rsidR="0009633C" w:rsidRPr="002E7B7B" w14:paraId="7F046653" w14:textId="77777777" w:rsidTr="0009633C">
        <w:trPr>
          <w:trHeight w:val="600"/>
        </w:trPr>
        <w:tc>
          <w:tcPr>
            <w:tcW w:w="846" w:type="dxa"/>
            <w:hideMark/>
          </w:tcPr>
          <w:p w14:paraId="2794AD64" w14:textId="77777777" w:rsidR="0009633C" w:rsidRPr="002E7B7B" w:rsidRDefault="0009633C" w:rsidP="0009633C">
            <w:pPr>
              <w:spacing w:after="120"/>
              <w:contextualSpacing/>
              <w:jc w:val="both"/>
              <w:rPr>
                <w:rFonts w:cs="Times New Roman"/>
              </w:rPr>
            </w:pPr>
            <w:r w:rsidRPr="002E7B7B">
              <w:rPr>
                <w:rFonts w:cs="Times New Roman"/>
              </w:rPr>
              <w:t>72</w:t>
            </w:r>
          </w:p>
        </w:tc>
        <w:tc>
          <w:tcPr>
            <w:tcW w:w="8170" w:type="dxa"/>
            <w:hideMark/>
          </w:tcPr>
          <w:p w14:paraId="0DCCA5E1" w14:textId="77777777" w:rsidR="0009633C" w:rsidRPr="002E7B7B" w:rsidRDefault="0009633C" w:rsidP="0009633C">
            <w:pPr>
              <w:spacing w:after="120"/>
              <w:contextualSpacing/>
              <w:jc w:val="both"/>
              <w:rPr>
                <w:rFonts w:cs="Times New Roman"/>
              </w:rPr>
            </w:pPr>
            <w:r w:rsidRPr="002E7B7B">
              <w:rPr>
                <w:rFonts w:cs="Times New Roman"/>
              </w:rPr>
              <w:t>((brain or meninges or cerebral or pituitary or pineal) adj5 (surgery or surgical* or excision or lesion or ablation or operation* or neurostimulation or connection or destruction)).tw.</w:t>
            </w:r>
          </w:p>
        </w:tc>
      </w:tr>
      <w:tr w:rsidR="0009633C" w:rsidRPr="00A4124E" w14:paraId="0BE42BEC" w14:textId="77777777" w:rsidTr="0009633C">
        <w:trPr>
          <w:trHeight w:val="300"/>
        </w:trPr>
        <w:tc>
          <w:tcPr>
            <w:tcW w:w="846" w:type="dxa"/>
            <w:hideMark/>
          </w:tcPr>
          <w:p w14:paraId="66D68A31" w14:textId="77777777" w:rsidR="0009633C" w:rsidRPr="002E7B7B" w:rsidRDefault="0009633C" w:rsidP="0009633C">
            <w:pPr>
              <w:spacing w:after="120"/>
              <w:contextualSpacing/>
              <w:jc w:val="both"/>
              <w:rPr>
                <w:rFonts w:cs="Times New Roman"/>
              </w:rPr>
            </w:pPr>
            <w:r w:rsidRPr="002E7B7B">
              <w:rPr>
                <w:rFonts w:cs="Times New Roman"/>
              </w:rPr>
              <w:t>73</w:t>
            </w:r>
          </w:p>
        </w:tc>
        <w:tc>
          <w:tcPr>
            <w:tcW w:w="8170" w:type="dxa"/>
            <w:hideMark/>
          </w:tcPr>
          <w:p w14:paraId="4F80665F" w14:textId="77777777" w:rsidR="0009633C" w:rsidRPr="00CA4E0C" w:rsidRDefault="0009633C" w:rsidP="0009633C">
            <w:pPr>
              <w:spacing w:after="120"/>
              <w:contextualSpacing/>
              <w:jc w:val="both"/>
              <w:rPr>
                <w:rFonts w:cs="Times New Roman"/>
              </w:rPr>
            </w:pPr>
            <w:r w:rsidRPr="00CA4E0C">
              <w:rPr>
                <w:rFonts w:cs="Times New Roman"/>
              </w:rPr>
              <w:t>exp Cranial Nerves/su [Surgery]</w:t>
            </w:r>
          </w:p>
        </w:tc>
      </w:tr>
      <w:tr w:rsidR="0009633C" w:rsidRPr="002E7B7B" w14:paraId="4951E5D6" w14:textId="77777777" w:rsidTr="0009633C">
        <w:trPr>
          <w:trHeight w:val="600"/>
        </w:trPr>
        <w:tc>
          <w:tcPr>
            <w:tcW w:w="846" w:type="dxa"/>
            <w:hideMark/>
          </w:tcPr>
          <w:p w14:paraId="4B75B54E" w14:textId="77777777" w:rsidR="0009633C" w:rsidRPr="002E7B7B" w:rsidRDefault="0009633C" w:rsidP="0009633C">
            <w:pPr>
              <w:spacing w:after="120"/>
              <w:contextualSpacing/>
              <w:jc w:val="both"/>
              <w:rPr>
                <w:rFonts w:cs="Times New Roman"/>
              </w:rPr>
            </w:pPr>
            <w:r w:rsidRPr="002E7B7B">
              <w:rPr>
                <w:rFonts w:cs="Times New Roman"/>
              </w:rPr>
              <w:t>74</w:t>
            </w:r>
          </w:p>
        </w:tc>
        <w:tc>
          <w:tcPr>
            <w:tcW w:w="8170" w:type="dxa"/>
            <w:hideMark/>
          </w:tcPr>
          <w:p w14:paraId="7DB9507E" w14:textId="77777777" w:rsidR="0009633C" w:rsidRPr="002E7B7B" w:rsidRDefault="0009633C" w:rsidP="0009633C">
            <w:pPr>
              <w:spacing w:after="120"/>
              <w:contextualSpacing/>
              <w:jc w:val="both"/>
              <w:rPr>
                <w:rFonts w:cs="Times New Roman"/>
              </w:rPr>
            </w:pPr>
            <w:r w:rsidRPr="002E7B7B">
              <w:rPr>
                <w:rFonts w:cs="Times New Roman"/>
              </w:rPr>
              <w:t>((cranial or dura) adj5 (graft* or transection or destruction or lesion or repair* or decompress* or neurostimulation or exploration or operation*)).tw.</w:t>
            </w:r>
          </w:p>
        </w:tc>
      </w:tr>
      <w:tr w:rsidR="0009633C" w:rsidRPr="002E7B7B" w14:paraId="4ADBEE86" w14:textId="77777777" w:rsidTr="0009633C">
        <w:trPr>
          <w:trHeight w:val="300"/>
        </w:trPr>
        <w:tc>
          <w:tcPr>
            <w:tcW w:w="846" w:type="dxa"/>
            <w:hideMark/>
          </w:tcPr>
          <w:p w14:paraId="65EB2A84" w14:textId="77777777" w:rsidR="0009633C" w:rsidRPr="002E7B7B" w:rsidRDefault="0009633C" w:rsidP="0009633C">
            <w:pPr>
              <w:spacing w:after="120"/>
              <w:contextualSpacing/>
              <w:jc w:val="both"/>
              <w:rPr>
                <w:rFonts w:cs="Times New Roman"/>
              </w:rPr>
            </w:pPr>
            <w:r w:rsidRPr="002E7B7B">
              <w:rPr>
                <w:rFonts w:cs="Times New Roman"/>
              </w:rPr>
              <w:t>75</w:t>
            </w:r>
          </w:p>
        </w:tc>
        <w:tc>
          <w:tcPr>
            <w:tcW w:w="8170" w:type="dxa"/>
            <w:hideMark/>
          </w:tcPr>
          <w:p w14:paraId="09CAF9C0" w14:textId="77777777" w:rsidR="0009633C" w:rsidRPr="002E7B7B" w:rsidRDefault="0009633C" w:rsidP="0009633C">
            <w:pPr>
              <w:spacing w:after="120"/>
              <w:contextualSpacing/>
              <w:jc w:val="both"/>
              <w:rPr>
                <w:rFonts w:cs="Times New Roman"/>
              </w:rPr>
            </w:pPr>
            <w:r w:rsidRPr="002E7B7B">
              <w:rPr>
                <w:rFonts w:cs="Times New Roman"/>
              </w:rPr>
              <w:t>Ophthalmologic Surgical Procedures/</w:t>
            </w:r>
          </w:p>
        </w:tc>
      </w:tr>
      <w:tr w:rsidR="0009633C" w:rsidRPr="002E7B7B" w14:paraId="3D95739F" w14:textId="77777777" w:rsidTr="0009633C">
        <w:trPr>
          <w:trHeight w:val="600"/>
        </w:trPr>
        <w:tc>
          <w:tcPr>
            <w:tcW w:w="846" w:type="dxa"/>
            <w:hideMark/>
          </w:tcPr>
          <w:p w14:paraId="725A7839" w14:textId="77777777" w:rsidR="0009633C" w:rsidRPr="002E7B7B" w:rsidRDefault="0009633C" w:rsidP="0009633C">
            <w:pPr>
              <w:spacing w:after="120"/>
              <w:contextualSpacing/>
              <w:jc w:val="both"/>
              <w:rPr>
                <w:rFonts w:cs="Times New Roman"/>
              </w:rPr>
            </w:pPr>
            <w:r w:rsidRPr="002E7B7B">
              <w:rPr>
                <w:rFonts w:cs="Times New Roman"/>
              </w:rPr>
              <w:t>76</w:t>
            </w:r>
          </w:p>
        </w:tc>
        <w:tc>
          <w:tcPr>
            <w:tcW w:w="8170" w:type="dxa"/>
            <w:hideMark/>
          </w:tcPr>
          <w:p w14:paraId="13C311FB" w14:textId="77777777" w:rsidR="0009633C" w:rsidRPr="002E7B7B" w:rsidRDefault="0009633C" w:rsidP="0009633C">
            <w:pPr>
              <w:spacing w:after="120"/>
              <w:contextualSpacing/>
              <w:jc w:val="both"/>
              <w:rPr>
                <w:rFonts w:cs="Times New Roman"/>
              </w:rPr>
            </w:pPr>
            <w:r w:rsidRPr="002E7B7B">
              <w:rPr>
                <w:rFonts w:cs="Times New Roman"/>
              </w:rPr>
              <w:t>((eye or vitreous or retina) adj5 (surgery or surgical* or excision or operation* or photocoagulation or destruction)).tw.</w:t>
            </w:r>
          </w:p>
        </w:tc>
      </w:tr>
      <w:tr w:rsidR="0009633C" w:rsidRPr="002E7B7B" w14:paraId="189DBCBC" w14:textId="77777777" w:rsidTr="0009633C">
        <w:trPr>
          <w:trHeight w:val="300"/>
        </w:trPr>
        <w:tc>
          <w:tcPr>
            <w:tcW w:w="846" w:type="dxa"/>
            <w:hideMark/>
          </w:tcPr>
          <w:p w14:paraId="29815F66" w14:textId="77777777" w:rsidR="0009633C" w:rsidRPr="002E7B7B" w:rsidRDefault="0009633C" w:rsidP="0009633C">
            <w:pPr>
              <w:spacing w:after="120"/>
              <w:contextualSpacing/>
              <w:jc w:val="both"/>
              <w:rPr>
                <w:rFonts w:cs="Times New Roman"/>
              </w:rPr>
            </w:pPr>
            <w:r w:rsidRPr="002E7B7B">
              <w:rPr>
                <w:rFonts w:cs="Times New Roman"/>
              </w:rPr>
              <w:t>77</w:t>
            </w:r>
          </w:p>
        </w:tc>
        <w:tc>
          <w:tcPr>
            <w:tcW w:w="8170" w:type="dxa"/>
            <w:hideMark/>
          </w:tcPr>
          <w:p w14:paraId="63358E37" w14:textId="77777777" w:rsidR="0009633C" w:rsidRPr="002E7B7B" w:rsidRDefault="0009633C" w:rsidP="0009633C">
            <w:pPr>
              <w:spacing w:after="120"/>
              <w:contextualSpacing/>
              <w:jc w:val="both"/>
              <w:rPr>
                <w:rFonts w:cs="Times New Roman"/>
              </w:rPr>
            </w:pPr>
            <w:r w:rsidRPr="002E7B7B">
              <w:rPr>
                <w:rFonts w:cs="Times New Roman"/>
              </w:rPr>
              <w:t>Eye/su [Surgery]</w:t>
            </w:r>
          </w:p>
        </w:tc>
      </w:tr>
      <w:tr w:rsidR="0009633C" w:rsidRPr="002E7B7B" w14:paraId="2D76090E" w14:textId="77777777" w:rsidTr="0009633C">
        <w:trPr>
          <w:trHeight w:val="300"/>
        </w:trPr>
        <w:tc>
          <w:tcPr>
            <w:tcW w:w="846" w:type="dxa"/>
            <w:hideMark/>
          </w:tcPr>
          <w:p w14:paraId="765E2939" w14:textId="77777777" w:rsidR="0009633C" w:rsidRPr="002E7B7B" w:rsidRDefault="0009633C" w:rsidP="0009633C">
            <w:pPr>
              <w:spacing w:after="120"/>
              <w:contextualSpacing/>
              <w:jc w:val="both"/>
              <w:rPr>
                <w:rFonts w:cs="Times New Roman"/>
              </w:rPr>
            </w:pPr>
            <w:r w:rsidRPr="002E7B7B">
              <w:rPr>
                <w:rFonts w:cs="Times New Roman"/>
              </w:rPr>
              <w:t>78</w:t>
            </w:r>
          </w:p>
        </w:tc>
        <w:tc>
          <w:tcPr>
            <w:tcW w:w="8170" w:type="dxa"/>
            <w:hideMark/>
          </w:tcPr>
          <w:p w14:paraId="15606100" w14:textId="77777777" w:rsidR="0009633C" w:rsidRPr="002E7B7B" w:rsidRDefault="0009633C" w:rsidP="0009633C">
            <w:pPr>
              <w:spacing w:after="120"/>
              <w:contextualSpacing/>
              <w:jc w:val="both"/>
              <w:rPr>
                <w:rFonts w:cs="Times New Roman"/>
              </w:rPr>
            </w:pPr>
            <w:r w:rsidRPr="002E7B7B">
              <w:rPr>
                <w:rFonts w:cs="Times New Roman"/>
              </w:rPr>
              <w:t>Vitreous Body/su [Surgery]</w:t>
            </w:r>
          </w:p>
        </w:tc>
      </w:tr>
      <w:tr w:rsidR="0009633C" w:rsidRPr="002E7B7B" w14:paraId="03AF007F" w14:textId="77777777" w:rsidTr="0009633C">
        <w:trPr>
          <w:trHeight w:val="300"/>
        </w:trPr>
        <w:tc>
          <w:tcPr>
            <w:tcW w:w="846" w:type="dxa"/>
            <w:hideMark/>
          </w:tcPr>
          <w:p w14:paraId="24461F93" w14:textId="77777777" w:rsidR="0009633C" w:rsidRPr="002E7B7B" w:rsidRDefault="0009633C" w:rsidP="0009633C">
            <w:pPr>
              <w:spacing w:after="120"/>
              <w:contextualSpacing/>
              <w:jc w:val="both"/>
              <w:rPr>
                <w:rFonts w:cs="Times New Roman"/>
              </w:rPr>
            </w:pPr>
            <w:r w:rsidRPr="002E7B7B">
              <w:rPr>
                <w:rFonts w:cs="Times New Roman"/>
              </w:rPr>
              <w:t>79</w:t>
            </w:r>
          </w:p>
        </w:tc>
        <w:tc>
          <w:tcPr>
            <w:tcW w:w="8170" w:type="dxa"/>
            <w:hideMark/>
          </w:tcPr>
          <w:p w14:paraId="31361ACD" w14:textId="77777777" w:rsidR="0009633C" w:rsidRPr="002E7B7B" w:rsidRDefault="0009633C" w:rsidP="0009633C">
            <w:pPr>
              <w:spacing w:after="120"/>
              <w:contextualSpacing/>
              <w:jc w:val="both"/>
              <w:rPr>
                <w:rFonts w:cs="Times New Roman"/>
              </w:rPr>
            </w:pPr>
            <w:r w:rsidRPr="002E7B7B">
              <w:rPr>
                <w:rFonts w:cs="Times New Roman"/>
              </w:rPr>
              <w:t>exp Retina/su [Surgery]</w:t>
            </w:r>
          </w:p>
        </w:tc>
      </w:tr>
      <w:tr w:rsidR="0009633C" w:rsidRPr="002E7B7B" w14:paraId="49B2D6F9" w14:textId="77777777" w:rsidTr="0009633C">
        <w:trPr>
          <w:trHeight w:val="300"/>
        </w:trPr>
        <w:tc>
          <w:tcPr>
            <w:tcW w:w="846" w:type="dxa"/>
            <w:hideMark/>
          </w:tcPr>
          <w:p w14:paraId="6BB2A954" w14:textId="77777777" w:rsidR="0009633C" w:rsidRPr="002E7B7B" w:rsidRDefault="0009633C" w:rsidP="0009633C">
            <w:pPr>
              <w:spacing w:after="120"/>
              <w:contextualSpacing/>
              <w:jc w:val="both"/>
              <w:rPr>
                <w:rFonts w:cs="Times New Roman"/>
              </w:rPr>
            </w:pPr>
            <w:r w:rsidRPr="002E7B7B">
              <w:rPr>
                <w:rFonts w:cs="Times New Roman"/>
              </w:rPr>
              <w:t>80</w:t>
            </w:r>
          </w:p>
        </w:tc>
        <w:tc>
          <w:tcPr>
            <w:tcW w:w="8170" w:type="dxa"/>
            <w:hideMark/>
          </w:tcPr>
          <w:p w14:paraId="4016E743" w14:textId="77777777" w:rsidR="0009633C" w:rsidRPr="002E7B7B" w:rsidRDefault="0009633C" w:rsidP="0009633C">
            <w:pPr>
              <w:spacing w:after="120"/>
              <w:contextualSpacing/>
              <w:jc w:val="both"/>
              <w:rPr>
                <w:rFonts w:cs="Times New Roman"/>
              </w:rPr>
            </w:pPr>
            <w:r w:rsidRPr="002E7B7B">
              <w:rPr>
                <w:rFonts w:cs="Times New Roman"/>
              </w:rPr>
              <w:t>or/65-79</w:t>
            </w:r>
          </w:p>
        </w:tc>
      </w:tr>
      <w:tr w:rsidR="0009633C" w:rsidRPr="002E7B7B" w14:paraId="3A71CCA9" w14:textId="77777777" w:rsidTr="0009633C">
        <w:trPr>
          <w:trHeight w:val="300"/>
        </w:trPr>
        <w:tc>
          <w:tcPr>
            <w:tcW w:w="846" w:type="dxa"/>
            <w:hideMark/>
          </w:tcPr>
          <w:p w14:paraId="6CEDDBEE" w14:textId="77777777" w:rsidR="0009633C" w:rsidRPr="002E7B7B" w:rsidRDefault="0009633C" w:rsidP="0009633C">
            <w:pPr>
              <w:spacing w:after="120"/>
              <w:contextualSpacing/>
              <w:jc w:val="both"/>
              <w:rPr>
                <w:rFonts w:cs="Times New Roman"/>
              </w:rPr>
            </w:pPr>
            <w:r w:rsidRPr="002E7B7B">
              <w:rPr>
                <w:rFonts w:cs="Times New Roman"/>
              </w:rPr>
              <w:t>81</w:t>
            </w:r>
          </w:p>
        </w:tc>
        <w:tc>
          <w:tcPr>
            <w:tcW w:w="8170" w:type="dxa"/>
            <w:hideMark/>
          </w:tcPr>
          <w:p w14:paraId="7C1B329E" w14:textId="77777777" w:rsidR="0009633C" w:rsidRPr="002E7B7B" w:rsidRDefault="0009633C" w:rsidP="0009633C">
            <w:pPr>
              <w:spacing w:after="120"/>
              <w:contextualSpacing/>
              <w:jc w:val="both"/>
              <w:rPr>
                <w:rFonts w:cs="Times New Roman"/>
              </w:rPr>
            </w:pPr>
            <w:r w:rsidRPr="002E7B7B">
              <w:rPr>
                <w:rFonts w:cs="Times New Roman"/>
              </w:rPr>
              <w:t>complication*.mp.</w:t>
            </w:r>
          </w:p>
        </w:tc>
      </w:tr>
      <w:tr w:rsidR="0009633C" w:rsidRPr="002E7B7B" w14:paraId="63856DE5" w14:textId="77777777" w:rsidTr="0009633C">
        <w:trPr>
          <w:trHeight w:val="300"/>
        </w:trPr>
        <w:tc>
          <w:tcPr>
            <w:tcW w:w="846" w:type="dxa"/>
            <w:hideMark/>
          </w:tcPr>
          <w:p w14:paraId="3AC55393" w14:textId="77777777" w:rsidR="0009633C" w:rsidRPr="002E7B7B" w:rsidRDefault="0009633C" w:rsidP="0009633C">
            <w:pPr>
              <w:spacing w:after="120"/>
              <w:contextualSpacing/>
              <w:jc w:val="both"/>
              <w:rPr>
                <w:rFonts w:cs="Times New Roman"/>
              </w:rPr>
            </w:pPr>
            <w:r w:rsidRPr="002E7B7B">
              <w:rPr>
                <w:rFonts w:cs="Times New Roman"/>
              </w:rPr>
              <w:t>82</w:t>
            </w:r>
          </w:p>
        </w:tc>
        <w:tc>
          <w:tcPr>
            <w:tcW w:w="8170" w:type="dxa"/>
            <w:hideMark/>
          </w:tcPr>
          <w:p w14:paraId="3F24029F" w14:textId="77777777" w:rsidR="0009633C" w:rsidRPr="002E7B7B" w:rsidRDefault="0009633C" w:rsidP="0009633C">
            <w:pPr>
              <w:spacing w:after="120"/>
              <w:contextualSpacing/>
              <w:jc w:val="both"/>
              <w:rPr>
                <w:rFonts w:cs="Times New Roman"/>
              </w:rPr>
            </w:pPr>
            <w:r w:rsidRPr="002E7B7B">
              <w:rPr>
                <w:rFonts w:cs="Times New Roman"/>
              </w:rPr>
              <w:t>co.fs.</w:t>
            </w:r>
          </w:p>
        </w:tc>
      </w:tr>
      <w:tr w:rsidR="0009633C" w:rsidRPr="002E7B7B" w14:paraId="31B0E2A4" w14:textId="77777777" w:rsidTr="0009633C">
        <w:trPr>
          <w:trHeight w:val="300"/>
        </w:trPr>
        <w:tc>
          <w:tcPr>
            <w:tcW w:w="846" w:type="dxa"/>
            <w:hideMark/>
          </w:tcPr>
          <w:p w14:paraId="10D5C5C2" w14:textId="77777777" w:rsidR="0009633C" w:rsidRPr="002E7B7B" w:rsidRDefault="0009633C" w:rsidP="0009633C">
            <w:pPr>
              <w:spacing w:after="120"/>
              <w:contextualSpacing/>
              <w:jc w:val="both"/>
              <w:rPr>
                <w:rFonts w:cs="Times New Roman"/>
              </w:rPr>
            </w:pPr>
            <w:r w:rsidRPr="002E7B7B">
              <w:rPr>
                <w:rFonts w:cs="Times New Roman"/>
              </w:rPr>
              <w:t>83</w:t>
            </w:r>
          </w:p>
        </w:tc>
        <w:tc>
          <w:tcPr>
            <w:tcW w:w="8170" w:type="dxa"/>
            <w:hideMark/>
          </w:tcPr>
          <w:p w14:paraId="7410559A" w14:textId="77777777" w:rsidR="0009633C" w:rsidRPr="002E7B7B" w:rsidRDefault="0009633C" w:rsidP="0009633C">
            <w:pPr>
              <w:spacing w:after="120"/>
              <w:contextualSpacing/>
              <w:jc w:val="both"/>
              <w:rPr>
                <w:rFonts w:cs="Times New Roman"/>
              </w:rPr>
            </w:pPr>
            <w:r w:rsidRPr="002E7B7B">
              <w:rPr>
                <w:rFonts w:cs="Times New Roman"/>
              </w:rPr>
              <w:t>exp Postoperative Complications/</w:t>
            </w:r>
          </w:p>
        </w:tc>
      </w:tr>
      <w:tr w:rsidR="0009633C" w:rsidRPr="002E7B7B" w14:paraId="35D85343" w14:textId="77777777" w:rsidTr="0009633C">
        <w:trPr>
          <w:trHeight w:val="300"/>
        </w:trPr>
        <w:tc>
          <w:tcPr>
            <w:tcW w:w="846" w:type="dxa"/>
            <w:hideMark/>
          </w:tcPr>
          <w:p w14:paraId="69F3846B" w14:textId="77777777" w:rsidR="0009633C" w:rsidRPr="002E7B7B" w:rsidRDefault="0009633C" w:rsidP="0009633C">
            <w:pPr>
              <w:spacing w:after="120"/>
              <w:contextualSpacing/>
              <w:jc w:val="both"/>
              <w:rPr>
                <w:rFonts w:cs="Times New Roman"/>
              </w:rPr>
            </w:pPr>
            <w:r w:rsidRPr="002E7B7B">
              <w:rPr>
                <w:rFonts w:cs="Times New Roman"/>
              </w:rPr>
              <w:t>84</w:t>
            </w:r>
          </w:p>
        </w:tc>
        <w:tc>
          <w:tcPr>
            <w:tcW w:w="8170" w:type="dxa"/>
            <w:hideMark/>
          </w:tcPr>
          <w:p w14:paraId="3E2BEAB7" w14:textId="77777777" w:rsidR="0009633C" w:rsidRPr="002E7B7B" w:rsidRDefault="0009633C" w:rsidP="0009633C">
            <w:pPr>
              <w:spacing w:after="120"/>
              <w:contextualSpacing/>
              <w:jc w:val="both"/>
              <w:rPr>
                <w:rFonts w:cs="Times New Roman"/>
              </w:rPr>
            </w:pPr>
            <w:r w:rsidRPr="002E7B7B">
              <w:rPr>
                <w:rFonts w:cs="Times New Roman"/>
              </w:rPr>
              <w:t>exp Intraoperative Complications/</w:t>
            </w:r>
          </w:p>
        </w:tc>
      </w:tr>
      <w:tr w:rsidR="0009633C" w:rsidRPr="002E7B7B" w14:paraId="310272CF" w14:textId="77777777" w:rsidTr="0009633C">
        <w:trPr>
          <w:trHeight w:val="300"/>
        </w:trPr>
        <w:tc>
          <w:tcPr>
            <w:tcW w:w="846" w:type="dxa"/>
            <w:hideMark/>
          </w:tcPr>
          <w:p w14:paraId="46FEF094" w14:textId="77777777" w:rsidR="0009633C" w:rsidRPr="002E7B7B" w:rsidRDefault="0009633C" w:rsidP="0009633C">
            <w:pPr>
              <w:spacing w:after="120"/>
              <w:contextualSpacing/>
              <w:jc w:val="both"/>
              <w:rPr>
                <w:rFonts w:cs="Times New Roman"/>
              </w:rPr>
            </w:pPr>
            <w:r w:rsidRPr="002E7B7B">
              <w:rPr>
                <w:rFonts w:cs="Times New Roman"/>
              </w:rPr>
              <w:t>85</w:t>
            </w:r>
          </w:p>
        </w:tc>
        <w:tc>
          <w:tcPr>
            <w:tcW w:w="8170" w:type="dxa"/>
            <w:hideMark/>
          </w:tcPr>
          <w:p w14:paraId="3D60434B" w14:textId="77777777" w:rsidR="0009633C" w:rsidRPr="002E7B7B" w:rsidRDefault="0009633C" w:rsidP="0009633C">
            <w:pPr>
              <w:spacing w:after="120"/>
              <w:contextualSpacing/>
              <w:jc w:val="both"/>
              <w:rPr>
                <w:rFonts w:cs="Times New Roman"/>
              </w:rPr>
            </w:pPr>
            <w:r w:rsidRPr="002E7B7B">
              <w:rPr>
                <w:rFonts w:cs="Times New Roman"/>
              </w:rPr>
              <w:t>or/81-84</w:t>
            </w:r>
          </w:p>
        </w:tc>
      </w:tr>
      <w:tr w:rsidR="0009633C" w:rsidRPr="002E7B7B" w14:paraId="45244ECE" w14:textId="77777777" w:rsidTr="0009633C">
        <w:trPr>
          <w:trHeight w:val="300"/>
        </w:trPr>
        <w:tc>
          <w:tcPr>
            <w:tcW w:w="846" w:type="dxa"/>
            <w:hideMark/>
          </w:tcPr>
          <w:p w14:paraId="45FB2B84" w14:textId="77777777" w:rsidR="0009633C" w:rsidRPr="002E7B7B" w:rsidRDefault="0009633C" w:rsidP="0009633C">
            <w:pPr>
              <w:spacing w:after="120"/>
              <w:contextualSpacing/>
              <w:jc w:val="both"/>
              <w:rPr>
                <w:rFonts w:cs="Times New Roman"/>
              </w:rPr>
            </w:pPr>
            <w:r w:rsidRPr="002E7B7B">
              <w:rPr>
                <w:rFonts w:cs="Times New Roman"/>
              </w:rPr>
              <w:t>86</w:t>
            </w:r>
          </w:p>
        </w:tc>
        <w:tc>
          <w:tcPr>
            <w:tcW w:w="8170" w:type="dxa"/>
            <w:hideMark/>
          </w:tcPr>
          <w:p w14:paraId="4FC14942" w14:textId="77777777" w:rsidR="0009633C" w:rsidRPr="002E7B7B" w:rsidRDefault="0009633C" w:rsidP="0009633C">
            <w:pPr>
              <w:spacing w:after="120"/>
              <w:contextualSpacing/>
              <w:jc w:val="both"/>
              <w:rPr>
                <w:rFonts w:cs="Times New Roman"/>
              </w:rPr>
            </w:pPr>
            <w:r w:rsidRPr="002E7B7B">
              <w:rPr>
                <w:rFonts w:cs="Times New Roman"/>
              </w:rPr>
              <w:t>64 and 80 and 85</w:t>
            </w:r>
          </w:p>
        </w:tc>
      </w:tr>
      <w:tr w:rsidR="0009633C" w:rsidRPr="002E7B7B" w14:paraId="720AF21F" w14:textId="77777777" w:rsidTr="0009633C">
        <w:trPr>
          <w:trHeight w:val="300"/>
        </w:trPr>
        <w:tc>
          <w:tcPr>
            <w:tcW w:w="846" w:type="dxa"/>
            <w:hideMark/>
          </w:tcPr>
          <w:p w14:paraId="1CF008E8" w14:textId="77777777" w:rsidR="0009633C" w:rsidRPr="002E7B7B" w:rsidRDefault="0009633C" w:rsidP="0009633C">
            <w:pPr>
              <w:spacing w:after="120"/>
              <w:contextualSpacing/>
              <w:jc w:val="both"/>
              <w:rPr>
                <w:rFonts w:cs="Times New Roman"/>
              </w:rPr>
            </w:pPr>
            <w:r w:rsidRPr="002E7B7B">
              <w:rPr>
                <w:rFonts w:cs="Times New Roman"/>
              </w:rPr>
              <w:t>87</w:t>
            </w:r>
          </w:p>
        </w:tc>
        <w:tc>
          <w:tcPr>
            <w:tcW w:w="8170" w:type="dxa"/>
            <w:hideMark/>
          </w:tcPr>
          <w:p w14:paraId="3F927E7A" w14:textId="77777777" w:rsidR="0009633C" w:rsidRPr="002E7B7B" w:rsidRDefault="0009633C" w:rsidP="0009633C">
            <w:pPr>
              <w:spacing w:after="120"/>
              <w:contextualSpacing/>
              <w:jc w:val="both"/>
              <w:rPr>
                <w:rFonts w:cs="Times New Roman"/>
              </w:rPr>
            </w:pPr>
            <w:r w:rsidRPr="002E7B7B">
              <w:rPr>
                <w:rFonts w:cs="Times New Roman"/>
              </w:rPr>
              <w:t>limit 86 to yr="2005 -Current"</w:t>
            </w:r>
          </w:p>
        </w:tc>
      </w:tr>
      <w:tr w:rsidR="0009633C" w:rsidRPr="002E7B7B" w14:paraId="1237573E" w14:textId="77777777" w:rsidTr="0009633C">
        <w:trPr>
          <w:trHeight w:val="300"/>
        </w:trPr>
        <w:tc>
          <w:tcPr>
            <w:tcW w:w="846" w:type="dxa"/>
            <w:hideMark/>
          </w:tcPr>
          <w:p w14:paraId="28F78D5E" w14:textId="77777777" w:rsidR="0009633C" w:rsidRPr="002E7B7B" w:rsidRDefault="0009633C" w:rsidP="0009633C">
            <w:pPr>
              <w:spacing w:after="120"/>
              <w:contextualSpacing/>
              <w:jc w:val="both"/>
              <w:rPr>
                <w:rFonts w:cs="Times New Roman"/>
              </w:rPr>
            </w:pPr>
            <w:r w:rsidRPr="002E7B7B">
              <w:rPr>
                <w:rFonts w:cs="Times New Roman"/>
              </w:rPr>
              <w:t>88</w:t>
            </w:r>
          </w:p>
        </w:tc>
        <w:tc>
          <w:tcPr>
            <w:tcW w:w="8170" w:type="dxa"/>
            <w:hideMark/>
          </w:tcPr>
          <w:p w14:paraId="3BF71D99" w14:textId="77777777" w:rsidR="0009633C" w:rsidRPr="002E7B7B" w:rsidRDefault="0009633C" w:rsidP="0009633C">
            <w:pPr>
              <w:spacing w:after="120"/>
              <w:contextualSpacing/>
              <w:jc w:val="both"/>
              <w:rPr>
                <w:rFonts w:cs="Times New Roman"/>
              </w:rPr>
            </w:pPr>
            <w:r w:rsidRPr="002E7B7B">
              <w:rPr>
                <w:rFonts w:cs="Times New Roman"/>
              </w:rPr>
              <w:t>*Reoperation/</w:t>
            </w:r>
          </w:p>
        </w:tc>
      </w:tr>
      <w:tr w:rsidR="0009633C" w:rsidRPr="002E7B7B" w14:paraId="6D3AB029" w14:textId="77777777" w:rsidTr="0009633C">
        <w:trPr>
          <w:trHeight w:val="300"/>
        </w:trPr>
        <w:tc>
          <w:tcPr>
            <w:tcW w:w="846" w:type="dxa"/>
            <w:hideMark/>
          </w:tcPr>
          <w:p w14:paraId="701AA523" w14:textId="77777777" w:rsidR="0009633C" w:rsidRPr="002E7B7B" w:rsidRDefault="0009633C" w:rsidP="0009633C">
            <w:pPr>
              <w:spacing w:after="120"/>
              <w:contextualSpacing/>
              <w:jc w:val="both"/>
              <w:rPr>
                <w:rFonts w:cs="Times New Roman"/>
              </w:rPr>
            </w:pPr>
            <w:r w:rsidRPr="002E7B7B">
              <w:rPr>
                <w:rFonts w:cs="Times New Roman"/>
              </w:rPr>
              <w:t>89</w:t>
            </w:r>
          </w:p>
        </w:tc>
        <w:tc>
          <w:tcPr>
            <w:tcW w:w="8170" w:type="dxa"/>
            <w:hideMark/>
          </w:tcPr>
          <w:p w14:paraId="493E11B9" w14:textId="77777777" w:rsidR="0009633C" w:rsidRPr="002E7B7B" w:rsidRDefault="0009633C" w:rsidP="0009633C">
            <w:pPr>
              <w:spacing w:after="120"/>
              <w:contextualSpacing/>
              <w:jc w:val="both"/>
              <w:rPr>
                <w:rFonts w:cs="Times New Roman"/>
              </w:rPr>
            </w:pPr>
            <w:r w:rsidRPr="002E7B7B">
              <w:rPr>
                <w:rFonts w:cs="Times New Roman"/>
              </w:rPr>
              <w:t>reoperat*.tw.</w:t>
            </w:r>
          </w:p>
        </w:tc>
      </w:tr>
      <w:tr w:rsidR="0009633C" w:rsidRPr="002E7B7B" w14:paraId="7D13B0A9" w14:textId="77777777" w:rsidTr="0009633C">
        <w:trPr>
          <w:trHeight w:val="300"/>
        </w:trPr>
        <w:tc>
          <w:tcPr>
            <w:tcW w:w="846" w:type="dxa"/>
            <w:hideMark/>
          </w:tcPr>
          <w:p w14:paraId="7F84F972" w14:textId="77777777" w:rsidR="0009633C" w:rsidRPr="002E7B7B" w:rsidRDefault="0009633C" w:rsidP="0009633C">
            <w:pPr>
              <w:spacing w:after="120"/>
              <w:contextualSpacing/>
              <w:jc w:val="both"/>
              <w:rPr>
                <w:rFonts w:cs="Times New Roman"/>
              </w:rPr>
            </w:pPr>
            <w:r w:rsidRPr="002E7B7B">
              <w:rPr>
                <w:rFonts w:cs="Times New Roman"/>
              </w:rPr>
              <w:t>90</w:t>
            </w:r>
          </w:p>
        </w:tc>
        <w:tc>
          <w:tcPr>
            <w:tcW w:w="8170" w:type="dxa"/>
            <w:hideMark/>
          </w:tcPr>
          <w:p w14:paraId="2B6281A0" w14:textId="77777777" w:rsidR="0009633C" w:rsidRPr="002E7B7B" w:rsidRDefault="0009633C" w:rsidP="0009633C">
            <w:pPr>
              <w:spacing w:after="120"/>
              <w:contextualSpacing/>
              <w:jc w:val="both"/>
              <w:rPr>
                <w:rFonts w:cs="Times New Roman"/>
              </w:rPr>
            </w:pPr>
            <w:r w:rsidRPr="002E7B7B">
              <w:rPr>
                <w:rFonts w:cs="Times New Roman"/>
              </w:rPr>
              <w:t>((repeat or revision) adj3 (surgery or surgical* or operat*)).tw.</w:t>
            </w:r>
          </w:p>
        </w:tc>
      </w:tr>
      <w:tr w:rsidR="0009633C" w:rsidRPr="002E7B7B" w14:paraId="0C3A276F" w14:textId="77777777" w:rsidTr="0009633C">
        <w:trPr>
          <w:trHeight w:val="300"/>
        </w:trPr>
        <w:tc>
          <w:tcPr>
            <w:tcW w:w="846" w:type="dxa"/>
            <w:hideMark/>
          </w:tcPr>
          <w:p w14:paraId="776D45EB" w14:textId="77777777" w:rsidR="0009633C" w:rsidRPr="002E7B7B" w:rsidRDefault="0009633C" w:rsidP="0009633C">
            <w:pPr>
              <w:spacing w:after="120"/>
              <w:contextualSpacing/>
              <w:jc w:val="both"/>
              <w:rPr>
                <w:rFonts w:cs="Times New Roman"/>
              </w:rPr>
            </w:pPr>
            <w:r w:rsidRPr="002E7B7B">
              <w:rPr>
                <w:rFonts w:cs="Times New Roman"/>
              </w:rPr>
              <w:t>91</w:t>
            </w:r>
          </w:p>
        </w:tc>
        <w:tc>
          <w:tcPr>
            <w:tcW w:w="8170" w:type="dxa"/>
            <w:hideMark/>
          </w:tcPr>
          <w:p w14:paraId="36203265" w14:textId="77777777" w:rsidR="0009633C" w:rsidRPr="002E7B7B" w:rsidRDefault="0009633C" w:rsidP="0009633C">
            <w:pPr>
              <w:spacing w:after="120"/>
              <w:contextualSpacing/>
              <w:jc w:val="both"/>
              <w:rPr>
                <w:rFonts w:cs="Times New Roman"/>
              </w:rPr>
            </w:pPr>
            <w:r w:rsidRPr="002E7B7B">
              <w:rPr>
                <w:rFonts w:cs="Times New Roman"/>
              </w:rPr>
              <w:t>or/88-90</w:t>
            </w:r>
          </w:p>
        </w:tc>
      </w:tr>
      <w:tr w:rsidR="0009633C" w:rsidRPr="002E7B7B" w14:paraId="4B15FEB0" w14:textId="77777777" w:rsidTr="0009633C">
        <w:trPr>
          <w:trHeight w:val="300"/>
        </w:trPr>
        <w:tc>
          <w:tcPr>
            <w:tcW w:w="846" w:type="dxa"/>
            <w:hideMark/>
          </w:tcPr>
          <w:p w14:paraId="2E077F87" w14:textId="77777777" w:rsidR="0009633C" w:rsidRPr="002E7B7B" w:rsidRDefault="0009633C" w:rsidP="0009633C">
            <w:pPr>
              <w:spacing w:after="120"/>
              <w:contextualSpacing/>
              <w:jc w:val="both"/>
              <w:rPr>
                <w:rFonts w:cs="Times New Roman"/>
              </w:rPr>
            </w:pPr>
            <w:r w:rsidRPr="002E7B7B">
              <w:rPr>
                <w:rFonts w:cs="Times New Roman"/>
              </w:rPr>
              <w:t>92</w:t>
            </w:r>
          </w:p>
        </w:tc>
        <w:tc>
          <w:tcPr>
            <w:tcW w:w="8170" w:type="dxa"/>
            <w:hideMark/>
          </w:tcPr>
          <w:p w14:paraId="70B42C57" w14:textId="77777777" w:rsidR="0009633C" w:rsidRPr="002E7B7B" w:rsidRDefault="0009633C" w:rsidP="0009633C">
            <w:pPr>
              <w:spacing w:after="120"/>
              <w:contextualSpacing/>
              <w:jc w:val="both"/>
              <w:rPr>
                <w:rFonts w:cs="Times New Roman"/>
              </w:rPr>
            </w:pPr>
            <w:r w:rsidRPr="002E7B7B">
              <w:rPr>
                <w:rFonts w:cs="Times New Roman"/>
              </w:rPr>
              <w:t>Neurosurgery/</w:t>
            </w:r>
          </w:p>
        </w:tc>
      </w:tr>
      <w:tr w:rsidR="0009633C" w:rsidRPr="002E7B7B" w14:paraId="46704D61" w14:textId="77777777" w:rsidTr="0009633C">
        <w:trPr>
          <w:trHeight w:val="300"/>
        </w:trPr>
        <w:tc>
          <w:tcPr>
            <w:tcW w:w="846" w:type="dxa"/>
            <w:hideMark/>
          </w:tcPr>
          <w:p w14:paraId="25D89429" w14:textId="77777777" w:rsidR="0009633C" w:rsidRPr="002E7B7B" w:rsidRDefault="0009633C" w:rsidP="0009633C">
            <w:pPr>
              <w:spacing w:after="120"/>
              <w:contextualSpacing/>
              <w:jc w:val="both"/>
              <w:rPr>
                <w:rFonts w:cs="Times New Roman"/>
              </w:rPr>
            </w:pPr>
            <w:r w:rsidRPr="002E7B7B">
              <w:rPr>
                <w:rFonts w:cs="Times New Roman"/>
              </w:rPr>
              <w:t>93</w:t>
            </w:r>
          </w:p>
        </w:tc>
        <w:tc>
          <w:tcPr>
            <w:tcW w:w="8170" w:type="dxa"/>
            <w:hideMark/>
          </w:tcPr>
          <w:p w14:paraId="00B8A3CB" w14:textId="77777777" w:rsidR="0009633C" w:rsidRPr="002E7B7B" w:rsidRDefault="0009633C" w:rsidP="0009633C">
            <w:pPr>
              <w:spacing w:after="120"/>
              <w:contextualSpacing/>
              <w:jc w:val="both"/>
              <w:rPr>
                <w:rFonts w:cs="Times New Roman"/>
              </w:rPr>
            </w:pPr>
            <w:r w:rsidRPr="002E7B7B">
              <w:rPr>
                <w:rFonts w:cs="Times New Roman"/>
              </w:rPr>
              <w:t>Neurosurgical Procedures/</w:t>
            </w:r>
          </w:p>
        </w:tc>
      </w:tr>
      <w:tr w:rsidR="0009633C" w:rsidRPr="002E7B7B" w14:paraId="33414700" w14:textId="77777777" w:rsidTr="0009633C">
        <w:trPr>
          <w:trHeight w:val="300"/>
        </w:trPr>
        <w:tc>
          <w:tcPr>
            <w:tcW w:w="846" w:type="dxa"/>
            <w:hideMark/>
          </w:tcPr>
          <w:p w14:paraId="5D5569A4" w14:textId="77777777" w:rsidR="0009633C" w:rsidRPr="002E7B7B" w:rsidRDefault="0009633C" w:rsidP="0009633C">
            <w:pPr>
              <w:spacing w:after="120"/>
              <w:contextualSpacing/>
              <w:jc w:val="both"/>
              <w:rPr>
                <w:rFonts w:cs="Times New Roman"/>
              </w:rPr>
            </w:pPr>
            <w:r w:rsidRPr="002E7B7B">
              <w:rPr>
                <w:rFonts w:cs="Times New Roman"/>
              </w:rPr>
              <w:t>94</w:t>
            </w:r>
          </w:p>
        </w:tc>
        <w:tc>
          <w:tcPr>
            <w:tcW w:w="8170" w:type="dxa"/>
            <w:hideMark/>
          </w:tcPr>
          <w:p w14:paraId="30C290FF" w14:textId="77777777" w:rsidR="0009633C" w:rsidRPr="002E7B7B" w:rsidRDefault="0009633C" w:rsidP="0009633C">
            <w:pPr>
              <w:spacing w:after="120"/>
              <w:contextualSpacing/>
              <w:jc w:val="both"/>
              <w:rPr>
                <w:rFonts w:cs="Times New Roman"/>
              </w:rPr>
            </w:pPr>
            <w:r w:rsidRPr="002E7B7B">
              <w:rPr>
                <w:rFonts w:cs="Times New Roman"/>
              </w:rPr>
              <w:t>(neurosurgery or neurological surgery).tw.</w:t>
            </w:r>
          </w:p>
        </w:tc>
      </w:tr>
      <w:tr w:rsidR="0009633C" w:rsidRPr="002E7B7B" w14:paraId="4506E90B" w14:textId="77777777" w:rsidTr="0009633C">
        <w:trPr>
          <w:trHeight w:val="300"/>
        </w:trPr>
        <w:tc>
          <w:tcPr>
            <w:tcW w:w="846" w:type="dxa"/>
            <w:hideMark/>
          </w:tcPr>
          <w:p w14:paraId="6A4DA5F6" w14:textId="77777777" w:rsidR="0009633C" w:rsidRPr="002E7B7B" w:rsidRDefault="0009633C" w:rsidP="0009633C">
            <w:pPr>
              <w:spacing w:after="120"/>
              <w:contextualSpacing/>
              <w:jc w:val="both"/>
              <w:rPr>
                <w:rFonts w:cs="Times New Roman"/>
              </w:rPr>
            </w:pPr>
            <w:r w:rsidRPr="002E7B7B">
              <w:rPr>
                <w:rFonts w:cs="Times New Roman"/>
              </w:rPr>
              <w:t>95</w:t>
            </w:r>
          </w:p>
        </w:tc>
        <w:tc>
          <w:tcPr>
            <w:tcW w:w="8170" w:type="dxa"/>
            <w:hideMark/>
          </w:tcPr>
          <w:p w14:paraId="3FE4BBD6" w14:textId="77777777" w:rsidR="0009633C" w:rsidRPr="002E7B7B" w:rsidRDefault="0009633C" w:rsidP="0009633C">
            <w:pPr>
              <w:spacing w:after="120"/>
              <w:contextualSpacing/>
              <w:jc w:val="both"/>
              <w:rPr>
                <w:rFonts w:cs="Times New Roman"/>
              </w:rPr>
            </w:pPr>
            <w:r w:rsidRPr="002E7B7B">
              <w:rPr>
                <w:rFonts w:cs="Times New Roman"/>
              </w:rPr>
              <w:t>exp Brain/su [Surgery]</w:t>
            </w:r>
          </w:p>
        </w:tc>
      </w:tr>
      <w:tr w:rsidR="0009633C" w:rsidRPr="002E7B7B" w14:paraId="2B6B5FA5" w14:textId="77777777" w:rsidTr="0009633C">
        <w:trPr>
          <w:trHeight w:val="300"/>
        </w:trPr>
        <w:tc>
          <w:tcPr>
            <w:tcW w:w="846" w:type="dxa"/>
            <w:hideMark/>
          </w:tcPr>
          <w:p w14:paraId="35271ED8" w14:textId="77777777" w:rsidR="0009633C" w:rsidRPr="002E7B7B" w:rsidRDefault="0009633C" w:rsidP="0009633C">
            <w:pPr>
              <w:spacing w:after="120"/>
              <w:contextualSpacing/>
              <w:jc w:val="both"/>
              <w:rPr>
                <w:rFonts w:cs="Times New Roman"/>
              </w:rPr>
            </w:pPr>
            <w:r w:rsidRPr="002E7B7B">
              <w:rPr>
                <w:rFonts w:cs="Times New Roman"/>
              </w:rPr>
              <w:t>96</w:t>
            </w:r>
          </w:p>
        </w:tc>
        <w:tc>
          <w:tcPr>
            <w:tcW w:w="8170" w:type="dxa"/>
            <w:hideMark/>
          </w:tcPr>
          <w:p w14:paraId="38D701C3" w14:textId="77777777" w:rsidR="0009633C" w:rsidRPr="002E7B7B" w:rsidRDefault="0009633C" w:rsidP="0009633C">
            <w:pPr>
              <w:spacing w:after="120"/>
              <w:contextualSpacing/>
              <w:jc w:val="both"/>
              <w:rPr>
                <w:rFonts w:cs="Times New Roman"/>
              </w:rPr>
            </w:pPr>
            <w:r w:rsidRPr="002E7B7B">
              <w:rPr>
                <w:rFonts w:cs="Times New Roman"/>
              </w:rPr>
              <w:t>exp Meninges/su [Surgery]</w:t>
            </w:r>
          </w:p>
        </w:tc>
      </w:tr>
      <w:tr w:rsidR="0009633C" w:rsidRPr="002E7B7B" w14:paraId="11254E9C" w14:textId="77777777" w:rsidTr="0009633C">
        <w:trPr>
          <w:trHeight w:val="300"/>
        </w:trPr>
        <w:tc>
          <w:tcPr>
            <w:tcW w:w="846" w:type="dxa"/>
            <w:hideMark/>
          </w:tcPr>
          <w:p w14:paraId="5141138F" w14:textId="77777777" w:rsidR="0009633C" w:rsidRPr="002E7B7B" w:rsidRDefault="0009633C" w:rsidP="0009633C">
            <w:pPr>
              <w:spacing w:after="120"/>
              <w:contextualSpacing/>
              <w:jc w:val="both"/>
              <w:rPr>
                <w:rFonts w:cs="Times New Roman"/>
              </w:rPr>
            </w:pPr>
            <w:r w:rsidRPr="002E7B7B">
              <w:rPr>
                <w:rFonts w:cs="Times New Roman"/>
              </w:rPr>
              <w:t>97</w:t>
            </w:r>
          </w:p>
        </w:tc>
        <w:tc>
          <w:tcPr>
            <w:tcW w:w="8170" w:type="dxa"/>
            <w:hideMark/>
          </w:tcPr>
          <w:p w14:paraId="48982DE4" w14:textId="77777777" w:rsidR="0009633C" w:rsidRPr="002E7B7B" w:rsidRDefault="0009633C" w:rsidP="0009633C">
            <w:pPr>
              <w:spacing w:after="120"/>
              <w:contextualSpacing/>
              <w:jc w:val="both"/>
              <w:rPr>
                <w:rFonts w:cs="Times New Roman"/>
              </w:rPr>
            </w:pPr>
            <w:r w:rsidRPr="002E7B7B">
              <w:rPr>
                <w:rFonts w:cs="Times New Roman"/>
              </w:rPr>
              <w:t>exp Pituitary Gland/su [Surgery]</w:t>
            </w:r>
          </w:p>
        </w:tc>
      </w:tr>
      <w:tr w:rsidR="0009633C" w:rsidRPr="002E7B7B" w14:paraId="7E1BAF2E" w14:textId="77777777" w:rsidTr="0009633C">
        <w:trPr>
          <w:trHeight w:val="300"/>
        </w:trPr>
        <w:tc>
          <w:tcPr>
            <w:tcW w:w="846" w:type="dxa"/>
            <w:hideMark/>
          </w:tcPr>
          <w:p w14:paraId="5F4574C9" w14:textId="77777777" w:rsidR="0009633C" w:rsidRPr="002E7B7B" w:rsidRDefault="0009633C" w:rsidP="0009633C">
            <w:pPr>
              <w:spacing w:after="120"/>
              <w:contextualSpacing/>
              <w:jc w:val="both"/>
              <w:rPr>
                <w:rFonts w:cs="Times New Roman"/>
              </w:rPr>
            </w:pPr>
            <w:r w:rsidRPr="002E7B7B">
              <w:rPr>
                <w:rFonts w:cs="Times New Roman"/>
              </w:rPr>
              <w:t>98</w:t>
            </w:r>
          </w:p>
        </w:tc>
        <w:tc>
          <w:tcPr>
            <w:tcW w:w="8170" w:type="dxa"/>
            <w:hideMark/>
          </w:tcPr>
          <w:p w14:paraId="069E331E" w14:textId="77777777" w:rsidR="0009633C" w:rsidRPr="002E7B7B" w:rsidRDefault="0009633C" w:rsidP="0009633C">
            <w:pPr>
              <w:spacing w:after="120"/>
              <w:contextualSpacing/>
              <w:jc w:val="both"/>
              <w:rPr>
                <w:rFonts w:cs="Times New Roman"/>
              </w:rPr>
            </w:pPr>
            <w:r w:rsidRPr="002E7B7B">
              <w:rPr>
                <w:rFonts w:cs="Times New Roman"/>
              </w:rPr>
              <w:t>Pineal Gland/su [Surgery]</w:t>
            </w:r>
          </w:p>
        </w:tc>
      </w:tr>
      <w:tr w:rsidR="0009633C" w:rsidRPr="002E7B7B" w14:paraId="7F25FEA3" w14:textId="77777777" w:rsidTr="0009633C">
        <w:trPr>
          <w:trHeight w:val="600"/>
        </w:trPr>
        <w:tc>
          <w:tcPr>
            <w:tcW w:w="846" w:type="dxa"/>
            <w:hideMark/>
          </w:tcPr>
          <w:p w14:paraId="071C7B24" w14:textId="77777777" w:rsidR="0009633C" w:rsidRPr="002E7B7B" w:rsidRDefault="0009633C" w:rsidP="0009633C">
            <w:pPr>
              <w:spacing w:after="120"/>
              <w:contextualSpacing/>
              <w:jc w:val="both"/>
              <w:rPr>
                <w:rFonts w:cs="Times New Roman"/>
              </w:rPr>
            </w:pPr>
            <w:r w:rsidRPr="002E7B7B">
              <w:rPr>
                <w:rFonts w:cs="Times New Roman"/>
              </w:rPr>
              <w:t>99</w:t>
            </w:r>
          </w:p>
        </w:tc>
        <w:tc>
          <w:tcPr>
            <w:tcW w:w="8170" w:type="dxa"/>
            <w:hideMark/>
          </w:tcPr>
          <w:p w14:paraId="6AACB844" w14:textId="77777777" w:rsidR="0009633C" w:rsidRPr="002E7B7B" w:rsidRDefault="0009633C" w:rsidP="0009633C">
            <w:pPr>
              <w:spacing w:after="120"/>
              <w:contextualSpacing/>
              <w:jc w:val="both"/>
              <w:rPr>
                <w:rFonts w:cs="Times New Roman"/>
              </w:rPr>
            </w:pPr>
            <w:r w:rsidRPr="002E7B7B">
              <w:rPr>
                <w:rFonts w:cs="Times New Roman"/>
              </w:rPr>
              <w:t>((brain or meninges or cerebral or pituitary or pineal) adj5 (surgery or surgical* or excision or lesion or ablation or operation* or neurostimulation or connection or destruction)).tw.</w:t>
            </w:r>
          </w:p>
        </w:tc>
      </w:tr>
      <w:tr w:rsidR="0009633C" w:rsidRPr="00A4124E" w14:paraId="7C449C4B" w14:textId="77777777" w:rsidTr="0009633C">
        <w:trPr>
          <w:trHeight w:val="300"/>
        </w:trPr>
        <w:tc>
          <w:tcPr>
            <w:tcW w:w="846" w:type="dxa"/>
            <w:hideMark/>
          </w:tcPr>
          <w:p w14:paraId="6FA6AFAB" w14:textId="77777777" w:rsidR="0009633C" w:rsidRPr="002E7B7B" w:rsidRDefault="0009633C" w:rsidP="0009633C">
            <w:pPr>
              <w:spacing w:after="120"/>
              <w:contextualSpacing/>
              <w:jc w:val="both"/>
              <w:rPr>
                <w:rFonts w:cs="Times New Roman"/>
              </w:rPr>
            </w:pPr>
            <w:r w:rsidRPr="002E7B7B">
              <w:rPr>
                <w:rFonts w:cs="Times New Roman"/>
              </w:rPr>
              <w:t>100</w:t>
            </w:r>
          </w:p>
        </w:tc>
        <w:tc>
          <w:tcPr>
            <w:tcW w:w="8170" w:type="dxa"/>
            <w:hideMark/>
          </w:tcPr>
          <w:p w14:paraId="68AE2815" w14:textId="77777777" w:rsidR="0009633C" w:rsidRPr="00CA4E0C" w:rsidRDefault="0009633C" w:rsidP="0009633C">
            <w:pPr>
              <w:spacing w:after="120"/>
              <w:contextualSpacing/>
              <w:jc w:val="both"/>
              <w:rPr>
                <w:rFonts w:cs="Times New Roman"/>
              </w:rPr>
            </w:pPr>
            <w:r w:rsidRPr="00CA4E0C">
              <w:rPr>
                <w:rFonts w:cs="Times New Roman"/>
              </w:rPr>
              <w:t>exp Cranial Nerves/su [Surgery]</w:t>
            </w:r>
          </w:p>
        </w:tc>
      </w:tr>
      <w:tr w:rsidR="0009633C" w:rsidRPr="002E7B7B" w14:paraId="2A20B964" w14:textId="77777777" w:rsidTr="0009633C">
        <w:trPr>
          <w:trHeight w:val="600"/>
        </w:trPr>
        <w:tc>
          <w:tcPr>
            <w:tcW w:w="846" w:type="dxa"/>
            <w:hideMark/>
          </w:tcPr>
          <w:p w14:paraId="6F2CF44F" w14:textId="77777777" w:rsidR="0009633C" w:rsidRPr="002E7B7B" w:rsidRDefault="0009633C" w:rsidP="0009633C">
            <w:pPr>
              <w:spacing w:after="120"/>
              <w:contextualSpacing/>
              <w:jc w:val="both"/>
              <w:rPr>
                <w:rFonts w:cs="Times New Roman"/>
              </w:rPr>
            </w:pPr>
            <w:r w:rsidRPr="002E7B7B">
              <w:rPr>
                <w:rFonts w:cs="Times New Roman"/>
              </w:rPr>
              <w:t>101</w:t>
            </w:r>
          </w:p>
        </w:tc>
        <w:tc>
          <w:tcPr>
            <w:tcW w:w="8170" w:type="dxa"/>
            <w:hideMark/>
          </w:tcPr>
          <w:p w14:paraId="2AA57FB3" w14:textId="77777777" w:rsidR="0009633C" w:rsidRPr="002E7B7B" w:rsidRDefault="0009633C" w:rsidP="0009633C">
            <w:pPr>
              <w:spacing w:after="120"/>
              <w:contextualSpacing/>
              <w:jc w:val="both"/>
              <w:rPr>
                <w:rFonts w:cs="Times New Roman"/>
              </w:rPr>
            </w:pPr>
            <w:r w:rsidRPr="002E7B7B">
              <w:rPr>
                <w:rFonts w:cs="Times New Roman"/>
              </w:rPr>
              <w:t>((cranial or dura) adj5 (graft* or transection or destruction or lesion or repair* or decompress* or neurostimulation or exploration or operation*)).tw.</w:t>
            </w:r>
          </w:p>
        </w:tc>
      </w:tr>
      <w:tr w:rsidR="0009633C" w:rsidRPr="002E7B7B" w14:paraId="29C2BE1C" w14:textId="77777777" w:rsidTr="0009633C">
        <w:trPr>
          <w:trHeight w:val="300"/>
        </w:trPr>
        <w:tc>
          <w:tcPr>
            <w:tcW w:w="846" w:type="dxa"/>
            <w:hideMark/>
          </w:tcPr>
          <w:p w14:paraId="4474F01E" w14:textId="77777777" w:rsidR="0009633C" w:rsidRPr="002E7B7B" w:rsidRDefault="0009633C" w:rsidP="0009633C">
            <w:pPr>
              <w:spacing w:after="120"/>
              <w:contextualSpacing/>
              <w:jc w:val="both"/>
              <w:rPr>
                <w:rFonts w:cs="Times New Roman"/>
              </w:rPr>
            </w:pPr>
            <w:r w:rsidRPr="002E7B7B">
              <w:rPr>
                <w:rFonts w:cs="Times New Roman"/>
              </w:rPr>
              <w:t>102</w:t>
            </w:r>
          </w:p>
        </w:tc>
        <w:tc>
          <w:tcPr>
            <w:tcW w:w="8170" w:type="dxa"/>
            <w:hideMark/>
          </w:tcPr>
          <w:p w14:paraId="552C90FB" w14:textId="77777777" w:rsidR="0009633C" w:rsidRPr="002E7B7B" w:rsidRDefault="0009633C" w:rsidP="0009633C">
            <w:pPr>
              <w:spacing w:after="120"/>
              <w:contextualSpacing/>
              <w:jc w:val="both"/>
              <w:rPr>
                <w:rFonts w:cs="Times New Roman"/>
              </w:rPr>
            </w:pPr>
            <w:r w:rsidRPr="002E7B7B">
              <w:rPr>
                <w:rFonts w:cs="Times New Roman"/>
              </w:rPr>
              <w:t>Ophthalmologic Surgical Procedures/</w:t>
            </w:r>
          </w:p>
        </w:tc>
      </w:tr>
      <w:tr w:rsidR="0009633C" w:rsidRPr="002E7B7B" w14:paraId="1BF08697" w14:textId="77777777" w:rsidTr="0009633C">
        <w:trPr>
          <w:trHeight w:val="600"/>
        </w:trPr>
        <w:tc>
          <w:tcPr>
            <w:tcW w:w="846" w:type="dxa"/>
            <w:hideMark/>
          </w:tcPr>
          <w:p w14:paraId="2F03F23E" w14:textId="77777777" w:rsidR="0009633C" w:rsidRPr="002E7B7B" w:rsidRDefault="0009633C" w:rsidP="0009633C">
            <w:pPr>
              <w:spacing w:after="120"/>
              <w:contextualSpacing/>
              <w:jc w:val="both"/>
              <w:rPr>
                <w:rFonts w:cs="Times New Roman"/>
              </w:rPr>
            </w:pPr>
            <w:r w:rsidRPr="002E7B7B">
              <w:rPr>
                <w:rFonts w:cs="Times New Roman"/>
              </w:rPr>
              <w:t>103</w:t>
            </w:r>
          </w:p>
        </w:tc>
        <w:tc>
          <w:tcPr>
            <w:tcW w:w="8170" w:type="dxa"/>
            <w:hideMark/>
          </w:tcPr>
          <w:p w14:paraId="45710599" w14:textId="77777777" w:rsidR="0009633C" w:rsidRPr="002E7B7B" w:rsidRDefault="0009633C" w:rsidP="0009633C">
            <w:pPr>
              <w:spacing w:after="120"/>
              <w:contextualSpacing/>
              <w:jc w:val="both"/>
              <w:rPr>
                <w:rFonts w:cs="Times New Roman"/>
              </w:rPr>
            </w:pPr>
            <w:r w:rsidRPr="002E7B7B">
              <w:rPr>
                <w:rFonts w:cs="Times New Roman"/>
              </w:rPr>
              <w:t>((eye or vitreous or retina) adj5 (surgery or surgical* or excision or operation* or photocoagulation or destruction)).tw.</w:t>
            </w:r>
          </w:p>
        </w:tc>
      </w:tr>
      <w:tr w:rsidR="0009633C" w:rsidRPr="002E7B7B" w14:paraId="79060586" w14:textId="77777777" w:rsidTr="0009633C">
        <w:trPr>
          <w:trHeight w:val="300"/>
        </w:trPr>
        <w:tc>
          <w:tcPr>
            <w:tcW w:w="846" w:type="dxa"/>
            <w:hideMark/>
          </w:tcPr>
          <w:p w14:paraId="756817AF" w14:textId="77777777" w:rsidR="0009633C" w:rsidRPr="002E7B7B" w:rsidRDefault="0009633C" w:rsidP="0009633C">
            <w:pPr>
              <w:spacing w:after="120"/>
              <w:contextualSpacing/>
              <w:jc w:val="both"/>
              <w:rPr>
                <w:rFonts w:cs="Times New Roman"/>
              </w:rPr>
            </w:pPr>
            <w:r w:rsidRPr="002E7B7B">
              <w:rPr>
                <w:rFonts w:cs="Times New Roman"/>
              </w:rPr>
              <w:t>104</w:t>
            </w:r>
          </w:p>
        </w:tc>
        <w:tc>
          <w:tcPr>
            <w:tcW w:w="8170" w:type="dxa"/>
            <w:hideMark/>
          </w:tcPr>
          <w:p w14:paraId="356183B2" w14:textId="77777777" w:rsidR="0009633C" w:rsidRPr="002E7B7B" w:rsidRDefault="0009633C" w:rsidP="0009633C">
            <w:pPr>
              <w:spacing w:after="120"/>
              <w:contextualSpacing/>
              <w:jc w:val="both"/>
              <w:rPr>
                <w:rFonts w:cs="Times New Roman"/>
              </w:rPr>
            </w:pPr>
            <w:r w:rsidRPr="002E7B7B">
              <w:rPr>
                <w:rFonts w:cs="Times New Roman"/>
              </w:rPr>
              <w:t>Eye/su [Surgery]</w:t>
            </w:r>
          </w:p>
        </w:tc>
      </w:tr>
      <w:tr w:rsidR="0009633C" w:rsidRPr="002E7B7B" w14:paraId="384D160D" w14:textId="77777777" w:rsidTr="0009633C">
        <w:trPr>
          <w:trHeight w:val="300"/>
        </w:trPr>
        <w:tc>
          <w:tcPr>
            <w:tcW w:w="846" w:type="dxa"/>
            <w:hideMark/>
          </w:tcPr>
          <w:p w14:paraId="770ED8EB" w14:textId="77777777" w:rsidR="0009633C" w:rsidRPr="002E7B7B" w:rsidRDefault="0009633C" w:rsidP="0009633C">
            <w:pPr>
              <w:spacing w:after="120"/>
              <w:contextualSpacing/>
              <w:jc w:val="both"/>
              <w:rPr>
                <w:rFonts w:cs="Times New Roman"/>
              </w:rPr>
            </w:pPr>
            <w:r w:rsidRPr="002E7B7B">
              <w:rPr>
                <w:rFonts w:cs="Times New Roman"/>
              </w:rPr>
              <w:t>105</w:t>
            </w:r>
          </w:p>
        </w:tc>
        <w:tc>
          <w:tcPr>
            <w:tcW w:w="8170" w:type="dxa"/>
            <w:hideMark/>
          </w:tcPr>
          <w:p w14:paraId="0FA4974D" w14:textId="77777777" w:rsidR="0009633C" w:rsidRPr="002E7B7B" w:rsidRDefault="0009633C" w:rsidP="0009633C">
            <w:pPr>
              <w:spacing w:after="120"/>
              <w:contextualSpacing/>
              <w:jc w:val="both"/>
              <w:rPr>
                <w:rFonts w:cs="Times New Roman"/>
              </w:rPr>
            </w:pPr>
            <w:r w:rsidRPr="002E7B7B">
              <w:rPr>
                <w:rFonts w:cs="Times New Roman"/>
              </w:rPr>
              <w:t>Vitreous Body/su [Surgery]</w:t>
            </w:r>
          </w:p>
        </w:tc>
      </w:tr>
      <w:tr w:rsidR="0009633C" w:rsidRPr="002E7B7B" w14:paraId="4C07875C" w14:textId="77777777" w:rsidTr="0009633C">
        <w:trPr>
          <w:trHeight w:val="300"/>
        </w:trPr>
        <w:tc>
          <w:tcPr>
            <w:tcW w:w="846" w:type="dxa"/>
            <w:hideMark/>
          </w:tcPr>
          <w:p w14:paraId="0053C998" w14:textId="77777777" w:rsidR="0009633C" w:rsidRPr="002E7B7B" w:rsidRDefault="0009633C" w:rsidP="0009633C">
            <w:pPr>
              <w:spacing w:after="120"/>
              <w:contextualSpacing/>
              <w:jc w:val="both"/>
              <w:rPr>
                <w:rFonts w:cs="Times New Roman"/>
              </w:rPr>
            </w:pPr>
            <w:r w:rsidRPr="002E7B7B">
              <w:rPr>
                <w:rFonts w:cs="Times New Roman"/>
              </w:rPr>
              <w:t>106</w:t>
            </w:r>
          </w:p>
        </w:tc>
        <w:tc>
          <w:tcPr>
            <w:tcW w:w="8170" w:type="dxa"/>
            <w:hideMark/>
          </w:tcPr>
          <w:p w14:paraId="296969AB" w14:textId="77777777" w:rsidR="0009633C" w:rsidRPr="002E7B7B" w:rsidRDefault="0009633C" w:rsidP="0009633C">
            <w:pPr>
              <w:spacing w:after="120"/>
              <w:contextualSpacing/>
              <w:jc w:val="both"/>
              <w:rPr>
                <w:rFonts w:cs="Times New Roman"/>
              </w:rPr>
            </w:pPr>
            <w:r w:rsidRPr="002E7B7B">
              <w:rPr>
                <w:rFonts w:cs="Times New Roman"/>
              </w:rPr>
              <w:t>exp Retina/su [Surgery]</w:t>
            </w:r>
          </w:p>
        </w:tc>
      </w:tr>
      <w:tr w:rsidR="0009633C" w:rsidRPr="002E7B7B" w14:paraId="792E418A" w14:textId="77777777" w:rsidTr="0009633C">
        <w:trPr>
          <w:trHeight w:val="300"/>
        </w:trPr>
        <w:tc>
          <w:tcPr>
            <w:tcW w:w="846" w:type="dxa"/>
            <w:hideMark/>
          </w:tcPr>
          <w:p w14:paraId="57E0AC29" w14:textId="77777777" w:rsidR="0009633C" w:rsidRPr="002E7B7B" w:rsidRDefault="0009633C" w:rsidP="0009633C">
            <w:pPr>
              <w:spacing w:after="120"/>
              <w:contextualSpacing/>
              <w:jc w:val="both"/>
              <w:rPr>
                <w:rFonts w:cs="Times New Roman"/>
              </w:rPr>
            </w:pPr>
            <w:r w:rsidRPr="002E7B7B">
              <w:rPr>
                <w:rFonts w:cs="Times New Roman"/>
              </w:rPr>
              <w:t>107</w:t>
            </w:r>
          </w:p>
        </w:tc>
        <w:tc>
          <w:tcPr>
            <w:tcW w:w="8170" w:type="dxa"/>
            <w:hideMark/>
          </w:tcPr>
          <w:p w14:paraId="613995A2" w14:textId="77777777" w:rsidR="0009633C" w:rsidRPr="002E7B7B" w:rsidRDefault="0009633C" w:rsidP="0009633C">
            <w:pPr>
              <w:spacing w:after="120"/>
              <w:contextualSpacing/>
              <w:jc w:val="both"/>
              <w:rPr>
                <w:rFonts w:cs="Times New Roman"/>
              </w:rPr>
            </w:pPr>
            <w:r w:rsidRPr="002E7B7B">
              <w:rPr>
                <w:rFonts w:cs="Times New Roman"/>
              </w:rPr>
              <w:t>or/92-106</w:t>
            </w:r>
          </w:p>
        </w:tc>
      </w:tr>
      <w:tr w:rsidR="0009633C" w:rsidRPr="002E7B7B" w14:paraId="41B12BBA" w14:textId="77777777" w:rsidTr="0009633C">
        <w:trPr>
          <w:trHeight w:val="300"/>
        </w:trPr>
        <w:tc>
          <w:tcPr>
            <w:tcW w:w="846" w:type="dxa"/>
            <w:hideMark/>
          </w:tcPr>
          <w:p w14:paraId="7E95353A" w14:textId="77777777" w:rsidR="0009633C" w:rsidRPr="002E7B7B" w:rsidRDefault="0009633C" w:rsidP="0009633C">
            <w:pPr>
              <w:spacing w:after="120"/>
              <w:contextualSpacing/>
              <w:jc w:val="both"/>
              <w:rPr>
                <w:rFonts w:cs="Times New Roman"/>
              </w:rPr>
            </w:pPr>
            <w:r w:rsidRPr="002E7B7B">
              <w:rPr>
                <w:rFonts w:cs="Times New Roman"/>
              </w:rPr>
              <w:t>108</w:t>
            </w:r>
          </w:p>
        </w:tc>
        <w:tc>
          <w:tcPr>
            <w:tcW w:w="8170" w:type="dxa"/>
            <w:hideMark/>
          </w:tcPr>
          <w:p w14:paraId="3D27FA11" w14:textId="77777777" w:rsidR="0009633C" w:rsidRPr="002E7B7B" w:rsidRDefault="0009633C" w:rsidP="0009633C">
            <w:pPr>
              <w:spacing w:after="120"/>
              <w:contextualSpacing/>
              <w:jc w:val="both"/>
              <w:rPr>
                <w:rFonts w:cs="Times New Roman"/>
              </w:rPr>
            </w:pPr>
            <w:r w:rsidRPr="002E7B7B">
              <w:rPr>
                <w:rFonts w:cs="Times New Roman"/>
              </w:rPr>
              <w:t>91 and 107</w:t>
            </w:r>
          </w:p>
        </w:tc>
      </w:tr>
      <w:tr w:rsidR="0009633C" w:rsidRPr="002E7B7B" w14:paraId="50CF126D" w14:textId="77777777" w:rsidTr="0009633C">
        <w:trPr>
          <w:trHeight w:val="300"/>
        </w:trPr>
        <w:tc>
          <w:tcPr>
            <w:tcW w:w="846" w:type="dxa"/>
            <w:hideMark/>
          </w:tcPr>
          <w:p w14:paraId="44E75856" w14:textId="77777777" w:rsidR="0009633C" w:rsidRPr="002E7B7B" w:rsidRDefault="0009633C" w:rsidP="0009633C">
            <w:pPr>
              <w:spacing w:after="120"/>
              <w:contextualSpacing/>
              <w:jc w:val="both"/>
              <w:rPr>
                <w:rFonts w:cs="Times New Roman"/>
              </w:rPr>
            </w:pPr>
            <w:r w:rsidRPr="002E7B7B">
              <w:rPr>
                <w:rFonts w:cs="Times New Roman"/>
              </w:rPr>
              <w:t>109</w:t>
            </w:r>
          </w:p>
        </w:tc>
        <w:tc>
          <w:tcPr>
            <w:tcW w:w="8170" w:type="dxa"/>
            <w:hideMark/>
          </w:tcPr>
          <w:p w14:paraId="7A34A5F1" w14:textId="77777777" w:rsidR="0009633C" w:rsidRPr="002E7B7B" w:rsidRDefault="0009633C" w:rsidP="0009633C">
            <w:pPr>
              <w:spacing w:after="120"/>
              <w:contextualSpacing/>
              <w:jc w:val="both"/>
              <w:rPr>
                <w:rFonts w:cs="Times New Roman"/>
              </w:rPr>
            </w:pPr>
            <w:r w:rsidRPr="002E7B7B">
              <w:rPr>
                <w:rFonts w:cs="Times New Roman"/>
              </w:rPr>
              <w:t>17 or 35 or 59 or 87 or 108</w:t>
            </w:r>
          </w:p>
        </w:tc>
      </w:tr>
    </w:tbl>
    <w:p w14:paraId="3302AD73" w14:textId="77777777" w:rsidR="0009633C" w:rsidRPr="002E7B7B" w:rsidRDefault="0009633C" w:rsidP="0009633C">
      <w:pPr>
        <w:spacing w:after="120" w:line="240" w:lineRule="auto"/>
        <w:contextualSpacing/>
        <w:jc w:val="both"/>
        <w:rPr>
          <w:rFonts w:cs="Times New Roman"/>
        </w:rPr>
      </w:pPr>
    </w:p>
    <w:p w14:paraId="08C4E40E" w14:textId="77777777" w:rsidR="0009633C" w:rsidRPr="002E7B7B" w:rsidRDefault="0009633C" w:rsidP="0009633C">
      <w:pPr>
        <w:spacing w:after="120" w:line="240" w:lineRule="auto"/>
        <w:contextualSpacing/>
        <w:jc w:val="both"/>
        <w:rPr>
          <w:rFonts w:cs="Times New Roman"/>
          <w:b/>
          <w:bCs/>
        </w:rPr>
      </w:pPr>
      <w:r w:rsidRPr="002E7B7B">
        <w:rPr>
          <w:rFonts w:cs="Times New Roman"/>
          <w:b/>
          <w:bCs/>
        </w:rPr>
        <w:t>Embase 1974 to 2017 August 11</w:t>
      </w:r>
    </w:p>
    <w:p w14:paraId="046DA74F" w14:textId="77777777" w:rsidR="0009633C" w:rsidRPr="002E7B7B" w:rsidRDefault="0009633C" w:rsidP="0009633C">
      <w:pPr>
        <w:spacing w:after="120" w:line="240" w:lineRule="auto"/>
        <w:contextualSpacing/>
        <w:jc w:val="both"/>
        <w:rPr>
          <w:rFonts w:cs="Times New Roman"/>
        </w:rPr>
      </w:pPr>
      <w:r w:rsidRPr="002E7B7B">
        <w:rPr>
          <w:rFonts w:cs="Times New Roman"/>
        </w:rPr>
        <w:t>14</w:t>
      </w:r>
      <w:r w:rsidRPr="002E7B7B">
        <w:rPr>
          <w:rFonts w:cs="Times New Roman"/>
          <w:vertAlign w:val="superscript"/>
        </w:rPr>
        <w:t>th</w:t>
      </w:r>
      <w:r w:rsidRPr="002E7B7B">
        <w:rPr>
          <w:rFonts w:cs="Times New Roman"/>
        </w:rPr>
        <w:t xml:space="preserve"> August 2017</w:t>
      </w:r>
    </w:p>
    <w:p w14:paraId="7DB83A57" w14:textId="77777777" w:rsidR="0009633C" w:rsidRPr="002E7B7B" w:rsidRDefault="0009633C" w:rsidP="0009633C">
      <w:pPr>
        <w:spacing w:after="120" w:line="240" w:lineRule="auto"/>
        <w:contextualSpacing/>
        <w:jc w:val="both"/>
        <w:rPr>
          <w:rFonts w:cs="Times New Roman"/>
        </w:rPr>
      </w:pPr>
    </w:p>
    <w:tbl>
      <w:tblPr>
        <w:tblW w:w="0" w:type="auto"/>
        <w:tblLook w:val="04A0" w:firstRow="1" w:lastRow="0" w:firstColumn="1" w:lastColumn="0" w:noHBand="0" w:noVBand="1"/>
      </w:tblPr>
      <w:tblGrid>
        <w:gridCol w:w="846"/>
        <w:gridCol w:w="8170"/>
      </w:tblGrid>
      <w:tr w:rsidR="0009633C" w:rsidRPr="002E7B7B" w14:paraId="07FCEB58" w14:textId="77777777" w:rsidTr="0009633C">
        <w:trPr>
          <w:trHeight w:val="300"/>
        </w:trPr>
        <w:tc>
          <w:tcPr>
            <w:tcW w:w="846" w:type="dxa"/>
            <w:hideMark/>
          </w:tcPr>
          <w:p w14:paraId="1FA32819" w14:textId="77777777" w:rsidR="0009633C" w:rsidRPr="002E7B7B" w:rsidRDefault="0009633C" w:rsidP="0009633C">
            <w:pPr>
              <w:spacing w:after="120"/>
              <w:contextualSpacing/>
              <w:jc w:val="both"/>
              <w:rPr>
                <w:rFonts w:cs="Times New Roman"/>
                <w:b/>
                <w:bCs/>
              </w:rPr>
            </w:pPr>
            <w:r w:rsidRPr="002E7B7B">
              <w:rPr>
                <w:rFonts w:cs="Times New Roman"/>
                <w:b/>
                <w:bCs/>
              </w:rPr>
              <w:t>#</w:t>
            </w:r>
          </w:p>
        </w:tc>
        <w:tc>
          <w:tcPr>
            <w:tcW w:w="8170" w:type="dxa"/>
            <w:hideMark/>
          </w:tcPr>
          <w:p w14:paraId="514610BC" w14:textId="77777777" w:rsidR="0009633C" w:rsidRPr="002E7B7B" w:rsidRDefault="0009633C" w:rsidP="0009633C">
            <w:pPr>
              <w:spacing w:after="120"/>
              <w:contextualSpacing/>
              <w:jc w:val="both"/>
              <w:rPr>
                <w:rFonts w:cs="Times New Roman"/>
                <w:b/>
                <w:bCs/>
              </w:rPr>
            </w:pPr>
            <w:r w:rsidRPr="002E7B7B">
              <w:rPr>
                <w:rFonts w:cs="Times New Roman"/>
                <w:b/>
                <w:bCs/>
              </w:rPr>
              <w:t>Searches</w:t>
            </w:r>
          </w:p>
        </w:tc>
      </w:tr>
      <w:tr w:rsidR="0009633C" w:rsidRPr="002E7B7B" w14:paraId="4D9E6BAB" w14:textId="77777777" w:rsidTr="0009633C">
        <w:trPr>
          <w:trHeight w:val="300"/>
        </w:trPr>
        <w:tc>
          <w:tcPr>
            <w:tcW w:w="846" w:type="dxa"/>
            <w:hideMark/>
          </w:tcPr>
          <w:p w14:paraId="0CDD49CA" w14:textId="77777777" w:rsidR="0009633C" w:rsidRPr="002E7B7B" w:rsidRDefault="0009633C" w:rsidP="0009633C">
            <w:pPr>
              <w:spacing w:after="120"/>
              <w:contextualSpacing/>
              <w:jc w:val="both"/>
              <w:rPr>
                <w:rFonts w:cs="Times New Roman"/>
              </w:rPr>
            </w:pPr>
            <w:r w:rsidRPr="002E7B7B">
              <w:rPr>
                <w:rFonts w:cs="Times New Roman"/>
              </w:rPr>
              <w:t>1</w:t>
            </w:r>
          </w:p>
        </w:tc>
        <w:tc>
          <w:tcPr>
            <w:tcW w:w="8170" w:type="dxa"/>
            <w:hideMark/>
          </w:tcPr>
          <w:p w14:paraId="2064946A" w14:textId="77777777" w:rsidR="0009633C" w:rsidRPr="002E7B7B" w:rsidRDefault="0009633C" w:rsidP="0009633C">
            <w:pPr>
              <w:spacing w:after="120"/>
              <w:contextualSpacing/>
              <w:jc w:val="both"/>
              <w:rPr>
                <w:rFonts w:cs="Times New Roman"/>
              </w:rPr>
            </w:pPr>
            <w:r w:rsidRPr="002E7B7B">
              <w:rPr>
                <w:rFonts w:cs="Times New Roman"/>
              </w:rPr>
              <w:t>exp Creutzfeldt Jakob disease/</w:t>
            </w:r>
          </w:p>
        </w:tc>
      </w:tr>
      <w:tr w:rsidR="0009633C" w:rsidRPr="002E7B7B" w14:paraId="159FCD61" w14:textId="77777777" w:rsidTr="0009633C">
        <w:trPr>
          <w:trHeight w:val="300"/>
        </w:trPr>
        <w:tc>
          <w:tcPr>
            <w:tcW w:w="846" w:type="dxa"/>
            <w:hideMark/>
          </w:tcPr>
          <w:p w14:paraId="51954BB2" w14:textId="77777777" w:rsidR="0009633C" w:rsidRPr="002E7B7B" w:rsidRDefault="0009633C" w:rsidP="0009633C">
            <w:pPr>
              <w:spacing w:after="120"/>
              <w:contextualSpacing/>
              <w:jc w:val="both"/>
              <w:rPr>
                <w:rFonts w:cs="Times New Roman"/>
              </w:rPr>
            </w:pPr>
            <w:r w:rsidRPr="002E7B7B">
              <w:rPr>
                <w:rFonts w:cs="Times New Roman"/>
              </w:rPr>
              <w:t>2</w:t>
            </w:r>
          </w:p>
        </w:tc>
        <w:tc>
          <w:tcPr>
            <w:tcW w:w="8170" w:type="dxa"/>
            <w:hideMark/>
          </w:tcPr>
          <w:p w14:paraId="6785DDED" w14:textId="77777777" w:rsidR="0009633C" w:rsidRPr="002E7B7B" w:rsidRDefault="0009633C" w:rsidP="0009633C">
            <w:pPr>
              <w:spacing w:after="120"/>
              <w:contextualSpacing/>
              <w:jc w:val="both"/>
              <w:rPr>
                <w:rFonts w:cs="Times New Roman"/>
              </w:rPr>
            </w:pPr>
            <w:r w:rsidRPr="002E7B7B">
              <w:rPr>
                <w:rFonts w:cs="Times New Roman"/>
              </w:rPr>
              <w:t>((creutzfeldt jakob or creutzfeldt-jakob) adj (disease or syndrome)).tw.</w:t>
            </w:r>
          </w:p>
        </w:tc>
      </w:tr>
      <w:tr w:rsidR="0009633C" w:rsidRPr="002E7B7B" w14:paraId="7073B64E" w14:textId="77777777" w:rsidTr="0009633C">
        <w:trPr>
          <w:trHeight w:val="300"/>
        </w:trPr>
        <w:tc>
          <w:tcPr>
            <w:tcW w:w="846" w:type="dxa"/>
            <w:hideMark/>
          </w:tcPr>
          <w:p w14:paraId="2E96B484" w14:textId="77777777" w:rsidR="0009633C" w:rsidRPr="002E7B7B" w:rsidRDefault="0009633C" w:rsidP="0009633C">
            <w:pPr>
              <w:spacing w:after="120"/>
              <w:contextualSpacing/>
              <w:jc w:val="both"/>
              <w:rPr>
                <w:rFonts w:cs="Times New Roman"/>
              </w:rPr>
            </w:pPr>
            <w:r w:rsidRPr="002E7B7B">
              <w:rPr>
                <w:rFonts w:cs="Times New Roman"/>
              </w:rPr>
              <w:t>3</w:t>
            </w:r>
          </w:p>
        </w:tc>
        <w:tc>
          <w:tcPr>
            <w:tcW w:w="8170" w:type="dxa"/>
            <w:hideMark/>
          </w:tcPr>
          <w:p w14:paraId="66980138" w14:textId="77777777" w:rsidR="0009633C" w:rsidRPr="002E7B7B" w:rsidRDefault="0009633C" w:rsidP="0009633C">
            <w:pPr>
              <w:spacing w:after="120"/>
              <w:contextualSpacing/>
              <w:jc w:val="both"/>
              <w:rPr>
                <w:rFonts w:cs="Times New Roman"/>
              </w:rPr>
            </w:pPr>
            <w:r w:rsidRPr="002E7B7B">
              <w:rPr>
                <w:rFonts w:cs="Times New Roman"/>
              </w:rPr>
              <w:t>(cjd or vcjd or v-cjd).tw.</w:t>
            </w:r>
          </w:p>
        </w:tc>
      </w:tr>
      <w:tr w:rsidR="0009633C" w:rsidRPr="002E7B7B" w14:paraId="1F5264EC" w14:textId="77777777" w:rsidTr="0009633C">
        <w:trPr>
          <w:trHeight w:val="300"/>
        </w:trPr>
        <w:tc>
          <w:tcPr>
            <w:tcW w:w="846" w:type="dxa"/>
            <w:hideMark/>
          </w:tcPr>
          <w:p w14:paraId="2225BCEF" w14:textId="77777777" w:rsidR="0009633C" w:rsidRPr="002E7B7B" w:rsidRDefault="0009633C" w:rsidP="0009633C">
            <w:pPr>
              <w:spacing w:after="120"/>
              <w:contextualSpacing/>
              <w:jc w:val="both"/>
              <w:rPr>
                <w:rFonts w:cs="Times New Roman"/>
              </w:rPr>
            </w:pPr>
            <w:r w:rsidRPr="002E7B7B">
              <w:rPr>
                <w:rFonts w:cs="Times New Roman"/>
              </w:rPr>
              <w:t>4</w:t>
            </w:r>
          </w:p>
        </w:tc>
        <w:tc>
          <w:tcPr>
            <w:tcW w:w="8170" w:type="dxa"/>
            <w:hideMark/>
          </w:tcPr>
          <w:p w14:paraId="1CCDD433" w14:textId="77777777" w:rsidR="0009633C" w:rsidRPr="002E7B7B" w:rsidRDefault="0009633C" w:rsidP="0009633C">
            <w:pPr>
              <w:spacing w:after="120"/>
              <w:contextualSpacing/>
              <w:jc w:val="both"/>
              <w:rPr>
                <w:rFonts w:cs="Times New Roman"/>
              </w:rPr>
            </w:pPr>
            <w:r w:rsidRPr="002E7B7B">
              <w:rPr>
                <w:rFonts w:cs="Times New Roman"/>
              </w:rPr>
              <w:t>exp prion disease/</w:t>
            </w:r>
          </w:p>
        </w:tc>
      </w:tr>
      <w:tr w:rsidR="0009633C" w:rsidRPr="002E7B7B" w14:paraId="33F617C0" w14:textId="77777777" w:rsidTr="0009633C">
        <w:trPr>
          <w:trHeight w:val="300"/>
        </w:trPr>
        <w:tc>
          <w:tcPr>
            <w:tcW w:w="846" w:type="dxa"/>
            <w:hideMark/>
          </w:tcPr>
          <w:p w14:paraId="36F674A5" w14:textId="77777777" w:rsidR="0009633C" w:rsidRPr="002E7B7B" w:rsidRDefault="0009633C" w:rsidP="0009633C">
            <w:pPr>
              <w:spacing w:after="120"/>
              <w:contextualSpacing/>
              <w:jc w:val="both"/>
              <w:rPr>
                <w:rFonts w:cs="Times New Roman"/>
              </w:rPr>
            </w:pPr>
            <w:r w:rsidRPr="002E7B7B">
              <w:rPr>
                <w:rFonts w:cs="Times New Roman"/>
              </w:rPr>
              <w:t>5</w:t>
            </w:r>
          </w:p>
        </w:tc>
        <w:tc>
          <w:tcPr>
            <w:tcW w:w="8170" w:type="dxa"/>
            <w:hideMark/>
          </w:tcPr>
          <w:p w14:paraId="27E5BFA6" w14:textId="77777777" w:rsidR="0009633C" w:rsidRPr="002E7B7B" w:rsidRDefault="0009633C" w:rsidP="0009633C">
            <w:pPr>
              <w:spacing w:after="120"/>
              <w:contextualSpacing/>
              <w:jc w:val="both"/>
              <w:rPr>
                <w:rFonts w:cs="Times New Roman"/>
              </w:rPr>
            </w:pPr>
            <w:r w:rsidRPr="002E7B7B">
              <w:rPr>
                <w:rFonts w:cs="Times New Roman"/>
              </w:rPr>
              <w:t>exp prion/</w:t>
            </w:r>
          </w:p>
        </w:tc>
      </w:tr>
      <w:tr w:rsidR="0009633C" w:rsidRPr="002E7B7B" w14:paraId="74C926B9" w14:textId="77777777" w:rsidTr="0009633C">
        <w:trPr>
          <w:trHeight w:val="300"/>
        </w:trPr>
        <w:tc>
          <w:tcPr>
            <w:tcW w:w="846" w:type="dxa"/>
            <w:hideMark/>
          </w:tcPr>
          <w:p w14:paraId="02F9EF6E" w14:textId="77777777" w:rsidR="0009633C" w:rsidRPr="002E7B7B" w:rsidRDefault="0009633C" w:rsidP="0009633C">
            <w:pPr>
              <w:spacing w:after="120"/>
              <w:contextualSpacing/>
              <w:jc w:val="both"/>
              <w:rPr>
                <w:rFonts w:cs="Times New Roman"/>
              </w:rPr>
            </w:pPr>
            <w:r w:rsidRPr="002E7B7B">
              <w:rPr>
                <w:rFonts w:cs="Times New Roman"/>
              </w:rPr>
              <w:t>6</w:t>
            </w:r>
          </w:p>
        </w:tc>
        <w:tc>
          <w:tcPr>
            <w:tcW w:w="8170" w:type="dxa"/>
            <w:hideMark/>
          </w:tcPr>
          <w:p w14:paraId="4962F7CC" w14:textId="77777777" w:rsidR="0009633C" w:rsidRPr="002E7B7B" w:rsidRDefault="0009633C" w:rsidP="0009633C">
            <w:pPr>
              <w:spacing w:after="120"/>
              <w:contextualSpacing/>
              <w:jc w:val="both"/>
              <w:rPr>
                <w:rFonts w:cs="Times New Roman"/>
              </w:rPr>
            </w:pPr>
            <w:r w:rsidRPr="002E7B7B">
              <w:rPr>
                <w:rFonts w:cs="Times New Roman"/>
              </w:rPr>
              <w:t>((transmissible or spong*) adj encephalopath*).tw.</w:t>
            </w:r>
          </w:p>
        </w:tc>
      </w:tr>
      <w:tr w:rsidR="0009633C" w:rsidRPr="002E7B7B" w14:paraId="7763A1E9" w14:textId="77777777" w:rsidTr="0009633C">
        <w:trPr>
          <w:trHeight w:val="300"/>
        </w:trPr>
        <w:tc>
          <w:tcPr>
            <w:tcW w:w="846" w:type="dxa"/>
            <w:hideMark/>
          </w:tcPr>
          <w:p w14:paraId="63DF8157" w14:textId="77777777" w:rsidR="0009633C" w:rsidRPr="002E7B7B" w:rsidRDefault="0009633C" w:rsidP="0009633C">
            <w:pPr>
              <w:spacing w:after="120"/>
              <w:contextualSpacing/>
              <w:jc w:val="both"/>
              <w:rPr>
                <w:rFonts w:cs="Times New Roman"/>
              </w:rPr>
            </w:pPr>
            <w:r w:rsidRPr="002E7B7B">
              <w:rPr>
                <w:rFonts w:cs="Times New Roman"/>
              </w:rPr>
              <w:t>7</w:t>
            </w:r>
          </w:p>
        </w:tc>
        <w:tc>
          <w:tcPr>
            <w:tcW w:w="8170" w:type="dxa"/>
            <w:hideMark/>
          </w:tcPr>
          <w:p w14:paraId="1071C372" w14:textId="77777777" w:rsidR="0009633C" w:rsidRPr="002E7B7B" w:rsidRDefault="0009633C" w:rsidP="0009633C">
            <w:pPr>
              <w:spacing w:after="120"/>
              <w:contextualSpacing/>
              <w:jc w:val="both"/>
              <w:rPr>
                <w:rFonts w:cs="Times New Roman"/>
              </w:rPr>
            </w:pPr>
            <w:r w:rsidRPr="002E7B7B">
              <w:rPr>
                <w:rFonts w:cs="Times New Roman"/>
              </w:rPr>
              <w:t>(prion* or tse).tw.</w:t>
            </w:r>
          </w:p>
        </w:tc>
      </w:tr>
      <w:tr w:rsidR="0009633C" w:rsidRPr="002E7B7B" w14:paraId="5204D066" w14:textId="77777777" w:rsidTr="0009633C">
        <w:trPr>
          <w:trHeight w:val="300"/>
        </w:trPr>
        <w:tc>
          <w:tcPr>
            <w:tcW w:w="846" w:type="dxa"/>
            <w:hideMark/>
          </w:tcPr>
          <w:p w14:paraId="44475C02" w14:textId="77777777" w:rsidR="0009633C" w:rsidRPr="002E7B7B" w:rsidRDefault="0009633C" w:rsidP="0009633C">
            <w:pPr>
              <w:spacing w:after="120"/>
              <w:contextualSpacing/>
              <w:jc w:val="both"/>
              <w:rPr>
                <w:rFonts w:cs="Times New Roman"/>
              </w:rPr>
            </w:pPr>
            <w:r w:rsidRPr="002E7B7B">
              <w:rPr>
                <w:rFonts w:cs="Times New Roman"/>
              </w:rPr>
              <w:t>8</w:t>
            </w:r>
          </w:p>
        </w:tc>
        <w:tc>
          <w:tcPr>
            <w:tcW w:w="8170" w:type="dxa"/>
            <w:hideMark/>
          </w:tcPr>
          <w:p w14:paraId="00A19604" w14:textId="77777777" w:rsidR="0009633C" w:rsidRPr="002E7B7B" w:rsidRDefault="0009633C" w:rsidP="0009633C">
            <w:pPr>
              <w:spacing w:after="120"/>
              <w:contextualSpacing/>
              <w:jc w:val="both"/>
              <w:rPr>
                <w:rFonts w:cs="Times New Roman"/>
              </w:rPr>
            </w:pPr>
            <w:r w:rsidRPr="002E7B7B">
              <w:rPr>
                <w:rFonts w:cs="Times New Roman"/>
              </w:rPr>
              <w:t>prp.tw.</w:t>
            </w:r>
          </w:p>
        </w:tc>
      </w:tr>
      <w:tr w:rsidR="0009633C" w:rsidRPr="002E7B7B" w14:paraId="0B73CD44" w14:textId="77777777" w:rsidTr="0009633C">
        <w:trPr>
          <w:trHeight w:val="300"/>
        </w:trPr>
        <w:tc>
          <w:tcPr>
            <w:tcW w:w="846" w:type="dxa"/>
            <w:hideMark/>
          </w:tcPr>
          <w:p w14:paraId="1DBBB4B2" w14:textId="77777777" w:rsidR="0009633C" w:rsidRPr="002E7B7B" w:rsidRDefault="0009633C" w:rsidP="0009633C">
            <w:pPr>
              <w:spacing w:after="120"/>
              <w:contextualSpacing/>
              <w:jc w:val="both"/>
              <w:rPr>
                <w:rFonts w:cs="Times New Roman"/>
              </w:rPr>
            </w:pPr>
            <w:r w:rsidRPr="002E7B7B">
              <w:rPr>
                <w:rFonts w:cs="Times New Roman"/>
              </w:rPr>
              <w:t>9</w:t>
            </w:r>
          </w:p>
        </w:tc>
        <w:tc>
          <w:tcPr>
            <w:tcW w:w="8170" w:type="dxa"/>
            <w:hideMark/>
          </w:tcPr>
          <w:p w14:paraId="450FD539" w14:textId="77777777" w:rsidR="0009633C" w:rsidRPr="002E7B7B" w:rsidRDefault="0009633C" w:rsidP="0009633C">
            <w:pPr>
              <w:spacing w:after="120"/>
              <w:contextualSpacing/>
              <w:jc w:val="both"/>
              <w:rPr>
                <w:rFonts w:cs="Times New Roman"/>
              </w:rPr>
            </w:pPr>
            <w:r w:rsidRPr="002E7B7B">
              <w:rPr>
                <w:rFonts w:cs="Times New Roman"/>
              </w:rPr>
              <w:t>or/1-8</w:t>
            </w:r>
          </w:p>
        </w:tc>
      </w:tr>
      <w:tr w:rsidR="0009633C" w:rsidRPr="002E7B7B" w14:paraId="37DDBC38" w14:textId="77777777" w:rsidTr="0009633C">
        <w:trPr>
          <w:trHeight w:val="300"/>
        </w:trPr>
        <w:tc>
          <w:tcPr>
            <w:tcW w:w="846" w:type="dxa"/>
            <w:hideMark/>
          </w:tcPr>
          <w:p w14:paraId="74967035" w14:textId="77777777" w:rsidR="0009633C" w:rsidRPr="002E7B7B" w:rsidRDefault="0009633C" w:rsidP="0009633C">
            <w:pPr>
              <w:spacing w:after="120"/>
              <w:contextualSpacing/>
              <w:jc w:val="both"/>
              <w:rPr>
                <w:rFonts w:cs="Times New Roman"/>
              </w:rPr>
            </w:pPr>
            <w:r w:rsidRPr="002E7B7B">
              <w:rPr>
                <w:rFonts w:cs="Times New Roman"/>
              </w:rPr>
              <w:t>10</w:t>
            </w:r>
          </w:p>
        </w:tc>
        <w:tc>
          <w:tcPr>
            <w:tcW w:w="8170" w:type="dxa"/>
            <w:hideMark/>
          </w:tcPr>
          <w:p w14:paraId="4A5B9E89" w14:textId="77777777" w:rsidR="0009633C" w:rsidRPr="002E7B7B" w:rsidRDefault="0009633C" w:rsidP="0009633C">
            <w:pPr>
              <w:spacing w:after="120"/>
              <w:contextualSpacing/>
              <w:jc w:val="both"/>
              <w:rPr>
                <w:rFonts w:cs="Times New Roman"/>
              </w:rPr>
            </w:pPr>
            <w:r w:rsidRPr="002E7B7B">
              <w:rPr>
                <w:rFonts w:cs="Times New Roman"/>
              </w:rPr>
              <w:t>exp incidence/</w:t>
            </w:r>
          </w:p>
        </w:tc>
      </w:tr>
      <w:tr w:rsidR="0009633C" w:rsidRPr="002E7B7B" w14:paraId="11B862D4" w14:textId="77777777" w:rsidTr="0009633C">
        <w:trPr>
          <w:trHeight w:val="300"/>
        </w:trPr>
        <w:tc>
          <w:tcPr>
            <w:tcW w:w="846" w:type="dxa"/>
            <w:hideMark/>
          </w:tcPr>
          <w:p w14:paraId="508A9100" w14:textId="77777777" w:rsidR="0009633C" w:rsidRPr="002E7B7B" w:rsidRDefault="0009633C" w:rsidP="0009633C">
            <w:pPr>
              <w:spacing w:after="120"/>
              <w:contextualSpacing/>
              <w:jc w:val="both"/>
              <w:rPr>
                <w:rFonts w:cs="Times New Roman"/>
              </w:rPr>
            </w:pPr>
            <w:r w:rsidRPr="002E7B7B">
              <w:rPr>
                <w:rFonts w:cs="Times New Roman"/>
              </w:rPr>
              <w:t>11</w:t>
            </w:r>
          </w:p>
        </w:tc>
        <w:tc>
          <w:tcPr>
            <w:tcW w:w="8170" w:type="dxa"/>
            <w:hideMark/>
          </w:tcPr>
          <w:p w14:paraId="6EE992FA" w14:textId="77777777" w:rsidR="0009633C" w:rsidRPr="002E7B7B" w:rsidRDefault="0009633C" w:rsidP="0009633C">
            <w:pPr>
              <w:spacing w:after="120"/>
              <w:contextualSpacing/>
              <w:jc w:val="both"/>
              <w:rPr>
                <w:rFonts w:cs="Times New Roman"/>
              </w:rPr>
            </w:pPr>
            <w:r w:rsidRPr="002E7B7B">
              <w:rPr>
                <w:rFonts w:cs="Times New Roman"/>
              </w:rPr>
              <w:t>exp prevalence/</w:t>
            </w:r>
          </w:p>
        </w:tc>
      </w:tr>
      <w:tr w:rsidR="0009633C" w:rsidRPr="002E7B7B" w14:paraId="42642F01" w14:textId="77777777" w:rsidTr="0009633C">
        <w:trPr>
          <w:trHeight w:val="300"/>
        </w:trPr>
        <w:tc>
          <w:tcPr>
            <w:tcW w:w="846" w:type="dxa"/>
            <w:hideMark/>
          </w:tcPr>
          <w:p w14:paraId="69B428F8" w14:textId="77777777" w:rsidR="0009633C" w:rsidRPr="002E7B7B" w:rsidRDefault="0009633C" w:rsidP="0009633C">
            <w:pPr>
              <w:spacing w:after="120"/>
              <w:contextualSpacing/>
              <w:jc w:val="both"/>
              <w:rPr>
                <w:rFonts w:cs="Times New Roman"/>
              </w:rPr>
            </w:pPr>
            <w:r w:rsidRPr="002E7B7B">
              <w:rPr>
                <w:rFonts w:cs="Times New Roman"/>
              </w:rPr>
              <w:t>12</w:t>
            </w:r>
          </w:p>
        </w:tc>
        <w:tc>
          <w:tcPr>
            <w:tcW w:w="8170" w:type="dxa"/>
            <w:hideMark/>
          </w:tcPr>
          <w:p w14:paraId="3F9496A6" w14:textId="77777777" w:rsidR="0009633C" w:rsidRPr="002E7B7B" w:rsidRDefault="0009633C" w:rsidP="0009633C">
            <w:pPr>
              <w:spacing w:after="120"/>
              <w:contextualSpacing/>
              <w:jc w:val="both"/>
              <w:rPr>
                <w:rFonts w:cs="Times New Roman"/>
              </w:rPr>
            </w:pPr>
            <w:r w:rsidRPr="002E7B7B">
              <w:rPr>
                <w:rFonts w:cs="Times New Roman"/>
              </w:rPr>
              <w:t>incidence.tw.</w:t>
            </w:r>
          </w:p>
        </w:tc>
      </w:tr>
      <w:tr w:rsidR="0009633C" w:rsidRPr="002E7B7B" w14:paraId="5E200395" w14:textId="77777777" w:rsidTr="0009633C">
        <w:trPr>
          <w:trHeight w:val="300"/>
        </w:trPr>
        <w:tc>
          <w:tcPr>
            <w:tcW w:w="846" w:type="dxa"/>
            <w:hideMark/>
          </w:tcPr>
          <w:p w14:paraId="186C04E5" w14:textId="77777777" w:rsidR="0009633C" w:rsidRPr="002E7B7B" w:rsidRDefault="0009633C" w:rsidP="0009633C">
            <w:pPr>
              <w:spacing w:after="120"/>
              <w:contextualSpacing/>
              <w:jc w:val="both"/>
              <w:rPr>
                <w:rFonts w:cs="Times New Roman"/>
              </w:rPr>
            </w:pPr>
            <w:r w:rsidRPr="002E7B7B">
              <w:rPr>
                <w:rFonts w:cs="Times New Roman"/>
              </w:rPr>
              <w:t>13</w:t>
            </w:r>
          </w:p>
        </w:tc>
        <w:tc>
          <w:tcPr>
            <w:tcW w:w="8170" w:type="dxa"/>
            <w:hideMark/>
          </w:tcPr>
          <w:p w14:paraId="03047C45" w14:textId="77777777" w:rsidR="0009633C" w:rsidRPr="002E7B7B" w:rsidRDefault="0009633C" w:rsidP="0009633C">
            <w:pPr>
              <w:spacing w:after="120"/>
              <w:contextualSpacing/>
              <w:jc w:val="both"/>
              <w:rPr>
                <w:rFonts w:cs="Times New Roman"/>
              </w:rPr>
            </w:pPr>
            <w:r w:rsidRPr="002E7B7B">
              <w:rPr>
                <w:rFonts w:cs="Times New Roman"/>
              </w:rPr>
              <w:t>prevalence.tw.</w:t>
            </w:r>
          </w:p>
        </w:tc>
      </w:tr>
      <w:tr w:rsidR="0009633C" w:rsidRPr="002E7B7B" w14:paraId="18027951" w14:textId="77777777" w:rsidTr="0009633C">
        <w:trPr>
          <w:trHeight w:val="300"/>
        </w:trPr>
        <w:tc>
          <w:tcPr>
            <w:tcW w:w="846" w:type="dxa"/>
            <w:hideMark/>
          </w:tcPr>
          <w:p w14:paraId="0D3664E5" w14:textId="77777777" w:rsidR="0009633C" w:rsidRPr="002E7B7B" w:rsidRDefault="0009633C" w:rsidP="0009633C">
            <w:pPr>
              <w:spacing w:after="120"/>
              <w:contextualSpacing/>
              <w:jc w:val="both"/>
              <w:rPr>
                <w:rFonts w:cs="Times New Roman"/>
              </w:rPr>
            </w:pPr>
            <w:r w:rsidRPr="002E7B7B">
              <w:rPr>
                <w:rFonts w:cs="Times New Roman"/>
              </w:rPr>
              <w:t>14</w:t>
            </w:r>
          </w:p>
        </w:tc>
        <w:tc>
          <w:tcPr>
            <w:tcW w:w="8170" w:type="dxa"/>
            <w:hideMark/>
          </w:tcPr>
          <w:p w14:paraId="7AC94FAC" w14:textId="77777777" w:rsidR="0009633C" w:rsidRPr="002E7B7B" w:rsidRDefault="0009633C" w:rsidP="0009633C">
            <w:pPr>
              <w:spacing w:after="120"/>
              <w:contextualSpacing/>
              <w:jc w:val="both"/>
              <w:rPr>
                <w:rFonts w:cs="Times New Roman"/>
              </w:rPr>
            </w:pPr>
            <w:r w:rsidRPr="002E7B7B">
              <w:rPr>
                <w:rFonts w:cs="Times New Roman"/>
              </w:rPr>
              <w:t>or/10-13</w:t>
            </w:r>
          </w:p>
        </w:tc>
      </w:tr>
      <w:tr w:rsidR="0009633C" w:rsidRPr="002E7B7B" w14:paraId="156A5ECF" w14:textId="77777777" w:rsidTr="0009633C">
        <w:trPr>
          <w:trHeight w:val="300"/>
        </w:trPr>
        <w:tc>
          <w:tcPr>
            <w:tcW w:w="846" w:type="dxa"/>
            <w:hideMark/>
          </w:tcPr>
          <w:p w14:paraId="31F4C768" w14:textId="77777777" w:rsidR="0009633C" w:rsidRPr="002E7B7B" w:rsidRDefault="0009633C" w:rsidP="0009633C">
            <w:pPr>
              <w:spacing w:after="120"/>
              <w:contextualSpacing/>
              <w:jc w:val="both"/>
              <w:rPr>
                <w:rFonts w:cs="Times New Roman"/>
              </w:rPr>
            </w:pPr>
            <w:r w:rsidRPr="002E7B7B">
              <w:rPr>
                <w:rFonts w:cs="Times New Roman"/>
              </w:rPr>
              <w:t>15</w:t>
            </w:r>
          </w:p>
        </w:tc>
        <w:tc>
          <w:tcPr>
            <w:tcW w:w="8170" w:type="dxa"/>
            <w:hideMark/>
          </w:tcPr>
          <w:p w14:paraId="1692B65A" w14:textId="77777777" w:rsidR="0009633C" w:rsidRPr="002E7B7B" w:rsidRDefault="0009633C" w:rsidP="0009633C">
            <w:pPr>
              <w:spacing w:after="120"/>
              <w:contextualSpacing/>
              <w:jc w:val="both"/>
              <w:rPr>
                <w:rFonts w:cs="Times New Roman"/>
              </w:rPr>
            </w:pPr>
            <w:r w:rsidRPr="002E7B7B">
              <w:rPr>
                <w:rFonts w:cs="Times New Roman"/>
              </w:rPr>
              <w:t>incubat*.tw.</w:t>
            </w:r>
          </w:p>
        </w:tc>
      </w:tr>
      <w:tr w:rsidR="0009633C" w:rsidRPr="002E7B7B" w14:paraId="28C4AF7A" w14:textId="77777777" w:rsidTr="0009633C">
        <w:trPr>
          <w:trHeight w:val="300"/>
        </w:trPr>
        <w:tc>
          <w:tcPr>
            <w:tcW w:w="846" w:type="dxa"/>
            <w:hideMark/>
          </w:tcPr>
          <w:p w14:paraId="2CC3E2F3" w14:textId="77777777" w:rsidR="0009633C" w:rsidRPr="002E7B7B" w:rsidRDefault="0009633C" w:rsidP="0009633C">
            <w:pPr>
              <w:spacing w:after="120"/>
              <w:contextualSpacing/>
              <w:jc w:val="both"/>
              <w:rPr>
                <w:rFonts w:cs="Times New Roman"/>
              </w:rPr>
            </w:pPr>
            <w:r w:rsidRPr="002E7B7B">
              <w:rPr>
                <w:rFonts w:cs="Times New Roman"/>
              </w:rPr>
              <w:t>16</w:t>
            </w:r>
          </w:p>
        </w:tc>
        <w:tc>
          <w:tcPr>
            <w:tcW w:w="8170" w:type="dxa"/>
            <w:hideMark/>
          </w:tcPr>
          <w:p w14:paraId="71E63D25" w14:textId="77777777" w:rsidR="0009633C" w:rsidRPr="002E7B7B" w:rsidRDefault="0009633C" w:rsidP="0009633C">
            <w:pPr>
              <w:spacing w:after="120"/>
              <w:contextualSpacing/>
              <w:jc w:val="both"/>
              <w:rPr>
                <w:rFonts w:cs="Times New Roman"/>
              </w:rPr>
            </w:pPr>
            <w:r w:rsidRPr="002E7B7B">
              <w:rPr>
                <w:rFonts w:cs="Times New Roman"/>
              </w:rPr>
              <w:t>9 and (14 or 15)</w:t>
            </w:r>
          </w:p>
        </w:tc>
      </w:tr>
      <w:tr w:rsidR="0009633C" w:rsidRPr="002E7B7B" w14:paraId="681FE09C" w14:textId="77777777" w:rsidTr="0009633C">
        <w:trPr>
          <w:trHeight w:val="300"/>
        </w:trPr>
        <w:tc>
          <w:tcPr>
            <w:tcW w:w="846" w:type="dxa"/>
            <w:hideMark/>
          </w:tcPr>
          <w:p w14:paraId="1C8C98B0" w14:textId="77777777" w:rsidR="0009633C" w:rsidRPr="002E7B7B" w:rsidRDefault="0009633C" w:rsidP="0009633C">
            <w:pPr>
              <w:spacing w:after="120"/>
              <w:contextualSpacing/>
              <w:jc w:val="both"/>
              <w:rPr>
                <w:rFonts w:cs="Times New Roman"/>
              </w:rPr>
            </w:pPr>
            <w:r w:rsidRPr="002E7B7B">
              <w:rPr>
                <w:rFonts w:cs="Times New Roman"/>
              </w:rPr>
              <w:t>17</w:t>
            </w:r>
          </w:p>
        </w:tc>
        <w:tc>
          <w:tcPr>
            <w:tcW w:w="8170" w:type="dxa"/>
            <w:hideMark/>
          </w:tcPr>
          <w:p w14:paraId="58CA68B6" w14:textId="77777777" w:rsidR="0009633C" w:rsidRPr="002E7B7B" w:rsidRDefault="0009633C" w:rsidP="0009633C">
            <w:pPr>
              <w:spacing w:after="120"/>
              <w:contextualSpacing/>
              <w:jc w:val="both"/>
              <w:rPr>
                <w:rFonts w:cs="Times New Roman"/>
              </w:rPr>
            </w:pPr>
            <w:r w:rsidRPr="002E7B7B">
              <w:rPr>
                <w:rFonts w:cs="Times New Roman"/>
              </w:rPr>
              <w:t>limit 16 to yr="2005 -Current"</w:t>
            </w:r>
          </w:p>
        </w:tc>
      </w:tr>
      <w:tr w:rsidR="0009633C" w:rsidRPr="002E7B7B" w14:paraId="33BC7784" w14:textId="77777777" w:rsidTr="0009633C">
        <w:trPr>
          <w:trHeight w:val="600"/>
        </w:trPr>
        <w:tc>
          <w:tcPr>
            <w:tcW w:w="846" w:type="dxa"/>
            <w:hideMark/>
          </w:tcPr>
          <w:p w14:paraId="29F8C05A" w14:textId="77777777" w:rsidR="0009633C" w:rsidRPr="002E7B7B" w:rsidRDefault="0009633C" w:rsidP="0009633C">
            <w:pPr>
              <w:spacing w:after="120"/>
              <w:contextualSpacing/>
              <w:jc w:val="both"/>
              <w:rPr>
                <w:rFonts w:cs="Times New Roman"/>
              </w:rPr>
            </w:pPr>
            <w:r w:rsidRPr="002E7B7B">
              <w:rPr>
                <w:rFonts w:cs="Times New Roman"/>
              </w:rPr>
              <w:t>18</w:t>
            </w:r>
          </w:p>
        </w:tc>
        <w:tc>
          <w:tcPr>
            <w:tcW w:w="8170" w:type="dxa"/>
            <w:hideMark/>
          </w:tcPr>
          <w:p w14:paraId="46F803F4" w14:textId="77777777" w:rsidR="0009633C" w:rsidRPr="002E7B7B" w:rsidRDefault="0009633C" w:rsidP="0009633C">
            <w:pPr>
              <w:spacing w:after="120"/>
              <w:contextualSpacing/>
              <w:jc w:val="both"/>
              <w:rPr>
                <w:rFonts w:cs="Times New Roman"/>
              </w:rPr>
            </w:pPr>
            <w:r w:rsidRPr="002E7B7B">
              <w:rPr>
                <w:rFonts w:cs="Times New Roman"/>
              </w:rPr>
              <w:t>((transmission or transmit* or iatrogenic or transfer*) adj5 (creutzfeldt or cjd or vcjd or v-cjd or encephalopath* or prion* or tse or prp)).tw.</w:t>
            </w:r>
          </w:p>
        </w:tc>
      </w:tr>
      <w:tr w:rsidR="0009633C" w:rsidRPr="002E7B7B" w14:paraId="63BF3008" w14:textId="77777777" w:rsidTr="0009633C">
        <w:trPr>
          <w:trHeight w:val="300"/>
        </w:trPr>
        <w:tc>
          <w:tcPr>
            <w:tcW w:w="846" w:type="dxa"/>
            <w:hideMark/>
          </w:tcPr>
          <w:p w14:paraId="6041CE8E" w14:textId="77777777" w:rsidR="0009633C" w:rsidRPr="002E7B7B" w:rsidRDefault="0009633C" w:rsidP="0009633C">
            <w:pPr>
              <w:spacing w:after="120"/>
              <w:contextualSpacing/>
              <w:jc w:val="both"/>
              <w:rPr>
                <w:rFonts w:cs="Times New Roman"/>
              </w:rPr>
            </w:pPr>
            <w:r w:rsidRPr="002E7B7B">
              <w:rPr>
                <w:rFonts w:cs="Times New Roman"/>
              </w:rPr>
              <w:t>19</w:t>
            </w:r>
          </w:p>
        </w:tc>
        <w:tc>
          <w:tcPr>
            <w:tcW w:w="8170" w:type="dxa"/>
            <w:hideMark/>
          </w:tcPr>
          <w:p w14:paraId="579E01FD" w14:textId="77777777" w:rsidR="0009633C" w:rsidRPr="002E7B7B" w:rsidRDefault="0009633C" w:rsidP="0009633C">
            <w:pPr>
              <w:spacing w:after="120"/>
              <w:contextualSpacing/>
              <w:jc w:val="both"/>
              <w:rPr>
                <w:rFonts w:cs="Times New Roman"/>
              </w:rPr>
            </w:pPr>
            <w:r w:rsidRPr="002E7B7B">
              <w:rPr>
                <w:rFonts w:cs="Times New Roman"/>
              </w:rPr>
              <w:t>exp surgical equipment/</w:t>
            </w:r>
          </w:p>
        </w:tc>
      </w:tr>
      <w:tr w:rsidR="0009633C" w:rsidRPr="002E7B7B" w14:paraId="398EC8B7" w14:textId="77777777" w:rsidTr="0009633C">
        <w:trPr>
          <w:trHeight w:val="300"/>
        </w:trPr>
        <w:tc>
          <w:tcPr>
            <w:tcW w:w="846" w:type="dxa"/>
            <w:hideMark/>
          </w:tcPr>
          <w:p w14:paraId="38A29D0A" w14:textId="77777777" w:rsidR="0009633C" w:rsidRPr="002E7B7B" w:rsidRDefault="0009633C" w:rsidP="0009633C">
            <w:pPr>
              <w:spacing w:after="120"/>
              <w:contextualSpacing/>
              <w:jc w:val="both"/>
              <w:rPr>
                <w:rFonts w:cs="Times New Roman"/>
              </w:rPr>
            </w:pPr>
            <w:r w:rsidRPr="002E7B7B">
              <w:rPr>
                <w:rFonts w:cs="Times New Roman"/>
              </w:rPr>
              <w:t>20</w:t>
            </w:r>
          </w:p>
        </w:tc>
        <w:tc>
          <w:tcPr>
            <w:tcW w:w="8170" w:type="dxa"/>
            <w:hideMark/>
          </w:tcPr>
          <w:p w14:paraId="516F6552" w14:textId="77777777" w:rsidR="0009633C" w:rsidRPr="002E7B7B" w:rsidRDefault="0009633C" w:rsidP="0009633C">
            <w:pPr>
              <w:spacing w:after="120"/>
              <w:contextualSpacing/>
              <w:jc w:val="both"/>
              <w:rPr>
                <w:rFonts w:cs="Times New Roman"/>
              </w:rPr>
            </w:pPr>
            <w:r w:rsidRPr="002E7B7B">
              <w:rPr>
                <w:rFonts w:cs="Times New Roman"/>
              </w:rPr>
              <w:t>instrument sterilization/</w:t>
            </w:r>
          </w:p>
        </w:tc>
      </w:tr>
      <w:tr w:rsidR="0009633C" w:rsidRPr="002E7B7B" w14:paraId="4C625A81" w14:textId="77777777" w:rsidTr="0009633C">
        <w:trPr>
          <w:trHeight w:val="300"/>
        </w:trPr>
        <w:tc>
          <w:tcPr>
            <w:tcW w:w="846" w:type="dxa"/>
            <w:hideMark/>
          </w:tcPr>
          <w:p w14:paraId="35B6EAB9" w14:textId="77777777" w:rsidR="0009633C" w:rsidRPr="002E7B7B" w:rsidRDefault="0009633C" w:rsidP="0009633C">
            <w:pPr>
              <w:spacing w:after="120"/>
              <w:contextualSpacing/>
              <w:jc w:val="both"/>
              <w:rPr>
                <w:rFonts w:cs="Times New Roman"/>
              </w:rPr>
            </w:pPr>
            <w:r w:rsidRPr="002E7B7B">
              <w:rPr>
                <w:rFonts w:cs="Times New Roman"/>
              </w:rPr>
              <w:t>21</w:t>
            </w:r>
          </w:p>
        </w:tc>
        <w:tc>
          <w:tcPr>
            <w:tcW w:w="8170" w:type="dxa"/>
            <w:hideMark/>
          </w:tcPr>
          <w:p w14:paraId="455797AB" w14:textId="77777777" w:rsidR="0009633C" w:rsidRPr="002E7B7B" w:rsidRDefault="0009633C" w:rsidP="0009633C">
            <w:pPr>
              <w:spacing w:after="120"/>
              <w:contextualSpacing/>
              <w:jc w:val="both"/>
              <w:rPr>
                <w:rFonts w:cs="Times New Roman"/>
              </w:rPr>
            </w:pPr>
            <w:r w:rsidRPr="002E7B7B">
              <w:rPr>
                <w:rFonts w:cs="Times New Roman"/>
              </w:rPr>
              <w:t>19 and 20</w:t>
            </w:r>
          </w:p>
        </w:tc>
      </w:tr>
      <w:tr w:rsidR="0009633C" w:rsidRPr="002E7B7B" w14:paraId="294A437C" w14:textId="77777777" w:rsidTr="0009633C">
        <w:trPr>
          <w:trHeight w:val="600"/>
        </w:trPr>
        <w:tc>
          <w:tcPr>
            <w:tcW w:w="846" w:type="dxa"/>
            <w:hideMark/>
          </w:tcPr>
          <w:p w14:paraId="7436E977" w14:textId="77777777" w:rsidR="0009633C" w:rsidRPr="002E7B7B" w:rsidRDefault="0009633C" w:rsidP="0009633C">
            <w:pPr>
              <w:spacing w:after="120"/>
              <w:contextualSpacing/>
              <w:jc w:val="both"/>
              <w:rPr>
                <w:rFonts w:cs="Times New Roman"/>
              </w:rPr>
            </w:pPr>
            <w:r w:rsidRPr="002E7B7B">
              <w:rPr>
                <w:rFonts w:cs="Times New Roman"/>
              </w:rPr>
              <w:t>22</w:t>
            </w:r>
          </w:p>
        </w:tc>
        <w:tc>
          <w:tcPr>
            <w:tcW w:w="8170" w:type="dxa"/>
            <w:hideMark/>
          </w:tcPr>
          <w:p w14:paraId="79A77BEE" w14:textId="77777777" w:rsidR="0009633C" w:rsidRPr="002E7B7B" w:rsidRDefault="0009633C" w:rsidP="0009633C">
            <w:pPr>
              <w:spacing w:after="120"/>
              <w:contextualSpacing/>
              <w:jc w:val="both"/>
              <w:rPr>
                <w:rFonts w:cs="Times New Roman"/>
              </w:rPr>
            </w:pPr>
            <w:r w:rsidRPr="002E7B7B">
              <w:rPr>
                <w:rFonts w:cs="Times New Roman"/>
              </w:rPr>
              <w:t>((surgery or surgical* or instrument* or device* or equipment*) adj5 (decontaminat* or reprocess* or disinfect* or wash* or clean* or steril* or contaminat* or prerinse or pre-rinse or inactivat*)).tw.</w:t>
            </w:r>
          </w:p>
        </w:tc>
      </w:tr>
      <w:tr w:rsidR="0009633C" w:rsidRPr="002E7B7B" w14:paraId="37D579CB" w14:textId="77777777" w:rsidTr="0009633C">
        <w:trPr>
          <w:trHeight w:val="300"/>
        </w:trPr>
        <w:tc>
          <w:tcPr>
            <w:tcW w:w="846" w:type="dxa"/>
            <w:hideMark/>
          </w:tcPr>
          <w:p w14:paraId="210BC6CA" w14:textId="77777777" w:rsidR="0009633C" w:rsidRPr="002E7B7B" w:rsidRDefault="0009633C" w:rsidP="0009633C">
            <w:pPr>
              <w:spacing w:after="120"/>
              <w:contextualSpacing/>
              <w:jc w:val="both"/>
              <w:rPr>
                <w:rFonts w:cs="Times New Roman"/>
              </w:rPr>
            </w:pPr>
            <w:r w:rsidRPr="002E7B7B">
              <w:rPr>
                <w:rFonts w:cs="Times New Roman"/>
              </w:rPr>
              <w:t>23</w:t>
            </w:r>
          </w:p>
        </w:tc>
        <w:tc>
          <w:tcPr>
            <w:tcW w:w="8170" w:type="dxa"/>
            <w:hideMark/>
          </w:tcPr>
          <w:p w14:paraId="5BD5E595" w14:textId="77777777" w:rsidR="0009633C" w:rsidRPr="002E7B7B" w:rsidRDefault="0009633C" w:rsidP="0009633C">
            <w:pPr>
              <w:spacing w:after="120"/>
              <w:contextualSpacing/>
              <w:jc w:val="both"/>
              <w:rPr>
                <w:rFonts w:cs="Times New Roman"/>
              </w:rPr>
            </w:pPr>
            <w:r w:rsidRPr="002E7B7B">
              <w:rPr>
                <w:rFonts w:cs="Times New Roman"/>
              </w:rPr>
              <w:t>21 or 22</w:t>
            </w:r>
          </w:p>
        </w:tc>
      </w:tr>
      <w:tr w:rsidR="0009633C" w:rsidRPr="002E7B7B" w14:paraId="22A9FF09" w14:textId="77777777" w:rsidTr="0009633C">
        <w:trPr>
          <w:trHeight w:val="300"/>
        </w:trPr>
        <w:tc>
          <w:tcPr>
            <w:tcW w:w="846" w:type="dxa"/>
            <w:hideMark/>
          </w:tcPr>
          <w:p w14:paraId="13AE3378" w14:textId="77777777" w:rsidR="0009633C" w:rsidRPr="002E7B7B" w:rsidRDefault="0009633C" w:rsidP="0009633C">
            <w:pPr>
              <w:spacing w:after="120"/>
              <w:contextualSpacing/>
              <w:jc w:val="both"/>
              <w:rPr>
                <w:rFonts w:cs="Times New Roman"/>
              </w:rPr>
            </w:pPr>
            <w:r w:rsidRPr="002E7B7B">
              <w:rPr>
                <w:rFonts w:cs="Times New Roman"/>
              </w:rPr>
              <w:t>24</w:t>
            </w:r>
          </w:p>
        </w:tc>
        <w:tc>
          <w:tcPr>
            <w:tcW w:w="8170" w:type="dxa"/>
            <w:hideMark/>
          </w:tcPr>
          <w:p w14:paraId="1CF94A74" w14:textId="77777777" w:rsidR="0009633C" w:rsidRPr="002E7B7B" w:rsidRDefault="0009633C" w:rsidP="0009633C">
            <w:pPr>
              <w:spacing w:after="120"/>
              <w:contextualSpacing/>
              <w:jc w:val="both"/>
              <w:rPr>
                <w:rFonts w:cs="Times New Roman"/>
              </w:rPr>
            </w:pPr>
            <w:r w:rsidRPr="002E7B7B">
              <w:rPr>
                <w:rFonts w:cs="Times New Roman"/>
              </w:rPr>
              <w:t>9 and (18 or 23)</w:t>
            </w:r>
          </w:p>
        </w:tc>
      </w:tr>
      <w:tr w:rsidR="0009633C" w:rsidRPr="002E7B7B" w14:paraId="12AF85C3" w14:textId="77777777" w:rsidTr="0009633C">
        <w:trPr>
          <w:trHeight w:val="300"/>
        </w:trPr>
        <w:tc>
          <w:tcPr>
            <w:tcW w:w="846" w:type="dxa"/>
            <w:hideMark/>
          </w:tcPr>
          <w:p w14:paraId="6EA9CD44" w14:textId="77777777" w:rsidR="0009633C" w:rsidRPr="002E7B7B" w:rsidRDefault="0009633C" w:rsidP="0009633C">
            <w:pPr>
              <w:spacing w:after="120"/>
              <w:contextualSpacing/>
              <w:jc w:val="both"/>
              <w:rPr>
                <w:rFonts w:cs="Times New Roman"/>
              </w:rPr>
            </w:pPr>
            <w:r w:rsidRPr="002E7B7B">
              <w:rPr>
                <w:rFonts w:cs="Times New Roman"/>
              </w:rPr>
              <w:t>25</w:t>
            </w:r>
          </w:p>
        </w:tc>
        <w:tc>
          <w:tcPr>
            <w:tcW w:w="8170" w:type="dxa"/>
            <w:hideMark/>
          </w:tcPr>
          <w:p w14:paraId="0334911C" w14:textId="77777777" w:rsidR="0009633C" w:rsidRPr="002E7B7B" w:rsidRDefault="0009633C" w:rsidP="0009633C">
            <w:pPr>
              <w:spacing w:after="120"/>
              <w:contextualSpacing/>
              <w:jc w:val="both"/>
              <w:rPr>
                <w:rFonts w:cs="Times New Roman"/>
              </w:rPr>
            </w:pPr>
            <w:r w:rsidRPr="002E7B7B">
              <w:rPr>
                <w:rFonts w:cs="Times New Roman"/>
              </w:rPr>
              <w:t>limit 24 to yr="2005 -Current"</w:t>
            </w:r>
          </w:p>
        </w:tc>
      </w:tr>
      <w:tr w:rsidR="0009633C" w:rsidRPr="002E7B7B" w14:paraId="512B5E43" w14:textId="77777777" w:rsidTr="0009633C">
        <w:trPr>
          <w:trHeight w:val="300"/>
        </w:trPr>
        <w:tc>
          <w:tcPr>
            <w:tcW w:w="846" w:type="dxa"/>
            <w:hideMark/>
          </w:tcPr>
          <w:p w14:paraId="72AB5238" w14:textId="77777777" w:rsidR="0009633C" w:rsidRPr="002E7B7B" w:rsidRDefault="0009633C" w:rsidP="0009633C">
            <w:pPr>
              <w:spacing w:after="120"/>
              <w:contextualSpacing/>
              <w:jc w:val="both"/>
              <w:rPr>
                <w:rFonts w:cs="Times New Roman"/>
              </w:rPr>
            </w:pPr>
            <w:r w:rsidRPr="002E7B7B">
              <w:rPr>
                <w:rFonts w:cs="Times New Roman"/>
              </w:rPr>
              <w:t>26</w:t>
            </w:r>
          </w:p>
        </w:tc>
        <w:tc>
          <w:tcPr>
            <w:tcW w:w="8170" w:type="dxa"/>
            <w:hideMark/>
          </w:tcPr>
          <w:p w14:paraId="317E3105" w14:textId="77777777" w:rsidR="0009633C" w:rsidRPr="002E7B7B" w:rsidRDefault="0009633C" w:rsidP="0009633C">
            <w:pPr>
              <w:spacing w:after="120"/>
              <w:contextualSpacing/>
              <w:jc w:val="both"/>
              <w:rPr>
                <w:rFonts w:cs="Times New Roman"/>
              </w:rPr>
            </w:pPr>
            <w:r w:rsidRPr="002E7B7B">
              <w:rPr>
                <w:rFonts w:cs="Times New Roman"/>
              </w:rPr>
              <w:t>exp surgical equipment/</w:t>
            </w:r>
          </w:p>
        </w:tc>
      </w:tr>
      <w:tr w:rsidR="0009633C" w:rsidRPr="002E7B7B" w14:paraId="5F4E662C" w14:textId="77777777" w:rsidTr="0009633C">
        <w:trPr>
          <w:trHeight w:val="300"/>
        </w:trPr>
        <w:tc>
          <w:tcPr>
            <w:tcW w:w="846" w:type="dxa"/>
            <w:hideMark/>
          </w:tcPr>
          <w:p w14:paraId="07CC1B31" w14:textId="77777777" w:rsidR="0009633C" w:rsidRPr="002E7B7B" w:rsidRDefault="0009633C" w:rsidP="0009633C">
            <w:pPr>
              <w:spacing w:after="120"/>
              <w:contextualSpacing/>
              <w:jc w:val="both"/>
              <w:rPr>
                <w:rFonts w:cs="Times New Roman"/>
              </w:rPr>
            </w:pPr>
            <w:r w:rsidRPr="002E7B7B">
              <w:rPr>
                <w:rFonts w:cs="Times New Roman"/>
              </w:rPr>
              <w:t>27</w:t>
            </w:r>
          </w:p>
        </w:tc>
        <w:tc>
          <w:tcPr>
            <w:tcW w:w="8170" w:type="dxa"/>
            <w:hideMark/>
          </w:tcPr>
          <w:p w14:paraId="3C3BDB07" w14:textId="77777777" w:rsidR="0009633C" w:rsidRPr="002E7B7B" w:rsidRDefault="0009633C" w:rsidP="0009633C">
            <w:pPr>
              <w:spacing w:after="120"/>
              <w:contextualSpacing/>
              <w:jc w:val="both"/>
              <w:rPr>
                <w:rFonts w:cs="Times New Roman"/>
              </w:rPr>
            </w:pPr>
            <w:r w:rsidRPr="002E7B7B">
              <w:rPr>
                <w:rFonts w:cs="Times New Roman"/>
              </w:rPr>
              <w:t>instrument sterilization/</w:t>
            </w:r>
          </w:p>
        </w:tc>
      </w:tr>
      <w:tr w:rsidR="0009633C" w:rsidRPr="002E7B7B" w14:paraId="38AC7D5A" w14:textId="77777777" w:rsidTr="0009633C">
        <w:trPr>
          <w:trHeight w:val="300"/>
        </w:trPr>
        <w:tc>
          <w:tcPr>
            <w:tcW w:w="846" w:type="dxa"/>
            <w:hideMark/>
          </w:tcPr>
          <w:p w14:paraId="5DB27C86" w14:textId="77777777" w:rsidR="0009633C" w:rsidRPr="002E7B7B" w:rsidRDefault="0009633C" w:rsidP="0009633C">
            <w:pPr>
              <w:spacing w:after="120"/>
              <w:contextualSpacing/>
              <w:jc w:val="both"/>
              <w:rPr>
                <w:rFonts w:cs="Times New Roman"/>
              </w:rPr>
            </w:pPr>
            <w:r w:rsidRPr="002E7B7B">
              <w:rPr>
                <w:rFonts w:cs="Times New Roman"/>
              </w:rPr>
              <w:t>28</w:t>
            </w:r>
          </w:p>
        </w:tc>
        <w:tc>
          <w:tcPr>
            <w:tcW w:w="8170" w:type="dxa"/>
            <w:hideMark/>
          </w:tcPr>
          <w:p w14:paraId="23601904" w14:textId="77777777" w:rsidR="0009633C" w:rsidRPr="002E7B7B" w:rsidRDefault="0009633C" w:rsidP="0009633C">
            <w:pPr>
              <w:spacing w:after="120"/>
              <w:contextualSpacing/>
              <w:jc w:val="both"/>
              <w:rPr>
                <w:rFonts w:cs="Times New Roman"/>
              </w:rPr>
            </w:pPr>
            <w:r w:rsidRPr="002E7B7B">
              <w:rPr>
                <w:rFonts w:cs="Times New Roman"/>
              </w:rPr>
              <w:t>26 and 27</w:t>
            </w:r>
          </w:p>
        </w:tc>
      </w:tr>
      <w:tr w:rsidR="0009633C" w:rsidRPr="002E7B7B" w14:paraId="3451BF76" w14:textId="77777777" w:rsidTr="0009633C">
        <w:trPr>
          <w:trHeight w:val="600"/>
        </w:trPr>
        <w:tc>
          <w:tcPr>
            <w:tcW w:w="846" w:type="dxa"/>
            <w:hideMark/>
          </w:tcPr>
          <w:p w14:paraId="4C51C9CD" w14:textId="77777777" w:rsidR="0009633C" w:rsidRPr="002E7B7B" w:rsidRDefault="0009633C" w:rsidP="0009633C">
            <w:pPr>
              <w:spacing w:after="120"/>
              <w:contextualSpacing/>
              <w:jc w:val="both"/>
              <w:rPr>
                <w:rFonts w:cs="Times New Roman"/>
              </w:rPr>
            </w:pPr>
            <w:r w:rsidRPr="002E7B7B">
              <w:rPr>
                <w:rFonts w:cs="Times New Roman"/>
              </w:rPr>
              <w:t>29</w:t>
            </w:r>
          </w:p>
        </w:tc>
        <w:tc>
          <w:tcPr>
            <w:tcW w:w="8170" w:type="dxa"/>
            <w:hideMark/>
          </w:tcPr>
          <w:p w14:paraId="78B78AB8" w14:textId="77777777" w:rsidR="0009633C" w:rsidRPr="002E7B7B" w:rsidRDefault="0009633C" w:rsidP="0009633C">
            <w:pPr>
              <w:spacing w:after="120"/>
              <w:contextualSpacing/>
              <w:jc w:val="both"/>
              <w:rPr>
                <w:rFonts w:cs="Times New Roman"/>
              </w:rPr>
            </w:pPr>
            <w:r w:rsidRPr="002E7B7B">
              <w:rPr>
                <w:rFonts w:cs="Times New Roman"/>
              </w:rPr>
              <w:t>((surgery or surgical* or instrument* or device* or equipment*) adj5 (decontaminat* or reprocess* or disinfect* or wash* or clean* or steril* or contaminat* or prerinse or pre-rinse or inactivat*)).tw.</w:t>
            </w:r>
          </w:p>
        </w:tc>
      </w:tr>
      <w:tr w:rsidR="0009633C" w:rsidRPr="002E7B7B" w14:paraId="211784CD" w14:textId="77777777" w:rsidTr="0009633C">
        <w:trPr>
          <w:trHeight w:val="300"/>
        </w:trPr>
        <w:tc>
          <w:tcPr>
            <w:tcW w:w="846" w:type="dxa"/>
            <w:hideMark/>
          </w:tcPr>
          <w:p w14:paraId="3F2AED35" w14:textId="77777777" w:rsidR="0009633C" w:rsidRPr="002E7B7B" w:rsidRDefault="0009633C" w:rsidP="0009633C">
            <w:pPr>
              <w:spacing w:after="120"/>
              <w:contextualSpacing/>
              <w:jc w:val="both"/>
              <w:rPr>
                <w:rFonts w:cs="Times New Roman"/>
              </w:rPr>
            </w:pPr>
            <w:r w:rsidRPr="002E7B7B">
              <w:rPr>
                <w:rFonts w:cs="Times New Roman"/>
              </w:rPr>
              <w:t>30</w:t>
            </w:r>
          </w:p>
        </w:tc>
        <w:tc>
          <w:tcPr>
            <w:tcW w:w="8170" w:type="dxa"/>
            <w:hideMark/>
          </w:tcPr>
          <w:p w14:paraId="6CDACDD6" w14:textId="77777777" w:rsidR="0009633C" w:rsidRPr="002E7B7B" w:rsidRDefault="0009633C" w:rsidP="0009633C">
            <w:pPr>
              <w:spacing w:after="120"/>
              <w:contextualSpacing/>
              <w:jc w:val="both"/>
              <w:rPr>
                <w:rFonts w:cs="Times New Roman"/>
              </w:rPr>
            </w:pPr>
            <w:r w:rsidRPr="002E7B7B">
              <w:rPr>
                <w:rFonts w:cs="Times New Roman"/>
              </w:rPr>
              <w:t>28 or 29</w:t>
            </w:r>
          </w:p>
        </w:tc>
      </w:tr>
      <w:tr w:rsidR="0009633C" w:rsidRPr="002E7B7B" w14:paraId="1D7ABB98" w14:textId="77777777" w:rsidTr="0009633C">
        <w:trPr>
          <w:trHeight w:val="300"/>
        </w:trPr>
        <w:tc>
          <w:tcPr>
            <w:tcW w:w="846" w:type="dxa"/>
            <w:hideMark/>
          </w:tcPr>
          <w:p w14:paraId="1E4E8245" w14:textId="77777777" w:rsidR="0009633C" w:rsidRPr="002E7B7B" w:rsidRDefault="0009633C" w:rsidP="0009633C">
            <w:pPr>
              <w:spacing w:after="120"/>
              <w:contextualSpacing/>
              <w:jc w:val="both"/>
              <w:rPr>
                <w:rFonts w:cs="Times New Roman"/>
              </w:rPr>
            </w:pPr>
            <w:r w:rsidRPr="002E7B7B">
              <w:rPr>
                <w:rFonts w:cs="Times New Roman"/>
              </w:rPr>
              <w:t>31</w:t>
            </w:r>
          </w:p>
        </w:tc>
        <w:tc>
          <w:tcPr>
            <w:tcW w:w="8170" w:type="dxa"/>
            <w:hideMark/>
          </w:tcPr>
          <w:p w14:paraId="44E843B8" w14:textId="77777777" w:rsidR="0009633C" w:rsidRPr="002E7B7B" w:rsidRDefault="0009633C" w:rsidP="0009633C">
            <w:pPr>
              <w:spacing w:after="120"/>
              <w:contextualSpacing/>
              <w:jc w:val="both"/>
              <w:rPr>
                <w:rFonts w:cs="Times New Roman"/>
              </w:rPr>
            </w:pPr>
            <w:r w:rsidRPr="002E7B7B">
              <w:rPr>
                <w:rFonts w:cs="Times New Roman"/>
              </w:rPr>
              <w:t>neurosurgery/</w:t>
            </w:r>
          </w:p>
        </w:tc>
      </w:tr>
      <w:tr w:rsidR="0009633C" w:rsidRPr="002E7B7B" w14:paraId="6B7EF01E" w14:textId="77777777" w:rsidTr="0009633C">
        <w:trPr>
          <w:trHeight w:val="300"/>
        </w:trPr>
        <w:tc>
          <w:tcPr>
            <w:tcW w:w="846" w:type="dxa"/>
            <w:hideMark/>
          </w:tcPr>
          <w:p w14:paraId="087B7038" w14:textId="77777777" w:rsidR="0009633C" w:rsidRPr="002E7B7B" w:rsidRDefault="0009633C" w:rsidP="0009633C">
            <w:pPr>
              <w:spacing w:after="120"/>
              <w:contextualSpacing/>
              <w:jc w:val="both"/>
              <w:rPr>
                <w:rFonts w:cs="Times New Roman"/>
              </w:rPr>
            </w:pPr>
            <w:r w:rsidRPr="002E7B7B">
              <w:rPr>
                <w:rFonts w:cs="Times New Roman"/>
              </w:rPr>
              <w:t>32</w:t>
            </w:r>
          </w:p>
        </w:tc>
        <w:tc>
          <w:tcPr>
            <w:tcW w:w="8170" w:type="dxa"/>
            <w:hideMark/>
          </w:tcPr>
          <w:p w14:paraId="028CB817" w14:textId="77777777" w:rsidR="0009633C" w:rsidRPr="002E7B7B" w:rsidRDefault="0009633C" w:rsidP="0009633C">
            <w:pPr>
              <w:spacing w:after="120"/>
              <w:contextualSpacing/>
              <w:jc w:val="both"/>
              <w:rPr>
                <w:rFonts w:cs="Times New Roman"/>
              </w:rPr>
            </w:pPr>
            <w:r w:rsidRPr="002E7B7B">
              <w:rPr>
                <w:rFonts w:cs="Times New Roman"/>
              </w:rPr>
              <w:t>(neurosurgery or neurological surgery).tw.</w:t>
            </w:r>
          </w:p>
        </w:tc>
      </w:tr>
      <w:tr w:rsidR="0009633C" w:rsidRPr="002E7B7B" w14:paraId="006ABC08" w14:textId="77777777" w:rsidTr="0009633C">
        <w:trPr>
          <w:trHeight w:val="300"/>
        </w:trPr>
        <w:tc>
          <w:tcPr>
            <w:tcW w:w="846" w:type="dxa"/>
            <w:hideMark/>
          </w:tcPr>
          <w:p w14:paraId="7FCE9DB7" w14:textId="77777777" w:rsidR="0009633C" w:rsidRPr="002E7B7B" w:rsidRDefault="0009633C" w:rsidP="0009633C">
            <w:pPr>
              <w:spacing w:after="120"/>
              <w:contextualSpacing/>
              <w:jc w:val="both"/>
              <w:rPr>
                <w:rFonts w:cs="Times New Roman"/>
              </w:rPr>
            </w:pPr>
            <w:r w:rsidRPr="002E7B7B">
              <w:rPr>
                <w:rFonts w:cs="Times New Roman"/>
              </w:rPr>
              <w:t>33</w:t>
            </w:r>
          </w:p>
        </w:tc>
        <w:tc>
          <w:tcPr>
            <w:tcW w:w="8170" w:type="dxa"/>
            <w:hideMark/>
          </w:tcPr>
          <w:p w14:paraId="34857F20" w14:textId="77777777" w:rsidR="0009633C" w:rsidRPr="002E7B7B" w:rsidRDefault="0009633C" w:rsidP="0009633C">
            <w:pPr>
              <w:spacing w:after="120"/>
              <w:contextualSpacing/>
              <w:jc w:val="both"/>
              <w:rPr>
                <w:rFonts w:cs="Times New Roman"/>
              </w:rPr>
            </w:pPr>
            <w:r w:rsidRPr="002E7B7B">
              <w:rPr>
                <w:rFonts w:cs="Times New Roman"/>
              </w:rPr>
              <w:t>exp brain/su [Surgery]</w:t>
            </w:r>
          </w:p>
        </w:tc>
      </w:tr>
      <w:tr w:rsidR="0009633C" w:rsidRPr="002E7B7B" w14:paraId="6F7927C4" w14:textId="77777777" w:rsidTr="0009633C">
        <w:trPr>
          <w:trHeight w:val="300"/>
        </w:trPr>
        <w:tc>
          <w:tcPr>
            <w:tcW w:w="846" w:type="dxa"/>
            <w:hideMark/>
          </w:tcPr>
          <w:p w14:paraId="19BC2460" w14:textId="77777777" w:rsidR="0009633C" w:rsidRPr="002E7B7B" w:rsidRDefault="0009633C" w:rsidP="0009633C">
            <w:pPr>
              <w:spacing w:after="120"/>
              <w:contextualSpacing/>
              <w:jc w:val="both"/>
              <w:rPr>
                <w:rFonts w:cs="Times New Roman"/>
              </w:rPr>
            </w:pPr>
            <w:r w:rsidRPr="002E7B7B">
              <w:rPr>
                <w:rFonts w:cs="Times New Roman"/>
              </w:rPr>
              <w:t>34</w:t>
            </w:r>
          </w:p>
        </w:tc>
        <w:tc>
          <w:tcPr>
            <w:tcW w:w="8170" w:type="dxa"/>
            <w:hideMark/>
          </w:tcPr>
          <w:p w14:paraId="61CC2375" w14:textId="77777777" w:rsidR="0009633C" w:rsidRPr="002E7B7B" w:rsidRDefault="0009633C" w:rsidP="0009633C">
            <w:pPr>
              <w:spacing w:after="120"/>
              <w:contextualSpacing/>
              <w:jc w:val="both"/>
              <w:rPr>
                <w:rFonts w:cs="Times New Roman"/>
              </w:rPr>
            </w:pPr>
            <w:r w:rsidRPr="002E7B7B">
              <w:rPr>
                <w:rFonts w:cs="Times New Roman"/>
              </w:rPr>
              <w:t>exp meninx/su [Surgery]</w:t>
            </w:r>
          </w:p>
        </w:tc>
      </w:tr>
      <w:tr w:rsidR="0009633C" w:rsidRPr="002E7B7B" w14:paraId="269E9468" w14:textId="77777777" w:rsidTr="0009633C">
        <w:trPr>
          <w:trHeight w:val="300"/>
        </w:trPr>
        <w:tc>
          <w:tcPr>
            <w:tcW w:w="846" w:type="dxa"/>
            <w:hideMark/>
          </w:tcPr>
          <w:p w14:paraId="15F76DB6" w14:textId="77777777" w:rsidR="0009633C" w:rsidRPr="002E7B7B" w:rsidRDefault="0009633C" w:rsidP="0009633C">
            <w:pPr>
              <w:spacing w:after="120"/>
              <w:contextualSpacing/>
              <w:jc w:val="both"/>
              <w:rPr>
                <w:rFonts w:cs="Times New Roman"/>
              </w:rPr>
            </w:pPr>
            <w:r w:rsidRPr="002E7B7B">
              <w:rPr>
                <w:rFonts w:cs="Times New Roman"/>
              </w:rPr>
              <w:t>35</w:t>
            </w:r>
          </w:p>
        </w:tc>
        <w:tc>
          <w:tcPr>
            <w:tcW w:w="8170" w:type="dxa"/>
            <w:hideMark/>
          </w:tcPr>
          <w:p w14:paraId="50389AFC" w14:textId="77777777" w:rsidR="0009633C" w:rsidRPr="002E7B7B" w:rsidRDefault="0009633C" w:rsidP="0009633C">
            <w:pPr>
              <w:spacing w:after="120"/>
              <w:contextualSpacing/>
              <w:jc w:val="both"/>
              <w:rPr>
                <w:rFonts w:cs="Times New Roman"/>
              </w:rPr>
            </w:pPr>
            <w:r w:rsidRPr="002E7B7B">
              <w:rPr>
                <w:rFonts w:cs="Times New Roman"/>
              </w:rPr>
              <w:t>exp hypophysis/su [Surgery]</w:t>
            </w:r>
          </w:p>
        </w:tc>
      </w:tr>
      <w:tr w:rsidR="0009633C" w:rsidRPr="002E7B7B" w14:paraId="26DD5E1F" w14:textId="77777777" w:rsidTr="0009633C">
        <w:trPr>
          <w:trHeight w:val="300"/>
        </w:trPr>
        <w:tc>
          <w:tcPr>
            <w:tcW w:w="846" w:type="dxa"/>
            <w:hideMark/>
          </w:tcPr>
          <w:p w14:paraId="2CB031F9" w14:textId="77777777" w:rsidR="0009633C" w:rsidRPr="002E7B7B" w:rsidRDefault="0009633C" w:rsidP="0009633C">
            <w:pPr>
              <w:spacing w:after="120"/>
              <w:contextualSpacing/>
              <w:jc w:val="both"/>
              <w:rPr>
                <w:rFonts w:cs="Times New Roman"/>
              </w:rPr>
            </w:pPr>
            <w:r w:rsidRPr="002E7B7B">
              <w:rPr>
                <w:rFonts w:cs="Times New Roman"/>
              </w:rPr>
              <w:t>36</w:t>
            </w:r>
          </w:p>
        </w:tc>
        <w:tc>
          <w:tcPr>
            <w:tcW w:w="8170" w:type="dxa"/>
            <w:hideMark/>
          </w:tcPr>
          <w:p w14:paraId="7E79EF46" w14:textId="77777777" w:rsidR="0009633C" w:rsidRPr="002E7B7B" w:rsidRDefault="0009633C" w:rsidP="0009633C">
            <w:pPr>
              <w:spacing w:after="120"/>
              <w:contextualSpacing/>
              <w:jc w:val="both"/>
              <w:rPr>
                <w:rFonts w:cs="Times New Roman"/>
              </w:rPr>
            </w:pPr>
            <w:r w:rsidRPr="002E7B7B">
              <w:rPr>
                <w:rFonts w:cs="Times New Roman"/>
              </w:rPr>
              <w:t>pineal body/su [Surgery]</w:t>
            </w:r>
          </w:p>
        </w:tc>
      </w:tr>
      <w:tr w:rsidR="0009633C" w:rsidRPr="002E7B7B" w14:paraId="4CF32D27" w14:textId="77777777" w:rsidTr="0009633C">
        <w:trPr>
          <w:trHeight w:val="600"/>
        </w:trPr>
        <w:tc>
          <w:tcPr>
            <w:tcW w:w="846" w:type="dxa"/>
            <w:hideMark/>
          </w:tcPr>
          <w:p w14:paraId="15709153" w14:textId="77777777" w:rsidR="0009633C" w:rsidRPr="002E7B7B" w:rsidRDefault="0009633C" w:rsidP="0009633C">
            <w:pPr>
              <w:spacing w:after="120"/>
              <w:contextualSpacing/>
              <w:jc w:val="both"/>
              <w:rPr>
                <w:rFonts w:cs="Times New Roman"/>
              </w:rPr>
            </w:pPr>
            <w:r w:rsidRPr="002E7B7B">
              <w:rPr>
                <w:rFonts w:cs="Times New Roman"/>
              </w:rPr>
              <w:t>37</w:t>
            </w:r>
          </w:p>
        </w:tc>
        <w:tc>
          <w:tcPr>
            <w:tcW w:w="8170" w:type="dxa"/>
            <w:hideMark/>
          </w:tcPr>
          <w:p w14:paraId="1A83CA43" w14:textId="77777777" w:rsidR="0009633C" w:rsidRPr="002E7B7B" w:rsidRDefault="0009633C" w:rsidP="0009633C">
            <w:pPr>
              <w:spacing w:after="120"/>
              <w:contextualSpacing/>
              <w:jc w:val="both"/>
              <w:rPr>
                <w:rFonts w:cs="Times New Roman"/>
              </w:rPr>
            </w:pPr>
            <w:r w:rsidRPr="002E7B7B">
              <w:rPr>
                <w:rFonts w:cs="Times New Roman"/>
              </w:rPr>
              <w:t>((brain or meninges or cerebral or pituitary or pineal) adj5 (surgery or surgical* or excision or lesion or ablation or operation* or neurostimulation or connection or destruction)).tw.</w:t>
            </w:r>
          </w:p>
        </w:tc>
      </w:tr>
      <w:tr w:rsidR="0009633C" w:rsidRPr="00A4124E" w14:paraId="181AE6C7" w14:textId="77777777" w:rsidTr="0009633C">
        <w:trPr>
          <w:trHeight w:val="300"/>
        </w:trPr>
        <w:tc>
          <w:tcPr>
            <w:tcW w:w="846" w:type="dxa"/>
            <w:hideMark/>
          </w:tcPr>
          <w:p w14:paraId="28180F94" w14:textId="77777777" w:rsidR="0009633C" w:rsidRPr="002E7B7B" w:rsidRDefault="0009633C" w:rsidP="0009633C">
            <w:pPr>
              <w:spacing w:after="120"/>
              <w:contextualSpacing/>
              <w:jc w:val="both"/>
              <w:rPr>
                <w:rFonts w:cs="Times New Roman"/>
              </w:rPr>
            </w:pPr>
            <w:r w:rsidRPr="002E7B7B">
              <w:rPr>
                <w:rFonts w:cs="Times New Roman"/>
              </w:rPr>
              <w:t>38</w:t>
            </w:r>
          </w:p>
        </w:tc>
        <w:tc>
          <w:tcPr>
            <w:tcW w:w="8170" w:type="dxa"/>
            <w:hideMark/>
          </w:tcPr>
          <w:p w14:paraId="3E1A7583" w14:textId="77777777" w:rsidR="0009633C" w:rsidRPr="00CA4E0C" w:rsidRDefault="0009633C" w:rsidP="0009633C">
            <w:pPr>
              <w:spacing w:after="120"/>
              <w:contextualSpacing/>
              <w:jc w:val="both"/>
              <w:rPr>
                <w:rFonts w:cs="Times New Roman"/>
              </w:rPr>
            </w:pPr>
            <w:r w:rsidRPr="00CA4E0C">
              <w:rPr>
                <w:rFonts w:cs="Times New Roman"/>
              </w:rPr>
              <w:t>exp cranial nerve/su [Surgery]</w:t>
            </w:r>
          </w:p>
        </w:tc>
      </w:tr>
      <w:tr w:rsidR="0009633C" w:rsidRPr="002E7B7B" w14:paraId="616D8F26" w14:textId="77777777" w:rsidTr="0009633C">
        <w:trPr>
          <w:trHeight w:val="600"/>
        </w:trPr>
        <w:tc>
          <w:tcPr>
            <w:tcW w:w="846" w:type="dxa"/>
            <w:hideMark/>
          </w:tcPr>
          <w:p w14:paraId="5B141F02" w14:textId="77777777" w:rsidR="0009633C" w:rsidRPr="002E7B7B" w:rsidRDefault="0009633C" w:rsidP="0009633C">
            <w:pPr>
              <w:spacing w:after="120"/>
              <w:contextualSpacing/>
              <w:jc w:val="both"/>
              <w:rPr>
                <w:rFonts w:cs="Times New Roman"/>
              </w:rPr>
            </w:pPr>
            <w:r w:rsidRPr="002E7B7B">
              <w:rPr>
                <w:rFonts w:cs="Times New Roman"/>
              </w:rPr>
              <w:t>39</w:t>
            </w:r>
          </w:p>
        </w:tc>
        <w:tc>
          <w:tcPr>
            <w:tcW w:w="8170" w:type="dxa"/>
            <w:hideMark/>
          </w:tcPr>
          <w:p w14:paraId="2DF66AD7" w14:textId="77777777" w:rsidR="0009633C" w:rsidRPr="002E7B7B" w:rsidRDefault="0009633C" w:rsidP="0009633C">
            <w:pPr>
              <w:spacing w:after="120"/>
              <w:contextualSpacing/>
              <w:jc w:val="both"/>
              <w:rPr>
                <w:rFonts w:cs="Times New Roman"/>
              </w:rPr>
            </w:pPr>
            <w:r w:rsidRPr="002E7B7B">
              <w:rPr>
                <w:rFonts w:cs="Times New Roman"/>
              </w:rPr>
              <w:t>((cranial or dura) adj5 (graft* or transection or destruction or lesion or repair* or decompress* or neurostimulation or exploration or operation*)).tw.</w:t>
            </w:r>
          </w:p>
        </w:tc>
      </w:tr>
      <w:tr w:rsidR="0009633C" w:rsidRPr="002E7B7B" w14:paraId="4E482259" w14:textId="77777777" w:rsidTr="0009633C">
        <w:trPr>
          <w:trHeight w:val="300"/>
        </w:trPr>
        <w:tc>
          <w:tcPr>
            <w:tcW w:w="846" w:type="dxa"/>
            <w:hideMark/>
          </w:tcPr>
          <w:p w14:paraId="431984DD" w14:textId="77777777" w:rsidR="0009633C" w:rsidRPr="002E7B7B" w:rsidRDefault="0009633C" w:rsidP="0009633C">
            <w:pPr>
              <w:spacing w:after="120"/>
              <w:contextualSpacing/>
              <w:jc w:val="both"/>
              <w:rPr>
                <w:rFonts w:cs="Times New Roman"/>
              </w:rPr>
            </w:pPr>
            <w:r w:rsidRPr="002E7B7B">
              <w:rPr>
                <w:rFonts w:cs="Times New Roman"/>
              </w:rPr>
              <w:t>40</w:t>
            </w:r>
          </w:p>
        </w:tc>
        <w:tc>
          <w:tcPr>
            <w:tcW w:w="8170" w:type="dxa"/>
            <w:hideMark/>
          </w:tcPr>
          <w:p w14:paraId="450AE6E1" w14:textId="77777777" w:rsidR="0009633C" w:rsidRPr="002E7B7B" w:rsidRDefault="0009633C" w:rsidP="0009633C">
            <w:pPr>
              <w:spacing w:after="120"/>
              <w:contextualSpacing/>
              <w:jc w:val="both"/>
              <w:rPr>
                <w:rFonts w:cs="Times New Roman"/>
              </w:rPr>
            </w:pPr>
            <w:r w:rsidRPr="002E7B7B">
              <w:rPr>
                <w:rFonts w:cs="Times New Roman"/>
              </w:rPr>
              <w:t>eye surgery/</w:t>
            </w:r>
          </w:p>
        </w:tc>
      </w:tr>
      <w:tr w:rsidR="0009633C" w:rsidRPr="002E7B7B" w14:paraId="274510FF" w14:textId="77777777" w:rsidTr="0009633C">
        <w:trPr>
          <w:trHeight w:val="600"/>
        </w:trPr>
        <w:tc>
          <w:tcPr>
            <w:tcW w:w="846" w:type="dxa"/>
            <w:hideMark/>
          </w:tcPr>
          <w:p w14:paraId="405A9DA7" w14:textId="77777777" w:rsidR="0009633C" w:rsidRPr="002E7B7B" w:rsidRDefault="0009633C" w:rsidP="0009633C">
            <w:pPr>
              <w:spacing w:after="120"/>
              <w:contextualSpacing/>
              <w:jc w:val="both"/>
              <w:rPr>
                <w:rFonts w:cs="Times New Roman"/>
              </w:rPr>
            </w:pPr>
            <w:r w:rsidRPr="002E7B7B">
              <w:rPr>
                <w:rFonts w:cs="Times New Roman"/>
              </w:rPr>
              <w:t>41</w:t>
            </w:r>
          </w:p>
        </w:tc>
        <w:tc>
          <w:tcPr>
            <w:tcW w:w="8170" w:type="dxa"/>
            <w:hideMark/>
          </w:tcPr>
          <w:p w14:paraId="6F5EEA07" w14:textId="77777777" w:rsidR="0009633C" w:rsidRPr="002E7B7B" w:rsidRDefault="0009633C" w:rsidP="0009633C">
            <w:pPr>
              <w:spacing w:after="120"/>
              <w:contextualSpacing/>
              <w:jc w:val="both"/>
              <w:rPr>
                <w:rFonts w:cs="Times New Roman"/>
              </w:rPr>
            </w:pPr>
            <w:r w:rsidRPr="002E7B7B">
              <w:rPr>
                <w:rFonts w:cs="Times New Roman"/>
              </w:rPr>
              <w:t>((eye or vitreous or retina) adj5 (surgery or surgical* or excision or operation* or photocoagulation or destruction)).tw.</w:t>
            </w:r>
          </w:p>
        </w:tc>
      </w:tr>
      <w:tr w:rsidR="0009633C" w:rsidRPr="002E7B7B" w14:paraId="7AB08D4D" w14:textId="77777777" w:rsidTr="0009633C">
        <w:trPr>
          <w:trHeight w:val="300"/>
        </w:trPr>
        <w:tc>
          <w:tcPr>
            <w:tcW w:w="846" w:type="dxa"/>
            <w:hideMark/>
          </w:tcPr>
          <w:p w14:paraId="1FA9C342" w14:textId="77777777" w:rsidR="0009633C" w:rsidRPr="002E7B7B" w:rsidRDefault="0009633C" w:rsidP="0009633C">
            <w:pPr>
              <w:spacing w:after="120"/>
              <w:contextualSpacing/>
              <w:jc w:val="both"/>
              <w:rPr>
                <w:rFonts w:cs="Times New Roman"/>
              </w:rPr>
            </w:pPr>
            <w:r w:rsidRPr="002E7B7B">
              <w:rPr>
                <w:rFonts w:cs="Times New Roman"/>
              </w:rPr>
              <w:t>42</w:t>
            </w:r>
          </w:p>
        </w:tc>
        <w:tc>
          <w:tcPr>
            <w:tcW w:w="8170" w:type="dxa"/>
            <w:hideMark/>
          </w:tcPr>
          <w:p w14:paraId="4EB46C6E" w14:textId="77777777" w:rsidR="0009633C" w:rsidRPr="002E7B7B" w:rsidRDefault="0009633C" w:rsidP="0009633C">
            <w:pPr>
              <w:spacing w:after="120"/>
              <w:contextualSpacing/>
              <w:jc w:val="both"/>
              <w:rPr>
                <w:rFonts w:cs="Times New Roman"/>
              </w:rPr>
            </w:pPr>
            <w:r w:rsidRPr="002E7B7B">
              <w:rPr>
                <w:rFonts w:cs="Times New Roman"/>
              </w:rPr>
              <w:t>eye/su [Surgery]</w:t>
            </w:r>
          </w:p>
        </w:tc>
      </w:tr>
      <w:tr w:rsidR="0009633C" w:rsidRPr="002E7B7B" w14:paraId="2FA2302E" w14:textId="77777777" w:rsidTr="0009633C">
        <w:trPr>
          <w:trHeight w:val="300"/>
        </w:trPr>
        <w:tc>
          <w:tcPr>
            <w:tcW w:w="846" w:type="dxa"/>
            <w:hideMark/>
          </w:tcPr>
          <w:p w14:paraId="6229BEE7" w14:textId="77777777" w:rsidR="0009633C" w:rsidRPr="002E7B7B" w:rsidRDefault="0009633C" w:rsidP="0009633C">
            <w:pPr>
              <w:spacing w:after="120"/>
              <w:contextualSpacing/>
              <w:jc w:val="both"/>
              <w:rPr>
                <w:rFonts w:cs="Times New Roman"/>
              </w:rPr>
            </w:pPr>
            <w:r w:rsidRPr="002E7B7B">
              <w:rPr>
                <w:rFonts w:cs="Times New Roman"/>
              </w:rPr>
              <w:t>43</w:t>
            </w:r>
          </w:p>
        </w:tc>
        <w:tc>
          <w:tcPr>
            <w:tcW w:w="8170" w:type="dxa"/>
            <w:hideMark/>
          </w:tcPr>
          <w:p w14:paraId="768D8E8A" w14:textId="77777777" w:rsidR="0009633C" w:rsidRPr="002E7B7B" w:rsidRDefault="0009633C" w:rsidP="0009633C">
            <w:pPr>
              <w:spacing w:after="120"/>
              <w:contextualSpacing/>
              <w:jc w:val="both"/>
              <w:rPr>
                <w:rFonts w:cs="Times New Roman"/>
              </w:rPr>
            </w:pPr>
            <w:r w:rsidRPr="002E7B7B">
              <w:rPr>
                <w:rFonts w:cs="Times New Roman"/>
              </w:rPr>
              <w:t>vitreous body/su [Surgery]</w:t>
            </w:r>
          </w:p>
        </w:tc>
      </w:tr>
      <w:tr w:rsidR="0009633C" w:rsidRPr="002E7B7B" w14:paraId="49FA4EAB" w14:textId="77777777" w:rsidTr="0009633C">
        <w:trPr>
          <w:trHeight w:val="300"/>
        </w:trPr>
        <w:tc>
          <w:tcPr>
            <w:tcW w:w="846" w:type="dxa"/>
            <w:hideMark/>
          </w:tcPr>
          <w:p w14:paraId="7C1F2BD9" w14:textId="77777777" w:rsidR="0009633C" w:rsidRPr="002E7B7B" w:rsidRDefault="0009633C" w:rsidP="0009633C">
            <w:pPr>
              <w:spacing w:after="120"/>
              <w:contextualSpacing/>
              <w:jc w:val="both"/>
              <w:rPr>
                <w:rFonts w:cs="Times New Roman"/>
              </w:rPr>
            </w:pPr>
            <w:r w:rsidRPr="002E7B7B">
              <w:rPr>
                <w:rFonts w:cs="Times New Roman"/>
              </w:rPr>
              <w:t>44</w:t>
            </w:r>
          </w:p>
        </w:tc>
        <w:tc>
          <w:tcPr>
            <w:tcW w:w="8170" w:type="dxa"/>
            <w:hideMark/>
          </w:tcPr>
          <w:p w14:paraId="52E22D8D" w14:textId="77777777" w:rsidR="0009633C" w:rsidRPr="002E7B7B" w:rsidRDefault="0009633C" w:rsidP="0009633C">
            <w:pPr>
              <w:spacing w:after="120"/>
              <w:contextualSpacing/>
              <w:jc w:val="both"/>
              <w:rPr>
                <w:rFonts w:cs="Times New Roman"/>
              </w:rPr>
            </w:pPr>
            <w:r w:rsidRPr="002E7B7B">
              <w:rPr>
                <w:rFonts w:cs="Times New Roman"/>
              </w:rPr>
              <w:t>exp retina/su [Surgery]</w:t>
            </w:r>
          </w:p>
        </w:tc>
      </w:tr>
      <w:tr w:rsidR="0009633C" w:rsidRPr="002E7B7B" w14:paraId="7576D14F" w14:textId="77777777" w:rsidTr="0009633C">
        <w:trPr>
          <w:trHeight w:val="300"/>
        </w:trPr>
        <w:tc>
          <w:tcPr>
            <w:tcW w:w="846" w:type="dxa"/>
            <w:hideMark/>
          </w:tcPr>
          <w:p w14:paraId="22A8C4CC" w14:textId="77777777" w:rsidR="0009633C" w:rsidRPr="002E7B7B" w:rsidRDefault="0009633C" w:rsidP="0009633C">
            <w:pPr>
              <w:spacing w:after="120"/>
              <w:contextualSpacing/>
              <w:jc w:val="both"/>
              <w:rPr>
                <w:rFonts w:cs="Times New Roman"/>
              </w:rPr>
            </w:pPr>
            <w:r w:rsidRPr="002E7B7B">
              <w:rPr>
                <w:rFonts w:cs="Times New Roman"/>
              </w:rPr>
              <w:t>45</w:t>
            </w:r>
          </w:p>
        </w:tc>
        <w:tc>
          <w:tcPr>
            <w:tcW w:w="8170" w:type="dxa"/>
            <w:hideMark/>
          </w:tcPr>
          <w:p w14:paraId="3F92954F" w14:textId="77777777" w:rsidR="0009633C" w:rsidRPr="002E7B7B" w:rsidRDefault="0009633C" w:rsidP="0009633C">
            <w:pPr>
              <w:spacing w:after="120"/>
              <w:contextualSpacing/>
              <w:jc w:val="both"/>
              <w:rPr>
                <w:rFonts w:cs="Times New Roman"/>
              </w:rPr>
            </w:pPr>
            <w:r w:rsidRPr="002E7B7B">
              <w:rPr>
                <w:rFonts w:cs="Times New Roman"/>
              </w:rPr>
              <w:t>or/31-44</w:t>
            </w:r>
          </w:p>
        </w:tc>
      </w:tr>
      <w:tr w:rsidR="0009633C" w:rsidRPr="002E7B7B" w14:paraId="180F1290" w14:textId="77777777" w:rsidTr="0009633C">
        <w:trPr>
          <w:trHeight w:val="300"/>
        </w:trPr>
        <w:tc>
          <w:tcPr>
            <w:tcW w:w="846" w:type="dxa"/>
            <w:hideMark/>
          </w:tcPr>
          <w:p w14:paraId="6A48CD31" w14:textId="77777777" w:rsidR="0009633C" w:rsidRPr="002E7B7B" w:rsidRDefault="0009633C" w:rsidP="0009633C">
            <w:pPr>
              <w:spacing w:after="120"/>
              <w:contextualSpacing/>
              <w:jc w:val="both"/>
              <w:rPr>
                <w:rFonts w:cs="Times New Roman"/>
              </w:rPr>
            </w:pPr>
            <w:r w:rsidRPr="002E7B7B">
              <w:rPr>
                <w:rFonts w:cs="Times New Roman"/>
              </w:rPr>
              <w:t>46</w:t>
            </w:r>
          </w:p>
        </w:tc>
        <w:tc>
          <w:tcPr>
            <w:tcW w:w="8170" w:type="dxa"/>
            <w:hideMark/>
          </w:tcPr>
          <w:p w14:paraId="05F4B6A2" w14:textId="77777777" w:rsidR="0009633C" w:rsidRPr="002E7B7B" w:rsidRDefault="0009633C" w:rsidP="0009633C">
            <w:pPr>
              <w:spacing w:after="120"/>
              <w:contextualSpacing/>
              <w:jc w:val="both"/>
              <w:rPr>
                <w:rFonts w:cs="Times New Roman"/>
              </w:rPr>
            </w:pPr>
            <w:r w:rsidRPr="002E7B7B">
              <w:rPr>
                <w:rFonts w:cs="Times New Roman"/>
              </w:rPr>
              <w:t>30 and 45</w:t>
            </w:r>
          </w:p>
        </w:tc>
      </w:tr>
      <w:tr w:rsidR="0009633C" w:rsidRPr="002E7B7B" w14:paraId="18C235A1" w14:textId="77777777" w:rsidTr="0009633C">
        <w:trPr>
          <w:trHeight w:val="300"/>
        </w:trPr>
        <w:tc>
          <w:tcPr>
            <w:tcW w:w="846" w:type="dxa"/>
            <w:hideMark/>
          </w:tcPr>
          <w:p w14:paraId="1547CA26" w14:textId="77777777" w:rsidR="0009633C" w:rsidRPr="002E7B7B" w:rsidRDefault="0009633C" w:rsidP="0009633C">
            <w:pPr>
              <w:spacing w:after="120"/>
              <w:contextualSpacing/>
              <w:jc w:val="both"/>
              <w:rPr>
                <w:rFonts w:cs="Times New Roman"/>
              </w:rPr>
            </w:pPr>
            <w:r w:rsidRPr="002E7B7B">
              <w:rPr>
                <w:rFonts w:cs="Times New Roman"/>
              </w:rPr>
              <w:t>47</w:t>
            </w:r>
          </w:p>
        </w:tc>
        <w:tc>
          <w:tcPr>
            <w:tcW w:w="8170" w:type="dxa"/>
            <w:hideMark/>
          </w:tcPr>
          <w:p w14:paraId="7E22D13E" w14:textId="77777777" w:rsidR="0009633C" w:rsidRPr="002E7B7B" w:rsidRDefault="0009633C" w:rsidP="0009633C">
            <w:pPr>
              <w:spacing w:after="120"/>
              <w:contextualSpacing/>
              <w:jc w:val="both"/>
              <w:rPr>
                <w:rFonts w:cs="Times New Roman"/>
              </w:rPr>
            </w:pPr>
            <w:r w:rsidRPr="002E7B7B">
              <w:rPr>
                <w:rFonts w:cs="Times New Roman"/>
              </w:rPr>
              <w:t>limit 46 to yr="2005 -Current"</w:t>
            </w:r>
          </w:p>
        </w:tc>
      </w:tr>
      <w:tr w:rsidR="0009633C" w:rsidRPr="002E7B7B" w14:paraId="45BD4699" w14:textId="77777777" w:rsidTr="0009633C">
        <w:trPr>
          <w:trHeight w:val="600"/>
        </w:trPr>
        <w:tc>
          <w:tcPr>
            <w:tcW w:w="846" w:type="dxa"/>
            <w:hideMark/>
          </w:tcPr>
          <w:p w14:paraId="6D902FF0" w14:textId="77777777" w:rsidR="0009633C" w:rsidRPr="002E7B7B" w:rsidRDefault="0009633C" w:rsidP="0009633C">
            <w:pPr>
              <w:spacing w:after="120"/>
              <w:contextualSpacing/>
              <w:jc w:val="both"/>
              <w:rPr>
                <w:rFonts w:cs="Times New Roman"/>
              </w:rPr>
            </w:pPr>
            <w:r w:rsidRPr="002E7B7B">
              <w:rPr>
                <w:rFonts w:cs="Times New Roman"/>
              </w:rPr>
              <w:t>48</w:t>
            </w:r>
          </w:p>
        </w:tc>
        <w:tc>
          <w:tcPr>
            <w:tcW w:w="8170" w:type="dxa"/>
            <w:hideMark/>
          </w:tcPr>
          <w:p w14:paraId="4F8BEAD8" w14:textId="77777777" w:rsidR="0009633C" w:rsidRPr="002E7B7B" w:rsidRDefault="0009633C" w:rsidP="0009633C">
            <w:pPr>
              <w:spacing w:after="120"/>
              <w:contextualSpacing/>
              <w:jc w:val="both"/>
              <w:rPr>
                <w:rFonts w:cs="Times New Roman"/>
              </w:rPr>
            </w:pPr>
            <w:r w:rsidRPr="002E7B7B">
              <w:rPr>
                <w:rFonts w:cs="Times New Roman"/>
              </w:rPr>
              <w:t>(disposable or dispose* or nondispos* or non-dispos* or reus* or re-us* or "single use" or "single-use").mp.</w:t>
            </w:r>
          </w:p>
        </w:tc>
      </w:tr>
      <w:tr w:rsidR="0009633C" w:rsidRPr="002E7B7B" w14:paraId="686D7865" w14:textId="77777777" w:rsidTr="0009633C">
        <w:trPr>
          <w:trHeight w:val="300"/>
        </w:trPr>
        <w:tc>
          <w:tcPr>
            <w:tcW w:w="846" w:type="dxa"/>
            <w:hideMark/>
          </w:tcPr>
          <w:p w14:paraId="094A252A" w14:textId="77777777" w:rsidR="0009633C" w:rsidRPr="002E7B7B" w:rsidRDefault="0009633C" w:rsidP="0009633C">
            <w:pPr>
              <w:spacing w:after="120"/>
              <w:contextualSpacing/>
              <w:jc w:val="both"/>
              <w:rPr>
                <w:rFonts w:cs="Times New Roman"/>
              </w:rPr>
            </w:pPr>
            <w:r w:rsidRPr="002E7B7B">
              <w:rPr>
                <w:rFonts w:cs="Times New Roman"/>
              </w:rPr>
              <w:t>49</w:t>
            </w:r>
          </w:p>
        </w:tc>
        <w:tc>
          <w:tcPr>
            <w:tcW w:w="8170" w:type="dxa"/>
            <w:hideMark/>
          </w:tcPr>
          <w:p w14:paraId="7C807DF7" w14:textId="77777777" w:rsidR="0009633C" w:rsidRPr="002E7B7B" w:rsidRDefault="0009633C" w:rsidP="0009633C">
            <w:pPr>
              <w:spacing w:after="120"/>
              <w:contextualSpacing/>
              <w:jc w:val="both"/>
              <w:rPr>
                <w:rFonts w:cs="Times New Roman"/>
              </w:rPr>
            </w:pPr>
            <w:r w:rsidRPr="002E7B7B">
              <w:rPr>
                <w:rFonts w:cs="Times New Roman"/>
              </w:rPr>
              <w:t>disposable equipment/</w:t>
            </w:r>
          </w:p>
        </w:tc>
      </w:tr>
      <w:tr w:rsidR="0009633C" w:rsidRPr="002E7B7B" w14:paraId="5304034A" w14:textId="77777777" w:rsidTr="0009633C">
        <w:trPr>
          <w:trHeight w:val="300"/>
        </w:trPr>
        <w:tc>
          <w:tcPr>
            <w:tcW w:w="846" w:type="dxa"/>
            <w:hideMark/>
          </w:tcPr>
          <w:p w14:paraId="4AB0AAB5" w14:textId="77777777" w:rsidR="0009633C" w:rsidRPr="002E7B7B" w:rsidRDefault="0009633C" w:rsidP="0009633C">
            <w:pPr>
              <w:spacing w:after="120"/>
              <w:contextualSpacing/>
              <w:jc w:val="both"/>
              <w:rPr>
                <w:rFonts w:cs="Times New Roman"/>
              </w:rPr>
            </w:pPr>
            <w:r w:rsidRPr="002E7B7B">
              <w:rPr>
                <w:rFonts w:cs="Times New Roman"/>
              </w:rPr>
              <w:t>50</w:t>
            </w:r>
          </w:p>
        </w:tc>
        <w:tc>
          <w:tcPr>
            <w:tcW w:w="8170" w:type="dxa"/>
            <w:hideMark/>
          </w:tcPr>
          <w:p w14:paraId="7691D0CB" w14:textId="77777777" w:rsidR="0009633C" w:rsidRPr="002E7B7B" w:rsidRDefault="0009633C" w:rsidP="0009633C">
            <w:pPr>
              <w:spacing w:after="120"/>
              <w:contextualSpacing/>
              <w:jc w:val="both"/>
              <w:rPr>
                <w:rFonts w:cs="Times New Roman"/>
              </w:rPr>
            </w:pPr>
            <w:r w:rsidRPr="002E7B7B">
              <w:rPr>
                <w:rFonts w:cs="Times New Roman"/>
              </w:rPr>
              <w:t>exp recycling/</w:t>
            </w:r>
          </w:p>
        </w:tc>
      </w:tr>
      <w:tr w:rsidR="0009633C" w:rsidRPr="002E7B7B" w14:paraId="50DD1D1B" w14:textId="77777777" w:rsidTr="0009633C">
        <w:trPr>
          <w:trHeight w:val="600"/>
        </w:trPr>
        <w:tc>
          <w:tcPr>
            <w:tcW w:w="846" w:type="dxa"/>
            <w:hideMark/>
          </w:tcPr>
          <w:p w14:paraId="5BFF1E59" w14:textId="77777777" w:rsidR="0009633C" w:rsidRPr="002E7B7B" w:rsidRDefault="0009633C" w:rsidP="0009633C">
            <w:pPr>
              <w:spacing w:after="120"/>
              <w:contextualSpacing/>
              <w:jc w:val="both"/>
              <w:rPr>
                <w:rFonts w:cs="Times New Roman"/>
              </w:rPr>
            </w:pPr>
            <w:r w:rsidRPr="002E7B7B">
              <w:rPr>
                <w:rFonts w:cs="Times New Roman"/>
              </w:rPr>
              <w:t>51</w:t>
            </w:r>
          </w:p>
        </w:tc>
        <w:tc>
          <w:tcPr>
            <w:tcW w:w="8170" w:type="dxa"/>
            <w:hideMark/>
          </w:tcPr>
          <w:p w14:paraId="653C2ED2" w14:textId="77777777" w:rsidR="0009633C" w:rsidRPr="002E7B7B" w:rsidRDefault="0009633C" w:rsidP="0009633C">
            <w:pPr>
              <w:spacing w:after="120"/>
              <w:contextualSpacing/>
              <w:jc w:val="both"/>
              <w:rPr>
                <w:rFonts w:cs="Times New Roman"/>
              </w:rPr>
            </w:pPr>
            <w:r w:rsidRPr="002E7B7B">
              <w:rPr>
                <w:rFonts w:cs="Times New Roman"/>
              </w:rPr>
              <w:t>(ultrasonic aspirator or aneurysm clip applicator or rhoton dissectors or microsurgical scissors or upcut rongeurs or budde halo or retraction system or self-retaining retractors or neuroendoscope*).mp.</w:t>
            </w:r>
          </w:p>
        </w:tc>
      </w:tr>
      <w:tr w:rsidR="0009633C" w:rsidRPr="002E7B7B" w14:paraId="7382E504" w14:textId="77777777" w:rsidTr="0009633C">
        <w:trPr>
          <w:trHeight w:val="300"/>
        </w:trPr>
        <w:tc>
          <w:tcPr>
            <w:tcW w:w="846" w:type="dxa"/>
            <w:hideMark/>
          </w:tcPr>
          <w:p w14:paraId="4DB28773" w14:textId="77777777" w:rsidR="0009633C" w:rsidRPr="002E7B7B" w:rsidRDefault="0009633C" w:rsidP="0009633C">
            <w:pPr>
              <w:spacing w:after="120"/>
              <w:contextualSpacing/>
              <w:jc w:val="both"/>
              <w:rPr>
                <w:rFonts w:cs="Times New Roman"/>
              </w:rPr>
            </w:pPr>
            <w:r w:rsidRPr="002E7B7B">
              <w:rPr>
                <w:rFonts w:cs="Times New Roman"/>
              </w:rPr>
              <w:t>52</w:t>
            </w:r>
          </w:p>
        </w:tc>
        <w:tc>
          <w:tcPr>
            <w:tcW w:w="8170" w:type="dxa"/>
            <w:hideMark/>
          </w:tcPr>
          <w:p w14:paraId="55031D2B" w14:textId="77777777" w:rsidR="0009633C" w:rsidRPr="002E7B7B" w:rsidRDefault="0009633C" w:rsidP="0009633C">
            <w:pPr>
              <w:spacing w:after="120"/>
              <w:contextualSpacing/>
              <w:jc w:val="both"/>
              <w:rPr>
                <w:rFonts w:cs="Times New Roman"/>
              </w:rPr>
            </w:pPr>
            <w:r w:rsidRPr="002E7B7B">
              <w:rPr>
                <w:rFonts w:cs="Times New Roman"/>
              </w:rPr>
              <w:t>or/48-51</w:t>
            </w:r>
          </w:p>
        </w:tc>
      </w:tr>
      <w:tr w:rsidR="0009633C" w:rsidRPr="002E7B7B" w14:paraId="4BDDAEA9" w14:textId="77777777" w:rsidTr="0009633C">
        <w:trPr>
          <w:trHeight w:val="300"/>
        </w:trPr>
        <w:tc>
          <w:tcPr>
            <w:tcW w:w="846" w:type="dxa"/>
            <w:hideMark/>
          </w:tcPr>
          <w:p w14:paraId="7F98C7F4" w14:textId="77777777" w:rsidR="0009633C" w:rsidRPr="002E7B7B" w:rsidRDefault="0009633C" w:rsidP="0009633C">
            <w:pPr>
              <w:spacing w:after="120"/>
              <w:contextualSpacing/>
              <w:jc w:val="both"/>
              <w:rPr>
                <w:rFonts w:cs="Times New Roman"/>
              </w:rPr>
            </w:pPr>
            <w:r w:rsidRPr="002E7B7B">
              <w:rPr>
                <w:rFonts w:cs="Times New Roman"/>
              </w:rPr>
              <w:t>53</w:t>
            </w:r>
          </w:p>
        </w:tc>
        <w:tc>
          <w:tcPr>
            <w:tcW w:w="8170" w:type="dxa"/>
            <w:hideMark/>
          </w:tcPr>
          <w:p w14:paraId="233BE570" w14:textId="77777777" w:rsidR="0009633C" w:rsidRPr="002E7B7B" w:rsidRDefault="0009633C" w:rsidP="0009633C">
            <w:pPr>
              <w:spacing w:after="120"/>
              <w:contextualSpacing/>
              <w:jc w:val="both"/>
              <w:rPr>
                <w:rFonts w:cs="Times New Roman"/>
              </w:rPr>
            </w:pPr>
            <w:r w:rsidRPr="002E7B7B">
              <w:rPr>
                <w:rFonts w:cs="Times New Roman"/>
              </w:rPr>
              <w:t>neurosurgery/</w:t>
            </w:r>
          </w:p>
        </w:tc>
      </w:tr>
      <w:tr w:rsidR="0009633C" w:rsidRPr="002E7B7B" w14:paraId="745EB179" w14:textId="77777777" w:rsidTr="0009633C">
        <w:trPr>
          <w:trHeight w:val="300"/>
        </w:trPr>
        <w:tc>
          <w:tcPr>
            <w:tcW w:w="846" w:type="dxa"/>
            <w:hideMark/>
          </w:tcPr>
          <w:p w14:paraId="12827359" w14:textId="77777777" w:rsidR="0009633C" w:rsidRPr="002E7B7B" w:rsidRDefault="0009633C" w:rsidP="0009633C">
            <w:pPr>
              <w:spacing w:after="120"/>
              <w:contextualSpacing/>
              <w:jc w:val="both"/>
              <w:rPr>
                <w:rFonts w:cs="Times New Roman"/>
              </w:rPr>
            </w:pPr>
            <w:r w:rsidRPr="002E7B7B">
              <w:rPr>
                <w:rFonts w:cs="Times New Roman"/>
              </w:rPr>
              <w:t>54</w:t>
            </w:r>
          </w:p>
        </w:tc>
        <w:tc>
          <w:tcPr>
            <w:tcW w:w="8170" w:type="dxa"/>
            <w:hideMark/>
          </w:tcPr>
          <w:p w14:paraId="318FCAAA" w14:textId="77777777" w:rsidR="0009633C" w:rsidRPr="002E7B7B" w:rsidRDefault="0009633C" w:rsidP="0009633C">
            <w:pPr>
              <w:spacing w:after="120"/>
              <w:contextualSpacing/>
              <w:jc w:val="both"/>
              <w:rPr>
                <w:rFonts w:cs="Times New Roman"/>
              </w:rPr>
            </w:pPr>
            <w:r w:rsidRPr="002E7B7B">
              <w:rPr>
                <w:rFonts w:cs="Times New Roman"/>
              </w:rPr>
              <w:t>(neurosurgery or neurological surgery).tw.</w:t>
            </w:r>
          </w:p>
        </w:tc>
      </w:tr>
      <w:tr w:rsidR="0009633C" w:rsidRPr="002E7B7B" w14:paraId="3D9EF462" w14:textId="77777777" w:rsidTr="0009633C">
        <w:trPr>
          <w:trHeight w:val="300"/>
        </w:trPr>
        <w:tc>
          <w:tcPr>
            <w:tcW w:w="846" w:type="dxa"/>
            <w:hideMark/>
          </w:tcPr>
          <w:p w14:paraId="6FCB675D" w14:textId="77777777" w:rsidR="0009633C" w:rsidRPr="002E7B7B" w:rsidRDefault="0009633C" w:rsidP="0009633C">
            <w:pPr>
              <w:spacing w:after="120"/>
              <w:contextualSpacing/>
              <w:jc w:val="both"/>
              <w:rPr>
                <w:rFonts w:cs="Times New Roman"/>
              </w:rPr>
            </w:pPr>
            <w:r w:rsidRPr="002E7B7B">
              <w:rPr>
                <w:rFonts w:cs="Times New Roman"/>
              </w:rPr>
              <w:t>55</w:t>
            </w:r>
          </w:p>
        </w:tc>
        <w:tc>
          <w:tcPr>
            <w:tcW w:w="8170" w:type="dxa"/>
            <w:hideMark/>
          </w:tcPr>
          <w:p w14:paraId="69495717" w14:textId="77777777" w:rsidR="0009633C" w:rsidRPr="002E7B7B" w:rsidRDefault="0009633C" w:rsidP="0009633C">
            <w:pPr>
              <w:spacing w:after="120"/>
              <w:contextualSpacing/>
              <w:jc w:val="both"/>
              <w:rPr>
                <w:rFonts w:cs="Times New Roman"/>
              </w:rPr>
            </w:pPr>
            <w:r w:rsidRPr="002E7B7B">
              <w:rPr>
                <w:rFonts w:cs="Times New Roman"/>
              </w:rPr>
              <w:t>exp brain/su [Surgery]</w:t>
            </w:r>
          </w:p>
        </w:tc>
      </w:tr>
      <w:tr w:rsidR="0009633C" w:rsidRPr="002E7B7B" w14:paraId="5993F343" w14:textId="77777777" w:rsidTr="0009633C">
        <w:trPr>
          <w:trHeight w:val="300"/>
        </w:trPr>
        <w:tc>
          <w:tcPr>
            <w:tcW w:w="846" w:type="dxa"/>
            <w:hideMark/>
          </w:tcPr>
          <w:p w14:paraId="16122414" w14:textId="77777777" w:rsidR="0009633C" w:rsidRPr="002E7B7B" w:rsidRDefault="0009633C" w:rsidP="0009633C">
            <w:pPr>
              <w:spacing w:after="120"/>
              <w:contextualSpacing/>
              <w:jc w:val="both"/>
              <w:rPr>
                <w:rFonts w:cs="Times New Roman"/>
              </w:rPr>
            </w:pPr>
            <w:r w:rsidRPr="002E7B7B">
              <w:rPr>
                <w:rFonts w:cs="Times New Roman"/>
              </w:rPr>
              <w:t>56</w:t>
            </w:r>
          </w:p>
        </w:tc>
        <w:tc>
          <w:tcPr>
            <w:tcW w:w="8170" w:type="dxa"/>
            <w:hideMark/>
          </w:tcPr>
          <w:p w14:paraId="50FEC9E3" w14:textId="77777777" w:rsidR="0009633C" w:rsidRPr="002E7B7B" w:rsidRDefault="0009633C" w:rsidP="0009633C">
            <w:pPr>
              <w:spacing w:after="120"/>
              <w:contextualSpacing/>
              <w:jc w:val="both"/>
              <w:rPr>
                <w:rFonts w:cs="Times New Roman"/>
              </w:rPr>
            </w:pPr>
            <w:r w:rsidRPr="002E7B7B">
              <w:rPr>
                <w:rFonts w:cs="Times New Roman"/>
              </w:rPr>
              <w:t>exp meninx/su [Surgery]</w:t>
            </w:r>
          </w:p>
        </w:tc>
      </w:tr>
      <w:tr w:rsidR="0009633C" w:rsidRPr="002E7B7B" w14:paraId="5F6E5750" w14:textId="77777777" w:rsidTr="0009633C">
        <w:trPr>
          <w:trHeight w:val="300"/>
        </w:trPr>
        <w:tc>
          <w:tcPr>
            <w:tcW w:w="846" w:type="dxa"/>
            <w:hideMark/>
          </w:tcPr>
          <w:p w14:paraId="1BE83D77" w14:textId="77777777" w:rsidR="0009633C" w:rsidRPr="002E7B7B" w:rsidRDefault="0009633C" w:rsidP="0009633C">
            <w:pPr>
              <w:spacing w:after="120"/>
              <w:contextualSpacing/>
              <w:jc w:val="both"/>
              <w:rPr>
                <w:rFonts w:cs="Times New Roman"/>
              </w:rPr>
            </w:pPr>
            <w:r w:rsidRPr="002E7B7B">
              <w:rPr>
                <w:rFonts w:cs="Times New Roman"/>
              </w:rPr>
              <w:t>57</w:t>
            </w:r>
          </w:p>
        </w:tc>
        <w:tc>
          <w:tcPr>
            <w:tcW w:w="8170" w:type="dxa"/>
            <w:hideMark/>
          </w:tcPr>
          <w:p w14:paraId="378AB5D4" w14:textId="77777777" w:rsidR="0009633C" w:rsidRPr="002E7B7B" w:rsidRDefault="0009633C" w:rsidP="0009633C">
            <w:pPr>
              <w:spacing w:after="120"/>
              <w:contextualSpacing/>
              <w:jc w:val="both"/>
              <w:rPr>
                <w:rFonts w:cs="Times New Roman"/>
              </w:rPr>
            </w:pPr>
            <w:r w:rsidRPr="002E7B7B">
              <w:rPr>
                <w:rFonts w:cs="Times New Roman"/>
              </w:rPr>
              <w:t>exp hypophysis/su [Surgery]</w:t>
            </w:r>
          </w:p>
        </w:tc>
      </w:tr>
      <w:tr w:rsidR="0009633C" w:rsidRPr="002E7B7B" w14:paraId="3BBD7BC3" w14:textId="77777777" w:rsidTr="0009633C">
        <w:trPr>
          <w:trHeight w:val="300"/>
        </w:trPr>
        <w:tc>
          <w:tcPr>
            <w:tcW w:w="846" w:type="dxa"/>
            <w:hideMark/>
          </w:tcPr>
          <w:p w14:paraId="271874FA" w14:textId="77777777" w:rsidR="0009633C" w:rsidRPr="002E7B7B" w:rsidRDefault="0009633C" w:rsidP="0009633C">
            <w:pPr>
              <w:spacing w:after="120"/>
              <w:contextualSpacing/>
              <w:jc w:val="both"/>
              <w:rPr>
                <w:rFonts w:cs="Times New Roman"/>
              </w:rPr>
            </w:pPr>
            <w:r w:rsidRPr="002E7B7B">
              <w:rPr>
                <w:rFonts w:cs="Times New Roman"/>
              </w:rPr>
              <w:t>58</w:t>
            </w:r>
          </w:p>
        </w:tc>
        <w:tc>
          <w:tcPr>
            <w:tcW w:w="8170" w:type="dxa"/>
            <w:hideMark/>
          </w:tcPr>
          <w:p w14:paraId="704C5749" w14:textId="77777777" w:rsidR="0009633C" w:rsidRPr="002E7B7B" w:rsidRDefault="0009633C" w:rsidP="0009633C">
            <w:pPr>
              <w:spacing w:after="120"/>
              <w:contextualSpacing/>
              <w:jc w:val="both"/>
              <w:rPr>
                <w:rFonts w:cs="Times New Roman"/>
              </w:rPr>
            </w:pPr>
            <w:r w:rsidRPr="002E7B7B">
              <w:rPr>
                <w:rFonts w:cs="Times New Roman"/>
              </w:rPr>
              <w:t>pineal body/su [Surgery]</w:t>
            </w:r>
          </w:p>
        </w:tc>
      </w:tr>
      <w:tr w:rsidR="0009633C" w:rsidRPr="002E7B7B" w14:paraId="099296F6" w14:textId="77777777" w:rsidTr="0009633C">
        <w:trPr>
          <w:trHeight w:val="600"/>
        </w:trPr>
        <w:tc>
          <w:tcPr>
            <w:tcW w:w="846" w:type="dxa"/>
            <w:hideMark/>
          </w:tcPr>
          <w:p w14:paraId="6F41C593" w14:textId="77777777" w:rsidR="0009633C" w:rsidRPr="002E7B7B" w:rsidRDefault="0009633C" w:rsidP="0009633C">
            <w:pPr>
              <w:spacing w:after="120"/>
              <w:contextualSpacing/>
              <w:jc w:val="both"/>
              <w:rPr>
                <w:rFonts w:cs="Times New Roman"/>
              </w:rPr>
            </w:pPr>
            <w:r w:rsidRPr="002E7B7B">
              <w:rPr>
                <w:rFonts w:cs="Times New Roman"/>
              </w:rPr>
              <w:t>59</w:t>
            </w:r>
          </w:p>
        </w:tc>
        <w:tc>
          <w:tcPr>
            <w:tcW w:w="8170" w:type="dxa"/>
            <w:hideMark/>
          </w:tcPr>
          <w:p w14:paraId="49457B28" w14:textId="77777777" w:rsidR="0009633C" w:rsidRPr="002E7B7B" w:rsidRDefault="0009633C" w:rsidP="0009633C">
            <w:pPr>
              <w:spacing w:after="120"/>
              <w:contextualSpacing/>
              <w:jc w:val="both"/>
              <w:rPr>
                <w:rFonts w:cs="Times New Roman"/>
              </w:rPr>
            </w:pPr>
            <w:r w:rsidRPr="002E7B7B">
              <w:rPr>
                <w:rFonts w:cs="Times New Roman"/>
              </w:rPr>
              <w:t>((brain or meninges or cerebral or pituitary or pineal) adj5 (surgery or surgical* or excision or lesion or ablation or operation* or neurostimulation or connection or destruction)).tw.</w:t>
            </w:r>
          </w:p>
        </w:tc>
      </w:tr>
      <w:tr w:rsidR="0009633C" w:rsidRPr="00A4124E" w14:paraId="351A42A2" w14:textId="77777777" w:rsidTr="0009633C">
        <w:trPr>
          <w:trHeight w:val="300"/>
        </w:trPr>
        <w:tc>
          <w:tcPr>
            <w:tcW w:w="846" w:type="dxa"/>
            <w:hideMark/>
          </w:tcPr>
          <w:p w14:paraId="57B5FE48" w14:textId="77777777" w:rsidR="0009633C" w:rsidRPr="002E7B7B" w:rsidRDefault="0009633C" w:rsidP="0009633C">
            <w:pPr>
              <w:spacing w:after="120"/>
              <w:contextualSpacing/>
              <w:jc w:val="both"/>
              <w:rPr>
                <w:rFonts w:cs="Times New Roman"/>
              </w:rPr>
            </w:pPr>
            <w:r w:rsidRPr="002E7B7B">
              <w:rPr>
                <w:rFonts w:cs="Times New Roman"/>
              </w:rPr>
              <w:t>60</w:t>
            </w:r>
          </w:p>
        </w:tc>
        <w:tc>
          <w:tcPr>
            <w:tcW w:w="8170" w:type="dxa"/>
            <w:hideMark/>
          </w:tcPr>
          <w:p w14:paraId="7BE902B8" w14:textId="77777777" w:rsidR="0009633C" w:rsidRPr="00CA4E0C" w:rsidRDefault="0009633C" w:rsidP="0009633C">
            <w:pPr>
              <w:spacing w:after="120"/>
              <w:contextualSpacing/>
              <w:jc w:val="both"/>
              <w:rPr>
                <w:rFonts w:cs="Times New Roman"/>
              </w:rPr>
            </w:pPr>
            <w:r w:rsidRPr="00CA4E0C">
              <w:rPr>
                <w:rFonts w:cs="Times New Roman"/>
              </w:rPr>
              <w:t>exp cranial nerve/su [Surgery]</w:t>
            </w:r>
          </w:p>
        </w:tc>
      </w:tr>
      <w:tr w:rsidR="0009633C" w:rsidRPr="002E7B7B" w14:paraId="325690A7" w14:textId="77777777" w:rsidTr="0009633C">
        <w:trPr>
          <w:trHeight w:val="600"/>
        </w:trPr>
        <w:tc>
          <w:tcPr>
            <w:tcW w:w="846" w:type="dxa"/>
            <w:hideMark/>
          </w:tcPr>
          <w:p w14:paraId="4B7B0902" w14:textId="77777777" w:rsidR="0009633C" w:rsidRPr="002E7B7B" w:rsidRDefault="0009633C" w:rsidP="0009633C">
            <w:pPr>
              <w:spacing w:after="120"/>
              <w:contextualSpacing/>
              <w:jc w:val="both"/>
              <w:rPr>
                <w:rFonts w:cs="Times New Roman"/>
              </w:rPr>
            </w:pPr>
            <w:r w:rsidRPr="002E7B7B">
              <w:rPr>
                <w:rFonts w:cs="Times New Roman"/>
              </w:rPr>
              <w:t>61</w:t>
            </w:r>
          </w:p>
        </w:tc>
        <w:tc>
          <w:tcPr>
            <w:tcW w:w="8170" w:type="dxa"/>
            <w:hideMark/>
          </w:tcPr>
          <w:p w14:paraId="4A15687E" w14:textId="77777777" w:rsidR="0009633C" w:rsidRPr="002E7B7B" w:rsidRDefault="0009633C" w:rsidP="0009633C">
            <w:pPr>
              <w:spacing w:after="120"/>
              <w:contextualSpacing/>
              <w:jc w:val="both"/>
              <w:rPr>
                <w:rFonts w:cs="Times New Roman"/>
              </w:rPr>
            </w:pPr>
            <w:r w:rsidRPr="002E7B7B">
              <w:rPr>
                <w:rFonts w:cs="Times New Roman"/>
              </w:rPr>
              <w:t>((cranial or dura) adj5 (graft* or transection or destruction or lesion or repair* or decompress* or neurostimulation or exploration or operation*)).tw.</w:t>
            </w:r>
          </w:p>
        </w:tc>
      </w:tr>
      <w:tr w:rsidR="0009633C" w:rsidRPr="002E7B7B" w14:paraId="7CF5F8F2" w14:textId="77777777" w:rsidTr="0009633C">
        <w:trPr>
          <w:trHeight w:val="300"/>
        </w:trPr>
        <w:tc>
          <w:tcPr>
            <w:tcW w:w="846" w:type="dxa"/>
            <w:hideMark/>
          </w:tcPr>
          <w:p w14:paraId="3DF81934" w14:textId="77777777" w:rsidR="0009633C" w:rsidRPr="002E7B7B" w:rsidRDefault="0009633C" w:rsidP="0009633C">
            <w:pPr>
              <w:spacing w:after="120"/>
              <w:contextualSpacing/>
              <w:jc w:val="both"/>
              <w:rPr>
                <w:rFonts w:cs="Times New Roman"/>
              </w:rPr>
            </w:pPr>
            <w:r w:rsidRPr="002E7B7B">
              <w:rPr>
                <w:rFonts w:cs="Times New Roman"/>
              </w:rPr>
              <w:t>62</w:t>
            </w:r>
          </w:p>
        </w:tc>
        <w:tc>
          <w:tcPr>
            <w:tcW w:w="8170" w:type="dxa"/>
            <w:hideMark/>
          </w:tcPr>
          <w:p w14:paraId="71EBC51E" w14:textId="77777777" w:rsidR="0009633C" w:rsidRPr="002E7B7B" w:rsidRDefault="0009633C" w:rsidP="0009633C">
            <w:pPr>
              <w:spacing w:after="120"/>
              <w:contextualSpacing/>
              <w:jc w:val="both"/>
              <w:rPr>
                <w:rFonts w:cs="Times New Roman"/>
              </w:rPr>
            </w:pPr>
            <w:r w:rsidRPr="002E7B7B">
              <w:rPr>
                <w:rFonts w:cs="Times New Roman"/>
              </w:rPr>
              <w:t>eye surgery/</w:t>
            </w:r>
          </w:p>
        </w:tc>
      </w:tr>
      <w:tr w:rsidR="0009633C" w:rsidRPr="002E7B7B" w14:paraId="6270C11A" w14:textId="77777777" w:rsidTr="0009633C">
        <w:trPr>
          <w:trHeight w:val="600"/>
        </w:trPr>
        <w:tc>
          <w:tcPr>
            <w:tcW w:w="846" w:type="dxa"/>
            <w:hideMark/>
          </w:tcPr>
          <w:p w14:paraId="035C4F3C" w14:textId="77777777" w:rsidR="0009633C" w:rsidRPr="002E7B7B" w:rsidRDefault="0009633C" w:rsidP="0009633C">
            <w:pPr>
              <w:spacing w:after="120"/>
              <w:contextualSpacing/>
              <w:jc w:val="both"/>
              <w:rPr>
                <w:rFonts w:cs="Times New Roman"/>
              </w:rPr>
            </w:pPr>
            <w:r w:rsidRPr="002E7B7B">
              <w:rPr>
                <w:rFonts w:cs="Times New Roman"/>
              </w:rPr>
              <w:t>63</w:t>
            </w:r>
          </w:p>
        </w:tc>
        <w:tc>
          <w:tcPr>
            <w:tcW w:w="8170" w:type="dxa"/>
            <w:hideMark/>
          </w:tcPr>
          <w:p w14:paraId="075852E5" w14:textId="77777777" w:rsidR="0009633C" w:rsidRPr="002E7B7B" w:rsidRDefault="0009633C" w:rsidP="0009633C">
            <w:pPr>
              <w:spacing w:after="120"/>
              <w:contextualSpacing/>
              <w:jc w:val="both"/>
              <w:rPr>
                <w:rFonts w:cs="Times New Roman"/>
              </w:rPr>
            </w:pPr>
            <w:r w:rsidRPr="002E7B7B">
              <w:rPr>
                <w:rFonts w:cs="Times New Roman"/>
              </w:rPr>
              <w:t>((eye or vitreous or retina) adj5 (surgery or surgical* or excision or operation* or photocoagulation or destruction)).tw.</w:t>
            </w:r>
          </w:p>
        </w:tc>
      </w:tr>
      <w:tr w:rsidR="0009633C" w:rsidRPr="002E7B7B" w14:paraId="69D3283D" w14:textId="77777777" w:rsidTr="0009633C">
        <w:trPr>
          <w:trHeight w:val="300"/>
        </w:trPr>
        <w:tc>
          <w:tcPr>
            <w:tcW w:w="846" w:type="dxa"/>
            <w:hideMark/>
          </w:tcPr>
          <w:p w14:paraId="1AACFF34" w14:textId="77777777" w:rsidR="0009633C" w:rsidRPr="002E7B7B" w:rsidRDefault="0009633C" w:rsidP="0009633C">
            <w:pPr>
              <w:spacing w:after="120"/>
              <w:contextualSpacing/>
              <w:jc w:val="both"/>
              <w:rPr>
                <w:rFonts w:cs="Times New Roman"/>
              </w:rPr>
            </w:pPr>
            <w:r w:rsidRPr="002E7B7B">
              <w:rPr>
                <w:rFonts w:cs="Times New Roman"/>
              </w:rPr>
              <w:t>64</w:t>
            </w:r>
          </w:p>
        </w:tc>
        <w:tc>
          <w:tcPr>
            <w:tcW w:w="8170" w:type="dxa"/>
            <w:hideMark/>
          </w:tcPr>
          <w:p w14:paraId="79C731EC" w14:textId="77777777" w:rsidR="0009633C" w:rsidRPr="002E7B7B" w:rsidRDefault="0009633C" w:rsidP="0009633C">
            <w:pPr>
              <w:spacing w:after="120"/>
              <w:contextualSpacing/>
              <w:jc w:val="both"/>
              <w:rPr>
                <w:rFonts w:cs="Times New Roman"/>
              </w:rPr>
            </w:pPr>
            <w:r w:rsidRPr="002E7B7B">
              <w:rPr>
                <w:rFonts w:cs="Times New Roman"/>
              </w:rPr>
              <w:t>eye/su [Surgery]</w:t>
            </w:r>
          </w:p>
        </w:tc>
      </w:tr>
      <w:tr w:rsidR="0009633C" w:rsidRPr="002E7B7B" w14:paraId="7C33B4E0" w14:textId="77777777" w:rsidTr="0009633C">
        <w:trPr>
          <w:trHeight w:val="300"/>
        </w:trPr>
        <w:tc>
          <w:tcPr>
            <w:tcW w:w="846" w:type="dxa"/>
            <w:hideMark/>
          </w:tcPr>
          <w:p w14:paraId="64BB8F97" w14:textId="77777777" w:rsidR="0009633C" w:rsidRPr="002E7B7B" w:rsidRDefault="0009633C" w:rsidP="0009633C">
            <w:pPr>
              <w:spacing w:after="120"/>
              <w:contextualSpacing/>
              <w:jc w:val="both"/>
              <w:rPr>
                <w:rFonts w:cs="Times New Roman"/>
              </w:rPr>
            </w:pPr>
            <w:r w:rsidRPr="002E7B7B">
              <w:rPr>
                <w:rFonts w:cs="Times New Roman"/>
              </w:rPr>
              <w:t>65</w:t>
            </w:r>
          </w:p>
        </w:tc>
        <w:tc>
          <w:tcPr>
            <w:tcW w:w="8170" w:type="dxa"/>
            <w:hideMark/>
          </w:tcPr>
          <w:p w14:paraId="0A806F1F" w14:textId="77777777" w:rsidR="0009633C" w:rsidRPr="002E7B7B" w:rsidRDefault="0009633C" w:rsidP="0009633C">
            <w:pPr>
              <w:spacing w:after="120"/>
              <w:contextualSpacing/>
              <w:jc w:val="both"/>
              <w:rPr>
                <w:rFonts w:cs="Times New Roman"/>
              </w:rPr>
            </w:pPr>
            <w:r w:rsidRPr="002E7B7B">
              <w:rPr>
                <w:rFonts w:cs="Times New Roman"/>
              </w:rPr>
              <w:t>vitreous body/su [Surgery]</w:t>
            </w:r>
          </w:p>
        </w:tc>
      </w:tr>
      <w:tr w:rsidR="0009633C" w:rsidRPr="002E7B7B" w14:paraId="1C807708" w14:textId="77777777" w:rsidTr="0009633C">
        <w:trPr>
          <w:trHeight w:val="300"/>
        </w:trPr>
        <w:tc>
          <w:tcPr>
            <w:tcW w:w="846" w:type="dxa"/>
            <w:hideMark/>
          </w:tcPr>
          <w:p w14:paraId="66AEF38D" w14:textId="77777777" w:rsidR="0009633C" w:rsidRPr="002E7B7B" w:rsidRDefault="0009633C" w:rsidP="0009633C">
            <w:pPr>
              <w:spacing w:after="120"/>
              <w:contextualSpacing/>
              <w:jc w:val="both"/>
              <w:rPr>
                <w:rFonts w:cs="Times New Roman"/>
              </w:rPr>
            </w:pPr>
            <w:r w:rsidRPr="002E7B7B">
              <w:rPr>
                <w:rFonts w:cs="Times New Roman"/>
              </w:rPr>
              <w:t>66</w:t>
            </w:r>
          </w:p>
        </w:tc>
        <w:tc>
          <w:tcPr>
            <w:tcW w:w="8170" w:type="dxa"/>
            <w:hideMark/>
          </w:tcPr>
          <w:p w14:paraId="60C263ED" w14:textId="77777777" w:rsidR="0009633C" w:rsidRPr="002E7B7B" w:rsidRDefault="0009633C" w:rsidP="0009633C">
            <w:pPr>
              <w:spacing w:after="120"/>
              <w:contextualSpacing/>
              <w:jc w:val="both"/>
              <w:rPr>
                <w:rFonts w:cs="Times New Roman"/>
              </w:rPr>
            </w:pPr>
            <w:r w:rsidRPr="002E7B7B">
              <w:rPr>
                <w:rFonts w:cs="Times New Roman"/>
              </w:rPr>
              <w:t>exp retina/su [Surgery]</w:t>
            </w:r>
          </w:p>
        </w:tc>
      </w:tr>
      <w:tr w:rsidR="0009633C" w:rsidRPr="002E7B7B" w14:paraId="457CF08C" w14:textId="77777777" w:rsidTr="0009633C">
        <w:trPr>
          <w:trHeight w:val="300"/>
        </w:trPr>
        <w:tc>
          <w:tcPr>
            <w:tcW w:w="846" w:type="dxa"/>
            <w:hideMark/>
          </w:tcPr>
          <w:p w14:paraId="07633205" w14:textId="77777777" w:rsidR="0009633C" w:rsidRPr="002E7B7B" w:rsidRDefault="0009633C" w:rsidP="0009633C">
            <w:pPr>
              <w:spacing w:after="120"/>
              <w:contextualSpacing/>
              <w:jc w:val="both"/>
              <w:rPr>
                <w:rFonts w:cs="Times New Roman"/>
              </w:rPr>
            </w:pPr>
            <w:r w:rsidRPr="002E7B7B">
              <w:rPr>
                <w:rFonts w:cs="Times New Roman"/>
              </w:rPr>
              <w:t>67</w:t>
            </w:r>
          </w:p>
        </w:tc>
        <w:tc>
          <w:tcPr>
            <w:tcW w:w="8170" w:type="dxa"/>
            <w:hideMark/>
          </w:tcPr>
          <w:p w14:paraId="0382A191" w14:textId="77777777" w:rsidR="0009633C" w:rsidRPr="002E7B7B" w:rsidRDefault="0009633C" w:rsidP="0009633C">
            <w:pPr>
              <w:spacing w:after="120"/>
              <w:contextualSpacing/>
              <w:jc w:val="both"/>
              <w:rPr>
                <w:rFonts w:cs="Times New Roman"/>
              </w:rPr>
            </w:pPr>
            <w:r w:rsidRPr="002E7B7B">
              <w:rPr>
                <w:rFonts w:cs="Times New Roman"/>
              </w:rPr>
              <w:t>or/53-66</w:t>
            </w:r>
          </w:p>
        </w:tc>
      </w:tr>
      <w:tr w:rsidR="0009633C" w:rsidRPr="002E7B7B" w14:paraId="5BEFD9F6" w14:textId="77777777" w:rsidTr="0009633C">
        <w:trPr>
          <w:trHeight w:val="300"/>
        </w:trPr>
        <w:tc>
          <w:tcPr>
            <w:tcW w:w="846" w:type="dxa"/>
            <w:hideMark/>
          </w:tcPr>
          <w:p w14:paraId="6524FF87" w14:textId="77777777" w:rsidR="0009633C" w:rsidRPr="002E7B7B" w:rsidRDefault="0009633C" w:rsidP="0009633C">
            <w:pPr>
              <w:spacing w:after="120"/>
              <w:contextualSpacing/>
              <w:jc w:val="both"/>
              <w:rPr>
                <w:rFonts w:cs="Times New Roman"/>
              </w:rPr>
            </w:pPr>
            <w:r w:rsidRPr="002E7B7B">
              <w:rPr>
                <w:rFonts w:cs="Times New Roman"/>
              </w:rPr>
              <w:t>68</w:t>
            </w:r>
          </w:p>
        </w:tc>
        <w:tc>
          <w:tcPr>
            <w:tcW w:w="8170" w:type="dxa"/>
            <w:hideMark/>
          </w:tcPr>
          <w:p w14:paraId="576BC19F" w14:textId="77777777" w:rsidR="0009633C" w:rsidRPr="002E7B7B" w:rsidRDefault="0009633C" w:rsidP="0009633C">
            <w:pPr>
              <w:spacing w:after="120"/>
              <w:contextualSpacing/>
              <w:jc w:val="both"/>
              <w:rPr>
                <w:rFonts w:cs="Times New Roman"/>
              </w:rPr>
            </w:pPr>
            <w:r w:rsidRPr="002E7B7B">
              <w:rPr>
                <w:rFonts w:cs="Times New Roman"/>
              </w:rPr>
              <w:t>complication*.mp.</w:t>
            </w:r>
          </w:p>
        </w:tc>
      </w:tr>
      <w:tr w:rsidR="0009633C" w:rsidRPr="002E7B7B" w14:paraId="512EBA2D" w14:textId="77777777" w:rsidTr="0009633C">
        <w:trPr>
          <w:trHeight w:val="300"/>
        </w:trPr>
        <w:tc>
          <w:tcPr>
            <w:tcW w:w="846" w:type="dxa"/>
            <w:hideMark/>
          </w:tcPr>
          <w:p w14:paraId="1B898D1C" w14:textId="77777777" w:rsidR="0009633C" w:rsidRPr="002E7B7B" w:rsidRDefault="0009633C" w:rsidP="0009633C">
            <w:pPr>
              <w:spacing w:after="120"/>
              <w:contextualSpacing/>
              <w:jc w:val="both"/>
              <w:rPr>
                <w:rFonts w:cs="Times New Roman"/>
              </w:rPr>
            </w:pPr>
            <w:r w:rsidRPr="002E7B7B">
              <w:rPr>
                <w:rFonts w:cs="Times New Roman"/>
              </w:rPr>
              <w:t>69</w:t>
            </w:r>
          </w:p>
        </w:tc>
        <w:tc>
          <w:tcPr>
            <w:tcW w:w="8170" w:type="dxa"/>
            <w:hideMark/>
          </w:tcPr>
          <w:p w14:paraId="06F71D61" w14:textId="77777777" w:rsidR="0009633C" w:rsidRPr="002E7B7B" w:rsidRDefault="0009633C" w:rsidP="0009633C">
            <w:pPr>
              <w:spacing w:after="120"/>
              <w:contextualSpacing/>
              <w:jc w:val="both"/>
              <w:rPr>
                <w:rFonts w:cs="Times New Roman"/>
              </w:rPr>
            </w:pPr>
            <w:r w:rsidRPr="002E7B7B">
              <w:rPr>
                <w:rFonts w:cs="Times New Roman"/>
              </w:rPr>
              <w:t>co.fs.</w:t>
            </w:r>
          </w:p>
        </w:tc>
      </w:tr>
      <w:tr w:rsidR="0009633C" w:rsidRPr="002E7B7B" w14:paraId="047AD0F4" w14:textId="77777777" w:rsidTr="0009633C">
        <w:trPr>
          <w:trHeight w:val="300"/>
        </w:trPr>
        <w:tc>
          <w:tcPr>
            <w:tcW w:w="846" w:type="dxa"/>
            <w:hideMark/>
          </w:tcPr>
          <w:p w14:paraId="08A92312" w14:textId="77777777" w:rsidR="0009633C" w:rsidRPr="002E7B7B" w:rsidRDefault="0009633C" w:rsidP="0009633C">
            <w:pPr>
              <w:spacing w:after="120"/>
              <w:contextualSpacing/>
              <w:jc w:val="both"/>
              <w:rPr>
                <w:rFonts w:cs="Times New Roman"/>
              </w:rPr>
            </w:pPr>
            <w:r w:rsidRPr="002E7B7B">
              <w:rPr>
                <w:rFonts w:cs="Times New Roman"/>
              </w:rPr>
              <w:t>70</w:t>
            </w:r>
          </w:p>
        </w:tc>
        <w:tc>
          <w:tcPr>
            <w:tcW w:w="8170" w:type="dxa"/>
            <w:hideMark/>
          </w:tcPr>
          <w:p w14:paraId="5BB33165" w14:textId="77777777" w:rsidR="0009633C" w:rsidRPr="002E7B7B" w:rsidRDefault="0009633C" w:rsidP="0009633C">
            <w:pPr>
              <w:spacing w:after="120"/>
              <w:contextualSpacing/>
              <w:jc w:val="both"/>
              <w:rPr>
                <w:rFonts w:cs="Times New Roman"/>
              </w:rPr>
            </w:pPr>
            <w:r w:rsidRPr="002E7B7B">
              <w:rPr>
                <w:rFonts w:cs="Times New Roman"/>
              </w:rPr>
              <w:t>exp postoperative complication/</w:t>
            </w:r>
          </w:p>
        </w:tc>
      </w:tr>
      <w:tr w:rsidR="0009633C" w:rsidRPr="002E7B7B" w14:paraId="1BA06F55" w14:textId="77777777" w:rsidTr="0009633C">
        <w:trPr>
          <w:trHeight w:val="300"/>
        </w:trPr>
        <w:tc>
          <w:tcPr>
            <w:tcW w:w="846" w:type="dxa"/>
            <w:hideMark/>
          </w:tcPr>
          <w:p w14:paraId="76AECB46" w14:textId="77777777" w:rsidR="0009633C" w:rsidRPr="002E7B7B" w:rsidRDefault="0009633C" w:rsidP="0009633C">
            <w:pPr>
              <w:spacing w:after="120"/>
              <w:contextualSpacing/>
              <w:jc w:val="both"/>
              <w:rPr>
                <w:rFonts w:cs="Times New Roman"/>
              </w:rPr>
            </w:pPr>
            <w:r w:rsidRPr="002E7B7B">
              <w:rPr>
                <w:rFonts w:cs="Times New Roman"/>
              </w:rPr>
              <w:t>71</w:t>
            </w:r>
          </w:p>
        </w:tc>
        <w:tc>
          <w:tcPr>
            <w:tcW w:w="8170" w:type="dxa"/>
            <w:hideMark/>
          </w:tcPr>
          <w:p w14:paraId="2AB923D5" w14:textId="77777777" w:rsidR="0009633C" w:rsidRPr="002E7B7B" w:rsidRDefault="0009633C" w:rsidP="0009633C">
            <w:pPr>
              <w:spacing w:after="120"/>
              <w:contextualSpacing/>
              <w:jc w:val="both"/>
              <w:rPr>
                <w:rFonts w:cs="Times New Roman"/>
              </w:rPr>
            </w:pPr>
            <w:r w:rsidRPr="002E7B7B">
              <w:rPr>
                <w:rFonts w:cs="Times New Roman"/>
              </w:rPr>
              <w:t>exp peroperative complication/</w:t>
            </w:r>
          </w:p>
        </w:tc>
      </w:tr>
      <w:tr w:rsidR="0009633C" w:rsidRPr="002E7B7B" w14:paraId="0C3D85E5" w14:textId="77777777" w:rsidTr="0009633C">
        <w:trPr>
          <w:trHeight w:val="300"/>
        </w:trPr>
        <w:tc>
          <w:tcPr>
            <w:tcW w:w="846" w:type="dxa"/>
            <w:hideMark/>
          </w:tcPr>
          <w:p w14:paraId="74DBD842" w14:textId="77777777" w:rsidR="0009633C" w:rsidRPr="002E7B7B" w:rsidRDefault="0009633C" w:rsidP="0009633C">
            <w:pPr>
              <w:spacing w:after="120"/>
              <w:contextualSpacing/>
              <w:jc w:val="both"/>
              <w:rPr>
                <w:rFonts w:cs="Times New Roman"/>
              </w:rPr>
            </w:pPr>
            <w:r w:rsidRPr="002E7B7B">
              <w:rPr>
                <w:rFonts w:cs="Times New Roman"/>
              </w:rPr>
              <w:t>72</w:t>
            </w:r>
          </w:p>
        </w:tc>
        <w:tc>
          <w:tcPr>
            <w:tcW w:w="8170" w:type="dxa"/>
            <w:hideMark/>
          </w:tcPr>
          <w:p w14:paraId="310447A6" w14:textId="77777777" w:rsidR="0009633C" w:rsidRPr="002E7B7B" w:rsidRDefault="0009633C" w:rsidP="0009633C">
            <w:pPr>
              <w:spacing w:after="120"/>
              <w:contextualSpacing/>
              <w:jc w:val="both"/>
              <w:rPr>
                <w:rFonts w:cs="Times New Roman"/>
              </w:rPr>
            </w:pPr>
            <w:r w:rsidRPr="002E7B7B">
              <w:rPr>
                <w:rFonts w:cs="Times New Roman"/>
              </w:rPr>
              <w:t>or/68-71</w:t>
            </w:r>
          </w:p>
        </w:tc>
      </w:tr>
      <w:tr w:rsidR="0009633C" w:rsidRPr="002E7B7B" w14:paraId="3DDFDF5A" w14:textId="77777777" w:rsidTr="0009633C">
        <w:trPr>
          <w:trHeight w:val="300"/>
        </w:trPr>
        <w:tc>
          <w:tcPr>
            <w:tcW w:w="846" w:type="dxa"/>
            <w:hideMark/>
          </w:tcPr>
          <w:p w14:paraId="2F466CD2" w14:textId="77777777" w:rsidR="0009633C" w:rsidRPr="002E7B7B" w:rsidRDefault="0009633C" w:rsidP="0009633C">
            <w:pPr>
              <w:spacing w:after="120"/>
              <w:contextualSpacing/>
              <w:jc w:val="both"/>
              <w:rPr>
                <w:rFonts w:cs="Times New Roman"/>
              </w:rPr>
            </w:pPr>
            <w:r w:rsidRPr="002E7B7B">
              <w:rPr>
                <w:rFonts w:cs="Times New Roman"/>
              </w:rPr>
              <w:t>73</w:t>
            </w:r>
          </w:p>
        </w:tc>
        <w:tc>
          <w:tcPr>
            <w:tcW w:w="8170" w:type="dxa"/>
            <w:hideMark/>
          </w:tcPr>
          <w:p w14:paraId="3BC98AD5" w14:textId="77777777" w:rsidR="0009633C" w:rsidRPr="002E7B7B" w:rsidRDefault="0009633C" w:rsidP="0009633C">
            <w:pPr>
              <w:spacing w:after="120"/>
              <w:contextualSpacing/>
              <w:jc w:val="both"/>
              <w:rPr>
                <w:rFonts w:cs="Times New Roman"/>
              </w:rPr>
            </w:pPr>
            <w:r w:rsidRPr="002E7B7B">
              <w:rPr>
                <w:rFonts w:cs="Times New Roman"/>
              </w:rPr>
              <w:t>52 and 67 and 72</w:t>
            </w:r>
          </w:p>
        </w:tc>
      </w:tr>
      <w:tr w:rsidR="0009633C" w:rsidRPr="002E7B7B" w14:paraId="510B9A67" w14:textId="77777777" w:rsidTr="0009633C">
        <w:trPr>
          <w:trHeight w:val="300"/>
        </w:trPr>
        <w:tc>
          <w:tcPr>
            <w:tcW w:w="846" w:type="dxa"/>
            <w:hideMark/>
          </w:tcPr>
          <w:p w14:paraId="50884E98" w14:textId="77777777" w:rsidR="0009633C" w:rsidRPr="002E7B7B" w:rsidRDefault="0009633C" w:rsidP="0009633C">
            <w:pPr>
              <w:spacing w:after="120"/>
              <w:contextualSpacing/>
              <w:jc w:val="both"/>
              <w:rPr>
                <w:rFonts w:cs="Times New Roman"/>
              </w:rPr>
            </w:pPr>
            <w:r w:rsidRPr="002E7B7B">
              <w:rPr>
                <w:rFonts w:cs="Times New Roman"/>
              </w:rPr>
              <w:t>74</w:t>
            </w:r>
          </w:p>
        </w:tc>
        <w:tc>
          <w:tcPr>
            <w:tcW w:w="8170" w:type="dxa"/>
            <w:hideMark/>
          </w:tcPr>
          <w:p w14:paraId="183C0153" w14:textId="77777777" w:rsidR="0009633C" w:rsidRPr="002E7B7B" w:rsidRDefault="0009633C" w:rsidP="0009633C">
            <w:pPr>
              <w:spacing w:after="120"/>
              <w:contextualSpacing/>
              <w:jc w:val="both"/>
              <w:rPr>
                <w:rFonts w:cs="Times New Roman"/>
              </w:rPr>
            </w:pPr>
            <w:r w:rsidRPr="002E7B7B">
              <w:rPr>
                <w:rFonts w:cs="Times New Roman"/>
              </w:rPr>
              <w:t>limit 73 to yr="2005 -Current"</w:t>
            </w:r>
          </w:p>
        </w:tc>
      </w:tr>
      <w:tr w:rsidR="0009633C" w:rsidRPr="002E7B7B" w14:paraId="67234C7F" w14:textId="77777777" w:rsidTr="0009633C">
        <w:trPr>
          <w:trHeight w:val="300"/>
        </w:trPr>
        <w:tc>
          <w:tcPr>
            <w:tcW w:w="846" w:type="dxa"/>
            <w:hideMark/>
          </w:tcPr>
          <w:p w14:paraId="452F45AC" w14:textId="77777777" w:rsidR="0009633C" w:rsidRPr="002E7B7B" w:rsidRDefault="0009633C" w:rsidP="0009633C">
            <w:pPr>
              <w:spacing w:after="120"/>
              <w:contextualSpacing/>
              <w:jc w:val="both"/>
              <w:rPr>
                <w:rFonts w:cs="Times New Roman"/>
              </w:rPr>
            </w:pPr>
            <w:r w:rsidRPr="002E7B7B">
              <w:rPr>
                <w:rFonts w:cs="Times New Roman"/>
              </w:rPr>
              <w:t>75</w:t>
            </w:r>
          </w:p>
        </w:tc>
        <w:tc>
          <w:tcPr>
            <w:tcW w:w="8170" w:type="dxa"/>
            <w:hideMark/>
          </w:tcPr>
          <w:p w14:paraId="4190B2AC" w14:textId="77777777" w:rsidR="0009633C" w:rsidRPr="002E7B7B" w:rsidRDefault="0009633C" w:rsidP="0009633C">
            <w:pPr>
              <w:spacing w:after="120"/>
              <w:contextualSpacing/>
              <w:jc w:val="both"/>
              <w:rPr>
                <w:rFonts w:cs="Times New Roman"/>
              </w:rPr>
            </w:pPr>
            <w:r w:rsidRPr="002E7B7B">
              <w:rPr>
                <w:rFonts w:cs="Times New Roman"/>
              </w:rPr>
              <w:t>*reoperation/</w:t>
            </w:r>
          </w:p>
        </w:tc>
      </w:tr>
      <w:tr w:rsidR="0009633C" w:rsidRPr="002E7B7B" w14:paraId="71FC9D19" w14:textId="77777777" w:rsidTr="0009633C">
        <w:trPr>
          <w:trHeight w:val="300"/>
        </w:trPr>
        <w:tc>
          <w:tcPr>
            <w:tcW w:w="846" w:type="dxa"/>
            <w:hideMark/>
          </w:tcPr>
          <w:p w14:paraId="503A8013" w14:textId="77777777" w:rsidR="0009633C" w:rsidRPr="002E7B7B" w:rsidRDefault="0009633C" w:rsidP="0009633C">
            <w:pPr>
              <w:spacing w:after="120"/>
              <w:contextualSpacing/>
              <w:jc w:val="both"/>
              <w:rPr>
                <w:rFonts w:cs="Times New Roman"/>
              </w:rPr>
            </w:pPr>
            <w:r w:rsidRPr="002E7B7B">
              <w:rPr>
                <w:rFonts w:cs="Times New Roman"/>
              </w:rPr>
              <w:t>76</w:t>
            </w:r>
          </w:p>
        </w:tc>
        <w:tc>
          <w:tcPr>
            <w:tcW w:w="8170" w:type="dxa"/>
            <w:hideMark/>
          </w:tcPr>
          <w:p w14:paraId="6F502DDE" w14:textId="77777777" w:rsidR="0009633C" w:rsidRPr="002E7B7B" w:rsidRDefault="0009633C" w:rsidP="0009633C">
            <w:pPr>
              <w:spacing w:after="120"/>
              <w:contextualSpacing/>
              <w:jc w:val="both"/>
              <w:rPr>
                <w:rFonts w:cs="Times New Roman"/>
              </w:rPr>
            </w:pPr>
            <w:r w:rsidRPr="002E7B7B">
              <w:rPr>
                <w:rFonts w:cs="Times New Roman"/>
              </w:rPr>
              <w:t>reoperat*.tw.</w:t>
            </w:r>
          </w:p>
        </w:tc>
      </w:tr>
      <w:tr w:rsidR="0009633C" w:rsidRPr="002E7B7B" w14:paraId="0B6AC899" w14:textId="77777777" w:rsidTr="0009633C">
        <w:trPr>
          <w:trHeight w:val="300"/>
        </w:trPr>
        <w:tc>
          <w:tcPr>
            <w:tcW w:w="846" w:type="dxa"/>
            <w:hideMark/>
          </w:tcPr>
          <w:p w14:paraId="0323C73D" w14:textId="77777777" w:rsidR="0009633C" w:rsidRPr="002E7B7B" w:rsidRDefault="0009633C" w:rsidP="0009633C">
            <w:pPr>
              <w:spacing w:after="120"/>
              <w:contextualSpacing/>
              <w:jc w:val="both"/>
              <w:rPr>
                <w:rFonts w:cs="Times New Roman"/>
              </w:rPr>
            </w:pPr>
            <w:r w:rsidRPr="002E7B7B">
              <w:rPr>
                <w:rFonts w:cs="Times New Roman"/>
              </w:rPr>
              <w:t>77</w:t>
            </w:r>
          </w:p>
        </w:tc>
        <w:tc>
          <w:tcPr>
            <w:tcW w:w="8170" w:type="dxa"/>
            <w:hideMark/>
          </w:tcPr>
          <w:p w14:paraId="0E9F2C15" w14:textId="77777777" w:rsidR="0009633C" w:rsidRPr="002E7B7B" w:rsidRDefault="0009633C" w:rsidP="0009633C">
            <w:pPr>
              <w:spacing w:after="120"/>
              <w:contextualSpacing/>
              <w:jc w:val="both"/>
              <w:rPr>
                <w:rFonts w:cs="Times New Roman"/>
              </w:rPr>
            </w:pPr>
            <w:r w:rsidRPr="002E7B7B">
              <w:rPr>
                <w:rFonts w:cs="Times New Roman"/>
              </w:rPr>
              <w:t>((repeat or revision) adj3 (surgery or surgical* or operat*)).tw.</w:t>
            </w:r>
          </w:p>
        </w:tc>
      </w:tr>
      <w:tr w:rsidR="0009633C" w:rsidRPr="002E7B7B" w14:paraId="06AA27B4" w14:textId="77777777" w:rsidTr="0009633C">
        <w:trPr>
          <w:trHeight w:val="300"/>
        </w:trPr>
        <w:tc>
          <w:tcPr>
            <w:tcW w:w="846" w:type="dxa"/>
            <w:hideMark/>
          </w:tcPr>
          <w:p w14:paraId="1A9E4B15" w14:textId="77777777" w:rsidR="0009633C" w:rsidRPr="002E7B7B" w:rsidRDefault="0009633C" w:rsidP="0009633C">
            <w:pPr>
              <w:spacing w:after="120"/>
              <w:contextualSpacing/>
              <w:jc w:val="both"/>
              <w:rPr>
                <w:rFonts w:cs="Times New Roman"/>
              </w:rPr>
            </w:pPr>
            <w:r w:rsidRPr="002E7B7B">
              <w:rPr>
                <w:rFonts w:cs="Times New Roman"/>
              </w:rPr>
              <w:t>78</w:t>
            </w:r>
          </w:p>
        </w:tc>
        <w:tc>
          <w:tcPr>
            <w:tcW w:w="8170" w:type="dxa"/>
            <w:hideMark/>
          </w:tcPr>
          <w:p w14:paraId="45B332A1" w14:textId="77777777" w:rsidR="0009633C" w:rsidRPr="002E7B7B" w:rsidRDefault="0009633C" w:rsidP="0009633C">
            <w:pPr>
              <w:spacing w:after="120"/>
              <w:contextualSpacing/>
              <w:jc w:val="both"/>
              <w:rPr>
                <w:rFonts w:cs="Times New Roman"/>
              </w:rPr>
            </w:pPr>
            <w:r w:rsidRPr="002E7B7B">
              <w:rPr>
                <w:rFonts w:cs="Times New Roman"/>
              </w:rPr>
              <w:t>or/75-77</w:t>
            </w:r>
          </w:p>
        </w:tc>
      </w:tr>
      <w:tr w:rsidR="0009633C" w:rsidRPr="002E7B7B" w14:paraId="5987AA5D" w14:textId="77777777" w:rsidTr="0009633C">
        <w:trPr>
          <w:trHeight w:val="300"/>
        </w:trPr>
        <w:tc>
          <w:tcPr>
            <w:tcW w:w="846" w:type="dxa"/>
            <w:hideMark/>
          </w:tcPr>
          <w:p w14:paraId="48C1D65E" w14:textId="77777777" w:rsidR="0009633C" w:rsidRPr="002E7B7B" w:rsidRDefault="0009633C" w:rsidP="0009633C">
            <w:pPr>
              <w:spacing w:after="120"/>
              <w:contextualSpacing/>
              <w:jc w:val="both"/>
              <w:rPr>
                <w:rFonts w:cs="Times New Roman"/>
              </w:rPr>
            </w:pPr>
            <w:r w:rsidRPr="002E7B7B">
              <w:rPr>
                <w:rFonts w:cs="Times New Roman"/>
              </w:rPr>
              <w:t>79</w:t>
            </w:r>
          </w:p>
        </w:tc>
        <w:tc>
          <w:tcPr>
            <w:tcW w:w="8170" w:type="dxa"/>
            <w:hideMark/>
          </w:tcPr>
          <w:p w14:paraId="4F49B3E8" w14:textId="77777777" w:rsidR="0009633C" w:rsidRPr="002E7B7B" w:rsidRDefault="0009633C" w:rsidP="0009633C">
            <w:pPr>
              <w:spacing w:after="120"/>
              <w:contextualSpacing/>
              <w:jc w:val="both"/>
              <w:rPr>
                <w:rFonts w:cs="Times New Roman"/>
              </w:rPr>
            </w:pPr>
            <w:r w:rsidRPr="002E7B7B">
              <w:rPr>
                <w:rFonts w:cs="Times New Roman"/>
              </w:rPr>
              <w:t>neurosurgery/</w:t>
            </w:r>
          </w:p>
        </w:tc>
      </w:tr>
      <w:tr w:rsidR="0009633C" w:rsidRPr="002E7B7B" w14:paraId="023E9B67" w14:textId="77777777" w:rsidTr="0009633C">
        <w:trPr>
          <w:trHeight w:val="300"/>
        </w:trPr>
        <w:tc>
          <w:tcPr>
            <w:tcW w:w="846" w:type="dxa"/>
            <w:hideMark/>
          </w:tcPr>
          <w:p w14:paraId="449F9EE1" w14:textId="77777777" w:rsidR="0009633C" w:rsidRPr="002E7B7B" w:rsidRDefault="0009633C" w:rsidP="0009633C">
            <w:pPr>
              <w:spacing w:after="120"/>
              <w:contextualSpacing/>
              <w:jc w:val="both"/>
              <w:rPr>
                <w:rFonts w:cs="Times New Roman"/>
              </w:rPr>
            </w:pPr>
            <w:r w:rsidRPr="002E7B7B">
              <w:rPr>
                <w:rFonts w:cs="Times New Roman"/>
              </w:rPr>
              <w:t>80</w:t>
            </w:r>
          </w:p>
        </w:tc>
        <w:tc>
          <w:tcPr>
            <w:tcW w:w="8170" w:type="dxa"/>
            <w:hideMark/>
          </w:tcPr>
          <w:p w14:paraId="3A9F0990" w14:textId="77777777" w:rsidR="0009633C" w:rsidRPr="002E7B7B" w:rsidRDefault="0009633C" w:rsidP="0009633C">
            <w:pPr>
              <w:spacing w:after="120"/>
              <w:contextualSpacing/>
              <w:jc w:val="both"/>
              <w:rPr>
                <w:rFonts w:cs="Times New Roman"/>
              </w:rPr>
            </w:pPr>
            <w:r w:rsidRPr="002E7B7B">
              <w:rPr>
                <w:rFonts w:cs="Times New Roman"/>
              </w:rPr>
              <w:t>(neurosurgery or neurological surgery).tw.</w:t>
            </w:r>
          </w:p>
        </w:tc>
      </w:tr>
      <w:tr w:rsidR="0009633C" w:rsidRPr="002E7B7B" w14:paraId="4502FA17" w14:textId="77777777" w:rsidTr="0009633C">
        <w:trPr>
          <w:trHeight w:val="300"/>
        </w:trPr>
        <w:tc>
          <w:tcPr>
            <w:tcW w:w="846" w:type="dxa"/>
            <w:hideMark/>
          </w:tcPr>
          <w:p w14:paraId="36DC79D6" w14:textId="77777777" w:rsidR="0009633C" w:rsidRPr="002E7B7B" w:rsidRDefault="0009633C" w:rsidP="0009633C">
            <w:pPr>
              <w:spacing w:after="120"/>
              <w:contextualSpacing/>
              <w:jc w:val="both"/>
              <w:rPr>
                <w:rFonts w:cs="Times New Roman"/>
              </w:rPr>
            </w:pPr>
            <w:r w:rsidRPr="002E7B7B">
              <w:rPr>
                <w:rFonts w:cs="Times New Roman"/>
              </w:rPr>
              <w:t>81</w:t>
            </w:r>
          </w:p>
        </w:tc>
        <w:tc>
          <w:tcPr>
            <w:tcW w:w="8170" w:type="dxa"/>
            <w:hideMark/>
          </w:tcPr>
          <w:p w14:paraId="433AE228" w14:textId="77777777" w:rsidR="0009633C" w:rsidRPr="002E7B7B" w:rsidRDefault="0009633C" w:rsidP="0009633C">
            <w:pPr>
              <w:spacing w:after="120"/>
              <w:contextualSpacing/>
              <w:jc w:val="both"/>
              <w:rPr>
                <w:rFonts w:cs="Times New Roman"/>
              </w:rPr>
            </w:pPr>
            <w:r w:rsidRPr="002E7B7B">
              <w:rPr>
                <w:rFonts w:cs="Times New Roman"/>
              </w:rPr>
              <w:t>exp brain/su [Surgery]</w:t>
            </w:r>
          </w:p>
        </w:tc>
      </w:tr>
      <w:tr w:rsidR="0009633C" w:rsidRPr="002E7B7B" w14:paraId="08977458" w14:textId="77777777" w:rsidTr="0009633C">
        <w:trPr>
          <w:trHeight w:val="300"/>
        </w:trPr>
        <w:tc>
          <w:tcPr>
            <w:tcW w:w="846" w:type="dxa"/>
            <w:hideMark/>
          </w:tcPr>
          <w:p w14:paraId="1E410ADE" w14:textId="77777777" w:rsidR="0009633C" w:rsidRPr="002E7B7B" w:rsidRDefault="0009633C" w:rsidP="0009633C">
            <w:pPr>
              <w:spacing w:after="120"/>
              <w:contextualSpacing/>
              <w:jc w:val="both"/>
              <w:rPr>
                <w:rFonts w:cs="Times New Roman"/>
              </w:rPr>
            </w:pPr>
            <w:r w:rsidRPr="002E7B7B">
              <w:rPr>
                <w:rFonts w:cs="Times New Roman"/>
              </w:rPr>
              <w:t>82</w:t>
            </w:r>
          </w:p>
        </w:tc>
        <w:tc>
          <w:tcPr>
            <w:tcW w:w="8170" w:type="dxa"/>
            <w:hideMark/>
          </w:tcPr>
          <w:p w14:paraId="404A9734" w14:textId="77777777" w:rsidR="0009633C" w:rsidRPr="002E7B7B" w:rsidRDefault="0009633C" w:rsidP="0009633C">
            <w:pPr>
              <w:spacing w:after="120"/>
              <w:contextualSpacing/>
              <w:jc w:val="both"/>
              <w:rPr>
                <w:rFonts w:cs="Times New Roman"/>
              </w:rPr>
            </w:pPr>
            <w:r w:rsidRPr="002E7B7B">
              <w:rPr>
                <w:rFonts w:cs="Times New Roman"/>
              </w:rPr>
              <w:t>exp meninx/su [Surgery]</w:t>
            </w:r>
          </w:p>
        </w:tc>
      </w:tr>
      <w:tr w:rsidR="0009633C" w:rsidRPr="002E7B7B" w14:paraId="72BE336E" w14:textId="77777777" w:rsidTr="0009633C">
        <w:trPr>
          <w:trHeight w:val="300"/>
        </w:trPr>
        <w:tc>
          <w:tcPr>
            <w:tcW w:w="846" w:type="dxa"/>
            <w:hideMark/>
          </w:tcPr>
          <w:p w14:paraId="35570E44" w14:textId="77777777" w:rsidR="0009633C" w:rsidRPr="002E7B7B" w:rsidRDefault="0009633C" w:rsidP="0009633C">
            <w:pPr>
              <w:spacing w:after="120"/>
              <w:contextualSpacing/>
              <w:jc w:val="both"/>
              <w:rPr>
                <w:rFonts w:cs="Times New Roman"/>
              </w:rPr>
            </w:pPr>
            <w:r w:rsidRPr="002E7B7B">
              <w:rPr>
                <w:rFonts w:cs="Times New Roman"/>
              </w:rPr>
              <w:t>83</w:t>
            </w:r>
          </w:p>
        </w:tc>
        <w:tc>
          <w:tcPr>
            <w:tcW w:w="8170" w:type="dxa"/>
            <w:hideMark/>
          </w:tcPr>
          <w:p w14:paraId="67CB0651" w14:textId="77777777" w:rsidR="0009633C" w:rsidRPr="002E7B7B" w:rsidRDefault="0009633C" w:rsidP="0009633C">
            <w:pPr>
              <w:spacing w:after="120"/>
              <w:contextualSpacing/>
              <w:jc w:val="both"/>
              <w:rPr>
                <w:rFonts w:cs="Times New Roman"/>
              </w:rPr>
            </w:pPr>
            <w:r w:rsidRPr="002E7B7B">
              <w:rPr>
                <w:rFonts w:cs="Times New Roman"/>
              </w:rPr>
              <w:t>exp hypophysis/su [Surgery]</w:t>
            </w:r>
          </w:p>
        </w:tc>
      </w:tr>
      <w:tr w:rsidR="0009633C" w:rsidRPr="002E7B7B" w14:paraId="663E39E6" w14:textId="77777777" w:rsidTr="0009633C">
        <w:trPr>
          <w:trHeight w:val="300"/>
        </w:trPr>
        <w:tc>
          <w:tcPr>
            <w:tcW w:w="846" w:type="dxa"/>
            <w:hideMark/>
          </w:tcPr>
          <w:p w14:paraId="05C7F348" w14:textId="77777777" w:rsidR="0009633C" w:rsidRPr="002E7B7B" w:rsidRDefault="0009633C" w:rsidP="0009633C">
            <w:pPr>
              <w:spacing w:after="120"/>
              <w:contextualSpacing/>
              <w:jc w:val="both"/>
              <w:rPr>
                <w:rFonts w:cs="Times New Roman"/>
              </w:rPr>
            </w:pPr>
            <w:r w:rsidRPr="002E7B7B">
              <w:rPr>
                <w:rFonts w:cs="Times New Roman"/>
              </w:rPr>
              <w:t>84</w:t>
            </w:r>
          </w:p>
        </w:tc>
        <w:tc>
          <w:tcPr>
            <w:tcW w:w="8170" w:type="dxa"/>
            <w:hideMark/>
          </w:tcPr>
          <w:p w14:paraId="62CCCF6B" w14:textId="77777777" w:rsidR="0009633C" w:rsidRPr="002E7B7B" w:rsidRDefault="0009633C" w:rsidP="0009633C">
            <w:pPr>
              <w:spacing w:after="120"/>
              <w:contextualSpacing/>
              <w:jc w:val="both"/>
              <w:rPr>
                <w:rFonts w:cs="Times New Roman"/>
              </w:rPr>
            </w:pPr>
            <w:r w:rsidRPr="002E7B7B">
              <w:rPr>
                <w:rFonts w:cs="Times New Roman"/>
              </w:rPr>
              <w:t>pineal body/su [Surgery]</w:t>
            </w:r>
          </w:p>
        </w:tc>
      </w:tr>
      <w:tr w:rsidR="0009633C" w:rsidRPr="002E7B7B" w14:paraId="7C572A16" w14:textId="77777777" w:rsidTr="0009633C">
        <w:trPr>
          <w:trHeight w:val="600"/>
        </w:trPr>
        <w:tc>
          <w:tcPr>
            <w:tcW w:w="846" w:type="dxa"/>
            <w:hideMark/>
          </w:tcPr>
          <w:p w14:paraId="7C401A52" w14:textId="77777777" w:rsidR="0009633C" w:rsidRPr="002E7B7B" w:rsidRDefault="0009633C" w:rsidP="0009633C">
            <w:pPr>
              <w:spacing w:after="120"/>
              <w:contextualSpacing/>
              <w:jc w:val="both"/>
              <w:rPr>
                <w:rFonts w:cs="Times New Roman"/>
              </w:rPr>
            </w:pPr>
            <w:r w:rsidRPr="002E7B7B">
              <w:rPr>
                <w:rFonts w:cs="Times New Roman"/>
              </w:rPr>
              <w:t>85</w:t>
            </w:r>
          </w:p>
        </w:tc>
        <w:tc>
          <w:tcPr>
            <w:tcW w:w="8170" w:type="dxa"/>
            <w:hideMark/>
          </w:tcPr>
          <w:p w14:paraId="423EBFF6" w14:textId="77777777" w:rsidR="0009633C" w:rsidRPr="002E7B7B" w:rsidRDefault="0009633C" w:rsidP="0009633C">
            <w:pPr>
              <w:spacing w:after="120"/>
              <w:contextualSpacing/>
              <w:jc w:val="both"/>
              <w:rPr>
                <w:rFonts w:cs="Times New Roman"/>
              </w:rPr>
            </w:pPr>
            <w:r w:rsidRPr="002E7B7B">
              <w:rPr>
                <w:rFonts w:cs="Times New Roman"/>
              </w:rPr>
              <w:t>((brain or meninges or cerebral or pituitary or pineal) adj5 (surgery or surgical* or excision or lesion or ablation or operation* or neurostimulation or connection or destruction)).tw.</w:t>
            </w:r>
          </w:p>
        </w:tc>
      </w:tr>
      <w:tr w:rsidR="0009633C" w:rsidRPr="00A4124E" w14:paraId="2141515E" w14:textId="77777777" w:rsidTr="0009633C">
        <w:trPr>
          <w:trHeight w:val="300"/>
        </w:trPr>
        <w:tc>
          <w:tcPr>
            <w:tcW w:w="846" w:type="dxa"/>
            <w:hideMark/>
          </w:tcPr>
          <w:p w14:paraId="36F69982" w14:textId="77777777" w:rsidR="0009633C" w:rsidRPr="002E7B7B" w:rsidRDefault="0009633C" w:rsidP="0009633C">
            <w:pPr>
              <w:spacing w:after="120"/>
              <w:contextualSpacing/>
              <w:jc w:val="both"/>
              <w:rPr>
                <w:rFonts w:cs="Times New Roman"/>
              </w:rPr>
            </w:pPr>
            <w:r w:rsidRPr="002E7B7B">
              <w:rPr>
                <w:rFonts w:cs="Times New Roman"/>
              </w:rPr>
              <w:t>86</w:t>
            </w:r>
          </w:p>
        </w:tc>
        <w:tc>
          <w:tcPr>
            <w:tcW w:w="8170" w:type="dxa"/>
            <w:hideMark/>
          </w:tcPr>
          <w:p w14:paraId="2D6BF276" w14:textId="77777777" w:rsidR="0009633C" w:rsidRPr="00CA4E0C" w:rsidRDefault="0009633C" w:rsidP="0009633C">
            <w:pPr>
              <w:spacing w:after="120"/>
              <w:contextualSpacing/>
              <w:jc w:val="both"/>
              <w:rPr>
                <w:rFonts w:cs="Times New Roman"/>
              </w:rPr>
            </w:pPr>
            <w:r w:rsidRPr="00CA4E0C">
              <w:rPr>
                <w:rFonts w:cs="Times New Roman"/>
              </w:rPr>
              <w:t>exp cranial nerve/su [Surgery]</w:t>
            </w:r>
          </w:p>
        </w:tc>
      </w:tr>
      <w:tr w:rsidR="0009633C" w:rsidRPr="002E7B7B" w14:paraId="699976E7" w14:textId="77777777" w:rsidTr="0009633C">
        <w:trPr>
          <w:trHeight w:val="600"/>
        </w:trPr>
        <w:tc>
          <w:tcPr>
            <w:tcW w:w="846" w:type="dxa"/>
            <w:hideMark/>
          </w:tcPr>
          <w:p w14:paraId="61DB34F9" w14:textId="77777777" w:rsidR="0009633C" w:rsidRPr="002E7B7B" w:rsidRDefault="0009633C" w:rsidP="0009633C">
            <w:pPr>
              <w:spacing w:after="120"/>
              <w:contextualSpacing/>
              <w:jc w:val="both"/>
              <w:rPr>
                <w:rFonts w:cs="Times New Roman"/>
              </w:rPr>
            </w:pPr>
            <w:r w:rsidRPr="002E7B7B">
              <w:rPr>
                <w:rFonts w:cs="Times New Roman"/>
              </w:rPr>
              <w:t>87</w:t>
            </w:r>
          </w:p>
        </w:tc>
        <w:tc>
          <w:tcPr>
            <w:tcW w:w="8170" w:type="dxa"/>
            <w:hideMark/>
          </w:tcPr>
          <w:p w14:paraId="318C2CA5" w14:textId="77777777" w:rsidR="0009633C" w:rsidRPr="002E7B7B" w:rsidRDefault="0009633C" w:rsidP="0009633C">
            <w:pPr>
              <w:spacing w:after="120"/>
              <w:contextualSpacing/>
              <w:jc w:val="both"/>
              <w:rPr>
                <w:rFonts w:cs="Times New Roman"/>
              </w:rPr>
            </w:pPr>
            <w:r w:rsidRPr="002E7B7B">
              <w:rPr>
                <w:rFonts w:cs="Times New Roman"/>
              </w:rPr>
              <w:t>((cranial or dura) adj5 (graft* or transection or destruction or lesion or repair* or decompress* or neurostimulation or exploration or operation*)).tw.</w:t>
            </w:r>
          </w:p>
        </w:tc>
      </w:tr>
      <w:tr w:rsidR="0009633C" w:rsidRPr="002E7B7B" w14:paraId="7961472F" w14:textId="77777777" w:rsidTr="0009633C">
        <w:trPr>
          <w:trHeight w:val="300"/>
        </w:trPr>
        <w:tc>
          <w:tcPr>
            <w:tcW w:w="846" w:type="dxa"/>
            <w:hideMark/>
          </w:tcPr>
          <w:p w14:paraId="3F736844" w14:textId="77777777" w:rsidR="0009633C" w:rsidRPr="002E7B7B" w:rsidRDefault="0009633C" w:rsidP="0009633C">
            <w:pPr>
              <w:spacing w:after="120"/>
              <w:contextualSpacing/>
              <w:jc w:val="both"/>
              <w:rPr>
                <w:rFonts w:cs="Times New Roman"/>
              </w:rPr>
            </w:pPr>
            <w:r w:rsidRPr="002E7B7B">
              <w:rPr>
                <w:rFonts w:cs="Times New Roman"/>
              </w:rPr>
              <w:t>88</w:t>
            </w:r>
          </w:p>
        </w:tc>
        <w:tc>
          <w:tcPr>
            <w:tcW w:w="8170" w:type="dxa"/>
            <w:hideMark/>
          </w:tcPr>
          <w:p w14:paraId="4973C534" w14:textId="77777777" w:rsidR="0009633C" w:rsidRPr="002E7B7B" w:rsidRDefault="0009633C" w:rsidP="0009633C">
            <w:pPr>
              <w:spacing w:after="120"/>
              <w:contextualSpacing/>
              <w:jc w:val="both"/>
              <w:rPr>
                <w:rFonts w:cs="Times New Roman"/>
              </w:rPr>
            </w:pPr>
            <w:r w:rsidRPr="002E7B7B">
              <w:rPr>
                <w:rFonts w:cs="Times New Roman"/>
              </w:rPr>
              <w:t>eye surgery/</w:t>
            </w:r>
          </w:p>
        </w:tc>
      </w:tr>
      <w:tr w:rsidR="0009633C" w:rsidRPr="002E7B7B" w14:paraId="34A63F5E" w14:textId="77777777" w:rsidTr="0009633C">
        <w:trPr>
          <w:trHeight w:val="600"/>
        </w:trPr>
        <w:tc>
          <w:tcPr>
            <w:tcW w:w="846" w:type="dxa"/>
            <w:hideMark/>
          </w:tcPr>
          <w:p w14:paraId="23F4DA79" w14:textId="77777777" w:rsidR="0009633C" w:rsidRPr="002E7B7B" w:rsidRDefault="0009633C" w:rsidP="0009633C">
            <w:pPr>
              <w:spacing w:after="120"/>
              <w:contextualSpacing/>
              <w:jc w:val="both"/>
              <w:rPr>
                <w:rFonts w:cs="Times New Roman"/>
              </w:rPr>
            </w:pPr>
            <w:r w:rsidRPr="002E7B7B">
              <w:rPr>
                <w:rFonts w:cs="Times New Roman"/>
              </w:rPr>
              <w:t>89</w:t>
            </w:r>
          </w:p>
        </w:tc>
        <w:tc>
          <w:tcPr>
            <w:tcW w:w="8170" w:type="dxa"/>
            <w:hideMark/>
          </w:tcPr>
          <w:p w14:paraId="036E2C4D" w14:textId="77777777" w:rsidR="0009633C" w:rsidRPr="002E7B7B" w:rsidRDefault="0009633C" w:rsidP="0009633C">
            <w:pPr>
              <w:spacing w:after="120"/>
              <w:contextualSpacing/>
              <w:jc w:val="both"/>
              <w:rPr>
                <w:rFonts w:cs="Times New Roman"/>
              </w:rPr>
            </w:pPr>
            <w:r w:rsidRPr="002E7B7B">
              <w:rPr>
                <w:rFonts w:cs="Times New Roman"/>
              </w:rPr>
              <w:t>((eye or vitreous or retina) adj5 (surgery or surgical* or excision or operation* or photocoagulation or destruction)).tw.</w:t>
            </w:r>
          </w:p>
        </w:tc>
      </w:tr>
      <w:tr w:rsidR="0009633C" w:rsidRPr="002E7B7B" w14:paraId="7CA3F2DD" w14:textId="77777777" w:rsidTr="0009633C">
        <w:trPr>
          <w:trHeight w:val="300"/>
        </w:trPr>
        <w:tc>
          <w:tcPr>
            <w:tcW w:w="846" w:type="dxa"/>
            <w:hideMark/>
          </w:tcPr>
          <w:p w14:paraId="68D9D83B" w14:textId="77777777" w:rsidR="0009633C" w:rsidRPr="002E7B7B" w:rsidRDefault="0009633C" w:rsidP="0009633C">
            <w:pPr>
              <w:spacing w:after="120"/>
              <w:contextualSpacing/>
              <w:jc w:val="both"/>
              <w:rPr>
                <w:rFonts w:cs="Times New Roman"/>
              </w:rPr>
            </w:pPr>
            <w:r w:rsidRPr="002E7B7B">
              <w:rPr>
                <w:rFonts w:cs="Times New Roman"/>
              </w:rPr>
              <w:t>90</w:t>
            </w:r>
          </w:p>
        </w:tc>
        <w:tc>
          <w:tcPr>
            <w:tcW w:w="8170" w:type="dxa"/>
            <w:hideMark/>
          </w:tcPr>
          <w:p w14:paraId="08493C88" w14:textId="77777777" w:rsidR="0009633C" w:rsidRPr="002E7B7B" w:rsidRDefault="0009633C" w:rsidP="0009633C">
            <w:pPr>
              <w:spacing w:after="120"/>
              <w:contextualSpacing/>
              <w:jc w:val="both"/>
              <w:rPr>
                <w:rFonts w:cs="Times New Roman"/>
              </w:rPr>
            </w:pPr>
            <w:r w:rsidRPr="002E7B7B">
              <w:rPr>
                <w:rFonts w:cs="Times New Roman"/>
              </w:rPr>
              <w:t>eye/su [Surgery]</w:t>
            </w:r>
          </w:p>
        </w:tc>
      </w:tr>
      <w:tr w:rsidR="0009633C" w:rsidRPr="002E7B7B" w14:paraId="56E8206B" w14:textId="77777777" w:rsidTr="0009633C">
        <w:trPr>
          <w:trHeight w:val="300"/>
        </w:trPr>
        <w:tc>
          <w:tcPr>
            <w:tcW w:w="846" w:type="dxa"/>
            <w:hideMark/>
          </w:tcPr>
          <w:p w14:paraId="38A8F0BC" w14:textId="77777777" w:rsidR="0009633C" w:rsidRPr="002E7B7B" w:rsidRDefault="0009633C" w:rsidP="0009633C">
            <w:pPr>
              <w:spacing w:after="120"/>
              <w:contextualSpacing/>
              <w:jc w:val="both"/>
              <w:rPr>
                <w:rFonts w:cs="Times New Roman"/>
              </w:rPr>
            </w:pPr>
            <w:r w:rsidRPr="002E7B7B">
              <w:rPr>
                <w:rFonts w:cs="Times New Roman"/>
              </w:rPr>
              <w:t>91</w:t>
            </w:r>
          </w:p>
        </w:tc>
        <w:tc>
          <w:tcPr>
            <w:tcW w:w="8170" w:type="dxa"/>
            <w:hideMark/>
          </w:tcPr>
          <w:p w14:paraId="44283E3A" w14:textId="77777777" w:rsidR="0009633C" w:rsidRPr="002E7B7B" w:rsidRDefault="0009633C" w:rsidP="0009633C">
            <w:pPr>
              <w:spacing w:after="120"/>
              <w:contextualSpacing/>
              <w:jc w:val="both"/>
              <w:rPr>
                <w:rFonts w:cs="Times New Roman"/>
              </w:rPr>
            </w:pPr>
            <w:r w:rsidRPr="002E7B7B">
              <w:rPr>
                <w:rFonts w:cs="Times New Roman"/>
              </w:rPr>
              <w:t>vitreous body/su [Surgery]</w:t>
            </w:r>
          </w:p>
        </w:tc>
      </w:tr>
      <w:tr w:rsidR="0009633C" w:rsidRPr="002E7B7B" w14:paraId="5CAB721F" w14:textId="77777777" w:rsidTr="0009633C">
        <w:trPr>
          <w:trHeight w:val="300"/>
        </w:trPr>
        <w:tc>
          <w:tcPr>
            <w:tcW w:w="846" w:type="dxa"/>
            <w:hideMark/>
          </w:tcPr>
          <w:p w14:paraId="2230918C" w14:textId="77777777" w:rsidR="0009633C" w:rsidRPr="002E7B7B" w:rsidRDefault="0009633C" w:rsidP="0009633C">
            <w:pPr>
              <w:spacing w:after="120"/>
              <w:contextualSpacing/>
              <w:jc w:val="both"/>
              <w:rPr>
                <w:rFonts w:cs="Times New Roman"/>
              </w:rPr>
            </w:pPr>
            <w:r w:rsidRPr="002E7B7B">
              <w:rPr>
                <w:rFonts w:cs="Times New Roman"/>
              </w:rPr>
              <w:t>92</w:t>
            </w:r>
          </w:p>
        </w:tc>
        <w:tc>
          <w:tcPr>
            <w:tcW w:w="8170" w:type="dxa"/>
            <w:hideMark/>
          </w:tcPr>
          <w:p w14:paraId="3C4C782F" w14:textId="77777777" w:rsidR="0009633C" w:rsidRPr="002E7B7B" w:rsidRDefault="0009633C" w:rsidP="0009633C">
            <w:pPr>
              <w:spacing w:after="120"/>
              <w:contextualSpacing/>
              <w:jc w:val="both"/>
              <w:rPr>
                <w:rFonts w:cs="Times New Roman"/>
              </w:rPr>
            </w:pPr>
            <w:r w:rsidRPr="002E7B7B">
              <w:rPr>
                <w:rFonts w:cs="Times New Roman"/>
              </w:rPr>
              <w:t>exp retina/su [Surgery]</w:t>
            </w:r>
          </w:p>
        </w:tc>
      </w:tr>
      <w:tr w:rsidR="0009633C" w:rsidRPr="002E7B7B" w14:paraId="310E5EF9" w14:textId="77777777" w:rsidTr="0009633C">
        <w:trPr>
          <w:trHeight w:val="300"/>
        </w:trPr>
        <w:tc>
          <w:tcPr>
            <w:tcW w:w="846" w:type="dxa"/>
            <w:hideMark/>
          </w:tcPr>
          <w:p w14:paraId="3846014E" w14:textId="77777777" w:rsidR="0009633C" w:rsidRPr="002E7B7B" w:rsidRDefault="0009633C" w:rsidP="0009633C">
            <w:pPr>
              <w:spacing w:after="120"/>
              <w:contextualSpacing/>
              <w:jc w:val="both"/>
              <w:rPr>
                <w:rFonts w:cs="Times New Roman"/>
              </w:rPr>
            </w:pPr>
            <w:r w:rsidRPr="002E7B7B">
              <w:rPr>
                <w:rFonts w:cs="Times New Roman"/>
              </w:rPr>
              <w:t>93</w:t>
            </w:r>
          </w:p>
        </w:tc>
        <w:tc>
          <w:tcPr>
            <w:tcW w:w="8170" w:type="dxa"/>
            <w:hideMark/>
          </w:tcPr>
          <w:p w14:paraId="70ACD258" w14:textId="77777777" w:rsidR="0009633C" w:rsidRPr="002E7B7B" w:rsidRDefault="0009633C" w:rsidP="0009633C">
            <w:pPr>
              <w:spacing w:after="120"/>
              <w:contextualSpacing/>
              <w:jc w:val="both"/>
              <w:rPr>
                <w:rFonts w:cs="Times New Roman"/>
              </w:rPr>
            </w:pPr>
            <w:r w:rsidRPr="002E7B7B">
              <w:rPr>
                <w:rFonts w:cs="Times New Roman"/>
              </w:rPr>
              <w:t>or/79-92</w:t>
            </w:r>
          </w:p>
        </w:tc>
      </w:tr>
      <w:tr w:rsidR="0009633C" w:rsidRPr="002E7B7B" w14:paraId="2FF644DB" w14:textId="77777777" w:rsidTr="0009633C">
        <w:trPr>
          <w:trHeight w:val="300"/>
        </w:trPr>
        <w:tc>
          <w:tcPr>
            <w:tcW w:w="846" w:type="dxa"/>
            <w:hideMark/>
          </w:tcPr>
          <w:p w14:paraId="0F5E4A9B" w14:textId="77777777" w:rsidR="0009633C" w:rsidRPr="002E7B7B" w:rsidRDefault="0009633C" w:rsidP="0009633C">
            <w:pPr>
              <w:spacing w:after="120"/>
              <w:contextualSpacing/>
              <w:jc w:val="both"/>
              <w:rPr>
                <w:rFonts w:cs="Times New Roman"/>
              </w:rPr>
            </w:pPr>
            <w:r w:rsidRPr="002E7B7B">
              <w:rPr>
                <w:rFonts w:cs="Times New Roman"/>
              </w:rPr>
              <w:t>94</w:t>
            </w:r>
          </w:p>
        </w:tc>
        <w:tc>
          <w:tcPr>
            <w:tcW w:w="8170" w:type="dxa"/>
            <w:hideMark/>
          </w:tcPr>
          <w:p w14:paraId="2F60CF1C" w14:textId="77777777" w:rsidR="0009633C" w:rsidRPr="002E7B7B" w:rsidRDefault="0009633C" w:rsidP="0009633C">
            <w:pPr>
              <w:spacing w:after="120"/>
              <w:contextualSpacing/>
              <w:jc w:val="both"/>
              <w:rPr>
                <w:rFonts w:cs="Times New Roman"/>
              </w:rPr>
            </w:pPr>
            <w:r w:rsidRPr="002E7B7B">
              <w:rPr>
                <w:rFonts w:cs="Times New Roman"/>
              </w:rPr>
              <w:t>78 and 93</w:t>
            </w:r>
          </w:p>
        </w:tc>
      </w:tr>
      <w:tr w:rsidR="0009633C" w:rsidRPr="002E7B7B" w14:paraId="3BF03E7A" w14:textId="77777777" w:rsidTr="0009633C">
        <w:trPr>
          <w:trHeight w:val="300"/>
        </w:trPr>
        <w:tc>
          <w:tcPr>
            <w:tcW w:w="846" w:type="dxa"/>
            <w:hideMark/>
          </w:tcPr>
          <w:p w14:paraId="15BC5DAD" w14:textId="77777777" w:rsidR="0009633C" w:rsidRPr="002E7B7B" w:rsidRDefault="0009633C" w:rsidP="0009633C">
            <w:pPr>
              <w:spacing w:after="120"/>
              <w:contextualSpacing/>
              <w:jc w:val="both"/>
              <w:rPr>
                <w:rFonts w:cs="Times New Roman"/>
              </w:rPr>
            </w:pPr>
            <w:r w:rsidRPr="002E7B7B">
              <w:rPr>
                <w:rFonts w:cs="Times New Roman"/>
              </w:rPr>
              <w:t>95</w:t>
            </w:r>
          </w:p>
        </w:tc>
        <w:tc>
          <w:tcPr>
            <w:tcW w:w="8170" w:type="dxa"/>
            <w:hideMark/>
          </w:tcPr>
          <w:p w14:paraId="766280B3" w14:textId="77777777" w:rsidR="0009633C" w:rsidRPr="002E7B7B" w:rsidRDefault="0009633C" w:rsidP="0009633C">
            <w:pPr>
              <w:spacing w:after="120"/>
              <w:contextualSpacing/>
              <w:jc w:val="both"/>
              <w:rPr>
                <w:rFonts w:cs="Times New Roman"/>
              </w:rPr>
            </w:pPr>
            <w:r w:rsidRPr="002E7B7B">
              <w:rPr>
                <w:rFonts w:cs="Times New Roman"/>
              </w:rPr>
              <w:t>17 or 25 or 47 or 74 or 94</w:t>
            </w:r>
          </w:p>
        </w:tc>
      </w:tr>
      <w:tr w:rsidR="0009633C" w:rsidRPr="002E7B7B" w14:paraId="6B7FFF5D" w14:textId="77777777" w:rsidTr="0009633C">
        <w:trPr>
          <w:trHeight w:val="300"/>
        </w:trPr>
        <w:tc>
          <w:tcPr>
            <w:tcW w:w="846" w:type="dxa"/>
            <w:hideMark/>
          </w:tcPr>
          <w:p w14:paraId="0A999415" w14:textId="77777777" w:rsidR="0009633C" w:rsidRPr="002E7B7B" w:rsidRDefault="0009633C" w:rsidP="0009633C">
            <w:pPr>
              <w:spacing w:after="120"/>
              <w:contextualSpacing/>
              <w:jc w:val="both"/>
              <w:rPr>
                <w:rFonts w:cs="Times New Roman"/>
              </w:rPr>
            </w:pPr>
            <w:r w:rsidRPr="002E7B7B">
              <w:rPr>
                <w:rFonts w:cs="Times New Roman"/>
              </w:rPr>
              <w:t>96</w:t>
            </w:r>
          </w:p>
        </w:tc>
        <w:tc>
          <w:tcPr>
            <w:tcW w:w="8170" w:type="dxa"/>
            <w:noWrap/>
            <w:hideMark/>
          </w:tcPr>
          <w:p w14:paraId="40D2A13A" w14:textId="77777777" w:rsidR="0009633C" w:rsidRPr="002E7B7B" w:rsidRDefault="0009633C" w:rsidP="0009633C">
            <w:pPr>
              <w:spacing w:after="120"/>
              <w:contextualSpacing/>
              <w:jc w:val="both"/>
              <w:rPr>
                <w:rFonts w:cs="Times New Roman"/>
              </w:rPr>
            </w:pPr>
            <w:r w:rsidRPr="002E7B7B">
              <w:rPr>
                <w:rFonts w:cs="Times New Roman"/>
              </w:rPr>
              <w:t>remove duplicates from 95</w:t>
            </w:r>
          </w:p>
        </w:tc>
      </w:tr>
    </w:tbl>
    <w:p w14:paraId="28749610" w14:textId="77777777" w:rsidR="0009633C" w:rsidRPr="002E7B7B" w:rsidRDefault="0009633C" w:rsidP="0009633C">
      <w:pPr>
        <w:spacing w:after="120" w:line="240" w:lineRule="auto"/>
        <w:contextualSpacing/>
        <w:jc w:val="both"/>
        <w:rPr>
          <w:rFonts w:cs="Times New Roman"/>
        </w:rPr>
      </w:pPr>
    </w:p>
    <w:p w14:paraId="1BADA048" w14:textId="77777777" w:rsidR="0009633C" w:rsidRPr="002E7B7B" w:rsidRDefault="0009633C" w:rsidP="0009633C">
      <w:pPr>
        <w:spacing w:after="120" w:line="240" w:lineRule="auto"/>
        <w:contextualSpacing/>
        <w:jc w:val="both"/>
        <w:rPr>
          <w:rFonts w:cs="Times New Roman"/>
          <w:b/>
        </w:rPr>
      </w:pPr>
      <w:r w:rsidRPr="002E7B7B">
        <w:rPr>
          <w:rFonts w:cs="Times New Roman"/>
          <w:b/>
        </w:rPr>
        <w:t>Science Citation Index (SCI-E) and Conference Proceedings Citation Index (CPCI): Web of Science, 1990 to 2017</w:t>
      </w:r>
    </w:p>
    <w:p w14:paraId="6EEAB408" w14:textId="77777777" w:rsidR="0009633C" w:rsidRPr="002E7B7B" w:rsidRDefault="0009633C" w:rsidP="0009633C">
      <w:pPr>
        <w:spacing w:after="120" w:line="240" w:lineRule="auto"/>
        <w:contextualSpacing/>
        <w:jc w:val="both"/>
        <w:rPr>
          <w:rFonts w:cs="Times New Roman"/>
        </w:rPr>
      </w:pPr>
      <w:r w:rsidRPr="002E7B7B">
        <w:rPr>
          <w:rFonts w:cs="Times New Roman"/>
        </w:rPr>
        <w:t>14</w:t>
      </w:r>
      <w:r w:rsidRPr="002E7B7B">
        <w:rPr>
          <w:rFonts w:cs="Times New Roman"/>
          <w:vertAlign w:val="superscript"/>
        </w:rPr>
        <w:t>th</w:t>
      </w:r>
      <w:r w:rsidRPr="002E7B7B">
        <w:rPr>
          <w:rFonts w:cs="Times New Roman"/>
        </w:rPr>
        <w:t xml:space="preserve"> August 2017</w:t>
      </w:r>
    </w:p>
    <w:p w14:paraId="3D099ADB" w14:textId="77777777" w:rsidR="0009633C" w:rsidRPr="002E7B7B" w:rsidRDefault="0009633C" w:rsidP="0009633C">
      <w:pPr>
        <w:spacing w:after="120" w:line="240" w:lineRule="auto"/>
        <w:contextualSpacing/>
        <w:jc w:val="both"/>
        <w:rPr>
          <w:rFonts w:cs="Times New Roman"/>
        </w:rPr>
      </w:pPr>
    </w:p>
    <w:tbl>
      <w:tblPr>
        <w:tblW w:w="0" w:type="auto"/>
        <w:tblLook w:val="04A0" w:firstRow="1" w:lastRow="0" w:firstColumn="1" w:lastColumn="0" w:noHBand="0" w:noVBand="1"/>
      </w:tblPr>
      <w:tblGrid>
        <w:gridCol w:w="1103"/>
        <w:gridCol w:w="7913"/>
      </w:tblGrid>
      <w:tr w:rsidR="0009633C" w:rsidRPr="002E7B7B" w14:paraId="74AD232C" w14:textId="77777777" w:rsidTr="0009633C">
        <w:trPr>
          <w:trHeight w:val="300"/>
        </w:trPr>
        <w:tc>
          <w:tcPr>
            <w:tcW w:w="1103" w:type="dxa"/>
            <w:hideMark/>
          </w:tcPr>
          <w:p w14:paraId="34869874" w14:textId="77777777" w:rsidR="0009633C" w:rsidRPr="002E7B7B" w:rsidRDefault="0009633C" w:rsidP="0009633C">
            <w:pPr>
              <w:spacing w:after="120"/>
              <w:contextualSpacing/>
              <w:jc w:val="both"/>
              <w:rPr>
                <w:rFonts w:cs="Times New Roman"/>
                <w:b/>
                <w:bCs/>
              </w:rPr>
            </w:pPr>
            <w:r w:rsidRPr="002E7B7B">
              <w:rPr>
                <w:rFonts w:cs="Times New Roman"/>
                <w:b/>
                <w:bCs/>
              </w:rPr>
              <w:t>#</w:t>
            </w:r>
          </w:p>
        </w:tc>
        <w:tc>
          <w:tcPr>
            <w:tcW w:w="7913" w:type="dxa"/>
            <w:hideMark/>
          </w:tcPr>
          <w:p w14:paraId="2A936C43" w14:textId="77777777" w:rsidR="0009633C" w:rsidRPr="002E7B7B" w:rsidRDefault="0009633C" w:rsidP="0009633C">
            <w:pPr>
              <w:spacing w:after="120"/>
              <w:contextualSpacing/>
              <w:jc w:val="both"/>
              <w:rPr>
                <w:rFonts w:cs="Times New Roman"/>
                <w:b/>
                <w:bCs/>
              </w:rPr>
            </w:pPr>
            <w:r w:rsidRPr="002E7B7B">
              <w:rPr>
                <w:rFonts w:cs="Times New Roman"/>
                <w:b/>
                <w:bCs/>
              </w:rPr>
              <w:t>Searches</w:t>
            </w:r>
          </w:p>
        </w:tc>
      </w:tr>
      <w:tr w:rsidR="0009633C" w:rsidRPr="002E7B7B" w14:paraId="108F145B" w14:textId="77777777" w:rsidTr="0009633C">
        <w:trPr>
          <w:trHeight w:val="300"/>
        </w:trPr>
        <w:tc>
          <w:tcPr>
            <w:tcW w:w="1103" w:type="dxa"/>
            <w:noWrap/>
            <w:hideMark/>
          </w:tcPr>
          <w:p w14:paraId="312B5136" w14:textId="77777777" w:rsidR="0009633C" w:rsidRPr="002E7B7B" w:rsidRDefault="0009633C" w:rsidP="0009633C">
            <w:pPr>
              <w:spacing w:after="120"/>
              <w:contextualSpacing/>
              <w:jc w:val="both"/>
              <w:rPr>
                <w:rFonts w:cs="Times New Roman"/>
              </w:rPr>
            </w:pPr>
            <w:r w:rsidRPr="002E7B7B">
              <w:rPr>
                <w:rFonts w:cs="Times New Roman"/>
              </w:rPr>
              <w:t># 1</w:t>
            </w:r>
          </w:p>
        </w:tc>
        <w:tc>
          <w:tcPr>
            <w:tcW w:w="7913" w:type="dxa"/>
            <w:noWrap/>
            <w:hideMark/>
          </w:tcPr>
          <w:p w14:paraId="65D752C4" w14:textId="77777777" w:rsidR="0009633C" w:rsidRPr="002E7B7B" w:rsidRDefault="0009633C" w:rsidP="0009633C">
            <w:pPr>
              <w:spacing w:after="120"/>
              <w:contextualSpacing/>
              <w:jc w:val="both"/>
              <w:rPr>
                <w:rFonts w:cs="Times New Roman"/>
              </w:rPr>
            </w:pPr>
            <w:r w:rsidRPr="002E7B7B">
              <w:rPr>
                <w:rFonts w:cs="Times New Roman"/>
              </w:rPr>
              <w:t xml:space="preserve">TS=(creutzfeldt jakob NEAR/1 disease) OR TS=(creutzfeldt jakob NEAR/1 syndrome) OR TS=(creutzfeldt-jakob NEAR/1 disease) OR TS=(creutzfeldt-jakob NEAR/1 syndrome) </w:t>
            </w:r>
          </w:p>
        </w:tc>
      </w:tr>
      <w:tr w:rsidR="0009633C" w:rsidRPr="002E7B7B" w14:paraId="634641A7" w14:textId="77777777" w:rsidTr="0009633C">
        <w:trPr>
          <w:trHeight w:val="300"/>
        </w:trPr>
        <w:tc>
          <w:tcPr>
            <w:tcW w:w="1103" w:type="dxa"/>
            <w:noWrap/>
            <w:hideMark/>
          </w:tcPr>
          <w:p w14:paraId="5C0C90CB" w14:textId="77777777" w:rsidR="0009633C" w:rsidRPr="002E7B7B" w:rsidRDefault="0009633C" w:rsidP="0009633C">
            <w:pPr>
              <w:spacing w:after="120"/>
              <w:contextualSpacing/>
              <w:jc w:val="both"/>
              <w:rPr>
                <w:rFonts w:cs="Times New Roman"/>
              </w:rPr>
            </w:pPr>
            <w:r w:rsidRPr="002E7B7B">
              <w:rPr>
                <w:rFonts w:cs="Times New Roman"/>
              </w:rPr>
              <w:t># 2</w:t>
            </w:r>
          </w:p>
        </w:tc>
        <w:tc>
          <w:tcPr>
            <w:tcW w:w="7913" w:type="dxa"/>
            <w:noWrap/>
            <w:hideMark/>
          </w:tcPr>
          <w:p w14:paraId="691B9C40" w14:textId="77777777" w:rsidR="0009633C" w:rsidRPr="002E7B7B" w:rsidRDefault="0009633C" w:rsidP="0009633C">
            <w:pPr>
              <w:spacing w:after="120"/>
              <w:contextualSpacing/>
              <w:jc w:val="both"/>
              <w:rPr>
                <w:rFonts w:cs="Times New Roman"/>
              </w:rPr>
            </w:pPr>
            <w:r w:rsidRPr="002E7B7B">
              <w:rPr>
                <w:rFonts w:cs="Times New Roman"/>
              </w:rPr>
              <w:t xml:space="preserve">TS=((cjd or vcjd or v-cjd)) </w:t>
            </w:r>
          </w:p>
        </w:tc>
      </w:tr>
      <w:tr w:rsidR="0009633C" w:rsidRPr="002E7B7B" w14:paraId="64B3A7FF" w14:textId="77777777" w:rsidTr="0009633C">
        <w:trPr>
          <w:trHeight w:val="300"/>
        </w:trPr>
        <w:tc>
          <w:tcPr>
            <w:tcW w:w="1103" w:type="dxa"/>
            <w:noWrap/>
            <w:hideMark/>
          </w:tcPr>
          <w:p w14:paraId="19518DEB" w14:textId="77777777" w:rsidR="0009633C" w:rsidRPr="002E7B7B" w:rsidRDefault="0009633C" w:rsidP="0009633C">
            <w:pPr>
              <w:spacing w:after="120"/>
              <w:contextualSpacing/>
              <w:jc w:val="both"/>
              <w:rPr>
                <w:rFonts w:cs="Times New Roman"/>
              </w:rPr>
            </w:pPr>
            <w:r w:rsidRPr="002E7B7B">
              <w:rPr>
                <w:rFonts w:cs="Times New Roman"/>
              </w:rPr>
              <w:t># 3</w:t>
            </w:r>
          </w:p>
        </w:tc>
        <w:tc>
          <w:tcPr>
            <w:tcW w:w="7913" w:type="dxa"/>
            <w:noWrap/>
            <w:hideMark/>
          </w:tcPr>
          <w:p w14:paraId="68BE3993" w14:textId="77777777" w:rsidR="0009633C" w:rsidRPr="002E7B7B" w:rsidRDefault="0009633C" w:rsidP="0009633C">
            <w:pPr>
              <w:spacing w:after="120"/>
              <w:contextualSpacing/>
              <w:jc w:val="both"/>
              <w:rPr>
                <w:rFonts w:cs="Times New Roman"/>
              </w:rPr>
            </w:pPr>
            <w:r w:rsidRPr="002E7B7B">
              <w:rPr>
                <w:rFonts w:cs="Times New Roman"/>
              </w:rPr>
              <w:t xml:space="preserve">TS=(transmissible NEAR/1 encephalopath*) OR TS=(spong* NEAR/1 encephalopath*) </w:t>
            </w:r>
          </w:p>
        </w:tc>
      </w:tr>
      <w:tr w:rsidR="0009633C" w:rsidRPr="002E7B7B" w14:paraId="65CFDADD" w14:textId="77777777" w:rsidTr="0009633C">
        <w:trPr>
          <w:trHeight w:val="300"/>
        </w:trPr>
        <w:tc>
          <w:tcPr>
            <w:tcW w:w="1103" w:type="dxa"/>
            <w:noWrap/>
            <w:hideMark/>
          </w:tcPr>
          <w:p w14:paraId="5B40DB8B" w14:textId="77777777" w:rsidR="0009633C" w:rsidRPr="002E7B7B" w:rsidRDefault="0009633C" w:rsidP="0009633C">
            <w:pPr>
              <w:spacing w:after="120"/>
              <w:contextualSpacing/>
              <w:jc w:val="both"/>
              <w:rPr>
                <w:rFonts w:cs="Times New Roman"/>
              </w:rPr>
            </w:pPr>
            <w:r w:rsidRPr="002E7B7B">
              <w:rPr>
                <w:rFonts w:cs="Times New Roman"/>
              </w:rPr>
              <w:t># 4</w:t>
            </w:r>
          </w:p>
        </w:tc>
        <w:tc>
          <w:tcPr>
            <w:tcW w:w="7913" w:type="dxa"/>
            <w:noWrap/>
            <w:hideMark/>
          </w:tcPr>
          <w:p w14:paraId="623351A4" w14:textId="77777777" w:rsidR="0009633C" w:rsidRPr="002E7B7B" w:rsidRDefault="0009633C" w:rsidP="0009633C">
            <w:pPr>
              <w:spacing w:after="120"/>
              <w:contextualSpacing/>
              <w:jc w:val="both"/>
              <w:rPr>
                <w:rFonts w:cs="Times New Roman"/>
              </w:rPr>
            </w:pPr>
            <w:r w:rsidRPr="002E7B7B">
              <w:rPr>
                <w:rFonts w:cs="Times New Roman"/>
              </w:rPr>
              <w:t xml:space="preserve">TS=(prion* or tse or prp) </w:t>
            </w:r>
          </w:p>
        </w:tc>
      </w:tr>
      <w:tr w:rsidR="0009633C" w:rsidRPr="002E7B7B" w14:paraId="53DAF8FB" w14:textId="77777777" w:rsidTr="0009633C">
        <w:trPr>
          <w:trHeight w:val="300"/>
        </w:trPr>
        <w:tc>
          <w:tcPr>
            <w:tcW w:w="1103" w:type="dxa"/>
            <w:noWrap/>
            <w:hideMark/>
          </w:tcPr>
          <w:p w14:paraId="720C4BC4" w14:textId="77777777" w:rsidR="0009633C" w:rsidRPr="002E7B7B" w:rsidRDefault="0009633C" w:rsidP="0009633C">
            <w:pPr>
              <w:spacing w:after="120"/>
              <w:contextualSpacing/>
              <w:jc w:val="both"/>
              <w:rPr>
                <w:rFonts w:cs="Times New Roman"/>
              </w:rPr>
            </w:pPr>
            <w:r w:rsidRPr="002E7B7B">
              <w:rPr>
                <w:rFonts w:cs="Times New Roman"/>
              </w:rPr>
              <w:t># 5</w:t>
            </w:r>
          </w:p>
        </w:tc>
        <w:tc>
          <w:tcPr>
            <w:tcW w:w="7913" w:type="dxa"/>
            <w:noWrap/>
            <w:hideMark/>
          </w:tcPr>
          <w:p w14:paraId="5CC3853A" w14:textId="77777777" w:rsidR="0009633C" w:rsidRPr="002E7B7B" w:rsidRDefault="0009633C" w:rsidP="0009633C">
            <w:pPr>
              <w:spacing w:after="120"/>
              <w:contextualSpacing/>
              <w:jc w:val="both"/>
              <w:rPr>
                <w:rFonts w:cs="Times New Roman"/>
              </w:rPr>
            </w:pPr>
            <w:r w:rsidRPr="002E7B7B">
              <w:rPr>
                <w:rFonts w:cs="Times New Roman"/>
              </w:rPr>
              <w:t xml:space="preserve">#4 OR #3 OR #2 OR #1 </w:t>
            </w:r>
          </w:p>
        </w:tc>
      </w:tr>
      <w:tr w:rsidR="0009633C" w:rsidRPr="002E7B7B" w14:paraId="21F61DD4" w14:textId="77777777" w:rsidTr="0009633C">
        <w:trPr>
          <w:trHeight w:val="300"/>
        </w:trPr>
        <w:tc>
          <w:tcPr>
            <w:tcW w:w="1103" w:type="dxa"/>
            <w:noWrap/>
            <w:hideMark/>
          </w:tcPr>
          <w:p w14:paraId="128E9924" w14:textId="77777777" w:rsidR="0009633C" w:rsidRPr="002E7B7B" w:rsidRDefault="0009633C" w:rsidP="0009633C">
            <w:pPr>
              <w:spacing w:after="120"/>
              <w:contextualSpacing/>
              <w:jc w:val="both"/>
              <w:rPr>
                <w:rFonts w:cs="Times New Roman"/>
              </w:rPr>
            </w:pPr>
            <w:r w:rsidRPr="002E7B7B">
              <w:rPr>
                <w:rFonts w:cs="Times New Roman"/>
              </w:rPr>
              <w:t># 6</w:t>
            </w:r>
          </w:p>
        </w:tc>
        <w:tc>
          <w:tcPr>
            <w:tcW w:w="7913" w:type="dxa"/>
            <w:noWrap/>
            <w:hideMark/>
          </w:tcPr>
          <w:p w14:paraId="0395B966" w14:textId="77777777" w:rsidR="0009633C" w:rsidRPr="002E7B7B" w:rsidRDefault="0009633C" w:rsidP="0009633C">
            <w:pPr>
              <w:spacing w:after="120"/>
              <w:contextualSpacing/>
              <w:jc w:val="both"/>
              <w:rPr>
                <w:rFonts w:cs="Times New Roman"/>
              </w:rPr>
            </w:pPr>
            <w:r w:rsidRPr="002E7B7B">
              <w:rPr>
                <w:rFonts w:cs="Times New Roman"/>
              </w:rPr>
              <w:t xml:space="preserve">TS= (incidence) </w:t>
            </w:r>
          </w:p>
        </w:tc>
      </w:tr>
      <w:tr w:rsidR="0009633C" w:rsidRPr="002E7B7B" w14:paraId="26600E15" w14:textId="77777777" w:rsidTr="0009633C">
        <w:trPr>
          <w:trHeight w:val="300"/>
        </w:trPr>
        <w:tc>
          <w:tcPr>
            <w:tcW w:w="1103" w:type="dxa"/>
            <w:noWrap/>
            <w:hideMark/>
          </w:tcPr>
          <w:p w14:paraId="79E30216" w14:textId="77777777" w:rsidR="0009633C" w:rsidRPr="002E7B7B" w:rsidRDefault="0009633C" w:rsidP="0009633C">
            <w:pPr>
              <w:spacing w:after="120"/>
              <w:contextualSpacing/>
              <w:jc w:val="both"/>
              <w:rPr>
                <w:rFonts w:cs="Times New Roman"/>
              </w:rPr>
            </w:pPr>
            <w:r w:rsidRPr="002E7B7B">
              <w:rPr>
                <w:rFonts w:cs="Times New Roman"/>
              </w:rPr>
              <w:t># 7</w:t>
            </w:r>
          </w:p>
        </w:tc>
        <w:tc>
          <w:tcPr>
            <w:tcW w:w="7913" w:type="dxa"/>
            <w:noWrap/>
            <w:hideMark/>
          </w:tcPr>
          <w:p w14:paraId="14D40F6A" w14:textId="77777777" w:rsidR="0009633C" w:rsidRPr="002E7B7B" w:rsidRDefault="0009633C" w:rsidP="0009633C">
            <w:pPr>
              <w:spacing w:after="120"/>
              <w:contextualSpacing/>
              <w:jc w:val="both"/>
              <w:rPr>
                <w:rFonts w:cs="Times New Roman"/>
              </w:rPr>
            </w:pPr>
            <w:r w:rsidRPr="002E7B7B">
              <w:rPr>
                <w:rFonts w:cs="Times New Roman"/>
              </w:rPr>
              <w:t xml:space="preserve">TS= (prevalence) </w:t>
            </w:r>
          </w:p>
        </w:tc>
      </w:tr>
      <w:tr w:rsidR="0009633C" w:rsidRPr="002E7B7B" w14:paraId="350B9650" w14:textId="77777777" w:rsidTr="0009633C">
        <w:trPr>
          <w:trHeight w:val="300"/>
        </w:trPr>
        <w:tc>
          <w:tcPr>
            <w:tcW w:w="1103" w:type="dxa"/>
            <w:noWrap/>
            <w:hideMark/>
          </w:tcPr>
          <w:p w14:paraId="4E08F46D" w14:textId="77777777" w:rsidR="0009633C" w:rsidRPr="002E7B7B" w:rsidRDefault="0009633C" w:rsidP="0009633C">
            <w:pPr>
              <w:spacing w:after="120"/>
              <w:contextualSpacing/>
              <w:jc w:val="both"/>
              <w:rPr>
                <w:rFonts w:cs="Times New Roman"/>
              </w:rPr>
            </w:pPr>
            <w:r w:rsidRPr="002E7B7B">
              <w:rPr>
                <w:rFonts w:cs="Times New Roman"/>
              </w:rPr>
              <w:t># 8</w:t>
            </w:r>
          </w:p>
        </w:tc>
        <w:tc>
          <w:tcPr>
            <w:tcW w:w="7913" w:type="dxa"/>
            <w:noWrap/>
            <w:hideMark/>
          </w:tcPr>
          <w:p w14:paraId="4895C74C" w14:textId="77777777" w:rsidR="0009633C" w:rsidRPr="002E7B7B" w:rsidRDefault="0009633C" w:rsidP="0009633C">
            <w:pPr>
              <w:spacing w:after="120"/>
              <w:contextualSpacing/>
              <w:jc w:val="both"/>
              <w:rPr>
                <w:rFonts w:cs="Times New Roman"/>
              </w:rPr>
            </w:pPr>
            <w:r w:rsidRPr="002E7B7B">
              <w:rPr>
                <w:rFonts w:cs="Times New Roman"/>
              </w:rPr>
              <w:t xml:space="preserve">TS= (incubat*) </w:t>
            </w:r>
          </w:p>
        </w:tc>
      </w:tr>
      <w:tr w:rsidR="0009633C" w:rsidRPr="002E7B7B" w14:paraId="1EEFB35C" w14:textId="77777777" w:rsidTr="0009633C">
        <w:trPr>
          <w:trHeight w:val="300"/>
        </w:trPr>
        <w:tc>
          <w:tcPr>
            <w:tcW w:w="1103" w:type="dxa"/>
            <w:noWrap/>
            <w:hideMark/>
          </w:tcPr>
          <w:p w14:paraId="18923D87" w14:textId="77777777" w:rsidR="0009633C" w:rsidRPr="002E7B7B" w:rsidRDefault="0009633C" w:rsidP="0009633C">
            <w:pPr>
              <w:spacing w:after="120"/>
              <w:contextualSpacing/>
              <w:jc w:val="both"/>
              <w:rPr>
                <w:rFonts w:cs="Times New Roman"/>
              </w:rPr>
            </w:pPr>
            <w:r w:rsidRPr="002E7B7B">
              <w:rPr>
                <w:rFonts w:cs="Times New Roman"/>
              </w:rPr>
              <w:t># 9</w:t>
            </w:r>
          </w:p>
        </w:tc>
        <w:tc>
          <w:tcPr>
            <w:tcW w:w="7913" w:type="dxa"/>
            <w:noWrap/>
            <w:hideMark/>
          </w:tcPr>
          <w:p w14:paraId="3D4F1BF1" w14:textId="77777777" w:rsidR="0009633C" w:rsidRPr="002E7B7B" w:rsidRDefault="0009633C" w:rsidP="0009633C">
            <w:pPr>
              <w:spacing w:after="120"/>
              <w:contextualSpacing/>
              <w:jc w:val="both"/>
              <w:rPr>
                <w:rFonts w:cs="Times New Roman"/>
              </w:rPr>
            </w:pPr>
            <w:r w:rsidRPr="002E7B7B">
              <w:rPr>
                <w:rFonts w:cs="Times New Roman"/>
              </w:rPr>
              <w:t xml:space="preserve">#8 OR #7 OR #6 </w:t>
            </w:r>
          </w:p>
        </w:tc>
      </w:tr>
      <w:tr w:rsidR="0009633C" w:rsidRPr="002E7B7B" w14:paraId="328EA820" w14:textId="77777777" w:rsidTr="0009633C">
        <w:trPr>
          <w:trHeight w:val="300"/>
        </w:trPr>
        <w:tc>
          <w:tcPr>
            <w:tcW w:w="1103" w:type="dxa"/>
            <w:noWrap/>
            <w:hideMark/>
          </w:tcPr>
          <w:p w14:paraId="6CC09CD9" w14:textId="77777777" w:rsidR="0009633C" w:rsidRPr="002E7B7B" w:rsidRDefault="0009633C" w:rsidP="0009633C">
            <w:pPr>
              <w:spacing w:after="120"/>
              <w:contextualSpacing/>
              <w:jc w:val="both"/>
              <w:rPr>
                <w:rFonts w:cs="Times New Roman"/>
              </w:rPr>
            </w:pPr>
            <w:r w:rsidRPr="002E7B7B">
              <w:rPr>
                <w:rFonts w:cs="Times New Roman"/>
              </w:rPr>
              <w:t># 10</w:t>
            </w:r>
          </w:p>
        </w:tc>
        <w:tc>
          <w:tcPr>
            <w:tcW w:w="7913" w:type="dxa"/>
            <w:noWrap/>
            <w:hideMark/>
          </w:tcPr>
          <w:p w14:paraId="344E1529" w14:textId="77777777" w:rsidR="0009633C" w:rsidRPr="002E7B7B" w:rsidRDefault="0009633C" w:rsidP="0009633C">
            <w:pPr>
              <w:spacing w:after="120"/>
              <w:contextualSpacing/>
              <w:jc w:val="both"/>
              <w:rPr>
                <w:rFonts w:cs="Times New Roman"/>
              </w:rPr>
            </w:pPr>
            <w:r w:rsidRPr="002E7B7B">
              <w:rPr>
                <w:rFonts w:cs="Times New Roman"/>
              </w:rPr>
              <w:t>#9 AND #5 Timespan=2005-2017</w:t>
            </w:r>
          </w:p>
        </w:tc>
      </w:tr>
      <w:tr w:rsidR="0009633C" w:rsidRPr="002E7B7B" w14:paraId="291850FC" w14:textId="77777777" w:rsidTr="0009633C">
        <w:trPr>
          <w:trHeight w:val="300"/>
        </w:trPr>
        <w:tc>
          <w:tcPr>
            <w:tcW w:w="1103" w:type="dxa"/>
            <w:noWrap/>
            <w:hideMark/>
          </w:tcPr>
          <w:p w14:paraId="25D4B27C" w14:textId="77777777" w:rsidR="0009633C" w:rsidRPr="002E7B7B" w:rsidRDefault="0009633C" w:rsidP="0009633C">
            <w:pPr>
              <w:spacing w:after="120"/>
              <w:contextualSpacing/>
              <w:jc w:val="both"/>
              <w:rPr>
                <w:rFonts w:cs="Times New Roman"/>
              </w:rPr>
            </w:pPr>
            <w:r w:rsidRPr="002E7B7B">
              <w:rPr>
                <w:rFonts w:cs="Times New Roman"/>
              </w:rPr>
              <w:t># 11</w:t>
            </w:r>
          </w:p>
        </w:tc>
        <w:tc>
          <w:tcPr>
            <w:tcW w:w="7913" w:type="dxa"/>
            <w:noWrap/>
            <w:hideMark/>
          </w:tcPr>
          <w:p w14:paraId="6BD0173C" w14:textId="77777777" w:rsidR="0009633C" w:rsidRPr="002E7B7B" w:rsidRDefault="0009633C" w:rsidP="0009633C">
            <w:pPr>
              <w:spacing w:after="120"/>
              <w:contextualSpacing/>
              <w:jc w:val="both"/>
              <w:rPr>
                <w:rFonts w:cs="Times New Roman"/>
              </w:rPr>
            </w:pPr>
            <w:r w:rsidRPr="002E7B7B">
              <w:rPr>
                <w:rFonts w:cs="Times New Roman"/>
              </w:rPr>
              <w:t xml:space="preserve">TS=(creutzfeldt jakob NEAR/1 disease) OR TS=(creutzfeldt jakob NEAR/1 syndrome) OR TS=(creutzfeldt-jakob NEAR/1 disease) OR TS=(creutzfeldt-jakob NEAR/1 syndrome) </w:t>
            </w:r>
          </w:p>
        </w:tc>
      </w:tr>
      <w:tr w:rsidR="0009633C" w:rsidRPr="002E7B7B" w14:paraId="234972E8" w14:textId="77777777" w:rsidTr="0009633C">
        <w:trPr>
          <w:trHeight w:val="300"/>
        </w:trPr>
        <w:tc>
          <w:tcPr>
            <w:tcW w:w="1103" w:type="dxa"/>
            <w:noWrap/>
            <w:hideMark/>
          </w:tcPr>
          <w:p w14:paraId="24E79483" w14:textId="77777777" w:rsidR="0009633C" w:rsidRPr="002E7B7B" w:rsidRDefault="0009633C" w:rsidP="0009633C">
            <w:pPr>
              <w:spacing w:after="120"/>
              <w:contextualSpacing/>
              <w:jc w:val="both"/>
              <w:rPr>
                <w:rFonts w:cs="Times New Roman"/>
              </w:rPr>
            </w:pPr>
            <w:r w:rsidRPr="002E7B7B">
              <w:rPr>
                <w:rFonts w:cs="Times New Roman"/>
              </w:rPr>
              <w:t># 12</w:t>
            </w:r>
          </w:p>
        </w:tc>
        <w:tc>
          <w:tcPr>
            <w:tcW w:w="7913" w:type="dxa"/>
            <w:noWrap/>
            <w:hideMark/>
          </w:tcPr>
          <w:p w14:paraId="63392B92" w14:textId="77777777" w:rsidR="0009633C" w:rsidRPr="002E7B7B" w:rsidRDefault="0009633C" w:rsidP="0009633C">
            <w:pPr>
              <w:spacing w:after="120"/>
              <w:contextualSpacing/>
              <w:jc w:val="both"/>
              <w:rPr>
                <w:rFonts w:cs="Times New Roman"/>
              </w:rPr>
            </w:pPr>
            <w:r w:rsidRPr="002E7B7B">
              <w:rPr>
                <w:rFonts w:cs="Times New Roman"/>
              </w:rPr>
              <w:t xml:space="preserve">TS=((cjd or vcjd or v-cjd)) </w:t>
            </w:r>
          </w:p>
        </w:tc>
      </w:tr>
      <w:tr w:rsidR="0009633C" w:rsidRPr="002E7B7B" w14:paraId="42D768B8" w14:textId="77777777" w:rsidTr="0009633C">
        <w:trPr>
          <w:trHeight w:val="300"/>
        </w:trPr>
        <w:tc>
          <w:tcPr>
            <w:tcW w:w="1103" w:type="dxa"/>
            <w:noWrap/>
            <w:hideMark/>
          </w:tcPr>
          <w:p w14:paraId="53C9F337" w14:textId="77777777" w:rsidR="0009633C" w:rsidRPr="002E7B7B" w:rsidRDefault="0009633C" w:rsidP="0009633C">
            <w:pPr>
              <w:spacing w:after="120"/>
              <w:contextualSpacing/>
              <w:jc w:val="both"/>
              <w:rPr>
                <w:rFonts w:cs="Times New Roman"/>
              </w:rPr>
            </w:pPr>
            <w:r w:rsidRPr="002E7B7B">
              <w:rPr>
                <w:rFonts w:cs="Times New Roman"/>
              </w:rPr>
              <w:t># 13</w:t>
            </w:r>
          </w:p>
        </w:tc>
        <w:tc>
          <w:tcPr>
            <w:tcW w:w="7913" w:type="dxa"/>
            <w:noWrap/>
            <w:hideMark/>
          </w:tcPr>
          <w:p w14:paraId="05846305" w14:textId="77777777" w:rsidR="0009633C" w:rsidRPr="002E7B7B" w:rsidRDefault="0009633C" w:rsidP="0009633C">
            <w:pPr>
              <w:spacing w:after="120"/>
              <w:contextualSpacing/>
              <w:jc w:val="both"/>
              <w:rPr>
                <w:rFonts w:cs="Times New Roman"/>
              </w:rPr>
            </w:pPr>
            <w:r w:rsidRPr="002E7B7B">
              <w:rPr>
                <w:rFonts w:cs="Times New Roman"/>
              </w:rPr>
              <w:t xml:space="preserve">TS=(transmissible NEAR/1 encephalopath*) OR TS=(spong* NEAR/1 encephalopath*) </w:t>
            </w:r>
          </w:p>
        </w:tc>
      </w:tr>
      <w:tr w:rsidR="0009633C" w:rsidRPr="002E7B7B" w14:paraId="49FB52CE" w14:textId="77777777" w:rsidTr="0009633C">
        <w:trPr>
          <w:trHeight w:val="300"/>
        </w:trPr>
        <w:tc>
          <w:tcPr>
            <w:tcW w:w="1103" w:type="dxa"/>
            <w:noWrap/>
            <w:hideMark/>
          </w:tcPr>
          <w:p w14:paraId="5CD933A2" w14:textId="77777777" w:rsidR="0009633C" w:rsidRPr="002E7B7B" w:rsidRDefault="0009633C" w:rsidP="0009633C">
            <w:pPr>
              <w:spacing w:after="120"/>
              <w:contextualSpacing/>
              <w:jc w:val="both"/>
              <w:rPr>
                <w:rFonts w:cs="Times New Roman"/>
              </w:rPr>
            </w:pPr>
            <w:r w:rsidRPr="002E7B7B">
              <w:rPr>
                <w:rFonts w:cs="Times New Roman"/>
              </w:rPr>
              <w:t># 14</w:t>
            </w:r>
          </w:p>
        </w:tc>
        <w:tc>
          <w:tcPr>
            <w:tcW w:w="7913" w:type="dxa"/>
            <w:noWrap/>
            <w:hideMark/>
          </w:tcPr>
          <w:p w14:paraId="139EB10F" w14:textId="77777777" w:rsidR="0009633C" w:rsidRPr="002E7B7B" w:rsidRDefault="0009633C" w:rsidP="0009633C">
            <w:pPr>
              <w:spacing w:after="120"/>
              <w:contextualSpacing/>
              <w:jc w:val="both"/>
              <w:rPr>
                <w:rFonts w:cs="Times New Roman"/>
              </w:rPr>
            </w:pPr>
            <w:r w:rsidRPr="002E7B7B">
              <w:rPr>
                <w:rFonts w:cs="Times New Roman"/>
              </w:rPr>
              <w:t xml:space="preserve">TS=(prion* or tse or prp) </w:t>
            </w:r>
          </w:p>
        </w:tc>
      </w:tr>
      <w:tr w:rsidR="0009633C" w:rsidRPr="002E7B7B" w14:paraId="1D7C9654" w14:textId="77777777" w:rsidTr="0009633C">
        <w:trPr>
          <w:trHeight w:val="300"/>
        </w:trPr>
        <w:tc>
          <w:tcPr>
            <w:tcW w:w="1103" w:type="dxa"/>
            <w:noWrap/>
            <w:hideMark/>
          </w:tcPr>
          <w:p w14:paraId="49A4982E" w14:textId="77777777" w:rsidR="0009633C" w:rsidRPr="002E7B7B" w:rsidRDefault="0009633C" w:rsidP="0009633C">
            <w:pPr>
              <w:spacing w:after="120"/>
              <w:contextualSpacing/>
              <w:jc w:val="both"/>
              <w:rPr>
                <w:rFonts w:cs="Times New Roman"/>
              </w:rPr>
            </w:pPr>
            <w:r w:rsidRPr="002E7B7B">
              <w:rPr>
                <w:rFonts w:cs="Times New Roman"/>
              </w:rPr>
              <w:t># 15</w:t>
            </w:r>
          </w:p>
        </w:tc>
        <w:tc>
          <w:tcPr>
            <w:tcW w:w="7913" w:type="dxa"/>
            <w:noWrap/>
            <w:hideMark/>
          </w:tcPr>
          <w:p w14:paraId="4A6EF367" w14:textId="77777777" w:rsidR="0009633C" w:rsidRPr="002E7B7B" w:rsidRDefault="0009633C" w:rsidP="0009633C">
            <w:pPr>
              <w:spacing w:after="120"/>
              <w:contextualSpacing/>
              <w:jc w:val="both"/>
              <w:rPr>
                <w:rFonts w:cs="Times New Roman"/>
              </w:rPr>
            </w:pPr>
            <w:r w:rsidRPr="002E7B7B">
              <w:rPr>
                <w:rFonts w:cs="Times New Roman"/>
              </w:rPr>
              <w:t xml:space="preserve">#14 OR #13 OR #12 OR #11 </w:t>
            </w:r>
          </w:p>
        </w:tc>
      </w:tr>
      <w:tr w:rsidR="0009633C" w:rsidRPr="002E7B7B" w14:paraId="43DAFD50" w14:textId="77777777" w:rsidTr="0009633C">
        <w:trPr>
          <w:trHeight w:val="300"/>
        </w:trPr>
        <w:tc>
          <w:tcPr>
            <w:tcW w:w="1103" w:type="dxa"/>
            <w:noWrap/>
            <w:hideMark/>
          </w:tcPr>
          <w:p w14:paraId="4F9FDB2C" w14:textId="77777777" w:rsidR="0009633C" w:rsidRPr="002E7B7B" w:rsidRDefault="0009633C" w:rsidP="0009633C">
            <w:pPr>
              <w:spacing w:after="120"/>
              <w:contextualSpacing/>
              <w:jc w:val="both"/>
              <w:rPr>
                <w:rFonts w:cs="Times New Roman"/>
              </w:rPr>
            </w:pPr>
            <w:r w:rsidRPr="002E7B7B">
              <w:rPr>
                <w:rFonts w:cs="Times New Roman"/>
              </w:rPr>
              <w:t># 16</w:t>
            </w:r>
          </w:p>
        </w:tc>
        <w:tc>
          <w:tcPr>
            <w:tcW w:w="7913" w:type="dxa"/>
            <w:noWrap/>
            <w:hideMark/>
          </w:tcPr>
          <w:p w14:paraId="42A80BD7" w14:textId="77777777" w:rsidR="0009633C" w:rsidRPr="002E7B7B" w:rsidRDefault="0009633C" w:rsidP="0009633C">
            <w:pPr>
              <w:spacing w:after="120"/>
              <w:contextualSpacing/>
              <w:jc w:val="both"/>
              <w:rPr>
                <w:rFonts w:cs="Times New Roman"/>
              </w:rPr>
            </w:pPr>
            <w:r w:rsidRPr="002E7B7B">
              <w:rPr>
                <w:rFonts w:cs="Times New Roman"/>
              </w:rPr>
              <w:t xml:space="preserve">TS=(((transmission or transmit* or iatrogenic or transfer*) NEAR/5 (creutzfeldt or cjd or vcjd or v-cjd or encephalopath* or prion* or tse or prp))) </w:t>
            </w:r>
          </w:p>
        </w:tc>
      </w:tr>
      <w:tr w:rsidR="0009633C" w:rsidRPr="002E7B7B" w14:paraId="3E0D8B34" w14:textId="77777777" w:rsidTr="0009633C">
        <w:trPr>
          <w:trHeight w:val="300"/>
        </w:trPr>
        <w:tc>
          <w:tcPr>
            <w:tcW w:w="1103" w:type="dxa"/>
            <w:noWrap/>
            <w:hideMark/>
          </w:tcPr>
          <w:p w14:paraId="4334C778" w14:textId="77777777" w:rsidR="0009633C" w:rsidRPr="002E7B7B" w:rsidRDefault="0009633C" w:rsidP="0009633C">
            <w:pPr>
              <w:spacing w:after="120"/>
              <w:contextualSpacing/>
              <w:jc w:val="both"/>
              <w:rPr>
                <w:rFonts w:cs="Times New Roman"/>
              </w:rPr>
            </w:pPr>
            <w:r w:rsidRPr="002E7B7B">
              <w:rPr>
                <w:rFonts w:cs="Times New Roman"/>
              </w:rPr>
              <w:t># 17</w:t>
            </w:r>
          </w:p>
        </w:tc>
        <w:tc>
          <w:tcPr>
            <w:tcW w:w="7913" w:type="dxa"/>
            <w:noWrap/>
            <w:hideMark/>
          </w:tcPr>
          <w:p w14:paraId="5AD52587" w14:textId="77777777" w:rsidR="0009633C" w:rsidRPr="002E7B7B" w:rsidRDefault="0009633C" w:rsidP="0009633C">
            <w:pPr>
              <w:spacing w:after="120"/>
              <w:contextualSpacing/>
              <w:jc w:val="both"/>
              <w:rPr>
                <w:rFonts w:cs="Times New Roman"/>
              </w:rPr>
            </w:pPr>
            <w:r w:rsidRPr="002E7B7B">
              <w:rPr>
                <w:rFonts w:cs="Times New Roman"/>
              </w:rPr>
              <w:t xml:space="preserve">TS=(((surgery or surgical* or instrument* or device* or equipment*) NEAR/5 (decontaminat* or reprocess* or disinfect* or wash* or clean* or steril* or contaminat* or prerinse or pre-rinse or inactivat*))) </w:t>
            </w:r>
          </w:p>
        </w:tc>
      </w:tr>
      <w:tr w:rsidR="0009633C" w:rsidRPr="002E7B7B" w14:paraId="7879A768" w14:textId="77777777" w:rsidTr="0009633C">
        <w:trPr>
          <w:trHeight w:val="300"/>
        </w:trPr>
        <w:tc>
          <w:tcPr>
            <w:tcW w:w="1103" w:type="dxa"/>
            <w:noWrap/>
            <w:hideMark/>
          </w:tcPr>
          <w:p w14:paraId="28A21798" w14:textId="77777777" w:rsidR="0009633C" w:rsidRPr="002E7B7B" w:rsidRDefault="0009633C" w:rsidP="0009633C">
            <w:pPr>
              <w:spacing w:after="120"/>
              <w:contextualSpacing/>
              <w:jc w:val="both"/>
              <w:rPr>
                <w:rFonts w:cs="Times New Roman"/>
              </w:rPr>
            </w:pPr>
            <w:r w:rsidRPr="002E7B7B">
              <w:rPr>
                <w:rFonts w:cs="Times New Roman"/>
              </w:rPr>
              <w:t># 18</w:t>
            </w:r>
          </w:p>
        </w:tc>
        <w:tc>
          <w:tcPr>
            <w:tcW w:w="7913" w:type="dxa"/>
            <w:noWrap/>
            <w:hideMark/>
          </w:tcPr>
          <w:p w14:paraId="6D6FE38E" w14:textId="77777777" w:rsidR="0009633C" w:rsidRPr="002E7B7B" w:rsidRDefault="0009633C" w:rsidP="0009633C">
            <w:pPr>
              <w:spacing w:after="120"/>
              <w:contextualSpacing/>
              <w:jc w:val="both"/>
              <w:rPr>
                <w:rFonts w:cs="Times New Roman"/>
              </w:rPr>
            </w:pPr>
            <w:r w:rsidRPr="002E7B7B">
              <w:rPr>
                <w:rFonts w:cs="Times New Roman"/>
              </w:rPr>
              <w:t xml:space="preserve">#17 OR #16 </w:t>
            </w:r>
          </w:p>
        </w:tc>
      </w:tr>
      <w:tr w:rsidR="0009633C" w:rsidRPr="002E7B7B" w14:paraId="6F61501E" w14:textId="77777777" w:rsidTr="0009633C">
        <w:trPr>
          <w:trHeight w:val="300"/>
        </w:trPr>
        <w:tc>
          <w:tcPr>
            <w:tcW w:w="1103" w:type="dxa"/>
            <w:noWrap/>
            <w:hideMark/>
          </w:tcPr>
          <w:p w14:paraId="6E18457A" w14:textId="77777777" w:rsidR="0009633C" w:rsidRPr="002E7B7B" w:rsidRDefault="0009633C" w:rsidP="0009633C">
            <w:pPr>
              <w:spacing w:after="120"/>
              <w:contextualSpacing/>
              <w:jc w:val="both"/>
              <w:rPr>
                <w:rFonts w:cs="Times New Roman"/>
              </w:rPr>
            </w:pPr>
            <w:r w:rsidRPr="002E7B7B">
              <w:rPr>
                <w:rFonts w:cs="Times New Roman"/>
              </w:rPr>
              <w:t># 19</w:t>
            </w:r>
          </w:p>
        </w:tc>
        <w:tc>
          <w:tcPr>
            <w:tcW w:w="7913" w:type="dxa"/>
            <w:noWrap/>
            <w:hideMark/>
          </w:tcPr>
          <w:p w14:paraId="342E4D89" w14:textId="77777777" w:rsidR="0009633C" w:rsidRPr="002E7B7B" w:rsidRDefault="0009633C" w:rsidP="0009633C">
            <w:pPr>
              <w:spacing w:after="120"/>
              <w:contextualSpacing/>
              <w:jc w:val="both"/>
              <w:rPr>
                <w:rFonts w:cs="Times New Roman"/>
              </w:rPr>
            </w:pPr>
            <w:r w:rsidRPr="002E7B7B">
              <w:rPr>
                <w:rFonts w:cs="Times New Roman"/>
              </w:rPr>
              <w:t>#18 AND #15 Timespan=2005-2017</w:t>
            </w:r>
          </w:p>
        </w:tc>
      </w:tr>
      <w:tr w:rsidR="0009633C" w:rsidRPr="002E7B7B" w14:paraId="42BBC401" w14:textId="77777777" w:rsidTr="0009633C">
        <w:trPr>
          <w:trHeight w:val="300"/>
        </w:trPr>
        <w:tc>
          <w:tcPr>
            <w:tcW w:w="1103" w:type="dxa"/>
            <w:noWrap/>
            <w:hideMark/>
          </w:tcPr>
          <w:p w14:paraId="034B7674" w14:textId="77777777" w:rsidR="0009633C" w:rsidRPr="002E7B7B" w:rsidRDefault="0009633C" w:rsidP="0009633C">
            <w:pPr>
              <w:spacing w:after="120"/>
              <w:contextualSpacing/>
              <w:jc w:val="both"/>
              <w:rPr>
                <w:rFonts w:cs="Times New Roman"/>
              </w:rPr>
            </w:pPr>
            <w:r w:rsidRPr="002E7B7B">
              <w:rPr>
                <w:rFonts w:cs="Times New Roman"/>
              </w:rPr>
              <w:t># 20</w:t>
            </w:r>
          </w:p>
        </w:tc>
        <w:tc>
          <w:tcPr>
            <w:tcW w:w="7913" w:type="dxa"/>
            <w:noWrap/>
            <w:hideMark/>
          </w:tcPr>
          <w:p w14:paraId="010BF4D2" w14:textId="77777777" w:rsidR="0009633C" w:rsidRPr="002E7B7B" w:rsidRDefault="0009633C" w:rsidP="0009633C">
            <w:pPr>
              <w:spacing w:after="120"/>
              <w:contextualSpacing/>
              <w:jc w:val="both"/>
              <w:rPr>
                <w:rFonts w:cs="Times New Roman"/>
              </w:rPr>
            </w:pPr>
            <w:r w:rsidRPr="002E7B7B">
              <w:rPr>
                <w:rFonts w:cs="Times New Roman"/>
              </w:rPr>
              <w:t xml:space="preserve">TS=(((surgery or surgical* or instrument* or device* or equipment*) NEAR/5 (decontaminat* or reprocess* or disinfect* or wash* or clean* or steril* or contaminat* or prerinse or pre-rinse or inactivat*))) </w:t>
            </w:r>
          </w:p>
        </w:tc>
      </w:tr>
      <w:tr w:rsidR="0009633C" w:rsidRPr="002E7B7B" w14:paraId="7CBC7A38" w14:textId="77777777" w:rsidTr="0009633C">
        <w:trPr>
          <w:trHeight w:val="300"/>
        </w:trPr>
        <w:tc>
          <w:tcPr>
            <w:tcW w:w="1103" w:type="dxa"/>
            <w:noWrap/>
            <w:hideMark/>
          </w:tcPr>
          <w:p w14:paraId="385B2F2D" w14:textId="77777777" w:rsidR="0009633C" w:rsidRPr="002E7B7B" w:rsidRDefault="0009633C" w:rsidP="0009633C">
            <w:pPr>
              <w:spacing w:after="120"/>
              <w:contextualSpacing/>
              <w:jc w:val="both"/>
              <w:rPr>
                <w:rFonts w:cs="Times New Roman"/>
              </w:rPr>
            </w:pPr>
            <w:r w:rsidRPr="002E7B7B">
              <w:rPr>
                <w:rFonts w:cs="Times New Roman"/>
              </w:rPr>
              <w:t># 21</w:t>
            </w:r>
          </w:p>
        </w:tc>
        <w:tc>
          <w:tcPr>
            <w:tcW w:w="7913" w:type="dxa"/>
            <w:noWrap/>
            <w:hideMark/>
          </w:tcPr>
          <w:p w14:paraId="1D2DAFC2" w14:textId="77777777" w:rsidR="0009633C" w:rsidRPr="002E7B7B" w:rsidRDefault="0009633C" w:rsidP="0009633C">
            <w:pPr>
              <w:spacing w:after="120"/>
              <w:contextualSpacing/>
              <w:jc w:val="both"/>
              <w:rPr>
                <w:rFonts w:cs="Times New Roman"/>
              </w:rPr>
            </w:pPr>
            <w:r w:rsidRPr="002E7B7B">
              <w:rPr>
                <w:rFonts w:cs="Times New Roman"/>
              </w:rPr>
              <w:t xml:space="preserve">TS=((neurosurgery or neurological surgery)) </w:t>
            </w:r>
          </w:p>
        </w:tc>
      </w:tr>
      <w:tr w:rsidR="0009633C" w:rsidRPr="002E7B7B" w14:paraId="64D67222" w14:textId="77777777" w:rsidTr="0009633C">
        <w:trPr>
          <w:trHeight w:val="300"/>
        </w:trPr>
        <w:tc>
          <w:tcPr>
            <w:tcW w:w="1103" w:type="dxa"/>
            <w:noWrap/>
            <w:hideMark/>
          </w:tcPr>
          <w:p w14:paraId="65A9A0E4" w14:textId="77777777" w:rsidR="0009633C" w:rsidRPr="002E7B7B" w:rsidRDefault="0009633C" w:rsidP="0009633C">
            <w:pPr>
              <w:spacing w:after="120"/>
              <w:contextualSpacing/>
              <w:jc w:val="both"/>
              <w:rPr>
                <w:rFonts w:cs="Times New Roman"/>
              </w:rPr>
            </w:pPr>
            <w:r w:rsidRPr="002E7B7B">
              <w:rPr>
                <w:rFonts w:cs="Times New Roman"/>
              </w:rPr>
              <w:t># 22</w:t>
            </w:r>
          </w:p>
        </w:tc>
        <w:tc>
          <w:tcPr>
            <w:tcW w:w="7913" w:type="dxa"/>
            <w:noWrap/>
            <w:hideMark/>
          </w:tcPr>
          <w:p w14:paraId="378E300F" w14:textId="77777777" w:rsidR="0009633C" w:rsidRPr="002E7B7B" w:rsidRDefault="0009633C" w:rsidP="0009633C">
            <w:pPr>
              <w:spacing w:after="120"/>
              <w:contextualSpacing/>
              <w:jc w:val="both"/>
              <w:rPr>
                <w:rFonts w:cs="Times New Roman"/>
              </w:rPr>
            </w:pPr>
            <w:r w:rsidRPr="002E7B7B">
              <w:rPr>
                <w:rFonts w:cs="Times New Roman"/>
              </w:rPr>
              <w:t xml:space="preserve">TS=(((brain or meninges or cerebral or pituitary or pineal) NEAR/5 (surgery or surgical* or excision or lesion or ablation or operation* or neurostimulation or connection or destruction))) </w:t>
            </w:r>
          </w:p>
        </w:tc>
      </w:tr>
      <w:tr w:rsidR="0009633C" w:rsidRPr="002E7B7B" w14:paraId="0E80EB65" w14:textId="77777777" w:rsidTr="0009633C">
        <w:trPr>
          <w:trHeight w:val="300"/>
        </w:trPr>
        <w:tc>
          <w:tcPr>
            <w:tcW w:w="1103" w:type="dxa"/>
            <w:noWrap/>
            <w:hideMark/>
          </w:tcPr>
          <w:p w14:paraId="11E57585" w14:textId="77777777" w:rsidR="0009633C" w:rsidRPr="002E7B7B" w:rsidRDefault="0009633C" w:rsidP="0009633C">
            <w:pPr>
              <w:spacing w:after="120"/>
              <w:contextualSpacing/>
              <w:jc w:val="both"/>
              <w:rPr>
                <w:rFonts w:cs="Times New Roman"/>
              </w:rPr>
            </w:pPr>
            <w:r w:rsidRPr="002E7B7B">
              <w:rPr>
                <w:rFonts w:cs="Times New Roman"/>
              </w:rPr>
              <w:t># 23</w:t>
            </w:r>
          </w:p>
        </w:tc>
        <w:tc>
          <w:tcPr>
            <w:tcW w:w="7913" w:type="dxa"/>
            <w:noWrap/>
            <w:hideMark/>
          </w:tcPr>
          <w:p w14:paraId="2ADA29C3" w14:textId="77777777" w:rsidR="0009633C" w:rsidRPr="002E7B7B" w:rsidRDefault="0009633C" w:rsidP="0009633C">
            <w:pPr>
              <w:spacing w:after="120"/>
              <w:contextualSpacing/>
              <w:jc w:val="both"/>
              <w:rPr>
                <w:rFonts w:cs="Times New Roman"/>
              </w:rPr>
            </w:pPr>
            <w:r w:rsidRPr="002E7B7B">
              <w:rPr>
                <w:rFonts w:cs="Times New Roman"/>
              </w:rPr>
              <w:t xml:space="preserve">TS=(((cranial or dura) NEAR/5 (graft* or transection or destruction or lesion or repair* or decompress* or neurostimulation or exploration or operation*))) </w:t>
            </w:r>
          </w:p>
        </w:tc>
      </w:tr>
      <w:tr w:rsidR="0009633C" w:rsidRPr="002E7B7B" w14:paraId="0FB8A0C0" w14:textId="77777777" w:rsidTr="0009633C">
        <w:trPr>
          <w:trHeight w:val="300"/>
        </w:trPr>
        <w:tc>
          <w:tcPr>
            <w:tcW w:w="1103" w:type="dxa"/>
            <w:noWrap/>
            <w:hideMark/>
          </w:tcPr>
          <w:p w14:paraId="02D33519" w14:textId="77777777" w:rsidR="0009633C" w:rsidRPr="002E7B7B" w:rsidRDefault="0009633C" w:rsidP="0009633C">
            <w:pPr>
              <w:spacing w:after="120"/>
              <w:contextualSpacing/>
              <w:jc w:val="both"/>
              <w:rPr>
                <w:rFonts w:cs="Times New Roman"/>
              </w:rPr>
            </w:pPr>
            <w:r w:rsidRPr="002E7B7B">
              <w:rPr>
                <w:rFonts w:cs="Times New Roman"/>
              </w:rPr>
              <w:t># 24</w:t>
            </w:r>
          </w:p>
        </w:tc>
        <w:tc>
          <w:tcPr>
            <w:tcW w:w="7913" w:type="dxa"/>
            <w:noWrap/>
            <w:hideMark/>
          </w:tcPr>
          <w:p w14:paraId="7BA8A46B" w14:textId="77777777" w:rsidR="0009633C" w:rsidRPr="002E7B7B" w:rsidRDefault="0009633C" w:rsidP="0009633C">
            <w:pPr>
              <w:spacing w:after="120"/>
              <w:contextualSpacing/>
              <w:jc w:val="both"/>
              <w:rPr>
                <w:rFonts w:cs="Times New Roman"/>
              </w:rPr>
            </w:pPr>
            <w:r w:rsidRPr="002E7B7B">
              <w:rPr>
                <w:rFonts w:cs="Times New Roman"/>
              </w:rPr>
              <w:t xml:space="preserve">TS=(((eye or vitreous or retina) NEAR/5 (surgery or surgical* or excision or operation* or photocoagulation or destruction))) </w:t>
            </w:r>
          </w:p>
        </w:tc>
      </w:tr>
      <w:tr w:rsidR="0009633C" w:rsidRPr="002E7B7B" w14:paraId="087AE53C" w14:textId="77777777" w:rsidTr="0009633C">
        <w:trPr>
          <w:trHeight w:val="300"/>
        </w:trPr>
        <w:tc>
          <w:tcPr>
            <w:tcW w:w="1103" w:type="dxa"/>
            <w:noWrap/>
            <w:hideMark/>
          </w:tcPr>
          <w:p w14:paraId="38FBA451" w14:textId="77777777" w:rsidR="0009633C" w:rsidRPr="002E7B7B" w:rsidRDefault="0009633C" w:rsidP="0009633C">
            <w:pPr>
              <w:spacing w:after="120"/>
              <w:contextualSpacing/>
              <w:jc w:val="both"/>
              <w:rPr>
                <w:rFonts w:cs="Times New Roman"/>
              </w:rPr>
            </w:pPr>
            <w:r w:rsidRPr="002E7B7B">
              <w:rPr>
                <w:rFonts w:cs="Times New Roman"/>
              </w:rPr>
              <w:t># 25</w:t>
            </w:r>
          </w:p>
        </w:tc>
        <w:tc>
          <w:tcPr>
            <w:tcW w:w="7913" w:type="dxa"/>
            <w:noWrap/>
            <w:hideMark/>
          </w:tcPr>
          <w:p w14:paraId="28DB849B" w14:textId="77777777" w:rsidR="0009633C" w:rsidRPr="002E7B7B" w:rsidRDefault="0009633C" w:rsidP="0009633C">
            <w:pPr>
              <w:spacing w:after="120"/>
              <w:contextualSpacing/>
              <w:jc w:val="both"/>
              <w:rPr>
                <w:rFonts w:cs="Times New Roman"/>
              </w:rPr>
            </w:pPr>
            <w:r w:rsidRPr="002E7B7B">
              <w:rPr>
                <w:rFonts w:cs="Times New Roman"/>
              </w:rPr>
              <w:t xml:space="preserve">#24 OR #23 OR #22 OR #21 </w:t>
            </w:r>
          </w:p>
        </w:tc>
      </w:tr>
      <w:tr w:rsidR="0009633C" w:rsidRPr="002E7B7B" w14:paraId="1D5A15EE" w14:textId="77777777" w:rsidTr="0009633C">
        <w:trPr>
          <w:trHeight w:val="300"/>
        </w:trPr>
        <w:tc>
          <w:tcPr>
            <w:tcW w:w="1103" w:type="dxa"/>
            <w:noWrap/>
            <w:hideMark/>
          </w:tcPr>
          <w:p w14:paraId="6DB8E7BD" w14:textId="77777777" w:rsidR="0009633C" w:rsidRPr="002E7B7B" w:rsidRDefault="0009633C" w:rsidP="0009633C">
            <w:pPr>
              <w:spacing w:after="120"/>
              <w:contextualSpacing/>
              <w:jc w:val="both"/>
              <w:rPr>
                <w:rFonts w:cs="Times New Roman"/>
              </w:rPr>
            </w:pPr>
            <w:r w:rsidRPr="002E7B7B">
              <w:rPr>
                <w:rFonts w:cs="Times New Roman"/>
              </w:rPr>
              <w:t># 26</w:t>
            </w:r>
          </w:p>
        </w:tc>
        <w:tc>
          <w:tcPr>
            <w:tcW w:w="7913" w:type="dxa"/>
            <w:noWrap/>
            <w:hideMark/>
          </w:tcPr>
          <w:p w14:paraId="699F3FA9" w14:textId="77777777" w:rsidR="0009633C" w:rsidRPr="002E7B7B" w:rsidRDefault="0009633C" w:rsidP="0009633C">
            <w:pPr>
              <w:spacing w:after="120"/>
              <w:contextualSpacing/>
              <w:jc w:val="both"/>
              <w:rPr>
                <w:rFonts w:cs="Times New Roman"/>
              </w:rPr>
            </w:pPr>
            <w:r w:rsidRPr="002E7B7B">
              <w:rPr>
                <w:rFonts w:cs="Times New Roman"/>
              </w:rPr>
              <w:t>#25 AND #20 Timespan=2005-2017</w:t>
            </w:r>
          </w:p>
        </w:tc>
      </w:tr>
      <w:tr w:rsidR="0009633C" w:rsidRPr="002E7B7B" w14:paraId="71BA3C2E" w14:textId="77777777" w:rsidTr="0009633C">
        <w:trPr>
          <w:trHeight w:val="300"/>
        </w:trPr>
        <w:tc>
          <w:tcPr>
            <w:tcW w:w="1103" w:type="dxa"/>
            <w:noWrap/>
            <w:hideMark/>
          </w:tcPr>
          <w:p w14:paraId="240815A4" w14:textId="77777777" w:rsidR="0009633C" w:rsidRPr="002E7B7B" w:rsidRDefault="0009633C" w:rsidP="0009633C">
            <w:pPr>
              <w:spacing w:after="120"/>
              <w:contextualSpacing/>
              <w:jc w:val="both"/>
              <w:rPr>
                <w:rFonts w:cs="Times New Roman"/>
              </w:rPr>
            </w:pPr>
            <w:r w:rsidRPr="002E7B7B">
              <w:rPr>
                <w:rFonts w:cs="Times New Roman"/>
              </w:rPr>
              <w:t># 27</w:t>
            </w:r>
          </w:p>
        </w:tc>
        <w:tc>
          <w:tcPr>
            <w:tcW w:w="7913" w:type="dxa"/>
            <w:noWrap/>
            <w:hideMark/>
          </w:tcPr>
          <w:p w14:paraId="653307AC" w14:textId="77777777" w:rsidR="0009633C" w:rsidRPr="002E7B7B" w:rsidRDefault="0009633C" w:rsidP="0009633C">
            <w:pPr>
              <w:spacing w:after="120"/>
              <w:contextualSpacing/>
              <w:jc w:val="both"/>
              <w:rPr>
                <w:rFonts w:cs="Times New Roman"/>
              </w:rPr>
            </w:pPr>
            <w:r w:rsidRPr="002E7B7B">
              <w:rPr>
                <w:rFonts w:cs="Times New Roman"/>
              </w:rPr>
              <w:t xml:space="preserve">TS=((disposable or dispose* or nondispos* or non-dispos* or reus* or re-us* or "single use" or "single-use")) </w:t>
            </w:r>
          </w:p>
        </w:tc>
      </w:tr>
      <w:tr w:rsidR="0009633C" w:rsidRPr="002E7B7B" w14:paraId="002749B8" w14:textId="77777777" w:rsidTr="0009633C">
        <w:trPr>
          <w:trHeight w:val="300"/>
        </w:trPr>
        <w:tc>
          <w:tcPr>
            <w:tcW w:w="1103" w:type="dxa"/>
            <w:noWrap/>
            <w:hideMark/>
          </w:tcPr>
          <w:p w14:paraId="10A3A3BB" w14:textId="77777777" w:rsidR="0009633C" w:rsidRPr="002E7B7B" w:rsidRDefault="0009633C" w:rsidP="0009633C">
            <w:pPr>
              <w:spacing w:after="120"/>
              <w:contextualSpacing/>
              <w:jc w:val="both"/>
              <w:rPr>
                <w:rFonts w:cs="Times New Roman"/>
              </w:rPr>
            </w:pPr>
            <w:r w:rsidRPr="002E7B7B">
              <w:rPr>
                <w:rFonts w:cs="Times New Roman"/>
              </w:rPr>
              <w:t># 28</w:t>
            </w:r>
          </w:p>
        </w:tc>
        <w:tc>
          <w:tcPr>
            <w:tcW w:w="7913" w:type="dxa"/>
            <w:noWrap/>
            <w:hideMark/>
          </w:tcPr>
          <w:p w14:paraId="70CCE983" w14:textId="77777777" w:rsidR="0009633C" w:rsidRPr="002E7B7B" w:rsidRDefault="0009633C" w:rsidP="0009633C">
            <w:pPr>
              <w:spacing w:after="120"/>
              <w:contextualSpacing/>
              <w:jc w:val="both"/>
              <w:rPr>
                <w:rFonts w:cs="Times New Roman"/>
              </w:rPr>
            </w:pPr>
            <w:r w:rsidRPr="002E7B7B">
              <w:rPr>
                <w:rFonts w:cs="Times New Roman"/>
              </w:rPr>
              <w:t xml:space="preserve">TS=((ultrasonic aspirator or aneurysm clip applicator or rhoton dissectors or microsurgical scissors or upcut rongeurs or budde halo or retraction system or self-retaining retractors or neuroendoscope*)) </w:t>
            </w:r>
          </w:p>
        </w:tc>
      </w:tr>
      <w:tr w:rsidR="0009633C" w:rsidRPr="002E7B7B" w14:paraId="40BE4FA4" w14:textId="77777777" w:rsidTr="0009633C">
        <w:trPr>
          <w:trHeight w:val="300"/>
        </w:trPr>
        <w:tc>
          <w:tcPr>
            <w:tcW w:w="1103" w:type="dxa"/>
            <w:noWrap/>
            <w:hideMark/>
          </w:tcPr>
          <w:p w14:paraId="7E43C685" w14:textId="77777777" w:rsidR="0009633C" w:rsidRPr="002E7B7B" w:rsidRDefault="0009633C" w:rsidP="0009633C">
            <w:pPr>
              <w:spacing w:after="120"/>
              <w:contextualSpacing/>
              <w:jc w:val="both"/>
              <w:rPr>
                <w:rFonts w:cs="Times New Roman"/>
              </w:rPr>
            </w:pPr>
            <w:r w:rsidRPr="002E7B7B">
              <w:rPr>
                <w:rFonts w:cs="Times New Roman"/>
              </w:rPr>
              <w:t># 29</w:t>
            </w:r>
          </w:p>
        </w:tc>
        <w:tc>
          <w:tcPr>
            <w:tcW w:w="7913" w:type="dxa"/>
            <w:noWrap/>
            <w:hideMark/>
          </w:tcPr>
          <w:p w14:paraId="0923E2BE" w14:textId="77777777" w:rsidR="0009633C" w:rsidRPr="002E7B7B" w:rsidRDefault="0009633C" w:rsidP="0009633C">
            <w:pPr>
              <w:spacing w:after="120"/>
              <w:contextualSpacing/>
              <w:jc w:val="both"/>
              <w:rPr>
                <w:rFonts w:cs="Times New Roman"/>
              </w:rPr>
            </w:pPr>
            <w:r w:rsidRPr="002E7B7B">
              <w:rPr>
                <w:rFonts w:cs="Times New Roman"/>
              </w:rPr>
              <w:t xml:space="preserve">#28 OR #27 </w:t>
            </w:r>
          </w:p>
        </w:tc>
      </w:tr>
      <w:tr w:rsidR="0009633C" w:rsidRPr="002E7B7B" w14:paraId="6ED6D4D6" w14:textId="77777777" w:rsidTr="0009633C">
        <w:trPr>
          <w:trHeight w:val="300"/>
        </w:trPr>
        <w:tc>
          <w:tcPr>
            <w:tcW w:w="1103" w:type="dxa"/>
            <w:noWrap/>
            <w:hideMark/>
          </w:tcPr>
          <w:p w14:paraId="60021E64" w14:textId="77777777" w:rsidR="0009633C" w:rsidRPr="002E7B7B" w:rsidRDefault="0009633C" w:rsidP="0009633C">
            <w:pPr>
              <w:spacing w:after="120"/>
              <w:contextualSpacing/>
              <w:jc w:val="both"/>
              <w:rPr>
                <w:rFonts w:cs="Times New Roman"/>
              </w:rPr>
            </w:pPr>
            <w:r w:rsidRPr="002E7B7B">
              <w:rPr>
                <w:rFonts w:cs="Times New Roman"/>
              </w:rPr>
              <w:t># 30</w:t>
            </w:r>
          </w:p>
        </w:tc>
        <w:tc>
          <w:tcPr>
            <w:tcW w:w="7913" w:type="dxa"/>
            <w:noWrap/>
            <w:hideMark/>
          </w:tcPr>
          <w:p w14:paraId="4C54DE09" w14:textId="77777777" w:rsidR="0009633C" w:rsidRPr="002E7B7B" w:rsidRDefault="0009633C" w:rsidP="0009633C">
            <w:pPr>
              <w:spacing w:after="120"/>
              <w:contextualSpacing/>
              <w:jc w:val="both"/>
              <w:rPr>
                <w:rFonts w:cs="Times New Roman"/>
              </w:rPr>
            </w:pPr>
            <w:r w:rsidRPr="002E7B7B">
              <w:rPr>
                <w:rFonts w:cs="Times New Roman"/>
              </w:rPr>
              <w:t xml:space="preserve">TS=((neurosurgery or neurological surgery)) </w:t>
            </w:r>
          </w:p>
        </w:tc>
      </w:tr>
      <w:tr w:rsidR="0009633C" w:rsidRPr="002E7B7B" w14:paraId="60165D75" w14:textId="77777777" w:rsidTr="0009633C">
        <w:trPr>
          <w:trHeight w:val="300"/>
        </w:trPr>
        <w:tc>
          <w:tcPr>
            <w:tcW w:w="1103" w:type="dxa"/>
            <w:noWrap/>
            <w:hideMark/>
          </w:tcPr>
          <w:p w14:paraId="42B00037" w14:textId="77777777" w:rsidR="0009633C" w:rsidRPr="002E7B7B" w:rsidRDefault="0009633C" w:rsidP="0009633C">
            <w:pPr>
              <w:spacing w:after="120"/>
              <w:contextualSpacing/>
              <w:jc w:val="both"/>
              <w:rPr>
                <w:rFonts w:cs="Times New Roman"/>
              </w:rPr>
            </w:pPr>
            <w:r w:rsidRPr="002E7B7B">
              <w:rPr>
                <w:rFonts w:cs="Times New Roman"/>
              </w:rPr>
              <w:t># 31</w:t>
            </w:r>
          </w:p>
        </w:tc>
        <w:tc>
          <w:tcPr>
            <w:tcW w:w="7913" w:type="dxa"/>
            <w:noWrap/>
            <w:hideMark/>
          </w:tcPr>
          <w:p w14:paraId="75051C2A" w14:textId="77777777" w:rsidR="0009633C" w:rsidRPr="002E7B7B" w:rsidRDefault="0009633C" w:rsidP="0009633C">
            <w:pPr>
              <w:spacing w:after="120"/>
              <w:contextualSpacing/>
              <w:jc w:val="both"/>
              <w:rPr>
                <w:rFonts w:cs="Times New Roman"/>
              </w:rPr>
            </w:pPr>
            <w:r w:rsidRPr="002E7B7B">
              <w:rPr>
                <w:rFonts w:cs="Times New Roman"/>
              </w:rPr>
              <w:t xml:space="preserve">TS=(((brain or meninges or cerebral or pituitary or pineal) NEAR/5 (surgery or surgical* or excision or lesion or ablation or operation* or neurostimulation or connection or destruction))) </w:t>
            </w:r>
          </w:p>
        </w:tc>
      </w:tr>
      <w:tr w:rsidR="0009633C" w:rsidRPr="002E7B7B" w14:paraId="49C30A8B" w14:textId="77777777" w:rsidTr="0009633C">
        <w:trPr>
          <w:trHeight w:val="300"/>
        </w:trPr>
        <w:tc>
          <w:tcPr>
            <w:tcW w:w="1103" w:type="dxa"/>
            <w:noWrap/>
            <w:hideMark/>
          </w:tcPr>
          <w:p w14:paraId="550C486A" w14:textId="77777777" w:rsidR="0009633C" w:rsidRPr="002E7B7B" w:rsidRDefault="0009633C" w:rsidP="0009633C">
            <w:pPr>
              <w:spacing w:after="120"/>
              <w:contextualSpacing/>
              <w:jc w:val="both"/>
              <w:rPr>
                <w:rFonts w:cs="Times New Roman"/>
              </w:rPr>
            </w:pPr>
            <w:r w:rsidRPr="002E7B7B">
              <w:rPr>
                <w:rFonts w:cs="Times New Roman"/>
              </w:rPr>
              <w:t># 32</w:t>
            </w:r>
          </w:p>
        </w:tc>
        <w:tc>
          <w:tcPr>
            <w:tcW w:w="7913" w:type="dxa"/>
            <w:noWrap/>
            <w:hideMark/>
          </w:tcPr>
          <w:p w14:paraId="5342EE76" w14:textId="77777777" w:rsidR="0009633C" w:rsidRPr="002E7B7B" w:rsidRDefault="0009633C" w:rsidP="0009633C">
            <w:pPr>
              <w:spacing w:after="120"/>
              <w:contextualSpacing/>
              <w:jc w:val="both"/>
              <w:rPr>
                <w:rFonts w:cs="Times New Roman"/>
              </w:rPr>
            </w:pPr>
            <w:r w:rsidRPr="002E7B7B">
              <w:rPr>
                <w:rFonts w:cs="Times New Roman"/>
              </w:rPr>
              <w:t xml:space="preserve">TS=(((cranial or dura) NEAR/5 (graft* or transection or destruction or lesion or repair* or decompress* or neurostimulation or exploration or operation*))) </w:t>
            </w:r>
          </w:p>
        </w:tc>
      </w:tr>
      <w:tr w:rsidR="0009633C" w:rsidRPr="002E7B7B" w14:paraId="12421D2D" w14:textId="77777777" w:rsidTr="0009633C">
        <w:trPr>
          <w:trHeight w:val="300"/>
        </w:trPr>
        <w:tc>
          <w:tcPr>
            <w:tcW w:w="1103" w:type="dxa"/>
            <w:noWrap/>
            <w:hideMark/>
          </w:tcPr>
          <w:p w14:paraId="5A7862FE" w14:textId="77777777" w:rsidR="0009633C" w:rsidRPr="002E7B7B" w:rsidRDefault="0009633C" w:rsidP="0009633C">
            <w:pPr>
              <w:spacing w:after="120"/>
              <w:contextualSpacing/>
              <w:jc w:val="both"/>
              <w:rPr>
                <w:rFonts w:cs="Times New Roman"/>
              </w:rPr>
            </w:pPr>
            <w:r w:rsidRPr="002E7B7B">
              <w:rPr>
                <w:rFonts w:cs="Times New Roman"/>
              </w:rPr>
              <w:t># 33</w:t>
            </w:r>
          </w:p>
        </w:tc>
        <w:tc>
          <w:tcPr>
            <w:tcW w:w="7913" w:type="dxa"/>
            <w:noWrap/>
            <w:hideMark/>
          </w:tcPr>
          <w:p w14:paraId="577A84B6" w14:textId="77777777" w:rsidR="0009633C" w:rsidRPr="002E7B7B" w:rsidRDefault="0009633C" w:rsidP="0009633C">
            <w:pPr>
              <w:spacing w:after="120"/>
              <w:contextualSpacing/>
              <w:jc w:val="both"/>
              <w:rPr>
                <w:rFonts w:cs="Times New Roman"/>
              </w:rPr>
            </w:pPr>
            <w:r w:rsidRPr="002E7B7B">
              <w:rPr>
                <w:rFonts w:cs="Times New Roman"/>
              </w:rPr>
              <w:t xml:space="preserve">TS=(((eye or vitreous or retina) NEAR/5 (surgery or surgical* or excision or operation* or photocoagulation or destruction))) </w:t>
            </w:r>
          </w:p>
        </w:tc>
      </w:tr>
      <w:tr w:rsidR="0009633C" w:rsidRPr="002E7B7B" w14:paraId="55A89053" w14:textId="77777777" w:rsidTr="0009633C">
        <w:trPr>
          <w:trHeight w:val="300"/>
        </w:trPr>
        <w:tc>
          <w:tcPr>
            <w:tcW w:w="1103" w:type="dxa"/>
            <w:noWrap/>
            <w:hideMark/>
          </w:tcPr>
          <w:p w14:paraId="0D65FFC6" w14:textId="77777777" w:rsidR="0009633C" w:rsidRPr="002E7B7B" w:rsidRDefault="0009633C" w:rsidP="0009633C">
            <w:pPr>
              <w:spacing w:after="120"/>
              <w:contextualSpacing/>
              <w:jc w:val="both"/>
              <w:rPr>
                <w:rFonts w:cs="Times New Roman"/>
              </w:rPr>
            </w:pPr>
            <w:r w:rsidRPr="002E7B7B">
              <w:rPr>
                <w:rFonts w:cs="Times New Roman"/>
              </w:rPr>
              <w:t># 34</w:t>
            </w:r>
          </w:p>
        </w:tc>
        <w:tc>
          <w:tcPr>
            <w:tcW w:w="7913" w:type="dxa"/>
            <w:noWrap/>
            <w:hideMark/>
          </w:tcPr>
          <w:p w14:paraId="1D11F9CB" w14:textId="77777777" w:rsidR="0009633C" w:rsidRPr="002E7B7B" w:rsidRDefault="0009633C" w:rsidP="0009633C">
            <w:pPr>
              <w:spacing w:after="120"/>
              <w:contextualSpacing/>
              <w:jc w:val="both"/>
              <w:rPr>
                <w:rFonts w:cs="Times New Roman"/>
              </w:rPr>
            </w:pPr>
            <w:r w:rsidRPr="002E7B7B">
              <w:rPr>
                <w:rFonts w:cs="Times New Roman"/>
              </w:rPr>
              <w:t xml:space="preserve">#33 OR #32 OR #31 OR #30 </w:t>
            </w:r>
          </w:p>
        </w:tc>
      </w:tr>
      <w:tr w:rsidR="0009633C" w:rsidRPr="002E7B7B" w14:paraId="61BF5E2B" w14:textId="77777777" w:rsidTr="0009633C">
        <w:trPr>
          <w:trHeight w:val="300"/>
        </w:trPr>
        <w:tc>
          <w:tcPr>
            <w:tcW w:w="1103" w:type="dxa"/>
            <w:noWrap/>
            <w:hideMark/>
          </w:tcPr>
          <w:p w14:paraId="3EB5A71B" w14:textId="77777777" w:rsidR="0009633C" w:rsidRPr="002E7B7B" w:rsidRDefault="0009633C" w:rsidP="0009633C">
            <w:pPr>
              <w:spacing w:after="120"/>
              <w:contextualSpacing/>
              <w:jc w:val="both"/>
              <w:rPr>
                <w:rFonts w:cs="Times New Roman"/>
              </w:rPr>
            </w:pPr>
            <w:r w:rsidRPr="002E7B7B">
              <w:rPr>
                <w:rFonts w:cs="Times New Roman"/>
              </w:rPr>
              <w:t># 35</w:t>
            </w:r>
          </w:p>
        </w:tc>
        <w:tc>
          <w:tcPr>
            <w:tcW w:w="7913" w:type="dxa"/>
            <w:noWrap/>
            <w:hideMark/>
          </w:tcPr>
          <w:p w14:paraId="59D88050" w14:textId="77777777" w:rsidR="0009633C" w:rsidRPr="002E7B7B" w:rsidRDefault="0009633C" w:rsidP="0009633C">
            <w:pPr>
              <w:spacing w:after="120"/>
              <w:contextualSpacing/>
              <w:jc w:val="both"/>
              <w:rPr>
                <w:rFonts w:cs="Times New Roman"/>
              </w:rPr>
            </w:pPr>
            <w:r w:rsidRPr="002E7B7B">
              <w:rPr>
                <w:rFonts w:cs="Times New Roman"/>
              </w:rPr>
              <w:t xml:space="preserve">#34 AND #29 </w:t>
            </w:r>
          </w:p>
        </w:tc>
      </w:tr>
      <w:tr w:rsidR="0009633C" w:rsidRPr="002E7B7B" w14:paraId="6F1DC9C7" w14:textId="77777777" w:rsidTr="0009633C">
        <w:trPr>
          <w:trHeight w:val="300"/>
        </w:trPr>
        <w:tc>
          <w:tcPr>
            <w:tcW w:w="1103" w:type="dxa"/>
            <w:noWrap/>
            <w:hideMark/>
          </w:tcPr>
          <w:p w14:paraId="058C810D" w14:textId="77777777" w:rsidR="0009633C" w:rsidRPr="002E7B7B" w:rsidRDefault="0009633C" w:rsidP="0009633C">
            <w:pPr>
              <w:spacing w:after="120"/>
              <w:contextualSpacing/>
              <w:jc w:val="both"/>
              <w:rPr>
                <w:rFonts w:cs="Times New Roman"/>
              </w:rPr>
            </w:pPr>
            <w:r w:rsidRPr="002E7B7B">
              <w:rPr>
                <w:rFonts w:cs="Times New Roman"/>
              </w:rPr>
              <w:t># 36</w:t>
            </w:r>
          </w:p>
        </w:tc>
        <w:tc>
          <w:tcPr>
            <w:tcW w:w="7913" w:type="dxa"/>
            <w:noWrap/>
            <w:hideMark/>
          </w:tcPr>
          <w:p w14:paraId="7A3F72A3" w14:textId="77777777" w:rsidR="0009633C" w:rsidRPr="002E7B7B" w:rsidRDefault="0009633C" w:rsidP="0009633C">
            <w:pPr>
              <w:spacing w:after="120"/>
              <w:contextualSpacing/>
              <w:jc w:val="both"/>
              <w:rPr>
                <w:rFonts w:cs="Times New Roman"/>
              </w:rPr>
            </w:pPr>
            <w:r w:rsidRPr="002E7B7B">
              <w:rPr>
                <w:rFonts w:cs="Times New Roman"/>
              </w:rPr>
              <w:t xml:space="preserve">TS=(complication*) </w:t>
            </w:r>
          </w:p>
        </w:tc>
      </w:tr>
      <w:tr w:rsidR="0009633C" w:rsidRPr="002E7B7B" w14:paraId="79474D8B" w14:textId="77777777" w:rsidTr="0009633C">
        <w:trPr>
          <w:trHeight w:val="300"/>
        </w:trPr>
        <w:tc>
          <w:tcPr>
            <w:tcW w:w="1103" w:type="dxa"/>
            <w:noWrap/>
            <w:hideMark/>
          </w:tcPr>
          <w:p w14:paraId="64D2CD27" w14:textId="77777777" w:rsidR="0009633C" w:rsidRPr="002E7B7B" w:rsidRDefault="0009633C" w:rsidP="0009633C">
            <w:pPr>
              <w:spacing w:after="120"/>
              <w:contextualSpacing/>
              <w:jc w:val="both"/>
              <w:rPr>
                <w:rFonts w:cs="Times New Roman"/>
              </w:rPr>
            </w:pPr>
            <w:r w:rsidRPr="002E7B7B">
              <w:rPr>
                <w:rFonts w:cs="Times New Roman"/>
              </w:rPr>
              <w:t># 37</w:t>
            </w:r>
          </w:p>
        </w:tc>
        <w:tc>
          <w:tcPr>
            <w:tcW w:w="7913" w:type="dxa"/>
            <w:noWrap/>
            <w:hideMark/>
          </w:tcPr>
          <w:p w14:paraId="061546BC" w14:textId="77777777" w:rsidR="0009633C" w:rsidRPr="002E7B7B" w:rsidRDefault="0009633C" w:rsidP="0009633C">
            <w:pPr>
              <w:spacing w:after="120"/>
              <w:contextualSpacing/>
              <w:jc w:val="both"/>
              <w:rPr>
                <w:rFonts w:cs="Times New Roman"/>
              </w:rPr>
            </w:pPr>
            <w:r w:rsidRPr="002E7B7B">
              <w:rPr>
                <w:rFonts w:cs="Times New Roman"/>
              </w:rPr>
              <w:t>#36 AND #35 Timespan=2005-2017</w:t>
            </w:r>
          </w:p>
        </w:tc>
      </w:tr>
      <w:tr w:rsidR="0009633C" w:rsidRPr="002E7B7B" w14:paraId="41A45FBB" w14:textId="77777777" w:rsidTr="0009633C">
        <w:trPr>
          <w:trHeight w:val="300"/>
        </w:trPr>
        <w:tc>
          <w:tcPr>
            <w:tcW w:w="1103" w:type="dxa"/>
            <w:noWrap/>
            <w:hideMark/>
          </w:tcPr>
          <w:p w14:paraId="3F76D6FD" w14:textId="77777777" w:rsidR="0009633C" w:rsidRPr="002E7B7B" w:rsidRDefault="0009633C" w:rsidP="0009633C">
            <w:pPr>
              <w:spacing w:after="120"/>
              <w:contextualSpacing/>
              <w:jc w:val="both"/>
              <w:rPr>
                <w:rFonts w:cs="Times New Roman"/>
              </w:rPr>
            </w:pPr>
            <w:r w:rsidRPr="002E7B7B">
              <w:rPr>
                <w:rFonts w:cs="Times New Roman"/>
              </w:rPr>
              <w:t># 38</w:t>
            </w:r>
          </w:p>
        </w:tc>
        <w:tc>
          <w:tcPr>
            <w:tcW w:w="7913" w:type="dxa"/>
            <w:noWrap/>
            <w:hideMark/>
          </w:tcPr>
          <w:p w14:paraId="4D228DBD" w14:textId="77777777" w:rsidR="0009633C" w:rsidRPr="002E7B7B" w:rsidRDefault="0009633C" w:rsidP="0009633C">
            <w:pPr>
              <w:spacing w:after="120"/>
              <w:contextualSpacing/>
              <w:jc w:val="both"/>
              <w:rPr>
                <w:rFonts w:cs="Times New Roman"/>
              </w:rPr>
            </w:pPr>
            <w:r w:rsidRPr="002E7B7B">
              <w:rPr>
                <w:rFonts w:cs="Times New Roman"/>
              </w:rPr>
              <w:t xml:space="preserve">TS=(reoperat*) </w:t>
            </w:r>
          </w:p>
        </w:tc>
      </w:tr>
      <w:tr w:rsidR="0009633C" w:rsidRPr="002E7B7B" w14:paraId="383B177D" w14:textId="77777777" w:rsidTr="0009633C">
        <w:trPr>
          <w:trHeight w:val="300"/>
        </w:trPr>
        <w:tc>
          <w:tcPr>
            <w:tcW w:w="1103" w:type="dxa"/>
            <w:noWrap/>
            <w:hideMark/>
          </w:tcPr>
          <w:p w14:paraId="59F95B21" w14:textId="77777777" w:rsidR="0009633C" w:rsidRPr="002E7B7B" w:rsidRDefault="0009633C" w:rsidP="0009633C">
            <w:pPr>
              <w:spacing w:after="120"/>
              <w:contextualSpacing/>
              <w:jc w:val="both"/>
              <w:rPr>
                <w:rFonts w:cs="Times New Roman"/>
              </w:rPr>
            </w:pPr>
            <w:r w:rsidRPr="002E7B7B">
              <w:rPr>
                <w:rFonts w:cs="Times New Roman"/>
              </w:rPr>
              <w:t># 39</w:t>
            </w:r>
          </w:p>
        </w:tc>
        <w:tc>
          <w:tcPr>
            <w:tcW w:w="7913" w:type="dxa"/>
            <w:noWrap/>
            <w:hideMark/>
          </w:tcPr>
          <w:p w14:paraId="4E29E4CB" w14:textId="77777777" w:rsidR="0009633C" w:rsidRPr="002E7B7B" w:rsidRDefault="0009633C" w:rsidP="0009633C">
            <w:pPr>
              <w:spacing w:after="120"/>
              <w:contextualSpacing/>
              <w:jc w:val="both"/>
              <w:rPr>
                <w:rFonts w:cs="Times New Roman"/>
              </w:rPr>
            </w:pPr>
            <w:r w:rsidRPr="002E7B7B">
              <w:rPr>
                <w:rFonts w:cs="Times New Roman"/>
              </w:rPr>
              <w:t xml:space="preserve">TS=(((repeat or revision) NEAR/3 (surgery or surgical* or operat*))) </w:t>
            </w:r>
          </w:p>
        </w:tc>
      </w:tr>
      <w:tr w:rsidR="0009633C" w:rsidRPr="002E7B7B" w14:paraId="5D9B25DA" w14:textId="77777777" w:rsidTr="0009633C">
        <w:trPr>
          <w:trHeight w:val="300"/>
        </w:trPr>
        <w:tc>
          <w:tcPr>
            <w:tcW w:w="1103" w:type="dxa"/>
            <w:noWrap/>
            <w:hideMark/>
          </w:tcPr>
          <w:p w14:paraId="4E00E4C9" w14:textId="77777777" w:rsidR="0009633C" w:rsidRPr="002E7B7B" w:rsidRDefault="0009633C" w:rsidP="0009633C">
            <w:pPr>
              <w:spacing w:after="120"/>
              <w:contextualSpacing/>
              <w:jc w:val="both"/>
              <w:rPr>
                <w:rFonts w:cs="Times New Roman"/>
              </w:rPr>
            </w:pPr>
            <w:r w:rsidRPr="002E7B7B">
              <w:rPr>
                <w:rFonts w:cs="Times New Roman"/>
              </w:rPr>
              <w:t># 40</w:t>
            </w:r>
          </w:p>
        </w:tc>
        <w:tc>
          <w:tcPr>
            <w:tcW w:w="7913" w:type="dxa"/>
            <w:noWrap/>
            <w:hideMark/>
          </w:tcPr>
          <w:p w14:paraId="1355CCB6" w14:textId="77777777" w:rsidR="0009633C" w:rsidRPr="002E7B7B" w:rsidRDefault="0009633C" w:rsidP="0009633C">
            <w:pPr>
              <w:spacing w:after="120"/>
              <w:contextualSpacing/>
              <w:jc w:val="both"/>
              <w:rPr>
                <w:rFonts w:cs="Times New Roman"/>
              </w:rPr>
            </w:pPr>
            <w:r w:rsidRPr="002E7B7B">
              <w:rPr>
                <w:rFonts w:cs="Times New Roman"/>
              </w:rPr>
              <w:t xml:space="preserve">#39 OR #38 </w:t>
            </w:r>
          </w:p>
        </w:tc>
      </w:tr>
      <w:tr w:rsidR="0009633C" w:rsidRPr="002E7B7B" w14:paraId="0B0B6393" w14:textId="77777777" w:rsidTr="0009633C">
        <w:trPr>
          <w:trHeight w:val="300"/>
        </w:trPr>
        <w:tc>
          <w:tcPr>
            <w:tcW w:w="1103" w:type="dxa"/>
            <w:noWrap/>
            <w:hideMark/>
          </w:tcPr>
          <w:p w14:paraId="2407FDD4" w14:textId="77777777" w:rsidR="0009633C" w:rsidRPr="002E7B7B" w:rsidRDefault="0009633C" w:rsidP="0009633C">
            <w:pPr>
              <w:spacing w:after="120"/>
              <w:contextualSpacing/>
              <w:jc w:val="both"/>
              <w:rPr>
                <w:rFonts w:cs="Times New Roman"/>
              </w:rPr>
            </w:pPr>
            <w:r w:rsidRPr="002E7B7B">
              <w:rPr>
                <w:rFonts w:cs="Times New Roman"/>
              </w:rPr>
              <w:t># 41</w:t>
            </w:r>
          </w:p>
        </w:tc>
        <w:tc>
          <w:tcPr>
            <w:tcW w:w="7913" w:type="dxa"/>
            <w:noWrap/>
            <w:hideMark/>
          </w:tcPr>
          <w:p w14:paraId="61A17B7D" w14:textId="77777777" w:rsidR="0009633C" w:rsidRPr="002E7B7B" w:rsidRDefault="0009633C" w:rsidP="0009633C">
            <w:pPr>
              <w:spacing w:after="120"/>
              <w:contextualSpacing/>
              <w:jc w:val="both"/>
              <w:rPr>
                <w:rFonts w:cs="Times New Roman"/>
              </w:rPr>
            </w:pPr>
            <w:r w:rsidRPr="002E7B7B">
              <w:rPr>
                <w:rFonts w:cs="Times New Roman"/>
              </w:rPr>
              <w:t xml:space="preserve">TS=((neurosurgery or neurological surgery)) </w:t>
            </w:r>
          </w:p>
        </w:tc>
      </w:tr>
      <w:tr w:rsidR="0009633C" w:rsidRPr="002E7B7B" w14:paraId="7E12859A" w14:textId="77777777" w:rsidTr="0009633C">
        <w:trPr>
          <w:trHeight w:val="300"/>
        </w:trPr>
        <w:tc>
          <w:tcPr>
            <w:tcW w:w="1103" w:type="dxa"/>
            <w:noWrap/>
            <w:hideMark/>
          </w:tcPr>
          <w:p w14:paraId="4EF7A6DD" w14:textId="77777777" w:rsidR="0009633C" w:rsidRPr="002E7B7B" w:rsidRDefault="0009633C" w:rsidP="0009633C">
            <w:pPr>
              <w:spacing w:after="120"/>
              <w:contextualSpacing/>
              <w:jc w:val="both"/>
              <w:rPr>
                <w:rFonts w:cs="Times New Roman"/>
              </w:rPr>
            </w:pPr>
            <w:r w:rsidRPr="002E7B7B">
              <w:rPr>
                <w:rFonts w:cs="Times New Roman"/>
              </w:rPr>
              <w:t># 42</w:t>
            </w:r>
          </w:p>
        </w:tc>
        <w:tc>
          <w:tcPr>
            <w:tcW w:w="7913" w:type="dxa"/>
            <w:noWrap/>
            <w:hideMark/>
          </w:tcPr>
          <w:p w14:paraId="0DC9496D" w14:textId="77777777" w:rsidR="0009633C" w:rsidRPr="002E7B7B" w:rsidRDefault="0009633C" w:rsidP="0009633C">
            <w:pPr>
              <w:spacing w:after="120"/>
              <w:contextualSpacing/>
              <w:jc w:val="both"/>
              <w:rPr>
                <w:rFonts w:cs="Times New Roman"/>
              </w:rPr>
            </w:pPr>
            <w:r w:rsidRPr="002E7B7B">
              <w:rPr>
                <w:rFonts w:cs="Times New Roman"/>
              </w:rPr>
              <w:t xml:space="preserve">TS=(((brain or meninges or cerebral or pituitary or pineal) NEAR/5 (surgery or surgical* or excision or lesion or ablation or operation* or neurostimulation or connection or destruction))) </w:t>
            </w:r>
          </w:p>
        </w:tc>
      </w:tr>
      <w:tr w:rsidR="0009633C" w:rsidRPr="002E7B7B" w14:paraId="548552EE" w14:textId="77777777" w:rsidTr="0009633C">
        <w:trPr>
          <w:trHeight w:val="300"/>
        </w:trPr>
        <w:tc>
          <w:tcPr>
            <w:tcW w:w="1103" w:type="dxa"/>
            <w:noWrap/>
            <w:hideMark/>
          </w:tcPr>
          <w:p w14:paraId="279C6F31" w14:textId="77777777" w:rsidR="0009633C" w:rsidRPr="002E7B7B" w:rsidRDefault="0009633C" w:rsidP="0009633C">
            <w:pPr>
              <w:spacing w:after="120"/>
              <w:contextualSpacing/>
              <w:jc w:val="both"/>
              <w:rPr>
                <w:rFonts w:cs="Times New Roman"/>
              </w:rPr>
            </w:pPr>
            <w:r w:rsidRPr="002E7B7B">
              <w:rPr>
                <w:rFonts w:cs="Times New Roman"/>
              </w:rPr>
              <w:t># 43</w:t>
            </w:r>
          </w:p>
        </w:tc>
        <w:tc>
          <w:tcPr>
            <w:tcW w:w="7913" w:type="dxa"/>
            <w:noWrap/>
            <w:hideMark/>
          </w:tcPr>
          <w:p w14:paraId="37626339" w14:textId="77777777" w:rsidR="0009633C" w:rsidRPr="002E7B7B" w:rsidRDefault="0009633C" w:rsidP="0009633C">
            <w:pPr>
              <w:spacing w:after="120"/>
              <w:contextualSpacing/>
              <w:jc w:val="both"/>
              <w:rPr>
                <w:rFonts w:cs="Times New Roman"/>
              </w:rPr>
            </w:pPr>
            <w:r w:rsidRPr="002E7B7B">
              <w:rPr>
                <w:rFonts w:cs="Times New Roman"/>
              </w:rPr>
              <w:t xml:space="preserve">TS=(((cranial or dura) NEAR/5 (graft* or transection or destruction or lesion or repair* or decompress* or neurostimulation or exploration or operation*))) </w:t>
            </w:r>
          </w:p>
        </w:tc>
      </w:tr>
      <w:tr w:rsidR="0009633C" w:rsidRPr="002E7B7B" w14:paraId="35695E04" w14:textId="77777777" w:rsidTr="0009633C">
        <w:trPr>
          <w:trHeight w:val="300"/>
        </w:trPr>
        <w:tc>
          <w:tcPr>
            <w:tcW w:w="1103" w:type="dxa"/>
            <w:noWrap/>
            <w:hideMark/>
          </w:tcPr>
          <w:p w14:paraId="19CB4A68" w14:textId="77777777" w:rsidR="0009633C" w:rsidRPr="002E7B7B" w:rsidRDefault="0009633C" w:rsidP="0009633C">
            <w:pPr>
              <w:spacing w:after="120"/>
              <w:contextualSpacing/>
              <w:jc w:val="both"/>
              <w:rPr>
                <w:rFonts w:cs="Times New Roman"/>
              </w:rPr>
            </w:pPr>
            <w:r w:rsidRPr="002E7B7B">
              <w:rPr>
                <w:rFonts w:cs="Times New Roman"/>
              </w:rPr>
              <w:t># 44</w:t>
            </w:r>
          </w:p>
        </w:tc>
        <w:tc>
          <w:tcPr>
            <w:tcW w:w="7913" w:type="dxa"/>
            <w:noWrap/>
            <w:hideMark/>
          </w:tcPr>
          <w:p w14:paraId="26F2385F" w14:textId="77777777" w:rsidR="0009633C" w:rsidRPr="002E7B7B" w:rsidRDefault="0009633C" w:rsidP="0009633C">
            <w:pPr>
              <w:spacing w:after="120"/>
              <w:contextualSpacing/>
              <w:jc w:val="both"/>
              <w:rPr>
                <w:rFonts w:cs="Times New Roman"/>
              </w:rPr>
            </w:pPr>
            <w:r w:rsidRPr="002E7B7B">
              <w:rPr>
                <w:rFonts w:cs="Times New Roman"/>
              </w:rPr>
              <w:t xml:space="preserve">TS=(((eye or vitreous or retina) NEAR/5 (surgery or surgical* or excision or operation* or photocoagulation or destruction))) </w:t>
            </w:r>
          </w:p>
        </w:tc>
      </w:tr>
      <w:tr w:rsidR="0009633C" w:rsidRPr="002E7B7B" w14:paraId="1CA46728" w14:textId="77777777" w:rsidTr="0009633C">
        <w:trPr>
          <w:trHeight w:val="300"/>
        </w:trPr>
        <w:tc>
          <w:tcPr>
            <w:tcW w:w="1103" w:type="dxa"/>
            <w:noWrap/>
            <w:hideMark/>
          </w:tcPr>
          <w:p w14:paraId="2648A090" w14:textId="77777777" w:rsidR="0009633C" w:rsidRPr="002E7B7B" w:rsidRDefault="0009633C" w:rsidP="0009633C">
            <w:pPr>
              <w:spacing w:after="120"/>
              <w:contextualSpacing/>
              <w:jc w:val="both"/>
              <w:rPr>
                <w:rFonts w:cs="Times New Roman"/>
              </w:rPr>
            </w:pPr>
            <w:r w:rsidRPr="002E7B7B">
              <w:rPr>
                <w:rFonts w:cs="Times New Roman"/>
              </w:rPr>
              <w:t># 45</w:t>
            </w:r>
          </w:p>
        </w:tc>
        <w:tc>
          <w:tcPr>
            <w:tcW w:w="7913" w:type="dxa"/>
            <w:noWrap/>
            <w:hideMark/>
          </w:tcPr>
          <w:p w14:paraId="4B44775F" w14:textId="77777777" w:rsidR="0009633C" w:rsidRPr="002E7B7B" w:rsidRDefault="0009633C" w:rsidP="0009633C">
            <w:pPr>
              <w:spacing w:after="120"/>
              <w:contextualSpacing/>
              <w:jc w:val="both"/>
              <w:rPr>
                <w:rFonts w:cs="Times New Roman"/>
              </w:rPr>
            </w:pPr>
            <w:r w:rsidRPr="002E7B7B">
              <w:rPr>
                <w:rFonts w:cs="Times New Roman"/>
              </w:rPr>
              <w:t xml:space="preserve">#44 OR #43 OR #42 OR #41 </w:t>
            </w:r>
          </w:p>
        </w:tc>
      </w:tr>
      <w:tr w:rsidR="0009633C" w:rsidRPr="002E7B7B" w14:paraId="49DE4D5D" w14:textId="77777777" w:rsidTr="0009633C">
        <w:trPr>
          <w:trHeight w:val="300"/>
        </w:trPr>
        <w:tc>
          <w:tcPr>
            <w:tcW w:w="1103" w:type="dxa"/>
            <w:noWrap/>
            <w:hideMark/>
          </w:tcPr>
          <w:p w14:paraId="6A1635BB" w14:textId="77777777" w:rsidR="0009633C" w:rsidRPr="002E7B7B" w:rsidRDefault="0009633C" w:rsidP="0009633C">
            <w:pPr>
              <w:spacing w:after="120"/>
              <w:contextualSpacing/>
              <w:jc w:val="both"/>
              <w:rPr>
                <w:rFonts w:cs="Times New Roman"/>
              </w:rPr>
            </w:pPr>
            <w:r w:rsidRPr="002E7B7B">
              <w:rPr>
                <w:rFonts w:cs="Times New Roman"/>
              </w:rPr>
              <w:t># 46</w:t>
            </w:r>
          </w:p>
        </w:tc>
        <w:tc>
          <w:tcPr>
            <w:tcW w:w="7913" w:type="dxa"/>
            <w:noWrap/>
            <w:hideMark/>
          </w:tcPr>
          <w:p w14:paraId="71183CB8" w14:textId="77777777" w:rsidR="0009633C" w:rsidRPr="002E7B7B" w:rsidRDefault="0009633C" w:rsidP="0009633C">
            <w:pPr>
              <w:spacing w:after="120"/>
              <w:contextualSpacing/>
              <w:jc w:val="both"/>
              <w:rPr>
                <w:rFonts w:cs="Times New Roman"/>
              </w:rPr>
            </w:pPr>
            <w:r w:rsidRPr="002E7B7B">
              <w:rPr>
                <w:rFonts w:cs="Times New Roman"/>
              </w:rPr>
              <w:t xml:space="preserve">#45 AND #40 </w:t>
            </w:r>
          </w:p>
        </w:tc>
      </w:tr>
      <w:tr w:rsidR="0009633C" w:rsidRPr="002E7B7B" w14:paraId="4C96F106" w14:textId="77777777" w:rsidTr="0009633C">
        <w:trPr>
          <w:trHeight w:val="300"/>
        </w:trPr>
        <w:tc>
          <w:tcPr>
            <w:tcW w:w="1103" w:type="dxa"/>
            <w:noWrap/>
            <w:hideMark/>
          </w:tcPr>
          <w:p w14:paraId="704ABFA0" w14:textId="77777777" w:rsidR="0009633C" w:rsidRPr="002E7B7B" w:rsidRDefault="0009633C" w:rsidP="0009633C">
            <w:pPr>
              <w:spacing w:after="120"/>
              <w:contextualSpacing/>
              <w:jc w:val="both"/>
              <w:rPr>
                <w:rFonts w:cs="Times New Roman"/>
              </w:rPr>
            </w:pPr>
            <w:r w:rsidRPr="002E7B7B">
              <w:rPr>
                <w:rFonts w:cs="Times New Roman"/>
              </w:rPr>
              <w:t># 47</w:t>
            </w:r>
          </w:p>
        </w:tc>
        <w:tc>
          <w:tcPr>
            <w:tcW w:w="7913" w:type="dxa"/>
            <w:noWrap/>
            <w:hideMark/>
          </w:tcPr>
          <w:p w14:paraId="7EA64AF7" w14:textId="77777777" w:rsidR="0009633C" w:rsidRPr="002E7B7B" w:rsidRDefault="0009633C" w:rsidP="0009633C">
            <w:pPr>
              <w:spacing w:after="120"/>
              <w:contextualSpacing/>
              <w:jc w:val="both"/>
              <w:rPr>
                <w:rFonts w:cs="Times New Roman"/>
              </w:rPr>
            </w:pPr>
            <w:r w:rsidRPr="002E7B7B">
              <w:rPr>
                <w:rFonts w:cs="Times New Roman"/>
              </w:rPr>
              <w:t xml:space="preserve">#46 OR #37 OR #26 OR #19 OR #10 </w:t>
            </w:r>
          </w:p>
        </w:tc>
      </w:tr>
    </w:tbl>
    <w:p w14:paraId="55A9406E" w14:textId="77777777" w:rsidR="0009633C" w:rsidRPr="002E7B7B" w:rsidRDefault="0009633C" w:rsidP="0009633C">
      <w:pPr>
        <w:spacing w:after="120" w:line="240" w:lineRule="auto"/>
        <w:contextualSpacing/>
        <w:jc w:val="both"/>
        <w:rPr>
          <w:rFonts w:cs="Times New Roman"/>
          <w:b/>
        </w:rPr>
      </w:pPr>
    </w:p>
    <w:p w14:paraId="5919A037" w14:textId="77777777" w:rsidR="0009633C" w:rsidRPr="002E7B7B" w:rsidRDefault="0009633C" w:rsidP="0009633C">
      <w:pPr>
        <w:spacing w:after="120" w:line="240" w:lineRule="auto"/>
        <w:contextualSpacing/>
        <w:jc w:val="both"/>
        <w:rPr>
          <w:rFonts w:cs="Times New Roman"/>
          <w:b/>
        </w:rPr>
      </w:pPr>
    </w:p>
    <w:p w14:paraId="4724392B" w14:textId="77777777" w:rsidR="0009633C" w:rsidRPr="002E7B7B" w:rsidRDefault="0009633C" w:rsidP="0009633C">
      <w:pPr>
        <w:spacing w:after="120" w:line="240" w:lineRule="auto"/>
        <w:contextualSpacing/>
        <w:jc w:val="both"/>
        <w:rPr>
          <w:rFonts w:cs="Times New Roman"/>
          <w:b/>
        </w:rPr>
      </w:pPr>
      <w:r w:rsidRPr="002E7B7B">
        <w:rPr>
          <w:rFonts w:cs="Times New Roman"/>
          <w:b/>
        </w:rPr>
        <w:t>Supplementary search in October 2017</w:t>
      </w:r>
    </w:p>
    <w:p w14:paraId="53B202A2" w14:textId="77777777" w:rsidR="0009633C" w:rsidRPr="002E7B7B" w:rsidRDefault="0009633C" w:rsidP="0009633C">
      <w:pPr>
        <w:spacing w:after="120" w:line="240" w:lineRule="auto"/>
        <w:contextualSpacing/>
        <w:jc w:val="both"/>
        <w:rPr>
          <w:rFonts w:cs="Times New Roman"/>
          <w:b/>
        </w:rPr>
      </w:pPr>
    </w:p>
    <w:p w14:paraId="6F1BDCC9" w14:textId="77777777" w:rsidR="0009633C" w:rsidRPr="002E7B7B" w:rsidRDefault="0009633C" w:rsidP="0009633C">
      <w:pPr>
        <w:spacing w:after="120" w:line="240" w:lineRule="auto"/>
        <w:contextualSpacing/>
        <w:jc w:val="both"/>
        <w:rPr>
          <w:rFonts w:cs="Times New Roman"/>
          <w:b/>
        </w:rPr>
      </w:pPr>
      <w:r w:rsidRPr="002E7B7B">
        <w:rPr>
          <w:rFonts w:cs="Times New Roman"/>
          <w:b/>
        </w:rPr>
        <w:t>MEDLINE, MEDLINE Epub Ahead of Print, In-Process &amp; Other Non-Indexed Citations: Ovid, 1946 to 2017</w:t>
      </w:r>
    </w:p>
    <w:p w14:paraId="1AF2065B" w14:textId="77777777" w:rsidR="0009633C" w:rsidRPr="002E7B7B" w:rsidRDefault="0009633C" w:rsidP="0009633C">
      <w:pPr>
        <w:spacing w:after="120" w:line="240" w:lineRule="auto"/>
        <w:contextualSpacing/>
        <w:jc w:val="both"/>
        <w:rPr>
          <w:rFonts w:cs="Times New Roman"/>
        </w:rPr>
      </w:pPr>
      <w:r w:rsidRPr="002E7B7B">
        <w:rPr>
          <w:rFonts w:cs="Times New Roman"/>
        </w:rPr>
        <w:t>2</w:t>
      </w:r>
      <w:r w:rsidRPr="002E7B7B">
        <w:rPr>
          <w:rFonts w:cs="Times New Roman"/>
          <w:vertAlign w:val="superscript"/>
        </w:rPr>
        <w:t>nd</w:t>
      </w:r>
      <w:r w:rsidRPr="002E7B7B">
        <w:rPr>
          <w:rFonts w:cs="Times New Roman"/>
        </w:rPr>
        <w:t xml:space="preserve"> October 2017</w:t>
      </w:r>
    </w:p>
    <w:p w14:paraId="51EA83EF" w14:textId="77777777" w:rsidR="0009633C" w:rsidRPr="002E7B7B" w:rsidRDefault="0009633C" w:rsidP="0009633C">
      <w:pPr>
        <w:spacing w:after="120" w:line="240" w:lineRule="auto"/>
        <w:contextualSpacing/>
        <w:jc w:val="both"/>
        <w:rPr>
          <w:rFonts w:cs="Times New Roman"/>
        </w:rPr>
      </w:pPr>
    </w:p>
    <w:tbl>
      <w:tblPr>
        <w:tblW w:w="0" w:type="auto"/>
        <w:tblLook w:val="04A0" w:firstRow="1" w:lastRow="0" w:firstColumn="1" w:lastColumn="0" w:noHBand="0" w:noVBand="1"/>
      </w:tblPr>
      <w:tblGrid>
        <w:gridCol w:w="1129"/>
        <w:gridCol w:w="7887"/>
      </w:tblGrid>
      <w:tr w:rsidR="0009633C" w:rsidRPr="002E7B7B" w14:paraId="35D558A8" w14:textId="77777777" w:rsidTr="0009633C">
        <w:trPr>
          <w:trHeight w:val="300"/>
        </w:trPr>
        <w:tc>
          <w:tcPr>
            <w:tcW w:w="1129" w:type="dxa"/>
            <w:hideMark/>
          </w:tcPr>
          <w:p w14:paraId="2CD44E7A" w14:textId="77777777" w:rsidR="0009633C" w:rsidRPr="002E7B7B" w:rsidRDefault="0009633C" w:rsidP="0009633C">
            <w:pPr>
              <w:spacing w:after="120"/>
              <w:contextualSpacing/>
              <w:jc w:val="both"/>
              <w:rPr>
                <w:rFonts w:cs="Times New Roman"/>
                <w:b/>
                <w:bCs/>
              </w:rPr>
            </w:pPr>
            <w:r w:rsidRPr="002E7B7B">
              <w:rPr>
                <w:rFonts w:cs="Times New Roman"/>
                <w:b/>
                <w:bCs/>
              </w:rPr>
              <w:t>#</w:t>
            </w:r>
          </w:p>
        </w:tc>
        <w:tc>
          <w:tcPr>
            <w:tcW w:w="7887" w:type="dxa"/>
            <w:hideMark/>
          </w:tcPr>
          <w:p w14:paraId="67D37250" w14:textId="77777777" w:rsidR="0009633C" w:rsidRPr="002E7B7B" w:rsidRDefault="0009633C" w:rsidP="0009633C">
            <w:pPr>
              <w:spacing w:after="120"/>
              <w:contextualSpacing/>
              <w:jc w:val="both"/>
              <w:rPr>
                <w:rFonts w:cs="Times New Roman"/>
                <w:b/>
                <w:bCs/>
              </w:rPr>
            </w:pPr>
            <w:r w:rsidRPr="002E7B7B">
              <w:rPr>
                <w:rFonts w:cs="Times New Roman"/>
                <w:b/>
                <w:bCs/>
              </w:rPr>
              <w:t>Searches</w:t>
            </w:r>
          </w:p>
        </w:tc>
      </w:tr>
      <w:tr w:rsidR="0009633C" w:rsidRPr="002E7B7B" w14:paraId="65F04863" w14:textId="77777777" w:rsidTr="0009633C">
        <w:trPr>
          <w:trHeight w:val="300"/>
        </w:trPr>
        <w:tc>
          <w:tcPr>
            <w:tcW w:w="1129" w:type="dxa"/>
            <w:hideMark/>
          </w:tcPr>
          <w:p w14:paraId="54B6E698" w14:textId="77777777" w:rsidR="0009633C" w:rsidRPr="002E7B7B" w:rsidRDefault="0009633C" w:rsidP="0009633C">
            <w:pPr>
              <w:spacing w:after="120"/>
              <w:contextualSpacing/>
              <w:jc w:val="both"/>
              <w:rPr>
                <w:rFonts w:cs="Times New Roman"/>
              </w:rPr>
            </w:pPr>
            <w:r w:rsidRPr="002E7B7B">
              <w:rPr>
                <w:rFonts w:cs="Times New Roman"/>
              </w:rPr>
              <w:t>1</w:t>
            </w:r>
          </w:p>
        </w:tc>
        <w:tc>
          <w:tcPr>
            <w:tcW w:w="7887" w:type="dxa"/>
            <w:hideMark/>
          </w:tcPr>
          <w:p w14:paraId="07B92C97" w14:textId="77777777" w:rsidR="0009633C" w:rsidRPr="002E7B7B" w:rsidRDefault="0009633C" w:rsidP="0009633C">
            <w:pPr>
              <w:spacing w:after="120"/>
              <w:contextualSpacing/>
              <w:jc w:val="both"/>
              <w:rPr>
                <w:rFonts w:cs="Times New Roman"/>
              </w:rPr>
            </w:pPr>
            <w:r w:rsidRPr="002E7B7B">
              <w:rPr>
                <w:rFonts w:cs="Times New Roman"/>
              </w:rPr>
              <w:t>exp Creutzfeldt-Jakob Syndrome/</w:t>
            </w:r>
          </w:p>
        </w:tc>
      </w:tr>
      <w:tr w:rsidR="0009633C" w:rsidRPr="002E7B7B" w14:paraId="6716FFC4" w14:textId="77777777" w:rsidTr="0009633C">
        <w:trPr>
          <w:trHeight w:val="300"/>
        </w:trPr>
        <w:tc>
          <w:tcPr>
            <w:tcW w:w="1129" w:type="dxa"/>
            <w:hideMark/>
          </w:tcPr>
          <w:p w14:paraId="4E15EC42" w14:textId="77777777" w:rsidR="0009633C" w:rsidRPr="002E7B7B" w:rsidRDefault="0009633C" w:rsidP="0009633C">
            <w:pPr>
              <w:spacing w:after="120"/>
              <w:contextualSpacing/>
              <w:jc w:val="both"/>
              <w:rPr>
                <w:rFonts w:cs="Times New Roman"/>
              </w:rPr>
            </w:pPr>
            <w:r w:rsidRPr="002E7B7B">
              <w:rPr>
                <w:rFonts w:cs="Times New Roman"/>
              </w:rPr>
              <w:t>2</w:t>
            </w:r>
          </w:p>
        </w:tc>
        <w:tc>
          <w:tcPr>
            <w:tcW w:w="7887" w:type="dxa"/>
            <w:hideMark/>
          </w:tcPr>
          <w:p w14:paraId="3A158834" w14:textId="77777777" w:rsidR="0009633C" w:rsidRPr="002E7B7B" w:rsidRDefault="0009633C" w:rsidP="0009633C">
            <w:pPr>
              <w:spacing w:after="120"/>
              <w:contextualSpacing/>
              <w:jc w:val="both"/>
              <w:rPr>
                <w:rFonts w:cs="Times New Roman"/>
              </w:rPr>
            </w:pPr>
            <w:r w:rsidRPr="002E7B7B">
              <w:rPr>
                <w:rFonts w:cs="Times New Roman"/>
              </w:rPr>
              <w:t>((creutzfeldt jakob or creutzfeldt-jakob) adj (disease or syndrome)).tw.</w:t>
            </w:r>
          </w:p>
        </w:tc>
      </w:tr>
      <w:tr w:rsidR="0009633C" w:rsidRPr="002E7B7B" w14:paraId="6321602C" w14:textId="77777777" w:rsidTr="0009633C">
        <w:trPr>
          <w:trHeight w:val="300"/>
        </w:trPr>
        <w:tc>
          <w:tcPr>
            <w:tcW w:w="1129" w:type="dxa"/>
            <w:hideMark/>
          </w:tcPr>
          <w:p w14:paraId="785EE9FA" w14:textId="77777777" w:rsidR="0009633C" w:rsidRPr="002E7B7B" w:rsidRDefault="0009633C" w:rsidP="0009633C">
            <w:pPr>
              <w:spacing w:after="120"/>
              <w:contextualSpacing/>
              <w:jc w:val="both"/>
              <w:rPr>
                <w:rFonts w:cs="Times New Roman"/>
              </w:rPr>
            </w:pPr>
            <w:r w:rsidRPr="002E7B7B">
              <w:rPr>
                <w:rFonts w:cs="Times New Roman"/>
              </w:rPr>
              <w:t>3</w:t>
            </w:r>
          </w:p>
        </w:tc>
        <w:tc>
          <w:tcPr>
            <w:tcW w:w="7887" w:type="dxa"/>
            <w:hideMark/>
          </w:tcPr>
          <w:p w14:paraId="6C430B9C" w14:textId="77777777" w:rsidR="0009633C" w:rsidRPr="002E7B7B" w:rsidRDefault="0009633C" w:rsidP="0009633C">
            <w:pPr>
              <w:spacing w:after="120"/>
              <w:contextualSpacing/>
              <w:jc w:val="both"/>
              <w:rPr>
                <w:rFonts w:cs="Times New Roman"/>
              </w:rPr>
            </w:pPr>
            <w:r w:rsidRPr="002E7B7B">
              <w:rPr>
                <w:rFonts w:cs="Times New Roman"/>
              </w:rPr>
              <w:t>(cjd or vcjd or v-cjd).tw.</w:t>
            </w:r>
          </w:p>
        </w:tc>
      </w:tr>
      <w:tr w:rsidR="0009633C" w:rsidRPr="002E7B7B" w14:paraId="59D2C5AD" w14:textId="77777777" w:rsidTr="0009633C">
        <w:trPr>
          <w:trHeight w:val="300"/>
        </w:trPr>
        <w:tc>
          <w:tcPr>
            <w:tcW w:w="1129" w:type="dxa"/>
            <w:hideMark/>
          </w:tcPr>
          <w:p w14:paraId="1273659C" w14:textId="77777777" w:rsidR="0009633C" w:rsidRPr="002E7B7B" w:rsidRDefault="0009633C" w:rsidP="0009633C">
            <w:pPr>
              <w:spacing w:after="120"/>
              <w:contextualSpacing/>
              <w:jc w:val="both"/>
              <w:rPr>
                <w:rFonts w:cs="Times New Roman"/>
              </w:rPr>
            </w:pPr>
            <w:r w:rsidRPr="002E7B7B">
              <w:rPr>
                <w:rFonts w:cs="Times New Roman"/>
              </w:rPr>
              <w:t>4</w:t>
            </w:r>
          </w:p>
        </w:tc>
        <w:tc>
          <w:tcPr>
            <w:tcW w:w="7887" w:type="dxa"/>
            <w:hideMark/>
          </w:tcPr>
          <w:p w14:paraId="700DBB2E" w14:textId="77777777" w:rsidR="0009633C" w:rsidRPr="002E7B7B" w:rsidRDefault="0009633C" w:rsidP="0009633C">
            <w:pPr>
              <w:spacing w:after="120"/>
              <w:contextualSpacing/>
              <w:jc w:val="both"/>
              <w:rPr>
                <w:rFonts w:cs="Times New Roman"/>
              </w:rPr>
            </w:pPr>
            <w:r w:rsidRPr="002E7B7B">
              <w:rPr>
                <w:rFonts w:cs="Times New Roman"/>
              </w:rPr>
              <w:t>exp Prion Diseases/</w:t>
            </w:r>
          </w:p>
        </w:tc>
      </w:tr>
      <w:tr w:rsidR="0009633C" w:rsidRPr="002E7B7B" w14:paraId="6A5B1289" w14:textId="77777777" w:rsidTr="0009633C">
        <w:trPr>
          <w:trHeight w:val="300"/>
        </w:trPr>
        <w:tc>
          <w:tcPr>
            <w:tcW w:w="1129" w:type="dxa"/>
            <w:hideMark/>
          </w:tcPr>
          <w:p w14:paraId="05F66255" w14:textId="77777777" w:rsidR="0009633C" w:rsidRPr="002E7B7B" w:rsidRDefault="0009633C" w:rsidP="0009633C">
            <w:pPr>
              <w:spacing w:after="120"/>
              <w:contextualSpacing/>
              <w:jc w:val="both"/>
              <w:rPr>
                <w:rFonts w:cs="Times New Roman"/>
              </w:rPr>
            </w:pPr>
            <w:r w:rsidRPr="002E7B7B">
              <w:rPr>
                <w:rFonts w:cs="Times New Roman"/>
              </w:rPr>
              <w:t>5</w:t>
            </w:r>
          </w:p>
        </w:tc>
        <w:tc>
          <w:tcPr>
            <w:tcW w:w="7887" w:type="dxa"/>
            <w:hideMark/>
          </w:tcPr>
          <w:p w14:paraId="5826FA3E" w14:textId="77777777" w:rsidR="0009633C" w:rsidRPr="002E7B7B" w:rsidRDefault="0009633C" w:rsidP="0009633C">
            <w:pPr>
              <w:spacing w:after="120"/>
              <w:contextualSpacing/>
              <w:jc w:val="both"/>
              <w:rPr>
                <w:rFonts w:cs="Times New Roman"/>
              </w:rPr>
            </w:pPr>
            <w:r w:rsidRPr="002E7B7B">
              <w:rPr>
                <w:rFonts w:cs="Times New Roman"/>
              </w:rPr>
              <w:t>exp Prions/</w:t>
            </w:r>
          </w:p>
        </w:tc>
      </w:tr>
      <w:tr w:rsidR="0009633C" w:rsidRPr="002E7B7B" w14:paraId="3D297FA8" w14:textId="77777777" w:rsidTr="0009633C">
        <w:trPr>
          <w:trHeight w:val="300"/>
        </w:trPr>
        <w:tc>
          <w:tcPr>
            <w:tcW w:w="1129" w:type="dxa"/>
            <w:hideMark/>
          </w:tcPr>
          <w:p w14:paraId="42E2EED5" w14:textId="77777777" w:rsidR="0009633C" w:rsidRPr="002E7B7B" w:rsidRDefault="0009633C" w:rsidP="0009633C">
            <w:pPr>
              <w:spacing w:after="120"/>
              <w:contextualSpacing/>
              <w:jc w:val="both"/>
              <w:rPr>
                <w:rFonts w:cs="Times New Roman"/>
              </w:rPr>
            </w:pPr>
            <w:r w:rsidRPr="002E7B7B">
              <w:rPr>
                <w:rFonts w:cs="Times New Roman"/>
              </w:rPr>
              <w:t>6</w:t>
            </w:r>
          </w:p>
        </w:tc>
        <w:tc>
          <w:tcPr>
            <w:tcW w:w="7887" w:type="dxa"/>
            <w:hideMark/>
          </w:tcPr>
          <w:p w14:paraId="16F12BC9" w14:textId="77777777" w:rsidR="0009633C" w:rsidRPr="002E7B7B" w:rsidRDefault="0009633C" w:rsidP="0009633C">
            <w:pPr>
              <w:spacing w:after="120"/>
              <w:contextualSpacing/>
              <w:jc w:val="both"/>
              <w:rPr>
                <w:rFonts w:cs="Times New Roman"/>
              </w:rPr>
            </w:pPr>
            <w:r w:rsidRPr="002E7B7B">
              <w:rPr>
                <w:rFonts w:cs="Times New Roman"/>
              </w:rPr>
              <w:t>((transmissible or spong*) adj encephalopath*).tw.</w:t>
            </w:r>
          </w:p>
        </w:tc>
      </w:tr>
      <w:tr w:rsidR="0009633C" w:rsidRPr="002E7B7B" w14:paraId="57ABE18D" w14:textId="77777777" w:rsidTr="0009633C">
        <w:trPr>
          <w:trHeight w:val="300"/>
        </w:trPr>
        <w:tc>
          <w:tcPr>
            <w:tcW w:w="1129" w:type="dxa"/>
            <w:hideMark/>
          </w:tcPr>
          <w:p w14:paraId="7C132E5D" w14:textId="77777777" w:rsidR="0009633C" w:rsidRPr="002E7B7B" w:rsidRDefault="0009633C" w:rsidP="0009633C">
            <w:pPr>
              <w:spacing w:after="120"/>
              <w:contextualSpacing/>
              <w:jc w:val="both"/>
              <w:rPr>
                <w:rFonts w:cs="Times New Roman"/>
              </w:rPr>
            </w:pPr>
            <w:r w:rsidRPr="002E7B7B">
              <w:rPr>
                <w:rFonts w:cs="Times New Roman"/>
              </w:rPr>
              <w:t>7</w:t>
            </w:r>
          </w:p>
        </w:tc>
        <w:tc>
          <w:tcPr>
            <w:tcW w:w="7887" w:type="dxa"/>
            <w:hideMark/>
          </w:tcPr>
          <w:p w14:paraId="06E699EE" w14:textId="77777777" w:rsidR="0009633C" w:rsidRPr="002E7B7B" w:rsidRDefault="0009633C" w:rsidP="0009633C">
            <w:pPr>
              <w:spacing w:after="120"/>
              <w:contextualSpacing/>
              <w:jc w:val="both"/>
              <w:rPr>
                <w:rFonts w:cs="Times New Roman"/>
              </w:rPr>
            </w:pPr>
            <w:r w:rsidRPr="002E7B7B">
              <w:rPr>
                <w:rFonts w:cs="Times New Roman"/>
              </w:rPr>
              <w:t>(prion* or tse).tw.</w:t>
            </w:r>
          </w:p>
        </w:tc>
      </w:tr>
      <w:tr w:rsidR="0009633C" w:rsidRPr="002E7B7B" w14:paraId="60FBCB52" w14:textId="77777777" w:rsidTr="0009633C">
        <w:trPr>
          <w:trHeight w:val="300"/>
        </w:trPr>
        <w:tc>
          <w:tcPr>
            <w:tcW w:w="1129" w:type="dxa"/>
            <w:hideMark/>
          </w:tcPr>
          <w:p w14:paraId="77F8D0DC" w14:textId="77777777" w:rsidR="0009633C" w:rsidRPr="002E7B7B" w:rsidRDefault="0009633C" w:rsidP="0009633C">
            <w:pPr>
              <w:spacing w:after="120"/>
              <w:contextualSpacing/>
              <w:jc w:val="both"/>
              <w:rPr>
                <w:rFonts w:cs="Times New Roman"/>
              </w:rPr>
            </w:pPr>
            <w:r w:rsidRPr="002E7B7B">
              <w:rPr>
                <w:rFonts w:cs="Times New Roman"/>
              </w:rPr>
              <w:t>8</w:t>
            </w:r>
          </w:p>
        </w:tc>
        <w:tc>
          <w:tcPr>
            <w:tcW w:w="7887" w:type="dxa"/>
            <w:hideMark/>
          </w:tcPr>
          <w:p w14:paraId="1F7184AE" w14:textId="77777777" w:rsidR="0009633C" w:rsidRPr="002E7B7B" w:rsidRDefault="0009633C" w:rsidP="0009633C">
            <w:pPr>
              <w:spacing w:after="120"/>
              <w:contextualSpacing/>
              <w:jc w:val="both"/>
              <w:rPr>
                <w:rFonts w:cs="Times New Roman"/>
              </w:rPr>
            </w:pPr>
            <w:r w:rsidRPr="002E7B7B">
              <w:rPr>
                <w:rFonts w:cs="Times New Roman"/>
              </w:rPr>
              <w:t>prp.tw.</w:t>
            </w:r>
          </w:p>
        </w:tc>
      </w:tr>
      <w:tr w:rsidR="0009633C" w:rsidRPr="002E7B7B" w14:paraId="602EEE0D" w14:textId="77777777" w:rsidTr="0009633C">
        <w:trPr>
          <w:trHeight w:val="300"/>
        </w:trPr>
        <w:tc>
          <w:tcPr>
            <w:tcW w:w="1129" w:type="dxa"/>
            <w:hideMark/>
          </w:tcPr>
          <w:p w14:paraId="36B3E6E6" w14:textId="77777777" w:rsidR="0009633C" w:rsidRPr="002E7B7B" w:rsidRDefault="0009633C" w:rsidP="0009633C">
            <w:pPr>
              <w:spacing w:after="120"/>
              <w:contextualSpacing/>
              <w:jc w:val="both"/>
              <w:rPr>
                <w:rFonts w:cs="Times New Roman"/>
              </w:rPr>
            </w:pPr>
            <w:r w:rsidRPr="002E7B7B">
              <w:rPr>
                <w:rFonts w:cs="Times New Roman"/>
              </w:rPr>
              <w:t>9</w:t>
            </w:r>
          </w:p>
        </w:tc>
        <w:tc>
          <w:tcPr>
            <w:tcW w:w="7887" w:type="dxa"/>
            <w:hideMark/>
          </w:tcPr>
          <w:p w14:paraId="2EADE4CA" w14:textId="77777777" w:rsidR="0009633C" w:rsidRPr="002E7B7B" w:rsidRDefault="0009633C" w:rsidP="0009633C">
            <w:pPr>
              <w:spacing w:after="120"/>
              <w:contextualSpacing/>
              <w:jc w:val="both"/>
              <w:rPr>
                <w:rFonts w:cs="Times New Roman"/>
              </w:rPr>
            </w:pPr>
            <w:r w:rsidRPr="002E7B7B">
              <w:rPr>
                <w:rFonts w:cs="Times New Roman"/>
              </w:rPr>
              <w:t>or/1-8</w:t>
            </w:r>
          </w:p>
        </w:tc>
      </w:tr>
      <w:tr w:rsidR="0009633C" w:rsidRPr="002E7B7B" w14:paraId="2585E5B9" w14:textId="77777777" w:rsidTr="0009633C">
        <w:trPr>
          <w:trHeight w:val="300"/>
        </w:trPr>
        <w:tc>
          <w:tcPr>
            <w:tcW w:w="1129" w:type="dxa"/>
            <w:hideMark/>
          </w:tcPr>
          <w:p w14:paraId="036F4C4E" w14:textId="77777777" w:rsidR="0009633C" w:rsidRPr="002E7B7B" w:rsidRDefault="0009633C" w:rsidP="0009633C">
            <w:pPr>
              <w:spacing w:after="120"/>
              <w:contextualSpacing/>
              <w:jc w:val="both"/>
              <w:rPr>
                <w:rFonts w:cs="Times New Roman"/>
              </w:rPr>
            </w:pPr>
            <w:r w:rsidRPr="002E7B7B">
              <w:rPr>
                <w:rFonts w:cs="Times New Roman"/>
              </w:rPr>
              <w:t>10</w:t>
            </w:r>
          </w:p>
        </w:tc>
        <w:tc>
          <w:tcPr>
            <w:tcW w:w="7887" w:type="dxa"/>
            <w:hideMark/>
          </w:tcPr>
          <w:p w14:paraId="5FCF0F2C" w14:textId="77777777" w:rsidR="0009633C" w:rsidRPr="002E7B7B" w:rsidRDefault="0009633C" w:rsidP="0009633C">
            <w:pPr>
              <w:spacing w:after="120"/>
              <w:contextualSpacing/>
              <w:jc w:val="both"/>
              <w:rPr>
                <w:rFonts w:cs="Times New Roman"/>
              </w:rPr>
            </w:pPr>
            <w:r w:rsidRPr="002E7B7B">
              <w:rPr>
                <w:rFonts w:cs="Times New Roman"/>
              </w:rPr>
              <w:t>(surgery or surgical* or operat*).tw.</w:t>
            </w:r>
          </w:p>
        </w:tc>
      </w:tr>
      <w:tr w:rsidR="0009633C" w:rsidRPr="002E7B7B" w14:paraId="520C4E27" w14:textId="77777777" w:rsidTr="0009633C">
        <w:trPr>
          <w:trHeight w:val="300"/>
        </w:trPr>
        <w:tc>
          <w:tcPr>
            <w:tcW w:w="1129" w:type="dxa"/>
            <w:hideMark/>
          </w:tcPr>
          <w:p w14:paraId="1CCAC2C6" w14:textId="77777777" w:rsidR="0009633C" w:rsidRPr="002E7B7B" w:rsidRDefault="0009633C" w:rsidP="0009633C">
            <w:pPr>
              <w:spacing w:after="120"/>
              <w:contextualSpacing/>
              <w:jc w:val="both"/>
              <w:rPr>
                <w:rFonts w:cs="Times New Roman"/>
              </w:rPr>
            </w:pPr>
            <w:r w:rsidRPr="002E7B7B">
              <w:rPr>
                <w:rFonts w:cs="Times New Roman"/>
              </w:rPr>
              <w:t>11</w:t>
            </w:r>
          </w:p>
        </w:tc>
        <w:tc>
          <w:tcPr>
            <w:tcW w:w="7887" w:type="dxa"/>
            <w:hideMark/>
          </w:tcPr>
          <w:p w14:paraId="299EF43B" w14:textId="77777777" w:rsidR="0009633C" w:rsidRPr="002E7B7B" w:rsidRDefault="0009633C" w:rsidP="0009633C">
            <w:pPr>
              <w:spacing w:after="120"/>
              <w:contextualSpacing/>
              <w:jc w:val="both"/>
              <w:rPr>
                <w:rFonts w:cs="Times New Roman"/>
              </w:rPr>
            </w:pPr>
            <w:r w:rsidRPr="002E7B7B">
              <w:rPr>
                <w:rFonts w:cs="Times New Roman"/>
              </w:rPr>
              <w:t>risk*.mp.</w:t>
            </w:r>
          </w:p>
        </w:tc>
      </w:tr>
      <w:tr w:rsidR="0009633C" w:rsidRPr="002E7B7B" w14:paraId="6A69D2B4" w14:textId="77777777" w:rsidTr="0009633C">
        <w:trPr>
          <w:trHeight w:val="300"/>
        </w:trPr>
        <w:tc>
          <w:tcPr>
            <w:tcW w:w="1129" w:type="dxa"/>
            <w:hideMark/>
          </w:tcPr>
          <w:p w14:paraId="3D1F1C63" w14:textId="77777777" w:rsidR="0009633C" w:rsidRPr="002E7B7B" w:rsidRDefault="0009633C" w:rsidP="0009633C">
            <w:pPr>
              <w:spacing w:after="120"/>
              <w:contextualSpacing/>
              <w:jc w:val="both"/>
              <w:rPr>
                <w:rFonts w:cs="Times New Roman"/>
              </w:rPr>
            </w:pPr>
            <w:r w:rsidRPr="002E7B7B">
              <w:rPr>
                <w:rFonts w:cs="Times New Roman"/>
              </w:rPr>
              <w:t>12</w:t>
            </w:r>
          </w:p>
        </w:tc>
        <w:tc>
          <w:tcPr>
            <w:tcW w:w="7887" w:type="dxa"/>
            <w:hideMark/>
          </w:tcPr>
          <w:p w14:paraId="6D90E338" w14:textId="77777777" w:rsidR="0009633C" w:rsidRPr="002E7B7B" w:rsidRDefault="0009633C" w:rsidP="0009633C">
            <w:pPr>
              <w:spacing w:after="120"/>
              <w:contextualSpacing/>
              <w:jc w:val="both"/>
              <w:rPr>
                <w:rFonts w:cs="Times New Roman"/>
              </w:rPr>
            </w:pPr>
            <w:r w:rsidRPr="002E7B7B">
              <w:rPr>
                <w:rFonts w:cs="Times New Roman"/>
              </w:rPr>
              <w:t>9 and 10 and 11</w:t>
            </w:r>
          </w:p>
        </w:tc>
      </w:tr>
      <w:tr w:rsidR="0009633C" w:rsidRPr="002E7B7B" w14:paraId="0B41574D" w14:textId="77777777" w:rsidTr="0009633C">
        <w:trPr>
          <w:trHeight w:val="300"/>
        </w:trPr>
        <w:tc>
          <w:tcPr>
            <w:tcW w:w="1129" w:type="dxa"/>
            <w:hideMark/>
          </w:tcPr>
          <w:p w14:paraId="78C52ADD" w14:textId="77777777" w:rsidR="0009633C" w:rsidRPr="002E7B7B" w:rsidRDefault="0009633C" w:rsidP="0009633C">
            <w:pPr>
              <w:spacing w:after="120"/>
              <w:contextualSpacing/>
              <w:jc w:val="both"/>
              <w:rPr>
                <w:rFonts w:cs="Times New Roman"/>
              </w:rPr>
            </w:pPr>
            <w:r w:rsidRPr="002E7B7B">
              <w:rPr>
                <w:rFonts w:cs="Times New Roman"/>
              </w:rPr>
              <w:t>13</w:t>
            </w:r>
          </w:p>
        </w:tc>
        <w:tc>
          <w:tcPr>
            <w:tcW w:w="7887" w:type="dxa"/>
            <w:hideMark/>
          </w:tcPr>
          <w:p w14:paraId="3F0A5A92" w14:textId="77777777" w:rsidR="0009633C" w:rsidRPr="002E7B7B" w:rsidRDefault="0009633C" w:rsidP="0009633C">
            <w:pPr>
              <w:spacing w:after="120"/>
              <w:contextualSpacing/>
              <w:jc w:val="both"/>
              <w:rPr>
                <w:rFonts w:cs="Times New Roman"/>
              </w:rPr>
            </w:pPr>
            <w:r w:rsidRPr="002E7B7B">
              <w:rPr>
                <w:rFonts w:cs="Times New Roman"/>
              </w:rPr>
              <w:t>limit 12 to yr="2005 -Current"</w:t>
            </w:r>
          </w:p>
        </w:tc>
      </w:tr>
    </w:tbl>
    <w:p w14:paraId="64BEEAA7" w14:textId="77777777" w:rsidR="0009633C" w:rsidRPr="002E7B7B" w:rsidRDefault="0009633C" w:rsidP="0009633C">
      <w:pPr>
        <w:spacing w:after="120" w:line="240" w:lineRule="auto"/>
        <w:contextualSpacing/>
        <w:jc w:val="both"/>
        <w:rPr>
          <w:rFonts w:cs="Times New Roman"/>
        </w:rPr>
      </w:pPr>
    </w:p>
    <w:p w14:paraId="0B3D0607" w14:textId="77777777" w:rsidR="0009633C" w:rsidRPr="002E7B7B" w:rsidRDefault="0009633C" w:rsidP="0009633C">
      <w:pPr>
        <w:spacing w:after="120" w:line="240" w:lineRule="auto"/>
        <w:contextualSpacing/>
        <w:jc w:val="both"/>
        <w:rPr>
          <w:rFonts w:cs="Times New Roman"/>
          <w:b/>
          <w:bCs/>
        </w:rPr>
      </w:pPr>
      <w:r w:rsidRPr="002E7B7B">
        <w:rPr>
          <w:rFonts w:cs="Times New Roman"/>
          <w:b/>
          <w:bCs/>
        </w:rPr>
        <w:t>Embase 1974 to 2017 October</w:t>
      </w:r>
    </w:p>
    <w:p w14:paraId="3F1CE999" w14:textId="77777777" w:rsidR="0009633C" w:rsidRPr="002E7B7B" w:rsidRDefault="0009633C" w:rsidP="0009633C">
      <w:pPr>
        <w:spacing w:after="120" w:line="240" w:lineRule="auto"/>
        <w:contextualSpacing/>
        <w:jc w:val="both"/>
        <w:rPr>
          <w:rFonts w:cs="Times New Roman"/>
        </w:rPr>
      </w:pPr>
      <w:r w:rsidRPr="002E7B7B">
        <w:rPr>
          <w:rFonts w:cs="Times New Roman"/>
        </w:rPr>
        <w:t>2</w:t>
      </w:r>
      <w:r w:rsidRPr="002E7B7B">
        <w:rPr>
          <w:rFonts w:cs="Times New Roman"/>
          <w:vertAlign w:val="superscript"/>
        </w:rPr>
        <w:t>nd</w:t>
      </w:r>
      <w:r w:rsidRPr="002E7B7B">
        <w:rPr>
          <w:rFonts w:cs="Times New Roman"/>
        </w:rPr>
        <w:t xml:space="preserve"> October 2017</w:t>
      </w:r>
    </w:p>
    <w:p w14:paraId="533A6F1E" w14:textId="77777777" w:rsidR="0009633C" w:rsidRPr="002E7B7B" w:rsidRDefault="0009633C" w:rsidP="0009633C">
      <w:pPr>
        <w:spacing w:after="120" w:line="240" w:lineRule="auto"/>
        <w:contextualSpacing/>
        <w:jc w:val="both"/>
        <w:rPr>
          <w:rFonts w:cs="Times New Roman"/>
        </w:rPr>
      </w:pPr>
    </w:p>
    <w:tbl>
      <w:tblPr>
        <w:tblW w:w="0" w:type="auto"/>
        <w:tblLook w:val="04A0" w:firstRow="1" w:lastRow="0" w:firstColumn="1" w:lastColumn="0" w:noHBand="0" w:noVBand="1"/>
      </w:tblPr>
      <w:tblGrid>
        <w:gridCol w:w="1129"/>
        <w:gridCol w:w="7887"/>
      </w:tblGrid>
      <w:tr w:rsidR="0009633C" w:rsidRPr="002E7B7B" w14:paraId="7EC50101" w14:textId="77777777" w:rsidTr="0009633C">
        <w:trPr>
          <w:trHeight w:val="300"/>
        </w:trPr>
        <w:tc>
          <w:tcPr>
            <w:tcW w:w="1129" w:type="dxa"/>
            <w:hideMark/>
          </w:tcPr>
          <w:p w14:paraId="03C5B841" w14:textId="77777777" w:rsidR="0009633C" w:rsidRPr="002E7B7B" w:rsidRDefault="0009633C" w:rsidP="0009633C">
            <w:pPr>
              <w:spacing w:after="120"/>
              <w:contextualSpacing/>
              <w:jc w:val="both"/>
              <w:rPr>
                <w:rFonts w:cs="Times New Roman"/>
                <w:b/>
                <w:bCs/>
              </w:rPr>
            </w:pPr>
            <w:r w:rsidRPr="002E7B7B">
              <w:rPr>
                <w:rFonts w:cs="Times New Roman"/>
                <w:b/>
                <w:bCs/>
              </w:rPr>
              <w:t>#</w:t>
            </w:r>
          </w:p>
        </w:tc>
        <w:tc>
          <w:tcPr>
            <w:tcW w:w="7887" w:type="dxa"/>
            <w:hideMark/>
          </w:tcPr>
          <w:p w14:paraId="533A4DBC" w14:textId="77777777" w:rsidR="0009633C" w:rsidRPr="002E7B7B" w:rsidRDefault="0009633C" w:rsidP="0009633C">
            <w:pPr>
              <w:spacing w:after="120"/>
              <w:contextualSpacing/>
              <w:jc w:val="both"/>
              <w:rPr>
                <w:rFonts w:cs="Times New Roman"/>
                <w:b/>
                <w:bCs/>
              </w:rPr>
            </w:pPr>
            <w:r w:rsidRPr="002E7B7B">
              <w:rPr>
                <w:rFonts w:cs="Times New Roman"/>
                <w:b/>
                <w:bCs/>
              </w:rPr>
              <w:t>Searches</w:t>
            </w:r>
          </w:p>
        </w:tc>
      </w:tr>
      <w:tr w:rsidR="0009633C" w:rsidRPr="002E7B7B" w14:paraId="77A94438" w14:textId="77777777" w:rsidTr="0009633C">
        <w:trPr>
          <w:trHeight w:val="300"/>
        </w:trPr>
        <w:tc>
          <w:tcPr>
            <w:tcW w:w="1129" w:type="dxa"/>
            <w:hideMark/>
          </w:tcPr>
          <w:p w14:paraId="66C49027" w14:textId="77777777" w:rsidR="0009633C" w:rsidRPr="002E7B7B" w:rsidRDefault="0009633C" w:rsidP="0009633C">
            <w:pPr>
              <w:spacing w:after="120"/>
              <w:contextualSpacing/>
              <w:jc w:val="both"/>
              <w:rPr>
                <w:rFonts w:cs="Times New Roman"/>
              </w:rPr>
            </w:pPr>
            <w:r w:rsidRPr="002E7B7B">
              <w:rPr>
                <w:rFonts w:cs="Times New Roman"/>
              </w:rPr>
              <w:t>1</w:t>
            </w:r>
          </w:p>
        </w:tc>
        <w:tc>
          <w:tcPr>
            <w:tcW w:w="7887" w:type="dxa"/>
            <w:hideMark/>
          </w:tcPr>
          <w:p w14:paraId="1DDB0DB3" w14:textId="77777777" w:rsidR="0009633C" w:rsidRPr="002E7B7B" w:rsidRDefault="0009633C" w:rsidP="0009633C">
            <w:pPr>
              <w:spacing w:after="120"/>
              <w:contextualSpacing/>
              <w:jc w:val="both"/>
              <w:rPr>
                <w:rFonts w:cs="Times New Roman"/>
              </w:rPr>
            </w:pPr>
            <w:r w:rsidRPr="002E7B7B">
              <w:rPr>
                <w:rFonts w:cs="Times New Roman"/>
              </w:rPr>
              <w:t>exp Creutzfeldt Jakob disease/</w:t>
            </w:r>
          </w:p>
        </w:tc>
      </w:tr>
      <w:tr w:rsidR="0009633C" w:rsidRPr="002E7B7B" w14:paraId="1935DDC4" w14:textId="77777777" w:rsidTr="0009633C">
        <w:trPr>
          <w:trHeight w:val="300"/>
        </w:trPr>
        <w:tc>
          <w:tcPr>
            <w:tcW w:w="1129" w:type="dxa"/>
            <w:hideMark/>
          </w:tcPr>
          <w:p w14:paraId="33AB2164" w14:textId="77777777" w:rsidR="0009633C" w:rsidRPr="002E7B7B" w:rsidRDefault="0009633C" w:rsidP="0009633C">
            <w:pPr>
              <w:spacing w:after="120"/>
              <w:contextualSpacing/>
              <w:jc w:val="both"/>
              <w:rPr>
                <w:rFonts w:cs="Times New Roman"/>
              </w:rPr>
            </w:pPr>
            <w:r w:rsidRPr="002E7B7B">
              <w:rPr>
                <w:rFonts w:cs="Times New Roman"/>
              </w:rPr>
              <w:t>2</w:t>
            </w:r>
          </w:p>
        </w:tc>
        <w:tc>
          <w:tcPr>
            <w:tcW w:w="7887" w:type="dxa"/>
            <w:hideMark/>
          </w:tcPr>
          <w:p w14:paraId="472CB558" w14:textId="77777777" w:rsidR="0009633C" w:rsidRPr="002E7B7B" w:rsidRDefault="0009633C" w:rsidP="0009633C">
            <w:pPr>
              <w:spacing w:after="120"/>
              <w:contextualSpacing/>
              <w:jc w:val="both"/>
              <w:rPr>
                <w:rFonts w:cs="Times New Roman"/>
              </w:rPr>
            </w:pPr>
            <w:r w:rsidRPr="002E7B7B">
              <w:rPr>
                <w:rFonts w:cs="Times New Roman"/>
              </w:rPr>
              <w:t>((creutzfeldt jakob or creutzfeldt-jakob) adj (disease or syndrome)).tw.</w:t>
            </w:r>
          </w:p>
        </w:tc>
      </w:tr>
      <w:tr w:rsidR="0009633C" w:rsidRPr="002E7B7B" w14:paraId="79B42CF1" w14:textId="77777777" w:rsidTr="0009633C">
        <w:trPr>
          <w:trHeight w:val="300"/>
        </w:trPr>
        <w:tc>
          <w:tcPr>
            <w:tcW w:w="1129" w:type="dxa"/>
            <w:hideMark/>
          </w:tcPr>
          <w:p w14:paraId="42897827" w14:textId="77777777" w:rsidR="0009633C" w:rsidRPr="002E7B7B" w:rsidRDefault="0009633C" w:rsidP="0009633C">
            <w:pPr>
              <w:spacing w:after="120"/>
              <w:contextualSpacing/>
              <w:jc w:val="both"/>
              <w:rPr>
                <w:rFonts w:cs="Times New Roman"/>
              </w:rPr>
            </w:pPr>
            <w:r w:rsidRPr="002E7B7B">
              <w:rPr>
                <w:rFonts w:cs="Times New Roman"/>
              </w:rPr>
              <w:t>3</w:t>
            </w:r>
          </w:p>
        </w:tc>
        <w:tc>
          <w:tcPr>
            <w:tcW w:w="7887" w:type="dxa"/>
            <w:hideMark/>
          </w:tcPr>
          <w:p w14:paraId="2ED342BE" w14:textId="77777777" w:rsidR="0009633C" w:rsidRPr="002E7B7B" w:rsidRDefault="0009633C" w:rsidP="0009633C">
            <w:pPr>
              <w:spacing w:after="120"/>
              <w:contextualSpacing/>
              <w:jc w:val="both"/>
              <w:rPr>
                <w:rFonts w:cs="Times New Roman"/>
              </w:rPr>
            </w:pPr>
            <w:r w:rsidRPr="002E7B7B">
              <w:rPr>
                <w:rFonts w:cs="Times New Roman"/>
              </w:rPr>
              <w:t>(cjd or vcjd or v-cjd).tw.</w:t>
            </w:r>
          </w:p>
        </w:tc>
      </w:tr>
      <w:tr w:rsidR="0009633C" w:rsidRPr="002E7B7B" w14:paraId="4BE8ED8A" w14:textId="77777777" w:rsidTr="0009633C">
        <w:trPr>
          <w:trHeight w:val="300"/>
        </w:trPr>
        <w:tc>
          <w:tcPr>
            <w:tcW w:w="1129" w:type="dxa"/>
            <w:hideMark/>
          </w:tcPr>
          <w:p w14:paraId="102D030E" w14:textId="77777777" w:rsidR="0009633C" w:rsidRPr="002E7B7B" w:rsidRDefault="0009633C" w:rsidP="0009633C">
            <w:pPr>
              <w:spacing w:after="120"/>
              <w:contextualSpacing/>
              <w:jc w:val="both"/>
              <w:rPr>
                <w:rFonts w:cs="Times New Roman"/>
              </w:rPr>
            </w:pPr>
            <w:r w:rsidRPr="002E7B7B">
              <w:rPr>
                <w:rFonts w:cs="Times New Roman"/>
              </w:rPr>
              <w:t>4</w:t>
            </w:r>
          </w:p>
        </w:tc>
        <w:tc>
          <w:tcPr>
            <w:tcW w:w="7887" w:type="dxa"/>
            <w:hideMark/>
          </w:tcPr>
          <w:p w14:paraId="29DAD9F9" w14:textId="77777777" w:rsidR="0009633C" w:rsidRPr="002E7B7B" w:rsidRDefault="0009633C" w:rsidP="0009633C">
            <w:pPr>
              <w:spacing w:after="120"/>
              <w:contextualSpacing/>
              <w:jc w:val="both"/>
              <w:rPr>
                <w:rFonts w:cs="Times New Roman"/>
              </w:rPr>
            </w:pPr>
            <w:r w:rsidRPr="002E7B7B">
              <w:rPr>
                <w:rFonts w:cs="Times New Roman"/>
              </w:rPr>
              <w:t>exp prion disease/</w:t>
            </w:r>
          </w:p>
        </w:tc>
      </w:tr>
      <w:tr w:rsidR="0009633C" w:rsidRPr="002E7B7B" w14:paraId="472B5807" w14:textId="77777777" w:rsidTr="0009633C">
        <w:trPr>
          <w:trHeight w:val="300"/>
        </w:trPr>
        <w:tc>
          <w:tcPr>
            <w:tcW w:w="1129" w:type="dxa"/>
            <w:hideMark/>
          </w:tcPr>
          <w:p w14:paraId="41ED96EF" w14:textId="77777777" w:rsidR="0009633C" w:rsidRPr="002E7B7B" w:rsidRDefault="0009633C" w:rsidP="0009633C">
            <w:pPr>
              <w:spacing w:after="120"/>
              <w:contextualSpacing/>
              <w:jc w:val="both"/>
              <w:rPr>
                <w:rFonts w:cs="Times New Roman"/>
              </w:rPr>
            </w:pPr>
            <w:r w:rsidRPr="002E7B7B">
              <w:rPr>
                <w:rFonts w:cs="Times New Roman"/>
              </w:rPr>
              <w:t>5</w:t>
            </w:r>
          </w:p>
        </w:tc>
        <w:tc>
          <w:tcPr>
            <w:tcW w:w="7887" w:type="dxa"/>
            <w:hideMark/>
          </w:tcPr>
          <w:p w14:paraId="52C41375" w14:textId="77777777" w:rsidR="0009633C" w:rsidRPr="002E7B7B" w:rsidRDefault="0009633C" w:rsidP="0009633C">
            <w:pPr>
              <w:spacing w:after="120"/>
              <w:contextualSpacing/>
              <w:jc w:val="both"/>
              <w:rPr>
                <w:rFonts w:cs="Times New Roman"/>
              </w:rPr>
            </w:pPr>
            <w:r w:rsidRPr="002E7B7B">
              <w:rPr>
                <w:rFonts w:cs="Times New Roman"/>
              </w:rPr>
              <w:t>exp prion/</w:t>
            </w:r>
          </w:p>
        </w:tc>
      </w:tr>
      <w:tr w:rsidR="0009633C" w:rsidRPr="002E7B7B" w14:paraId="2547D210" w14:textId="77777777" w:rsidTr="0009633C">
        <w:trPr>
          <w:trHeight w:val="300"/>
        </w:trPr>
        <w:tc>
          <w:tcPr>
            <w:tcW w:w="1129" w:type="dxa"/>
            <w:hideMark/>
          </w:tcPr>
          <w:p w14:paraId="64DCED4A" w14:textId="77777777" w:rsidR="0009633C" w:rsidRPr="002E7B7B" w:rsidRDefault="0009633C" w:rsidP="0009633C">
            <w:pPr>
              <w:spacing w:after="120"/>
              <w:contextualSpacing/>
              <w:jc w:val="both"/>
              <w:rPr>
                <w:rFonts w:cs="Times New Roman"/>
              </w:rPr>
            </w:pPr>
            <w:r w:rsidRPr="002E7B7B">
              <w:rPr>
                <w:rFonts w:cs="Times New Roman"/>
              </w:rPr>
              <w:t>6</w:t>
            </w:r>
          </w:p>
        </w:tc>
        <w:tc>
          <w:tcPr>
            <w:tcW w:w="7887" w:type="dxa"/>
            <w:hideMark/>
          </w:tcPr>
          <w:p w14:paraId="0A882D8B" w14:textId="77777777" w:rsidR="0009633C" w:rsidRPr="002E7B7B" w:rsidRDefault="0009633C" w:rsidP="0009633C">
            <w:pPr>
              <w:spacing w:after="120"/>
              <w:contextualSpacing/>
              <w:jc w:val="both"/>
              <w:rPr>
                <w:rFonts w:cs="Times New Roman"/>
              </w:rPr>
            </w:pPr>
            <w:r w:rsidRPr="002E7B7B">
              <w:rPr>
                <w:rFonts w:cs="Times New Roman"/>
              </w:rPr>
              <w:t>((transmissible or spong*) adj encephalopath*).tw.</w:t>
            </w:r>
          </w:p>
        </w:tc>
      </w:tr>
      <w:tr w:rsidR="0009633C" w:rsidRPr="002E7B7B" w14:paraId="413FD01D" w14:textId="77777777" w:rsidTr="0009633C">
        <w:trPr>
          <w:trHeight w:val="300"/>
        </w:trPr>
        <w:tc>
          <w:tcPr>
            <w:tcW w:w="1129" w:type="dxa"/>
            <w:hideMark/>
          </w:tcPr>
          <w:p w14:paraId="4F527BDD" w14:textId="77777777" w:rsidR="0009633C" w:rsidRPr="002E7B7B" w:rsidRDefault="0009633C" w:rsidP="0009633C">
            <w:pPr>
              <w:spacing w:after="120"/>
              <w:contextualSpacing/>
              <w:jc w:val="both"/>
              <w:rPr>
                <w:rFonts w:cs="Times New Roman"/>
              </w:rPr>
            </w:pPr>
            <w:r w:rsidRPr="002E7B7B">
              <w:rPr>
                <w:rFonts w:cs="Times New Roman"/>
              </w:rPr>
              <w:t>7</w:t>
            </w:r>
          </w:p>
        </w:tc>
        <w:tc>
          <w:tcPr>
            <w:tcW w:w="7887" w:type="dxa"/>
            <w:hideMark/>
          </w:tcPr>
          <w:p w14:paraId="2A66B523" w14:textId="77777777" w:rsidR="0009633C" w:rsidRPr="002E7B7B" w:rsidRDefault="0009633C" w:rsidP="0009633C">
            <w:pPr>
              <w:spacing w:after="120"/>
              <w:contextualSpacing/>
              <w:jc w:val="both"/>
              <w:rPr>
                <w:rFonts w:cs="Times New Roman"/>
              </w:rPr>
            </w:pPr>
            <w:r w:rsidRPr="002E7B7B">
              <w:rPr>
                <w:rFonts w:cs="Times New Roman"/>
              </w:rPr>
              <w:t>(prion* or tse).tw.</w:t>
            </w:r>
          </w:p>
        </w:tc>
      </w:tr>
      <w:tr w:rsidR="0009633C" w:rsidRPr="002E7B7B" w14:paraId="56DDF1D3" w14:textId="77777777" w:rsidTr="0009633C">
        <w:trPr>
          <w:trHeight w:val="300"/>
        </w:trPr>
        <w:tc>
          <w:tcPr>
            <w:tcW w:w="1129" w:type="dxa"/>
            <w:hideMark/>
          </w:tcPr>
          <w:p w14:paraId="481FBE8D" w14:textId="77777777" w:rsidR="0009633C" w:rsidRPr="002E7B7B" w:rsidRDefault="0009633C" w:rsidP="0009633C">
            <w:pPr>
              <w:spacing w:after="120"/>
              <w:contextualSpacing/>
              <w:jc w:val="both"/>
              <w:rPr>
                <w:rFonts w:cs="Times New Roman"/>
              </w:rPr>
            </w:pPr>
            <w:r w:rsidRPr="002E7B7B">
              <w:rPr>
                <w:rFonts w:cs="Times New Roman"/>
              </w:rPr>
              <w:t>8</w:t>
            </w:r>
          </w:p>
        </w:tc>
        <w:tc>
          <w:tcPr>
            <w:tcW w:w="7887" w:type="dxa"/>
            <w:hideMark/>
          </w:tcPr>
          <w:p w14:paraId="04DE1525" w14:textId="77777777" w:rsidR="0009633C" w:rsidRPr="002E7B7B" w:rsidRDefault="0009633C" w:rsidP="0009633C">
            <w:pPr>
              <w:spacing w:after="120"/>
              <w:contextualSpacing/>
              <w:jc w:val="both"/>
              <w:rPr>
                <w:rFonts w:cs="Times New Roman"/>
              </w:rPr>
            </w:pPr>
            <w:r w:rsidRPr="002E7B7B">
              <w:rPr>
                <w:rFonts w:cs="Times New Roman"/>
              </w:rPr>
              <w:t>prp.tw.</w:t>
            </w:r>
          </w:p>
        </w:tc>
      </w:tr>
      <w:tr w:rsidR="0009633C" w:rsidRPr="002E7B7B" w14:paraId="066213A8" w14:textId="77777777" w:rsidTr="0009633C">
        <w:trPr>
          <w:trHeight w:val="300"/>
        </w:trPr>
        <w:tc>
          <w:tcPr>
            <w:tcW w:w="1129" w:type="dxa"/>
            <w:hideMark/>
          </w:tcPr>
          <w:p w14:paraId="1B930D23" w14:textId="77777777" w:rsidR="0009633C" w:rsidRPr="002E7B7B" w:rsidRDefault="0009633C" w:rsidP="0009633C">
            <w:pPr>
              <w:spacing w:after="120"/>
              <w:contextualSpacing/>
              <w:jc w:val="both"/>
              <w:rPr>
                <w:rFonts w:cs="Times New Roman"/>
              </w:rPr>
            </w:pPr>
            <w:r w:rsidRPr="002E7B7B">
              <w:rPr>
                <w:rFonts w:cs="Times New Roman"/>
              </w:rPr>
              <w:t>9</w:t>
            </w:r>
          </w:p>
        </w:tc>
        <w:tc>
          <w:tcPr>
            <w:tcW w:w="7887" w:type="dxa"/>
            <w:hideMark/>
          </w:tcPr>
          <w:p w14:paraId="736BB740" w14:textId="77777777" w:rsidR="0009633C" w:rsidRPr="002E7B7B" w:rsidRDefault="0009633C" w:rsidP="0009633C">
            <w:pPr>
              <w:spacing w:after="120"/>
              <w:contextualSpacing/>
              <w:jc w:val="both"/>
              <w:rPr>
                <w:rFonts w:cs="Times New Roman"/>
              </w:rPr>
            </w:pPr>
            <w:r w:rsidRPr="002E7B7B">
              <w:rPr>
                <w:rFonts w:cs="Times New Roman"/>
              </w:rPr>
              <w:t>or/1-8</w:t>
            </w:r>
          </w:p>
        </w:tc>
      </w:tr>
      <w:tr w:rsidR="0009633C" w:rsidRPr="002E7B7B" w14:paraId="5D29A526" w14:textId="77777777" w:rsidTr="0009633C">
        <w:trPr>
          <w:trHeight w:val="300"/>
        </w:trPr>
        <w:tc>
          <w:tcPr>
            <w:tcW w:w="1129" w:type="dxa"/>
            <w:hideMark/>
          </w:tcPr>
          <w:p w14:paraId="7B98BBD1" w14:textId="77777777" w:rsidR="0009633C" w:rsidRPr="002E7B7B" w:rsidRDefault="0009633C" w:rsidP="0009633C">
            <w:pPr>
              <w:spacing w:after="120"/>
              <w:contextualSpacing/>
              <w:jc w:val="both"/>
              <w:rPr>
                <w:rFonts w:cs="Times New Roman"/>
              </w:rPr>
            </w:pPr>
            <w:r w:rsidRPr="002E7B7B">
              <w:rPr>
                <w:rFonts w:cs="Times New Roman"/>
              </w:rPr>
              <w:t>10</w:t>
            </w:r>
          </w:p>
        </w:tc>
        <w:tc>
          <w:tcPr>
            <w:tcW w:w="7887" w:type="dxa"/>
            <w:hideMark/>
          </w:tcPr>
          <w:p w14:paraId="2D6A2C13" w14:textId="77777777" w:rsidR="0009633C" w:rsidRPr="002E7B7B" w:rsidRDefault="0009633C" w:rsidP="0009633C">
            <w:pPr>
              <w:spacing w:after="120"/>
              <w:contextualSpacing/>
              <w:jc w:val="both"/>
              <w:rPr>
                <w:rFonts w:cs="Times New Roman"/>
              </w:rPr>
            </w:pPr>
            <w:r w:rsidRPr="002E7B7B">
              <w:rPr>
                <w:rFonts w:cs="Times New Roman"/>
              </w:rPr>
              <w:t>(surgery or surgical* or operat*).tw.</w:t>
            </w:r>
          </w:p>
        </w:tc>
      </w:tr>
      <w:tr w:rsidR="0009633C" w:rsidRPr="002E7B7B" w14:paraId="00F3FB5C" w14:textId="77777777" w:rsidTr="0009633C">
        <w:trPr>
          <w:trHeight w:val="300"/>
        </w:trPr>
        <w:tc>
          <w:tcPr>
            <w:tcW w:w="1129" w:type="dxa"/>
            <w:hideMark/>
          </w:tcPr>
          <w:p w14:paraId="21B19140" w14:textId="77777777" w:rsidR="0009633C" w:rsidRPr="002E7B7B" w:rsidRDefault="0009633C" w:rsidP="0009633C">
            <w:pPr>
              <w:spacing w:after="120"/>
              <w:contextualSpacing/>
              <w:jc w:val="both"/>
              <w:rPr>
                <w:rFonts w:cs="Times New Roman"/>
              </w:rPr>
            </w:pPr>
            <w:r w:rsidRPr="002E7B7B">
              <w:rPr>
                <w:rFonts w:cs="Times New Roman"/>
              </w:rPr>
              <w:t>11</w:t>
            </w:r>
          </w:p>
        </w:tc>
        <w:tc>
          <w:tcPr>
            <w:tcW w:w="7887" w:type="dxa"/>
            <w:hideMark/>
          </w:tcPr>
          <w:p w14:paraId="341E140D" w14:textId="77777777" w:rsidR="0009633C" w:rsidRPr="002E7B7B" w:rsidRDefault="0009633C" w:rsidP="0009633C">
            <w:pPr>
              <w:spacing w:after="120"/>
              <w:contextualSpacing/>
              <w:jc w:val="both"/>
              <w:rPr>
                <w:rFonts w:cs="Times New Roman"/>
              </w:rPr>
            </w:pPr>
            <w:r w:rsidRPr="002E7B7B">
              <w:rPr>
                <w:rFonts w:cs="Times New Roman"/>
              </w:rPr>
              <w:t>risk*.mp.</w:t>
            </w:r>
          </w:p>
        </w:tc>
      </w:tr>
      <w:tr w:rsidR="0009633C" w:rsidRPr="002E7B7B" w14:paraId="49357088" w14:textId="77777777" w:rsidTr="0009633C">
        <w:trPr>
          <w:trHeight w:val="300"/>
        </w:trPr>
        <w:tc>
          <w:tcPr>
            <w:tcW w:w="1129" w:type="dxa"/>
            <w:hideMark/>
          </w:tcPr>
          <w:p w14:paraId="2AFEBA96" w14:textId="77777777" w:rsidR="0009633C" w:rsidRPr="002E7B7B" w:rsidRDefault="0009633C" w:rsidP="0009633C">
            <w:pPr>
              <w:spacing w:after="120"/>
              <w:contextualSpacing/>
              <w:jc w:val="both"/>
              <w:rPr>
                <w:rFonts w:cs="Times New Roman"/>
              </w:rPr>
            </w:pPr>
            <w:r w:rsidRPr="002E7B7B">
              <w:rPr>
                <w:rFonts w:cs="Times New Roman"/>
              </w:rPr>
              <w:t>12</w:t>
            </w:r>
          </w:p>
        </w:tc>
        <w:tc>
          <w:tcPr>
            <w:tcW w:w="7887" w:type="dxa"/>
            <w:hideMark/>
          </w:tcPr>
          <w:p w14:paraId="0948CEE2" w14:textId="77777777" w:rsidR="0009633C" w:rsidRPr="002E7B7B" w:rsidRDefault="0009633C" w:rsidP="0009633C">
            <w:pPr>
              <w:spacing w:after="120"/>
              <w:contextualSpacing/>
              <w:jc w:val="both"/>
              <w:rPr>
                <w:rFonts w:cs="Times New Roman"/>
              </w:rPr>
            </w:pPr>
            <w:r w:rsidRPr="002E7B7B">
              <w:rPr>
                <w:rFonts w:cs="Times New Roman"/>
              </w:rPr>
              <w:t>9 and 10 and 11</w:t>
            </w:r>
          </w:p>
        </w:tc>
      </w:tr>
      <w:tr w:rsidR="0009633C" w:rsidRPr="002E7B7B" w14:paraId="163DE1CA" w14:textId="77777777" w:rsidTr="0009633C">
        <w:trPr>
          <w:trHeight w:val="300"/>
        </w:trPr>
        <w:tc>
          <w:tcPr>
            <w:tcW w:w="1129" w:type="dxa"/>
            <w:hideMark/>
          </w:tcPr>
          <w:p w14:paraId="222AEAFC" w14:textId="77777777" w:rsidR="0009633C" w:rsidRPr="002E7B7B" w:rsidRDefault="0009633C" w:rsidP="0009633C">
            <w:pPr>
              <w:spacing w:after="120"/>
              <w:contextualSpacing/>
              <w:jc w:val="both"/>
              <w:rPr>
                <w:rFonts w:cs="Times New Roman"/>
              </w:rPr>
            </w:pPr>
            <w:r w:rsidRPr="002E7B7B">
              <w:rPr>
                <w:rFonts w:cs="Times New Roman"/>
              </w:rPr>
              <w:t>13</w:t>
            </w:r>
          </w:p>
        </w:tc>
        <w:tc>
          <w:tcPr>
            <w:tcW w:w="7887" w:type="dxa"/>
            <w:hideMark/>
          </w:tcPr>
          <w:p w14:paraId="638591F9" w14:textId="77777777" w:rsidR="0009633C" w:rsidRPr="002E7B7B" w:rsidRDefault="0009633C" w:rsidP="0009633C">
            <w:pPr>
              <w:spacing w:after="120"/>
              <w:contextualSpacing/>
              <w:jc w:val="both"/>
              <w:rPr>
                <w:rFonts w:cs="Times New Roman"/>
              </w:rPr>
            </w:pPr>
            <w:r w:rsidRPr="002E7B7B">
              <w:rPr>
                <w:rFonts w:cs="Times New Roman"/>
              </w:rPr>
              <w:t>limit 12 to yr="2005 -Current"</w:t>
            </w:r>
          </w:p>
        </w:tc>
      </w:tr>
    </w:tbl>
    <w:p w14:paraId="5F0BBE2D" w14:textId="77777777" w:rsidR="0009633C" w:rsidRPr="002E7B7B" w:rsidRDefault="0009633C" w:rsidP="0009633C">
      <w:pPr>
        <w:spacing w:after="120" w:line="240" w:lineRule="auto"/>
        <w:contextualSpacing/>
        <w:jc w:val="both"/>
        <w:rPr>
          <w:rFonts w:cs="Times New Roman"/>
        </w:rPr>
      </w:pPr>
    </w:p>
    <w:p w14:paraId="608B9C3D" w14:textId="77777777" w:rsidR="0009633C" w:rsidRPr="002E7B7B" w:rsidRDefault="0009633C" w:rsidP="0009633C">
      <w:pPr>
        <w:spacing w:after="120" w:line="240" w:lineRule="auto"/>
        <w:contextualSpacing/>
        <w:jc w:val="both"/>
        <w:rPr>
          <w:rFonts w:cs="Times New Roman"/>
          <w:b/>
        </w:rPr>
      </w:pPr>
      <w:r w:rsidRPr="002E7B7B">
        <w:rPr>
          <w:rFonts w:cs="Times New Roman"/>
          <w:b/>
        </w:rPr>
        <w:t>Science Citation Index (SCI-E) and Conference Proceedings Citation Index (CPCI): Web of Science, 1990 to 2017</w:t>
      </w:r>
    </w:p>
    <w:p w14:paraId="66F5AC78" w14:textId="77777777" w:rsidR="0009633C" w:rsidRPr="002E7B7B" w:rsidRDefault="0009633C" w:rsidP="0009633C">
      <w:pPr>
        <w:spacing w:after="120" w:line="240" w:lineRule="auto"/>
        <w:contextualSpacing/>
        <w:jc w:val="both"/>
        <w:rPr>
          <w:rFonts w:cs="Times New Roman"/>
        </w:rPr>
      </w:pPr>
      <w:r w:rsidRPr="002E7B7B">
        <w:rPr>
          <w:rFonts w:cs="Times New Roman"/>
        </w:rPr>
        <w:t>2</w:t>
      </w:r>
      <w:r w:rsidRPr="002E7B7B">
        <w:rPr>
          <w:rFonts w:cs="Times New Roman"/>
          <w:vertAlign w:val="superscript"/>
        </w:rPr>
        <w:t>nd</w:t>
      </w:r>
      <w:r w:rsidRPr="002E7B7B">
        <w:rPr>
          <w:rFonts w:cs="Times New Roman"/>
        </w:rPr>
        <w:t xml:space="preserve"> October 2017</w:t>
      </w:r>
    </w:p>
    <w:p w14:paraId="79E66F67" w14:textId="77777777" w:rsidR="0009633C" w:rsidRPr="002E7B7B" w:rsidRDefault="0009633C" w:rsidP="0009633C">
      <w:pPr>
        <w:spacing w:after="120" w:line="240" w:lineRule="auto"/>
        <w:contextualSpacing/>
        <w:jc w:val="both"/>
        <w:rPr>
          <w:rFonts w:cs="Times New Roman"/>
        </w:rPr>
      </w:pPr>
    </w:p>
    <w:tbl>
      <w:tblPr>
        <w:tblW w:w="0" w:type="auto"/>
        <w:tblLook w:val="04A0" w:firstRow="1" w:lastRow="0" w:firstColumn="1" w:lastColumn="0" w:noHBand="0" w:noVBand="1"/>
      </w:tblPr>
      <w:tblGrid>
        <w:gridCol w:w="1129"/>
        <w:gridCol w:w="7887"/>
      </w:tblGrid>
      <w:tr w:rsidR="0009633C" w:rsidRPr="002E7B7B" w14:paraId="210B9B9E" w14:textId="77777777" w:rsidTr="0009633C">
        <w:trPr>
          <w:trHeight w:val="300"/>
        </w:trPr>
        <w:tc>
          <w:tcPr>
            <w:tcW w:w="1129" w:type="dxa"/>
            <w:hideMark/>
          </w:tcPr>
          <w:p w14:paraId="184CAD45" w14:textId="77777777" w:rsidR="0009633C" w:rsidRPr="002E7B7B" w:rsidRDefault="0009633C" w:rsidP="0009633C">
            <w:pPr>
              <w:spacing w:after="120"/>
              <w:contextualSpacing/>
              <w:jc w:val="both"/>
              <w:rPr>
                <w:rFonts w:cs="Times New Roman"/>
                <w:b/>
                <w:bCs/>
              </w:rPr>
            </w:pPr>
            <w:r w:rsidRPr="002E7B7B">
              <w:rPr>
                <w:rFonts w:cs="Times New Roman"/>
                <w:b/>
                <w:bCs/>
              </w:rPr>
              <w:t>#</w:t>
            </w:r>
          </w:p>
        </w:tc>
        <w:tc>
          <w:tcPr>
            <w:tcW w:w="7887" w:type="dxa"/>
            <w:hideMark/>
          </w:tcPr>
          <w:p w14:paraId="509FE471" w14:textId="77777777" w:rsidR="0009633C" w:rsidRPr="002E7B7B" w:rsidRDefault="0009633C" w:rsidP="0009633C">
            <w:pPr>
              <w:spacing w:after="120"/>
              <w:contextualSpacing/>
              <w:jc w:val="both"/>
              <w:rPr>
                <w:rFonts w:cs="Times New Roman"/>
                <w:b/>
                <w:bCs/>
              </w:rPr>
            </w:pPr>
            <w:r w:rsidRPr="002E7B7B">
              <w:rPr>
                <w:rFonts w:cs="Times New Roman"/>
                <w:b/>
                <w:bCs/>
              </w:rPr>
              <w:t>Searches</w:t>
            </w:r>
          </w:p>
        </w:tc>
      </w:tr>
      <w:tr w:rsidR="0009633C" w:rsidRPr="002E7B7B" w14:paraId="55D4189B" w14:textId="77777777" w:rsidTr="0009633C">
        <w:trPr>
          <w:trHeight w:val="300"/>
        </w:trPr>
        <w:tc>
          <w:tcPr>
            <w:tcW w:w="1129" w:type="dxa"/>
            <w:noWrap/>
            <w:hideMark/>
          </w:tcPr>
          <w:p w14:paraId="555DCAB3" w14:textId="77777777" w:rsidR="0009633C" w:rsidRPr="002E7B7B" w:rsidRDefault="0009633C" w:rsidP="0009633C">
            <w:pPr>
              <w:spacing w:after="120"/>
              <w:contextualSpacing/>
              <w:jc w:val="both"/>
              <w:rPr>
                <w:rFonts w:cs="Times New Roman"/>
              </w:rPr>
            </w:pPr>
            <w:r w:rsidRPr="002E7B7B">
              <w:rPr>
                <w:rFonts w:cs="Times New Roman"/>
              </w:rPr>
              <w:t># 1</w:t>
            </w:r>
          </w:p>
        </w:tc>
        <w:tc>
          <w:tcPr>
            <w:tcW w:w="7887" w:type="dxa"/>
            <w:noWrap/>
            <w:hideMark/>
          </w:tcPr>
          <w:p w14:paraId="0A3607C0" w14:textId="77777777" w:rsidR="0009633C" w:rsidRPr="002E7B7B" w:rsidRDefault="0009633C" w:rsidP="0009633C">
            <w:pPr>
              <w:spacing w:after="120"/>
              <w:contextualSpacing/>
              <w:jc w:val="both"/>
              <w:rPr>
                <w:rFonts w:cs="Times New Roman"/>
              </w:rPr>
            </w:pPr>
            <w:r w:rsidRPr="002E7B7B">
              <w:rPr>
                <w:rFonts w:cs="Times New Roman"/>
              </w:rPr>
              <w:t xml:space="preserve">TS=(creutzfeldt jakob NEAR/1 disease) OR TS=(creutzfeldt jakob NEAR/1 syndrome) OR TS=(creutzfeldt-jakob NEAR/1 disease) OR TS=(creutzfeldt-jakob NEAR/1 syndrome) </w:t>
            </w:r>
          </w:p>
        </w:tc>
      </w:tr>
      <w:tr w:rsidR="0009633C" w:rsidRPr="002E7B7B" w14:paraId="5B81D7E2" w14:textId="77777777" w:rsidTr="0009633C">
        <w:trPr>
          <w:trHeight w:val="300"/>
        </w:trPr>
        <w:tc>
          <w:tcPr>
            <w:tcW w:w="1129" w:type="dxa"/>
            <w:noWrap/>
            <w:hideMark/>
          </w:tcPr>
          <w:p w14:paraId="44C0D391" w14:textId="77777777" w:rsidR="0009633C" w:rsidRPr="002E7B7B" w:rsidRDefault="0009633C" w:rsidP="0009633C">
            <w:pPr>
              <w:spacing w:after="120"/>
              <w:contextualSpacing/>
              <w:jc w:val="both"/>
              <w:rPr>
                <w:rFonts w:cs="Times New Roman"/>
              </w:rPr>
            </w:pPr>
            <w:r w:rsidRPr="002E7B7B">
              <w:rPr>
                <w:rFonts w:cs="Times New Roman"/>
              </w:rPr>
              <w:t># 2</w:t>
            </w:r>
          </w:p>
        </w:tc>
        <w:tc>
          <w:tcPr>
            <w:tcW w:w="7887" w:type="dxa"/>
            <w:noWrap/>
            <w:hideMark/>
          </w:tcPr>
          <w:p w14:paraId="348132AD" w14:textId="77777777" w:rsidR="0009633C" w:rsidRPr="002E7B7B" w:rsidRDefault="0009633C" w:rsidP="0009633C">
            <w:pPr>
              <w:spacing w:after="120"/>
              <w:contextualSpacing/>
              <w:jc w:val="both"/>
              <w:rPr>
                <w:rFonts w:cs="Times New Roman"/>
              </w:rPr>
            </w:pPr>
            <w:r w:rsidRPr="002E7B7B">
              <w:rPr>
                <w:rFonts w:cs="Times New Roman"/>
              </w:rPr>
              <w:t xml:space="preserve">TS=((cjd or vcjd or v-cjd)) </w:t>
            </w:r>
          </w:p>
        </w:tc>
      </w:tr>
      <w:tr w:rsidR="0009633C" w:rsidRPr="002E7B7B" w14:paraId="0124BBED" w14:textId="77777777" w:rsidTr="0009633C">
        <w:trPr>
          <w:trHeight w:val="300"/>
        </w:trPr>
        <w:tc>
          <w:tcPr>
            <w:tcW w:w="1129" w:type="dxa"/>
            <w:noWrap/>
            <w:hideMark/>
          </w:tcPr>
          <w:p w14:paraId="1F43EC6B" w14:textId="77777777" w:rsidR="0009633C" w:rsidRPr="002E7B7B" w:rsidRDefault="0009633C" w:rsidP="0009633C">
            <w:pPr>
              <w:spacing w:after="120"/>
              <w:contextualSpacing/>
              <w:jc w:val="both"/>
              <w:rPr>
                <w:rFonts w:cs="Times New Roman"/>
              </w:rPr>
            </w:pPr>
            <w:r w:rsidRPr="002E7B7B">
              <w:rPr>
                <w:rFonts w:cs="Times New Roman"/>
              </w:rPr>
              <w:t># 3</w:t>
            </w:r>
          </w:p>
        </w:tc>
        <w:tc>
          <w:tcPr>
            <w:tcW w:w="7887" w:type="dxa"/>
            <w:noWrap/>
            <w:hideMark/>
          </w:tcPr>
          <w:p w14:paraId="0BD18D41" w14:textId="77777777" w:rsidR="0009633C" w:rsidRPr="002E7B7B" w:rsidRDefault="0009633C" w:rsidP="0009633C">
            <w:pPr>
              <w:spacing w:after="120"/>
              <w:contextualSpacing/>
              <w:jc w:val="both"/>
              <w:rPr>
                <w:rFonts w:cs="Times New Roman"/>
              </w:rPr>
            </w:pPr>
            <w:r w:rsidRPr="002E7B7B">
              <w:rPr>
                <w:rFonts w:cs="Times New Roman"/>
              </w:rPr>
              <w:t xml:space="preserve">TS=(transmissible NEAR/1 encephalopath*) OR TS=(spong* NEAR/1 encephalopath*) </w:t>
            </w:r>
          </w:p>
        </w:tc>
      </w:tr>
      <w:tr w:rsidR="0009633C" w:rsidRPr="002E7B7B" w14:paraId="56AE21EC" w14:textId="77777777" w:rsidTr="0009633C">
        <w:trPr>
          <w:trHeight w:val="300"/>
        </w:trPr>
        <w:tc>
          <w:tcPr>
            <w:tcW w:w="1129" w:type="dxa"/>
            <w:noWrap/>
            <w:hideMark/>
          </w:tcPr>
          <w:p w14:paraId="794A273F" w14:textId="77777777" w:rsidR="0009633C" w:rsidRPr="002E7B7B" w:rsidRDefault="0009633C" w:rsidP="0009633C">
            <w:pPr>
              <w:spacing w:after="120"/>
              <w:contextualSpacing/>
              <w:jc w:val="both"/>
              <w:rPr>
                <w:rFonts w:cs="Times New Roman"/>
              </w:rPr>
            </w:pPr>
            <w:r w:rsidRPr="002E7B7B">
              <w:rPr>
                <w:rFonts w:cs="Times New Roman"/>
              </w:rPr>
              <w:t># 4</w:t>
            </w:r>
          </w:p>
        </w:tc>
        <w:tc>
          <w:tcPr>
            <w:tcW w:w="7887" w:type="dxa"/>
            <w:noWrap/>
            <w:hideMark/>
          </w:tcPr>
          <w:p w14:paraId="2CD085EA" w14:textId="77777777" w:rsidR="0009633C" w:rsidRPr="002E7B7B" w:rsidRDefault="0009633C" w:rsidP="0009633C">
            <w:pPr>
              <w:spacing w:after="120"/>
              <w:contextualSpacing/>
              <w:jc w:val="both"/>
              <w:rPr>
                <w:rFonts w:cs="Times New Roman"/>
              </w:rPr>
            </w:pPr>
            <w:r w:rsidRPr="002E7B7B">
              <w:rPr>
                <w:rFonts w:cs="Times New Roman"/>
              </w:rPr>
              <w:t xml:space="preserve">TS=(prion* or tse or prp) </w:t>
            </w:r>
          </w:p>
        </w:tc>
      </w:tr>
      <w:tr w:rsidR="0009633C" w:rsidRPr="002E7B7B" w14:paraId="310C88C2" w14:textId="77777777" w:rsidTr="0009633C">
        <w:trPr>
          <w:trHeight w:val="300"/>
        </w:trPr>
        <w:tc>
          <w:tcPr>
            <w:tcW w:w="1129" w:type="dxa"/>
            <w:noWrap/>
            <w:hideMark/>
          </w:tcPr>
          <w:p w14:paraId="7158323F" w14:textId="77777777" w:rsidR="0009633C" w:rsidRPr="002E7B7B" w:rsidRDefault="0009633C" w:rsidP="0009633C">
            <w:pPr>
              <w:spacing w:after="120"/>
              <w:contextualSpacing/>
              <w:jc w:val="both"/>
              <w:rPr>
                <w:rFonts w:cs="Times New Roman"/>
              </w:rPr>
            </w:pPr>
            <w:r w:rsidRPr="002E7B7B">
              <w:rPr>
                <w:rFonts w:cs="Times New Roman"/>
              </w:rPr>
              <w:t># 5</w:t>
            </w:r>
          </w:p>
        </w:tc>
        <w:tc>
          <w:tcPr>
            <w:tcW w:w="7887" w:type="dxa"/>
            <w:noWrap/>
            <w:hideMark/>
          </w:tcPr>
          <w:p w14:paraId="5F8CA115" w14:textId="77777777" w:rsidR="0009633C" w:rsidRPr="002E7B7B" w:rsidRDefault="0009633C" w:rsidP="0009633C">
            <w:pPr>
              <w:spacing w:after="120"/>
              <w:contextualSpacing/>
              <w:jc w:val="both"/>
              <w:rPr>
                <w:rFonts w:cs="Times New Roman"/>
              </w:rPr>
            </w:pPr>
            <w:r w:rsidRPr="002E7B7B">
              <w:rPr>
                <w:rFonts w:cs="Times New Roman"/>
              </w:rPr>
              <w:t xml:space="preserve">#4 OR #3 OR #2 OR #1 </w:t>
            </w:r>
          </w:p>
        </w:tc>
      </w:tr>
      <w:tr w:rsidR="0009633C" w:rsidRPr="002E7B7B" w14:paraId="6074CB32" w14:textId="77777777" w:rsidTr="0009633C">
        <w:trPr>
          <w:trHeight w:val="300"/>
        </w:trPr>
        <w:tc>
          <w:tcPr>
            <w:tcW w:w="1129" w:type="dxa"/>
            <w:noWrap/>
            <w:hideMark/>
          </w:tcPr>
          <w:p w14:paraId="48E7440E" w14:textId="77777777" w:rsidR="0009633C" w:rsidRPr="002E7B7B" w:rsidRDefault="0009633C" w:rsidP="0009633C">
            <w:pPr>
              <w:spacing w:after="120"/>
              <w:contextualSpacing/>
              <w:jc w:val="both"/>
              <w:rPr>
                <w:rFonts w:cs="Times New Roman"/>
              </w:rPr>
            </w:pPr>
            <w:r w:rsidRPr="002E7B7B">
              <w:rPr>
                <w:rFonts w:cs="Times New Roman"/>
              </w:rPr>
              <w:t># 6</w:t>
            </w:r>
          </w:p>
        </w:tc>
        <w:tc>
          <w:tcPr>
            <w:tcW w:w="7887" w:type="dxa"/>
            <w:noWrap/>
            <w:hideMark/>
          </w:tcPr>
          <w:p w14:paraId="6B2AB529" w14:textId="77777777" w:rsidR="0009633C" w:rsidRPr="002E7B7B" w:rsidRDefault="0009633C" w:rsidP="0009633C">
            <w:pPr>
              <w:spacing w:after="120"/>
              <w:contextualSpacing/>
              <w:jc w:val="both"/>
              <w:rPr>
                <w:rFonts w:cs="Times New Roman"/>
              </w:rPr>
            </w:pPr>
            <w:r w:rsidRPr="002E7B7B">
              <w:rPr>
                <w:rFonts w:cs="Times New Roman"/>
              </w:rPr>
              <w:t xml:space="preserve">TOPIC: ((surgery or surgical* or operat*)) </w:t>
            </w:r>
          </w:p>
        </w:tc>
      </w:tr>
      <w:tr w:rsidR="0009633C" w:rsidRPr="002E7B7B" w14:paraId="3ECFC972" w14:textId="77777777" w:rsidTr="0009633C">
        <w:trPr>
          <w:trHeight w:val="300"/>
        </w:trPr>
        <w:tc>
          <w:tcPr>
            <w:tcW w:w="1129" w:type="dxa"/>
            <w:noWrap/>
            <w:hideMark/>
          </w:tcPr>
          <w:p w14:paraId="7BA42D2E" w14:textId="77777777" w:rsidR="0009633C" w:rsidRPr="002E7B7B" w:rsidRDefault="0009633C" w:rsidP="0009633C">
            <w:pPr>
              <w:spacing w:after="120"/>
              <w:contextualSpacing/>
              <w:jc w:val="both"/>
              <w:rPr>
                <w:rFonts w:cs="Times New Roman"/>
              </w:rPr>
            </w:pPr>
            <w:r w:rsidRPr="002E7B7B">
              <w:rPr>
                <w:rFonts w:cs="Times New Roman"/>
              </w:rPr>
              <w:t># 7</w:t>
            </w:r>
          </w:p>
        </w:tc>
        <w:tc>
          <w:tcPr>
            <w:tcW w:w="7887" w:type="dxa"/>
            <w:noWrap/>
            <w:hideMark/>
          </w:tcPr>
          <w:p w14:paraId="64662CC1" w14:textId="77777777" w:rsidR="0009633C" w:rsidRPr="002E7B7B" w:rsidRDefault="0009633C" w:rsidP="0009633C">
            <w:pPr>
              <w:spacing w:after="120"/>
              <w:contextualSpacing/>
              <w:jc w:val="both"/>
              <w:rPr>
                <w:rFonts w:cs="Times New Roman"/>
              </w:rPr>
            </w:pPr>
            <w:r w:rsidRPr="002E7B7B">
              <w:rPr>
                <w:rFonts w:cs="Times New Roman"/>
              </w:rPr>
              <w:t xml:space="preserve">TOPIC: ((risk*)) </w:t>
            </w:r>
          </w:p>
        </w:tc>
      </w:tr>
      <w:tr w:rsidR="0009633C" w:rsidRPr="002E7B7B" w14:paraId="75ADF9A4" w14:textId="77777777" w:rsidTr="0009633C">
        <w:trPr>
          <w:trHeight w:val="300"/>
        </w:trPr>
        <w:tc>
          <w:tcPr>
            <w:tcW w:w="1129" w:type="dxa"/>
            <w:noWrap/>
            <w:hideMark/>
          </w:tcPr>
          <w:p w14:paraId="446FF261" w14:textId="77777777" w:rsidR="0009633C" w:rsidRPr="002E7B7B" w:rsidRDefault="0009633C" w:rsidP="0009633C">
            <w:pPr>
              <w:spacing w:after="120"/>
              <w:contextualSpacing/>
              <w:jc w:val="both"/>
              <w:rPr>
                <w:rFonts w:cs="Times New Roman"/>
              </w:rPr>
            </w:pPr>
            <w:r w:rsidRPr="002E7B7B">
              <w:rPr>
                <w:rFonts w:cs="Times New Roman"/>
              </w:rPr>
              <w:t># 8</w:t>
            </w:r>
          </w:p>
        </w:tc>
        <w:tc>
          <w:tcPr>
            <w:tcW w:w="7887" w:type="dxa"/>
            <w:noWrap/>
            <w:hideMark/>
          </w:tcPr>
          <w:p w14:paraId="15B25685" w14:textId="77777777" w:rsidR="0009633C" w:rsidRPr="002E7B7B" w:rsidRDefault="0009633C" w:rsidP="0009633C">
            <w:pPr>
              <w:spacing w:after="120"/>
              <w:contextualSpacing/>
              <w:jc w:val="both"/>
              <w:rPr>
                <w:rFonts w:cs="Times New Roman"/>
              </w:rPr>
            </w:pPr>
            <w:r w:rsidRPr="002E7B7B">
              <w:rPr>
                <w:rFonts w:cs="Times New Roman"/>
              </w:rPr>
              <w:t xml:space="preserve">#7 AND #6 AND #5 </w:t>
            </w:r>
          </w:p>
        </w:tc>
      </w:tr>
      <w:tr w:rsidR="0009633C" w:rsidRPr="002E7B7B" w14:paraId="63952863" w14:textId="77777777" w:rsidTr="0009633C">
        <w:trPr>
          <w:trHeight w:val="300"/>
        </w:trPr>
        <w:tc>
          <w:tcPr>
            <w:tcW w:w="1129" w:type="dxa"/>
            <w:noWrap/>
            <w:hideMark/>
          </w:tcPr>
          <w:p w14:paraId="2E4EF3CD" w14:textId="77777777" w:rsidR="0009633C" w:rsidRPr="002E7B7B" w:rsidRDefault="0009633C" w:rsidP="0009633C">
            <w:pPr>
              <w:spacing w:after="120"/>
              <w:contextualSpacing/>
              <w:jc w:val="both"/>
              <w:rPr>
                <w:rFonts w:cs="Times New Roman"/>
              </w:rPr>
            </w:pPr>
            <w:r w:rsidRPr="002E7B7B">
              <w:rPr>
                <w:rFonts w:cs="Times New Roman"/>
              </w:rPr>
              <w:t># 9</w:t>
            </w:r>
          </w:p>
        </w:tc>
        <w:tc>
          <w:tcPr>
            <w:tcW w:w="7887" w:type="dxa"/>
            <w:noWrap/>
            <w:hideMark/>
          </w:tcPr>
          <w:p w14:paraId="25EBD69E" w14:textId="77777777" w:rsidR="0009633C" w:rsidRPr="002E7B7B" w:rsidRDefault="0009633C" w:rsidP="0009633C">
            <w:pPr>
              <w:spacing w:after="120"/>
              <w:contextualSpacing/>
              <w:jc w:val="both"/>
              <w:rPr>
                <w:rFonts w:cs="Times New Roman"/>
              </w:rPr>
            </w:pPr>
            <w:r w:rsidRPr="002E7B7B">
              <w:rPr>
                <w:rFonts w:cs="Times New Roman"/>
              </w:rPr>
              <w:t xml:space="preserve">#7 AND #6 AND #5 Refined by: PUBLICATION YEARS: ( 2006 OR 2012 OR 2016 OR 2015 OR 2007 OR 2013 OR 2005 OR 2009 OR 2010 OR 2017 OR 2014 OR 2011 OR 2008 ) </w:t>
            </w:r>
          </w:p>
        </w:tc>
      </w:tr>
    </w:tbl>
    <w:p w14:paraId="6C3B589F" w14:textId="77777777" w:rsidR="0009633C" w:rsidRPr="002E7B7B" w:rsidRDefault="0009633C" w:rsidP="0009633C">
      <w:pPr>
        <w:spacing w:after="120" w:line="240" w:lineRule="auto"/>
        <w:contextualSpacing/>
        <w:jc w:val="both"/>
        <w:rPr>
          <w:rFonts w:cs="Times New Roman"/>
          <w:b/>
        </w:rPr>
      </w:pPr>
    </w:p>
    <w:p w14:paraId="3BC3B2DD" w14:textId="77777777" w:rsidR="0009633C" w:rsidRPr="002E7B7B" w:rsidRDefault="0009633C" w:rsidP="0009633C">
      <w:pPr>
        <w:spacing w:after="120" w:line="240" w:lineRule="auto"/>
        <w:contextualSpacing/>
        <w:jc w:val="both"/>
        <w:rPr>
          <w:rFonts w:cs="Times New Roman"/>
          <w:b/>
        </w:rPr>
      </w:pPr>
    </w:p>
    <w:p w14:paraId="3C5C919D" w14:textId="77777777" w:rsidR="00724BBD" w:rsidRDefault="00724BBD">
      <w:pPr>
        <w:spacing w:after="160" w:line="259" w:lineRule="auto"/>
        <w:rPr>
          <w:rStyle w:val="Heading2Char"/>
          <w:szCs w:val="22"/>
        </w:rPr>
      </w:pPr>
      <w:r>
        <w:rPr>
          <w:rStyle w:val="Heading2Char"/>
          <w:b w:val="0"/>
          <w:szCs w:val="22"/>
        </w:rPr>
        <w:br w:type="page"/>
      </w:r>
    </w:p>
    <w:p w14:paraId="5DB19FBA" w14:textId="0D677B4B" w:rsidR="0009633C" w:rsidRPr="0027212B" w:rsidRDefault="00F86BA3" w:rsidP="0027212B">
      <w:pPr>
        <w:pStyle w:val="Heading1"/>
        <w:rPr>
          <w:szCs w:val="22"/>
        </w:rPr>
      </w:pPr>
      <w:bookmarkStart w:id="159" w:name="_Toc525106682"/>
      <w:r w:rsidRPr="0027212B">
        <w:rPr>
          <w:rStyle w:val="Heading2Char"/>
          <w:b/>
          <w:szCs w:val="22"/>
        </w:rPr>
        <w:t>Appendix 2</w:t>
      </w:r>
      <w:r w:rsidR="0009633C" w:rsidRPr="0027212B">
        <w:rPr>
          <w:szCs w:val="22"/>
        </w:rPr>
        <w:t>:</w:t>
      </w:r>
      <w:r w:rsidR="007555D4">
        <w:rPr>
          <w:szCs w:val="22"/>
        </w:rPr>
        <w:tab/>
      </w:r>
      <w:r w:rsidR="0009633C" w:rsidRPr="0027212B">
        <w:rPr>
          <w:szCs w:val="22"/>
        </w:rPr>
        <w:t>Cost Effectiveness Search Strategies</w:t>
      </w:r>
      <w:bookmarkEnd w:id="159"/>
    </w:p>
    <w:p w14:paraId="58113B7F" w14:textId="77777777" w:rsidR="0009633C" w:rsidRPr="002E7B7B" w:rsidRDefault="0009633C" w:rsidP="0009633C">
      <w:pPr>
        <w:spacing w:after="120" w:line="240" w:lineRule="auto"/>
        <w:contextualSpacing/>
        <w:jc w:val="both"/>
        <w:rPr>
          <w:rFonts w:cs="Times New Roman"/>
          <w:b/>
        </w:rPr>
      </w:pPr>
      <w:r w:rsidRPr="002E7B7B">
        <w:rPr>
          <w:rFonts w:cs="Times New Roman"/>
          <w:b/>
        </w:rPr>
        <w:t>MEDLINE, MEDLINE Epub Ahead of Print, In-Process &amp; Other Non-Indexed Citations: Ovid, 1946 to 2017</w:t>
      </w:r>
    </w:p>
    <w:p w14:paraId="28245FBE" w14:textId="77777777" w:rsidR="0009633C" w:rsidRPr="002E7B7B" w:rsidRDefault="0009633C" w:rsidP="0009633C">
      <w:pPr>
        <w:spacing w:after="120" w:line="240" w:lineRule="auto"/>
        <w:contextualSpacing/>
        <w:jc w:val="both"/>
        <w:rPr>
          <w:rFonts w:cs="Times New Roman"/>
        </w:rPr>
      </w:pPr>
      <w:r w:rsidRPr="002E7B7B">
        <w:rPr>
          <w:rFonts w:cs="Times New Roman"/>
        </w:rPr>
        <w:t>7</w:t>
      </w:r>
      <w:r w:rsidRPr="002E7B7B">
        <w:rPr>
          <w:rFonts w:cs="Times New Roman"/>
          <w:vertAlign w:val="superscript"/>
        </w:rPr>
        <w:t>th</w:t>
      </w:r>
      <w:r w:rsidRPr="002E7B7B">
        <w:rPr>
          <w:rFonts w:cs="Times New Roman"/>
        </w:rPr>
        <w:t xml:space="preserve"> June 2017</w:t>
      </w:r>
    </w:p>
    <w:p w14:paraId="1679B605" w14:textId="77777777" w:rsidR="0009633C" w:rsidRPr="002E7B7B" w:rsidRDefault="0009633C" w:rsidP="0009633C">
      <w:pPr>
        <w:spacing w:after="120" w:line="240" w:lineRule="auto"/>
        <w:contextualSpacing/>
        <w:jc w:val="both"/>
        <w:rPr>
          <w:rFonts w:cs="Times New Roman"/>
        </w:rPr>
      </w:pPr>
    </w:p>
    <w:tbl>
      <w:tblPr>
        <w:tblW w:w="0" w:type="auto"/>
        <w:tblLook w:val="04A0" w:firstRow="1" w:lastRow="0" w:firstColumn="1" w:lastColumn="0" w:noHBand="0" w:noVBand="1"/>
      </w:tblPr>
      <w:tblGrid>
        <w:gridCol w:w="1129"/>
        <w:gridCol w:w="7887"/>
      </w:tblGrid>
      <w:tr w:rsidR="0009633C" w:rsidRPr="002E7B7B" w14:paraId="1D18EABE" w14:textId="77777777" w:rsidTr="0009633C">
        <w:trPr>
          <w:trHeight w:val="300"/>
        </w:trPr>
        <w:tc>
          <w:tcPr>
            <w:tcW w:w="1129" w:type="dxa"/>
            <w:hideMark/>
          </w:tcPr>
          <w:p w14:paraId="5648A7EB" w14:textId="77777777" w:rsidR="0009633C" w:rsidRPr="002E7B7B" w:rsidRDefault="0009633C" w:rsidP="0009633C">
            <w:pPr>
              <w:spacing w:after="120"/>
              <w:contextualSpacing/>
              <w:jc w:val="both"/>
              <w:rPr>
                <w:rFonts w:cs="Times New Roman"/>
                <w:b/>
                <w:bCs/>
              </w:rPr>
            </w:pPr>
            <w:r w:rsidRPr="002E7B7B">
              <w:rPr>
                <w:rFonts w:cs="Times New Roman"/>
                <w:b/>
                <w:bCs/>
              </w:rPr>
              <w:t>#</w:t>
            </w:r>
          </w:p>
        </w:tc>
        <w:tc>
          <w:tcPr>
            <w:tcW w:w="7887" w:type="dxa"/>
            <w:hideMark/>
          </w:tcPr>
          <w:p w14:paraId="3C5ED4DD" w14:textId="77777777" w:rsidR="0009633C" w:rsidRPr="002E7B7B" w:rsidRDefault="0009633C" w:rsidP="0009633C">
            <w:pPr>
              <w:spacing w:after="120"/>
              <w:contextualSpacing/>
              <w:jc w:val="both"/>
              <w:rPr>
                <w:rFonts w:cs="Times New Roman"/>
                <w:b/>
                <w:bCs/>
              </w:rPr>
            </w:pPr>
            <w:r w:rsidRPr="002E7B7B">
              <w:rPr>
                <w:rFonts w:cs="Times New Roman"/>
                <w:b/>
                <w:bCs/>
              </w:rPr>
              <w:t>Searches</w:t>
            </w:r>
          </w:p>
        </w:tc>
      </w:tr>
      <w:tr w:rsidR="0009633C" w:rsidRPr="002E7B7B" w14:paraId="3DDA792F" w14:textId="77777777" w:rsidTr="0009633C">
        <w:trPr>
          <w:trHeight w:val="300"/>
        </w:trPr>
        <w:tc>
          <w:tcPr>
            <w:tcW w:w="1129" w:type="dxa"/>
            <w:hideMark/>
          </w:tcPr>
          <w:p w14:paraId="5FF2474C" w14:textId="77777777" w:rsidR="0009633C" w:rsidRPr="002E7B7B" w:rsidRDefault="0009633C" w:rsidP="0009633C">
            <w:pPr>
              <w:spacing w:after="120"/>
              <w:contextualSpacing/>
              <w:jc w:val="both"/>
              <w:rPr>
                <w:rFonts w:cs="Times New Roman"/>
              </w:rPr>
            </w:pPr>
            <w:r w:rsidRPr="002E7B7B">
              <w:rPr>
                <w:rFonts w:cs="Times New Roman"/>
              </w:rPr>
              <w:t>1</w:t>
            </w:r>
          </w:p>
        </w:tc>
        <w:tc>
          <w:tcPr>
            <w:tcW w:w="7887" w:type="dxa"/>
            <w:hideMark/>
          </w:tcPr>
          <w:p w14:paraId="6CA62B5D" w14:textId="77777777" w:rsidR="0009633C" w:rsidRPr="002E7B7B" w:rsidRDefault="0009633C" w:rsidP="0009633C">
            <w:pPr>
              <w:spacing w:after="120"/>
              <w:contextualSpacing/>
              <w:jc w:val="both"/>
              <w:rPr>
                <w:rFonts w:cs="Times New Roman"/>
              </w:rPr>
            </w:pPr>
            <w:r w:rsidRPr="002E7B7B">
              <w:rPr>
                <w:rFonts w:cs="Times New Roman"/>
              </w:rPr>
              <w:t>exp Creutzfeldt-Jakob Syndrome/</w:t>
            </w:r>
          </w:p>
        </w:tc>
      </w:tr>
      <w:tr w:rsidR="0009633C" w:rsidRPr="002E7B7B" w14:paraId="41EF838A" w14:textId="77777777" w:rsidTr="0009633C">
        <w:trPr>
          <w:trHeight w:val="300"/>
        </w:trPr>
        <w:tc>
          <w:tcPr>
            <w:tcW w:w="1129" w:type="dxa"/>
            <w:hideMark/>
          </w:tcPr>
          <w:p w14:paraId="0167D738" w14:textId="77777777" w:rsidR="0009633C" w:rsidRPr="002E7B7B" w:rsidRDefault="0009633C" w:rsidP="0009633C">
            <w:pPr>
              <w:spacing w:after="120"/>
              <w:contextualSpacing/>
              <w:jc w:val="both"/>
              <w:rPr>
                <w:rFonts w:cs="Times New Roman"/>
              </w:rPr>
            </w:pPr>
            <w:r w:rsidRPr="002E7B7B">
              <w:rPr>
                <w:rFonts w:cs="Times New Roman"/>
              </w:rPr>
              <w:t>2</w:t>
            </w:r>
          </w:p>
        </w:tc>
        <w:tc>
          <w:tcPr>
            <w:tcW w:w="7887" w:type="dxa"/>
            <w:hideMark/>
          </w:tcPr>
          <w:p w14:paraId="07B83C57" w14:textId="77777777" w:rsidR="0009633C" w:rsidRPr="002E7B7B" w:rsidRDefault="0009633C" w:rsidP="0009633C">
            <w:pPr>
              <w:spacing w:after="120"/>
              <w:contextualSpacing/>
              <w:jc w:val="both"/>
              <w:rPr>
                <w:rFonts w:cs="Times New Roman"/>
              </w:rPr>
            </w:pPr>
            <w:r w:rsidRPr="002E7B7B">
              <w:rPr>
                <w:rFonts w:cs="Times New Roman"/>
              </w:rPr>
              <w:t>((creutzfeldt jakob or creutzfeldt-jakob) adj (disease or syndrome)).tw.</w:t>
            </w:r>
          </w:p>
        </w:tc>
      </w:tr>
      <w:tr w:rsidR="0009633C" w:rsidRPr="002E7B7B" w14:paraId="666A3049" w14:textId="77777777" w:rsidTr="0009633C">
        <w:trPr>
          <w:trHeight w:val="300"/>
        </w:trPr>
        <w:tc>
          <w:tcPr>
            <w:tcW w:w="1129" w:type="dxa"/>
            <w:hideMark/>
          </w:tcPr>
          <w:p w14:paraId="1C961160" w14:textId="77777777" w:rsidR="0009633C" w:rsidRPr="002E7B7B" w:rsidRDefault="0009633C" w:rsidP="0009633C">
            <w:pPr>
              <w:spacing w:after="120"/>
              <w:contextualSpacing/>
              <w:jc w:val="both"/>
              <w:rPr>
                <w:rFonts w:cs="Times New Roman"/>
              </w:rPr>
            </w:pPr>
            <w:r w:rsidRPr="002E7B7B">
              <w:rPr>
                <w:rFonts w:cs="Times New Roman"/>
              </w:rPr>
              <w:t>3</w:t>
            </w:r>
          </w:p>
        </w:tc>
        <w:tc>
          <w:tcPr>
            <w:tcW w:w="7887" w:type="dxa"/>
            <w:hideMark/>
          </w:tcPr>
          <w:p w14:paraId="44254F90" w14:textId="77777777" w:rsidR="0009633C" w:rsidRPr="002E7B7B" w:rsidRDefault="0009633C" w:rsidP="0009633C">
            <w:pPr>
              <w:spacing w:after="120"/>
              <w:contextualSpacing/>
              <w:jc w:val="both"/>
              <w:rPr>
                <w:rFonts w:cs="Times New Roman"/>
              </w:rPr>
            </w:pPr>
            <w:r w:rsidRPr="002E7B7B">
              <w:rPr>
                <w:rFonts w:cs="Times New Roman"/>
              </w:rPr>
              <w:t>(cjd or vcjd or v-cjd).tw.</w:t>
            </w:r>
          </w:p>
        </w:tc>
      </w:tr>
      <w:tr w:rsidR="0009633C" w:rsidRPr="002E7B7B" w14:paraId="0182A253" w14:textId="77777777" w:rsidTr="0009633C">
        <w:trPr>
          <w:trHeight w:val="300"/>
        </w:trPr>
        <w:tc>
          <w:tcPr>
            <w:tcW w:w="1129" w:type="dxa"/>
            <w:hideMark/>
          </w:tcPr>
          <w:p w14:paraId="12CB4CB8" w14:textId="77777777" w:rsidR="0009633C" w:rsidRPr="002E7B7B" w:rsidRDefault="0009633C" w:rsidP="0009633C">
            <w:pPr>
              <w:spacing w:after="120"/>
              <w:contextualSpacing/>
              <w:jc w:val="both"/>
              <w:rPr>
                <w:rFonts w:cs="Times New Roman"/>
              </w:rPr>
            </w:pPr>
            <w:r w:rsidRPr="002E7B7B">
              <w:rPr>
                <w:rFonts w:cs="Times New Roman"/>
              </w:rPr>
              <w:t>4</w:t>
            </w:r>
          </w:p>
        </w:tc>
        <w:tc>
          <w:tcPr>
            <w:tcW w:w="7887" w:type="dxa"/>
            <w:hideMark/>
          </w:tcPr>
          <w:p w14:paraId="1C4AED69" w14:textId="77777777" w:rsidR="0009633C" w:rsidRPr="002E7B7B" w:rsidRDefault="0009633C" w:rsidP="0009633C">
            <w:pPr>
              <w:spacing w:after="120"/>
              <w:contextualSpacing/>
              <w:jc w:val="both"/>
              <w:rPr>
                <w:rFonts w:cs="Times New Roman"/>
              </w:rPr>
            </w:pPr>
            <w:r w:rsidRPr="002E7B7B">
              <w:rPr>
                <w:rFonts w:cs="Times New Roman"/>
              </w:rPr>
              <w:t>exp Prion Diseases/</w:t>
            </w:r>
          </w:p>
        </w:tc>
      </w:tr>
      <w:tr w:rsidR="0009633C" w:rsidRPr="002E7B7B" w14:paraId="52C29FC1" w14:textId="77777777" w:rsidTr="0009633C">
        <w:trPr>
          <w:trHeight w:val="300"/>
        </w:trPr>
        <w:tc>
          <w:tcPr>
            <w:tcW w:w="1129" w:type="dxa"/>
            <w:hideMark/>
          </w:tcPr>
          <w:p w14:paraId="0B9A0114" w14:textId="77777777" w:rsidR="0009633C" w:rsidRPr="002E7B7B" w:rsidRDefault="0009633C" w:rsidP="0009633C">
            <w:pPr>
              <w:spacing w:after="120"/>
              <w:contextualSpacing/>
              <w:jc w:val="both"/>
              <w:rPr>
                <w:rFonts w:cs="Times New Roman"/>
              </w:rPr>
            </w:pPr>
            <w:r w:rsidRPr="002E7B7B">
              <w:rPr>
                <w:rFonts w:cs="Times New Roman"/>
              </w:rPr>
              <w:t>5</w:t>
            </w:r>
          </w:p>
        </w:tc>
        <w:tc>
          <w:tcPr>
            <w:tcW w:w="7887" w:type="dxa"/>
            <w:hideMark/>
          </w:tcPr>
          <w:p w14:paraId="2E281537" w14:textId="77777777" w:rsidR="0009633C" w:rsidRPr="002E7B7B" w:rsidRDefault="0009633C" w:rsidP="0009633C">
            <w:pPr>
              <w:spacing w:after="120"/>
              <w:contextualSpacing/>
              <w:jc w:val="both"/>
              <w:rPr>
                <w:rFonts w:cs="Times New Roman"/>
              </w:rPr>
            </w:pPr>
            <w:r w:rsidRPr="002E7B7B">
              <w:rPr>
                <w:rFonts w:cs="Times New Roman"/>
              </w:rPr>
              <w:t>exp PRIONS/</w:t>
            </w:r>
          </w:p>
        </w:tc>
      </w:tr>
      <w:tr w:rsidR="0009633C" w:rsidRPr="002E7B7B" w14:paraId="323CABF1" w14:textId="77777777" w:rsidTr="0009633C">
        <w:trPr>
          <w:trHeight w:val="300"/>
        </w:trPr>
        <w:tc>
          <w:tcPr>
            <w:tcW w:w="1129" w:type="dxa"/>
            <w:hideMark/>
          </w:tcPr>
          <w:p w14:paraId="0F779D39" w14:textId="77777777" w:rsidR="0009633C" w:rsidRPr="002E7B7B" w:rsidRDefault="0009633C" w:rsidP="0009633C">
            <w:pPr>
              <w:spacing w:after="120"/>
              <w:contextualSpacing/>
              <w:jc w:val="both"/>
              <w:rPr>
                <w:rFonts w:cs="Times New Roman"/>
              </w:rPr>
            </w:pPr>
            <w:r w:rsidRPr="002E7B7B">
              <w:rPr>
                <w:rFonts w:cs="Times New Roman"/>
              </w:rPr>
              <w:t>6</w:t>
            </w:r>
          </w:p>
        </w:tc>
        <w:tc>
          <w:tcPr>
            <w:tcW w:w="7887" w:type="dxa"/>
            <w:hideMark/>
          </w:tcPr>
          <w:p w14:paraId="7AD7574A" w14:textId="77777777" w:rsidR="0009633C" w:rsidRPr="002E7B7B" w:rsidRDefault="0009633C" w:rsidP="0009633C">
            <w:pPr>
              <w:spacing w:after="120"/>
              <w:contextualSpacing/>
              <w:jc w:val="both"/>
              <w:rPr>
                <w:rFonts w:cs="Times New Roman"/>
              </w:rPr>
            </w:pPr>
            <w:r w:rsidRPr="002E7B7B">
              <w:rPr>
                <w:rFonts w:cs="Times New Roman"/>
              </w:rPr>
              <w:t>((transmissible or spong*) adj encephalopath*).tw.</w:t>
            </w:r>
          </w:p>
        </w:tc>
      </w:tr>
      <w:tr w:rsidR="0009633C" w:rsidRPr="002E7B7B" w14:paraId="6C749F4B" w14:textId="77777777" w:rsidTr="0009633C">
        <w:trPr>
          <w:trHeight w:val="300"/>
        </w:trPr>
        <w:tc>
          <w:tcPr>
            <w:tcW w:w="1129" w:type="dxa"/>
            <w:hideMark/>
          </w:tcPr>
          <w:p w14:paraId="5C9D1258" w14:textId="77777777" w:rsidR="0009633C" w:rsidRPr="002E7B7B" w:rsidRDefault="0009633C" w:rsidP="0009633C">
            <w:pPr>
              <w:spacing w:after="120"/>
              <w:contextualSpacing/>
              <w:jc w:val="both"/>
              <w:rPr>
                <w:rFonts w:cs="Times New Roman"/>
              </w:rPr>
            </w:pPr>
            <w:r w:rsidRPr="002E7B7B">
              <w:rPr>
                <w:rFonts w:cs="Times New Roman"/>
              </w:rPr>
              <w:t>7</w:t>
            </w:r>
          </w:p>
        </w:tc>
        <w:tc>
          <w:tcPr>
            <w:tcW w:w="7887" w:type="dxa"/>
            <w:hideMark/>
          </w:tcPr>
          <w:p w14:paraId="10D592FD" w14:textId="77777777" w:rsidR="0009633C" w:rsidRPr="002E7B7B" w:rsidRDefault="0009633C" w:rsidP="0009633C">
            <w:pPr>
              <w:spacing w:after="120"/>
              <w:contextualSpacing/>
              <w:jc w:val="both"/>
              <w:rPr>
                <w:rFonts w:cs="Times New Roman"/>
              </w:rPr>
            </w:pPr>
            <w:r w:rsidRPr="002E7B7B">
              <w:rPr>
                <w:rFonts w:cs="Times New Roman"/>
              </w:rPr>
              <w:t>(prion* or tse).tw.</w:t>
            </w:r>
          </w:p>
        </w:tc>
      </w:tr>
      <w:tr w:rsidR="0009633C" w:rsidRPr="002E7B7B" w14:paraId="4DA6C260" w14:textId="77777777" w:rsidTr="0009633C">
        <w:trPr>
          <w:trHeight w:val="300"/>
        </w:trPr>
        <w:tc>
          <w:tcPr>
            <w:tcW w:w="1129" w:type="dxa"/>
            <w:hideMark/>
          </w:tcPr>
          <w:p w14:paraId="510FE09A" w14:textId="77777777" w:rsidR="0009633C" w:rsidRPr="002E7B7B" w:rsidRDefault="0009633C" w:rsidP="0009633C">
            <w:pPr>
              <w:spacing w:after="120"/>
              <w:contextualSpacing/>
              <w:jc w:val="both"/>
              <w:rPr>
                <w:rFonts w:cs="Times New Roman"/>
              </w:rPr>
            </w:pPr>
            <w:r w:rsidRPr="002E7B7B">
              <w:rPr>
                <w:rFonts w:cs="Times New Roman"/>
              </w:rPr>
              <w:t>8</w:t>
            </w:r>
          </w:p>
        </w:tc>
        <w:tc>
          <w:tcPr>
            <w:tcW w:w="7887" w:type="dxa"/>
            <w:hideMark/>
          </w:tcPr>
          <w:p w14:paraId="6928648F" w14:textId="77777777" w:rsidR="0009633C" w:rsidRPr="002E7B7B" w:rsidRDefault="0009633C" w:rsidP="0009633C">
            <w:pPr>
              <w:spacing w:after="120"/>
              <w:contextualSpacing/>
              <w:jc w:val="both"/>
              <w:rPr>
                <w:rFonts w:cs="Times New Roman"/>
              </w:rPr>
            </w:pPr>
            <w:r w:rsidRPr="002E7B7B">
              <w:rPr>
                <w:rFonts w:cs="Times New Roman"/>
              </w:rPr>
              <w:t>prp.tw.</w:t>
            </w:r>
          </w:p>
        </w:tc>
      </w:tr>
      <w:tr w:rsidR="0009633C" w:rsidRPr="002E7B7B" w14:paraId="06276EF9" w14:textId="77777777" w:rsidTr="0009633C">
        <w:trPr>
          <w:trHeight w:val="300"/>
        </w:trPr>
        <w:tc>
          <w:tcPr>
            <w:tcW w:w="1129" w:type="dxa"/>
            <w:hideMark/>
          </w:tcPr>
          <w:p w14:paraId="117BC374" w14:textId="77777777" w:rsidR="0009633C" w:rsidRPr="002E7B7B" w:rsidRDefault="0009633C" w:rsidP="0009633C">
            <w:pPr>
              <w:spacing w:after="120"/>
              <w:contextualSpacing/>
              <w:jc w:val="both"/>
              <w:rPr>
                <w:rFonts w:cs="Times New Roman"/>
              </w:rPr>
            </w:pPr>
            <w:r w:rsidRPr="002E7B7B">
              <w:rPr>
                <w:rFonts w:cs="Times New Roman"/>
              </w:rPr>
              <w:t>9</w:t>
            </w:r>
          </w:p>
        </w:tc>
        <w:tc>
          <w:tcPr>
            <w:tcW w:w="7887" w:type="dxa"/>
            <w:hideMark/>
          </w:tcPr>
          <w:p w14:paraId="5406062A" w14:textId="77777777" w:rsidR="0009633C" w:rsidRPr="002E7B7B" w:rsidRDefault="0009633C" w:rsidP="0009633C">
            <w:pPr>
              <w:spacing w:after="120"/>
              <w:contextualSpacing/>
              <w:jc w:val="both"/>
              <w:rPr>
                <w:rFonts w:cs="Times New Roman"/>
              </w:rPr>
            </w:pPr>
            <w:r w:rsidRPr="002E7B7B">
              <w:rPr>
                <w:rFonts w:cs="Times New Roman"/>
              </w:rPr>
              <w:t>or/1-8</w:t>
            </w:r>
          </w:p>
        </w:tc>
      </w:tr>
      <w:tr w:rsidR="0009633C" w:rsidRPr="002E7B7B" w14:paraId="225CEE85" w14:textId="77777777" w:rsidTr="0009633C">
        <w:trPr>
          <w:trHeight w:val="300"/>
        </w:trPr>
        <w:tc>
          <w:tcPr>
            <w:tcW w:w="1129" w:type="dxa"/>
            <w:hideMark/>
          </w:tcPr>
          <w:p w14:paraId="31D907A5" w14:textId="77777777" w:rsidR="0009633C" w:rsidRPr="002E7B7B" w:rsidRDefault="0009633C" w:rsidP="0009633C">
            <w:pPr>
              <w:spacing w:after="120"/>
              <w:contextualSpacing/>
              <w:jc w:val="both"/>
              <w:rPr>
                <w:rFonts w:cs="Times New Roman"/>
              </w:rPr>
            </w:pPr>
            <w:r w:rsidRPr="002E7B7B">
              <w:rPr>
                <w:rFonts w:cs="Times New Roman"/>
              </w:rPr>
              <w:t>10</w:t>
            </w:r>
          </w:p>
        </w:tc>
        <w:tc>
          <w:tcPr>
            <w:tcW w:w="7887" w:type="dxa"/>
            <w:hideMark/>
          </w:tcPr>
          <w:p w14:paraId="6E071FD4" w14:textId="77777777" w:rsidR="0009633C" w:rsidRPr="002E7B7B" w:rsidRDefault="0009633C" w:rsidP="0009633C">
            <w:pPr>
              <w:spacing w:after="120"/>
              <w:contextualSpacing/>
              <w:jc w:val="both"/>
              <w:rPr>
                <w:rFonts w:cs="Times New Roman"/>
              </w:rPr>
            </w:pPr>
            <w:r w:rsidRPr="002E7B7B">
              <w:rPr>
                <w:rFonts w:cs="Times New Roman"/>
              </w:rPr>
              <w:t>exp "Costs and Cost Analysis"/</w:t>
            </w:r>
          </w:p>
        </w:tc>
      </w:tr>
      <w:tr w:rsidR="0009633C" w:rsidRPr="002E7B7B" w14:paraId="2B52AF26" w14:textId="77777777" w:rsidTr="0009633C">
        <w:trPr>
          <w:trHeight w:val="300"/>
        </w:trPr>
        <w:tc>
          <w:tcPr>
            <w:tcW w:w="1129" w:type="dxa"/>
            <w:hideMark/>
          </w:tcPr>
          <w:p w14:paraId="62372A5F" w14:textId="77777777" w:rsidR="0009633C" w:rsidRPr="002E7B7B" w:rsidRDefault="0009633C" w:rsidP="0009633C">
            <w:pPr>
              <w:spacing w:after="120"/>
              <w:contextualSpacing/>
              <w:jc w:val="both"/>
              <w:rPr>
                <w:rFonts w:cs="Times New Roman"/>
              </w:rPr>
            </w:pPr>
            <w:r w:rsidRPr="002E7B7B">
              <w:rPr>
                <w:rFonts w:cs="Times New Roman"/>
              </w:rPr>
              <w:t>11</w:t>
            </w:r>
          </w:p>
        </w:tc>
        <w:tc>
          <w:tcPr>
            <w:tcW w:w="7887" w:type="dxa"/>
            <w:hideMark/>
          </w:tcPr>
          <w:p w14:paraId="79617858" w14:textId="77777777" w:rsidR="0009633C" w:rsidRPr="002E7B7B" w:rsidRDefault="0009633C" w:rsidP="0009633C">
            <w:pPr>
              <w:spacing w:after="120"/>
              <w:contextualSpacing/>
              <w:jc w:val="both"/>
              <w:rPr>
                <w:rFonts w:cs="Times New Roman"/>
              </w:rPr>
            </w:pPr>
            <w:r w:rsidRPr="002E7B7B">
              <w:rPr>
                <w:rFonts w:cs="Times New Roman"/>
              </w:rPr>
              <w:t>Economics/</w:t>
            </w:r>
          </w:p>
        </w:tc>
      </w:tr>
      <w:tr w:rsidR="0009633C" w:rsidRPr="002E7B7B" w14:paraId="08274AA1" w14:textId="77777777" w:rsidTr="0009633C">
        <w:trPr>
          <w:trHeight w:val="300"/>
        </w:trPr>
        <w:tc>
          <w:tcPr>
            <w:tcW w:w="1129" w:type="dxa"/>
            <w:hideMark/>
          </w:tcPr>
          <w:p w14:paraId="1E15FCEE" w14:textId="77777777" w:rsidR="0009633C" w:rsidRPr="002E7B7B" w:rsidRDefault="0009633C" w:rsidP="0009633C">
            <w:pPr>
              <w:spacing w:after="120"/>
              <w:contextualSpacing/>
              <w:jc w:val="both"/>
              <w:rPr>
                <w:rFonts w:cs="Times New Roman"/>
              </w:rPr>
            </w:pPr>
            <w:r w:rsidRPr="002E7B7B">
              <w:rPr>
                <w:rFonts w:cs="Times New Roman"/>
              </w:rPr>
              <w:t>12</w:t>
            </w:r>
          </w:p>
        </w:tc>
        <w:tc>
          <w:tcPr>
            <w:tcW w:w="7887" w:type="dxa"/>
            <w:hideMark/>
          </w:tcPr>
          <w:p w14:paraId="4C94EBCF" w14:textId="77777777" w:rsidR="0009633C" w:rsidRPr="002E7B7B" w:rsidRDefault="0009633C" w:rsidP="0009633C">
            <w:pPr>
              <w:spacing w:after="120"/>
              <w:contextualSpacing/>
              <w:jc w:val="both"/>
              <w:rPr>
                <w:rFonts w:cs="Times New Roman"/>
              </w:rPr>
            </w:pPr>
            <w:r w:rsidRPr="002E7B7B">
              <w:rPr>
                <w:rFonts w:cs="Times New Roman"/>
              </w:rPr>
              <w:t>exp Economics, Hospital/</w:t>
            </w:r>
          </w:p>
        </w:tc>
      </w:tr>
      <w:tr w:rsidR="0009633C" w:rsidRPr="002E7B7B" w14:paraId="6BBBE3DC" w14:textId="77777777" w:rsidTr="0009633C">
        <w:trPr>
          <w:trHeight w:val="300"/>
        </w:trPr>
        <w:tc>
          <w:tcPr>
            <w:tcW w:w="1129" w:type="dxa"/>
            <w:hideMark/>
          </w:tcPr>
          <w:p w14:paraId="6666C193" w14:textId="77777777" w:rsidR="0009633C" w:rsidRPr="002E7B7B" w:rsidRDefault="0009633C" w:rsidP="0009633C">
            <w:pPr>
              <w:spacing w:after="120"/>
              <w:contextualSpacing/>
              <w:jc w:val="both"/>
              <w:rPr>
                <w:rFonts w:cs="Times New Roman"/>
              </w:rPr>
            </w:pPr>
            <w:r w:rsidRPr="002E7B7B">
              <w:rPr>
                <w:rFonts w:cs="Times New Roman"/>
              </w:rPr>
              <w:t>13</w:t>
            </w:r>
          </w:p>
        </w:tc>
        <w:tc>
          <w:tcPr>
            <w:tcW w:w="7887" w:type="dxa"/>
            <w:hideMark/>
          </w:tcPr>
          <w:p w14:paraId="0F1D225C" w14:textId="77777777" w:rsidR="0009633C" w:rsidRPr="002E7B7B" w:rsidRDefault="0009633C" w:rsidP="0009633C">
            <w:pPr>
              <w:spacing w:after="120"/>
              <w:contextualSpacing/>
              <w:jc w:val="both"/>
              <w:rPr>
                <w:rFonts w:cs="Times New Roman"/>
              </w:rPr>
            </w:pPr>
            <w:r w:rsidRPr="002E7B7B">
              <w:rPr>
                <w:rFonts w:cs="Times New Roman"/>
              </w:rPr>
              <w:t>exp Economics, Medical/</w:t>
            </w:r>
          </w:p>
        </w:tc>
      </w:tr>
      <w:tr w:rsidR="0009633C" w:rsidRPr="002E7B7B" w14:paraId="52E3310A" w14:textId="77777777" w:rsidTr="0009633C">
        <w:trPr>
          <w:trHeight w:val="300"/>
        </w:trPr>
        <w:tc>
          <w:tcPr>
            <w:tcW w:w="1129" w:type="dxa"/>
            <w:hideMark/>
          </w:tcPr>
          <w:p w14:paraId="222150DB" w14:textId="77777777" w:rsidR="0009633C" w:rsidRPr="002E7B7B" w:rsidRDefault="0009633C" w:rsidP="0009633C">
            <w:pPr>
              <w:spacing w:after="120"/>
              <w:contextualSpacing/>
              <w:jc w:val="both"/>
              <w:rPr>
                <w:rFonts w:cs="Times New Roman"/>
              </w:rPr>
            </w:pPr>
            <w:r w:rsidRPr="002E7B7B">
              <w:rPr>
                <w:rFonts w:cs="Times New Roman"/>
              </w:rPr>
              <w:t>14</w:t>
            </w:r>
          </w:p>
        </w:tc>
        <w:tc>
          <w:tcPr>
            <w:tcW w:w="7887" w:type="dxa"/>
            <w:hideMark/>
          </w:tcPr>
          <w:p w14:paraId="7327A49E" w14:textId="77777777" w:rsidR="0009633C" w:rsidRPr="002E7B7B" w:rsidRDefault="0009633C" w:rsidP="0009633C">
            <w:pPr>
              <w:spacing w:after="120"/>
              <w:contextualSpacing/>
              <w:jc w:val="both"/>
              <w:rPr>
                <w:rFonts w:cs="Times New Roman"/>
              </w:rPr>
            </w:pPr>
            <w:r w:rsidRPr="002E7B7B">
              <w:rPr>
                <w:rFonts w:cs="Times New Roman"/>
              </w:rPr>
              <w:t>Economics, Nursing/</w:t>
            </w:r>
          </w:p>
        </w:tc>
      </w:tr>
      <w:tr w:rsidR="0009633C" w:rsidRPr="002E7B7B" w14:paraId="4D776ABA" w14:textId="77777777" w:rsidTr="0009633C">
        <w:trPr>
          <w:trHeight w:val="300"/>
        </w:trPr>
        <w:tc>
          <w:tcPr>
            <w:tcW w:w="1129" w:type="dxa"/>
            <w:hideMark/>
          </w:tcPr>
          <w:p w14:paraId="70DD3F58" w14:textId="77777777" w:rsidR="0009633C" w:rsidRPr="002E7B7B" w:rsidRDefault="0009633C" w:rsidP="0009633C">
            <w:pPr>
              <w:spacing w:after="120"/>
              <w:contextualSpacing/>
              <w:jc w:val="both"/>
              <w:rPr>
                <w:rFonts w:cs="Times New Roman"/>
              </w:rPr>
            </w:pPr>
            <w:r w:rsidRPr="002E7B7B">
              <w:rPr>
                <w:rFonts w:cs="Times New Roman"/>
              </w:rPr>
              <w:t>15</w:t>
            </w:r>
          </w:p>
        </w:tc>
        <w:tc>
          <w:tcPr>
            <w:tcW w:w="7887" w:type="dxa"/>
            <w:hideMark/>
          </w:tcPr>
          <w:p w14:paraId="72D416B1" w14:textId="77777777" w:rsidR="0009633C" w:rsidRPr="002E7B7B" w:rsidRDefault="0009633C" w:rsidP="0009633C">
            <w:pPr>
              <w:spacing w:after="120"/>
              <w:contextualSpacing/>
              <w:jc w:val="both"/>
              <w:rPr>
                <w:rFonts w:cs="Times New Roman"/>
              </w:rPr>
            </w:pPr>
            <w:r w:rsidRPr="002E7B7B">
              <w:rPr>
                <w:rFonts w:cs="Times New Roman"/>
              </w:rPr>
              <w:t>exp models, economic/</w:t>
            </w:r>
          </w:p>
        </w:tc>
      </w:tr>
      <w:tr w:rsidR="0009633C" w:rsidRPr="002E7B7B" w14:paraId="7B153E68" w14:textId="77777777" w:rsidTr="0009633C">
        <w:trPr>
          <w:trHeight w:val="300"/>
        </w:trPr>
        <w:tc>
          <w:tcPr>
            <w:tcW w:w="1129" w:type="dxa"/>
            <w:hideMark/>
          </w:tcPr>
          <w:p w14:paraId="79464718" w14:textId="77777777" w:rsidR="0009633C" w:rsidRPr="002E7B7B" w:rsidRDefault="0009633C" w:rsidP="0009633C">
            <w:pPr>
              <w:spacing w:after="120"/>
              <w:contextualSpacing/>
              <w:jc w:val="both"/>
              <w:rPr>
                <w:rFonts w:cs="Times New Roman"/>
              </w:rPr>
            </w:pPr>
            <w:r w:rsidRPr="002E7B7B">
              <w:rPr>
                <w:rFonts w:cs="Times New Roman"/>
              </w:rPr>
              <w:t>16</w:t>
            </w:r>
          </w:p>
        </w:tc>
        <w:tc>
          <w:tcPr>
            <w:tcW w:w="7887" w:type="dxa"/>
            <w:hideMark/>
          </w:tcPr>
          <w:p w14:paraId="182268A5" w14:textId="77777777" w:rsidR="0009633C" w:rsidRPr="002E7B7B" w:rsidRDefault="0009633C" w:rsidP="0009633C">
            <w:pPr>
              <w:spacing w:after="120"/>
              <w:contextualSpacing/>
              <w:jc w:val="both"/>
              <w:rPr>
                <w:rFonts w:cs="Times New Roman"/>
              </w:rPr>
            </w:pPr>
            <w:r w:rsidRPr="002E7B7B">
              <w:rPr>
                <w:rFonts w:cs="Times New Roman"/>
              </w:rPr>
              <w:t>Economics, Pharmaceutical/</w:t>
            </w:r>
          </w:p>
        </w:tc>
      </w:tr>
      <w:tr w:rsidR="0009633C" w:rsidRPr="002E7B7B" w14:paraId="664F36D6" w14:textId="77777777" w:rsidTr="0009633C">
        <w:trPr>
          <w:trHeight w:val="300"/>
        </w:trPr>
        <w:tc>
          <w:tcPr>
            <w:tcW w:w="1129" w:type="dxa"/>
            <w:hideMark/>
          </w:tcPr>
          <w:p w14:paraId="79080C05" w14:textId="77777777" w:rsidR="0009633C" w:rsidRPr="002E7B7B" w:rsidRDefault="0009633C" w:rsidP="0009633C">
            <w:pPr>
              <w:spacing w:after="120"/>
              <w:contextualSpacing/>
              <w:jc w:val="both"/>
              <w:rPr>
                <w:rFonts w:cs="Times New Roman"/>
              </w:rPr>
            </w:pPr>
            <w:r w:rsidRPr="002E7B7B">
              <w:rPr>
                <w:rFonts w:cs="Times New Roman"/>
              </w:rPr>
              <w:t>17</w:t>
            </w:r>
          </w:p>
        </w:tc>
        <w:tc>
          <w:tcPr>
            <w:tcW w:w="7887" w:type="dxa"/>
            <w:hideMark/>
          </w:tcPr>
          <w:p w14:paraId="44C21FEA" w14:textId="77777777" w:rsidR="0009633C" w:rsidRPr="002E7B7B" w:rsidRDefault="0009633C" w:rsidP="0009633C">
            <w:pPr>
              <w:spacing w:after="120"/>
              <w:contextualSpacing/>
              <w:jc w:val="both"/>
              <w:rPr>
                <w:rFonts w:cs="Times New Roman"/>
              </w:rPr>
            </w:pPr>
            <w:r w:rsidRPr="002E7B7B">
              <w:rPr>
                <w:rFonts w:cs="Times New Roman"/>
              </w:rPr>
              <w:t>exp "Fees and Charges"/</w:t>
            </w:r>
          </w:p>
        </w:tc>
      </w:tr>
      <w:tr w:rsidR="0009633C" w:rsidRPr="002E7B7B" w14:paraId="332B412C" w14:textId="77777777" w:rsidTr="0009633C">
        <w:trPr>
          <w:trHeight w:val="300"/>
        </w:trPr>
        <w:tc>
          <w:tcPr>
            <w:tcW w:w="1129" w:type="dxa"/>
            <w:hideMark/>
          </w:tcPr>
          <w:p w14:paraId="07F79FFD" w14:textId="77777777" w:rsidR="0009633C" w:rsidRPr="002E7B7B" w:rsidRDefault="0009633C" w:rsidP="0009633C">
            <w:pPr>
              <w:spacing w:after="120"/>
              <w:contextualSpacing/>
              <w:jc w:val="both"/>
              <w:rPr>
                <w:rFonts w:cs="Times New Roman"/>
              </w:rPr>
            </w:pPr>
            <w:r w:rsidRPr="002E7B7B">
              <w:rPr>
                <w:rFonts w:cs="Times New Roman"/>
              </w:rPr>
              <w:t>18</w:t>
            </w:r>
          </w:p>
        </w:tc>
        <w:tc>
          <w:tcPr>
            <w:tcW w:w="7887" w:type="dxa"/>
            <w:hideMark/>
          </w:tcPr>
          <w:p w14:paraId="41C16422" w14:textId="77777777" w:rsidR="0009633C" w:rsidRPr="002E7B7B" w:rsidRDefault="0009633C" w:rsidP="0009633C">
            <w:pPr>
              <w:spacing w:after="120"/>
              <w:contextualSpacing/>
              <w:jc w:val="both"/>
              <w:rPr>
                <w:rFonts w:cs="Times New Roman"/>
              </w:rPr>
            </w:pPr>
            <w:r w:rsidRPr="002E7B7B">
              <w:rPr>
                <w:rFonts w:cs="Times New Roman"/>
              </w:rPr>
              <w:t>exp Budgets/</w:t>
            </w:r>
          </w:p>
        </w:tc>
      </w:tr>
      <w:tr w:rsidR="0009633C" w:rsidRPr="002E7B7B" w14:paraId="6E45E4F8" w14:textId="77777777" w:rsidTr="0009633C">
        <w:trPr>
          <w:trHeight w:val="300"/>
        </w:trPr>
        <w:tc>
          <w:tcPr>
            <w:tcW w:w="1129" w:type="dxa"/>
            <w:hideMark/>
          </w:tcPr>
          <w:p w14:paraId="1D700024" w14:textId="77777777" w:rsidR="0009633C" w:rsidRPr="002E7B7B" w:rsidRDefault="0009633C" w:rsidP="0009633C">
            <w:pPr>
              <w:spacing w:after="120"/>
              <w:contextualSpacing/>
              <w:jc w:val="both"/>
              <w:rPr>
                <w:rFonts w:cs="Times New Roman"/>
              </w:rPr>
            </w:pPr>
            <w:r w:rsidRPr="002E7B7B">
              <w:rPr>
                <w:rFonts w:cs="Times New Roman"/>
              </w:rPr>
              <w:t>19</w:t>
            </w:r>
          </w:p>
        </w:tc>
        <w:tc>
          <w:tcPr>
            <w:tcW w:w="7887" w:type="dxa"/>
            <w:hideMark/>
          </w:tcPr>
          <w:p w14:paraId="6CC21FAB" w14:textId="77777777" w:rsidR="0009633C" w:rsidRPr="002E7B7B" w:rsidRDefault="0009633C" w:rsidP="0009633C">
            <w:pPr>
              <w:spacing w:after="120"/>
              <w:contextualSpacing/>
              <w:jc w:val="both"/>
              <w:rPr>
                <w:rFonts w:cs="Times New Roman"/>
              </w:rPr>
            </w:pPr>
            <w:r w:rsidRPr="002E7B7B">
              <w:rPr>
                <w:rFonts w:cs="Times New Roman"/>
              </w:rPr>
              <w:t>budget$.tw.</w:t>
            </w:r>
          </w:p>
        </w:tc>
      </w:tr>
      <w:tr w:rsidR="0009633C" w:rsidRPr="002E7B7B" w14:paraId="0F64B272" w14:textId="77777777" w:rsidTr="0009633C">
        <w:trPr>
          <w:trHeight w:val="300"/>
        </w:trPr>
        <w:tc>
          <w:tcPr>
            <w:tcW w:w="1129" w:type="dxa"/>
            <w:hideMark/>
          </w:tcPr>
          <w:p w14:paraId="0A6DF60F" w14:textId="77777777" w:rsidR="0009633C" w:rsidRPr="002E7B7B" w:rsidRDefault="0009633C" w:rsidP="0009633C">
            <w:pPr>
              <w:spacing w:after="120"/>
              <w:contextualSpacing/>
              <w:jc w:val="both"/>
              <w:rPr>
                <w:rFonts w:cs="Times New Roman"/>
              </w:rPr>
            </w:pPr>
            <w:r w:rsidRPr="002E7B7B">
              <w:rPr>
                <w:rFonts w:cs="Times New Roman"/>
              </w:rPr>
              <w:t>20</w:t>
            </w:r>
          </w:p>
        </w:tc>
        <w:tc>
          <w:tcPr>
            <w:tcW w:w="7887" w:type="dxa"/>
            <w:hideMark/>
          </w:tcPr>
          <w:p w14:paraId="37854995" w14:textId="77777777" w:rsidR="0009633C" w:rsidRPr="002E7B7B" w:rsidRDefault="0009633C" w:rsidP="0009633C">
            <w:pPr>
              <w:spacing w:after="120"/>
              <w:contextualSpacing/>
              <w:jc w:val="both"/>
              <w:rPr>
                <w:rFonts w:cs="Times New Roman"/>
              </w:rPr>
            </w:pPr>
            <w:r w:rsidRPr="002E7B7B">
              <w:rPr>
                <w:rFonts w:cs="Times New Roman"/>
              </w:rPr>
              <w:t>ec.fs.</w:t>
            </w:r>
          </w:p>
        </w:tc>
      </w:tr>
      <w:tr w:rsidR="0009633C" w:rsidRPr="002E7B7B" w14:paraId="5A484906" w14:textId="77777777" w:rsidTr="0009633C">
        <w:trPr>
          <w:trHeight w:val="300"/>
        </w:trPr>
        <w:tc>
          <w:tcPr>
            <w:tcW w:w="1129" w:type="dxa"/>
            <w:hideMark/>
          </w:tcPr>
          <w:p w14:paraId="251E86AC" w14:textId="77777777" w:rsidR="0009633C" w:rsidRPr="002E7B7B" w:rsidRDefault="0009633C" w:rsidP="0009633C">
            <w:pPr>
              <w:spacing w:after="120"/>
              <w:contextualSpacing/>
              <w:jc w:val="both"/>
              <w:rPr>
                <w:rFonts w:cs="Times New Roman"/>
              </w:rPr>
            </w:pPr>
            <w:r w:rsidRPr="002E7B7B">
              <w:rPr>
                <w:rFonts w:cs="Times New Roman"/>
              </w:rPr>
              <w:t>21</w:t>
            </w:r>
          </w:p>
        </w:tc>
        <w:tc>
          <w:tcPr>
            <w:tcW w:w="7887" w:type="dxa"/>
            <w:hideMark/>
          </w:tcPr>
          <w:p w14:paraId="1F21445C" w14:textId="77777777" w:rsidR="0009633C" w:rsidRPr="002E7B7B" w:rsidRDefault="0009633C" w:rsidP="0009633C">
            <w:pPr>
              <w:spacing w:after="120"/>
              <w:contextualSpacing/>
              <w:jc w:val="both"/>
              <w:rPr>
                <w:rFonts w:cs="Times New Roman"/>
              </w:rPr>
            </w:pPr>
            <w:r w:rsidRPr="002E7B7B">
              <w:rPr>
                <w:rFonts w:cs="Times New Roman"/>
              </w:rPr>
              <w:t>cost$.ti.</w:t>
            </w:r>
          </w:p>
        </w:tc>
      </w:tr>
      <w:tr w:rsidR="0009633C" w:rsidRPr="002E7B7B" w14:paraId="3B58C162" w14:textId="77777777" w:rsidTr="0009633C">
        <w:trPr>
          <w:trHeight w:val="300"/>
        </w:trPr>
        <w:tc>
          <w:tcPr>
            <w:tcW w:w="1129" w:type="dxa"/>
            <w:hideMark/>
          </w:tcPr>
          <w:p w14:paraId="22264F96" w14:textId="77777777" w:rsidR="0009633C" w:rsidRPr="002E7B7B" w:rsidRDefault="0009633C" w:rsidP="0009633C">
            <w:pPr>
              <w:spacing w:after="120"/>
              <w:contextualSpacing/>
              <w:jc w:val="both"/>
              <w:rPr>
                <w:rFonts w:cs="Times New Roman"/>
              </w:rPr>
            </w:pPr>
            <w:r w:rsidRPr="002E7B7B">
              <w:rPr>
                <w:rFonts w:cs="Times New Roman"/>
              </w:rPr>
              <w:t>22</w:t>
            </w:r>
          </w:p>
        </w:tc>
        <w:tc>
          <w:tcPr>
            <w:tcW w:w="7887" w:type="dxa"/>
            <w:hideMark/>
          </w:tcPr>
          <w:p w14:paraId="32C7F041" w14:textId="77777777" w:rsidR="0009633C" w:rsidRPr="002E7B7B" w:rsidRDefault="0009633C" w:rsidP="0009633C">
            <w:pPr>
              <w:spacing w:after="120"/>
              <w:contextualSpacing/>
              <w:jc w:val="both"/>
              <w:rPr>
                <w:rFonts w:cs="Times New Roman"/>
              </w:rPr>
            </w:pPr>
            <w:r w:rsidRPr="002E7B7B">
              <w:rPr>
                <w:rFonts w:cs="Times New Roman"/>
              </w:rPr>
              <w:t>(cost$ adj2 (effective$ or utilit$ or benefit$ or minimi$)).ab.</w:t>
            </w:r>
          </w:p>
        </w:tc>
      </w:tr>
      <w:tr w:rsidR="0009633C" w:rsidRPr="002E7B7B" w14:paraId="24326072" w14:textId="77777777" w:rsidTr="0009633C">
        <w:trPr>
          <w:trHeight w:val="300"/>
        </w:trPr>
        <w:tc>
          <w:tcPr>
            <w:tcW w:w="1129" w:type="dxa"/>
            <w:hideMark/>
          </w:tcPr>
          <w:p w14:paraId="56FFA949" w14:textId="77777777" w:rsidR="0009633C" w:rsidRPr="002E7B7B" w:rsidRDefault="0009633C" w:rsidP="0009633C">
            <w:pPr>
              <w:spacing w:after="120"/>
              <w:contextualSpacing/>
              <w:jc w:val="both"/>
              <w:rPr>
                <w:rFonts w:cs="Times New Roman"/>
              </w:rPr>
            </w:pPr>
            <w:r w:rsidRPr="002E7B7B">
              <w:rPr>
                <w:rFonts w:cs="Times New Roman"/>
              </w:rPr>
              <w:t>23</w:t>
            </w:r>
          </w:p>
        </w:tc>
        <w:tc>
          <w:tcPr>
            <w:tcW w:w="7887" w:type="dxa"/>
            <w:hideMark/>
          </w:tcPr>
          <w:p w14:paraId="290E49CF" w14:textId="77777777" w:rsidR="0009633C" w:rsidRPr="002E7B7B" w:rsidRDefault="0009633C" w:rsidP="0009633C">
            <w:pPr>
              <w:spacing w:after="120"/>
              <w:contextualSpacing/>
              <w:jc w:val="both"/>
              <w:rPr>
                <w:rFonts w:cs="Times New Roman"/>
              </w:rPr>
            </w:pPr>
            <w:r w:rsidRPr="002E7B7B">
              <w:rPr>
                <w:rFonts w:cs="Times New Roman"/>
              </w:rPr>
              <w:t>(economic$ or pharmacoeconomic$ or pharmaco-economic$).ti.</w:t>
            </w:r>
          </w:p>
        </w:tc>
      </w:tr>
      <w:tr w:rsidR="0009633C" w:rsidRPr="002E7B7B" w14:paraId="373FF610" w14:textId="77777777" w:rsidTr="0009633C">
        <w:trPr>
          <w:trHeight w:val="300"/>
        </w:trPr>
        <w:tc>
          <w:tcPr>
            <w:tcW w:w="1129" w:type="dxa"/>
            <w:hideMark/>
          </w:tcPr>
          <w:p w14:paraId="3BAAAB83" w14:textId="77777777" w:rsidR="0009633C" w:rsidRPr="002E7B7B" w:rsidRDefault="0009633C" w:rsidP="0009633C">
            <w:pPr>
              <w:spacing w:after="120"/>
              <w:contextualSpacing/>
              <w:jc w:val="both"/>
              <w:rPr>
                <w:rFonts w:cs="Times New Roman"/>
              </w:rPr>
            </w:pPr>
            <w:r w:rsidRPr="002E7B7B">
              <w:rPr>
                <w:rFonts w:cs="Times New Roman"/>
              </w:rPr>
              <w:t>24</w:t>
            </w:r>
          </w:p>
        </w:tc>
        <w:tc>
          <w:tcPr>
            <w:tcW w:w="7887" w:type="dxa"/>
            <w:hideMark/>
          </w:tcPr>
          <w:p w14:paraId="1D829FFA" w14:textId="77777777" w:rsidR="0009633C" w:rsidRPr="002E7B7B" w:rsidRDefault="0009633C" w:rsidP="0009633C">
            <w:pPr>
              <w:spacing w:after="120"/>
              <w:contextualSpacing/>
              <w:jc w:val="both"/>
              <w:rPr>
                <w:rFonts w:cs="Times New Roman"/>
              </w:rPr>
            </w:pPr>
            <w:r w:rsidRPr="002E7B7B">
              <w:rPr>
                <w:rFonts w:cs="Times New Roman"/>
              </w:rPr>
              <w:t>(price$ or pricing$).tw.</w:t>
            </w:r>
          </w:p>
        </w:tc>
      </w:tr>
      <w:tr w:rsidR="0009633C" w:rsidRPr="002E7B7B" w14:paraId="0354E5D0" w14:textId="77777777" w:rsidTr="0009633C">
        <w:trPr>
          <w:trHeight w:val="300"/>
        </w:trPr>
        <w:tc>
          <w:tcPr>
            <w:tcW w:w="1129" w:type="dxa"/>
            <w:hideMark/>
          </w:tcPr>
          <w:p w14:paraId="2BCF9F27" w14:textId="77777777" w:rsidR="0009633C" w:rsidRPr="002E7B7B" w:rsidRDefault="0009633C" w:rsidP="0009633C">
            <w:pPr>
              <w:spacing w:after="120"/>
              <w:contextualSpacing/>
              <w:jc w:val="both"/>
              <w:rPr>
                <w:rFonts w:cs="Times New Roman"/>
              </w:rPr>
            </w:pPr>
            <w:r w:rsidRPr="002E7B7B">
              <w:rPr>
                <w:rFonts w:cs="Times New Roman"/>
              </w:rPr>
              <w:t>25</w:t>
            </w:r>
          </w:p>
        </w:tc>
        <w:tc>
          <w:tcPr>
            <w:tcW w:w="7887" w:type="dxa"/>
            <w:hideMark/>
          </w:tcPr>
          <w:p w14:paraId="57195EC1" w14:textId="77777777" w:rsidR="0009633C" w:rsidRPr="002E7B7B" w:rsidRDefault="0009633C" w:rsidP="0009633C">
            <w:pPr>
              <w:spacing w:after="120"/>
              <w:contextualSpacing/>
              <w:jc w:val="both"/>
              <w:rPr>
                <w:rFonts w:cs="Times New Roman"/>
              </w:rPr>
            </w:pPr>
            <w:r w:rsidRPr="002E7B7B">
              <w:rPr>
                <w:rFonts w:cs="Times New Roman"/>
              </w:rPr>
              <w:t>(financial or finance or finances or financed).tw.</w:t>
            </w:r>
          </w:p>
        </w:tc>
      </w:tr>
      <w:tr w:rsidR="0009633C" w:rsidRPr="002E7B7B" w14:paraId="1AD6DDBF" w14:textId="77777777" w:rsidTr="0009633C">
        <w:trPr>
          <w:trHeight w:val="300"/>
        </w:trPr>
        <w:tc>
          <w:tcPr>
            <w:tcW w:w="1129" w:type="dxa"/>
            <w:hideMark/>
          </w:tcPr>
          <w:p w14:paraId="6B010BEA" w14:textId="77777777" w:rsidR="0009633C" w:rsidRPr="002E7B7B" w:rsidRDefault="0009633C" w:rsidP="0009633C">
            <w:pPr>
              <w:spacing w:after="120"/>
              <w:contextualSpacing/>
              <w:jc w:val="both"/>
              <w:rPr>
                <w:rFonts w:cs="Times New Roman"/>
              </w:rPr>
            </w:pPr>
            <w:r w:rsidRPr="002E7B7B">
              <w:rPr>
                <w:rFonts w:cs="Times New Roman"/>
              </w:rPr>
              <w:t>26</w:t>
            </w:r>
          </w:p>
        </w:tc>
        <w:tc>
          <w:tcPr>
            <w:tcW w:w="7887" w:type="dxa"/>
            <w:hideMark/>
          </w:tcPr>
          <w:p w14:paraId="2233086C" w14:textId="77777777" w:rsidR="0009633C" w:rsidRPr="002E7B7B" w:rsidRDefault="0009633C" w:rsidP="0009633C">
            <w:pPr>
              <w:spacing w:after="120"/>
              <w:contextualSpacing/>
              <w:jc w:val="both"/>
              <w:rPr>
                <w:rFonts w:cs="Times New Roman"/>
              </w:rPr>
            </w:pPr>
            <w:r w:rsidRPr="002E7B7B">
              <w:rPr>
                <w:rFonts w:cs="Times New Roman"/>
              </w:rPr>
              <w:t>(fee or fees).tw.</w:t>
            </w:r>
          </w:p>
        </w:tc>
      </w:tr>
      <w:tr w:rsidR="0009633C" w:rsidRPr="002E7B7B" w14:paraId="0C76F4A9" w14:textId="77777777" w:rsidTr="0009633C">
        <w:trPr>
          <w:trHeight w:val="300"/>
        </w:trPr>
        <w:tc>
          <w:tcPr>
            <w:tcW w:w="1129" w:type="dxa"/>
            <w:hideMark/>
          </w:tcPr>
          <w:p w14:paraId="400598F1" w14:textId="77777777" w:rsidR="0009633C" w:rsidRPr="002E7B7B" w:rsidRDefault="0009633C" w:rsidP="0009633C">
            <w:pPr>
              <w:spacing w:after="120"/>
              <w:contextualSpacing/>
              <w:jc w:val="both"/>
              <w:rPr>
                <w:rFonts w:cs="Times New Roman"/>
              </w:rPr>
            </w:pPr>
            <w:r w:rsidRPr="002E7B7B">
              <w:rPr>
                <w:rFonts w:cs="Times New Roman"/>
              </w:rPr>
              <w:t>27</w:t>
            </w:r>
          </w:p>
        </w:tc>
        <w:tc>
          <w:tcPr>
            <w:tcW w:w="7887" w:type="dxa"/>
            <w:hideMark/>
          </w:tcPr>
          <w:p w14:paraId="31C92400" w14:textId="77777777" w:rsidR="0009633C" w:rsidRPr="002E7B7B" w:rsidRDefault="0009633C" w:rsidP="0009633C">
            <w:pPr>
              <w:spacing w:after="120"/>
              <w:contextualSpacing/>
              <w:jc w:val="both"/>
              <w:rPr>
                <w:rFonts w:cs="Times New Roman"/>
              </w:rPr>
            </w:pPr>
            <w:r w:rsidRPr="002E7B7B">
              <w:rPr>
                <w:rFonts w:cs="Times New Roman"/>
              </w:rPr>
              <w:t>(value adj2 (money or monetary)).tw.</w:t>
            </w:r>
          </w:p>
        </w:tc>
      </w:tr>
      <w:tr w:rsidR="0009633C" w:rsidRPr="002E7B7B" w14:paraId="46A55B40" w14:textId="77777777" w:rsidTr="0009633C">
        <w:trPr>
          <w:trHeight w:val="300"/>
        </w:trPr>
        <w:tc>
          <w:tcPr>
            <w:tcW w:w="1129" w:type="dxa"/>
            <w:hideMark/>
          </w:tcPr>
          <w:p w14:paraId="4A94B702" w14:textId="77777777" w:rsidR="0009633C" w:rsidRPr="002E7B7B" w:rsidRDefault="0009633C" w:rsidP="0009633C">
            <w:pPr>
              <w:spacing w:after="120"/>
              <w:contextualSpacing/>
              <w:jc w:val="both"/>
              <w:rPr>
                <w:rFonts w:cs="Times New Roman"/>
              </w:rPr>
            </w:pPr>
            <w:r w:rsidRPr="002E7B7B">
              <w:rPr>
                <w:rFonts w:cs="Times New Roman"/>
              </w:rPr>
              <w:t>28</w:t>
            </w:r>
          </w:p>
        </w:tc>
        <w:tc>
          <w:tcPr>
            <w:tcW w:w="7887" w:type="dxa"/>
            <w:hideMark/>
          </w:tcPr>
          <w:p w14:paraId="463DA9BC" w14:textId="77777777" w:rsidR="0009633C" w:rsidRPr="002E7B7B" w:rsidRDefault="0009633C" w:rsidP="0009633C">
            <w:pPr>
              <w:spacing w:after="120"/>
              <w:contextualSpacing/>
              <w:jc w:val="both"/>
              <w:rPr>
                <w:rFonts w:cs="Times New Roman"/>
              </w:rPr>
            </w:pPr>
            <w:r w:rsidRPr="002E7B7B">
              <w:rPr>
                <w:rFonts w:cs="Times New Roman"/>
              </w:rPr>
              <w:t>quality-adjusted life years/</w:t>
            </w:r>
          </w:p>
        </w:tc>
      </w:tr>
      <w:tr w:rsidR="0009633C" w:rsidRPr="002E7B7B" w14:paraId="29C2404D" w14:textId="77777777" w:rsidTr="0009633C">
        <w:trPr>
          <w:trHeight w:val="300"/>
        </w:trPr>
        <w:tc>
          <w:tcPr>
            <w:tcW w:w="1129" w:type="dxa"/>
            <w:hideMark/>
          </w:tcPr>
          <w:p w14:paraId="50AA8ACE" w14:textId="77777777" w:rsidR="0009633C" w:rsidRPr="002E7B7B" w:rsidRDefault="0009633C" w:rsidP="0009633C">
            <w:pPr>
              <w:spacing w:after="120"/>
              <w:contextualSpacing/>
              <w:jc w:val="both"/>
              <w:rPr>
                <w:rFonts w:cs="Times New Roman"/>
              </w:rPr>
            </w:pPr>
            <w:r w:rsidRPr="002E7B7B">
              <w:rPr>
                <w:rFonts w:cs="Times New Roman"/>
              </w:rPr>
              <w:t>29</w:t>
            </w:r>
          </w:p>
        </w:tc>
        <w:tc>
          <w:tcPr>
            <w:tcW w:w="7887" w:type="dxa"/>
            <w:hideMark/>
          </w:tcPr>
          <w:p w14:paraId="399BD189" w14:textId="77777777" w:rsidR="0009633C" w:rsidRPr="002E7B7B" w:rsidRDefault="0009633C" w:rsidP="0009633C">
            <w:pPr>
              <w:spacing w:after="120"/>
              <w:contextualSpacing/>
              <w:jc w:val="both"/>
              <w:rPr>
                <w:rFonts w:cs="Times New Roman"/>
              </w:rPr>
            </w:pPr>
            <w:r w:rsidRPr="002E7B7B">
              <w:rPr>
                <w:rFonts w:cs="Times New Roman"/>
              </w:rPr>
              <w:t>(qaly or qalys).af.</w:t>
            </w:r>
          </w:p>
        </w:tc>
      </w:tr>
      <w:tr w:rsidR="0009633C" w:rsidRPr="002E7B7B" w14:paraId="1906CDEC" w14:textId="77777777" w:rsidTr="0009633C">
        <w:trPr>
          <w:trHeight w:val="300"/>
        </w:trPr>
        <w:tc>
          <w:tcPr>
            <w:tcW w:w="1129" w:type="dxa"/>
            <w:hideMark/>
          </w:tcPr>
          <w:p w14:paraId="1C29810C" w14:textId="77777777" w:rsidR="0009633C" w:rsidRPr="002E7B7B" w:rsidRDefault="0009633C" w:rsidP="0009633C">
            <w:pPr>
              <w:spacing w:after="120"/>
              <w:contextualSpacing/>
              <w:jc w:val="both"/>
              <w:rPr>
                <w:rFonts w:cs="Times New Roman"/>
              </w:rPr>
            </w:pPr>
            <w:r w:rsidRPr="002E7B7B">
              <w:rPr>
                <w:rFonts w:cs="Times New Roman"/>
              </w:rPr>
              <w:t>30</w:t>
            </w:r>
          </w:p>
        </w:tc>
        <w:tc>
          <w:tcPr>
            <w:tcW w:w="7887" w:type="dxa"/>
            <w:hideMark/>
          </w:tcPr>
          <w:p w14:paraId="7F48703D" w14:textId="77777777" w:rsidR="0009633C" w:rsidRPr="002E7B7B" w:rsidRDefault="0009633C" w:rsidP="0009633C">
            <w:pPr>
              <w:spacing w:after="120"/>
              <w:contextualSpacing/>
              <w:jc w:val="both"/>
              <w:rPr>
                <w:rFonts w:cs="Times New Roman"/>
              </w:rPr>
            </w:pPr>
            <w:r w:rsidRPr="002E7B7B">
              <w:rPr>
                <w:rFonts w:cs="Times New Roman"/>
              </w:rPr>
              <w:t>(quality adjusted life year or quality adjusted life years).af.</w:t>
            </w:r>
          </w:p>
        </w:tc>
      </w:tr>
      <w:tr w:rsidR="0009633C" w:rsidRPr="002E7B7B" w14:paraId="608281DE" w14:textId="77777777" w:rsidTr="0009633C">
        <w:trPr>
          <w:trHeight w:val="300"/>
        </w:trPr>
        <w:tc>
          <w:tcPr>
            <w:tcW w:w="1129" w:type="dxa"/>
            <w:hideMark/>
          </w:tcPr>
          <w:p w14:paraId="351690A8" w14:textId="77777777" w:rsidR="0009633C" w:rsidRPr="002E7B7B" w:rsidRDefault="0009633C" w:rsidP="0009633C">
            <w:pPr>
              <w:spacing w:after="120"/>
              <w:contextualSpacing/>
              <w:jc w:val="both"/>
              <w:rPr>
                <w:rFonts w:cs="Times New Roman"/>
              </w:rPr>
            </w:pPr>
            <w:r w:rsidRPr="002E7B7B">
              <w:rPr>
                <w:rFonts w:cs="Times New Roman"/>
              </w:rPr>
              <w:t>31</w:t>
            </w:r>
          </w:p>
        </w:tc>
        <w:tc>
          <w:tcPr>
            <w:tcW w:w="7887" w:type="dxa"/>
            <w:hideMark/>
          </w:tcPr>
          <w:p w14:paraId="3DB8402B" w14:textId="77777777" w:rsidR="0009633C" w:rsidRPr="002E7B7B" w:rsidRDefault="0009633C" w:rsidP="0009633C">
            <w:pPr>
              <w:spacing w:after="120"/>
              <w:contextualSpacing/>
              <w:jc w:val="both"/>
              <w:rPr>
                <w:rFonts w:cs="Times New Roman"/>
              </w:rPr>
            </w:pPr>
            <w:r w:rsidRPr="002E7B7B">
              <w:rPr>
                <w:rFonts w:cs="Times New Roman"/>
              </w:rPr>
              <w:t>or/10-30</w:t>
            </w:r>
          </w:p>
        </w:tc>
      </w:tr>
      <w:tr w:rsidR="0009633C" w:rsidRPr="002E7B7B" w14:paraId="09C80AF4" w14:textId="77777777" w:rsidTr="0009633C">
        <w:trPr>
          <w:trHeight w:val="300"/>
        </w:trPr>
        <w:tc>
          <w:tcPr>
            <w:tcW w:w="1129" w:type="dxa"/>
            <w:hideMark/>
          </w:tcPr>
          <w:p w14:paraId="09BD1019" w14:textId="77777777" w:rsidR="0009633C" w:rsidRPr="002E7B7B" w:rsidRDefault="0009633C" w:rsidP="0009633C">
            <w:pPr>
              <w:spacing w:after="120"/>
              <w:contextualSpacing/>
              <w:jc w:val="both"/>
              <w:rPr>
                <w:rFonts w:cs="Times New Roman"/>
              </w:rPr>
            </w:pPr>
            <w:r w:rsidRPr="002E7B7B">
              <w:rPr>
                <w:rFonts w:cs="Times New Roman"/>
              </w:rPr>
              <w:t>32</w:t>
            </w:r>
          </w:p>
        </w:tc>
        <w:tc>
          <w:tcPr>
            <w:tcW w:w="7887" w:type="dxa"/>
            <w:hideMark/>
          </w:tcPr>
          <w:p w14:paraId="351F3885" w14:textId="77777777" w:rsidR="0009633C" w:rsidRPr="002E7B7B" w:rsidRDefault="0009633C" w:rsidP="0009633C">
            <w:pPr>
              <w:spacing w:after="120"/>
              <w:contextualSpacing/>
              <w:jc w:val="both"/>
              <w:rPr>
                <w:rFonts w:cs="Times New Roman"/>
              </w:rPr>
            </w:pPr>
            <w:r w:rsidRPr="002E7B7B">
              <w:rPr>
                <w:rFonts w:cs="Times New Roman"/>
              </w:rPr>
              <w:t>9 and 31</w:t>
            </w:r>
          </w:p>
        </w:tc>
      </w:tr>
      <w:tr w:rsidR="0009633C" w:rsidRPr="002E7B7B" w14:paraId="1BD07300" w14:textId="77777777" w:rsidTr="0009633C">
        <w:trPr>
          <w:trHeight w:val="300"/>
        </w:trPr>
        <w:tc>
          <w:tcPr>
            <w:tcW w:w="1129" w:type="dxa"/>
            <w:hideMark/>
          </w:tcPr>
          <w:p w14:paraId="5A58F4CD" w14:textId="77777777" w:rsidR="0009633C" w:rsidRPr="002E7B7B" w:rsidRDefault="0009633C" w:rsidP="0009633C">
            <w:pPr>
              <w:spacing w:after="120"/>
              <w:contextualSpacing/>
              <w:jc w:val="both"/>
              <w:rPr>
                <w:rFonts w:cs="Times New Roman"/>
              </w:rPr>
            </w:pPr>
            <w:r w:rsidRPr="002E7B7B">
              <w:rPr>
                <w:rFonts w:cs="Times New Roman"/>
              </w:rPr>
              <w:t>33</w:t>
            </w:r>
          </w:p>
        </w:tc>
        <w:tc>
          <w:tcPr>
            <w:tcW w:w="7887" w:type="dxa"/>
            <w:hideMark/>
          </w:tcPr>
          <w:p w14:paraId="21B44539" w14:textId="77777777" w:rsidR="0009633C" w:rsidRPr="002E7B7B" w:rsidRDefault="0009633C" w:rsidP="0009633C">
            <w:pPr>
              <w:spacing w:after="120"/>
              <w:contextualSpacing/>
              <w:jc w:val="both"/>
              <w:rPr>
                <w:rFonts w:cs="Times New Roman"/>
              </w:rPr>
            </w:pPr>
            <w:r w:rsidRPr="002E7B7B">
              <w:rPr>
                <w:rFonts w:cs="Times New Roman"/>
              </w:rPr>
              <w:t>limit 32 to yr="2004 -Current"</w:t>
            </w:r>
          </w:p>
        </w:tc>
      </w:tr>
    </w:tbl>
    <w:p w14:paraId="26D891EE" w14:textId="77777777" w:rsidR="0009633C" w:rsidRPr="002E7B7B" w:rsidRDefault="0009633C" w:rsidP="0009633C">
      <w:pPr>
        <w:spacing w:after="120" w:line="240" w:lineRule="auto"/>
        <w:contextualSpacing/>
        <w:jc w:val="both"/>
        <w:rPr>
          <w:rFonts w:cs="Times New Roman"/>
          <w:b/>
        </w:rPr>
      </w:pPr>
    </w:p>
    <w:p w14:paraId="5D632383" w14:textId="77777777" w:rsidR="0009633C" w:rsidRPr="002E7B7B" w:rsidRDefault="0009633C" w:rsidP="0009633C">
      <w:pPr>
        <w:spacing w:after="120" w:line="240" w:lineRule="auto"/>
        <w:contextualSpacing/>
        <w:jc w:val="both"/>
        <w:rPr>
          <w:rFonts w:cs="Times New Roman"/>
          <w:b/>
          <w:bCs/>
        </w:rPr>
      </w:pPr>
      <w:r w:rsidRPr="002E7B7B">
        <w:rPr>
          <w:rFonts w:cs="Times New Roman"/>
          <w:b/>
          <w:bCs/>
        </w:rPr>
        <w:t xml:space="preserve">Embase 1974 to 2017 June 6 </w:t>
      </w:r>
    </w:p>
    <w:p w14:paraId="3F564071" w14:textId="77777777" w:rsidR="0009633C" w:rsidRPr="002E7B7B" w:rsidRDefault="0009633C" w:rsidP="0009633C">
      <w:pPr>
        <w:spacing w:after="120" w:line="240" w:lineRule="auto"/>
        <w:contextualSpacing/>
        <w:jc w:val="both"/>
        <w:rPr>
          <w:rFonts w:cs="Times New Roman"/>
        </w:rPr>
      </w:pPr>
      <w:r w:rsidRPr="002E7B7B">
        <w:rPr>
          <w:rFonts w:cs="Times New Roman"/>
        </w:rPr>
        <w:t>7</w:t>
      </w:r>
      <w:r w:rsidRPr="002E7B7B">
        <w:rPr>
          <w:rFonts w:cs="Times New Roman"/>
          <w:vertAlign w:val="superscript"/>
        </w:rPr>
        <w:t>th</w:t>
      </w:r>
      <w:r w:rsidRPr="002E7B7B">
        <w:rPr>
          <w:rFonts w:cs="Times New Roman"/>
        </w:rPr>
        <w:t xml:space="preserve"> June 2017</w:t>
      </w:r>
    </w:p>
    <w:p w14:paraId="6AF2FF72" w14:textId="77777777" w:rsidR="0009633C" w:rsidRPr="002E7B7B" w:rsidRDefault="0009633C" w:rsidP="0009633C">
      <w:pPr>
        <w:spacing w:after="120" w:line="240" w:lineRule="auto"/>
        <w:contextualSpacing/>
        <w:jc w:val="both"/>
        <w:rPr>
          <w:rFonts w:cs="Times New Roman"/>
        </w:rPr>
      </w:pPr>
    </w:p>
    <w:tbl>
      <w:tblPr>
        <w:tblW w:w="0" w:type="auto"/>
        <w:tblLook w:val="04A0" w:firstRow="1" w:lastRow="0" w:firstColumn="1" w:lastColumn="0" w:noHBand="0" w:noVBand="1"/>
      </w:tblPr>
      <w:tblGrid>
        <w:gridCol w:w="1129"/>
        <w:gridCol w:w="7887"/>
      </w:tblGrid>
      <w:tr w:rsidR="0009633C" w:rsidRPr="002E7B7B" w14:paraId="303B0E82" w14:textId="77777777" w:rsidTr="0009633C">
        <w:trPr>
          <w:trHeight w:val="300"/>
        </w:trPr>
        <w:tc>
          <w:tcPr>
            <w:tcW w:w="1129" w:type="dxa"/>
            <w:hideMark/>
          </w:tcPr>
          <w:p w14:paraId="073EB4CC" w14:textId="77777777" w:rsidR="0009633C" w:rsidRPr="002E7B7B" w:rsidRDefault="0009633C" w:rsidP="0009633C">
            <w:pPr>
              <w:spacing w:after="120"/>
              <w:contextualSpacing/>
              <w:jc w:val="both"/>
              <w:rPr>
                <w:rFonts w:cs="Times New Roman"/>
                <w:b/>
                <w:bCs/>
              </w:rPr>
            </w:pPr>
            <w:r w:rsidRPr="002E7B7B">
              <w:rPr>
                <w:rFonts w:cs="Times New Roman"/>
                <w:b/>
                <w:bCs/>
              </w:rPr>
              <w:t>#</w:t>
            </w:r>
          </w:p>
        </w:tc>
        <w:tc>
          <w:tcPr>
            <w:tcW w:w="7887" w:type="dxa"/>
            <w:hideMark/>
          </w:tcPr>
          <w:p w14:paraId="0BAABDAB" w14:textId="77777777" w:rsidR="0009633C" w:rsidRPr="002E7B7B" w:rsidRDefault="0009633C" w:rsidP="0009633C">
            <w:pPr>
              <w:spacing w:after="120"/>
              <w:contextualSpacing/>
              <w:jc w:val="both"/>
              <w:rPr>
                <w:rFonts w:cs="Times New Roman"/>
                <w:b/>
                <w:bCs/>
              </w:rPr>
            </w:pPr>
            <w:r w:rsidRPr="002E7B7B">
              <w:rPr>
                <w:rFonts w:cs="Times New Roman"/>
                <w:b/>
                <w:bCs/>
              </w:rPr>
              <w:t>Searches</w:t>
            </w:r>
          </w:p>
        </w:tc>
      </w:tr>
      <w:tr w:rsidR="0009633C" w:rsidRPr="002E7B7B" w14:paraId="4F05930D" w14:textId="77777777" w:rsidTr="0009633C">
        <w:trPr>
          <w:trHeight w:val="300"/>
        </w:trPr>
        <w:tc>
          <w:tcPr>
            <w:tcW w:w="1129" w:type="dxa"/>
            <w:hideMark/>
          </w:tcPr>
          <w:p w14:paraId="64A84C58" w14:textId="77777777" w:rsidR="0009633C" w:rsidRPr="002E7B7B" w:rsidRDefault="0009633C" w:rsidP="0009633C">
            <w:pPr>
              <w:spacing w:after="120"/>
              <w:contextualSpacing/>
              <w:jc w:val="both"/>
              <w:rPr>
                <w:rFonts w:cs="Times New Roman"/>
              </w:rPr>
            </w:pPr>
            <w:r w:rsidRPr="002E7B7B">
              <w:rPr>
                <w:rFonts w:cs="Times New Roman"/>
              </w:rPr>
              <w:t>1</w:t>
            </w:r>
          </w:p>
        </w:tc>
        <w:tc>
          <w:tcPr>
            <w:tcW w:w="7887" w:type="dxa"/>
            <w:hideMark/>
          </w:tcPr>
          <w:p w14:paraId="2785B1DF" w14:textId="77777777" w:rsidR="0009633C" w:rsidRPr="002E7B7B" w:rsidRDefault="0009633C" w:rsidP="0009633C">
            <w:pPr>
              <w:spacing w:after="120"/>
              <w:contextualSpacing/>
              <w:jc w:val="both"/>
              <w:rPr>
                <w:rFonts w:cs="Times New Roman"/>
              </w:rPr>
            </w:pPr>
            <w:r w:rsidRPr="002E7B7B">
              <w:rPr>
                <w:rFonts w:cs="Times New Roman"/>
              </w:rPr>
              <w:t>exp Creutzfeldt Jakob disease/</w:t>
            </w:r>
          </w:p>
        </w:tc>
      </w:tr>
      <w:tr w:rsidR="0009633C" w:rsidRPr="002E7B7B" w14:paraId="5EAE681A" w14:textId="77777777" w:rsidTr="0009633C">
        <w:trPr>
          <w:trHeight w:val="300"/>
        </w:trPr>
        <w:tc>
          <w:tcPr>
            <w:tcW w:w="1129" w:type="dxa"/>
            <w:hideMark/>
          </w:tcPr>
          <w:p w14:paraId="23E727CD" w14:textId="77777777" w:rsidR="0009633C" w:rsidRPr="002E7B7B" w:rsidRDefault="0009633C" w:rsidP="0009633C">
            <w:pPr>
              <w:spacing w:after="120"/>
              <w:contextualSpacing/>
              <w:jc w:val="both"/>
              <w:rPr>
                <w:rFonts w:cs="Times New Roman"/>
              </w:rPr>
            </w:pPr>
            <w:r w:rsidRPr="002E7B7B">
              <w:rPr>
                <w:rFonts w:cs="Times New Roman"/>
              </w:rPr>
              <w:t>2</w:t>
            </w:r>
          </w:p>
        </w:tc>
        <w:tc>
          <w:tcPr>
            <w:tcW w:w="7887" w:type="dxa"/>
            <w:hideMark/>
          </w:tcPr>
          <w:p w14:paraId="75EEA149" w14:textId="77777777" w:rsidR="0009633C" w:rsidRPr="002E7B7B" w:rsidRDefault="0009633C" w:rsidP="0009633C">
            <w:pPr>
              <w:spacing w:after="120"/>
              <w:contextualSpacing/>
              <w:jc w:val="both"/>
              <w:rPr>
                <w:rFonts w:cs="Times New Roman"/>
              </w:rPr>
            </w:pPr>
            <w:r w:rsidRPr="002E7B7B">
              <w:rPr>
                <w:rFonts w:cs="Times New Roman"/>
              </w:rPr>
              <w:t>((creutzfeldt jakob or creutzfeldt-jakob) adj (disease or syndrome)).tw.</w:t>
            </w:r>
          </w:p>
        </w:tc>
      </w:tr>
      <w:tr w:rsidR="0009633C" w:rsidRPr="002E7B7B" w14:paraId="196D6902" w14:textId="77777777" w:rsidTr="0009633C">
        <w:trPr>
          <w:trHeight w:val="300"/>
        </w:trPr>
        <w:tc>
          <w:tcPr>
            <w:tcW w:w="1129" w:type="dxa"/>
            <w:hideMark/>
          </w:tcPr>
          <w:p w14:paraId="63DC8D94" w14:textId="77777777" w:rsidR="0009633C" w:rsidRPr="002E7B7B" w:rsidRDefault="0009633C" w:rsidP="0009633C">
            <w:pPr>
              <w:spacing w:after="120"/>
              <w:contextualSpacing/>
              <w:jc w:val="both"/>
              <w:rPr>
                <w:rFonts w:cs="Times New Roman"/>
              </w:rPr>
            </w:pPr>
            <w:r w:rsidRPr="002E7B7B">
              <w:rPr>
                <w:rFonts w:cs="Times New Roman"/>
              </w:rPr>
              <w:t>3</w:t>
            </w:r>
          </w:p>
        </w:tc>
        <w:tc>
          <w:tcPr>
            <w:tcW w:w="7887" w:type="dxa"/>
            <w:hideMark/>
          </w:tcPr>
          <w:p w14:paraId="1F304255" w14:textId="77777777" w:rsidR="0009633C" w:rsidRPr="002E7B7B" w:rsidRDefault="0009633C" w:rsidP="0009633C">
            <w:pPr>
              <w:spacing w:after="120"/>
              <w:contextualSpacing/>
              <w:jc w:val="both"/>
              <w:rPr>
                <w:rFonts w:cs="Times New Roman"/>
              </w:rPr>
            </w:pPr>
            <w:r w:rsidRPr="002E7B7B">
              <w:rPr>
                <w:rFonts w:cs="Times New Roman"/>
              </w:rPr>
              <w:t>(cjd or vcjd or v-cjd).tw.</w:t>
            </w:r>
          </w:p>
        </w:tc>
      </w:tr>
      <w:tr w:rsidR="0009633C" w:rsidRPr="002E7B7B" w14:paraId="020AC3BB" w14:textId="77777777" w:rsidTr="0009633C">
        <w:trPr>
          <w:trHeight w:val="300"/>
        </w:trPr>
        <w:tc>
          <w:tcPr>
            <w:tcW w:w="1129" w:type="dxa"/>
            <w:hideMark/>
          </w:tcPr>
          <w:p w14:paraId="15623910" w14:textId="77777777" w:rsidR="0009633C" w:rsidRPr="002E7B7B" w:rsidRDefault="0009633C" w:rsidP="0009633C">
            <w:pPr>
              <w:spacing w:after="120"/>
              <w:contextualSpacing/>
              <w:jc w:val="both"/>
              <w:rPr>
                <w:rFonts w:cs="Times New Roman"/>
              </w:rPr>
            </w:pPr>
            <w:r w:rsidRPr="002E7B7B">
              <w:rPr>
                <w:rFonts w:cs="Times New Roman"/>
              </w:rPr>
              <w:t>4</w:t>
            </w:r>
          </w:p>
        </w:tc>
        <w:tc>
          <w:tcPr>
            <w:tcW w:w="7887" w:type="dxa"/>
            <w:hideMark/>
          </w:tcPr>
          <w:p w14:paraId="7433CB4A" w14:textId="77777777" w:rsidR="0009633C" w:rsidRPr="002E7B7B" w:rsidRDefault="0009633C" w:rsidP="0009633C">
            <w:pPr>
              <w:spacing w:after="120"/>
              <w:contextualSpacing/>
              <w:jc w:val="both"/>
              <w:rPr>
                <w:rFonts w:cs="Times New Roman"/>
              </w:rPr>
            </w:pPr>
            <w:r w:rsidRPr="002E7B7B">
              <w:rPr>
                <w:rFonts w:cs="Times New Roman"/>
              </w:rPr>
              <w:t>exp prion disease/</w:t>
            </w:r>
          </w:p>
        </w:tc>
      </w:tr>
      <w:tr w:rsidR="0009633C" w:rsidRPr="002E7B7B" w14:paraId="084AC337" w14:textId="77777777" w:rsidTr="0009633C">
        <w:trPr>
          <w:trHeight w:val="300"/>
        </w:trPr>
        <w:tc>
          <w:tcPr>
            <w:tcW w:w="1129" w:type="dxa"/>
            <w:hideMark/>
          </w:tcPr>
          <w:p w14:paraId="72039B7F" w14:textId="77777777" w:rsidR="0009633C" w:rsidRPr="002E7B7B" w:rsidRDefault="0009633C" w:rsidP="0009633C">
            <w:pPr>
              <w:spacing w:after="120"/>
              <w:contextualSpacing/>
              <w:jc w:val="both"/>
              <w:rPr>
                <w:rFonts w:cs="Times New Roman"/>
              </w:rPr>
            </w:pPr>
            <w:r w:rsidRPr="002E7B7B">
              <w:rPr>
                <w:rFonts w:cs="Times New Roman"/>
              </w:rPr>
              <w:t>5</w:t>
            </w:r>
          </w:p>
        </w:tc>
        <w:tc>
          <w:tcPr>
            <w:tcW w:w="7887" w:type="dxa"/>
            <w:hideMark/>
          </w:tcPr>
          <w:p w14:paraId="0F714AAF" w14:textId="77777777" w:rsidR="0009633C" w:rsidRPr="002E7B7B" w:rsidRDefault="0009633C" w:rsidP="0009633C">
            <w:pPr>
              <w:spacing w:after="120"/>
              <w:contextualSpacing/>
              <w:jc w:val="both"/>
              <w:rPr>
                <w:rFonts w:cs="Times New Roman"/>
              </w:rPr>
            </w:pPr>
            <w:r w:rsidRPr="002E7B7B">
              <w:rPr>
                <w:rFonts w:cs="Times New Roman"/>
              </w:rPr>
              <w:t>exp prion/</w:t>
            </w:r>
          </w:p>
        </w:tc>
      </w:tr>
      <w:tr w:rsidR="0009633C" w:rsidRPr="002E7B7B" w14:paraId="2C02EED2" w14:textId="77777777" w:rsidTr="0009633C">
        <w:trPr>
          <w:trHeight w:val="300"/>
        </w:trPr>
        <w:tc>
          <w:tcPr>
            <w:tcW w:w="1129" w:type="dxa"/>
            <w:hideMark/>
          </w:tcPr>
          <w:p w14:paraId="372FCBD4" w14:textId="77777777" w:rsidR="0009633C" w:rsidRPr="002E7B7B" w:rsidRDefault="0009633C" w:rsidP="0009633C">
            <w:pPr>
              <w:spacing w:after="120"/>
              <w:contextualSpacing/>
              <w:jc w:val="both"/>
              <w:rPr>
                <w:rFonts w:cs="Times New Roman"/>
              </w:rPr>
            </w:pPr>
            <w:r w:rsidRPr="002E7B7B">
              <w:rPr>
                <w:rFonts w:cs="Times New Roman"/>
              </w:rPr>
              <w:t>6</w:t>
            </w:r>
          </w:p>
        </w:tc>
        <w:tc>
          <w:tcPr>
            <w:tcW w:w="7887" w:type="dxa"/>
            <w:hideMark/>
          </w:tcPr>
          <w:p w14:paraId="3FAB5C5B" w14:textId="77777777" w:rsidR="0009633C" w:rsidRPr="002E7B7B" w:rsidRDefault="0009633C" w:rsidP="0009633C">
            <w:pPr>
              <w:spacing w:after="120"/>
              <w:contextualSpacing/>
              <w:jc w:val="both"/>
              <w:rPr>
                <w:rFonts w:cs="Times New Roman"/>
              </w:rPr>
            </w:pPr>
            <w:r w:rsidRPr="002E7B7B">
              <w:rPr>
                <w:rFonts w:cs="Times New Roman"/>
              </w:rPr>
              <w:t>((transmissible or spong*) adj encephalopath*).tw.</w:t>
            </w:r>
          </w:p>
        </w:tc>
      </w:tr>
      <w:tr w:rsidR="0009633C" w:rsidRPr="002E7B7B" w14:paraId="3A4E381D" w14:textId="77777777" w:rsidTr="0009633C">
        <w:trPr>
          <w:trHeight w:val="300"/>
        </w:trPr>
        <w:tc>
          <w:tcPr>
            <w:tcW w:w="1129" w:type="dxa"/>
            <w:hideMark/>
          </w:tcPr>
          <w:p w14:paraId="0790A703" w14:textId="77777777" w:rsidR="0009633C" w:rsidRPr="002E7B7B" w:rsidRDefault="0009633C" w:rsidP="0009633C">
            <w:pPr>
              <w:spacing w:after="120"/>
              <w:contextualSpacing/>
              <w:jc w:val="both"/>
              <w:rPr>
                <w:rFonts w:cs="Times New Roman"/>
              </w:rPr>
            </w:pPr>
            <w:r w:rsidRPr="002E7B7B">
              <w:rPr>
                <w:rFonts w:cs="Times New Roman"/>
              </w:rPr>
              <w:t>7</w:t>
            </w:r>
          </w:p>
        </w:tc>
        <w:tc>
          <w:tcPr>
            <w:tcW w:w="7887" w:type="dxa"/>
            <w:hideMark/>
          </w:tcPr>
          <w:p w14:paraId="5363E4D2" w14:textId="77777777" w:rsidR="0009633C" w:rsidRPr="002E7B7B" w:rsidRDefault="0009633C" w:rsidP="0009633C">
            <w:pPr>
              <w:spacing w:after="120"/>
              <w:contextualSpacing/>
              <w:jc w:val="both"/>
              <w:rPr>
                <w:rFonts w:cs="Times New Roman"/>
              </w:rPr>
            </w:pPr>
            <w:r w:rsidRPr="002E7B7B">
              <w:rPr>
                <w:rFonts w:cs="Times New Roman"/>
              </w:rPr>
              <w:t>(prion* or tse).tw.</w:t>
            </w:r>
          </w:p>
        </w:tc>
      </w:tr>
      <w:tr w:rsidR="0009633C" w:rsidRPr="002E7B7B" w14:paraId="183BF2E9" w14:textId="77777777" w:rsidTr="0009633C">
        <w:trPr>
          <w:trHeight w:val="300"/>
        </w:trPr>
        <w:tc>
          <w:tcPr>
            <w:tcW w:w="1129" w:type="dxa"/>
            <w:hideMark/>
          </w:tcPr>
          <w:p w14:paraId="65CB729F" w14:textId="77777777" w:rsidR="0009633C" w:rsidRPr="002E7B7B" w:rsidRDefault="0009633C" w:rsidP="0009633C">
            <w:pPr>
              <w:spacing w:after="120"/>
              <w:contextualSpacing/>
              <w:jc w:val="both"/>
              <w:rPr>
                <w:rFonts w:cs="Times New Roman"/>
              </w:rPr>
            </w:pPr>
            <w:r w:rsidRPr="002E7B7B">
              <w:rPr>
                <w:rFonts w:cs="Times New Roman"/>
              </w:rPr>
              <w:t>8</w:t>
            </w:r>
          </w:p>
        </w:tc>
        <w:tc>
          <w:tcPr>
            <w:tcW w:w="7887" w:type="dxa"/>
            <w:hideMark/>
          </w:tcPr>
          <w:p w14:paraId="48F91F8B" w14:textId="77777777" w:rsidR="0009633C" w:rsidRPr="002E7B7B" w:rsidRDefault="0009633C" w:rsidP="0009633C">
            <w:pPr>
              <w:spacing w:after="120"/>
              <w:contextualSpacing/>
              <w:jc w:val="both"/>
              <w:rPr>
                <w:rFonts w:cs="Times New Roman"/>
              </w:rPr>
            </w:pPr>
            <w:r w:rsidRPr="002E7B7B">
              <w:rPr>
                <w:rFonts w:cs="Times New Roman"/>
              </w:rPr>
              <w:t>prp.tw.</w:t>
            </w:r>
          </w:p>
        </w:tc>
      </w:tr>
      <w:tr w:rsidR="0009633C" w:rsidRPr="002E7B7B" w14:paraId="5B08B689" w14:textId="77777777" w:rsidTr="0009633C">
        <w:trPr>
          <w:trHeight w:val="300"/>
        </w:trPr>
        <w:tc>
          <w:tcPr>
            <w:tcW w:w="1129" w:type="dxa"/>
            <w:hideMark/>
          </w:tcPr>
          <w:p w14:paraId="4EE29F33" w14:textId="77777777" w:rsidR="0009633C" w:rsidRPr="002E7B7B" w:rsidRDefault="0009633C" w:rsidP="0009633C">
            <w:pPr>
              <w:spacing w:after="120"/>
              <w:contextualSpacing/>
              <w:jc w:val="both"/>
              <w:rPr>
                <w:rFonts w:cs="Times New Roman"/>
              </w:rPr>
            </w:pPr>
            <w:r w:rsidRPr="002E7B7B">
              <w:rPr>
                <w:rFonts w:cs="Times New Roman"/>
              </w:rPr>
              <w:t>9</w:t>
            </w:r>
          </w:p>
        </w:tc>
        <w:tc>
          <w:tcPr>
            <w:tcW w:w="7887" w:type="dxa"/>
            <w:hideMark/>
          </w:tcPr>
          <w:p w14:paraId="67023719" w14:textId="77777777" w:rsidR="0009633C" w:rsidRPr="002E7B7B" w:rsidRDefault="0009633C" w:rsidP="0009633C">
            <w:pPr>
              <w:spacing w:after="120"/>
              <w:contextualSpacing/>
              <w:jc w:val="both"/>
              <w:rPr>
                <w:rFonts w:cs="Times New Roman"/>
              </w:rPr>
            </w:pPr>
            <w:r w:rsidRPr="002E7B7B">
              <w:rPr>
                <w:rFonts w:cs="Times New Roman"/>
              </w:rPr>
              <w:t>or/1-8</w:t>
            </w:r>
          </w:p>
        </w:tc>
      </w:tr>
      <w:tr w:rsidR="0009633C" w:rsidRPr="002E7B7B" w14:paraId="40253CF6" w14:textId="77777777" w:rsidTr="0009633C">
        <w:trPr>
          <w:trHeight w:val="300"/>
        </w:trPr>
        <w:tc>
          <w:tcPr>
            <w:tcW w:w="1129" w:type="dxa"/>
            <w:hideMark/>
          </w:tcPr>
          <w:p w14:paraId="784F9AA8" w14:textId="77777777" w:rsidR="0009633C" w:rsidRPr="002E7B7B" w:rsidRDefault="0009633C" w:rsidP="0009633C">
            <w:pPr>
              <w:spacing w:after="120"/>
              <w:contextualSpacing/>
              <w:jc w:val="both"/>
              <w:rPr>
                <w:rFonts w:cs="Times New Roman"/>
              </w:rPr>
            </w:pPr>
            <w:r w:rsidRPr="002E7B7B">
              <w:rPr>
                <w:rFonts w:cs="Times New Roman"/>
              </w:rPr>
              <w:t>10</w:t>
            </w:r>
          </w:p>
        </w:tc>
        <w:tc>
          <w:tcPr>
            <w:tcW w:w="7887" w:type="dxa"/>
            <w:hideMark/>
          </w:tcPr>
          <w:p w14:paraId="20ED06A9" w14:textId="77777777" w:rsidR="0009633C" w:rsidRPr="002E7B7B" w:rsidRDefault="0009633C" w:rsidP="0009633C">
            <w:pPr>
              <w:spacing w:after="120"/>
              <w:contextualSpacing/>
              <w:jc w:val="both"/>
              <w:rPr>
                <w:rFonts w:cs="Times New Roman"/>
              </w:rPr>
            </w:pPr>
            <w:r w:rsidRPr="002E7B7B">
              <w:rPr>
                <w:rFonts w:cs="Times New Roman"/>
              </w:rPr>
              <w:t>Socioeconomics/</w:t>
            </w:r>
          </w:p>
        </w:tc>
      </w:tr>
      <w:tr w:rsidR="0009633C" w:rsidRPr="002E7B7B" w14:paraId="143451EF" w14:textId="77777777" w:rsidTr="0009633C">
        <w:trPr>
          <w:trHeight w:val="300"/>
        </w:trPr>
        <w:tc>
          <w:tcPr>
            <w:tcW w:w="1129" w:type="dxa"/>
            <w:hideMark/>
          </w:tcPr>
          <w:p w14:paraId="6FA092B7" w14:textId="77777777" w:rsidR="0009633C" w:rsidRPr="002E7B7B" w:rsidRDefault="0009633C" w:rsidP="0009633C">
            <w:pPr>
              <w:spacing w:after="120"/>
              <w:contextualSpacing/>
              <w:jc w:val="both"/>
              <w:rPr>
                <w:rFonts w:cs="Times New Roman"/>
              </w:rPr>
            </w:pPr>
            <w:r w:rsidRPr="002E7B7B">
              <w:rPr>
                <w:rFonts w:cs="Times New Roman"/>
              </w:rPr>
              <w:t>11</w:t>
            </w:r>
          </w:p>
        </w:tc>
        <w:tc>
          <w:tcPr>
            <w:tcW w:w="7887" w:type="dxa"/>
            <w:hideMark/>
          </w:tcPr>
          <w:p w14:paraId="7E295F27" w14:textId="77777777" w:rsidR="0009633C" w:rsidRPr="002E7B7B" w:rsidRDefault="0009633C" w:rsidP="0009633C">
            <w:pPr>
              <w:spacing w:after="120"/>
              <w:contextualSpacing/>
              <w:jc w:val="both"/>
              <w:rPr>
                <w:rFonts w:cs="Times New Roman"/>
              </w:rPr>
            </w:pPr>
            <w:r w:rsidRPr="002E7B7B">
              <w:rPr>
                <w:rFonts w:cs="Times New Roman"/>
              </w:rPr>
              <w:t>Cost benefit analysis/</w:t>
            </w:r>
          </w:p>
        </w:tc>
      </w:tr>
      <w:tr w:rsidR="0009633C" w:rsidRPr="002E7B7B" w14:paraId="34992CCC" w14:textId="77777777" w:rsidTr="0009633C">
        <w:trPr>
          <w:trHeight w:val="300"/>
        </w:trPr>
        <w:tc>
          <w:tcPr>
            <w:tcW w:w="1129" w:type="dxa"/>
            <w:hideMark/>
          </w:tcPr>
          <w:p w14:paraId="3637ED8E" w14:textId="77777777" w:rsidR="0009633C" w:rsidRPr="002E7B7B" w:rsidRDefault="0009633C" w:rsidP="0009633C">
            <w:pPr>
              <w:spacing w:after="120"/>
              <w:contextualSpacing/>
              <w:jc w:val="both"/>
              <w:rPr>
                <w:rFonts w:cs="Times New Roman"/>
              </w:rPr>
            </w:pPr>
            <w:r w:rsidRPr="002E7B7B">
              <w:rPr>
                <w:rFonts w:cs="Times New Roman"/>
              </w:rPr>
              <w:t>12</w:t>
            </w:r>
          </w:p>
        </w:tc>
        <w:tc>
          <w:tcPr>
            <w:tcW w:w="7887" w:type="dxa"/>
            <w:hideMark/>
          </w:tcPr>
          <w:p w14:paraId="1AA12F1D" w14:textId="77777777" w:rsidR="0009633C" w:rsidRPr="002E7B7B" w:rsidRDefault="0009633C" w:rsidP="0009633C">
            <w:pPr>
              <w:spacing w:after="120"/>
              <w:contextualSpacing/>
              <w:jc w:val="both"/>
              <w:rPr>
                <w:rFonts w:cs="Times New Roman"/>
              </w:rPr>
            </w:pPr>
            <w:r w:rsidRPr="002E7B7B">
              <w:rPr>
                <w:rFonts w:cs="Times New Roman"/>
              </w:rPr>
              <w:t>Cost effectiveness analysis/</w:t>
            </w:r>
          </w:p>
        </w:tc>
      </w:tr>
      <w:tr w:rsidR="0009633C" w:rsidRPr="002E7B7B" w14:paraId="0FB7D40C" w14:textId="77777777" w:rsidTr="0009633C">
        <w:trPr>
          <w:trHeight w:val="300"/>
        </w:trPr>
        <w:tc>
          <w:tcPr>
            <w:tcW w:w="1129" w:type="dxa"/>
            <w:hideMark/>
          </w:tcPr>
          <w:p w14:paraId="73586FF7" w14:textId="77777777" w:rsidR="0009633C" w:rsidRPr="002E7B7B" w:rsidRDefault="0009633C" w:rsidP="0009633C">
            <w:pPr>
              <w:spacing w:after="120"/>
              <w:contextualSpacing/>
              <w:jc w:val="both"/>
              <w:rPr>
                <w:rFonts w:cs="Times New Roman"/>
              </w:rPr>
            </w:pPr>
            <w:r w:rsidRPr="002E7B7B">
              <w:rPr>
                <w:rFonts w:cs="Times New Roman"/>
              </w:rPr>
              <w:t>13</w:t>
            </w:r>
          </w:p>
        </w:tc>
        <w:tc>
          <w:tcPr>
            <w:tcW w:w="7887" w:type="dxa"/>
            <w:hideMark/>
          </w:tcPr>
          <w:p w14:paraId="22CC391D" w14:textId="77777777" w:rsidR="0009633C" w:rsidRPr="002E7B7B" w:rsidRDefault="0009633C" w:rsidP="0009633C">
            <w:pPr>
              <w:spacing w:after="120"/>
              <w:contextualSpacing/>
              <w:jc w:val="both"/>
              <w:rPr>
                <w:rFonts w:cs="Times New Roman"/>
              </w:rPr>
            </w:pPr>
            <w:r w:rsidRPr="002E7B7B">
              <w:rPr>
                <w:rFonts w:cs="Times New Roman"/>
              </w:rPr>
              <w:t>Cost of illness/</w:t>
            </w:r>
          </w:p>
        </w:tc>
      </w:tr>
      <w:tr w:rsidR="0009633C" w:rsidRPr="002E7B7B" w14:paraId="32BEEC2A" w14:textId="77777777" w:rsidTr="0009633C">
        <w:trPr>
          <w:trHeight w:val="300"/>
        </w:trPr>
        <w:tc>
          <w:tcPr>
            <w:tcW w:w="1129" w:type="dxa"/>
            <w:hideMark/>
          </w:tcPr>
          <w:p w14:paraId="1A4E80EA" w14:textId="77777777" w:rsidR="0009633C" w:rsidRPr="002E7B7B" w:rsidRDefault="0009633C" w:rsidP="0009633C">
            <w:pPr>
              <w:spacing w:after="120"/>
              <w:contextualSpacing/>
              <w:jc w:val="both"/>
              <w:rPr>
                <w:rFonts w:cs="Times New Roman"/>
              </w:rPr>
            </w:pPr>
            <w:r w:rsidRPr="002E7B7B">
              <w:rPr>
                <w:rFonts w:cs="Times New Roman"/>
              </w:rPr>
              <w:t>14</w:t>
            </w:r>
          </w:p>
        </w:tc>
        <w:tc>
          <w:tcPr>
            <w:tcW w:w="7887" w:type="dxa"/>
            <w:hideMark/>
          </w:tcPr>
          <w:p w14:paraId="50B45F75" w14:textId="77777777" w:rsidR="0009633C" w:rsidRPr="002E7B7B" w:rsidRDefault="0009633C" w:rsidP="0009633C">
            <w:pPr>
              <w:spacing w:after="120"/>
              <w:contextualSpacing/>
              <w:jc w:val="both"/>
              <w:rPr>
                <w:rFonts w:cs="Times New Roman"/>
              </w:rPr>
            </w:pPr>
            <w:r w:rsidRPr="002E7B7B">
              <w:rPr>
                <w:rFonts w:cs="Times New Roman"/>
              </w:rPr>
              <w:t>Cost control/</w:t>
            </w:r>
          </w:p>
        </w:tc>
      </w:tr>
      <w:tr w:rsidR="0009633C" w:rsidRPr="002E7B7B" w14:paraId="4ABCF8C5" w14:textId="77777777" w:rsidTr="0009633C">
        <w:trPr>
          <w:trHeight w:val="300"/>
        </w:trPr>
        <w:tc>
          <w:tcPr>
            <w:tcW w:w="1129" w:type="dxa"/>
            <w:hideMark/>
          </w:tcPr>
          <w:p w14:paraId="6176C6DF" w14:textId="77777777" w:rsidR="0009633C" w:rsidRPr="002E7B7B" w:rsidRDefault="0009633C" w:rsidP="0009633C">
            <w:pPr>
              <w:spacing w:after="120"/>
              <w:contextualSpacing/>
              <w:jc w:val="both"/>
              <w:rPr>
                <w:rFonts w:cs="Times New Roman"/>
              </w:rPr>
            </w:pPr>
            <w:r w:rsidRPr="002E7B7B">
              <w:rPr>
                <w:rFonts w:cs="Times New Roman"/>
              </w:rPr>
              <w:t>15</w:t>
            </w:r>
          </w:p>
        </w:tc>
        <w:tc>
          <w:tcPr>
            <w:tcW w:w="7887" w:type="dxa"/>
            <w:hideMark/>
          </w:tcPr>
          <w:p w14:paraId="24B83B05" w14:textId="77777777" w:rsidR="0009633C" w:rsidRPr="002E7B7B" w:rsidRDefault="0009633C" w:rsidP="0009633C">
            <w:pPr>
              <w:spacing w:after="120"/>
              <w:contextualSpacing/>
              <w:jc w:val="both"/>
              <w:rPr>
                <w:rFonts w:cs="Times New Roman"/>
              </w:rPr>
            </w:pPr>
            <w:r w:rsidRPr="002E7B7B">
              <w:rPr>
                <w:rFonts w:cs="Times New Roman"/>
              </w:rPr>
              <w:t>Economic aspect/</w:t>
            </w:r>
          </w:p>
        </w:tc>
      </w:tr>
      <w:tr w:rsidR="0009633C" w:rsidRPr="002E7B7B" w14:paraId="41E73BE5" w14:textId="77777777" w:rsidTr="0009633C">
        <w:trPr>
          <w:trHeight w:val="300"/>
        </w:trPr>
        <w:tc>
          <w:tcPr>
            <w:tcW w:w="1129" w:type="dxa"/>
            <w:hideMark/>
          </w:tcPr>
          <w:p w14:paraId="4EA0821F" w14:textId="77777777" w:rsidR="0009633C" w:rsidRPr="002E7B7B" w:rsidRDefault="0009633C" w:rsidP="0009633C">
            <w:pPr>
              <w:spacing w:after="120"/>
              <w:contextualSpacing/>
              <w:jc w:val="both"/>
              <w:rPr>
                <w:rFonts w:cs="Times New Roman"/>
              </w:rPr>
            </w:pPr>
            <w:r w:rsidRPr="002E7B7B">
              <w:rPr>
                <w:rFonts w:cs="Times New Roman"/>
              </w:rPr>
              <w:t>16</w:t>
            </w:r>
          </w:p>
        </w:tc>
        <w:tc>
          <w:tcPr>
            <w:tcW w:w="7887" w:type="dxa"/>
            <w:hideMark/>
          </w:tcPr>
          <w:p w14:paraId="7EACAFF5" w14:textId="77777777" w:rsidR="0009633C" w:rsidRPr="002E7B7B" w:rsidRDefault="0009633C" w:rsidP="0009633C">
            <w:pPr>
              <w:spacing w:after="120"/>
              <w:contextualSpacing/>
              <w:jc w:val="both"/>
              <w:rPr>
                <w:rFonts w:cs="Times New Roman"/>
              </w:rPr>
            </w:pPr>
            <w:r w:rsidRPr="002E7B7B">
              <w:rPr>
                <w:rFonts w:cs="Times New Roman"/>
              </w:rPr>
              <w:t>Financial management/</w:t>
            </w:r>
          </w:p>
        </w:tc>
      </w:tr>
      <w:tr w:rsidR="0009633C" w:rsidRPr="002E7B7B" w14:paraId="016A3FE9" w14:textId="77777777" w:rsidTr="0009633C">
        <w:trPr>
          <w:trHeight w:val="300"/>
        </w:trPr>
        <w:tc>
          <w:tcPr>
            <w:tcW w:w="1129" w:type="dxa"/>
            <w:hideMark/>
          </w:tcPr>
          <w:p w14:paraId="5EF19DA0" w14:textId="77777777" w:rsidR="0009633C" w:rsidRPr="002E7B7B" w:rsidRDefault="0009633C" w:rsidP="0009633C">
            <w:pPr>
              <w:spacing w:after="120"/>
              <w:contextualSpacing/>
              <w:jc w:val="both"/>
              <w:rPr>
                <w:rFonts w:cs="Times New Roman"/>
              </w:rPr>
            </w:pPr>
            <w:r w:rsidRPr="002E7B7B">
              <w:rPr>
                <w:rFonts w:cs="Times New Roman"/>
              </w:rPr>
              <w:t>17</w:t>
            </w:r>
          </w:p>
        </w:tc>
        <w:tc>
          <w:tcPr>
            <w:tcW w:w="7887" w:type="dxa"/>
            <w:hideMark/>
          </w:tcPr>
          <w:p w14:paraId="7638F05E" w14:textId="77777777" w:rsidR="0009633C" w:rsidRPr="002E7B7B" w:rsidRDefault="0009633C" w:rsidP="0009633C">
            <w:pPr>
              <w:spacing w:after="120"/>
              <w:contextualSpacing/>
              <w:jc w:val="both"/>
              <w:rPr>
                <w:rFonts w:cs="Times New Roman"/>
              </w:rPr>
            </w:pPr>
            <w:r w:rsidRPr="002E7B7B">
              <w:rPr>
                <w:rFonts w:cs="Times New Roman"/>
              </w:rPr>
              <w:t>Health care cost/</w:t>
            </w:r>
          </w:p>
        </w:tc>
      </w:tr>
      <w:tr w:rsidR="0009633C" w:rsidRPr="002E7B7B" w14:paraId="6B086F46" w14:textId="77777777" w:rsidTr="0009633C">
        <w:trPr>
          <w:trHeight w:val="300"/>
        </w:trPr>
        <w:tc>
          <w:tcPr>
            <w:tcW w:w="1129" w:type="dxa"/>
            <w:hideMark/>
          </w:tcPr>
          <w:p w14:paraId="64228790" w14:textId="77777777" w:rsidR="0009633C" w:rsidRPr="002E7B7B" w:rsidRDefault="0009633C" w:rsidP="0009633C">
            <w:pPr>
              <w:spacing w:after="120"/>
              <w:contextualSpacing/>
              <w:jc w:val="both"/>
              <w:rPr>
                <w:rFonts w:cs="Times New Roman"/>
              </w:rPr>
            </w:pPr>
            <w:r w:rsidRPr="002E7B7B">
              <w:rPr>
                <w:rFonts w:cs="Times New Roman"/>
              </w:rPr>
              <w:t>18</w:t>
            </w:r>
          </w:p>
        </w:tc>
        <w:tc>
          <w:tcPr>
            <w:tcW w:w="7887" w:type="dxa"/>
            <w:hideMark/>
          </w:tcPr>
          <w:p w14:paraId="1BB788D1" w14:textId="77777777" w:rsidR="0009633C" w:rsidRPr="002E7B7B" w:rsidRDefault="0009633C" w:rsidP="0009633C">
            <w:pPr>
              <w:spacing w:after="120"/>
              <w:contextualSpacing/>
              <w:jc w:val="both"/>
              <w:rPr>
                <w:rFonts w:cs="Times New Roman"/>
              </w:rPr>
            </w:pPr>
            <w:r w:rsidRPr="002E7B7B">
              <w:rPr>
                <w:rFonts w:cs="Times New Roman"/>
              </w:rPr>
              <w:t>Health care financing/</w:t>
            </w:r>
          </w:p>
        </w:tc>
      </w:tr>
      <w:tr w:rsidR="0009633C" w:rsidRPr="002E7B7B" w14:paraId="552B8B8D" w14:textId="77777777" w:rsidTr="0009633C">
        <w:trPr>
          <w:trHeight w:val="300"/>
        </w:trPr>
        <w:tc>
          <w:tcPr>
            <w:tcW w:w="1129" w:type="dxa"/>
            <w:hideMark/>
          </w:tcPr>
          <w:p w14:paraId="3DA1B6DB" w14:textId="77777777" w:rsidR="0009633C" w:rsidRPr="002E7B7B" w:rsidRDefault="0009633C" w:rsidP="0009633C">
            <w:pPr>
              <w:spacing w:after="120"/>
              <w:contextualSpacing/>
              <w:jc w:val="both"/>
              <w:rPr>
                <w:rFonts w:cs="Times New Roman"/>
              </w:rPr>
            </w:pPr>
            <w:r w:rsidRPr="002E7B7B">
              <w:rPr>
                <w:rFonts w:cs="Times New Roman"/>
              </w:rPr>
              <w:t>19</w:t>
            </w:r>
          </w:p>
        </w:tc>
        <w:tc>
          <w:tcPr>
            <w:tcW w:w="7887" w:type="dxa"/>
            <w:hideMark/>
          </w:tcPr>
          <w:p w14:paraId="7FF0D515" w14:textId="77777777" w:rsidR="0009633C" w:rsidRPr="002E7B7B" w:rsidRDefault="0009633C" w:rsidP="0009633C">
            <w:pPr>
              <w:spacing w:after="120"/>
              <w:contextualSpacing/>
              <w:jc w:val="both"/>
              <w:rPr>
                <w:rFonts w:cs="Times New Roman"/>
              </w:rPr>
            </w:pPr>
            <w:r w:rsidRPr="002E7B7B">
              <w:rPr>
                <w:rFonts w:cs="Times New Roman"/>
              </w:rPr>
              <w:t>Health economics/</w:t>
            </w:r>
          </w:p>
        </w:tc>
      </w:tr>
      <w:tr w:rsidR="0009633C" w:rsidRPr="002E7B7B" w14:paraId="4B40D651" w14:textId="77777777" w:rsidTr="0009633C">
        <w:trPr>
          <w:trHeight w:val="300"/>
        </w:trPr>
        <w:tc>
          <w:tcPr>
            <w:tcW w:w="1129" w:type="dxa"/>
            <w:hideMark/>
          </w:tcPr>
          <w:p w14:paraId="0295830F" w14:textId="77777777" w:rsidR="0009633C" w:rsidRPr="002E7B7B" w:rsidRDefault="0009633C" w:rsidP="0009633C">
            <w:pPr>
              <w:spacing w:after="120"/>
              <w:contextualSpacing/>
              <w:jc w:val="both"/>
              <w:rPr>
                <w:rFonts w:cs="Times New Roman"/>
              </w:rPr>
            </w:pPr>
            <w:r w:rsidRPr="002E7B7B">
              <w:rPr>
                <w:rFonts w:cs="Times New Roman"/>
              </w:rPr>
              <w:t>20</w:t>
            </w:r>
          </w:p>
        </w:tc>
        <w:tc>
          <w:tcPr>
            <w:tcW w:w="7887" w:type="dxa"/>
            <w:hideMark/>
          </w:tcPr>
          <w:p w14:paraId="3CD179F7" w14:textId="77777777" w:rsidR="0009633C" w:rsidRPr="002E7B7B" w:rsidRDefault="0009633C" w:rsidP="0009633C">
            <w:pPr>
              <w:spacing w:after="120"/>
              <w:contextualSpacing/>
              <w:jc w:val="both"/>
              <w:rPr>
                <w:rFonts w:cs="Times New Roman"/>
              </w:rPr>
            </w:pPr>
            <w:r w:rsidRPr="002E7B7B">
              <w:rPr>
                <w:rFonts w:cs="Times New Roman"/>
              </w:rPr>
              <w:t>Hospital cost/</w:t>
            </w:r>
          </w:p>
        </w:tc>
      </w:tr>
      <w:tr w:rsidR="0009633C" w:rsidRPr="002E7B7B" w14:paraId="3CA20F06" w14:textId="77777777" w:rsidTr="0009633C">
        <w:trPr>
          <w:trHeight w:val="300"/>
        </w:trPr>
        <w:tc>
          <w:tcPr>
            <w:tcW w:w="1129" w:type="dxa"/>
            <w:hideMark/>
          </w:tcPr>
          <w:p w14:paraId="116ACD40" w14:textId="77777777" w:rsidR="0009633C" w:rsidRPr="002E7B7B" w:rsidRDefault="0009633C" w:rsidP="0009633C">
            <w:pPr>
              <w:spacing w:after="120"/>
              <w:contextualSpacing/>
              <w:jc w:val="both"/>
              <w:rPr>
                <w:rFonts w:cs="Times New Roman"/>
              </w:rPr>
            </w:pPr>
            <w:r w:rsidRPr="002E7B7B">
              <w:rPr>
                <w:rFonts w:cs="Times New Roman"/>
              </w:rPr>
              <w:t>21</w:t>
            </w:r>
          </w:p>
        </w:tc>
        <w:tc>
          <w:tcPr>
            <w:tcW w:w="7887" w:type="dxa"/>
            <w:hideMark/>
          </w:tcPr>
          <w:p w14:paraId="4950D256" w14:textId="77777777" w:rsidR="0009633C" w:rsidRPr="002E7B7B" w:rsidRDefault="0009633C" w:rsidP="0009633C">
            <w:pPr>
              <w:spacing w:after="120"/>
              <w:contextualSpacing/>
              <w:jc w:val="both"/>
              <w:rPr>
                <w:rFonts w:cs="Times New Roman"/>
              </w:rPr>
            </w:pPr>
            <w:r w:rsidRPr="002E7B7B">
              <w:rPr>
                <w:rFonts w:cs="Times New Roman"/>
              </w:rPr>
              <w:t>(fiscal or financial or finance or funding).tw.</w:t>
            </w:r>
          </w:p>
        </w:tc>
      </w:tr>
      <w:tr w:rsidR="0009633C" w:rsidRPr="002E7B7B" w14:paraId="4AC7FC81" w14:textId="77777777" w:rsidTr="0009633C">
        <w:trPr>
          <w:trHeight w:val="300"/>
        </w:trPr>
        <w:tc>
          <w:tcPr>
            <w:tcW w:w="1129" w:type="dxa"/>
            <w:hideMark/>
          </w:tcPr>
          <w:p w14:paraId="30273498" w14:textId="77777777" w:rsidR="0009633C" w:rsidRPr="002E7B7B" w:rsidRDefault="0009633C" w:rsidP="0009633C">
            <w:pPr>
              <w:spacing w:after="120"/>
              <w:contextualSpacing/>
              <w:jc w:val="both"/>
              <w:rPr>
                <w:rFonts w:cs="Times New Roman"/>
              </w:rPr>
            </w:pPr>
            <w:r w:rsidRPr="002E7B7B">
              <w:rPr>
                <w:rFonts w:cs="Times New Roman"/>
              </w:rPr>
              <w:t>22</w:t>
            </w:r>
          </w:p>
        </w:tc>
        <w:tc>
          <w:tcPr>
            <w:tcW w:w="7887" w:type="dxa"/>
            <w:hideMark/>
          </w:tcPr>
          <w:p w14:paraId="6B1975C5" w14:textId="77777777" w:rsidR="0009633C" w:rsidRPr="002E7B7B" w:rsidRDefault="0009633C" w:rsidP="0009633C">
            <w:pPr>
              <w:spacing w:after="120"/>
              <w:contextualSpacing/>
              <w:jc w:val="both"/>
              <w:rPr>
                <w:rFonts w:cs="Times New Roman"/>
              </w:rPr>
            </w:pPr>
            <w:r w:rsidRPr="002E7B7B">
              <w:rPr>
                <w:rFonts w:cs="Times New Roman"/>
              </w:rPr>
              <w:t>Cost minimization analysis/</w:t>
            </w:r>
          </w:p>
        </w:tc>
      </w:tr>
      <w:tr w:rsidR="0009633C" w:rsidRPr="002E7B7B" w14:paraId="7A742D99" w14:textId="77777777" w:rsidTr="0009633C">
        <w:trPr>
          <w:trHeight w:val="300"/>
        </w:trPr>
        <w:tc>
          <w:tcPr>
            <w:tcW w:w="1129" w:type="dxa"/>
            <w:hideMark/>
          </w:tcPr>
          <w:p w14:paraId="752EB71A" w14:textId="77777777" w:rsidR="0009633C" w:rsidRPr="002E7B7B" w:rsidRDefault="0009633C" w:rsidP="0009633C">
            <w:pPr>
              <w:spacing w:after="120"/>
              <w:contextualSpacing/>
              <w:jc w:val="both"/>
              <w:rPr>
                <w:rFonts w:cs="Times New Roman"/>
              </w:rPr>
            </w:pPr>
            <w:r w:rsidRPr="002E7B7B">
              <w:rPr>
                <w:rFonts w:cs="Times New Roman"/>
              </w:rPr>
              <w:t>23</w:t>
            </w:r>
          </w:p>
        </w:tc>
        <w:tc>
          <w:tcPr>
            <w:tcW w:w="7887" w:type="dxa"/>
            <w:hideMark/>
          </w:tcPr>
          <w:p w14:paraId="1C336346" w14:textId="77777777" w:rsidR="0009633C" w:rsidRPr="002E7B7B" w:rsidRDefault="0009633C" w:rsidP="0009633C">
            <w:pPr>
              <w:spacing w:after="120"/>
              <w:contextualSpacing/>
              <w:jc w:val="both"/>
              <w:rPr>
                <w:rFonts w:cs="Times New Roman"/>
              </w:rPr>
            </w:pPr>
            <w:r w:rsidRPr="002E7B7B">
              <w:rPr>
                <w:rFonts w:cs="Times New Roman"/>
              </w:rPr>
              <w:t>(cost adj estimate$).mp.</w:t>
            </w:r>
          </w:p>
        </w:tc>
      </w:tr>
      <w:tr w:rsidR="0009633C" w:rsidRPr="002E7B7B" w14:paraId="3884D249" w14:textId="77777777" w:rsidTr="0009633C">
        <w:trPr>
          <w:trHeight w:val="300"/>
        </w:trPr>
        <w:tc>
          <w:tcPr>
            <w:tcW w:w="1129" w:type="dxa"/>
            <w:hideMark/>
          </w:tcPr>
          <w:p w14:paraId="56063720" w14:textId="77777777" w:rsidR="0009633C" w:rsidRPr="002E7B7B" w:rsidRDefault="0009633C" w:rsidP="0009633C">
            <w:pPr>
              <w:spacing w:after="120"/>
              <w:contextualSpacing/>
              <w:jc w:val="both"/>
              <w:rPr>
                <w:rFonts w:cs="Times New Roman"/>
              </w:rPr>
            </w:pPr>
            <w:r w:rsidRPr="002E7B7B">
              <w:rPr>
                <w:rFonts w:cs="Times New Roman"/>
              </w:rPr>
              <w:t>24</w:t>
            </w:r>
          </w:p>
        </w:tc>
        <w:tc>
          <w:tcPr>
            <w:tcW w:w="7887" w:type="dxa"/>
            <w:hideMark/>
          </w:tcPr>
          <w:p w14:paraId="477D99DF" w14:textId="77777777" w:rsidR="0009633C" w:rsidRPr="002E7B7B" w:rsidRDefault="0009633C" w:rsidP="0009633C">
            <w:pPr>
              <w:spacing w:after="120"/>
              <w:contextualSpacing/>
              <w:jc w:val="both"/>
              <w:rPr>
                <w:rFonts w:cs="Times New Roman"/>
              </w:rPr>
            </w:pPr>
            <w:r w:rsidRPr="002E7B7B">
              <w:rPr>
                <w:rFonts w:cs="Times New Roman"/>
              </w:rPr>
              <w:t>(cost adj variable$).mp.</w:t>
            </w:r>
          </w:p>
        </w:tc>
      </w:tr>
      <w:tr w:rsidR="0009633C" w:rsidRPr="002E7B7B" w14:paraId="348A2861" w14:textId="77777777" w:rsidTr="0009633C">
        <w:trPr>
          <w:trHeight w:val="300"/>
        </w:trPr>
        <w:tc>
          <w:tcPr>
            <w:tcW w:w="1129" w:type="dxa"/>
            <w:hideMark/>
          </w:tcPr>
          <w:p w14:paraId="5A83FEEE" w14:textId="77777777" w:rsidR="0009633C" w:rsidRPr="002E7B7B" w:rsidRDefault="0009633C" w:rsidP="0009633C">
            <w:pPr>
              <w:spacing w:after="120"/>
              <w:contextualSpacing/>
              <w:jc w:val="both"/>
              <w:rPr>
                <w:rFonts w:cs="Times New Roman"/>
              </w:rPr>
            </w:pPr>
            <w:r w:rsidRPr="002E7B7B">
              <w:rPr>
                <w:rFonts w:cs="Times New Roman"/>
              </w:rPr>
              <w:t>25</w:t>
            </w:r>
          </w:p>
        </w:tc>
        <w:tc>
          <w:tcPr>
            <w:tcW w:w="7887" w:type="dxa"/>
            <w:hideMark/>
          </w:tcPr>
          <w:p w14:paraId="14D7C415" w14:textId="77777777" w:rsidR="0009633C" w:rsidRPr="002E7B7B" w:rsidRDefault="0009633C" w:rsidP="0009633C">
            <w:pPr>
              <w:spacing w:after="120"/>
              <w:contextualSpacing/>
              <w:jc w:val="both"/>
              <w:rPr>
                <w:rFonts w:cs="Times New Roman"/>
              </w:rPr>
            </w:pPr>
            <w:r w:rsidRPr="002E7B7B">
              <w:rPr>
                <w:rFonts w:cs="Times New Roman"/>
              </w:rPr>
              <w:t>(unit adj cost$).mp.</w:t>
            </w:r>
          </w:p>
        </w:tc>
      </w:tr>
      <w:tr w:rsidR="0009633C" w:rsidRPr="002E7B7B" w14:paraId="78DF9EEE" w14:textId="77777777" w:rsidTr="0009633C">
        <w:trPr>
          <w:trHeight w:val="300"/>
        </w:trPr>
        <w:tc>
          <w:tcPr>
            <w:tcW w:w="1129" w:type="dxa"/>
            <w:hideMark/>
          </w:tcPr>
          <w:p w14:paraId="333BE768" w14:textId="77777777" w:rsidR="0009633C" w:rsidRPr="002E7B7B" w:rsidRDefault="0009633C" w:rsidP="0009633C">
            <w:pPr>
              <w:spacing w:after="120"/>
              <w:contextualSpacing/>
              <w:jc w:val="both"/>
              <w:rPr>
                <w:rFonts w:cs="Times New Roman"/>
              </w:rPr>
            </w:pPr>
            <w:r w:rsidRPr="002E7B7B">
              <w:rPr>
                <w:rFonts w:cs="Times New Roman"/>
              </w:rPr>
              <w:t>26</w:t>
            </w:r>
          </w:p>
        </w:tc>
        <w:tc>
          <w:tcPr>
            <w:tcW w:w="7887" w:type="dxa"/>
            <w:hideMark/>
          </w:tcPr>
          <w:p w14:paraId="1C295647" w14:textId="77777777" w:rsidR="0009633C" w:rsidRPr="002E7B7B" w:rsidRDefault="0009633C" w:rsidP="0009633C">
            <w:pPr>
              <w:spacing w:after="120"/>
              <w:contextualSpacing/>
              <w:jc w:val="both"/>
              <w:rPr>
                <w:rFonts w:cs="Times New Roman"/>
              </w:rPr>
            </w:pPr>
            <w:r w:rsidRPr="002E7B7B">
              <w:rPr>
                <w:rFonts w:cs="Times New Roman"/>
              </w:rPr>
              <w:t>or/10-25</w:t>
            </w:r>
          </w:p>
        </w:tc>
      </w:tr>
      <w:tr w:rsidR="0009633C" w:rsidRPr="002E7B7B" w14:paraId="4C7F57FA" w14:textId="77777777" w:rsidTr="0009633C">
        <w:trPr>
          <w:trHeight w:val="300"/>
        </w:trPr>
        <w:tc>
          <w:tcPr>
            <w:tcW w:w="1129" w:type="dxa"/>
            <w:hideMark/>
          </w:tcPr>
          <w:p w14:paraId="35E1190E" w14:textId="77777777" w:rsidR="0009633C" w:rsidRPr="002E7B7B" w:rsidRDefault="0009633C" w:rsidP="0009633C">
            <w:pPr>
              <w:spacing w:after="120"/>
              <w:contextualSpacing/>
              <w:jc w:val="both"/>
              <w:rPr>
                <w:rFonts w:cs="Times New Roman"/>
              </w:rPr>
            </w:pPr>
            <w:r w:rsidRPr="002E7B7B">
              <w:rPr>
                <w:rFonts w:cs="Times New Roman"/>
              </w:rPr>
              <w:t>27</w:t>
            </w:r>
          </w:p>
        </w:tc>
        <w:tc>
          <w:tcPr>
            <w:tcW w:w="7887" w:type="dxa"/>
            <w:hideMark/>
          </w:tcPr>
          <w:p w14:paraId="178B0D06" w14:textId="77777777" w:rsidR="0009633C" w:rsidRPr="002E7B7B" w:rsidRDefault="0009633C" w:rsidP="0009633C">
            <w:pPr>
              <w:spacing w:after="120"/>
              <w:contextualSpacing/>
              <w:jc w:val="both"/>
              <w:rPr>
                <w:rFonts w:cs="Times New Roman"/>
              </w:rPr>
            </w:pPr>
            <w:r w:rsidRPr="002E7B7B">
              <w:rPr>
                <w:rFonts w:cs="Times New Roman"/>
              </w:rPr>
              <w:t>9 and 26</w:t>
            </w:r>
          </w:p>
        </w:tc>
      </w:tr>
      <w:tr w:rsidR="0009633C" w:rsidRPr="002E7B7B" w14:paraId="37DF5747" w14:textId="77777777" w:rsidTr="0009633C">
        <w:trPr>
          <w:trHeight w:val="300"/>
        </w:trPr>
        <w:tc>
          <w:tcPr>
            <w:tcW w:w="1129" w:type="dxa"/>
            <w:hideMark/>
          </w:tcPr>
          <w:p w14:paraId="4C5EDF85" w14:textId="77777777" w:rsidR="0009633C" w:rsidRPr="002E7B7B" w:rsidRDefault="0009633C" w:rsidP="0009633C">
            <w:pPr>
              <w:spacing w:after="120"/>
              <w:contextualSpacing/>
              <w:jc w:val="both"/>
              <w:rPr>
                <w:rFonts w:cs="Times New Roman"/>
              </w:rPr>
            </w:pPr>
            <w:r w:rsidRPr="002E7B7B">
              <w:rPr>
                <w:rFonts w:cs="Times New Roman"/>
              </w:rPr>
              <w:t>28</w:t>
            </w:r>
          </w:p>
        </w:tc>
        <w:tc>
          <w:tcPr>
            <w:tcW w:w="7887" w:type="dxa"/>
            <w:hideMark/>
          </w:tcPr>
          <w:p w14:paraId="6EB1D904" w14:textId="77777777" w:rsidR="0009633C" w:rsidRPr="002E7B7B" w:rsidRDefault="0009633C" w:rsidP="0009633C">
            <w:pPr>
              <w:spacing w:after="120"/>
              <w:contextualSpacing/>
              <w:jc w:val="both"/>
              <w:rPr>
                <w:rFonts w:cs="Times New Roman"/>
              </w:rPr>
            </w:pPr>
            <w:r w:rsidRPr="002E7B7B">
              <w:rPr>
                <w:rFonts w:cs="Times New Roman"/>
              </w:rPr>
              <w:t>limit 27 to yr="2004 -Current"</w:t>
            </w:r>
          </w:p>
        </w:tc>
      </w:tr>
    </w:tbl>
    <w:p w14:paraId="0E241D22" w14:textId="77777777" w:rsidR="0009633C" w:rsidRPr="002E7B7B" w:rsidRDefault="0009633C" w:rsidP="0009633C">
      <w:pPr>
        <w:spacing w:after="120" w:line="240" w:lineRule="auto"/>
        <w:contextualSpacing/>
        <w:jc w:val="both"/>
        <w:rPr>
          <w:rFonts w:cs="Times New Roman"/>
        </w:rPr>
      </w:pPr>
    </w:p>
    <w:p w14:paraId="53D51DD7" w14:textId="77777777" w:rsidR="00176BAD" w:rsidRDefault="00176BAD">
      <w:pPr>
        <w:spacing w:after="160" w:line="259" w:lineRule="auto"/>
        <w:rPr>
          <w:rFonts w:cs="Times New Roman"/>
          <w:b/>
        </w:rPr>
      </w:pPr>
      <w:r>
        <w:rPr>
          <w:rFonts w:cs="Times New Roman"/>
          <w:b/>
        </w:rPr>
        <w:br w:type="page"/>
      </w:r>
    </w:p>
    <w:p w14:paraId="1A7E48C4" w14:textId="71408903" w:rsidR="0009633C" w:rsidRPr="002E7B7B" w:rsidRDefault="0009633C" w:rsidP="0009633C">
      <w:pPr>
        <w:spacing w:after="120" w:line="240" w:lineRule="auto"/>
        <w:contextualSpacing/>
        <w:jc w:val="both"/>
        <w:rPr>
          <w:rFonts w:cs="Times New Roman"/>
          <w:b/>
        </w:rPr>
      </w:pPr>
      <w:r w:rsidRPr="002E7B7B">
        <w:rPr>
          <w:rFonts w:cs="Times New Roman"/>
          <w:b/>
        </w:rPr>
        <w:t>Science Citation Index (SCI-E) and Conference Proceedings Citation Index (CPCI): Web of Science, 1990 to 2017</w:t>
      </w:r>
    </w:p>
    <w:p w14:paraId="79BA4F81" w14:textId="77777777" w:rsidR="0009633C" w:rsidRPr="002E7B7B" w:rsidRDefault="0009633C" w:rsidP="0009633C">
      <w:pPr>
        <w:spacing w:after="120" w:line="240" w:lineRule="auto"/>
        <w:contextualSpacing/>
        <w:jc w:val="both"/>
        <w:rPr>
          <w:rFonts w:cs="Times New Roman"/>
        </w:rPr>
      </w:pPr>
      <w:r w:rsidRPr="002E7B7B">
        <w:rPr>
          <w:rFonts w:cs="Times New Roman"/>
        </w:rPr>
        <w:t>11</w:t>
      </w:r>
      <w:r w:rsidRPr="002E7B7B">
        <w:rPr>
          <w:rFonts w:cs="Times New Roman"/>
          <w:vertAlign w:val="superscript"/>
        </w:rPr>
        <w:t>th</w:t>
      </w:r>
      <w:r w:rsidRPr="002E7B7B">
        <w:rPr>
          <w:rFonts w:cs="Times New Roman"/>
        </w:rPr>
        <w:t xml:space="preserve"> July 2017</w:t>
      </w:r>
    </w:p>
    <w:p w14:paraId="7B8912ED" w14:textId="77777777" w:rsidR="0009633C" w:rsidRPr="002E7B7B" w:rsidRDefault="0009633C" w:rsidP="0009633C">
      <w:pPr>
        <w:spacing w:after="120" w:line="240" w:lineRule="auto"/>
        <w:contextualSpacing/>
        <w:jc w:val="both"/>
        <w:rPr>
          <w:rFonts w:cs="Times New Roman"/>
        </w:rPr>
      </w:pPr>
    </w:p>
    <w:tbl>
      <w:tblPr>
        <w:tblW w:w="0" w:type="auto"/>
        <w:tblLook w:val="04A0" w:firstRow="1" w:lastRow="0" w:firstColumn="1" w:lastColumn="0" w:noHBand="0" w:noVBand="1"/>
      </w:tblPr>
      <w:tblGrid>
        <w:gridCol w:w="1129"/>
        <w:gridCol w:w="7887"/>
      </w:tblGrid>
      <w:tr w:rsidR="0009633C" w:rsidRPr="002E7B7B" w14:paraId="1E66F935" w14:textId="77777777" w:rsidTr="0009633C">
        <w:trPr>
          <w:trHeight w:val="300"/>
        </w:trPr>
        <w:tc>
          <w:tcPr>
            <w:tcW w:w="1129" w:type="dxa"/>
            <w:hideMark/>
          </w:tcPr>
          <w:p w14:paraId="54A81318" w14:textId="77777777" w:rsidR="0009633C" w:rsidRPr="002E7B7B" w:rsidRDefault="0009633C" w:rsidP="0009633C">
            <w:pPr>
              <w:spacing w:after="120"/>
              <w:contextualSpacing/>
              <w:jc w:val="both"/>
              <w:rPr>
                <w:rFonts w:cs="Times New Roman"/>
                <w:b/>
                <w:bCs/>
              </w:rPr>
            </w:pPr>
            <w:r w:rsidRPr="002E7B7B">
              <w:rPr>
                <w:rFonts w:cs="Times New Roman"/>
                <w:b/>
                <w:bCs/>
              </w:rPr>
              <w:t>#</w:t>
            </w:r>
          </w:p>
        </w:tc>
        <w:tc>
          <w:tcPr>
            <w:tcW w:w="7887" w:type="dxa"/>
            <w:hideMark/>
          </w:tcPr>
          <w:p w14:paraId="4EF16971" w14:textId="77777777" w:rsidR="0009633C" w:rsidRPr="002E7B7B" w:rsidRDefault="0009633C" w:rsidP="0009633C">
            <w:pPr>
              <w:spacing w:after="120"/>
              <w:contextualSpacing/>
              <w:jc w:val="both"/>
              <w:rPr>
                <w:rFonts w:cs="Times New Roman"/>
                <w:b/>
                <w:bCs/>
              </w:rPr>
            </w:pPr>
            <w:r w:rsidRPr="002E7B7B">
              <w:rPr>
                <w:rFonts w:cs="Times New Roman"/>
                <w:b/>
                <w:bCs/>
              </w:rPr>
              <w:t>Searches</w:t>
            </w:r>
          </w:p>
        </w:tc>
      </w:tr>
      <w:tr w:rsidR="0009633C" w:rsidRPr="002E7B7B" w14:paraId="0CF94FAD" w14:textId="77777777" w:rsidTr="0009633C">
        <w:trPr>
          <w:trHeight w:val="300"/>
        </w:trPr>
        <w:tc>
          <w:tcPr>
            <w:tcW w:w="1129" w:type="dxa"/>
            <w:noWrap/>
            <w:hideMark/>
          </w:tcPr>
          <w:p w14:paraId="6F7321F8" w14:textId="77777777" w:rsidR="0009633C" w:rsidRPr="002E7B7B" w:rsidRDefault="0009633C" w:rsidP="0009633C">
            <w:pPr>
              <w:spacing w:after="120"/>
              <w:contextualSpacing/>
              <w:jc w:val="both"/>
              <w:rPr>
                <w:rFonts w:cs="Times New Roman"/>
              </w:rPr>
            </w:pPr>
            <w:r w:rsidRPr="002E7B7B">
              <w:rPr>
                <w:rFonts w:cs="Times New Roman"/>
              </w:rPr>
              <w:t># 1</w:t>
            </w:r>
          </w:p>
        </w:tc>
        <w:tc>
          <w:tcPr>
            <w:tcW w:w="7887" w:type="dxa"/>
            <w:noWrap/>
            <w:hideMark/>
          </w:tcPr>
          <w:p w14:paraId="2EEB1E62" w14:textId="77777777" w:rsidR="0009633C" w:rsidRPr="002E7B7B" w:rsidRDefault="0009633C" w:rsidP="0009633C">
            <w:pPr>
              <w:spacing w:after="120"/>
              <w:contextualSpacing/>
              <w:jc w:val="both"/>
              <w:rPr>
                <w:rFonts w:cs="Times New Roman"/>
              </w:rPr>
            </w:pPr>
            <w:r w:rsidRPr="002E7B7B">
              <w:rPr>
                <w:rFonts w:cs="Times New Roman"/>
              </w:rPr>
              <w:t xml:space="preserve">TS=(creutzfeldt jakob NEAR/1 disease) OR TS=(creutzfeldt jakob NEAR/1 syndrome) OR TS=(creutzfeldt-jakob NEAR/1 disease) OR TS=(creutzfeldt-jakob NEAR/1 syndrome) </w:t>
            </w:r>
          </w:p>
        </w:tc>
      </w:tr>
      <w:tr w:rsidR="0009633C" w:rsidRPr="002E7B7B" w14:paraId="25DADAD6" w14:textId="77777777" w:rsidTr="0009633C">
        <w:trPr>
          <w:trHeight w:val="300"/>
        </w:trPr>
        <w:tc>
          <w:tcPr>
            <w:tcW w:w="1129" w:type="dxa"/>
            <w:noWrap/>
            <w:hideMark/>
          </w:tcPr>
          <w:p w14:paraId="53724A8E" w14:textId="77777777" w:rsidR="0009633C" w:rsidRPr="002E7B7B" w:rsidRDefault="0009633C" w:rsidP="0009633C">
            <w:pPr>
              <w:spacing w:after="120"/>
              <w:contextualSpacing/>
              <w:jc w:val="both"/>
              <w:rPr>
                <w:rFonts w:cs="Times New Roman"/>
              </w:rPr>
            </w:pPr>
            <w:r w:rsidRPr="002E7B7B">
              <w:rPr>
                <w:rFonts w:cs="Times New Roman"/>
              </w:rPr>
              <w:t># 2</w:t>
            </w:r>
          </w:p>
        </w:tc>
        <w:tc>
          <w:tcPr>
            <w:tcW w:w="7887" w:type="dxa"/>
            <w:noWrap/>
            <w:hideMark/>
          </w:tcPr>
          <w:p w14:paraId="62A317F4" w14:textId="77777777" w:rsidR="0009633C" w:rsidRPr="002E7B7B" w:rsidRDefault="0009633C" w:rsidP="0009633C">
            <w:pPr>
              <w:spacing w:after="120"/>
              <w:contextualSpacing/>
              <w:jc w:val="both"/>
              <w:rPr>
                <w:rFonts w:cs="Times New Roman"/>
              </w:rPr>
            </w:pPr>
            <w:r w:rsidRPr="002E7B7B">
              <w:rPr>
                <w:rFonts w:cs="Times New Roman"/>
              </w:rPr>
              <w:t xml:space="preserve">TS=((cjd or vcjd or v-cjd)) </w:t>
            </w:r>
          </w:p>
        </w:tc>
      </w:tr>
      <w:tr w:rsidR="0009633C" w:rsidRPr="002E7B7B" w14:paraId="321178CB" w14:textId="77777777" w:rsidTr="0009633C">
        <w:trPr>
          <w:trHeight w:val="300"/>
        </w:trPr>
        <w:tc>
          <w:tcPr>
            <w:tcW w:w="1129" w:type="dxa"/>
            <w:noWrap/>
            <w:hideMark/>
          </w:tcPr>
          <w:p w14:paraId="580A0C7F" w14:textId="77777777" w:rsidR="0009633C" w:rsidRPr="002E7B7B" w:rsidRDefault="0009633C" w:rsidP="0009633C">
            <w:pPr>
              <w:spacing w:after="120"/>
              <w:contextualSpacing/>
              <w:jc w:val="both"/>
              <w:rPr>
                <w:rFonts w:cs="Times New Roman"/>
              </w:rPr>
            </w:pPr>
            <w:r w:rsidRPr="002E7B7B">
              <w:rPr>
                <w:rFonts w:cs="Times New Roman"/>
              </w:rPr>
              <w:t># 3</w:t>
            </w:r>
          </w:p>
        </w:tc>
        <w:tc>
          <w:tcPr>
            <w:tcW w:w="7887" w:type="dxa"/>
            <w:noWrap/>
            <w:hideMark/>
          </w:tcPr>
          <w:p w14:paraId="148E4C4A" w14:textId="77777777" w:rsidR="0009633C" w:rsidRPr="002E7B7B" w:rsidRDefault="0009633C" w:rsidP="0009633C">
            <w:pPr>
              <w:spacing w:after="120"/>
              <w:contextualSpacing/>
              <w:jc w:val="both"/>
              <w:rPr>
                <w:rFonts w:cs="Times New Roman"/>
              </w:rPr>
            </w:pPr>
            <w:r w:rsidRPr="002E7B7B">
              <w:rPr>
                <w:rFonts w:cs="Times New Roman"/>
              </w:rPr>
              <w:t xml:space="preserve">TS=(transmissible NEAR/1 encephalopath*) OR TS=(spong* NEAR/1 encephalopath*) </w:t>
            </w:r>
          </w:p>
        </w:tc>
      </w:tr>
      <w:tr w:rsidR="0009633C" w:rsidRPr="002E7B7B" w14:paraId="41A52D47" w14:textId="77777777" w:rsidTr="0009633C">
        <w:trPr>
          <w:trHeight w:val="300"/>
        </w:trPr>
        <w:tc>
          <w:tcPr>
            <w:tcW w:w="1129" w:type="dxa"/>
            <w:noWrap/>
            <w:hideMark/>
          </w:tcPr>
          <w:p w14:paraId="6353C947" w14:textId="77777777" w:rsidR="0009633C" w:rsidRPr="002E7B7B" w:rsidRDefault="0009633C" w:rsidP="0009633C">
            <w:pPr>
              <w:spacing w:after="120"/>
              <w:contextualSpacing/>
              <w:jc w:val="both"/>
              <w:rPr>
                <w:rFonts w:cs="Times New Roman"/>
              </w:rPr>
            </w:pPr>
            <w:r w:rsidRPr="002E7B7B">
              <w:rPr>
                <w:rFonts w:cs="Times New Roman"/>
              </w:rPr>
              <w:t># 4</w:t>
            </w:r>
          </w:p>
        </w:tc>
        <w:tc>
          <w:tcPr>
            <w:tcW w:w="7887" w:type="dxa"/>
            <w:noWrap/>
            <w:hideMark/>
          </w:tcPr>
          <w:p w14:paraId="205D9837" w14:textId="77777777" w:rsidR="0009633C" w:rsidRPr="002E7B7B" w:rsidRDefault="0009633C" w:rsidP="0009633C">
            <w:pPr>
              <w:spacing w:after="120"/>
              <w:contextualSpacing/>
              <w:jc w:val="both"/>
              <w:rPr>
                <w:rFonts w:cs="Times New Roman"/>
              </w:rPr>
            </w:pPr>
            <w:r w:rsidRPr="002E7B7B">
              <w:rPr>
                <w:rFonts w:cs="Times New Roman"/>
              </w:rPr>
              <w:t xml:space="preserve">TS=(prion* or tse or prp) </w:t>
            </w:r>
          </w:p>
        </w:tc>
      </w:tr>
      <w:tr w:rsidR="0009633C" w:rsidRPr="002E7B7B" w14:paraId="766D6D39" w14:textId="77777777" w:rsidTr="0009633C">
        <w:trPr>
          <w:trHeight w:val="300"/>
        </w:trPr>
        <w:tc>
          <w:tcPr>
            <w:tcW w:w="1129" w:type="dxa"/>
            <w:noWrap/>
            <w:hideMark/>
          </w:tcPr>
          <w:p w14:paraId="78C6D894" w14:textId="77777777" w:rsidR="0009633C" w:rsidRPr="002E7B7B" w:rsidRDefault="0009633C" w:rsidP="0009633C">
            <w:pPr>
              <w:spacing w:after="120"/>
              <w:contextualSpacing/>
              <w:jc w:val="both"/>
              <w:rPr>
                <w:rFonts w:cs="Times New Roman"/>
              </w:rPr>
            </w:pPr>
            <w:r w:rsidRPr="002E7B7B">
              <w:rPr>
                <w:rFonts w:cs="Times New Roman"/>
              </w:rPr>
              <w:t># 5</w:t>
            </w:r>
          </w:p>
        </w:tc>
        <w:tc>
          <w:tcPr>
            <w:tcW w:w="7887" w:type="dxa"/>
            <w:noWrap/>
            <w:hideMark/>
          </w:tcPr>
          <w:p w14:paraId="7F6F9328" w14:textId="77777777" w:rsidR="0009633C" w:rsidRPr="002E7B7B" w:rsidRDefault="0009633C" w:rsidP="0009633C">
            <w:pPr>
              <w:spacing w:after="120"/>
              <w:contextualSpacing/>
              <w:jc w:val="both"/>
              <w:rPr>
                <w:rFonts w:cs="Times New Roman"/>
              </w:rPr>
            </w:pPr>
            <w:r w:rsidRPr="002E7B7B">
              <w:rPr>
                <w:rFonts w:cs="Times New Roman"/>
              </w:rPr>
              <w:t xml:space="preserve">#4 OR #3 OR #2 OR #1 </w:t>
            </w:r>
          </w:p>
        </w:tc>
      </w:tr>
      <w:tr w:rsidR="0009633C" w:rsidRPr="002E7B7B" w14:paraId="7FD7B64E" w14:textId="77777777" w:rsidTr="0009633C">
        <w:trPr>
          <w:trHeight w:val="300"/>
        </w:trPr>
        <w:tc>
          <w:tcPr>
            <w:tcW w:w="1129" w:type="dxa"/>
            <w:noWrap/>
            <w:hideMark/>
          </w:tcPr>
          <w:p w14:paraId="5F04221C" w14:textId="77777777" w:rsidR="0009633C" w:rsidRPr="002E7B7B" w:rsidRDefault="0009633C" w:rsidP="0009633C">
            <w:pPr>
              <w:spacing w:after="120"/>
              <w:contextualSpacing/>
              <w:jc w:val="both"/>
              <w:rPr>
                <w:rFonts w:cs="Times New Roman"/>
              </w:rPr>
            </w:pPr>
            <w:r w:rsidRPr="002E7B7B">
              <w:rPr>
                <w:rFonts w:cs="Times New Roman"/>
              </w:rPr>
              <w:t># 6</w:t>
            </w:r>
          </w:p>
        </w:tc>
        <w:tc>
          <w:tcPr>
            <w:tcW w:w="7887" w:type="dxa"/>
            <w:noWrap/>
            <w:hideMark/>
          </w:tcPr>
          <w:p w14:paraId="3C9D767F" w14:textId="77777777" w:rsidR="0009633C" w:rsidRPr="002E7B7B" w:rsidRDefault="0009633C" w:rsidP="0009633C">
            <w:pPr>
              <w:spacing w:after="120"/>
              <w:contextualSpacing/>
              <w:jc w:val="both"/>
              <w:rPr>
                <w:rFonts w:cs="Times New Roman"/>
              </w:rPr>
            </w:pPr>
            <w:r w:rsidRPr="002E7B7B">
              <w:rPr>
                <w:rFonts w:cs="Times New Roman"/>
              </w:rPr>
              <w:t xml:space="preserve">TS=((cost* and (effective* or utilit* or benefit* or minimi*))) OR TI=((cost*)) OR TS=((economic* or pharmacoeconomic* or pharmaco-economic*)) OR TS=((price* or pricing*)) OR TS=((financial or finance or finances or financed)) OR TS=((economic* and (hospital or medical or nursing or pharmaceutical))) OR TS=(("quality adjusted life year" or "quality adjusted life years")) OR TS=((qaly or qalys)) OR TS=((budget*)) </w:t>
            </w:r>
          </w:p>
        </w:tc>
      </w:tr>
      <w:tr w:rsidR="0009633C" w:rsidRPr="002E7B7B" w14:paraId="2CFBC133" w14:textId="77777777" w:rsidTr="0009633C">
        <w:trPr>
          <w:trHeight w:val="300"/>
        </w:trPr>
        <w:tc>
          <w:tcPr>
            <w:tcW w:w="1129" w:type="dxa"/>
            <w:noWrap/>
            <w:hideMark/>
          </w:tcPr>
          <w:p w14:paraId="1179DC2E" w14:textId="77777777" w:rsidR="0009633C" w:rsidRPr="002E7B7B" w:rsidRDefault="0009633C" w:rsidP="0009633C">
            <w:pPr>
              <w:spacing w:after="120"/>
              <w:contextualSpacing/>
              <w:jc w:val="both"/>
              <w:rPr>
                <w:rFonts w:cs="Times New Roman"/>
              </w:rPr>
            </w:pPr>
            <w:r w:rsidRPr="002E7B7B">
              <w:rPr>
                <w:rFonts w:cs="Times New Roman"/>
              </w:rPr>
              <w:t># 7</w:t>
            </w:r>
          </w:p>
        </w:tc>
        <w:tc>
          <w:tcPr>
            <w:tcW w:w="7887" w:type="dxa"/>
            <w:noWrap/>
            <w:hideMark/>
          </w:tcPr>
          <w:p w14:paraId="0B007E59" w14:textId="77777777" w:rsidR="0009633C" w:rsidRPr="002E7B7B" w:rsidRDefault="0009633C" w:rsidP="0009633C">
            <w:pPr>
              <w:spacing w:after="120"/>
              <w:contextualSpacing/>
              <w:jc w:val="both"/>
              <w:rPr>
                <w:rFonts w:cs="Times New Roman"/>
              </w:rPr>
            </w:pPr>
            <w:r w:rsidRPr="002E7B7B">
              <w:rPr>
                <w:rFonts w:cs="Times New Roman"/>
              </w:rPr>
              <w:t xml:space="preserve">#6 AND #5  Refined by: PUBLICATION YEARS: ( 2015 OR 2017 OR 2011 OR 2014 OR 2016 OR 2008 OR 2013 OR 2007 OR 2009 OR 2005 OR 2012 OR 2004 OR 2010 OR 2006 ) </w:t>
            </w:r>
          </w:p>
        </w:tc>
      </w:tr>
    </w:tbl>
    <w:p w14:paraId="512F8317" w14:textId="77777777" w:rsidR="0009633C" w:rsidRPr="0009633C" w:rsidRDefault="0009633C" w:rsidP="0009633C">
      <w:pPr>
        <w:spacing w:after="120" w:line="240" w:lineRule="auto"/>
        <w:contextualSpacing/>
        <w:jc w:val="both"/>
        <w:rPr>
          <w:rFonts w:cs="Times New Roman"/>
          <w:sz w:val="24"/>
          <w:szCs w:val="24"/>
        </w:rPr>
      </w:pPr>
    </w:p>
    <w:p w14:paraId="11E8F69A" w14:textId="555BEEA5" w:rsidR="002030E7" w:rsidRDefault="002030E7">
      <w:pPr>
        <w:rPr>
          <w:rFonts w:cs="Times New Roman"/>
          <w:sz w:val="24"/>
          <w:szCs w:val="24"/>
        </w:rPr>
      </w:pPr>
      <w:r>
        <w:rPr>
          <w:rFonts w:cs="Times New Roman"/>
          <w:sz w:val="24"/>
          <w:szCs w:val="24"/>
        </w:rPr>
        <w:br w:type="page"/>
      </w:r>
    </w:p>
    <w:p w14:paraId="02B9D434" w14:textId="77777777" w:rsidR="00DA1644" w:rsidRDefault="00DA1644" w:rsidP="00DA1644">
      <w:pPr>
        <w:pStyle w:val="Heading1"/>
        <w:rPr>
          <w:shd w:val="clear" w:color="auto" w:fill="FFFFFF"/>
        </w:rPr>
      </w:pPr>
      <w:bookmarkStart w:id="160" w:name="_Toc525106683"/>
      <w:r w:rsidRPr="00DA1644">
        <w:t>Appendix 3:</w:t>
      </w:r>
      <w:r w:rsidRPr="00DA1644">
        <w:tab/>
        <w:t>E</w:t>
      </w:r>
      <w:r w:rsidRPr="00DA1644">
        <w:rPr>
          <w:shd w:val="clear" w:color="auto" w:fill="FFFFFF"/>
        </w:rPr>
        <w:t>xcluded studies from the clinical reviews with reasons for exclusion</w:t>
      </w:r>
      <w:bookmarkEnd w:id="160"/>
    </w:p>
    <w:tbl>
      <w:tblPr>
        <w:tblStyle w:val="TableGrid"/>
        <w:tblW w:w="9229" w:type="dxa"/>
        <w:tblInd w:w="93" w:type="dxa"/>
        <w:tblLook w:val="04A0" w:firstRow="1" w:lastRow="0" w:firstColumn="1" w:lastColumn="0" w:noHBand="0" w:noVBand="1"/>
      </w:tblPr>
      <w:tblGrid>
        <w:gridCol w:w="6394"/>
        <w:gridCol w:w="2835"/>
      </w:tblGrid>
      <w:tr w:rsidR="00DA1644" w:rsidRPr="00DA1644" w14:paraId="506F8D52" w14:textId="77777777" w:rsidTr="008E3211">
        <w:tc>
          <w:tcPr>
            <w:tcW w:w="6394" w:type="dxa"/>
          </w:tcPr>
          <w:p w14:paraId="6B5BD0E7"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Reference</w:t>
            </w:r>
          </w:p>
        </w:tc>
        <w:tc>
          <w:tcPr>
            <w:tcW w:w="2835" w:type="dxa"/>
          </w:tcPr>
          <w:p w14:paraId="3C6A2DE5"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Primary reason for exclusion</w:t>
            </w:r>
          </w:p>
        </w:tc>
      </w:tr>
      <w:tr w:rsidR="00DA1644" w:rsidRPr="00DA1644" w14:paraId="530FE8E6" w14:textId="77777777" w:rsidTr="008E3211">
        <w:tc>
          <w:tcPr>
            <w:tcW w:w="6394" w:type="dxa"/>
          </w:tcPr>
          <w:p w14:paraId="628D688A"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 xml:space="preserve">Adam, A. M. and O. Akuku (2005). </w:t>
            </w:r>
            <w:r w:rsidRPr="001D1C67">
              <w:rPr>
                <w:rFonts w:eastAsia="Times New Roman" w:cs="Times New Roman"/>
                <w:color w:val="000000"/>
                <w:lang w:val="de-DE" w:eastAsia="en-GB"/>
              </w:rPr>
              <w:t xml:space="preserve">"Creutzfeldt-Jakob disease in Kenya." </w:t>
            </w:r>
            <w:r w:rsidRPr="00B6635C">
              <w:rPr>
                <w:rFonts w:eastAsia="Times New Roman" w:cs="Times New Roman"/>
                <w:color w:val="000000"/>
                <w:lang w:eastAsia="en-GB"/>
              </w:rPr>
              <w:t>Tropical Medicine &amp; International Health 10(7): 710-712.</w:t>
            </w:r>
          </w:p>
        </w:tc>
        <w:tc>
          <w:tcPr>
            <w:tcW w:w="2835" w:type="dxa"/>
          </w:tcPr>
          <w:p w14:paraId="65F06998"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Data for pre-2005</w:t>
            </w:r>
          </w:p>
        </w:tc>
      </w:tr>
      <w:tr w:rsidR="00DA1644" w:rsidRPr="00DA1644" w14:paraId="3832802E" w14:textId="77777777" w:rsidTr="008E3211">
        <w:tc>
          <w:tcPr>
            <w:tcW w:w="6394" w:type="dxa"/>
          </w:tcPr>
          <w:p w14:paraId="2466A2FD" w14:textId="77777777" w:rsidR="00DA1644" w:rsidRPr="00DA1644" w:rsidRDefault="00DA1644" w:rsidP="00DA1644">
            <w:pPr>
              <w:spacing w:line="240" w:lineRule="auto"/>
              <w:rPr>
                <w:rFonts w:eastAsia="Times New Roman" w:cs="Times New Roman"/>
                <w:color w:val="000000"/>
                <w:lang w:eastAsia="en-GB"/>
              </w:rPr>
            </w:pPr>
            <w:r w:rsidRPr="001D1C67">
              <w:rPr>
                <w:rFonts w:eastAsia="Times New Roman" w:cs="Times New Roman"/>
                <w:color w:val="000000"/>
                <w:lang w:val="nl-NL" w:eastAsia="en-GB"/>
              </w:rPr>
              <w:t xml:space="preserve">Allen, C. T., et al. </w:t>
            </w:r>
            <w:r w:rsidRPr="00B6635C">
              <w:rPr>
                <w:rFonts w:eastAsia="Times New Roman" w:cs="Times New Roman"/>
                <w:color w:val="000000"/>
                <w:lang w:eastAsia="en-GB"/>
              </w:rPr>
              <w:t>(2007). "Washington statewide pathology surveillance for prion disease." Annals of Neurology 61(4): 371-372.</w:t>
            </w:r>
          </w:p>
        </w:tc>
        <w:tc>
          <w:tcPr>
            <w:tcW w:w="2835" w:type="dxa"/>
          </w:tcPr>
          <w:p w14:paraId="108778D0"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Superceded data</w:t>
            </w:r>
          </w:p>
        </w:tc>
      </w:tr>
      <w:tr w:rsidR="00DA1644" w:rsidRPr="00DA1644" w14:paraId="03C59789" w14:textId="77777777" w:rsidTr="008E3211">
        <w:tc>
          <w:tcPr>
            <w:tcW w:w="6394" w:type="dxa"/>
          </w:tcPr>
          <w:p w14:paraId="046C3C88"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Amour, J. (2010). "Comparison of Single-use and Reusable Metal Laryngoscope Blades for Orotracheal Intubation during Rapid Sequence Induction of Anesthesia: A Multicenter Cluster Randomized Study." Anaesthesiology 112: 325-332.</w:t>
            </w:r>
          </w:p>
        </w:tc>
        <w:tc>
          <w:tcPr>
            <w:tcW w:w="2835" w:type="dxa"/>
          </w:tcPr>
          <w:p w14:paraId="475ADC63"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Not high-risk surgery</w:t>
            </w:r>
          </w:p>
        </w:tc>
      </w:tr>
      <w:tr w:rsidR="00DA1644" w:rsidRPr="00DA1644" w14:paraId="218E5B11" w14:textId="77777777" w:rsidTr="008E3211">
        <w:tc>
          <w:tcPr>
            <w:tcW w:w="6394" w:type="dxa"/>
          </w:tcPr>
          <w:p w14:paraId="4E5326E1" w14:textId="77777777" w:rsidR="00DA1644" w:rsidRPr="00CA4E0C" w:rsidRDefault="00DA1644" w:rsidP="00DA1644">
            <w:pPr>
              <w:spacing w:line="240" w:lineRule="auto"/>
              <w:rPr>
                <w:rFonts w:eastAsia="Times New Roman" w:cs="Times New Roman"/>
                <w:color w:val="000000"/>
                <w:lang w:eastAsia="en-GB"/>
              </w:rPr>
            </w:pPr>
            <w:r w:rsidRPr="001D1C67">
              <w:rPr>
                <w:rFonts w:eastAsia="Times New Roman" w:cs="Times New Roman"/>
                <w:color w:val="000000"/>
                <w:lang w:val="fr-FR" w:eastAsia="en-GB"/>
              </w:rPr>
              <w:t xml:space="preserve">Brandel, J. P., et al. (2009). "Epidemiological surveillance of Creutzfeldt-Jakob in France." </w:t>
            </w:r>
            <w:r w:rsidRPr="00CA4E0C">
              <w:rPr>
                <w:rFonts w:eastAsia="Times New Roman" w:cs="Times New Roman"/>
                <w:color w:val="000000"/>
                <w:lang w:eastAsia="en-GB"/>
              </w:rPr>
              <w:t>Revue Neurologique 165(8-9): 684-693.</w:t>
            </w:r>
          </w:p>
        </w:tc>
        <w:tc>
          <w:tcPr>
            <w:tcW w:w="2835" w:type="dxa"/>
          </w:tcPr>
          <w:p w14:paraId="670763D9"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Review with no original data</w:t>
            </w:r>
          </w:p>
        </w:tc>
      </w:tr>
      <w:tr w:rsidR="00DA1644" w:rsidRPr="00DA1644" w14:paraId="4B1DD6A2" w14:textId="77777777" w:rsidTr="008E3211">
        <w:tc>
          <w:tcPr>
            <w:tcW w:w="6394" w:type="dxa"/>
          </w:tcPr>
          <w:p w14:paraId="6D486FD8" w14:textId="77777777" w:rsidR="00DA1644" w:rsidRPr="00DA1644" w:rsidRDefault="00DA1644" w:rsidP="00DA1644">
            <w:pPr>
              <w:spacing w:line="240" w:lineRule="auto"/>
              <w:rPr>
                <w:rFonts w:eastAsia="Times New Roman" w:cs="Times New Roman"/>
                <w:color w:val="000000"/>
                <w:lang w:eastAsia="en-GB"/>
              </w:rPr>
            </w:pPr>
            <w:r w:rsidRPr="00CA4E0C">
              <w:rPr>
                <w:rFonts w:eastAsia="Times New Roman" w:cs="Times New Roman"/>
                <w:color w:val="000000"/>
                <w:lang w:eastAsia="en-GB"/>
              </w:rPr>
              <w:t xml:space="preserve">Chandra, S. R., et al. </w:t>
            </w:r>
            <w:r w:rsidRPr="00B6635C">
              <w:rPr>
                <w:rFonts w:eastAsia="Times New Roman" w:cs="Times New Roman"/>
                <w:color w:val="000000"/>
                <w:lang w:eastAsia="en-GB"/>
              </w:rPr>
              <w:t>(2016). "Creutzfeldt-Jakob Disease Phenotype and Course: Our Experience from a Tertiary Center." Indian Journal of Psychological Medicine 38(5): 438-442.</w:t>
            </w:r>
          </w:p>
        </w:tc>
        <w:tc>
          <w:tcPr>
            <w:tcW w:w="2835" w:type="dxa"/>
          </w:tcPr>
          <w:p w14:paraId="0EF7950D"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No usable data for any review question</w:t>
            </w:r>
          </w:p>
        </w:tc>
      </w:tr>
      <w:tr w:rsidR="00DA1644" w:rsidRPr="00DA1644" w14:paraId="4BD3815E" w14:textId="77777777" w:rsidTr="008E3211">
        <w:tc>
          <w:tcPr>
            <w:tcW w:w="6394" w:type="dxa"/>
          </w:tcPr>
          <w:p w14:paraId="52BFE68F"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Checchi, M., et al. (2016). "Ten-year follow-up of two cohorts with an increased risk of variant CJD: donors to individuals who later developed variant CJD and other recipients of these at-risk donors." Vox Sanguinis 111(4): 325-332.</w:t>
            </w:r>
          </w:p>
        </w:tc>
        <w:tc>
          <w:tcPr>
            <w:tcW w:w="2835" w:type="dxa"/>
          </w:tcPr>
          <w:p w14:paraId="26FCD065"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No usable data for any review question</w:t>
            </w:r>
          </w:p>
        </w:tc>
      </w:tr>
      <w:tr w:rsidR="00DA1644" w:rsidRPr="00DA1644" w14:paraId="5FC68C0B" w14:textId="77777777" w:rsidTr="008E3211">
        <w:tc>
          <w:tcPr>
            <w:tcW w:w="6394" w:type="dxa"/>
          </w:tcPr>
          <w:p w14:paraId="0C16C25A" w14:textId="77777777" w:rsidR="00DA1644" w:rsidRPr="00DA1644" w:rsidRDefault="00DA1644" w:rsidP="00DA1644">
            <w:pPr>
              <w:spacing w:line="240" w:lineRule="auto"/>
              <w:rPr>
                <w:rFonts w:eastAsia="Times New Roman" w:cs="Times New Roman"/>
                <w:color w:val="000000"/>
                <w:lang w:eastAsia="en-GB"/>
              </w:rPr>
            </w:pPr>
            <w:r w:rsidRPr="001D1C67">
              <w:rPr>
                <w:rFonts w:eastAsia="Times New Roman" w:cs="Times New Roman"/>
                <w:color w:val="000000"/>
                <w:lang w:val="fr-FR" w:eastAsia="en-GB"/>
              </w:rPr>
              <w:t xml:space="preserve">Chen, C. C., et al. </w:t>
            </w:r>
            <w:r w:rsidRPr="00B6635C">
              <w:rPr>
                <w:rFonts w:eastAsia="Times New Roman" w:cs="Times New Roman"/>
                <w:color w:val="000000"/>
                <w:lang w:eastAsia="en-GB"/>
              </w:rPr>
              <w:t>(2013). "Consumption of bovine spongiform encephalopathy (BSE) contaminated beef and the risk of variant Creutzfeldt-Jakob disease." Risk Analysis 33(11): 1958-1968.</w:t>
            </w:r>
          </w:p>
        </w:tc>
        <w:tc>
          <w:tcPr>
            <w:tcW w:w="2835" w:type="dxa"/>
          </w:tcPr>
          <w:p w14:paraId="602AA9F2"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No usable data for any review question</w:t>
            </w:r>
          </w:p>
        </w:tc>
      </w:tr>
      <w:tr w:rsidR="00DA1644" w:rsidRPr="00DA1644" w14:paraId="353E6A84" w14:textId="77777777" w:rsidTr="008E3211">
        <w:tc>
          <w:tcPr>
            <w:tcW w:w="6394" w:type="dxa"/>
          </w:tcPr>
          <w:p w14:paraId="5EF767BF" w14:textId="77777777" w:rsidR="00DA1644" w:rsidRPr="00DA1644" w:rsidRDefault="00DA1644" w:rsidP="00DA1644">
            <w:pPr>
              <w:spacing w:line="240" w:lineRule="auto"/>
              <w:rPr>
                <w:rFonts w:eastAsia="Times New Roman" w:cs="Times New Roman"/>
                <w:color w:val="000000"/>
                <w:lang w:eastAsia="en-GB"/>
              </w:rPr>
            </w:pPr>
            <w:r w:rsidRPr="001D1C67">
              <w:rPr>
                <w:rFonts w:eastAsia="Times New Roman" w:cs="Times New Roman"/>
                <w:color w:val="000000"/>
                <w:lang w:val="es-ES_tradnl" w:eastAsia="en-GB"/>
              </w:rPr>
              <w:t xml:space="preserve">de Pedro-Cuesta, J., et al. </w:t>
            </w:r>
            <w:r w:rsidRPr="00B6635C">
              <w:rPr>
                <w:rFonts w:eastAsia="Times New Roman" w:cs="Times New Roman"/>
                <w:color w:val="000000"/>
                <w:lang w:eastAsia="en-GB"/>
              </w:rPr>
              <w:t>(2006). "Classification of surgical procedures for epidemiologic assessment of sporadic Creutzfeldt-Jakob disease transmission by surgery." European Journal of Epidemiology 21(8): 595-604.</w:t>
            </w:r>
          </w:p>
        </w:tc>
        <w:tc>
          <w:tcPr>
            <w:tcW w:w="2835" w:type="dxa"/>
          </w:tcPr>
          <w:p w14:paraId="5453FDDA"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Wrong outcome</w:t>
            </w:r>
          </w:p>
        </w:tc>
      </w:tr>
      <w:tr w:rsidR="00DA1644" w:rsidRPr="00DA1644" w14:paraId="28C4B03F" w14:textId="77777777" w:rsidTr="008E3211">
        <w:tc>
          <w:tcPr>
            <w:tcW w:w="6394" w:type="dxa"/>
          </w:tcPr>
          <w:p w14:paraId="36890705"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Frontzek, K., et al. (2015). "Iatrogenic and sporadic Creutzfeldt-Jakob disease in 2 sisters without mutation in the prion protein gene." Prion 9(6): 444-448.</w:t>
            </w:r>
          </w:p>
        </w:tc>
        <w:tc>
          <w:tcPr>
            <w:tcW w:w="2835" w:type="dxa"/>
          </w:tcPr>
          <w:p w14:paraId="41DF2614"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No usable data for any review question</w:t>
            </w:r>
          </w:p>
        </w:tc>
      </w:tr>
      <w:tr w:rsidR="00DA1644" w:rsidRPr="00DA1644" w14:paraId="5630CFDD" w14:textId="77777777" w:rsidTr="008E3211">
        <w:tc>
          <w:tcPr>
            <w:tcW w:w="6394" w:type="dxa"/>
          </w:tcPr>
          <w:p w14:paraId="1CAA38B5" w14:textId="77777777" w:rsidR="00DA1644" w:rsidRPr="00DA1644" w:rsidRDefault="00DA1644" w:rsidP="00DA1644">
            <w:pPr>
              <w:spacing w:line="240" w:lineRule="auto"/>
              <w:rPr>
                <w:rFonts w:eastAsia="Times New Roman" w:cs="Times New Roman"/>
                <w:color w:val="000000"/>
                <w:lang w:eastAsia="en-GB"/>
              </w:rPr>
            </w:pPr>
            <w:r w:rsidRPr="001D1C67">
              <w:rPr>
                <w:rFonts w:eastAsia="Times New Roman" w:cs="Times New Roman"/>
                <w:color w:val="000000"/>
                <w:lang w:val="it-IT" w:eastAsia="en-GB"/>
              </w:rPr>
              <w:t xml:space="preserve">Graziano, S. and M. Pocchiari (2009). </w:t>
            </w:r>
            <w:r w:rsidRPr="00B6635C">
              <w:rPr>
                <w:rFonts w:eastAsia="Times New Roman" w:cs="Times New Roman"/>
                <w:color w:val="000000"/>
                <w:lang w:eastAsia="en-GB"/>
              </w:rPr>
              <w:t>"Management and prevention of human prion diseases." Current Neurology &amp; Neuroscience Reports 9(6): 423-429.</w:t>
            </w:r>
          </w:p>
        </w:tc>
        <w:tc>
          <w:tcPr>
            <w:tcW w:w="2835" w:type="dxa"/>
          </w:tcPr>
          <w:p w14:paraId="494E26BC"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Review with no original data</w:t>
            </w:r>
          </w:p>
        </w:tc>
      </w:tr>
      <w:tr w:rsidR="00DA1644" w:rsidRPr="00DA1644" w14:paraId="6BB7DCB9" w14:textId="77777777" w:rsidTr="008E3211">
        <w:tc>
          <w:tcPr>
            <w:tcW w:w="6394" w:type="dxa"/>
          </w:tcPr>
          <w:p w14:paraId="29A33BC3"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Gregori, L., et al. (2012). "Estimation of variant Creutzfeldt-Jakob disease infectivity titers in human blood." Prion 6: 139.</w:t>
            </w:r>
          </w:p>
        </w:tc>
        <w:tc>
          <w:tcPr>
            <w:tcW w:w="2835" w:type="dxa"/>
          </w:tcPr>
          <w:p w14:paraId="76385F95"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No usable data for any review question</w:t>
            </w:r>
          </w:p>
        </w:tc>
      </w:tr>
      <w:tr w:rsidR="00DA1644" w:rsidRPr="00DA1644" w14:paraId="63CDB09E" w14:textId="77777777" w:rsidTr="008E3211">
        <w:tc>
          <w:tcPr>
            <w:tcW w:w="6394" w:type="dxa"/>
          </w:tcPr>
          <w:p w14:paraId="079BA051" w14:textId="77777777" w:rsidR="00DA1644" w:rsidRPr="001D1C67" w:rsidRDefault="00DA1644" w:rsidP="00DA1644">
            <w:pPr>
              <w:spacing w:line="240" w:lineRule="auto"/>
              <w:rPr>
                <w:rFonts w:eastAsia="Times New Roman" w:cs="Times New Roman"/>
                <w:color w:val="000000"/>
                <w:lang w:val="fr-FR" w:eastAsia="en-GB"/>
              </w:rPr>
            </w:pPr>
            <w:r w:rsidRPr="00B6635C">
              <w:rPr>
                <w:rFonts w:eastAsia="Times New Roman" w:cs="Times New Roman"/>
                <w:color w:val="000000"/>
                <w:lang w:eastAsia="en-GB"/>
              </w:rPr>
              <w:t xml:space="preserve">Gubbels, S., et al. (2012). "Description and analysis of 12 years of surveillance for Creutzfeldt-Jakob disease in Denmark, 1997 to 2008." </w:t>
            </w:r>
            <w:r w:rsidRPr="001D1C67">
              <w:rPr>
                <w:rFonts w:eastAsia="Times New Roman" w:cs="Times New Roman"/>
                <w:color w:val="000000"/>
                <w:lang w:val="fr-FR" w:eastAsia="en-GB"/>
              </w:rPr>
              <w:t>Euro Surveillance: Bulletin Europeen sur les Maladies Transmissibles = European Communicable Disease Bulletin 17(15): 12.</w:t>
            </w:r>
          </w:p>
        </w:tc>
        <w:tc>
          <w:tcPr>
            <w:tcW w:w="2835" w:type="dxa"/>
          </w:tcPr>
          <w:p w14:paraId="786207AF"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Superceded data</w:t>
            </w:r>
          </w:p>
        </w:tc>
      </w:tr>
      <w:tr w:rsidR="00DA1644" w:rsidRPr="00DA1644" w14:paraId="17C244F2" w14:textId="77777777" w:rsidTr="008E3211">
        <w:tc>
          <w:tcPr>
            <w:tcW w:w="6394" w:type="dxa"/>
          </w:tcPr>
          <w:p w14:paraId="64FD9AC0"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Hamaguchi, T. (2013). "Clinical manifestations and epidemiology of prion diseases in Japan." Rinsho Shinkeigaku - Clinical Neurology 23(11): 1246-1248.</w:t>
            </w:r>
          </w:p>
        </w:tc>
        <w:tc>
          <w:tcPr>
            <w:tcW w:w="2835" w:type="dxa"/>
          </w:tcPr>
          <w:p w14:paraId="7026B387"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Superceded data</w:t>
            </w:r>
          </w:p>
        </w:tc>
      </w:tr>
      <w:tr w:rsidR="00DA1644" w:rsidRPr="00DA1644" w14:paraId="03A87006" w14:textId="77777777" w:rsidTr="008E3211">
        <w:tc>
          <w:tcPr>
            <w:tcW w:w="6394" w:type="dxa"/>
          </w:tcPr>
          <w:p w14:paraId="12DBB7FB" w14:textId="77777777" w:rsidR="00DA1644" w:rsidRPr="00DA1644" w:rsidRDefault="00DA1644" w:rsidP="00DA1644">
            <w:pPr>
              <w:spacing w:line="240" w:lineRule="auto"/>
              <w:rPr>
                <w:rFonts w:eastAsia="Times New Roman" w:cs="Times New Roman"/>
                <w:color w:val="000000"/>
                <w:lang w:eastAsia="en-GB"/>
              </w:rPr>
            </w:pPr>
            <w:r w:rsidRPr="001D1C67">
              <w:rPr>
                <w:rFonts w:eastAsia="Times New Roman" w:cs="Times New Roman"/>
                <w:color w:val="000000"/>
                <w:lang w:val="fr-FR" w:eastAsia="en-GB"/>
              </w:rPr>
              <w:t xml:space="preserve">Ironside, J. W., et al. </w:t>
            </w:r>
            <w:r w:rsidRPr="00B6635C">
              <w:rPr>
                <w:rFonts w:eastAsia="Times New Roman" w:cs="Times New Roman"/>
                <w:color w:val="000000"/>
                <w:lang w:eastAsia="en-GB"/>
              </w:rPr>
              <w:t>(2010). "Asymptomatic vCJD infection detected at autopsy in a UK haemophilic patient." Haemophilia 16: 29.</w:t>
            </w:r>
          </w:p>
        </w:tc>
        <w:tc>
          <w:tcPr>
            <w:tcW w:w="2835" w:type="dxa"/>
          </w:tcPr>
          <w:p w14:paraId="122DD747"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Superceded data</w:t>
            </w:r>
          </w:p>
        </w:tc>
      </w:tr>
      <w:tr w:rsidR="00DA1644" w:rsidRPr="00DA1644" w14:paraId="09AAF8F2" w14:textId="77777777" w:rsidTr="008E3211">
        <w:tc>
          <w:tcPr>
            <w:tcW w:w="6394" w:type="dxa"/>
          </w:tcPr>
          <w:p w14:paraId="6FDE569E" w14:textId="77777777" w:rsidR="00DA1644" w:rsidRPr="00DA1644" w:rsidRDefault="00DA1644" w:rsidP="00DA1644">
            <w:pPr>
              <w:spacing w:line="240" w:lineRule="auto"/>
              <w:rPr>
                <w:rFonts w:eastAsia="Times New Roman" w:cs="Times New Roman"/>
                <w:color w:val="000000"/>
                <w:lang w:eastAsia="en-GB"/>
              </w:rPr>
            </w:pPr>
            <w:r w:rsidRPr="001D1C67">
              <w:rPr>
                <w:rFonts w:eastAsia="Times New Roman" w:cs="Times New Roman"/>
                <w:color w:val="000000"/>
                <w:lang w:val="nl-NL" w:eastAsia="en-GB"/>
              </w:rPr>
              <w:t xml:space="preserve">Karhade, A. V., et al. </w:t>
            </w:r>
            <w:r w:rsidRPr="00B6635C">
              <w:rPr>
                <w:rFonts w:eastAsia="Times New Roman" w:cs="Times New Roman"/>
                <w:color w:val="000000"/>
                <w:lang w:eastAsia="en-GB"/>
              </w:rPr>
              <w:t>(2016). "Thirty-day readmission and reoperation after surgery for spinal tumors: a National Surgical Quality Improvement Program analysis." Neurosurgical Focus 41(2).</w:t>
            </w:r>
          </w:p>
        </w:tc>
        <w:tc>
          <w:tcPr>
            <w:tcW w:w="2835" w:type="dxa"/>
          </w:tcPr>
          <w:p w14:paraId="3FADCD54"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Wrong outcome</w:t>
            </w:r>
          </w:p>
        </w:tc>
      </w:tr>
      <w:tr w:rsidR="00DA1644" w:rsidRPr="00DA1644" w14:paraId="54D50CA0" w14:textId="77777777" w:rsidTr="008E3211">
        <w:tc>
          <w:tcPr>
            <w:tcW w:w="6394" w:type="dxa"/>
          </w:tcPr>
          <w:p w14:paraId="7F1CFED4" w14:textId="77777777" w:rsidR="00DA1644" w:rsidRPr="00DA1644" w:rsidRDefault="00DA1644" w:rsidP="00DA1644">
            <w:pPr>
              <w:spacing w:line="240" w:lineRule="auto"/>
              <w:rPr>
                <w:rFonts w:eastAsia="Times New Roman" w:cs="Times New Roman"/>
                <w:color w:val="000000"/>
                <w:lang w:eastAsia="en-GB"/>
              </w:rPr>
            </w:pPr>
            <w:r w:rsidRPr="00CA4E0C">
              <w:rPr>
                <w:rFonts w:eastAsia="Times New Roman" w:cs="Times New Roman"/>
                <w:color w:val="000000"/>
                <w:lang w:eastAsia="en-GB"/>
              </w:rPr>
              <w:t xml:space="preserve">Klug, G. M., et al. </w:t>
            </w:r>
            <w:r w:rsidRPr="00B6635C">
              <w:rPr>
                <w:rFonts w:eastAsia="Times New Roman" w:cs="Times New Roman"/>
                <w:color w:val="000000"/>
                <w:lang w:eastAsia="en-GB"/>
              </w:rPr>
              <w:t>(2009). "Surveillance of Creutzfeldt-Jakob disease in Australia: 2009 update." Communicable Diseases Intelligence Quarterly Report 33(2): 188-191.</w:t>
            </w:r>
          </w:p>
        </w:tc>
        <w:tc>
          <w:tcPr>
            <w:tcW w:w="2835" w:type="dxa"/>
          </w:tcPr>
          <w:p w14:paraId="1668FD95"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Superceded data</w:t>
            </w:r>
          </w:p>
        </w:tc>
      </w:tr>
      <w:tr w:rsidR="00DA1644" w:rsidRPr="00DA1644" w14:paraId="3F8D3276" w14:textId="77777777" w:rsidTr="008E3211">
        <w:tc>
          <w:tcPr>
            <w:tcW w:w="6394" w:type="dxa"/>
          </w:tcPr>
          <w:p w14:paraId="0C524B9E"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Kobayashi, A., et al. (2016). "Sporadic Creutzfeldt-Jakob Disease MM1+2C and MM1 are Identical in Transmission Properties." Brain Pathology 26(1): 95-101.</w:t>
            </w:r>
          </w:p>
        </w:tc>
        <w:tc>
          <w:tcPr>
            <w:tcW w:w="2835" w:type="dxa"/>
          </w:tcPr>
          <w:p w14:paraId="4C2B98AE"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Review with no original data</w:t>
            </w:r>
          </w:p>
        </w:tc>
      </w:tr>
      <w:tr w:rsidR="00DA1644" w:rsidRPr="00DA1644" w14:paraId="4CF43126" w14:textId="77777777" w:rsidTr="008E3211">
        <w:tc>
          <w:tcPr>
            <w:tcW w:w="6394" w:type="dxa"/>
          </w:tcPr>
          <w:p w14:paraId="26D5BE3F"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Kobayashi, A., et al. (2015). "The influence of PRNP polymorphisms on human prion disease susceptibility: an update." Acta Neuropathologica 130(2): 159-170.</w:t>
            </w:r>
          </w:p>
        </w:tc>
        <w:tc>
          <w:tcPr>
            <w:tcW w:w="2835" w:type="dxa"/>
          </w:tcPr>
          <w:p w14:paraId="70F04782"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Review with no original data</w:t>
            </w:r>
          </w:p>
        </w:tc>
      </w:tr>
      <w:tr w:rsidR="00DA1644" w:rsidRPr="00DA1644" w14:paraId="283FFC0E" w14:textId="77777777" w:rsidTr="008E3211">
        <w:tc>
          <w:tcPr>
            <w:tcW w:w="6394" w:type="dxa"/>
          </w:tcPr>
          <w:p w14:paraId="4F0E6070"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 xml:space="preserve">Kovacs, G. G. and K. Majtenyi (2005). </w:t>
            </w:r>
            <w:r w:rsidRPr="001D1C67">
              <w:rPr>
                <w:rFonts w:eastAsia="Times New Roman" w:cs="Times New Roman"/>
                <w:color w:val="000000"/>
                <w:lang w:val="de-DE" w:eastAsia="en-GB"/>
              </w:rPr>
              <w:t xml:space="preserve">"Creutzfeldt-Jakob disease in Hungary." </w:t>
            </w:r>
            <w:r w:rsidRPr="00B6635C">
              <w:rPr>
                <w:rFonts w:eastAsia="Times New Roman" w:cs="Times New Roman"/>
                <w:color w:val="000000"/>
                <w:lang w:eastAsia="en-GB"/>
              </w:rPr>
              <w:t>Folia Neuropathologica 43(4): 279-285.</w:t>
            </w:r>
          </w:p>
        </w:tc>
        <w:tc>
          <w:tcPr>
            <w:tcW w:w="2835" w:type="dxa"/>
          </w:tcPr>
          <w:p w14:paraId="75967629"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Superceded data</w:t>
            </w:r>
          </w:p>
        </w:tc>
      </w:tr>
      <w:tr w:rsidR="00DA1644" w:rsidRPr="00DA1644" w14:paraId="13B4C9EC" w14:textId="77777777" w:rsidTr="008E3211">
        <w:tc>
          <w:tcPr>
            <w:tcW w:w="6394" w:type="dxa"/>
          </w:tcPr>
          <w:p w14:paraId="39B573FC" w14:textId="77777777" w:rsidR="00DA1644" w:rsidRPr="00DA1644" w:rsidRDefault="00DA1644" w:rsidP="00DA1644">
            <w:pPr>
              <w:spacing w:line="240" w:lineRule="auto"/>
              <w:rPr>
                <w:rFonts w:eastAsia="Times New Roman" w:cs="Times New Roman"/>
                <w:color w:val="000000"/>
                <w:lang w:eastAsia="en-GB"/>
              </w:rPr>
            </w:pPr>
            <w:r w:rsidRPr="001D1C67">
              <w:rPr>
                <w:rFonts w:eastAsia="Times New Roman" w:cs="Times New Roman"/>
                <w:color w:val="000000"/>
                <w:lang w:val="fr-FR" w:eastAsia="en-GB"/>
              </w:rPr>
              <w:t xml:space="preserve">Maddox, R. A., et al. </w:t>
            </w:r>
            <w:r w:rsidRPr="00B6635C">
              <w:rPr>
                <w:rFonts w:eastAsia="Times New Roman" w:cs="Times New Roman"/>
                <w:color w:val="000000"/>
                <w:lang w:eastAsia="en-GB"/>
              </w:rPr>
              <w:t>(2016). "Unusually young prion disease cases in the United States, 1979-2014." Prion 10: S98-S99.</w:t>
            </w:r>
          </w:p>
        </w:tc>
        <w:tc>
          <w:tcPr>
            <w:tcW w:w="2835" w:type="dxa"/>
          </w:tcPr>
          <w:p w14:paraId="012F6EA8"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No usable data for any review question</w:t>
            </w:r>
          </w:p>
        </w:tc>
      </w:tr>
      <w:tr w:rsidR="00DA1644" w:rsidRPr="00DA1644" w14:paraId="3D159639" w14:textId="77777777" w:rsidTr="008E3211">
        <w:tc>
          <w:tcPr>
            <w:tcW w:w="6394" w:type="dxa"/>
          </w:tcPr>
          <w:p w14:paraId="19B320A1"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Maheshwari, A., et al. (2015). "Recent US Case of Variant Creutzfeldt-Jakob Disease-Global Implications." Emerging infectious diseases 21(5): 750-759.</w:t>
            </w:r>
          </w:p>
        </w:tc>
        <w:tc>
          <w:tcPr>
            <w:tcW w:w="2835" w:type="dxa"/>
          </w:tcPr>
          <w:p w14:paraId="07F780D1"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Superceded data</w:t>
            </w:r>
          </w:p>
        </w:tc>
      </w:tr>
      <w:tr w:rsidR="00DA1644" w:rsidRPr="00DA1644" w14:paraId="44241412" w14:textId="77777777" w:rsidTr="008E3211">
        <w:tc>
          <w:tcPr>
            <w:tcW w:w="6394" w:type="dxa"/>
          </w:tcPr>
          <w:p w14:paraId="0030E50F"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Mei, L. L., et al. (2015). "Effectiveness of 2D barcode tracking in recording instrument sterilization &amp; avoiding spread of infection in operating theatre." Journal of Microbiology, Immunology and Infection 1): S68.</w:t>
            </w:r>
          </w:p>
        </w:tc>
        <w:tc>
          <w:tcPr>
            <w:tcW w:w="2835" w:type="dxa"/>
          </w:tcPr>
          <w:p w14:paraId="6ED0323C"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Wrong outcome</w:t>
            </w:r>
          </w:p>
        </w:tc>
      </w:tr>
      <w:tr w:rsidR="00DA1644" w:rsidRPr="00DA1644" w14:paraId="3B5FAEC8" w14:textId="77777777" w:rsidTr="008E3211">
        <w:tc>
          <w:tcPr>
            <w:tcW w:w="6394" w:type="dxa"/>
          </w:tcPr>
          <w:p w14:paraId="3722CA62"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Mikol, J., et al. (2012). "Creutzfeldt-Jakob disease with unusually extensive neuropathology in a child treated with native human growth hormone." Clinical Neuropathology 31(3): 127-134.</w:t>
            </w:r>
          </w:p>
        </w:tc>
        <w:tc>
          <w:tcPr>
            <w:tcW w:w="2835" w:type="dxa"/>
          </w:tcPr>
          <w:p w14:paraId="4CBAF541"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Superceded data</w:t>
            </w:r>
          </w:p>
        </w:tc>
      </w:tr>
      <w:tr w:rsidR="00DA1644" w:rsidRPr="00DA1644" w14:paraId="1C97324B" w14:textId="77777777" w:rsidTr="008E3211">
        <w:tc>
          <w:tcPr>
            <w:tcW w:w="6394" w:type="dxa"/>
          </w:tcPr>
          <w:p w14:paraId="60C10546"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Papacostas, S., et al. (2008). "Ten-year mortality from Creutzfeldt-Jakob disease in Cyprus." Eastern Mediterranean Health Journal 14(3): 715-719.</w:t>
            </w:r>
          </w:p>
        </w:tc>
        <w:tc>
          <w:tcPr>
            <w:tcW w:w="2835" w:type="dxa"/>
          </w:tcPr>
          <w:p w14:paraId="67F4275E"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Data for pre-2005</w:t>
            </w:r>
          </w:p>
        </w:tc>
      </w:tr>
      <w:tr w:rsidR="00DA1644" w:rsidRPr="00DA1644" w14:paraId="0E72D99B" w14:textId="77777777" w:rsidTr="008E3211">
        <w:tc>
          <w:tcPr>
            <w:tcW w:w="6394" w:type="dxa"/>
          </w:tcPr>
          <w:p w14:paraId="6F71255C"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Parchi, P. (2009). "Molecular-phenotypic correlation in sporadic and genetic Creutzfeldt-Jakob disease: Insights from recent studies." Clinical Neuropathology 28 (3): 235-236.</w:t>
            </w:r>
          </w:p>
        </w:tc>
        <w:tc>
          <w:tcPr>
            <w:tcW w:w="2835" w:type="dxa"/>
          </w:tcPr>
          <w:p w14:paraId="62B32A83"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Review with no original data</w:t>
            </w:r>
          </w:p>
        </w:tc>
      </w:tr>
      <w:tr w:rsidR="00DA1644" w:rsidRPr="00DA1644" w14:paraId="6428AAFD" w14:textId="77777777" w:rsidTr="008E3211">
        <w:tc>
          <w:tcPr>
            <w:tcW w:w="6394" w:type="dxa"/>
          </w:tcPr>
          <w:p w14:paraId="6712C601" w14:textId="77777777" w:rsidR="00DA1644" w:rsidRPr="00DA1644" w:rsidRDefault="00DA1644" w:rsidP="00DA1644">
            <w:pPr>
              <w:spacing w:line="240" w:lineRule="auto"/>
              <w:rPr>
                <w:rFonts w:eastAsia="Times New Roman" w:cs="Times New Roman"/>
                <w:color w:val="000000"/>
                <w:lang w:eastAsia="en-GB"/>
              </w:rPr>
            </w:pPr>
            <w:r w:rsidRPr="001D1C67">
              <w:rPr>
                <w:rFonts w:eastAsia="Times New Roman" w:cs="Times New Roman"/>
                <w:color w:val="000000"/>
                <w:lang w:val="fr-FR" w:eastAsia="en-GB"/>
              </w:rPr>
              <w:t xml:space="preserve">Ritchie, D. L., et al. </w:t>
            </w:r>
            <w:r w:rsidRPr="00B6635C">
              <w:rPr>
                <w:rFonts w:eastAsia="Times New Roman" w:cs="Times New Roman"/>
                <w:color w:val="000000"/>
                <w:lang w:eastAsia="en-GB"/>
              </w:rPr>
              <w:t>(2017). "Amyloid-beta accumulation in human growth hormone related iatrogenic CJD patients in the UK." Neuropathology and Applied Neurobiology 43: 39.</w:t>
            </w:r>
          </w:p>
        </w:tc>
        <w:tc>
          <w:tcPr>
            <w:tcW w:w="2835" w:type="dxa"/>
          </w:tcPr>
          <w:p w14:paraId="56430521"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Not CJD related</w:t>
            </w:r>
          </w:p>
        </w:tc>
      </w:tr>
      <w:tr w:rsidR="00DA1644" w:rsidRPr="00DA1644" w14:paraId="27912211" w14:textId="77777777" w:rsidTr="008E3211">
        <w:tc>
          <w:tcPr>
            <w:tcW w:w="6394" w:type="dxa"/>
          </w:tcPr>
          <w:p w14:paraId="07348A40"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Rohan, Z., et al. (2015). "Human prion diseases in the Czech Republic." Epidemiologie Mikrobiologie Imunologie 64(3): 115-120.</w:t>
            </w:r>
          </w:p>
        </w:tc>
        <w:tc>
          <w:tcPr>
            <w:tcW w:w="2835" w:type="dxa"/>
          </w:tcPr>
          <w:p w14:paraId="05A860AB"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No usable data for any review question</w:t>
            </w:r>
          </w:p>
        </w:tc>
      </w:tr>
      <w:tr w:rsidR="00DA1644" w:rsidRPr="00DA1644" w14:paraId="3BAC7624" w14:textId="77777777" w:rsidTr="008E3211">
        <w:tc>
          <w:tcPr>
            <w:tcW w:w="6394" w:type="dxa"/>
          </w:tcPr>
          <w:p w14:paraId="05D4A485"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Saba, R. and S. A. Booth (2013). "The genetics of susceptibility to variant Creutzfeldt-Jakob disease." Public Health Genomics 16(1-2): 17-24.</w:t>
            </w:r>
          </w:p>
        </w:tc>
        <w:tc>
          <w:tcPr>
            <w:tcW w:w="2835" w:type="dxa"/>
          </w:tcPr>
          <w:p w14:paraId="49B83A96"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No usable data for any review question</w:t>
            </w:r>
          </w:p>
        </w:tc>
      </w:tr>
      <w:tr w:rsidR="00DA1644" w:rsidRPr="00DA1644" w14:paraId="3C72BE0B" w14:textId="77777777" w:rsidTr="008E3211">
        <w:tc>
          <w:tcPr>
            <w:tcW w:w="6394" w:type="dxa"/>
          </w:tcPr>
          <w:p w14:paraId="623D2143" w14:textId="77777777" w:rsidR="00DA1644" w:rsidRPr="00DA1644" w:rsidRDefault="00DA1644" w:rsidP="00DA1644">
            <w:pPr>
              <w:spacing w:line="240" w:lineRule="auto"/>
              <w:rPr>
                <w:rFonts w:eastAsia="Times New Roman" w:cs="Times New Roman"/>
                <w:color w:val="000000"/>
                <w:lang w:eastAsia="en-GB"/>
              </w:rPr>
            </w:pPr>
            <w:r w:rsidRPr="001D1C67">
              <w:rPr>
                <w:rFonts w:eastAsia="Times New Roman" w:cs="Times New Roman"/>
                <w:color w:val="000000"/>
                <w:lang w:val="fr-FR" w:eastAsia="en-GB"/>
              </w:rPr>
              <w:t xml:space="preserve">Sawyer, E. B., et al. </w:t>
            </w:r>
            <w:r w:rsidRPr="00B6635C">
              <w:rPr>
                <w:rFonts w:eastAsia="Times New Roman" w:cs="Times New Roman"/>
                <w:color w:val="000000"/>
                <w:lang w:eastAsia="en-GB"/>
              </w:rPr>
              <w:t>(2015). "Preclinical detection of infectivity and disease-specific PrP in blood throughout the incubation period of prion disease." Scientific Reports 5: 17742.</w:t>
            </w:r>
          </w:p>
        </w:tc>
        <w:tc>
          <w:tcPr>
            <w:tcW w:w="2835" w:type="dxa"/>
          </w:tcPr>
          <w:p w14:paraId="5E31ED8A"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No usable data for any review question</w:t>
            </w:r>
          </w:p>
        </w:tc>
      </w:tr>
      <w:tr w:rsidR="00DA1644" w:rsidRPr="00DA1644" w14:paraId="6B117722" w14:textId="77777777" w:rsidTr="008E3211">
        <w:tc>
          <w:tcPr>
            <w:tcW w:w="6394" w:type="dxa"/>
          </w:tcPr>
          <w:p w14:paraId="18F18FF4"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Takeuchi, A., et al. (2013). "Characterization of variant Creutzfeldt-Jakob disease prions in prion protein-humanized mice carrying distinct codon 129 genotypes." Journal of Biological Chemistry 288(30): 21659-21666.</w:t>
            </w:r>
          </w:p>
        </w:tc>
        <w:tc>
          <w:tcPr>
            <w:tcW w:w="2835" w:type="dxa"/>
          </w:tcPr>
          <w:p w14:paraId="062C42F5" w14:textId="77777777" w:rsidR="00DA1644" w:rsidRPr="00DA1644" w:rsidRDefault="00DA1644" w:rsidP="00DA1644">
            <w:pPr>
              <w:spacing w:line="240" w:lineRule="auto"/>
              <w:rPr>
                <w:rFonts w:eastAsia="Times New Roman" w:cs="Times New Roman"/>
                <w:color w:val="000000"/>
                <w:lang w:eastAsia="en-GB"/>
              </w:rPr>
            </w:pPr>
            <w:r w:rsidRPr="00B6635C">
              <w:rPr>
                <w:rFonts w:eastAsia="Times New Roman" w:cs="Times New Roman"/>
                <w:color w:val="000000"/>
                <w:lang w:eastAsia="en-GB"/>
              </w:rPr>
              <w:t>No usable data for any review question</w:t>
            </w:r>
          </w:p>
        </w:tc>
      </w:tr>
    </w:tbl>
    <w:p w14:paraId="7A9E44FF" w14:textId="77777777" w:rsidR="00DA1644" w:rsidRDefault="00DA1644" w:rsidP="00DA1644">
      <w:pPr>
        <w:rPr>
          <w:rFonts w:cs="Times New Roman"/>
          <w:color w:val="222222"/>
          <w:shd w:val="clear" w:color="auto" w:fill="FFFFFF"/>
        </w:rPr>
      </w:pPr>
    </w:p>
    <w:p w14:paraId="59883B2C" w14:textId="2E0E6DFD" w:rsidR="00DA1644" w:rsidRPr="00DA1644" w:rsidRDefault="00DA1644" w:rsidP="00DA1644">
      <w:pPr>
        <w:rPr>
          <w:rFonts w:eastAsiaTheme="majorEastAsia" w:cs="Times New Roman"/>
          <w:b/>
        </w:rPr>
      </w:pPr>
      <w:r w:rsidRPr="00DA1644">
        <w:rPr>
          <w:rFonts w:cs="Times New Roman"/>
        </w:rPr>
        <w:br w:type="page"/>
      </w:r>
    </w:p>
    <w:p w14:paraId="55934E90" w14:textId="33587291" w:rsidR="002030E7" w:rsidRPr="00AC6A21" w:rsidRDefault="008C534A" w:rsidP="002030E7">
      <w:pPr>
        <w:pStyle w:val="Heading1"/>
        <w:ind w:left="1440" w:hanging="1440"/>
        <w:rPr>
          <w:b w:val="0"/>
          <w:szCs w:val="22"/>
        </w:rPr>
      </w:pPr>
      <w:bookmarkStart w:id="161" w:name="_Toc525106684"/>
      <w:r>
        <w:rPr>
          <w:szCs w:val="22"/>
        </w:rPr>
        <w:t>Appendix 4</w:t>
      </w:r>
      <w:r w:rsidR="002030E7" w:rsidRPr="00AC6A21">
        <w:rPr>
          <w:szCs w:val="22"/>
        </w:rPr>
        <w:t>:</w:t>
      </w:r>
      <w:r w:rsidR="002030E7" w:rsidRPr="00AC6A21">
        <w:rPr>
          <w:szCs w:val="22"/>
        </w:rPr>
        <w:tab/>
        <w:t xml:space="preserve">Elicitation </w:t>
      </w:r>
      <w:r w:rsidR="004E170E">
        <w:rPr>
          <w:szCs w:val="22"/>
        </w:rPr>
        <w:t>e</w:t>
      </w:r>
      <w:r w:rsidR="002030E7" w:rsidRPr="00AC6A21">
        <w:rPr>
          <w:szCs w:val="22"/>
        </w:rPr>
        <w:t>xercise relating to epidemiological parameters. Conducted 18</w:t>
      </w:r>
      <w:r w:rsidR="002030E7" w:rsidRPr="00AC6A21">
        <w:rPr>
          <w:szCs w:val="22"/>
          <w:vertAlign w:val="superscript"/>
        </w:rPr>
        <w:t>th</w:t>
      </w:r>
      <w:r w:rsidR="002030E7" w:rsidRPr="00AC6A21">
        <w:rPr>
          <w:szCs w:val="22"/>
        </w:rPr>
        <w:t xml:space="preserve"> January 2018</w:t>
      </w:r>
      <w:bookmarkEnd w:id="161"/>
    </w:p>
    <w:p w14:paraId="35C2425E" w14:textId="7AAA1B5A" w:rsidR="002030E7" w:rsidRPr="00AC6A21" w:rsidRDefault="002030E7" w:rsidP="002030E7">
      <w:pPr>
        <w:rPr>
          <w:rFonts w:cs="Times New Roman"/>
          <w:b/>
        </w:rPr>
      </w:pPr>
      <w:r w:rsidRPr="00AC6A21">
        <w:rPr>
          <w:rFonts w:cs="Times New Roman"/>
          <w:b/>
        </w:rPr>
        <w:t>1</w:t>
      </w:r>
      <w:r w:rsidR="00176BAD">
        <w:rPr>
          <w:rFonts w:cs="Times New Roman"/>
          <w:b/>
        </w:rPr>
        <w:tab/>
      </w:r>
      <w:r w:rsidRPr="00AC6A21">
        <w:rPr>
          <w:rFonts w:cs="Times New Roman"/>
          <w:b/>
        </w:rPr>
        <w:t>List of participants</w:t>
      </w:r>
    </w:p>
    <w:p w14:paraId="50429144" w14:textId="77777777" w:rsidR="002030E7" w:rsidRPr="00085FD0" w:rsidRDefault="002030E7" w:rsidP="002030E7">
      <w:pPr>
        <w:rPr>
          <w:rFonts w:cs="Times New Roman"/>
          <w:b/>
        </w:rPr>
      </w:pPr>
      <w:r w:rsidRPr="00085FD0">
        <w:rPr>
          <w:rFonts w:cs="Times New Roman"/>
          <w:b/>
        </w:rPr>
        <w:t>Participating experts</w:t>
      </w:r>
    </w:p>
    <w:p w14:paraId="24CBB1B3" w14:textId="77777777" w:rsidR="002030E7" w:rsidRPr="00085FD0" w:rsidRDefault="002030E7" w:rsidP="002030E7">
      <w:pPr>
        <w:rPr>
          <w:rFonts w:cs="Times New Roman"/>
        </w:rPr>
      </w:pPr>
      <w:r w:rsidRPr="00085FD0">
        <w:rPr>
          <w:rFonts w:cs="Times New Roman"/>
        </w:rPr>
        <w:t>(In alphabetical order of surname)</w:t>
      </w:r>
    </w:p>
    <w:p w14:paraId="356CEB42" w14:textId="77777777" w:rsidR="002030E7" w:rsidRPr="00085FD0" w:rsidRDefault="002030E7" w:rsidP="002030E7">
      <w:pPr>
        <w:rPr>
          <w:rFonts w:cs="Times New Roman"/>
        </w:rPr>
      </w:pPr>
      <w:r w:rsidRPr="00085FD0">
        <w:rPr>
          <w:rFonts w:cs="Times New Roman"/>
        </w:rPr>
        <w:t>Dr David Hilton – Consultant Neuropathologist, Plymouth Hospitals NHS Trust</w:t>
      </w:r>
    </w:p>
    <w:p w14:paraId="2E8A048A" w14:textId="77777777" w:rsidR="002030E7" w:rsidRPr="00085FD0" w:rsidRDefault="002030E7" w:rsidP="002030E7">
      <w:pPr>
        <w:rPr>
          <w:rFonts w:cs="Times New Roman"/>
        </w:rPr>
      </w:pPr>
      <w:r w:rsidRPr="00085FD0">
        <w:rPr>
          <w:rFonts w:cs="Times New Roman"/>
        </w:rPr>
        <w:t>Professor Simon Mead - Professor of Neurology, University College London</w:t>
      </w:r>
    </w:p>
    <w:p w14:paraId="7FDCF97F" w14:textId="77777777" w:rsidR="002030E7" w:rsidRPr="00085FD0" w:rsidRDefault="002030E7" w:rsidP="002030E7">
      <w:pPr>
        <w:rPr>
          <w:rFonts w:cs="Times New Roman"/>
        </w:rPr>
      </w:pPr>
      <w:r w:rsidRPr="00085FD0">
        <w:rPr>
          <w:rFonts w:cs="Times New Roman"/>
        </w:rPr>
        <w:t>Professor Graham Medley – Professor of Infectious Disease Modelling, London School of Hygiene &amp; Tropical Medicine</w:t>
      </w:r>
    </w:p>
    <w:p w14:paraId="5B5C7565" w14:textId="77777777" w:rsidR="002030E7" w:rsidRPr="00085FD0" w:rsidRDefault="002030E7" w:rsidP="002030E7">
      <w:pPr>
        <w:rPr>
          <w:rFonts w:cs="Times New Roman"/>
        </w:rPr>
      </w:pPr>
      <w:r w:rsidRPr="00085FD0">
        <w:rPr>
          <w:rFonts w:cs="Times New Roman"/>
        </w:rPr>
        <w:t>Dr Katy Sinka – Creutzfeldt-Jacob disease (CJD) Section Head, Public Health England</w:t>
      </w:r>
    </w:p>
    <w:p w14:paraId="05109211" w14:textId="77777777" w:rsidR="002030E7" w:rsidRPr="00085FD0" w:rsidRDefault="002030E7" w:rsidP="002030E7">
      <w:pPr>
        <w:rPr>
          <w:rFonts w:cs="Times New Roman"/>
        </w:rPr>
      </w:pPr>
    </w:p>
    <w:p w14:paraId="67C038A4" w14:textId="77777777" w:rsidR="002030E7" w:rsidRPr="00085FD0" w:rsidRDefault="002030E7" w:rsidP="002030E7">
      <w:pPr>
        <w:rPr>
          <w:rFonts w:cs="Times New Roman"/>
        </w:rPr>
      </w:pPr>
      <w:r w:rsidRPr="00085FD0">
        <w:rPr>
          <w:rFonts w:cs="Times New Roman"/>
        </w:rPr>
        <w:t>Note that this order does not correspond to Experts A, B, C and D: we have chosen to anonymise individual responses and comments in this record.</w:t>
      </w:r>
    </w:p>
    <w:p w14:paraId="5449DAB2" w14:textId="77777777" w:rsidR="002030E7" w:rsidRPr="00085FD0" w:rsidRDefault="002030E7" w:rsidP="002030E7">
      <w:pPr>
        <w:rPr>
          <w:rFonts w:cs="Times New Roman"/>
        </w:rPr>
      </w:pPr>
    </w:p>
    <w:p w14:paraId="3057C6D1" w14:textId="77777777" w:rsidR="002030E7" w:rsidRPr="00085FD0" w:rsidRDefault="002030E7" w:rsidP="002030E7">
      <w:pPr>
        <w:rPr>
          <w:rFonts w:cs="Times New Roman"/>
          <w:b/>
        </w:rPr>
      </w:pPr>
      <w:r w:rsidRPr="00085FD0">
        <w:rPr>
          <w:rFonts w:cs="Times New Roman"/>
          <w:b/>
        </w:rPr>
        <w:t>Facilitator</w:t>
      </w:r>
    </w:p>
    <w:p w14:paraId="327305D6" w14:textId="77777777" w:rsidR="002030E7" w:rsidRPr="00085FD0" w:rsidRDefault="002030E7" w:rsidP="002030E7">
      <w:pPr>
        <w:rPr>
          <w:rFonts w:cs="Times New Roman"/>
        </w:rPr>
      </w:pPr>
      <w:r w:rsidRPr="00085FD0">
        <w:rPr>
          <w:rFonts w:cs="Times New Roman"/>
        </w:rPr>
        <w:t>Professor Jeremy Oakley – Professor of Statistics, University of Sheffield.</w:t>
      </w:r>
      <w:r w:rsidRPr="00085FD0">
        <w:rPr>
          <w:rFonts w:cs="Times New Roman"/>
        </w:rPr>
        <w:br w:type="page"/>
      </w:r>
    </w:p>
    <w:p w14:paraId="01B3A848" w14:textId="0812C46A" w:rsidR="002030E7" w:rsidRPr="00AC6A21" w:rsidRDefault="00176BAD" w:rsidP="002030E7">
      <w:pPr>
        <w:rPr>
          <w:rFonts w:cs="Times New Roman"/>
          <w:b/>
        </w:rPr>
      </w:pPr>
      <w:r>
        <w:rPr>
          <w:rFonts w:cs="Times New Roman"/>
          <w:b/>
        </w:rPr>
        <w:t>2</w:t>
      </w:r>
      <w:r>
        <w:rPr>
          <w:rFonts w:cs="Times New Roman"/>
          <w:b/>
        </w:rPr>
        <w:tab/>
      </w:r>
      <w:r w:rsidR="002030E7" w:rsidRPr="00AC6A21">
        <w:rPr>
          <w:rFonts w:cs="Times New Roman"/>
          <w:b/>
        </w:rPr>
        <w:t>Parameters related to misdiagnoses of the cause of death in patients who die due to CJD</w:t>
      </w:r>
    </w:p>
    <w:p w14:paraId="644B74D9" w14:textId="77777777" w:rsidR="002030E7" w:rsidRPr="00AC6A21" w:rsidRDefault="002030E7" w:rsidP="002030E7">
      <w:pPr>
        <w:jc w:val="both"/>
        <w:rPr>
          <w:rFonts w:cs="Times New Roman"/>
          <w:lang w:val="en-US"/>
        </w:rPr>
      </w:pPr>
      <w:r w:rsidRPr="00AC6A21">
        <w:rPr>
          <w:rFonts w:cs="Times New Roman"/>
          <w:lang w:val="en-US"/>
        </w:rPr>
        <w:t xml:space="preserve">The quantity of interest is the percentage of patients whose death was due to CJD that are misdiagnosed as having died from another neurodegenerative disease, since 2005. </w:t>
      </w:r>
    </w:p>
    <w:p w14:paraId="3DCE867F" w14:textId="77777777" w:rsidR="002030E7" w:rsidRPr="00AC6A21" w:rsidRDefault="002030E7" w:rsidP="002030E7">
      <w:pPr>
        <w:rPr>
          <w:rFonts w:cs="Times New Roman"/>
          <w:lang w:val="en-US"/>
        </w:rPr>
      </w:pPr>
      <w:r w:rsidRPr="00AC6A21">
        <w:rPr>
          <w:rFonts w:cs="Times New Roman"/>
          <w:lang w:val="en-US"/>
        </w:rPr>
        <w:t>A separate percentage is considered for each of three age categories:</w:t>
      </w:r>
    </w:p>
    <w:p w14:paraId="370A8290" w14:textId="77777777" w:rsidR="002030E7" w:rsidRPr="00AC6A21" w:rsidRDefault="002030E7" w:rsidP="002030E7">
      <w:pPr>
        <w:numPr>
          <w:ilvl w:val="0"/>
          <w:numId w:val="28"/>
        </w:numPr>
        <w:jc w:val="both"/>
        <w:rPr>
          <w:rFonts w:cs="Times New Roman"/>
          <w:lang w:val="en-US"/>
        </w:rPr>
      </w:pPr>
      <w:r w:rsidRPr="00AC6A21">
        <w:rPr>
          <w:rFonts w:cs="Times New Roman"/>
          <w:lang w:val="en-US"/>
        </w:rPr>
        <w:t>&lt; 60 years old</w:t>
      </w:r>
    </w:p>
    <w:p w14:paraId="293FB2A5" w14:textId="77777777" w:rsidR="002030E7" w:rsidRPr="00AC6A21" w:rsidRDefault="002030E7" w:rsidP="002030E7">
      <w:pPr>
        <w:numPr>
          <w:ilvl w:val="0"/>
          <w:numId w:val="28"/>
        </w:numPr>
        <w:jc w:val="both"/>
        <w:rPr>
          <w:rFonts w:cs="Times New Roman"/>
          <w:lang w:val="en-US"/>
        </w:rPr>
      </w:pPr>
      <w:r w:rsidRPr="00AC6A21">
        <w:rPr>
          <w:rFonts w:cs="Times New Roman"/>
          <w:lang w:val="en-US"/>
        </w:rPr>
        <w:t>60-79 years old</w:t>
      </w:r>
    </w:p>
    <w:p w14:paraId="0BB51FBD" w14:textId="77777777" w:rsidR="002030E7" w:rsidRPr="00AC6A21" w:rsidRDefault="002030E7" w:rsidP="002030E7">
      <w:pPr>
        <w:numPr>
          <w:ilvl w:val="0"/>
          <w:numId w:val="28"/>
        </w:numPr>
        <w:jc w:val="both"/>
        <w:rPr>
          <w:rFonts w:cs="Times New Roman"/>
          <w:lang w:val="en-US"/>
        </w:rPr>
      </w:pPr>
      <w:r w:rsidRPr="00AC6A21">
        <w:rPr>
          <w:rFonts w:cs="Times New Roman"/>
          <w:lang w:val="en-US"/>
        </w:rPr>
        <w:t>≥ 80 years old</w:t>
      </w:r>
    </w:p>
    <w:p w14:paraId="3E8F4730" w14:textId="77777777" w:rsidR="002030E7" w:rsidRPr="00AC6A21" w:rsidRDefault="002030E7" w:rsidP="002030E7">
      <w:pPr>
        <w:rPr>
          <w:rFonts w:cs="Times New Roman"/>
        </w:rPr>
      </w:pPr>
      <w:r w:rsidRPr="00AC6A21">
        <w:rPr>
          <w:rFonts w:cs="Times New Roman"/>
        </w:rPr>
        <w:t>It was decided to elicit distributions for age categories (1) and (3), and assume that the percentage for age category (2) would be the mean of these two.</w:t>
      </w:r>
    </w:p>
    <w:p w14:paraId="19AAD8C0" w14:textId="77777777" w:rsidR="002030E7" w:rsidRPr="00AC6A21" w:rsidRDefault="002030E7" w:rsidP="002030E7">
      <w:pPr>
        <w:rPr>
          <w:rFonts w:cs="Times New Roman"/>
        </w:rPr>
      </w:pPr>
    </w:p>
    <w:p w14:paraId="4A4A0F32" w14:textId="204518AB" w:rsidR="002030E7" w:rsidRPr="00AC6A21" w:rsidRDefault="002030E7" w:rsidP="002030E7">
      <w:pPr>
        <w:rPr>
          <w:rFonts w:cs="Times New Roman"/>
          <w:b/>
        </w:rPr>
      </w:pPr>
      <w:r>
        <w:rPr>
          <w:rFonts w:cs="Times New Roman"/>
          <w:b/>
        </w:rPr>
        <w:t>2.1</w:t>
      </w:r>
      <w:r w:rsidR="00176BAD">
        <w:rPr>
          <w:rFonts w:cs="Times New Roman"/>
          <w:b/>
        </w:rPr>
        <w:tab/>
      </w:r>
      <w:r w:rsidRPr="00AC6A21">
        <w:rPr>
          <w:rFonts w:cs="Times New Roman"/>
          <w:b/>
        </w:rPr>
        <w:t xml:space="preserve">Parameter 1 definition: </w:t>
      </w:r>
      <w:r w:rsidRPr="00AC6A21">
        <w:rPr>
          <w:rFonts w:cs="Times New Roman"/>
          <w:lang w:val="en-US"/>
        </w:rPr>
        <w:t>the percentage of patients, aged less than 60, whose death was due to CJD, that are misdiagnosed as having died from another neurodegenerative disease, since 2005.</w:t>
      </w:r>
    </w:p>
    <w:p w14:paraId="1635DC04" w14:textId="77777777" w:rsidR="002030E7" w:rsidRPr="00AC6A21" w:rsidRDefault="002030E7" w:rsidP="002030E7">
      <w:pPr>
        <w:rPr>
          <w:rFonts w:cs="Times New Roman"/>
        </w:rPr>
      </w:pPr>
    </w:p>
    <w:p w14:paraId="2B4639AE" w14:textId="4636D93E" w:rsidR="002030E7" w:rsidRPr="00AC6A21" w:rsidRDefault="002030E7" w:rsidP="002030E7">
      <w:pPr>
        <w:rPr>
          <w:rFonts w:cs="Times New Roman"/>
          <w:b/>
        </w:rPr>
      </w:pPr>
      <w:r w:rsidRPr="00AC6A21">
        <w:rPr>
          <w:rFonts w:cs="Times New Roman"/>
          <w:b/>
        </w:rPr>
        <w:t>2.1.1</w:t>
      </w:r>
      <w:r w:rsidR="00CA422E">
        <w:rPr>
          <w:rFonts w:cs="Times New Roman"/>
          <w:b/>
        </w:rPr>
        <w:tab/>
      </w:r>
      <w:r w:rsidRPr="00AC6A21">
        <w:rPr>
          <w:rFonts w:cs="Times New Roman"/>
          <w:b/>
        </w:rPr>
        <w:t xml:space="preserve">Individual judgements </w:t>
      </w:r>
    </w:p>
    <w:p w14:paraId="401F92D7" w14:textId="77777777" w:rsidR="002030E7" w:rsidRPr="00085FD0" w:rsidRDefault="002030E7" w:rsidP="002030E7">
      <w:pPr>
        <w:rPr>
          <w:rFonts w:cs="Times New Roman"/>
        </w:rPr>
      </w:pPr>
      <w:r w:rsidRPr="00085FD0">
        <w:rPr>
          <w:rFonts w:cs="Times New Roman"/>
        </w:rPr>
        <w:t>Without conferring, the experts made the following probability judgements for Parameter 1</w:t>
      </w:r>
    </w:p>
    <w:p w14:paraId="165118A7" w14:textId="77777777" w:rsidR="002030E7" w:rsidRPr="00085FD0" w:rsidRDefault="002030E7" w:rsidP="002030E7">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1350"/>
        <w:gridCol w:w="1276"/>
        <w:gridCol w:w="1134"/>
        <w:gridCol w:w="1276"/>
        <w:gridCol w:w="1701"/>
      </w:tblGrid>
      <w:tr w:rsidR="002030E7" w:rsidRPr="00085FD0" w14:paraId="2D5EC29C" w14:textId="77777777" w:rsidTr="007329B9">
        <w:trPr>
          <w:jc w:val="center"/>
        </w:trPr>
        <w:tc>
          <w:tcPr>
            <w:tcW w:w="1026" w:type="dxa"/>
            <w:shd w:val="clear" w:color="auto" w:fill="auto"/>
          </w:tcPr>
          <w:p w14:paraId="402B6A47" w14:textId="77777777" w:rsidR="002030E7" w:rsidRPr="00085FD0" w:rsidRDefault="002030E7" w:rsidP="007329B9">
            <w:pPr>
              <w:rPr>
                <w:rFonts w:cs="Times New Roman"/>
              </w:rPr>
            </w:pPr>
            <w:r w:rsidRPr="00085FD0">
              <w:rPr>
                <w:rFonts w:cs="Times New Roman"/>
              </w:rPr>
              <w:t>Expert</w:t>
            </w:r>
          </w:p>
        </w:tc>
        <w:tc>
          <w:tcPr>
            <w:tcW w:w="1350" w:type="dxa"/>
            <w:shd w:val="clear" w:color="auto" w:fill="auto"/>
          </w:tcPr>
          <w:p w14:paraId="5C98F4B1" w14:textId="77777777" w:rsidR="002030E7" w:rsidRPr="00085FD0" w:rsidRDefault="002030E7" w:rsidP="007329B9">
            <w:pPr>
              <w:rPr>
                <w:rFonts w:cs="Times New Roman"/>
              </w:rPr>
            </w:pPr>
            <w:r w:rsidRPr="00085FD0">
              <w:rPr>
                <w:rFonts w:cs="Times New Roman"/>
              </w:rPr>
              <w:t>Plausible lower limit</w:t>
            </w:r>
          </w:p>
        </w:tc>
        <w:tc>
          <w:tcPr>
            <w:tcW w:w="1276" w:type="dxa"/>
            <w:shd w:val="clear" w:color="auto" w:fill="auto"/>
          </w:tcPr>
          <w:p w14:paraId="72F00E67" w14:textId="77777777" w:rsidR="002030E7" w:rsidRPr="00085FD0" w:rsidRDefault="002030E7" w:rsidP="007329B9">
            <w:pPr>
              <w:rPr>
                <w:rFonts w:cs="Times New Roman"/>
              </w:rPr>
            </w:pPr>
            <w:r w:rsidRPr="00085FD0">
              <w:rPr>
                <w:rFonts w:cs="Times New Roman"/>
              </w:rPr>
              <w:t>25</w:t>
            </w:r>
            <w:r w:rsidRPr="00085FD0">
              <w:rPr>
                <w:rFonts w:cs="Times New Roman"/>
                <w:vertAlign w:val="superscript"/>
              </w:rPr>
              <w:t>th</w:t>
            </w:r>
            <w:r w:rsidRPr="00085FD0">
              <w:rPr>
                <w:rFonts w:cs="Times New Roman"/>
              </w:rPr>
              <w:t xml:space="preserve"> percentile</w:t>
            </w:r>
          </w:p>
        </w:tc>
        <w:tc>
          <w:tcPr>
            <w:tcW w:w="1134" w:type="dxa"/>
            <w:shd w:val="clear" w:color="auto" w:fill="auto"/>
          </w:tcPr>
          <w:p w14:paraId="7E657907" w14:textId="77777777" w:rsidR="002030E7" w:rsidRPr="00085FD0" w:rsidRDefault="002030E7" w:rsidP="007329B9">
            <w:pPr>
              <w:rPr>
                <w:rFonts w:cs="Times New Roman"/>
              </w:rPr>
            </w:pPr>
            <w:r w:rsidRPr="00085FD0">
              <w:rPr>
                <w:rFonts w:cs="Times New Roman"/>
              </w:rPr>
              <w:t>median</w:t>
            </w:r>
          </w:p>
        </w:tc>
        <w:tc>
          <w:tcPr>
            <w:tcW w:w="1276" w:type="dxa"/>
            <w:shd w:val="clear" w:color="auto" w:fill="auto"/>
          </w:tcPr>
          <w:p w14:paraId="15E10C3D" w14:textId="77777777" w:rsidR="002030E7" w:rsidRPr="00085FD0" w:rsidRDefault="002030E7" w:rsidP="007329B9">
            <w:pPr>
              <w:rPr>
                <w:rFonts w:cs="Times New Roman"/>
              </w:rPr>
            </w:pPr>
            <w:r w:rsidRPr="00085FD0">
              <w:rPr>
                <w:rFonts w:cs="Times New Roman"/>
              </w:rPr>
              <w:t>75</w:t>
            </w:r>
            <w:r w:rsidRPr="00085FD0">
              <w:rPr>
                <w:rFonts w:cs="Times New Roman"/>
                <w:vertAlign w:val="superscript"/>
              </w:rPr>
              <w:t>th</w:t>
            </w:r>
          </w:p>
          <w:p w14:paraId="759F3C06" w14:textId="77777777" w:rsidR="002030E7" w:rsidRPr="00085FD0" w:rsidRDefault="002030E7" w:rsidP="007329B9">
            <w:pPr>
              <w:rPr>
                <w:rFonts w:cs="Times New Roman"/>
              </w:rPr>
            </w:pPr>
            <w:r w:rsidRPr="00085FD0">
              <w:rPr>
                <w:rFonts w:cs="Times New Roman"/>
              </w:rPr>
              <w:t>percentile</w:t>
            </w:r>
          </w:p>
        </w:tc>
        <w:tc>
          <w:tcPr>
            <w:tcW w:w="1701" w:type="dxa"/>
            <w:shd w:val="clear" w:color="auto" w:fill="auto"/>
          </w:tcPr>
          <w:p w14:paraId="78CEB766" w14:textId="77777777" w:rsidR="002030E7" w:rsidRPr="00085FD0" w:rsidRDefault="002030E7" w:rsidP="007329B9">
            <w:pPr>
              <w:rPr>
                <w:rFonts w:cs="Times New Roman"/>
              </w:rPr>
            </w:pPr>
            <w:r w:rsidRPr="00085FD0">
              <w:rPr>
                <w:rFonts w:cs="Times New Roman"/>
              </w:rPr>
              <w:t>Plausible upper limit</w:t>
            </w:r>
          </w:p>
        </w:tc>
      </w:tr>
      <w:tr w:rsidR="002030E7" w:rsidRPr="00085FD0" w14:paraId="0C0288AB" w14:textId="77777777" w:rsidTr="007329B9">
        <w:trPr>
          <w:jc w:val="center"/>
        </w:trPr>
        <w:tc>
          <w:tcPr>
            <w:tcW w:w="1026" w:type="dxa"/>
            <w:shd w:val="clear" w:color="auto" w:fill="auto"/>
          </w:tcPr>
          <w:p w14:paraId="275CAC92" w14:textId="77777777" w:rsidR="002030E7" w:rsidRPr="00085FD0" w:rsidRDefault="002030E7" w:rsidP="007329B9">
            <w:pPr>
              <w:rPr>
                <w:rFonts w:cs="Times New Roman"/>
              </w:rPr>
            </w:pPr>
            <w:r w:rsidRPr="00085FD0">
              <w:rPr>
                <w:rFonts w:cs="Times New Roman"/>
              </w:rPr>
              <w:t>A</w:t>
            </w:r>
          </w:p>
        </w:tc>
        <w:tc>
          <w:tcPr>
            <w:tcW w:w="1350" w:type="dxa"/>
            <w:shd w:val="clear" w:color="auto" w:fill="auto"/>
          </w:tcPr>
          <w:p w14:paraId="295524F9" w14:textId="77777777" w:rsidR="002030E7" w:rsidRPr="00085FD0" w:rsidRDefault="002030E7" w:rsidP="007329B9">
            <w:pPr>
              <w:rPr>
                <w:rFonts w:cs="Times New Roman"/>
              </w:rPr>
            </w:pPr>
            <w:r w:rsidRPr="00085FD0">
              <w:rPr>
                <w:rFonts w:cs="Times New Roman"/>
              </w:rPr>
              <w:t>0%</w:t>
            </w:r>
          </w:p>
        </w:tc>
        <w:tc>
          <w:tcPr>
            <w:tcW w:w="1276" w:type="dxa"/>
            <w:shd w:val="clear" w:color="auto" w:fill="auto"/>
          </w:tcPr>
          <w:p w14:paraId="42782652" w14:textId="77777777" w:rsidR="002030E7" w:rsidRPr="00085FD0" w:rsidRDefault="002030E7" w:rsidP="007329B9">
            <w:pPr>
              <w:rPr>
                <w:rFonts w:cs="Times New Roman"/>
              </w:rPr>
            </w:pPr>
            <w:r w:rsidRPr="00085FD0">
              <w:rPr>
                <w:rFonts w:cs="Times New Roman"/>
              </w:rPr>
              <w:t>0.5%</w:t>
            </w:r>
          </w:p>
        </w:tc>
        <w:tc>
          <w:tcPr>
            <w:tcW w:w="1134" w:type="dxa"/>
            <w:shd w:val="clear" w:color="auto" w:fill="auto"/>
          </w:tcPr>
          <w:p w14:paraId="1662E4AB" w14:textId="77777777" w:rsidR="002030E7" w:rsidRPr="00085FD0" w:rsidRDefault="002030E7" w:rsidP="007329B9">
            <w:pPr>
              <w:rPr>
                <w:rFonts w:cs="Times New Roman"/>
              </w:rPr>
            </w:pPr>
            <w:r w:rsidRPr="00085FD0">
              <w:rPr>
                <w:rFonts w:cs="Times New Roman"/>
              </w:rPr>
              <w:t>1%</w:t>
            </w:r>
          </w:p>
        </w:tc>
        <w:tc>
          <w:tcPr>
            <w:tcW w:w="1276" w:type="dxa"/>
            <w:shd w:val="clear" w:color="auto" w:fill="auto"/>
          </w:tcPr>
          <w:p w14:paraId="6AEB3588" w14:textId="77777777" w:rsidR="002030E7" w:rsidRPr="00085FD0" w:rsidRDefault="002030E7" w:rsidP="007329B9">
            <w:pPr>
              <w:rPr>
                <w:rFonts w:cs="Times New Roman"/>
              </w:rPr>
            </w:pPr>
            <w:r w:rsidRPr="00085FD0">
              <w:rPr>
                <w:rFonts w:cs="Times New Roman"/>
              </w:rPr>
              <w:t>3%</w:t>
            </w:r>
          </w:p>
        </w:tc>
        <w:tc>
          <w:tcPr>
            <w:tcW w:w="1701" w:type="dxa"/>
            <w:shd w:val="clear" w:color="auto" w:fill="auto"/>
          </w:tcPr>
          <w:p w14:paraId="5C719233" w14:textId="77777777" w:rsidR="002030E7" w:rsidRPr="00085FD0" w:rsidRDefault="002030E7" w:rsidP="007329B9">
            <w:pPr>
              <w:rPr>
                <w:rFonts w:cs="Times New Roman"/>
              </w:rPr>
            </w:pPr>
            <w:r w:rsidRPr="00085FD0">
              <w:rPr>
                <w:rFonts w:cs="Times New Roman"/>
              </w:rPr>
              <w:t>10%</w:t>
            </w:r>
          </w:p>
        </w:tc>
      </w:tr>
      <w:tr w:rsidR="002030E7" w:rsidRPr="00085FD0" w14:paraId="077912D0" w14:textId="77777777" w:rsidTr="007329B9">
        <w:trPr>
          <w:jc w:val="center"/>
        </w:trPr>
        <w:tc>
          <w:tcPr>
            <w:tcW w:w="1026" w:type="dxa"/>
            <w:shd w:val="clear" w:color="auto" w:fill="auto"/>
          </w:tcPr>
          <w:p w14:paraId="5841CF4D" w14:textId="77777777" w:rsidR="002030E7" w:rsidRPr="00085FD0" w:rsidRDefault="002030E7" w:rsidP="007329B9">
            <w:pPr>
              <w:rPr>
                <w:rFonts w:cs="Times New Roman"/>
              </w:rPr>
            </w:pPr>
            <w:r w:rsidRPr="00085FD0">
              <w:rPr>
                <w:rFonts w:cs="Times New Roman"/>
              </w:rPr>
              <w:t>B</w:t>
            </w:r>
          </w:p>
        </w:tc>
        <w:tc>
          <w:tcPr>
            <w:tcW w:w="1350" w:type="dxa"/>
            <w:shd w:val="clear" w:color="auto" w:fill="auto"/>
          </w:tcPr>
          <w:p w14:paraId="6FBAAC3D" w14:textId="77777777" w:rsidR="002030E7" w:rsidRPr="00085FD0" w:rsidRDefault="002030E7" w:rsidP="007329B9">
            <w:pPr>
              <w:rPr>
                <w:rFonts w:cs="Times New Roman"/>
              </w:rPr>
            </w:pPr>
            <w:r w:rsidRPr="00085FD0">
              <w:rPr>
                <w:rFonts w:cs="Times New Roman"/>
              </w:rPr>
              <w:t>0%</w:t>
            </w:r>
          </w:p>
        </w:tc>
        <w:tc>
          <w:tcPr>
            <w:tcW w:w="1276" w:type="dxa"/>
            <w:shd w:val="clear" w:color="auto" w:fill="auto"/>
          </w:tcPr>
          <w:p w14:paraId="676E963F" w14:textId="77777777" w:rsidR="002030E7" w:rsidRPr="00085FD0" w:rsidRDefault="002030E7" w:rsidP="007329B9">
            <w:pPr>
              <w:rPr>
                <w:rFonts w:cs="Times New Roman"/>
              </w:rPr>
            </w:pPr>
            <w:r w:rsidRPr="00085FD0">
              <w:rPr>
                <w:rFonts w:cs="Times New Roman"/>
              </w:rPr>
              <w:t>2.5%</w:t>
            </w:r>
          </w:p>
        </w:tc>
        <w:tc>
          <w:tcPr>
            <w:tcW w:w="1134" w:type="dxa"/>
            <w:shd w:val="clear" w:color="auto" w:fill="auto"/>
          </w:tcPr>
          <w:p w14:paraId="1886D2EB" w14:textId="77777777" w:rsidR="002030E7" w:rsidRPr="00085FD0" w:rsidRDefault="002030E7" w:rsidP="007329B9">
            <w:pPr>
              <w:rPr>
                <w:rFonts w:cs="Times New Roman"/>
              </w:rPr>
            </w:pPr>
            <w:r w:rsidRPr="00085FD0">
              <w:rPr>
                <w:rFonts w:cs="Times New Roman"/>
              </w:rPr>
              <w:t>5%</w:t>
            </w:r>
          </w:p>
        </w:tc>
        <w:tc>
          <w:tcPr>
            <w:tcW w:w="1276" w:type="dxa"/>
            <w:shd w:val="clear" w:color="auto" w:fill="auto"/>
          </w:tcPr>
          <w:p w14:paraId="075647A8" w14:textId="77777777" w:rsidR="002030E7" w:rsidRPr="00085FD0" w:rsidRDefault="002030E7" w:rsidP="007329B9">
            <w:pPr>
              <w:rPr>
                <w:rFonts w:cs="Times New Roman"/>
              </w:rPr>
            </w:pPr>
            <w:r w:rsidRPr="00085FD0">
              <w:rPr>
                <w:rFonts w:cs="Times New Roman"/>
              </w:rPr>
              <w:t>7.5%</w:t>
            </w:r>
          </w:p>
        </w:tc>
        <w:tc>
          <w:tcPr>
            <w:tcW w:w="1701" w:type="dxa"/>
            <w:shd w:val="clear" w:color="auto" w:fill="auto"/>
          </w:tcPr>
          <w:p w14:paraId="1407BA0C" w14:textId="77777777" w:rsidR="002030E7" w:rsidRPr="00085FD0" w:rsidRDefault="002030E7" w:rsidP="007329B9">
            <w:pPr>
              <w:rPr>
                <w:rFonts w:cs="Times New Roman"/>
              </w:rPr>
            </w:pPr>
            <w:r w:rsidRPr="00085FD0">
              <w:rPr>
                <w:rFonts w:cs="Times New Roman"/>
              </w:rPr>
              <w:t>15%</w:t>
            </w:r>
          </w:p>
        </w:tc>
      </w:tr>
      <w:tr w:rsidR="002030E7" w:rsidRPr="00085FD0" w14:paraId="542E55D5" w14:textId="77777777" w:rsidTr="007329B9">
        <w:trPr>
          <w:jc w:val="center"/>
        </w:trPr>
        <w:tc>
          <w:tcPr>
            <w:tcW w:w="1026" w:type="dxa"/>
            <w:shd w:val="clear" w:color="auto" w:fill="auto"/>
          </w:tcPr>
          <w:p w14:paraId="4AD36EBC" w14:textId="77777777" w:rsidR="002030E7" w:rsidRPr="00085FD0" w:rsidRDefault="002030E7" w:rsidP="007329B9">
            <w:pPr>
              <w:rPr>
                <w:rFonts w:cs="Times New Roman"/>
              </w:rPr>
            </w:pPr>
            <w:r w:rsidRPr="00085FD0">
              <w:rPr>
                <w:rFonts w:cs="Times New Roman"/>
              </w:rPr>
              <w:t>C</w:t>
            </w:r>
          </w:p>
        </w:tc>
        <w:tc>
          <w:tcPr>
            <w:tcW w:w="1350" w:type="dxa"/>
            <w:shd w:val="clear" w:color="auto" w:fill="auto"/>
          </w:tcPr>
          <w:p w14:paraId="2C4BEC7A" w14:textId="77777777" w:rsidR="002030E7" w:rsidRPr="00085FD0" w:rsidRDefault="002030E7" w:rsidP="007329B9">
            <w:pPr>
              <w:rPr>
                <w:rFonts w:cs="Times New Roman"/>
              </w:rPr>
            </w:pPr>
            <w:r w:rsidRPr="00085FD0">
              <w:rPr>
                <w:rFonts w:cs="Times New Roman"/>
              </w:rPr>
              <w:t>0%</w:t>
            </w:r>
          </w:p>
        </w:tc>
        <w:tc>
          <w:tcPr>
            <w:tcW w:w="1276" w:type="dxa"/>
            <w:shd w:val="clear" w:color="auto" w:fill="auto"/>
          </w:tcPr>
          <w:p w14:paraId="77BBD76A" w14:textId="77777777" w:rsidR="002030E7" w:rsidRPr="00085FD0" w:rsidRDefault="002030E7" w:rsidP="007329B9">
            <w:pPr>
              <w:rPr>
                <w:rFonts w:cs="Times New Roman"/>
              </w:rPr>
            </w:pPr>
            <w:r w:rsidRPr="00085FD0">
              <w:rPr>
                <w:rFonts w:cs="Times New Roman"/>
              </w:rPr>
              <w:t>10%</w:t>
            </w:r>
          </w:p>
        </w:tc>
        <w:tc>
          <w:tcPr>
            <w:tcW w:w="1134" w:type="dxa"/>
            <w:shd w:val="clear" w:color="auto" w:fill="auto"/>
          </w:tcPr>
          <w:p w14:paraId="7C43E834" w14:textId="77777777" w:rsidR="002030E7" w:rsidRPr="00085FD0" w:rsidRDefault="002030E7" w:rsidP="007329B9">
            <w:pPr>
              <w:rPr>
                <w:rFonts w:cs="Times New Roman"/>
              </w:rPr>
            </w:pPr>
            <w:r w:rsidRPr="00085FD0">
              <w:rPr>
                <w:rFonts w:cs="Times New Roman"/>
              </w:rPr>
              <w:t>20%</w:t>
            </w:r>
          </w:p>
        </w:tc>
        <w:tc>
          <w:tcPr>
            <w:tcW w:w="1276" w:type="dxa"/>
            <w:shd w:val="clear" w:color="auto" w:fill="auto"/>
          </w:tcPr>
          <w:p w14:paraId="543005E8" w14:textId="77777777" w:rsidR="002030E7" w:rsidRPr="00085FD0" w:rsidRDefault="002030E7" w:rsidP="007329B9">
            <w:pPr>
              <w:rPr>
                <w:rFonts w:cs="Times New Roman"/>
              </w:rPr>
            </w:pPr>
            <w:r w:rsidRPr="00085FD0">
              <w:rPr>
                <w:rFonts w:cs="Times New Roman"/>
              </w:rPr>
              <w:t>30%</w:t>
            </w:r>
          </w:p>
        </w:tc>
        <w:tc>
          <w:tcPr>
            <w:tcW w:w="1701" w:type="dxa"/>
            <w:shd w:val="clear" w:color="auto" w:fill="auto"/>
          </w:tcPr>
          <w:p w14:paraId="515F683A" w14:textId="77777777" w:rsidR="002030E7" w:rsidRPr="00085FD0" w:rsidRDefault="002030E7" w:rsidP="007329B9">
            <w:pPr>
              <w:rPr>
                <w:rFonts w:cs="Times New Roman"/>
              </w:rPr>
            </w:pPr>
            <w:r w:rsidRPr="00085FD0">
              <w:rPr>
                <w:rFonts w:cs="Times New Roman"/>
              </w:rPr>
              <w:t>50%</w:t>
            </w:r>
          </w:p>
        </w:tc>
      </w:tr>
      <w:tr w:rsidR="002030E7" w:rsidRPr="00085FD0" w14:paraId="42363985" w14:textId="77777777" w:rsidTr="007329B9">
        <w:trPr>
          <w:jc w:val="center"/>
        </w:trPr>
        <w:tc>
          <w:tcPr>
            <w:tcW w:w="1026" w:type="dxa"/>
            <w:shd w:val="clear" w:color="auto" w:fill="auto"/>
          </w:tcPr>
          <w:p w14:paraId="109FA147" w14:textId="77777777" w:rsidR="002030E7" w:rsidRPr="00085FD0" w:rsidRDefault="002030E7" w:rsidP="007329B9">
            <w:pPr>
              <w:rPr>
                <w:rFonts w:cs="Times New Roman"/>
              </w:rPr>
            </w:pPr>
            <w:r w:rsidRPr="00085FD0">
              <w:rPr>
                <w:rFonts w:cs="Times New Roman"/>
              </w:rPr>
              <w:t>D</w:t>
            </w:r>
          </w:p>
        </w:tc>
        <w:tc>
          <w:tcPr>
            <w:tcW w:w="1350" w:type="dxa"/>
            <w:shd w:val="clear" w:color="auto" w:fill="auto"/>
          </w:tcPr>
          <w:p w14:paraId="56FACC8D" w14:textId="77777777" w:rsidR="002030E7" w:rsidRPr="00085FD0" w:rsidRDefault="002030E7" w:rsidP="007329B9">
            <w:pPr>
              <w:rPr>
                <w:rFonts w:cs="Times New Roman"/>
              </w:rPr>
            </w:pPr>
            <w:r w:rsidRPr="00085FD0">
              <w:rPr>
                <w:rFonts w:cs="Times New Roman"/>
              </w:rPr>
              <w:t>0%</w:t>
            </w:r>
          </w:p>
        </w:tc>
        <w:tc>
          <w:tcPr>
            <w:tcW w:w="1276" w:type="dxa"/>
            <w:shd w:val="clear" w:color="auto" w:fill="auto"/>
          </w:tcPr>
          <w:p w14:paraId="6E861A0E" w14:textId="77777777" w:rsidR="002030E7" w:rsidRPr="00085FD0" w:rsidRDefault="002030E7" w:rsidP="007329B9">
            <w:pPr>
              <w:rPr>
                <w:rFonts w:cs="Times New Roman"/>
              </w:rPr>
            </w:pPr>
            <w:r w:rsidRPr="00085FD0">
              <w:rPr>
                <w:rFonts w:cs="Times New Roman"/>
              </w:rPr>
              <w:t>1%</w:t>
            </w:r>
          </w:p>
        </w:tc>
        <w:tc>
          <w:tcPr>
            <w:tcW w:w="1134" w:type="dxa"/>
            <w:shd w:val="clear" w:color="auto" w:fill="auto"/>
          </w:tcPr>
          <w:p w14:paraId="29A28D50" w14:textId="77777777" w:rsidR="002030E7" w:rsidRPr="00085FD0" w:rsidRDefault="002030E7" w:rsidP="007329B9">
            <w:pPr>
              <w:rPr>
                <w:rFonts w:cs="Times New Roman"/>
              </w:rPr>
            </w:pPr>
            <w:r w:rsidRPr="00085FD0">
              <w:rPr>
                <w:rFonts w:cs="Times New Roman"/>
              </w:rPr>
              <w:t>5%</w:t>
            </w:r>
          </w:p>
        </w:tc>
        <w:tc>
          <w:tcPr>
            <w:tcW w:w="1276" w:type="dxa"/>
            <w:shd w:val="clear" w:color="auto" w:fill="auto"/>
          </w:tcPr>
          <w:p w14:paraId="5C140410" w14:textId="77777777" w:rsidR="002030E7" w:rsidRPr="00085FD0" w:rsidRDefault="002030E7" w:rsidP="007329B9">
            <w:pPr>
              <w:rPr>
                <w:rFonts w:cs="Times New Roman"/>
              </w:rPr>
            </w:pPr>
            <w:r w:rsidRPr="00085FD0">
              <w:rPr>
                <w:rFonts w:cs="Times New Roman"/>
              </w:rPr>
              <w:t>10%</w:t>
            </w:r>
          </w:p>
        </w:tc>
        <w:tc>
          <w:tcPr>
            <w:tcW w:w="1701" w:type="dxa"/>
            <w:shd w:val="clear" w:color="auto" w:fill="auto"/>
          </w:tcPr>
          <w:p w14:paraId="06ECB707" w14:textId="77777777" w:rsidR="002030E7" w:rsidRPr="00085FD0" w:rsidRDefault="002030E7" w:rsidP="007329B9">
            <w:pPr>
              <w:rPr>
                <w:rFonts w:cs="Times New Roman"/>
              </w:rPr>
            </w:pPr>
            <w:r w:rsidRPr="00085FD0">
              <w:rPr>
                <w:rFonts w:cs="Times New Roman"/>
              </w:rPr>
              <w:t>20%</w:t>
            </w:r>
          </w:p>
        </w:tc>
      </w:tr>
    </w:tbl>
    <w:p w14:paraId="35498313" w14:textId="77777777" w:rsidR="002030E7" w:rsidRPr="00085FD0" w:rsidRDefault="002030E7" w:rsidP="002030E7">
      <w:pPr>
        <w:rPr>
          <w:rFonts w:cs="Times New Roman"/>
        </w:rPr>
      </w:pPr>
    </w:p>
    <w:p w14:paraId="60364EFC" w14:textId="417599F3" w:rsidR="002030E7" w:rsidRPr="000A2B75" w:rsidRDefault="002030E7" w:rsidP="002030E7">
      <w:pPr>
        <w:rPr>
          <w:b/>
        </w:rPr>
      </w:pPr>
      <w:r w:rsidRPr="000A2B75">
        <w:rPr>
          <w:b/>
        </w:rPr>
        <w:t>2.1.2</w:t>
      </w:r>
      <w:r w:rsidR="00CA422E">
        <w:rPr>
          <w:b/>
        </w:rPr>
        <w:tab/>
      </w:r>
      <w:r w:rsidRPr="000A2B75">
        <w:rPr>
          <w:b/>
        </w:rPr>
        <w:t>Group discussion and consensus judgements</w:t>
      </w:r>
    </w:p>
    <w:p w14:paraId="1E8106A5" w14:textId="77777777" w:rsidR="002030E7" w:rsidRPr="000A2B75" w:rsidRDefault="002030E7" w:rsidP="002030E7">
      <w:pPr>
        <w:pStyle w:val="BodyText"/>
        <w:spacing w:before="0" w:line="360" w:lineRule="auto"/>
        <w:jc w:val="both"/>
        <w:rPr>
          <w:rFonts w:ascii="Times New Roman" w:hAnsi="Times New Roman"/>
          <w:sz w:val="22"/>
          <w:szCs w:val="22"/>
        </w:rPr>
      </w:pPr>
      <w:r w:rsidRPr="000A2B75">
        <w:rPr>
          <w:rFonts w:ascii="Times New Roman" w:hAnsi="Times New Roman"/>
          <w:sz w:val="22"/>
          <w:szCs w:val="22"/>
        </w:rPr>
        <w:t>Expert C argued that correct diagnosis would be dependent on whether the patient was referred to Neurology; a higher misdiagnosis rate could occur if the referral rate were lower. Where patients were misdiagnosed, a possible diagnosis would be early onset dementia.</w:t>
      </w:r>
    </w:p>
    <w:p w14:paraId="56E8AD66" w14:textId="77777777" w:rsidR="002030E7" w:rsidRPr="000A2B75" w:rsidRDefault="002030E7" w:rsidP="002030E7">
      <w:pPr>
        <w:pStyle w:val="BodyText"/>
        <w:spacing w:before="0" w:line="360" w:lineRule="auto"/>
        <w:jc w:val="both"/>
        <w:rPr>
          <w:rFonts w:ascii="Times New Roman" w:hAnsi="Times New Roman"/>
          <w:sz w:val="22"/>
          <w:szCs w:val="22"/>
        </w:rPr>
      </w:pPr>
    </w:p>
    <w:p w14:paraId="37510A81" w14:textId="77777777" w:rsidR="002030E7" w:rsidRPr="000A2B75" w:rsidRDefault="002030E7" w:rsidP="002030E7">
      <w:pPr>
        <w:pStyle w:val="BodyText"/>
        <w:spacing w:before="0" w:line="360" w:lineRule="auto"/>
        <w:jc w:val="both"/>
        <w:rPr>
          <w:rFonts w:ascii="Times New Roman" w:hAnsi="Times New Roman"/>
          <w:sz w:val="22"/>
          <w:szCs w:val="22"/>
        </w:rPr>
      </w:pPr>
      <w:r w:rsidRPr="000A2B75">
        <w:rPr>
          <w:rFonts w:ascii="Times New Roman" w:hAnsi="Times New Roman"/>
          <w:sz w:val="22"/>
          <w:szCs w:val="22"/>
        </w:rPr>
        <w:t xml:space="preserve">Expert A was willing to revise their own judgements upwards somewhat, but thought Expert C’s view was pessimistic. </w:t>
      </w:r>
    </w:p>
    <w:p w14:paraId="3B0CD8A5" w14:textId="77777777" w:rsidR="002030E7" w:rsidRPr="000A2B75" w:rsidRDefault="002030E7" w:rsidP="002030E7">
      <w:pPr>
        <w:pStyle w:val="BodyText"/>
        <w:spacing w:before="0" w:line="360" w:lineRule="auto"/>
        <w:jc w:val="both"/>
        <w:rPr>
          <w:rFonts w:ascii="Times New Roman" w:hAnsi="Times New Roman"/>
          <w:sz w:val="22"/>
          <w:szCs w:val="22"/>
        </w:rPr>
      </w:pPr>
    </w:p>
    <w:p w14:paraId="76E00D5A" w14:textId="77777777" w:rsidR="002030E7" w:rsidRPr="000A2B75" w:rsidRDefault="002030E7" w:rsidP="002030E7">
      <w:pPr>
        <w:pStyle w:val="BodyText"/>
        <w:spacing w:before="0" w:line="360" w:lineRule="auto"/>
        <w:jc w:val="both"/>
        <w:rPr>
          <w:rFonts w:ascii="Times New Roman" w:hAnsi="Times New Roman"/>
          <w:sz w:val="22"/>
          <w:szCs w:val="22"/>
        </w:rPr>
      </w:pPr>
      <w:r w:rsidRPr="000A2B75">
        <w:rPr>
          <w:rFonts w:ascii="Times New Roman" w:hAnsi="Times New Roman"/>
          <w:sz w:val="22"/>
          <w:szCs w:val="22"/>
        </w:rPr>
        <w:t xml:space="preserve">It was agreed that Expert C’s arguments were valid, but not overwhelming; for the consensus distribution, the experts agreed on quartiles supporting higher values, but set somewhat lower than those originally proposed by Expert C. </w:t>
      </w:r>
    </w:p>
    <w:p w14:paraId="0C6D269E" w14:textId="77777777" w:rsidR="002030E7" w:rsidRDefault="002030E7" w:rsidP="002030E7">
      <w:pPr>
        <w:rPr>
          <w:rFonts w:eastAsia="Times New Roman" w:cs="Times New Roman"/>
          <w:sz w:val="24"/>
          <w:szCs w:val="24"/>
        </w:rPr>
      </w:pPr>
      <w:r>
        <w:br w:type="page"/>
      </w:r>
    </w:p>
    <w:p w14:paraId="526F24AF" w14:textId="77777777" w:rsidR="002030E7" w:rsidRPr="00085FD0" w:rsidRDefault="002030E7" w:rsidP="002030E7">
      <w:pPr>
        <w:pStyle w:val="BodyText"/>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105"/>
        <w:gridCol w:w="1871"/>
        <w:gridCol w:w="1560"/>
      </w:tblGrid>
      <w:tr w:rsidR="002030E7" w:rsidRPr="00085FD0" w14:paraId="5C32483D" w14:textId="77777777" w:rsidTr="007329B9">
        <w:trPr>
          <w:jc w:val="center"/>
        </w:trPr>
        <w:tc>
          <w:tcPr>
            <w:tcW w:w="1384" w:type="dxa"/>
            <w:shd w:val="clear" w:color="auto" w:fill="auto"/>
          </w:tcPr>
          <w:p w14:paraId="0CDF2AA3" w14:textId="77777777" w:rsidR="002030E7" w:rsidRPr="00085FD0" w:rsidRDefault="002030E7" w:rsidP="007329B9">
            <w:pPr>
              <w:rPr>
                <w:rFonts w:cs="Times New Roman"/>
              </w:rPr>
            </w:pPr>
            <w:r w:rsidRPr="00085FD0">
              <w:rPr>
                <w:rFonts w:cs="Times New Roman"/>
              </w:rPr>
              <w:t>Plausible lower limit</w:t>
            </w:r>
          </w:p>
        </w:tc>
        <w:tc>
          <w:tcPr>
            <w:tcW w:w="1418" w:type="dxa"/>
            <w:shd w:val="clear" w:color="auto" w:fill="auto"/>
          </w:tcPr>
          <w:p w14:paraId="6873799E" w14:textId="77777777" w:rsidR="002030E7" w:rsidRPr="00085FD0" w:rsidRDefault="002030E7" w:rsidP="007329B9">
            <w:pPr>
              <w:rPr>
                <w:rFonts w:cs="Times New Roman"/>
              </w:rPr>
            </w:pPr>
            <w:r w:rsidRPr="00085FD0">
              <w:rPr>
                <w:rFonts w:cs="Times New Roman"/>
              </w:rPr>
              <w:t>25</w:t>
            </w:r>
            <w:r w:rsidRPr="00085FD0">
              <w:rPr>
                <w:rFonts w:cs="Times New Roman"/>
                <w:vertAlign w:val="superscript"/>
              </w:rPr>
              <w:t>th</w:t>
            </w:r>
            <w:r w:rsidRPr="00085FD0">
              <w:rPr>
                <w:rFonts w:cs="Times New Roman"/>
              </w:rPr>
              <w:t xml:space="preserve"> percentile</w:t>
            </w:r>
          </w:p>
        </w:tc>
        <w:tc>
          <w:tcPr>
            <w:tcW w:w="1105" w:type="dxa"/>
            <w:shd w:val="clear" w:color="auto" w:fill="auto"/>
          </w:tcPr>
          <w:p w14:paraId="310D8A66" w14:textId="77777777" w:rsidR="002030E7" w:rsidRPr="00085FD0" w:rsidRDefault="002030E7" w:rsidP="007329B9">
            <w:pPr>
              <w:rPr>
                <w:rFonts w:cs="Times New Roman"/>
              </w:rPr>
            </w:pPr>
            <w:r w:rsidRPr="00085FD0">
              <w:rPr>
                <w:rFonts w:cs="Times New Roman"/>
              </w:rPr>
              <w:t>median</w:t>
            </w:r>
          </w:p>
        </w:tc>
        <w:tc>
          <w:tcPr>
            <w:tcW w:w="1871" w:type="dxa"/>
            <w:shd w:val="clear" w:color="auto" w:fill="auto"/>
          </w:tcPr>
          <w:p w14:paraId="6F834963" w14:textId="77777777" w:rsidR="002030E7" w:rsidRPr="00085FD0" w:rsidRDefault="002030E7" w:rsidP="007329B9">
            <w:pPr>
              <w:rPr>
                <w:rFonts w:cs="Times New Roman"/>
              </w:rPr>
            </w:pPr>
            <w:r w:rsidRPr="00085FD0">
              <w:rPr>
                <w:rFonts w:cs="Times New Roman"/>
              </w:rPr>
              <w:t>75</w:t>
            </w:r>
            <w:r w:rsidRPr="00085FD0">
              <w:rPr>
                <w:rFonts w:cs="Times New Roman"/>
                <w:vertAlign w:val="superscript"/>
              </w:rPr>
              <w:t>th</w:t>
            </w:r>
          </w:p>
          <w:p w14:paraId="1AA34F1B" w14:textId="77777777" w:rsidR="002030E7" w:rsidRPr="00085FD0" w:rsidRDefault="002030E7" w:rsidP="007329B9">
            <w:pPr>
              <w:rPr>
                <w:rFonts w:cs="Times New Roman"/>
              </w:rPr>
            </w:pPr>
            <w:r w:rsidRPr="00085FD0">
              <w:rPr>
                <w:rFonts w:cs="Times New Roman"/>
              </w:rPr>
              <w:t>percentile</w:t>
            </w:r>
          </w:p>
        </w:tc>
        <w:tc>
          <w:tcPr>
            <w:tcW w:w="1560" w:type="dxa"/>
            <w:shd w:val="clear" w:color="auto" w:fill="auto"/>
          </w:tcPr>
          <w:p w14:paraId="061E871E" w14:textId="77777777" w:rsidR="002030E7" w:rsidRPr="00085FD0" w:rsidRDefault="002030E7" w:rsidP="007329B9">
            <w:pPr>
              <w:rPr>
                <w:rFonts w:cs="Times New Roman"/>
              </w:rPr>
            </w:pPr>
            <w:r w:rsidRPr="00085FD0">
              <w:rPr>
                <w:rFonts w:cs="Times New Roman"/>
              </w:rPr>
              <w:t>Plausible upper limit</w:t>
            </w:r>
          </w:p>
        </w:tc>
      </w:tr>
      <w:tr w:rsidR="002030E7" w:rsidRPr="00085FD0" w14:paraId="068046E9" w14:textId="77777777" w:rsidTr="007329B9">
        <w:trPr>
          <w:jc w:val="center"/>
        </w:trPr>
        <w:tc>
          <w:tcPr>
            <w:tcW w:w="1384" w:type="dxa"/>
            <w:shd w:val="clear" w:color="auto" w:fill="auto"/>
          </w:tcPr>
          <w:p w14:paraId="100A2ACC" w14:textId="77777777" w:rsidR="002030E7" w:rsidRPr="00085FD0" w:rsidRDefault="002030E7" w:rsidP="007329B9">
            <w:pPr>
              <w:rPr>
                <w:rFonts w:cs="Times New Roman"/>
              </w:rPr>
            </w:pPr>
            <w:r w:rsidRPr="00085FD0">
              <w:rPr>
                <w:rFonts w:cs="Times New Roman"/>
              </w:rPr>
              <w:t>0%</w:t>
            </w:r>
          </w:p>
        </w:tc>
        <w:tc>
          <w:tcPr>
            <w:tcW w:w="1418" w:type="dxa"/>
            <w:shd w:val="clear" w:color="auto" w:fill="auto"/>
          </w:tcPr>
          <w:p w14:paraId="71189764" w14:textId="77777777" w:rsidR="002030E7" w:rsidRPr="00085FD0" w:rsidRDefault="002030E7" w:rsidP="007329B9">
            <w:pPr>
              <w:rPr>
                <w:rFonts w:cs="Times New Roman"/>
              </w:rPr>
            </w:pPr>
            <w:r w:rsidRPr="00085FD0">
              <w:rPr>
                <w:rFonts w:cs="Times New Roman"/>
              </w:rPr>
              <w:t>5%</w:t>
            </w:r>
          </w:p>
        </w:tc>
        <w:tc>
          <w:tcPr>
            <w:tcW w:w="1105" w:type="dxa"/>
            <w:shd w:val="clear" w:color="auto" w:fill="auto"/>
          </w:tcPr>
          <w:p w14:paraId="5774DBE0" w14:textId="77777777" w:rsidR="002030E7" w:rsidRPr="00085FD0" w:rsidRDefault="002030E7" w:rsidP="007329B9">
            <w:pPr>
              <w:rPr>
                <w:rFonts w:cs="Times New Roman"/>
              </w:rPr>
            </w:pPr>
            <w:r w:rsidRPr="00085FD0">
              <w:rPr>
                <w:rFonts w:cs="Times New Roman"/>
              </w:rPr>
              <w:t>10%</w:t>
            </w:r>
          </w:p>
        </w:tc>
        <w:tc>
          <w:tcPr>
            <w:tcW w:w="1871" w:type="dxa"/>
            <w:shd w:val="clear" w:color="auto" w:fill="auto"/>
          </w:tcPr>
          <w:p w14:paraId="392406A7" w14:textId="77777777" w:rsidR="002030E7" w:rsidRPr="00085FD0" w:rsidRDefault="002030E7" w:rsidP="007329B9">
            <w:pPr>
              <w:rPr>
                <w:rFonts w:cs="Times New Roman"/>
              </w:rPr>
            </w:pPr>
            <w:r w:rsidRPr="00085FD0">
              <w:rPr>
                <w:rFonts w:cs="Times New Roman"/>
              </w:rPr>
              <w:t>20%</w:t>
            </w:r>
          </w:p>
        </w:tc>
        <w:tc>
          <w:tcPr>
            <w:tcW w:w="1560" w:type="dxa"/>
            <w:shd w:val="clear" w:color="auto" w:fill="auto"/>
          </w:tcPr>
          <w:p w14:paraId="36200C2F" w14:textId="77777777" w:rsidR="002030E7" w:rsidRPr="00085FD0" w:rsidRDefault="002030E7" w:rsidP="007329B9">
            <w:pPr>
              <w:rPr>
                <w:rFonts w:cs="Times New Roman"/>
              </w:rPr>
            </w:pPr>
            <w:r w:rsidRPr="00085FD0">
              <w:rPr>
                <w:rFonts w:cs="Times New Roman"/>
              </w:rPr>
              <w:t>50%</w:t>
            </w:r>
          </w:p>
        </w:tc>
      </w:tr>
    </w:tbl>
    <w:p w14:paraId="022D1856" w14:textId="77777777" w:rsidR="002030E7" w:rsidRPr="00085FD0" w:rsidRDefault="002030E7" w:rsidP="002030E7">
      <w:pPr>
        <w:jc w:val="center"/>
        <w:rPr>
          <w:rFonts w:cs="Times New Roman"/>
        </w:rPr>
      </w:pPr>
    </w:p>
    <w:p w14:paraId="170B5DDB" w14:textId="77777777" w:rsidR="002030E7" w:rsidRPr="00BD2D79" w:rsidRDefault="002030E7" w:rsidP="002030E7">
      <w:pPr>
        <w:jc w:val="center"/>
        <w:rPr>
          <w:rFonts w:cs="Times New Roman"/>
        </w:rPr>
      </w:pPr>
    </w:p>
    <w:p w14:paraId="2A1C6065" w14:textId="29B54CF2" w:rsidR="002030E7" w:rsidRPr="00AC6A21" w:rsidRDefault="002030E7" w:rsidP="002030E7">
      <w:pPr>
        <w:pStyle w:val="BodyText"/>
        <w:spacing w:before="0" w:line="360" w:lineRule="auto"/>
        <w:rPr>
          <w:rFonts w:ascii="Times New Roman" w:hAnsi="Times New Roman"/>
          <w:b/>
          <w:sz w:val="22"/>
          <w:szCs w:val="22"/>
        </w:rPr>
      </w:pPr>
      <w:r w:rsidRPr="00AC6A21">
        <w:rPr>
          <w:rFonts w:ascii="Times New Roman" w:hAnsi="Times New Roman"/>
          <w:b/>
          <w:sz w:val="22"/>
          <w:szCs w:val="22"/>
        </w:rPr>
        <w:t>2.1.3</w:t>
      </w:r>
      <w:r w:rsidR="00CA422E">
        <w:rPr>
          <w:rFonts w:ascii="Times New Roman" w:hAnsi="Times New Roman"/>
          <w:b/>
          <w:sz w:val="22"/>
          <w:szCs w:val="22"/>
        </w:rPr>
        <w:tab/>
      </w:r>
      <w:r w:rsidRPr="00AC6A21">
        <w:rPr>
          <w:rFonts w:ascii="Times New Roman" w:hAnsi="Times New Roman"/>
          <w:b/>
          <w:sz w:val="22"/>
          <w:szCs w:val="22"/>
        </w:rPr>
        <w:t>Fitted distribution for Parameter 1</w:t>
      </w:r>
    </w:p>
    <w:p w14:paraId="1DAAD843" w14:textId="77777777" w:rsidR="002030E7" w:rsidRPr="00AC6A21" w:rsidRDefault="002030E7" w:rsidP="002030E7">
      <w:pPr>
        <w:pStyle w:val="BodyText"/>
        <w:spacing w:before="0" w:line="360" w:lineRule="auto"/>
        <w:jc w:val="both"/>
        <w:rPr>
          <w:rFonts w:ascii="Times New Roman" w:hAnsi="Times New Roman"/>
          <w:sz w:val="22"/>
          <w:szCs w:val="22"/>
        </w:rPr>
      </w:pPr>
      <w:r w:rsidRPr="00AC6A21">
        <w:rPr>
          <w:rFonts w:ascii="Times New Roman" w:hAnsi="Times New Roman"/>
          <w:sz w:val="22"/>
          <w:szCs w:val="22"/>
        </w:rPr>
        <w:t>A Beta</w:t>
      </w:r>
      <w:r>
        <w:rPr>
          <w:rFonts w:ascii="Times New Roman" w:hAnsi="Times New Roman"/>
          <w:sz w:val="22"/>
          <w:szCs w:val="22"/>
        </w:rPr>
        <w:t xml:space="preserve"> </w:t>
      </w:r>
      <w:r w:rsidRPr="00AC6A21">
        <w:rPr>
          <w:rFonts w:ascii="Times New Roman" w:hAnsi="Times New Roman"/>
          <w:sz w:val="22"/>
          <w:szCs w:val="22"/>
        </w:rPr>
        <w:t>(0.952, 2.71) distribution, scaled to the interval [0, 50%], was fitted to the consensus judgements.</w:t>
      </w:r>
    </w:p>
    <w:p w14:paraId="3E374673" w14:textId="77777777" w:rsidR="002030E7" w:rsidRPr="00BD2D79" w:rsidRDefault="002030E7" w:rsidP="002030E7">
      <w:pPr>
        <w:pStyle w:val="BodyText"/>
        <w:keepNext/>
        <w:jc w:val="center"/>
        <w:rPr>
          <w:rFonts w:ascii="Times New Roman" w:hAnsi="Times New Roman"/>
        </w:rPr>
      </w:pPr>
      <w:r w:rsidRPr="00BD2D79">
        <w:rPr>
          <w:rFonts w:ascii="Times New Roman" w:hAnsi="Times New Roman"/>
          <w:noProof/>
          <w:lang w:eastAsia="en-GB"/>
        </w:rPr>
        <w:drawing>
          <wp:inline distT="0" distB="0" distL="0" distR="0" wp14:anchorId="4F3F6F79" wp14:editId="4FA4419C">
            <wp:extent cx="3615602" cy="313372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19503" cy="3137106"/>
                    </a:xfrm>
                    <a:prstGeom prst="rect">
                      <a:avLst/>
                    </a:prstGeom>
                  </pic:spPr>
                </pic:pic>
              </a:graphicData>
            </a:graphic>
          </wp:inline>
        </w:drawing>
      </w:r>
    </w:p>
    <w:p w14:paraId="699687E3" w14:textId="77777777" w:rsidR="002030E7" w:rsidRPr="00BD2D79" w:rsidRDefault="002030E7" w:rsidP="002030E7">
      <w:pPr>
        <w:rPr>
          <w:rFonts w:cs="Times New Roman"/>
          <w:i/>
          <w:sz w:val="18"/>
          <w:szCs w:val="18"/>
        </w:rPr>
      </w:pPr>
      <w:r w:rsidRPr="00BD2D79">
        <w:rPr>
          <w:rFonts w:cs="Times New Roman"/>
          <w:i/>
          <w:sz w:val="18"/>
          <w:szCs w:val="18"/>
        </w:rPr>
        <w:t>Figure</w:t>
      </w:r>
      <w:r>
        <w:rPr>
          <w:rFonts w:cs="Times New Roman"/>
          <w:i/>
          <w:sz w:val="18"/>
          <w:szCs w:val="18"/>
        </w:rPr>
        <w:t xml:space="preserve"> 1</w:t>
      </w:r>
      <w:r w:rsidRPr="00BD2D79">
        <w:rPr>
          <w:rFonts w:cs="Times New Roman"/>
          <w:i/>
          <w:sz w:val="18"/>
          <w:szCs w:val="18"/>
        </w:rPr>
        <w:t xml:space="preserve">: the distribution chosen to represent the experts’ consensus judgements for Parameter 1: </w:t>
      </w:r>
      <w:r w:rsidRPr="00BD2D79">
        <w:rPr>
          <w:rFonts w:cs="Times New Roman"/>
          <w:i/>
          <w:sz w:val="18"/>
          <w:szCs w:val="18"/>
          <w:lang w:val="en-US"/>
        </w:rPr>
        <w:t>the percentage of patients, aged less than 60, whose death was due to CJD, that are misdiagnosed as having died from another neurodegenerative disease, since 2005.</w:t>
      </w:r>
      <w:r w:rsidRPr="00BD2D79">
        <w:rPr>
          <w:rFonts w:cs="Times New Roman"/>
          <w:b/>
          <w:i/>
          <w:sz w:val="18"/>
          <w:szCs w:val="18"/>
        </w:rPr>
        <w:t xml:space="preserve"> </w:t>
      </w:r>
      <w:r w:rsidRPr="00BD2D79">
        <w:rPr>
          <w:rFonts w:cs="Times New Roman"/>
          <w:i/>
          <w:sz w:val="18"/>
          <w:szCs w:val="18"/>
        </w:rPr>
        <w:t xml:space="preserve"> The red shaded region indicates that, given this choice of distribution, a probability of about 0.99 has been assumed that the percentage misdiagnosed will be less than 40%.</w:t>
      </w:r>
    </w:p>
    <w:p w14:paraId="4EE7EEB3" w14:textId="77777777" w:rsidR="002030E7" w:rsidRPr="00AC6A21" w:rsidRDefault="002030E7" w:rsidP="002030E7">
      <w:pPr>
        <w:pStyle w:val="BodyText"/>
        <w:rPr>
          <w:rFonts w:ascii="Times New Roman" w:hAnsi="Times New Roman"/>
          <w:sz w:val="22"/>
          <w:szCs w:val="22"/>
        </w:rPr>
      </w:pPr>
      <w:r w:rsidRPr="00AC6A21">
        <w:rPr>
          <w:rFonts w:ascii="Times New Roman" w:hAnsi="Times New Roman"/>
          <w:sz w:val="22"/>
          <w:szCs w:val="22"/>
        </w:rPr>
        <w:t>Percentiles from the fitted Beta distribution</w:t>
      </w:r>
    </w:p>
    <w:p w14:paraId="32BD1DB3" w14:textId="77777777" w:rsidR="002030E7" w:rsidRPr="00AC6A21" w:rsidRDefault="002030E7" w:rsidP="002030E7">
      <w:pPr>
        <w:pStyle w:val="BodyText"/>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34"/>
        <w:gridCol w:w="1034"/>
        <w:gridCol w:w="1034"/>
      </w:tblGrid>
      <w:tr w:rsidR="002030E7" w:rsidRPr="00BD2D79" w14:paraId="13A46F29" w14:textId="77777777" w:rsidTr="007329B9">
        <w:trPr>
          <w:jc w:val="center"/>
        </w:trPr>
        <w:tc>
          <w:tcPr>
            <w:tcW w:w="1041" w:type="dxa"/>
            <w:shd w:val="clear" w:color="auto" w:fill="auto"/>
          </w:tcPr>
          <w:p w14:paraId="1C29193F" w14:textId="77777777" w:rsidR="002030E7" w:rsidRPr="00BD2D79" w:rsidRDefault="002030E7" w:rsidP="007329B9">
            <w:pPr>
              <w:rPr>
                <w:rFonts w:cs="Times New Roman"/>
              </w:rPr>
            </w:pPr>
            <w:r w:rsidRPr="00BD2D79">
              <w:rPr>
                <w:rFonts w:cs="Times New Roman"/>
              </w:rPr>
              <w:t>1st</w:t>
            </w:r>
          </w:p>
        </w:tc>
        <w:tc>
          <w:tcPr>
            <w:tcW w:w="1034" w:type="dxa"/>
            <w:shd w:val="clear" w:color="auto" w:fill="auto"/>
          </w:tcPr>
          <w:p w14:paraId="6FBA48B8" w14:textId="77777777" w:rsidR="002030E7" w:rsidRPr="00BD2D79" w:rsidRDefault="002030E7" w:rsidP="007329B9">
            <w:pPr>
              <w:rPr>
                <w:rFonts w:cs="Times New Roman"/>
              </w:rPr>
            </w:pPr>
            <w:r w:rsidRPr="00BD2D79">
              <w:rPr>
                <w:rFonts w:cs="Times New Roman"/>
              </w:rPr>
              <w:t>5th</w:t>
            </w:r>
          </w:p>
        </w:tc>
        <w:tc>
          <w:tcPr>
            <w:tcW w:w="1034" w:type="dxa"/>
            <w:shd w:val="clear" w:color="auto" w:fill="auto"/>
          </w:tcPr>
          <w:p w14:paraId="5884BBF2" w14:textId="77777777" w:rsidR="002030E7" w:rsidRPr="00BD2D79" w:rsidRDefault="002030E7" w:rsidP="007329B9">
            <w:pPr>
              <w:rPr>
                <w:rFonts w:cs="Times New Roman"/>
              </w:rPr>
            </w:pPr>
            <w:r w:rsidRPr="00BD2D79">
              <w:rPr>
                <w:rFonts w:cs="Times New Roman"/>
              </w:rPr>
              <w:t>95th</w:t>
            </w:r>
          </w:p>
        </w:tc>
        <w:tc>
          <w:tcPr>
            <w:tcW w:w="1034" w:type="dxa"/>
            <w:shd w:val="clear" w:color="auto" w:fill="auto"/>
          </w:tcPr>
          <w:p w14:paraId="772B0B8D" w14:textId="77777777" w:rsidR="002030E7" w:rsidRPr="00BD2D79" w:rsidRDefault="002030E7" w:rsidP="007329B9">
            <w:pPr>
              <w:rPr>
                <w:rFonts w:cs="Times New Roman"/>
              </w:rPr>
            </w:pPr>
            <w:r w:rsidRPr="00BD2D79">
              <w:rPr>
                <w:rFonts w:cs="Times New Roman"/>
              </w:rPr>
              <w:t>99</w:t>
            </w:r>
            <w:r w:rsidRPr="00BD2D79">
              <w:rPr>
                <w:rFonts w:cs="Times New Roman"/>
                <w:vertAlign w:val="superscript"/>
              </w:rPr>
              <w:t>th</w:t>
            </w:r>
          </w:p>
          <w:p w14:paraId="49671BDB" w14:textId="77777777" w:rsidR="002030E7" w:rsidRPr="00BD2D79" w:rsidRDefault="002030E7" w:rsidP="007329B9">
            <w:pPr>
              <w:rPr>
                <w:rFonts w:cs="Times New Roman"/>
              </w:rPr>
            </w:pPr>
          </w:p>
        </w:tc>
      </w:tr>
      <w:tr w:rsidR="002030E7" w:rsidRPr="00BD2D79" w14:paraId="01ECF98C" w14:textId="77777777" w:rsidTr="007329B9">
        <w:trPr>
          <w:jc w:val="center"/>
        </w:trPr>
        <w:tc>
          <w:tcPr>
            <w:tcW w:w="1041" w:type="dxa"/>
            <w:shd w:val="clear" w:color="auto" w:fill="auto"/>
          </w:tcPr>
          <w:p w14:paraId="26494021" w14:textId="77777777" w:rsidR="002030E7" w:rsidRPr="00BD2D79" w:rsidRDefault="002030E7" w:rsidP="007329B9">
            <w:pPr>
              <w:rPr>
                <w:rFonts w:cs="Times New Roman"/>
              </w:rPr>
            </w:pPr>
            <w:r w:rsidRPr="00BD2D79">
              <w:rPr>
                <w:rFonts w:cs="Times New Roman"/>
              </w:rPr>
              <w:t>0.1%</w:t>
            </w:r>
          </w:p>
        </w:tc>
        <w:tc>
          <w:tcPr>
            <w:tcW w:w="1034" w:type="dxa"/>
            <w:shd w:val="clear" w:color="auto" w:fill="auto"/>
          </w:tcPr>
          <w:p w14:paraId="632DE95C" w14:textId="77777777" w:rsidR="002030E7" w:rsidRPr="00BD2D79" w:rsidRDefault="002030E7" w:rsidP="007329B9">
            <w:pPr>
              <w:rPr>
                <w:rFonts w:cs="Times New Roman"/>
              </w:rPr>
            </w:pPr>
            <w:r w:rsidRPr="00BD2D79">
              <w:rPr>
                <w:rFonts w:cs="Times New Roman"/>
              </w:rPr>
              <w:t>0.8%</w:t>
            </w:r>
          </w:p>
        </w:tc>
        <w:tc>
          <w:tcPr>
            <w:tcW w:w="1034" w:type="dxa"/>
            <w:shd w:val="clear" w:color="auto" w:fill="auto"/>
          </w:tcPr>
          <w:p w14:paraId="735E512D" w14:textId="77777777" w:rsidR="002030E7" w:rsidRPr="00BD2D79" w:rsidRDefault="002030E7" w:rsidP="007329B9">
            <w:pPr>
              <w:rPr>
                <w:rFonts w:cs="Times New Roman"/>
              </w:rPr>
            </w:pPr>
            <w:r w:rsidRPr="00BD2D79">
              <w:rPr>
                <w:rFonts w:cs="Times New Roman"/>
              </w:rPr>
              <w:t>33.0%</w:t>
            </w:r>
          </w:p>
        </w:tc>
        <w:tc>
          <w:tcPr>
            <w:tcW w:w="1034" w:type="dxa"/>
            <w:shd w:val="clear" w:color="auto" w:fill="auto"/>
          </w:tcPr>
          <w:p w14:paraId="045D14A0" w14:textId="77777777" w:rsidR="002030E7" w:rsidRPr="00BD2D79" w:rsidRDefault="002030E7" w:rsidP="007329B9">
            <w:pPr>
              <w:rPr>
                <w:rFonts w:cs="Times New Roman"/>
              </w:rPr>
            </w:pPr>
            <w:r w:rsidRPr="00BD2D79">
              <w:rPr>
                <w:rFonts w:cs="Times New Roman"/>
              </w:rPr>
              <w:t>40.6%</w:t>
            </w:r>
          </w:p>
        </w:tc>
      </w:tr>
    </w:tbl>
    <w:p w14:paraId="7B2E24E8" w14:textId="77777777" w:rsidR="002030E7" w:rsidRPr="00BD2D79" w:rsidRDefault="002030E7" w:rsidP="002030E7">
      <w:pPr>
        <w:rPr>
          <w:rFonts w:cs="Times New Roman"/>
        </w:rPr>
      </w:pPr>
    </w:p>
    <w:p w14:paraId="344AC934" w14:textId="7169181C" w:rsidR="002030E7" w:rsidRPr="00BD2D79" w:rsidRDefault="002030E7" w:rsidP="002030E7">
      <w:pPr>
        <w:jc w:val="both"/>
        <w:rPr>
          <w:rFonts w:cs="Times New Roman"/>
          <w:b/>
        </w:rPr>
      </w:pPr>
      <w:r w:rsidRPr="00BD2D79">
        <w:rPr>
          <w:rFonts w:cs="Times New Roman"/>
          <w:b/>
        </w:rPr>
        <w:t>2.</w:t>
      </w:r>
      <w:r w:rsidR="00CA422E">
        <w:rPr>
          <w:rFonts w:cs="Times New Roman"/>
          <w:b/>
        </w:rPr>
        <w:t>2</w:t>
      </w:r>
      <w:r w:rsidR="00CA422E">
        <w:rPr>
          <w:rFonts w:cs="Times New Roman"/>
          <w:b/>
        </w:rPr>
        <w:tab/>
      </w:r>
      <w:r w:rsidRPr="00BD2D79">
        <w:rPr>
          <w:rFonts w:cs="Times New Roman"/>
          <w:b/>
        </w:rPr>
        <w:t xml:space="preserve">Parameter 2 definition: </w:t>
      </w:r>
      <w:r w:rsidRPr="00BD2D79">
        <w:rPr>
          <w:rFonts w:cs="Times New Roman"/>
          <w:lang w:val="en-US"/>
        </w:rPr>
        <w:t>the percentage of patients, aged 80 years and above, whose death was due to CJD, that are misdiagnosed as having died from another neurodegenerative disease, since 2005.</w:t>
      </w:r>
    </w:p>
    <w:p w14:paraId="3415901B" w14:textId="77777777" w:rsidR="002030E7" w:rsidRPr="00BD2D79" w:rsidRDefault="002030E7" w:rsidP="002030E7">
      <w:pPr>
        <w:rPr>
          <w:rFonts w:cs="Times New Roman"/>
        </w:rPr>
      </w:pPr>
    </w:p>
    <w:p w14:paraId="3A4628D6" w14:textId="77777777" w:rsidR="002030E7" w:rsidRDefault="002030E7" w:rsidP="002030E7">
      <w:pPr>
        <w:rPr>
          <w:rFonts w:cs="Times New Roman"/>
          <w:b/>
        </w:rPr>
      </w:pPr>
      <w:r>
        <w:rPr>
          <w:rFonts w:cs="Times New Roman"/>
          <w:b/>
        </w:rPr>
        <w:br w:type="page"/>
      </w:r>
    </w:p>
    <w:p w14:paraId="30996918" w14:textId="048FD52F" w:rsidR="002030E7" w:rsidRPr="00180229" w:rsidRDefault="002030E7" w:rsidP="002030E7">
      <w:pPr>
        <w:rPr>
          <w:rFonts w:cs="Times New Roman"/>
          <w:b/>
        </w:rPr>
      </w:pPr>
      <w:r w:rsidRPr="00180229">
        <w:rPr>
          <w:rFonts w:cs="Times New Roman"/>
          <w:b/>
        </w:rPr>
        <w:t>2.2.1</w:t>
      </w:r>
      <w:r w:rsidR="00CA422E">
        <w:rPr>
          <w:rFonts w:cs="Times New Roman"/>
          <w:b/>
        </w:rPr>
        <w:tab/>
      </w:r>
      <w:r w:rsidRPr="00180229">
        <w:rPr>
          <w:rFonts w:cs="Times New Roman"/>
          <w:b/>
        </w:rPr>
        <w:t xml:space="preserve">Individual judgements </w:t>
      </w:r>
    </w:p>
    <w:p w14:paraId="08617EE9" w14:textId="77777777" w:rsidR="002030E7" w:rsidRPr="00180229" w:rsidRDefault="002030E7" w:rsidP="002030E7">
      <w:pPr>
        <w:rPr>
          <w:rFonts w:cs="Times New Roman"/>
        </w:rPr>
      </w:pPr>
      <w:r w:rsidRPr="00180229">
        <w:rPr>
          <w:rFonts w:cs="Times New Roman"/>
        </w:rPr>
        <w:t>Without conferring, the experts made the following probability judgements for Parameter 2</w:t>
      </w:r>
    </w:p>
    <w:p w14:paraId="1F4E652C" w14:textId="77777777" w:rsidR="002030E7" w:rsidRPr="00180229" w:rsidRDefault="002030E7" w:rsidP="002030E7">
      <w:pPr>
        <w:rPr>
          <w:rFonts w:cs="Times New Roman"/>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1350"/>
        <w:gridCol w:w="1276"/>
        <w:gridCol w:w="1134"/>
        <w:gridCol w:w="1276"/>
        <w:gridCol w:w="1701"/>
      </w:tblGrid>
      <w:tr w:rsidR="002030E7" w:rsidRPr="00180229" w14:paraId="27AD7517" w14:textId="77777777" w:rsidTr="007329B9">
        <w:trPr>
          <w:jc w:val="center"/>
        </w:trPr>
        <w:tc>
          <w:tcPr>
            <w:tcW w:w="1026" w:type="dxa"/>
            <w:shd w:val="clear" w:color="auto" w:fill="auto"/>
          </w:tcPr>
          <w:p w14:paraId="1D8C0920" w14:textId="77777777" w:rsidR="002030E7" w:rsidRPr="00180229" w:rsidRDefault="002030E7" w:rsidP="007329B9">
            <w:pPr>
              <w:rPr>
                <w:rFonts w:cs="Times New Roman"/>
              </w:rPr>
            </w:pPr>
            <w:r w:rsidRPr="00180229">
              <w:rPr>
                <w:rFonts w:cs="Times New Roman"/>
              </w:rPr>
              <w:t>Expert</w:t>
            </w:r>
          </w:p>
        </w:tc>
        <w:tc>
          <w:tcPr>
            <w:tcW w:w="1350" w:type="dxa"/>
            <w:shd w:val="clear" w:color="auto" w:fill="auto"/>
          </w:tcPr>
          <w:p w14:paraId="2046D6AF" w14:textId="77777777" w:rsidR="002030E7" w:rsidRPr="00180229" w:rsidRDefault="002030E7" w:rsidP="007329B9">
            <w:pPr>
              <w:rPr>
                <w:rFonts w:cs="Times New Roman"/>
              </w:rPr>
            </w:pPr>
            <w:r w:rsidRPr="00180229">
              <w:rPr>
                <w:rFonts w:cs="Times New Roman"/>
              </w:rPr>
              <w:t>Plausible lower limit</w:t>
            </w:r>
          </w:p>
        </w:tc>
        <w:tc>
          <w:tcPr>
            <w:tcW w:w="1276" w:type="dxa"/>
            <w:shd w:val="clear" w:color="auto" w:fill="auto"/>
          </w:tcPr>
          <w:p w14:paraId="58A6CB0B" w14:textId="77777777" w:rsidR="002030E7" w:rsidRPr="00180229" w:rsidRDefault="002030E7" w:rsidP="007329B9">
            <w:pPr>
              <w:rPr>
                <w:rFonts w:cs="Times New Roman"/>
              </w:rPr>
            </w:pPr>
            <w:r w:rsidRPr="00180229">
              <w:rPr>
                <w:rFonts w:cs="Times New Roman"/>
              </w:rPr>
              <w:t>25</w:t>
            </w:r>
            <w:r w:rsidRPr="00180229">
              <w:rPr>
                <w:rFonts w:cs="Times New Roman"/>
                <w:vertAlign w:val="superscript"/>
              </w:rPr>
              <w:t>th</w:t>
            </w:r>
            <w:r w:rsidRPr="00180229">
              <w:rPr>
                <w:rFonts w:cs="Times New Roman"/>
              </w:rPr>
              <w:t xml:space="preserve"> percentile</w:t>
            </w:r>
          </w:p>
        </w:tc>
        <w:tc>
          <w:tcPr>
            <w:tcW w:w="1134" w:type="dxa"/>
            <w:shd w:val="clear" w:color="auto" w:fill="auto"/>
          </w:tcPr>
          <w:p w14:paraId="11C84C2D" w14:textId="77777777" w:rsidR="002030E7" w:rsidRPr="00180229" w:rsidRDefault="002030E7" w:rsidP="007329B9">
            <w:pPr>
              <w:rPr>
                <w:rFonts w:cs="Times New Roman"/>
              </w:rPr>
            </w:pPr>
            <w:r w:rsidRPr="00180229">
              <w:rPr>
                <w:rFonts w:cs="Times New Roman"/>
              </w:rPr>
              <w:t>median</w:t>
            </w:r>
          </w:p>
        </w:tc>
        <w:tc>
          <w:tcPr>
            <w:tcW w:w="1276" w:type="dxa"/>
            <w:shd w:val="clear" w:color="auto" w:fill="auto"/>
          </w:tcPr>
          <w:p w14:paraId="4C1F1265" w14:textId="77777777" w:rsidR="002030E7" w:rsidRPr="00180229" w:rsidRDefault="002030E7" w:rsidP="007329B9">
            <w:pPr>
              <w:rPr>
                <w:rFonts w:cs="Times New Roman"/>
              </w:rPr>
            </w:pPr>
            <w:r w:rsidRPr="00180229">
              <w:rPr>
                <w:rFonts w:cs="Times New Roman"/>
              </w:rPr>
              <w:t>75</w:t>
            </w:r>
            <w:r w:rsidRPr="00180229">
              <w:rPr>
                <w:rFonts w:cs="Times New Roman"/>
                <w:vertAlign w:val="superscript"/>
              </w:rPr>
              <w:t>th</w:t>
            </w:r>
          </w:p>
          <w:p w14:paraId="5F11816F" w14:textId="77777777" w:rsidR="002030E7" w:rsidRPr="00180229" w:rsidRDefault="002030E7" w:rsidP="007329B9">
            <w:pPr>
              <w:rPr>
                <w:rFonts w:cs="Times New Roman"/>
              </w:rPr>
            </w:pPr>
            <w:r w:rsidRPr="00180229">
              <w:rPr>
                <w:rFonts w:cs="Times New Roman"/>
              </w:rPr>
              <w:t>percentile</w:t>
            </w:r>
          </w:p>
        </w:tc>
        <w:tc>
          <w:tcPr>
            <w:tcW w:w="1701" w:type="dxa"/>
            <w:shd w:val="clear" w:color="auto" w:fill="auto"/>
          </w:tcPr>
          <w:p w14:paraId="3D9F69DF" w14:textId="77777777" w:rsidR="002030E7" w:rsidRPr="00180229" w:rsidRDefault="002030E7" w:rsidP="007329B9">
            <w:pPr>
              <w:rPr>
                <w:rFonts w:cs="Times New Roman"/>
              </w:rPr>
            </w:pPr>
            <w:r w:rsidRPr="00180229">
              <w:rPr>
                <w:rFonts w:cs="Times New Roman"/>
              </w:rPr>
              <w:t>Plausible upper limit</w:t>
            </w:r>
          </w:p>
        </w:tc>
      </w:tr>
      <w:tr w:rsidR="002030E7" w:rsidRPr="00180229" w14:paraId="5F49DEA5" w14:textId="77777777" w:rsidTr="007329B9">
        <w:trPr>
          <w:jc w:val="center"/>
        </w:trPr>
        <w:tc>
          <w:tcPr>
            <w:tcW w:w="1026" w:type="dxa"/>
            <w:shd w:val="clear" w:color="auto" w:fill="auto"/>
          </w:tcPr>
          <w:p w14:paraId="4471CE78" w14:textId="77777777" w:rsidR="002030E7" w:rsidRPr="00180229" w:rsidRDefault="002030E7" w:rsidP="007329B9">
            <w:pPr>
              <w:rPr>
                <w:rFonts w:cs="Times New Roman"/>
              </w:rPr>
            </w:pPr>
            <w:r w:rsidRPr="00180229">
              <w:rPr>
                <w:rFonts w:cs="Times New Roman"/>
              </w:rPr>
              <w:t>A</w:t>
            </w:r>
          </w:p>
        </w:tc>
        <w:tc>
          <w:tcPr>
            <w:tcW w:w="1350" w:type="dxa"/>
            <w:shd w:val="clear" w:color="auto" w:fill="auto"/>
          </w:tcPr>
          <w:p w14:paraId="5D0AA6A3" w14:textId="77777777" w:rsidR="002030E7" w:rsidRPr="00180229" w:rsidRDefault="002030E7" w:rsidP="007329B9">
            <w:pPr>
              <w:rPr>
                <w:rFonts w:cs="Times New Roman"/>
              </w:rPr>
            </w:pPr>
            <w:r w:rsidRPr="00180229">
              <w:rPr>
                <w:rFonts w:cs="Times New Roman"/>
              </w:rPr>
              <w:t>5%</w:t>
            </w:r>
          </w:p>
        </w:tc>
        <w:tc>
          <w:tcPr>
            <w:tcW w:w="1276" w:type="dxa"/>
            <w:shd w:val="clear" w:color="auto" w:fill="auto"/>
          </w:tcPr>
          <w:p w14:paraId="7CA79B45" w14:textId="77777777" w:rsidR="002030E7" w:rsidRPr="00180229" w:rsidRDefault="002030E7" w:rsidP="007329B9">
            <w:pPr>
              <w:rPr>
                <w:rFonts w:cs="Times New Roman"/>
              </w:rPr>
            </w:pPr>
            <w:r w:rsidRPr="00180229">
              <w:rPr>
                <w:rFonts w:cs="Times New Roman"/>
              </w:rPr>
              <w:t>30%</w:t>
            </w:r>
          </w:p>
        </w:tc>
        <w:tc>
          <w:tcPr>
            <w:tcW w:w="1134" w:type="dxa"/>
            <w:shd w:val="clear" w:color="auto" w:fill="auto"/>
          </w:tcPr>
          <w:p w14:paraId="44FCA106" w14:textId="77777777" w:rsidR="002030E7" w:rsidRPr="00180229" w:rsidRDefault="002030E7" w:rsidP="007329B9">
            <w:pPr>
              <w:rPr>
                <w:rFonts w:cs="Times New Roman"/>
              </w:rPr>
            </w:pPr>
            <w:r w:rsidRPr="00180229">
              <w:rPr>
                <w:rFonts w:cs="Times New Roman"/>
              </w:rPr>
              <w:t>50%</w:t>
            </w:r>
          </w:p>
        </w:tc>
        <w:tc>
          <w:tcPr>
            <w:tcW w:w="1276" w:type="dxa"/>
            <w:shd w:val="clear" w:color="auto" w:fill="auto"/>
          </w:tcPr>
          <w:p w14:paraId="2ABA3FDE" w14:textId="77777777" w:rsidR="002030E7" w:rsidRPr="00180229" w:rsidRDefault="002030E7" w:rsidP="007329B9">
            <w:pPr>
              <w:rPr>
                <w:rFonts w:cs="Times New Roman"/>
              </w:rPr>
            </w:pPr>
            <w:r w:rsidRPr="00180229">
              <w:rPr>
                <w:rFonts w:cs="Times New Roman"/>
              </w:rPr>
              <w:t>60%</w:t>
            </w:r>
          </w:p>
        </w:tc>
        <w:tc>
          <w:tcPr>
            <w:tcW w:w="1701" w:type="dxa"/>
            <w:shd w:val="clear" w:color="auto" w:fill="auto"/>
          </w:tcPr>
          <w:p w14:paraId="4630F593" w14:textId="77777777" w:rsidR="002030E7" w:rsidRPr="00180229" w:rsidRDefault="002030E7" w:rsidP="007329B9">
            <w:pPr>
              <w:rPr>
                <w:rFonts w:cs="Times New Roman"/>
              </w:rPr>
            </w:pPr>
            <w:r w:rsidRPr="00180229">
              <w:rPr>
                <w:rFonts w:cs="Times New Roman"/>
              </w:rPr>
              <w:t>70%</w:t>
            </w:r>
          </w:p>
        </w:tc>
      </w:tr>
      <w:tr w:rsidR="002030E7" w:rsidRPr="00180229" w14:paraId="71E0722E" w14:textId="77777777" w:rsidTr="007329B9">
        <w:trPr>
          <w:jc w:val="center"/>
        </w:trPr>
        <w:tc>
          <w:tcPr>
            <w:tcW w:w="1026" w:type="dxa"/>
            <w:shd w:val="clear" w:color="auto" w:fill="auto"/>
          </w:tcPr>
          <w:p w14:paraId="2FEF3C67" w14:textId="77777777" w:rsidR="002030E7" w:rsidRPr="00180229" w:rsidRDefault="002030E7" w:rsidP="007329B9">
            <w:pPr>
              <w:rPr>
                <w:rFonts w:cs="Times New Roman"/>
              </w:rPr>
            </w:pPr>
            <w:r w:rsidRPr="00180229">
              <w:rPr>
                <w:rFonts w:cs="Times New Roman"/>
              </w:rPr>
              <w:t>B</w:t>
            </w:r>
          </w:p>
        </w:tc>
        <w:tc>
          <w:tcPr>
            <w:tcW w:w="1350" w:type="dxa"/>
            <w:shd w:val="clear" w:color="auto" w:fill="auto"/>
          </w:tcPr>
          <w:p w14:paraId="07ED1ACE" w14:textId="77777777" w:rsidR="002030E7" w:rsidRPr="00180229" w:rsidRDefault="002030E7" w:rsidP="007329B9">
            <w:pPr>
              <w:rPr>
                <w:rFonts w:cs="Times New Roman"/>
              </w:rPr>
            </w:pPr>
            <w:r w:rsidRPr="00180229">
              <w:rPr>
                <w:rFonts w:cs="Times New Roman"/>
              </w:rPr>
              <w:t>10%</w:t>
            </w:r>
          </w:p>
        </w:tc>
        <w:tc>
          <w:tcPr>
            <w:tcW w:w="1276" w:type="dxa"/>
            <w:shd w:val="clear" w:color="auto" w:fill="auto"/>
          </w:tcPr>
          <w:p w14:paraId="2E2A0D14" w14:textId="77777777" w:rsidR="002030E7" w:rsidRPr="00180229" w:rsidRDefault="002030E7" w:rsidP="007329B9">
            <w:pPr>
              <w:rPr>
                <w:rFonts w:cs="Times New Roman"/>
              </w:rPr>
            </w:pPr>
            <w:r w:rsidRPr="00180229">
              <w:rPr>
                <w:rFonts w:cs="Times New Roman"/>
              </w:rPr>
              <w:t>25%</w:t>
            </w:r>
          </w:p>
        </w:tc>
        <w:tc>
          <w:tcPr>
            <w:tcW w:w="1134" w:type="dxa"/>
            <w:shd w:val="clear" w:color="auto" w:fill="auto"/>
          </w:tcPr>
          <w:p w14:paraId="1E44939B" w14:textId="77777777" w:rsidR="002030E7" w:rsidRPr="00180229" w:rsidRDefault="002030E7" w:rsidP="007329B9">
            <w:pPr>
              <w:rPr>
                <w:rFonts w:cs="Times New Roman"/>
              </w:rPr>
            </w:pPr>
            <w:r w:rsidRPr="00180229">
              <w:rPr>
                <w:rFonts w:cs="Times New Roman"/>
              </w:rPr>
              <w:t>50%</w:t>
            </w:r>
          </w:p>
        </w:tc>
        <w:tc>
          <w:tcPr>
            <w:tcW w:w="1276" w:type="dxa"/>
            <w:shd w:val="clear" w:color="auto" w:fill="auto"/>
          </w:tcPr>
          <w:p w14:paraId="47DF64E5" w14:textId="77777777" w:rsidR="002030E7" w:rsidRPr="00180229" w:rsidRDefault="002030E7" w:rsidP="007329B9">
            <w:pPr>
              <w:rPr>
                <w:rFonts w:cs="Times New Roman"/>
              </w:rPr>
            </w:pPr>
            <w:r w:rsidRPr="00180229">
              <w:rPr>
                <w:rFonts w:cs="Times New Roman"/>
              </w:rPr>
              <w:t>75%</w:t>
            </w:r>
          </w:p>
        </w:tc>
        <w:tc>
          <w:tcPr>
            <w:tcW w:w="1701" w:type="dxa"/>
            <w:shd w:val="clear" w:color="auto" w:fill="auto"/>
          </w:tcPr>
          <w:p w14:paraId="602E78E2" w14:textId="77777777" w:rsidR="002030E7" w:rsidRPr="00180229" w:rsidRDefault="002030E7" w:rsidP="007329B9">
            <w:pPr>
              <w:rPr>
                <w:rFonts w:cs="Times New Roman"/>
              </w:rPr>
            </w:pPr>
            <w:r w:rsidRPr="00180229">
              <w:rPr>
                <w:rFonts w:cs="Times New Roman"/>
              </w:rPr>
              <w:t>90%</w:t>
            </w:r>
          </w:p>
        </w:tc>
      </w:tr>
      <w:tr w:rsidR="002030E7" w:rsidRPr="00180229" w14:paraId="42E40FF1" w14:textId="77777777" w:rsidTr="007329B9">
        <w:trPr>
          <w:jc w:val="center"/>
        </w:trPr>
        <w:tc>
          <w:tcPr>
            <w:tcW w:w="1026" w:type="dxa"/>
            <w:shd w:val="clear" w:color="auto" w:fill="auto"/>
          </w:tcPr>
          <w:p w14:paraId="4A89471F" w14:textId="77777777" w:rsidR="002030E7" w:rsidRPr="00180229" w:rsidRDefault="002030E7" w:rsidP="007329B9">
            <w:pPr>
              <w:rPr>
                <w:rFonts w:cs="Times New Roman"/>
              </w:rPr>
            </w:pPr>
            <w:r w:rsidRPr="00180229">
              <w:rPr>
                <w:rFonts w:cs="Times New Roman"/>
              </w:rPr>
              <w:t>C</w:t>
            </w:r>
          </w:p>
        </w:tc>
        <w:tc>
          <w:tcPr>
            <w:tcW w:w="1350" w:type="dxa"/>
            <w:shd w:val="clear" w:color="auto" w:fill="auto"/>
          </w:tcPr>
          <w:p w14:paraId="0F7A4635" w14:textId="77777777" w:rsidR="002030E7" w:rsidRPr="00180229" w:rsidRDefault="002030E7" w:rsidP="007329B9">
            <w:pPr>
              <w:rPr>
                <w:rFonts w:cs="Times New Roman"/>
              </w:rPr>
            </w:pPr>
            <w:r w:rsidRPr="00180229">
              <w:rPr>
                <w:rFonts w:cs="Times New Roman"/>
              </w:rPr>
              <w:t>20%</w:t>
            </w:r>
          </w:p>
        </w:tc>
        <w:tc>
          <w:tcPr>
            <w:tcW w:w="1276" w:type="dxa"/>
            <w:shd w:val="clear" w:color="auto" w:fill="auto"/>
          </w:tcPr>
          <w:p w14:paraId="60E41FD7" w14:textId="77777777" w:rsidR="002030E7" w:rsidRPr="00180229" w:rsidRDefault="002030E7" w:rsidP="007329B9">
            <w:pPr>
              <w:rPr>
                <w:rFonts w:cs="Times New Roman"/>
              </w:rPr>
            </w:pPr>
            <w:r w:rsidRPr="00180229">
              <w:rPr>
                <w:rFonts w:cs="Times New Roman"/>
              </w:rPr>
              <w:t>50%</w:t>
            </w:r>
          </w:p>
        </w:tc>
        <w:tc>
          <w:tcPr>
            <w:tcW w:w="1134" w:type="dxa"/>
            <w:shd w:val="clear" w:color="auto" w:fill="auto"/>
          </w:tcPr>
          <w:p w14:paraId="2AA66AFA" w14:textId="77777777" w:rsidR="002030E7" w:rsidRPr="00180229" w:rsidRDefault="002030E7" w:rsidP="007329B9">
            <w:pPr>
              <w:rPr>
                <w:rFonts w:cs="Times New Roman"/>
              </w:rPr>
            </w:pPr>
            <w:r w:rsidRPr="00180229">
              <w:rPr>
                <w:rFonts w:cs="Times New Roman"/>
              </w:rPr>
              <w:t>80%</w:t>
            </w:r>
          </w:p>
        </w:tc>
        <w:tc>
          <w:tcPr>
            <w:tcW w:w="1276" w:type="dxa"/>
            <w:shd w:val="clear" w:color="auto" w:fill="auto"/>
          </w:tcPr>
          <w:p w14:paraId="4D62B390" w14:textId="77777777" w:rsidR="002030E7" w:rsidRPr="00180229" w:rsidRDefault="002030E7" w:rsidP="007329B9">
            <w:pPr>
              <w:rPr>
                <w:rFonts w:cs="Times New Roman"/>
              </w:rPr>
            </w:pPr>
            <w:r w:rsidRPr="00180229">
              <w:rPr>
                <w:rFonts w:cs="Times New Roman"/>
              </w:rPr>
              <w:t>90%</w:t>
            </w:r>
          </w:p>
        </w:tc>
        <w:tc>
          <w:tcPr>
            <w:tcW w:w="1701" w:type="dxa"/>
            <w:shd w:val="clear" w:color="auto" w:fill="auto"/>
          </w:tcPr>
          <w:p w14:paraId="5E8F84BC" w14:textId="77777777" w:rsidR="002030E7" w:rsidRPr="00180229" w:rsidRDefault="002030E7" w:rsidP="007329B9">
            <w:pPr>
              <w:rPr>
                <w:rFonts w:cs="Times New Roman"/>
              </w:rPr>
            </w:pPr>
            <w:r w:rsidRPr="00180229">
              <w:rPr>
                <w:rFonts w:cs="Times New Roman"/>
              </w:rPr>
              <w:t>100%</w:t>
            </w:r>
          </w:p>
        </w:tc>
      </w:tr>
      <w:tr w:rsidR="002030E7" w:rsidRPr="00180229" w14:paraId="30260FE7" w14:textId="77777777" w:rsidTr="007329B9">
        <w:trPr>
          <w:jc w:val="center"/>
        </w:trPr>
        <w:tc>
          <w:tcPr>
            <w:tcW w:w="1026" w:type="dxa"/>
            <w:shd w:val="clear" w:color="auto" w:fill="auto"/>
          </w:tcPr>
          <w:p w14:paraId="42445CC1" w14:textId="77777777" w:rsidR="002030E7" w:rsidRPr="00180229" w:rsidRDefault="002030E7" w:rsidP="007329B9">
            <w:pPr>
              <w:rPr>
                <w:rFonts w:cs="Times New Roman"/>
              </w:rPr>
            </w:pPr>
            <w:r w:rsidRPr="00180229">
              <w:rPr>
                <w:rFonts w:cs="Times New Roman"/>
              </w:rPr>
              <w:t>D</w:t>
            </w:r>
          </w:p>
        </w:tc>
        <w:tc>
          <w:tcPr>
            <w:tcW w:w="1350" w:type="dxa"/>
            <w:shd w:val="clear" w:color="auto" w:fill="auto"/>
          </w:tcPr>
          <w:p w14:paraId="53A72789" w14:textId="77777777" w:rsidR="002030E7" w:rsidRPr="00180229" w:rsidRDefault="002030E7" w:rsidP="007329B9">
            <w:pPr>
              <w:rPr>
                <w:rFonts w:cs="Times New Roman"/>
              </w:rPr>
            </w:pPr>
            <w:r w:rsidRPr="00180229">
              <w:rPr>
                <w:rFonts w:cs="Times New Roman"/>
              </w:rPr>
              <w:t>0%</w:t>
            </w:r>
          </w:p>
        </w:tc>
        <w:tc>
          <w:tcPr>
            <w:tcW w:w="1276" w:type="dxa"/>
            <w:shd w:val="clear" w:color="auto" w:fill="auto"/>
          </w:tcPr>
          <w:p w14:paraId="4EA4A14A" w14:textId="77777777" w:rsidR="002030E7" w:rsidRPr="00180229" w:rsidRDefault="002030E7" w:rsidP="007329B9">
            <w:pPr>
              <w:rPr>
                <w:rFonts w:cs="Times New Roman"/>
              </w:rPr>
            </w:pPr>
            <w:r w:rsidRPr="00180229">
              <w:rPr>
                <w:rFonts w:cs="Times New Roman"/>
              </w:rPr>
              <w:t>20%</w:t>
            </w:r>
          </w:p>
        </w:tc>
        <w:tc>
          <w:tcPr>
            <w:tcW w:w="1134" w:type="dxa"/>
            <w:shd w:val="clear" w:color="auto" w:fill="auto"/>
          </w:tcPr>
          <w:p w14:paraId="1CCC6AA7" w14:textId="77777777" w:rsidR="002030E7" w:rsidRPr="00180229" w:rsidRDefault="002030E7" w:rsidP="007329B9">
            <w:pPr>
              <w:rPr>
                <w:rFonts w:cs="Times New Roman"/>
              </w:rPr>
            </w:pPr>
            <w:r w:rsidRPr="00180229">
              <w:rPr>
                <w:rFonts w:cs="Times New Roman"/>
              </w:rPr>
              <w:t>50%</w:t>
            </w:r>
          </w:p>
        </w:tc>
        <w:tc>
          <w:tcPr>
            <w:tcW w:w="1276" w:type="dxa"/>
            <w:shd w:val="clear" w:color="auto" w:fill="auto"/>
          </w:tcPr>
          <w:p w14:paraId="6924492E" w14:textId="77777777" w:rsidR="002030E7" w:rsidRPr="00180229" w:rsidRDefault="002030E7" w:rsidP="007329B9">
            <w:pPr>
              <w:rPr>
                <w:rFonts w:cs="Times New Roman"/>
              </w:rPr>
            </w:pPr>
            <w:r w:rsidRPr="00180229">
              <w:rPr>
                <w:rFonts w:cs="Times New Roman"/>
              </w:rPr>
              <w:t>60%</w:t>
            </w:r>
          </w:p>
        </w:tc>
        <w:tc>
          <w:tcPr>
            <w:tcW w:w="1701" w:type="dxa"/>
            <w:shd w:val="clear" w:color="auto" w:fill="auto"/>
          </w:tcPr>
          <w:p w14:paraId="3018529D" w14:textId="77777777" w:rsidR="002030E7" w:rsidRPr="00180229" w:rsidRDefault="002030E7" w:rsidP="007329B9">
            <w:pPr>
              <w:rPr>
                <w:rFonts w:cs="Times New Roman"/>
              </w:rPr>
            </w:pPr>
            <w:r w:rsidRPr="00180229">
              <w:rPr>
                <w:rFonts w:cs="Times New Roman"/>
              </w:rPr>
              <w:t>75%</w:t>
            </w:r>
          </w:p>
        </w:tc>
      </w:tr>
    </w:tbl>
    <w:p w14:paraId="3F3CD39B" w14:textId="77777777" w:rsidR="002030E7" w:rsidRPr="00180229" w:rsidRDefault="002030E7" w:rsidP="002030E7">
      <w:pPr>
        <w:rPr>
          <w:rFonts w:cs="Times New Roman"/>
          <w:lang w:val="en-US"/>
        </w:rPr>
      </w:pPr>
    </w:p>
    <w:p w14:paraId="1B8EAE1D" w14:textId="32E8A284" w:rsidR="002030E7" w:rsidRPr="00180229" w:rsidRDefault="002030E7" w:rsidP="002030E7">
      <w:pPr>
        <w:pStyle w:val="BodyText"/>
        <w:spacing w:before="0" w:line="360" w:lineRule="auto"/>
        <w:rPr>
          <w:rFonts w:ascii="Times New Roman" w:hAnsi="Times New Roman"/>
          <w:b/>
          <w:sz w:val="22"/>
          <w:szCs w:val="22"/>
        </w:rPr>
      </w:pPr>
      <w:r w:rsidRPr="00180229">
        <w:rPr>
          <w:rFonts w:ascii="Times New Roman" w:hAnsi="Times New Roman"/>
          <w:b/>
          <w:sz w:val="22"/>
          <w:szCs w:val="22"/>
        </w:rPr>
        <w:t>2.2.</w:t>
      </w:r>
      <w:r w:rsidR="00CA422E">
        <w:rPr>
          <w:rFonts w:ascii="Times New Roman" w:hAnsi="Times New Roman"/>
          <w:b/>
          <w:sz w:val="22"/>
          <w:szCs w:val="22"/>
        </w:rPr>
        <w:t>2</w:t>
      </w:r>
      <w:r w:rsidR="00CA422E">
        <w:rPr>
          <w:rFonts w:ascii="Times New Roman" w:hAnsi="Times New Roman"/>
          <w:b/>
          <w:sz w:val="22"/>
          <w:szCs w:val="22"/>
        </w:rPr>
        <w:tab/>
      </w:r>
      <w:r w:rsidRPr="00180229">
        <w:rPr>
          <w:rFonts w:ascii="Times New Roman" w:hAnsi="Times New Roman"/>
          <w:b/>
          <w:sz w:val="22"/>
          <w:szCs w:val="22"/>
        </w:rPr>
        <w:t>Group discussion and consensus judgements</w:t>
      </w:r>
    </w:p>
    <w:p w14:paraId="4BBA48FB" w14:textId="77777777" w:rsidR="002030E7" w:rsidRPr="00180229" w:rsidRDefault="002030E7" w:rsidP="002030E7">
      <w:pPr>
        <w:jc w:val="both"/>
        <w:rPr>
          <w:rFonts w:cs="Times New Roman"/>
        </w:rPr>
      </w:pPr>
      <w:r w:rsidRPr="00180229">
        <w:rPr>
          <w:rFonts w:cs="Times New Roman"/>
        </w:rPr>
        <w:t>Expert C argued for higher percentage based on Figures 2 and 3 from the 25</w:t>
      </w:r>
      <w:r w:rsidRPr="00180229">
        <w:rPr>
          <w:rFonts w:cs="Times New Roman"/>
          <w:vertAlign w:val="superscript"/>
        </w:rPr>
        <w:t>th</w:t>
      </w:r>
      <w:r w:rsidRPr="00180229">
        <w:rPr>
          <w:rFonts w:cs="Times New Roman"/>
        </w:rPr>
        <w:t xml:space="preserve"> Annual Report on CJD surveillance in the UK</w:t>
      </w:r>
      <w:r w:rsidRPr="00180229">
        <w:rPr>
          <w:rStyle w:val="FootnoteReference"/>
          <w:rFonts w:cs="Times New Roman"/>
        </w:rPr>
        <w:footnoteReference w:id="1"/>
      </w:r>
      <w:r w:rsidRPr="00180229">
        <w:rPr>
          <w:rFonts w:cs="Times New Roman"/>
        </w:rPr>
        <w:t>. The argument was that mortality rates from sporadic CJD have been observed to increase over time in the higher age categories, and that this is a consequence of changes in diagnostics; it is plausible that this trend will continue, suggesting that the current percentage of misdiagnoses could be high. The remaining experts accepted a higher median and 25</w:t>
      </w:r>
      <w:r w:rsidRPr="00180229">
        <w:rPr>
          <w:rFonts w:cs="Times New Roman"/>
          <w:vertAlign w:val="superscript"/>
        </w:rPr>
        <w:t>th</w:t>
      </w:r>
      <w:r w:rsidRPr="00180229">
        <w:rPr>
          <w:rFonts w:cs="Times New Roman"/>
        </w:rPr>
        <w:t xml:space="preserve"> percentile as consensus judgements, but thought that percentages close to 100% would be unlikely, agreeing a 75</w:t>
      </w:r>
      <w:r w:rsidRPr="00180229">
        <w:rPr>
          <w:rFonts w:cs="Times New Roman"/>
          <w:vertAlign w:val="superscript"/>
        </w:rPr>
        <w:t>th</w:t>
      </w:r>
      <w:r w:rsidRPr="00180229">
        <w:rPr>
          <w:rFonts w:cs="Times New Roman"/>
        </w:rPr>
        <w:t xml:space="preserve"> percentile closer to the median.</w:t>
      </w:r>
    </w:p>
    <w:p w14:paraId="448E92BC" w14:textId="77777777" w:rsidR="002030E7" w:rsidRPr="00180229" w:rsidRDefault="002030E7" w:rsidP="002030E7">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105"/>
        <w:gridCol w:w="1871"/>
        <w:gridCol w:w="1560"/>
      </w:tblGrid>
      <w:tr w:rsidR="002030E7" w:rsidRPr="00180229" w14:paraId="5FAB4B82" w14:textId="77777777" w:rsidTr="007329B9">
        <w:trPr>
          <w:jc w:val="center"/>
        </w:trPr>
        <w:tc>
          <w:tcPr>
            <w:tcW w:w="1384" w:type="dxa"/>
            <w:shd w:val="clear" w:color="auto" w:fill="auto"/>
          </w:tcPr>
          <w:p w14:paraId="2CA01010" w14:textId="77777777" w:rsidR="002030E7" w:rsidRPr="00180229" w:rsidRDefault="002030E7" w:rsidP="007329B9">
            <w:pPr>
              <w:rPr>
                <w:rFonts w:cs="Times New Roman"/>
              </w:rPr>
            </w:pPr>
            <w:r w:rsidRPr="00180229">
              <w:rPr>
                <w:rFonts w:cs="Times New Roman"/>
              </w:rPr>
              <w:t>Plausible lower limit</w:t>
            </w:r>
          </w:p>
        </w:tc>
        <w:tc>
          <w:tcPr>
            <w:tcW w:w="1418" w:type="dxa"/>
            <w:shd w:val="clear" w:color="auto" w:fill="auto"/>
          </w:tcPr>
          <w:p w14:paraId="13950085" w14:textId="77777777" w:rsidR="002030E7" w:rsidRPr="00180229" w:rsidRDefault="002030E7" w:rsidP="007329B9">
            <w:pPr>
              <w:rPr>
                <w:rFonts w:cs="Times New Roman"/>
              </w:rPr>
            </w:pPr>
            <w:r w:rsidRPr="00180229">
              <w:rPr>
                <w:rFonts w:cs="Times New Roman"/>
              </w:rPr>
              <w:t>25</w:t>
            </w:r>
            <w:r w:rsidRPr="00180229">
              <w:rPr>
                <w:rFonts w:cs="Times New Roman"/>
                <w:vertAlign w:val="superscript"/>
              </w:rPr>
              <w:t>th</w:t>
            </w:r>
            <w:r w:rsidRPr="00180229">
              <w:rPr>
                <w:rFonts w:cs="Times New Roman"/>
              </w:rPr>
              <w:t xml:space="preserve"> percentile</w:t>
            </w:r>
          </w:p>
        </w:tc>
        <w:tc>
          <w:tcPr>
            <w:tcW w:w="1105" w:type="dxa"/>
            <w:shd w:val="clear" w:color="auto" w:fill="auto"/>
          </w:tcPr>
          <w:p w14:paraId="5641A576" w14:textId="77777777" w:rsidR="002030E7" w:rsidRPr="00180229" w:rsidRDefault="002030E7" w:rsidP="007329B9">
            <w:pPr>
              <w:rPr>
                <w:rFonts w:cs="Times New Roman"/>
              </w:rPr>
            </w:pPr>
            <w:r w:rsidRPr="00180229">
              <w:rPr>
                <w:rFonts w:cs="Times New Roman"/>
              </w:rPr>
              <w:t>median</w:t>
            </w:r>
          </w:p>
        </w:tc>
        <w:tc>
          <w:tcPr>
            <w:tcW w:w="1871" w:type="dxa"/>
            <w:shd w:val="clear" w:color="auto" w:fill="auto"/>
          </w:tcPr>
          <w:p w14:paraId="2F759415" w14:textId="77777777" w:rsidR="002030E7" w:rsidRPr="00180229" w:rsidRDefault="002030E7" w:rsidP="007329B9">
            <w:pPr>
              <w:rPr>
                <w:rFonts w:cs="Times New Roman"/>
              </w:rPr>
            </w:pPr>
            <w:r w:rsidRPr="00180229">
              <w:rPr>
                <w:rFonts w:cs="Times New Roman"/>
              </w:rPr>
              <w:t>75</w:t>
            </w:r>
            <w:r w:rsidRPr="00180229">
              <w:rPr>
                <w:rFonts w:cs="Times New Roman"/>
                <w:vertAlign w:val="superscript"/>
              </w:rPr>
              <w:t>th</w:t>
            </w:r>
          </w:p>
          <w:p w14:paraId="4CBEB8E7" w14:textId="77777777" w:rsidR="002030E7" w:rsidRPr="00180229" w:rsidRDefault="002030E7" w:rsidP="007329B9">
            <w:pPr>
              <w:rPr>
                <w:rFonts w:cs="Times New Roman"/>
              </w:rPr>
            </w:pPr>
            <w:r w:rsidRPr="00180229">
              <w:rPr>
                <w:rFonts w:cs="Times New Roman"/>
              </w:rPr>
              <w:t>percentile</w:t>
            </w:r>
          </w:p>
        </w:tc>
        <w:tc>
          <w:tcPr>
            <w:tcW w:w="1560" w:type="dxa"/>
            <w:shd w:val="clear" w:color="auto" w:fill="auto"/>
          </w:tcPr>
          <w:p w14:paraId="4BC85680" w14:textId="77777777" w:rsidR="002030E7" w:rsidRPr="00180229" w:rsidRDefault="002030E7" w:rsidP="007329B9">
            <w:pPr>
              <w:rPr>
                <w:rFonts w:cs="Times New Roman"/>
              </w:rPr>
            </w:pPr>
            <w:r w:rsidRPr="00180229">
              <w:rPr>
                <w:rFonts w:cs="Times New Roman"/>
              </w:rPr>
              <w:t>Plausible upper limit</w:t>
            </w:r>
          </w:p>
        </w:tc>
      </w:tr>
      <w:tr w:rsidR="002030E7" w:rsidRPr="00180229" w14:paraId="387E6166" w14:textId="77777777" w:rsidTr="007329B9">
        <w:trPr>
          <w:jc w:val="center"/>
        </w:trPr>
        <w:tc>
          <w:tcPr>
            <w:tcW w:w="1384" w:type="dxa"/>
            <w:shd w:val="clear" w:color="auto" w:fill="auto"/>
          </w:tcPr>
          <w:p w14:paraId="497CA05B" w14:textId="77777777" w:rsidR="002030E7" w:rsidRPr="00180229" w:rsidRDefault="002030E7" w:rsidP="007329B9">
            <w:pPr>
              <w:rPr>
                <w:rFonts w:cs="Times New Roman"/>
              </w:rPr>
            </w:pPr>
            <w:r w:rsidRPr="00180229">
              <w:rPr>
                <w:rFonts w:cs="Times New Roman"/>
              </w:rPr>
              <w:t>0%</w:t>
            </w:r>
          </w:p>
        </w:tc>
        <w:tc>
          <w:tcPr>
            <w:tcW w:w="1418" w:type="dxa"/>
            <w:shd w:val="clear" w:color="auto" w:fill="auto"/>
          </w:tcPr>
          <w:p w14:paraId="4D208CA3" w14:textId="77777777" w:rsidR="002030E7" w:rsidRPr="00180229" w:rsidRDefault="002030E7" w:rsidP="007329B9">
            <w:pPr>
              <w:rPr>
                <w:rFonts w:cs="Times New Roman"/>
              </w:rPr>
            </w:pPr>
            <w:r w:rsidRPr="00180229">
              <w:rPr>
                <w:rFonts w:cs="Times New Roman"/>
              </w:rPr>
              <w:t>40%</w:t>
            </w:r>
          </w:p>
        </w:tc>
        <w:tc>
          <w:tcPr>
            <w:tcW w:w="1105" w:type="dxa"/>
            <w:shd w:val="clear" w:color="auto" w:fill="auto"/>
          </w:tcPr>
          <w:p w14:paraId="74C0314A" w14:textId="77777777" w:rsidR="002030E7" w:rsidRPr="00180229" w:rsidRDefault="002030E7" w:rsidP="007329B9">
            <w:pPr>
              <w:rPr>
                <w:rFonts w:cs="Times New Roman"/>
              </w:rPr>
            </w:pPr>
            <w:r w:rsidRPr="00180229">
              <w:rPr>
                <w:rFonts w:cs="Times New Roman"/>
              </w:rPr>
              <w:t>60%</w:t>
            </w:r>
          </w:p>
        </w:tc>
        <w:tc>
          <w:tcPr>
            <w:tcW w:w="1871" w:type="dxa"/>
            <w:shd w:val="clear" w:color="auto" w:fill="auto"/>
          </w:tcPr>
          <w:p w14:paraId="0C2FC930" w14:textId="77777777" w:rsidR="002030E7" w:rsidRPr="00180229" w:rsidRDefault="002030E7" w:rsidP="007329B9">
            <w:pPr>
              <w:rPr>
                <w:rFonts w:cs="Times New Roman"/>
              </w:rPr>
            </w:pPr>
            <w:r w:rsidRPr="00180229">
              <w:rPr>
                <w:rFonts w:cs="Times New Roman"/>
              </w:rPr>
              <w:t>65%</w:t>
            </w:r>
          </w:p>
        </w:tc>
        <w:tc>
          <w:tcPr>
            <w:tcW w:w="1560" w:type="dxa"/>
            <w:shd w:val="clear" w:color="auto" w:fill="auto"/>
          </w:tcPr>
          <w:p w14:paraId="20460018" w14:textId="77777777" w:rsidR="002030E7" w:rsidRPr="00180229" w:rsidRDefault="002030E7" w:rsidP="007329B9">
            <w:pPr>
              <w:rPr>
                <w:rFonts w:cs="Times New Roman"/>
              </w:rPr>
            </w:pPr>
            <w:r w:rsidRPr="00180229">
              <w:rPr>
                <w:rFonts w:cs="Times New Roman"/>
              </w:rPr>
              <w:t>100%</w:t>
            </w:r>
          </w:p>
        </w:tc>
      </w:tr>
    </w:tbl>
    <w:p w14:paraId="636B673C" w14:textId="77777777" w:rsidR="002030E7" w:rsidRPr="00180229" w:rsidRDefault="002030E7" w:rsidP="002030E7">
      <w:pPr>
        <w:rPr>
          <w:rFonts w:cs="Times New Roman"/>
        </w:rPr>
      </w:pPr>
    </w:p>
    <w:p w14:paraId="2A645931" w14:textId="77777777" w:rsidR="002030E7" w:rsidRPr="00BD2D79" w:rsidRDefault="002030E7" w:rsidP="002030E7">
      <w:pPr>
        <w:rPr>
          <w:rFonts w:cs="Times New Roman"/>
          <w:b/>
        </w:rPr>
      </w:pPr>
      <w:r w:rsidRPr="00BD2D79">
        <w:rPr>
          <w:rFonts w:cs="Times New Roman"/>
          <w:b/>
        </w:rPr>
        <w:br w:type="page"/>
      </w:r>
    </w:p>
    <w:p w14:paraId="66BE71F5" w14:textId="11E43DBD" w:rsidR="002030E7" w:rsidRPr="000A2B75" w:rsidRDefault="002030E7" w:rsidP="002030E7">
      <w:pPr>
        <w:pStyle w:val="BodyText"/>
        <w:spacing w:before="0" w:line="360" w:lineRule="auto"/>
        <w:rPr>
          <w:rFonts w:ascii="Times New Roman" w:hAnsi="Times New Roman"/>
          <w:b/>
          <w:sz w:val="22"/>
          <w:szCs w:val="22"/>
        </w:rPr>
      </w:pPr>
      <w:r w:rsidRPr="000A2B75">
        <w:rPr>
          <w:rFonts w:ascii="Times New Roman" w:hAnsi="Times New Roman"/>
          <w:b/>
          <w:sz w:val="22"/>
          <w:szCs w:val="22"/>
        </w:rPr>
        <w:t>2.2.</w:t>
      </w:r>
      <w:r w:rsidR="00CA422E">
        <w:rPr>
          <w:rFonts w:ascii="Times New Roman" w:hAnsi="Times New Roman"/>
          <w:b/>
          <w:sz w:val="22"/>
          <w:szCs w:val="22"/>
        </w:rPr>
        <w:t>3</w:t>
      </w:r>
      <w:r w:rsidR="00CA422E">
        <w:rPr>
          <w:rFonts w:ascii="Times New Roman" w:hAnsi="Times New Roman"/>
          <w:b/>
          <w:sz w:val="22"/>
          <w:szCs w:val="22"/>
        </w:rPr>
        <w:tab/>
      </w:r>
      <w:r w:rsidRPr="000A2B75">
        <w:rPr>
          <w:rFonts w:ascii="Times New Roman" w:hAnsi="Times New Roman"/>
          <w:b/>
          <w:sz w:val="22"/>
          <w:szCs w:val="22"/>
        </w:rPr>
        <w:t>Fitted distribution for Parameter 2</w:t>
      </w:r>
    </w:p>
    <w:p w14:paraId="3326B6F2" w14:textId="77777777" w:rsidR="002030E7" w:rsidRPr="000A2B75" w:rsidRDefault="002030E7" w:rsidP="002030E7">
      <w:pPr>
        <w:pStyle w:val="BodyText"/>
        <w:spacing w:before="0" w:line="360" w:lineRule="auto"/>
        <w:rPr>
          <w:rFonts w:ascii="Times New Roman" w:hAnsi="Times New Roman"/>
          <w:b/>
          <w:sz w:val="22"/>
          <w:szCs w:val="22"/>
        </w:rPr>
      </w:pPr>
    </w:p>
    <w:p w14:paraId="6F452DD0" w14:textId="77777777" w:rsidR="002030E7" w:rsidRPr="000A2B75" w:rsidRDefault="002030E7" w:rsidP="002030E7">
      <w:pPr>
        <w:pStyle w:val="BodyText"/>
        <w:spacing w:before="0" w:line="360" w:lineRule="auto"/>
        <w:rPr>
          <w:rFonts w:ascii="Times New Roman" w:hAnsi="Times New Roman"/>
          <w:sz w:val="22"/>
          <w:szCs w:val="22"/>
        </w:rPr>
      </w:pPr>
      <w:r w:rsidRPr="000A2B75">
        <w:rPr>
          <w:rFonts w:ascii="Times New Roman" w:hAnsi="Times New Roman"/>
          <w:sz w:val="22"/>
          <w:szCs w:val="22"/>
        </w:rPr>
        <w:t>A Beta</w:t>
      </w:r>
      <w:r>
        <w:rPr>
          <w:rFonts w:ascii="Times New Roman" w:hAnsi="Times New Roman"/>
          <w:sz w:val="22"/>
          <w:szCs w:val="22"/>
        </w:rPr>
        <w:t xml:space="preserve"> </w:t>
      </w:r>
      <w:r w:rsidRPr="000A2B75">
        <w:rPr>
          <w:rFonts w:ascii="Times New Roman" w:hAnsi="Times New Roman"/>
          <w:sz w:val="22"/>
          <w:szCs w:val="22"/>
        </w:rPr>
        <w:t>(3.36, 2.75) distribution was fitted to the consensus judgements.</w:t>
      </w:r>
    </w:p>
    <w:p w14:paraId="4BFB84D7" w14:textId="77777777" w:rsidR="002030E7" w:rsidRPr="00BD2D79" w:rsidRDefault="002030E7" w:rsidP="002030E7">
      <w:pPr>
        <w:pStyle w:val="BodyText"/>
        <w:keepNext/>
        <w:jc w:val="center"/>
        <w:rPr>
          <w:rFonts w:ascii="Times New Roman" w:hAnsi="Times New Roman"/>
        </w:rPr>
      </w:pPr>
      <w:r w:rsidRPr="00BD2D79">
        <w:rPr>
          <w:rFonts w:ascii="Times New Roman" w:hAnsi="Times New Roman"/>
          <w:noProof/>
          <w:lang w:eastAsia="en-GB"/>
        </w:rPr>
        <w:drawing>
          <wp:inline distT="0" distB="0" distL="0" distR="0" wp14:anchorId="6B75D08A" wp14:editId="21CE3A4B">
            <wp:extent cx="3165027"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67142" cy="2745033"/>
                    </a:xfrm>
                    <a:prstGeom prst="rect">
                      <a:avLst/>
                    </a:prstGeom>
                  </pic:spPr>
                </pic:pic>
              </a:graphicData>
            </a:graphic>
          </wp:inline>
        </w:drawing>
      </w:r>
    </w:p>
    <w:p w14:paraId="0B2404C0" w14:textId="77777777" w:rsidR="002030E7" w:rsidRPr="00BD2D79" w:rsidRDefault="002030E7" w:rsidP="002030E7">
      <w:pPr>
        <w:rPr>
          <w:rFonts w:cs="Times New Roman"/>
          <w:i/>
          <w:sz w:val="18"/>
          <w:szCs w:val="18"/>
        </w:rPr>
      </w:pPr>
      <w:r w:rsidRPr="00BD2D79">
        <w:rPr>
          <w:rFonts w:cs="Times New Roman"/>
          <w:i/>
          <w:sz w:val="18"/>
          <w:szCs w:val="18"/>
        </w:rPr>
        <w:t>Figure</w:t>
      </w:r>
      <w:r>
        <w:rPr>
          <w:rFonts w:cs="Times New Roman"/>
          <w:i/>
          <w:sz w:val="18"/>
          <w:szCs w:val="18"/>
        </w:rPr>
        <w:t xml:space="preserve"> 2</w:t>
      </w:r>
      <w:r w:rsidRPr="00BD2D79">
        <w:rPr>
          <w:rFonts w:cs="Times New Roman"/>
          <w:i/>
          <w:sz w:val="18"/>
          <w:szCs w:val="18"/>
        </w:rPr>
        <w:t xml:space="preserve">: the distribution chosen to represent the experts’ consensus judgements for Parameter 2: </w:t>
      </w:r>
      <w:r w:rsidRPr="00BD2D79">
        <w:rPr>
          <w:rFonts w:cs="Times New Roman"/>
          <w:i/>
          <w:sz w:val="18"/>
          <w:szCs w:val="18"/>
          <w:lang w:val="en-US"/>
        </w:rPr>
        <w:t>the percentage of patients, aged 80 and above, whose death was due to CJD, that are misdiagnosed as having died from another neurodegenerative disease, since 2005.</w:t>
      </w:r>
      <w:r w:rsidRPr="00BD2D79">
        <w:rPr>
          <w:rFonts w:cs="Times New Roman"/>
          <w:b/>
          <w:i/>
          <w:sz w:val="18"/>
          <w:szCs w:val="18"/>
        </w:rPr>
        <w:t xml:space="preserve"> </w:t>
      </w:r>
      <w:r w:rsidRPr="00BD2D79">
        <w:rPr>
          <w:rFonts w:cs="Times New Roman"/>
          <w:i/>
          <w:sz w:val="18"/>
          <w:szCs w:val="18"/>
        </w:rPr>
        <w:t xml:space="preserve"> The red shaded region indicates that, given this choice of distribution, a probability of about 0.98 has been assumed that the percentage misdiagnosed will be between 14% and 92%.</w:t>
      </w:r>
    </w:p>
    <w:p w14:paraId="7FD6E8A7" w14:textId="77777777" w:rsidR="002030E7" w:rsidRPr="000A2B75" w:rsidRDefault="002030E7" w:rsidP="002030E7">
      <w:pPr>
        <w:pStyle w:val="Caption"/>
        <w:jc w:val="center"/>
        <w:rPr>
          <w:rFonts w:cs="Times New Roman"/>
          <w:szCs w:val="22"/>
        </w:rPr>
      </w:pPr>
    </w:p>
    <w:p w14:paraId="72A843A1" w14:textId="77777777" w:rsidR="002030E7" w:rsidRPr="000A2B75" w:rsidRDefault="002030E7" w:rsidP="002030E7">
      <w:pPr>
        <w:pStyle w:val="BodyText"/>
        <w:rPr>
          <w:rFonts w:ascii="Times New Roman" w:hAnsi="Times New Roman"/>
          <w:sz w:val="22"/>
          <w:szCs w:val="22"/>
        </w:rPr>
      </w:pPr>
      <w:r w:rsidRPr="000A2B75">
        <w:rPr>
          <w:rFonts w:ascii="Times New Roman" w:hAnsi="Times New Roman"/>
          <w:sz w:val="22"/>
          <w:szCs w:val="22"/>
        </w:rPr>
        <w:t>Percentiles from the fitted Beta distribution</w:t>
      </w:r>
    </w:p>
    <w:p w14:paraId="3C376628" w14:textId="77777777" w:rsidR="002030E7" w:rsidRPr="000A2B75" w:rsidRDefault="002030E7" w:rsidP="002030E7">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34"/>
        <w:gridCol w:w="1034"/>
        <w:gridCol w:w="1034"/>
      </w:tblGrid>
      <w:tr w:rsidR="002030E7" w:rsidRPr="000A2B75" w14:paraId="20E1275F" w14:textId="77777777" w:rsidTr="007329B9">
        <w:trPr>
          <w:jc w:val="center"/>
        </w:trPr>
        <w:tc>
          <w:tcPr>
            <w:tcW w:w="1041" w:type="dxa"/>
            <w:shd w:val="clear" w:color="auto" w:fill="auto"/>
          </w:tcPr>
          <w:p w14:paraId="3456F150" w14:textId="77777777" w:rsidR="002030E7" w:rsidRPr="000A2B75" w:rsidRDefault="002030E7" w:rsidP="007329B9">
            <w:pPr>
              <w:rPr>
                <w:rFonts w:cs="Times New Roman"/>
              </w:rPr>
            </w:pPr>
            <w:r w:rsidRPr="000A2B75">
              <w:rPr>
                <w:rFonts w:cs="Times New Roman"/>
              </w:rPr>
              <w:t>1st</w:t>
            </w:r>
          </w:p>
        </w:tc>
        <w:tc>
          <w:tcPr>
            <w:tcW w:w="1034" w:type="dxa"/>
            <w:shd w:val="clear" w:color="auto" w:fill="auto"/>
          </w:tcPr>
          <w:p w14:paraId="0674494E" w14:textId="77777777" w:rsidR="002030E7" w:rsidRPr="000A2B75" w:rsidRDefault="002030E7" w:rsidP="007329B9">
            <w:pPr>
              <w:rPr>
                <w:rFonts w:cs="Times New Roman"/>
              </w:rPr>
            </w:pPr>
            <w:r w:rsidRPr="000A2B75">
              <w:rPr>
                <w:rFonts w:cs="Times New Roman"/>
              </w:rPr>
              <w:t>5th</w:t>
            </w:r>
          </w:p>
        </w:tc>
        <w:tc>
          <w:tcPr>
            <w:tcW w:w="1034" w:type="dxa"/>
            <w:shd w:val="clear" w:color="auto" w:fill="auto"/>
          </w:tcPr>
          <w:p w14:paraId="362CF480" w14:textId="77777777" w:rsidR="002030E7" w:rsidRPr="000A2B75" w:rsidRDefault="002030E7" w:rsidP="007329B9">
            <w:pPr>
              <w:rPr>
                <w:rFonts w:cs="Times New Roman"/>
              </w:rPr>
            </w:pPr>
            <w:r w:rsidRPr="000A2B75">
              <w:rPr>
                <w:rFonts w:cs="Times New Roman"/>
              </w:rPr>
              <w:t>95th</w:t>
            </w:r>
          </w:p>
        </w:tc>
        <w:tc>
          <w:tcPr>
            <w:tcW w:w="1034" w:type="dxa"/>
            <w:shd w:val="clear" w:color="auto" w:fill="auto"/>
          </w:tcPr>
          <w:p w14:paraId="75ACB10E" w14:textId="77777777" w:rsidR="002030E7" w:rsidRPr="000A2B75" w:rsidRDefault="002030E7" w:rsidP="007329B9">
            <w:pPr>
              <w:rPr>
                <w:rFonts w:cs="Times New Roman"/>
              </w:rPr>
            </w:pPr>
            <w:r w:rsidRPr="000A2B75">
              <w:rPr>
                <w:rFonts w:cs="Times New Roman"/>
              </w:rPr>
              <w:t>99</w:t>
            </w:r>
            <w:r w:rsidRPr="000A2B75">
              <w:rPr>
                <w:rFonts w:cs="Times New Roman"/>
                <w:vertAlign w:val="superscript"/>
              </w:rPr>
              <w:t>th</w:t>
            </w:r>
          </w:p>
          <w:p w14:paraId="7D116F20" w14:textId="77777777" w:rsidR="002030E7" w:rsidRPr="000A2B75" w:rsidRDefault="002030E7" w:rsidP="007329B9">
            <w:pPr>
              <w:rPr>
                <w:rFonts w:cs="Times New Roman"/>
              </w:rPr>
            </w:pPr>
          </w:p>
        </w:tc>
      </w:tr>
      <w:tr w:rsidR="002030E7" w:rsidRPr="000A2B75" w14:paraId="2CABD1FA" w14:textId="77777777" w:rsidTr="007329B9">
        <w:trPr>
          <w:jc w:val="center"/>
        </w:trPr>
        <w:tc>
          <w:tcPr>
            <w:tcW w:w="1041" w:type="dxa"/>
            <w:shd w:val="clear" w:color="auto" w:fill="auto"/>
          </w:tcPr>
          <w:p w14:paraId="78B02E04" w14:textId="77777777" w:rsidR="002030E7" w:rsidRPr="000A2B75" w:rsidRDefault="002030E7" w:rsidP="007329B9">
            <w:pPr>
              <w:rPr>
                <w:rFonts w:cs="Times New Roman"/>
              </w:rPr>
            </w:pPr>
            <w:r w:rsidRPr="000A2B75">
              <w:rPr>
                <w:rFonts w:cs="Times New Roman"/>
              </w:rPr>
              <w:t>14%</w:t>
            </w:r>
          </w:p>
        </w:tc>
        <w:tc>
          <w:tcPr>
            <w:tcW w:w="1034" w:type="dxa"/>
            <w:shd w:val="clear" w:color="auto" w:fill="auto"/>
          </w:tcPr>
          <w:p w14:paraId="19E24CBC" w14:textId="77777777" w:rsidR="002030E7" w:rsidRPr="000A2B75" w:rsidRDefault="002030E7" w:rsidP="007329B9">
            <w:pPr>
              <w:rPr>
                <w:rFonts w:cs="Times New Roman"/>
              </w:rPr>
            </w:pPr>
            <w:r w:rsidRPr="000A2B75">
              <w:rPr>
                <w:rFonts w:cs="Times New Roman"/>
              </w:rPr>
              <w:t>23%</w:t>
            </w:r>
          </w:p>
        </w:tc>
        <w:tc>
          <w:tcPr>
            <w:tcW w:w="1034" w:type="dxa"/>
            <w:shd w:val="clear" w:color="auto" w:fill="auto"/>
          </w:tcPr>
          <w:p w14:paraId="19A696C0" w14:textId="77777777" w:rsidR="002030E7" w:rsidRPr="000A2B75" w:rsidRDefault="002030E7" w:rsidP="007329B9">
            <w:pPr>
              <w:rPr>
                <w:rFonts w:cs="Times New Roman"/>
              </w:rPr>
            </w:pPr>
            <w:r w:rsidRPr="000A2B75">
              <w:rPr>
                <w:rFonts w:cs="Times New Roman"/>
              </w:rPr>
              <w:t>85%</w:t>
            </w:r>
          </w:p>
        </w:tc>
        <w:tc>
          <w:tcPr>
            <w:tcW w:w="1034" w:type="dxa"/>
            <w:shd w:val="clear" w:color="auto" w:fill="auto"/>
          </w:tcPr>
          <w:p w14:paraId="26F1FE0C" w14:textId="77777777" w:rsidR="002030E7" w:rsidRPr="000A2B75" w:rsidRDefault="002030E7" w:rsidP="007329B9">
            <w:pPr>
              <w:rPr>
                <w:rFonts w:cs="Times New Roman"/>
              </w:rPr>
            </w:pPr>
            <w:r w:rsidRPr="000A2B75">
              <w:rPr>
                <w:rFonts w:cs="Times New Roman"/>
              </w:rPr>
              <w:t>92%</w:t>
            </w:r>
          </w:p>
        </w:tc>
      </w:tr>
    </w:tbl>
    <w:p w14:paraId="56A31F76" w14:textId="77777777" w:rsidR="002030E7" w:rsidRPr="000A2B75" w:rsidRDefault="002030E7" w:rsidP="002030E7">
      <w:pPr>
        <w:rPr>
          <w:rFonts w:cs="Times New Roman"/>
        </w:rPr>
      </w:pPr>
    </w:p>
    <w:p w14:paraId="4AFAE22F" w14:textId="77777777" w:rsidR="002030E7" w:rsidRPr="000A2B75" w:rsidRDefault="002030E7" w:rsidP="002030E7">
      <w:pPr>
        <w:rPr>
          <w:rFonts w:cs="Times New Roman"/>
        </w:rPr>
      </w:pPr>
    </w:p>
    <w:p w14:paraId="15C409A2" w14:textId="33533AE2" w:rsidR="002030E7" w:rsidRDefault="002030E7" w:rsidP="002030E7">
      <w:pPr>
        <w:rPr>
          <w:rFonts w:cs="Times New Roman"/>
          <w:lang w:val="en-US"/>
        </w:rPr>
      </w:pPr>
      <w:r w:rsidRPr="000A2B75">
        <w:rPr>
          <w:rFonts w:cs="Times New Roman"/>
          <w:b/>
        </w:rPr>
        <w:t>2.3</w:t>
      </w:r>
      <w:r w:rsidR="00CA422E">
        <w:rPr>
          <w:rFonts w:cs="Times New Roman"/>
          <w:b/>
        </w:rPr>
        <w:tab/>
      </w:r>
      <w:r w:rsidRPr="000A2B75">
        <w:rPr>
          <w:rFonts w:cs="Times New Roman"/>
          <w:b/>
        </w:rPr>
        <w:t xml:space="preserve">Parameter 3 definition: </w:t>
      </w:r>
      <w:r w:rsidRPr="000A2B75">
        <w:rPr>
          <w:rFonts w:cs="Times New Roman"/>
          <w:lang w:val="en-US"/>
        </w:rPr>
        <w:t xml:space="preserve">the percentage of patients, aged 60-79 </w:t>
      </w:r>
      <w:r w:rsidR="006D2B20" w:rsidRPr="000A2B75">
        <w:rPr>
          <w:rFonts w:cs="Times New Roman"/>
          <w:lang w:val="en-US"/>
        </w:rPr>
        <w:t>years whose</w:t>
      </w:r>
      <w:r w:rsidRPr="000A2B75">
        <w:rPr>
          <w:rFonts w:cs="Times New Roman"/>
          <w:lang w:val="en-US"/>
        </w:rPr>
        <w:t xml:space="preserve"> death was due to CJD, that are misdiagnosed as having died from another neurodegenerative disease, since 2005.</w:t>
      </w:r>
    </w:p>
    <w:p w14:paraId="1CB23630" w14:textId="77777777" w:rsidR="002030E7" w:rsidRPr="000A2B75" w:rsidRDefault="002030E7" w:rsidP="002030E7">
      <w:pPr>
        <w:rPr>
          <w:rFonts w:cs="Times New Roman"/>
          <w:b/>
        </w:rPr>
      </w:pPr>
    </w:p>
    <w:p w14:paraId="7BD59AF6" w14:textId="77777777" w:rsidR="002030E7" w:rsidRPr="000A2B75" w:rsidRDefault="002030E7" w:rsidP="002030E7">
      <w:pPr>
        <w:jc w:val="both"/>
        <w:rPr>
          <w:rFonts w:cs="Times New Roman"/>
        </w:rPr>
      </w:pPr>
      <w:r w:rsidRPr="000A2B75">
        <w:rPr>
          <w:rFonts w:cs="Times New Roman"/>
        </w:rPr>
        <w:t>This parameter is assumed to be the mean of Parameters 1 and 3 (the percentages for the two age groups: below 60, and 80 and above). Its implied distribution can be obtained by simulation.</w:t>
      </w:r>
    </w:p>
    <w:p w14:paraId="4CA6D32A" w14:textId="77777777" w:rsidR="002030E7" w:rsidRPr="00BD2D79" w:rsidRDefault="002030E7" w:rsidP="002030E7">
      <w:pPr>
        <w:keepNext/>
        <w:jc w:val="center"/>
        <w:rPr>
          <w:rFonts w:cs="Times New Roman"/>
        </w:rPr>
      </w:pPr>
      <w:r w:rsidRPr="00BD2D79">
        <w:rPr>
          <w:rFonts w:cs="Times New Roman"/>
          <w:noProof/>
          <w:lang w:eastAsia="en-GB"/>
        </w:rPr>
        <w:drawing>
          <wp:inline distT="0" distB="0" distL="0" distR="0" wp14:anchorId="7F9F01F8" wp14:editId="121B862D">
            <wp:extent cx="3670300" cy="317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plot3.pdf"/>
                    <pic:cNvPicPr/>
                  </pic:nvPicPr>
                  <pic:blipFill>
                    <a:blip r:embed="rId27"/>
                    <a:stretch>
                      <a:fillRect/>
                    </a:stretch>
                  </pic:blipFill>
                  <pic:spPr>
                    <a:xfrm>
                      <a:off x="0" y="0"/>
                      <a:ext cx="3670300" cy="3175000"/>
                    </a:xfrm>
                    <a:prstGeom prst="rect">
                      <a:avLst/>
                    </a:prstGeom>
                  </pic:spPr>
                </pic:pic>
              </a:graphicData>
            </a:graphic>
          </wp:inline>
        </w:drawing>
      </w:r>
    </w:p>
    <w:p w14:paraId="36FFDF94" w14:textId="77777777" w:rsidR="002030E7" w:rsidRDefault="002030E7" w:rsidP="002030E7">
      <w:pPr>
        <w:rPr>
          <w:rFonts w:cs="Times New Roman"/>
          <w:b/>
          <w:i/>
          <w:sz w:val="18"/>
          <w:szCs w:val="18"/>
        </w:rPr>
      </w:pPr>
      <w:r w:rsidRPr="00BD2D79">
        <w:rPr>
          <w:rFonts w:cs="Times New Roman"/>
          <w:i/>
          <w:sz w:val="18"/>
          <w:szCs w:val="18"/>
        </w:rPr>
        <w:t xml:space="preserve">Figure 3: the distribution chosen to represent the experts’ consensus judgements for Parameter 3: </w:t>
      </w:r>
      <w:r w:rsidRPr="00BD2D79">
        <w:rPr>
          <w:rFonts w:cs="Times New Roman"/>
          <w:i/>
          <w:sz w:val="18"/>
          <w:szCs w:val="18"/>
          <w:lang w:val="en-US"/>
        </w:rPr>
        <w:t>the percentage of patients, aged between 60 and 79 years, whose death was due to CJD, that are misdiagnosed as having died from another neurodegenerative disease, since 2005.</w:t>
      </w:r>
      <w:r w:rsidRPr="00BD2D79">
        <w:rPr>
          <w:rFonts w:cs="Times New Roman"/>
          <w:b/>
          <w:i/>
          <w:sz w:val="18"/>
          <w:szCs w:val="18"/>
        </w:rPr>
        <w:t xml:space="preserve"> </w:t>
      </w:r>
    </w:p>
    <w:p w14:paraId="3747C253" w14:textId="77777777" w:rsidR="00CA422E" w:rsidRPr="00BD2D79" w:rsidRDefault="00CA422E" w:rsidP="002030E7">
      <w:pPr>
        <w:rPr>
          <w:rFonts w:cs="Times New Roman"/>
          <w:b/>
          <w:i/>
          <w:sz w:val="18"/>
          <w:szCs w:val="18"/>
        </w:rPr>
      </w:pPr>
    </w:p>
    <w:p w14:paraId="11310B22" w14:textId="77777777" w:rsidR="002030E7" w:rsidRPr="00BD2D79" w:rsidRDefault="002030E7" w:rsidP="002030E7">
      <w:pPr>
        <w:rPr>
          <w:rFonts w:cs="Times New Roman"/>
        </w:rPr>
      </w:pPr>
      <w:r w:rsidRPr="00BD2D79">
        <w:rPr>
          <w:rFonts w:cs="Times New Roman"/>
        </w:rPr>
        <w:t>Percentiles of this distribution are estimated by simulation.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34"/>
        <w:gridCol w:w="1034"/>
        <w:gridCol w:w="1034"/>
      </w:tblGrid>
      <w:tr w:rsidR="002030E7" w:rsidRPr="00BD2D79" w14:paraId="0499AC5C" w14:textId="77777777" w:rsidTr="007329B9">
        <w:trPr>
          <w:jc w:val="center"/>
        </w:trPr>
        <w:tc>
          <w:tcPr>
            <w:tcW w:w="1041" w:type="dxa"/>
            <w:shd w:val="clear" w:color="auto" w:fill="auto"/>
          </w:tcPr>
          <w:p w14:paraId="2184CD14" w14:textId="77777777" w:rsidR="002030E7" w:rsidRPr="00BD2D79" w:rsidRDefault="002030E7" w:rsidP="007329B9">
            <w:pPr>
              <w:rPr>
                <w:rFonts w:cs="Times New Roman"/>
              </w:rPr>
            </w:pPr>
            <w:r w:rsidRPr="00BD2D79">
              <w:rPr>
                <w:rFonts w:cs="Times New Roman"/>
              </w:rPr>
              <w:t>1st</w:t>
            </w:r>
          </w:p>
        </w:tc>
        <w:tc>
          <w:tcPr>
            <w:tcW w:w="1034" w:type="dxa"/>
            <w:shd w:val="clear" w:color="auto" w:fill="auto"/>
          </w:tcPr>
          <w:p w14:paraId="7EBC34CE" w14:textId="77777777" w:rsidR="002030E7" w:rsidRPr="00BD2D79" w:rsidRDefault="002030E7" w:rsidP="007329B9">
            <w:pPr>
              <w:rPr>
                <w:rFonts w:cs="Times New Roman"/>
              </w:rPr>
            </w:pPr>
            <w:r w:rsidRPr="00BD2D79">
              <w:rPr>
                <w:rFonts w:cs="Times New Roman"/>
              </w:rPr>
              <w:t>5th</w:t>
            </w:r>
          </w:p>
        </w:tc>
        <w:tc>
          <w:tcPr>
            <w:tcW w:w="1034" w:type="dxa"/>
            <w:shd w:val="clear" w:color="auto" w:fill="auto"/>
          </w:tcPr>
          <w:p w14:paraId="1542BA0D" w14:textId="77777777" w:rsidR="002030E7" w:rsidRPr="00BD2D79" w:rsidRDefault="002030E7" w:rsidP="007329B9">
            <w:pPr>
              <w:rPr>
                <w:rFonts w:cs="Times New Roman"/>
              </w:rPr>
            </w:pPr>
            <w:r w:rsidRPr="00BD2D79">
              <w:rPr>
                <w:rFonts w:cs="Times New Roman"/>
              </w:rPr>
              <w:t>95th</w:t>
            </w:r>
          </w:p>
        </w:tc>
        <w:tc>
          <w:tcPr>
            <w:tcW w:w="1034" w:type="dxa"/>
            <w:shd w:val="clear" w:color="auto" w:fill="auto"/>
          </w:tcPr>
          <w:p w14:paraId="3BE837E6" w14:textId="77777777" w:rsidR="002030E7" w:rsidRPr="00BD2D79" w:rsidRDefault="002030E7" w:rsidP="007329B9">
            <w:pPr>
              <w:rPr>
                <w:rFonts w:cs="Times New Roman"/>
              </w:rPr>
            </w:pPr>
            <w:r w:rsidRPr="00BD2D79">
              <w:rPr>
                <w:rFonts w:cs="Times New Roman"/>
              </w:rPr>
              <w:t>99</w:t>
            </w:r>
            <w:r w:rsidRPr="00BD2D79">
              <w:rPr>
                <w:rFonts w:cs="Times New Roman"/>
                <w:vertAlign w:val="superscript"/>
              </w:rPr>
              <w:t>th</w:t>
            </w:r>
          </w:p>
          <w:p w14:paraId="56B54EB7" w14:textId="77777777" w:rsidR="002030E7" w:rsidRPr="00BD2D79" w:rsidRDefault="002030E7" w:rsidP="007329B9">
            <w:pPr>
              <w:rPr>
                <w:rFonts w:cs="Times New Roman"/>
              </w:rPr>
            </w:pPr>
          </w:p>
        </w:tc>
      </w:tr>
      <w:tr w:rsidR="002030E7" w:rsidRPr="00BD2D79" w14:paraId="0595D2E7" w14:textId="77777777" w:rsidTr="007329B9">
        <w:trPr>
          <w:jc w:val="center"/>
        </w:trPr>
        <w:tc>
          <w:tcPr>
            <w:tcW w:w="1041" w:type="dxa"/>
            <w:shd w:val="clear" w:color="auto" w:fill="auto"/>
          </w:tcPr>
          <w:p w14:paraId="1675EBCA" w14:textId="77777777" w:rsidR="002030E7" w:rsidRPr="00BD2D79" w:rsidRDefault="002030E7" w:rsidP="007329B9">
            <w:pPr>
              <w:rPr>
                <w:rFonts w:cs="Times New Roman"/>
              </w:rPr>
            </w:pPr>
            <w:r w:rsidRPr="00BD2D79">
              <w:rPr>
                <w:rFonts w:cs="Times New Roman"/>
              </w:rPr>
              <w:t>10%</w:t>
            </w:r>
          </w:p>
        </w:tc>
        <w:tc>
          <w:tcPr>
            <w:tcW w:w="1034" w:type="dxa"/>
            <w:shd w:val="clear" w:color="auto" w:fill="auto"/>
          </w:tcPr>
          <w:p w14:paraId="44E357DC" w14:textId="77777777" w:rsidR="002030E7" w:rsidRPr="00BD2D79" w:rsidRDefault="002030E7" w:rsidP="007329B9">
            <w:pPr>
              <w:rPr>
                <w:rFonts w:cs="Times New Roman"/>
              </w:rPr>
            </w:pPr>
            <w:r w:rsidRPr="00BD2D79">
              <w:rPr>
                <w:rFonts w:cs="Times New Roman"/>
              </w:rPr>
              <w:t>16%</w:t>
            </w:r>
          </w:p>
        </w:tc>
        <w:tc>
          <w:tcPr>
            <w:tcW w:w="1034" w:type="dxa"/>
            <w:shd w:val="clear" w:color="auto" w:fill="auto"/>
          </w:tcPr>
          <w:p w14:paraId="60AE6498" w14:textId="77777777" w:rsidR="002030E7" w:rsidRPr="00BD2D79" w:rsidRDefault="002030E7" w:rsidP="007329B9">
            <w:pPr>
              <w:rPr>
                <w:rFonts w:cs="Times New Roman"/>
              </w:rPr>
            </w:pPr>
            <w:r w:rsidRPr="00BD2D79">
              <w:rPr>
                <w:rFonts w:cs="Times New Roman"/>
              </w:rPr>
              <w:t>51%</w:t>
            </w:r>
          </w:p>
        </w:tc>
        <w:tc>
          <w:tcPr>
            <w:tcW w:w="1034" w:type="dxa"/>
            <w:shd w:val="clear" w:color="auto" w:fill="auto"/>
          </w:tcPr>
          <w:p w14:paraId="1D55F49C" w14:textId="77777777" w:rsidR="002030E7" w:rsidRPr="00BD2D79" w:rsidRDefault="002030E7" w:rsidP="007329B9">
            <w:pPr>
              <w:rPr>
                <w:rFonts w:cs="Times New Roman"/>
              </w:rPr>
            </w:pPr>
            <w:r w:rsidRPr="00BD2D79">
              <w:rPr>
                <w:rFonts w:cs="Times New Roman"/>
              </w:rPr>
              <w:t>58%</w:t>
            </w:r>
          </w:p>
        </w:tc>
      </w:tr>
    </w:tbl>
    <w:p w14:paraId="5FC88D4E" w14:textId="77777777" w:rsidR="002030E7" w:rsidRPr="00BD2D79" w:rsidRDefault="002030E7" w:rsidP="002030E7">
      <w:pPr>
        <w:jc w:val="center"/>
        <w:rPr>
          <w:rFonts w:cs="Times New Roman"/>
        </w:rPr>
      </w:pPr>
    </w:p>
    <w:p w14:paraId="2BE1DBAE" w14:textId="77777777" w:rsidR="002030E7" w:rsidRPr="00BD2D79" w:rsidRDefault="002030E7" w:rsidP="002030E7">
      <w:pPr>
        <w:rPr>
          <w:rFonts w:cs="Times New Roman"/>
        </w:rPr>
      </w:pPr>
      <w:r w:rsidRPr="00BD2D79">
        <w:rPr>
          <w:rFonts w:cs="Times New Roman"/>
        </w:rPr>
        <w:br w:type="page"/>
      </w:r>
    </w:p>
    <w:p w14:paraId="12B55CBC" w14:textId="77777777" w:rsidR="002030E7" w:rsidRPr="000A2B75" w:rsidRDefault="002030E7" w:rsidP="002030E7">
      <w:pPr>
        <w:jc w:val="center"/>
        <w:rPr>
          <w:rFonts w:cs="Times New Roman"/>
        </w:rPr>
      </w:pPr>
    </w:p>
    <w:p w14:paraId="52B34674" w14:textId="5495CFC3" w:rsidR="002030E7" w:rsidRPr="000A2B75" w:rsidRDefault="002030E7" w:rsidP="002030E7">
      <w:pPr>
        <w:rPr>
          <w:rFonts w:cs="Times New Roman"/>
          <w:b/>
        </w:rPr>
      </w:pPr>
      <w:r w:rsidRPr="000A2B75">
        <w:rPr>
          <w:rFonts w:cs="Times New Roman"/>
          <w:b/>
        </w:rPr>
        <w:t>3</w:t>
      </w:r>
      <w:r w:rsidR="00CA422E">
        <w:rPr>
          <w:rFonts w:cs="Times New Roman"/>
          <w:b/>
        </w:rPr>
        <w:tab/>
      </w:r>
      <w:r w:rsidRPr="000A2B75">
        <w:rPr>
          <w:rFonts w:cs="Times New Roman"/>
          <w:b/>
        </w:rPr>
        <w:t>Distributions related to incubation periods</w:t>
      </w:r>
    </w:p>
    <w:p w14:paraId="42A2A5C9" w14:textId="77777777" w:rsidR="002030E7" w:rsidRPr="000A2B75" w:rsidRDefault="002030E7" w:rsidP="002030E7">
      <w:pPr>
        <w:jc w:val="both"/>
        <w:rPr>
          <w:rFonts w:cs="Times New Roman"/>
        </w:rPr>
      </w:pPr>
      <w:r w:rsidRPr="000A2B75">
        <w:rPr>
          <w:rFonts w:cs="Times New Roman"/>
        </w:rPr>
        <w:t xml:space="preserve">Previous analysis had used different incubation periods for different recipient genotypes. It was thought that incubation period would depend on both the genotypes of host and recipient and also the infecting prion, and that a more manageable elicitation task would be to consider a single distribution of incubation periods, for genotype unspecified. </w:t>
      </w:r>
    </w:p>
    <w:p w14:paraId="74BEDB18" w14:textId="77777777" w:rsidR="002030E7" w:rsidRPr="000A2B75" w:rsidRDefault="002030E7" w:rsidP="002030E7">
      <w:pPr>
        <w:rPr>
          <w:rFonts w:cs="Times New Roman"/>
        </w:rPr>
      </w:pPr>
    </w:p>
    <w:p w14:paraId="58E82812" w14:textId="2EA1BDF5" w:rsidR="002030E7" w:rsidRPr="000A2B75" w:rsidRDefault="002030E7" w:rsidP="002030E7">
      <w:pPr>
        <w:rPr>
          <w:rFonts w:cs="Times New Roman"/>
        </w:rPr>
      </w:pPr>
      <w:r w:rsidRPr="000A2B75">
        <w:rPr>
          <w:rFonts w:cs="Times New Roman"/>
          <w:b/>
        </w:rPr>
        <w:t>3.1</w:t>
      </w:r>
      <w:r w:rsidR="00CA422E">
        <w:rPr>
          <w:rFonts w:cs="Times New Roman"/>
          <w:b/>
        </w:rPr>
        <w:tab/>
      </w:r>
      <w:r w:rsidRPr="000A2B75">
        <w:rPr>
          <w:rFonts w:cs="Times New Roman"/>
          <w:b/>
        </w:rPr>
        <w:t>Distribution definition:</w:t>
      </w:r>
    </w:p>
    <w:p w14:paraId="5D561A39" w14:textId="77777777" w:rsidR="002030E7" w:rsidRPr="000A2B75" w:rsidRDefault="002030E7" w:rsidP="002030E7">
      <w:pPr>
        <w:jc w:val="both"/>
        <w:rPr>
          <w:rFonts w:cs="Times New Roman"/>
        </w:rPr>
      </w:pPr>
      <w:r w:rsidRPr="000A2B75">
        <w:rPr>
          <w:rFonts w:cs="Times New Roman"/>
        </w:rPr>
        <w:t xml:space="preserve">The uncertain object of interest here is not a single parameter, but instead a </w:t>
      </w:r>
      <w:r w:rsidRPr="000A2B75">
        <w:rPr>
          <w:rFonts w:cs="Times New Roman"/>
          <w:i/>
        </w:rPr>
        <w:t>distribution</w:t>
      </w:r>
      <w:r w:rsidRPr="000A2B75">
        <w:rPr>
          <w:rFonts w:cs="Times New Roman"/>
        </w:rPr>
        <w:t xml:space="preserve"> of incubation periods: the distribution of incubation period in years, in all patients, following infection with prion via surgery (posterior eye, brain, neuroendoscopy, and intradural spinal surgery), genotype unknown for each patient.</w:t>
      </w:r>
    </w:p>
    <w:p w14:paraId="4B38D4D3" w14:textId="77777777" w:rsidR="002030E7" w:rsidRPr="000A2B75" w:rsidRDefault="002030E7" w:rsidP="002030E7">
      <w:pPr>
        <w:rPr>
          <w:rFonts w:cs="Times New Roman"/>
        </w:rPr>
      </w:pPr>
    </w:p>
    <w:p w14:paraId="5E496D81" w14:textId="60BE7D82" w:rsidR="002030E7" w:rsidRPr="000A2B75" w:rsidRDefault="002030E7" w:rsidP="002030E7">
      <w:pPr>
        <w:rPr>
          <w:rFonts w:cs="Times New Roman"/>
          <w:b/>
        </w:rPr>
      </w:pPr>
      <w:r w:rsidRPr="000A2B75">
        <w:rPr>
          <w:rFonts w:cs="Times New Roman"/>
          <w:b/>
        </w:rPr>
        <w:t>3.2</w:t>
      </w:r>
      <w:r w:rsidR="00CA422E">
        <w:rPr>
          <w:rFonts w:cs="Times New Roman"/>
          <w:b/>
        </w:rPr>
        <w:tab/>
      </w:r>
      <w:r w:rsidRPr="000A2B75">
        <w:rPr>
          <w:rFonts w:cs="Times New Roman"/>
          <w:b/>
        </w:rPr>
        <w:t xml:space="preserve">Individual estimates of the uncertain distribution. </w:t>
      </w:r>
    </w:p>
    <w:p w14:paraId="41FAD950" w14:textId="77777777" w:rsidR="002030E7" w:rsidRPr="000A2B75" w:rsidRDefault="002030E7" w:rsidP="002030E7">
      <w:pPr>
        <w:jc w:val="both"/>
        <w:rPr>
          <w:rFonts w:cs="Times New Roman"/>
        </w:rPr>
      </w:pPr>
      <w:r w:rsidRPr="000A2B75">
        <w:rPr>
          <w:rFonts w:cs="Times New Roman"/>
        </w:rPr>
        <w:t>Without conferring, each expert gave estimates of three quantiles of the uncertain distribution, together with suggested lower and upper limits.</w:t>
      </w:r>
    </w:p>
    <w:p w14:paraId="4F6F97AC" w14:textId="77777777" w:rsidR="002030E7" w:rsidRPr="000A2B75" w:rsidRDefault="002030E7" w:rsidP="002030E7">
      <w:pPr>
        <w:jc w:val="cente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1350"/>
        <w:gridCol w:w="1276"/>
        <w:gridCol w:w="1134"/>
        <w:gridCol w:w="1276"/>
        <w:gridCol w:w="1701"/>
      </w:tblGrid>
      <w:tr w:rsidR="002030E7" w:rsidRPr="00BD2D79" w14:paraId="26A56B4A" w14:textId="77777777" w:rsidTr="007329B9">
        <w:tc>
          <w:tcPr>
            <w:tcW w:w="1026" w:type="dxa"/>
            <w:shd w:val="clear" w:color="auto" w:fill="auto"/>
          </w:tcPr>
          <w:p w14:paraId="071A7183" w14:textId="77777777" w:rsidR="002030E7" w:rsidRPr="00BD2D79" w:rsidRDefault="002030E7" w:rsidP="007329B9">
            <w:pPr>
              <w:rPr>
                <w:rFonts w:cs="Times New Roman"/>
              </w:rPr>
            </w:pPr>
            <w:r w:rsidRPr="00BD2D79">
              <w:rPr>
                <w:rFonts w:cs="Times New Roman"/>
              </w:rPr>
              <w:t>Expert</w:t>
            </w:r>
          </w:p>
        </w:tc>
        <w:tc>
          <w:tcPr>
            <w:tcW w:w="1350" w:type="dxa"/>
            <w:shd w:val="clear" w:color="auto" w:fill="auto"/>
          </w:tcPr>
          <w:p w14:paraId="1C8161C5" w14:textId="77777777" w:rsidR="002030E7" w:rsidRPr="00BD2D79" w:rsidRDefault="002030E7" w:rsidP="007329B9">
            <w:pPr>
              <w:rPr>
                <w:rFonts w:cs="Times New Roman"/>
              </w:rPr>
            </w:pPr>
            <w:r w:rsidRPr="00BD2D79">
              <w:rPr>
                <w:rFonts w:cs="Times New Roman"/>
              </w:rPr>
              <w:t>Plausible lower limit</w:t>
            </w:r>
          </w:p>
        </w:tc>
        <w:tc>
          <w:tcPr>
            <w:tcW w:w="1276" w:type="dxa"/>
            <w:shd w:val="clear" w:color="auto" w:fill="auto"/>
          </w:tcPr>
          <w:p w14:paraId="2A90785E" w14:textId="77777777" w:rsidR="002030E7" w:rsidRPr="00BD2D79" w:rsidRDefault="002030E7" w:rsidP="007329B9">
            <w:pPr>
              <w:rPr>
                <w:rFonts w:cs="Times New Roman"/>
              </w:rPr>
            </w:pPr>
            <w:r w:rsidRPr="00BD2D79">
              <w:rPr>
                <w:rFonts w:cs="Times New Roman"/>
              </w:rPr>
              <w:t>25</w:t>
            </w:r>
            <w:r w:rsidRPr="00BD2D79">
              <w:rPr>
                <w:rFonts w:cs="Times New Roman"/>
                <w:vertAlign w:val="superscript"/>
              </w:rPr>
              <w:t>th</w:t>
            </w:r>
            <w:r w:rsidRPr="00BD2D79">
              <w:rPr>
                <w:rFonts w:cs="Times New Roman"/>
              </w:rPr>
              <w:t xml:space="preserve"> percentile</w:t>
            </w:r>
          </w:p>
        </w:tc>
        <w:tc>
          <w:tcPr>
            <w:tcW w:w="1134" w:type="dxa"/>
            <w:shd w:val="clear" w:color="auto" w:fill="auto"/>
          </w:tcPr>
          <w:p w14:paraId="036671AA" w14:textId="77777777" w:rsidR="002030E7" w:rsidRPr="00BD2D79" w:rsidRDefault="002030E7" w:rsidP="007329B9">
            <w:pPr>
              <w:rPr>
                <w:rFonts w:cs="Times New Roman"/>
              </w:rPr>
            </w:pPr>
            <w:r w:rsidRPr="00BD2D79">
              <w:rPr>
                <w:rFonts w:cs="Times New Roman"/>
              </w:rPr>
              <w:t>median</w:t>
            </w:r>
          </w:p>
        </w:tc>
        <w:tc>
          <w:tcPr>
            <w:tcW w:w="1276" w:type="dxa"/>
            <w:shd w:val="clear" w:color="auto" w:fill="auto"/>
          </w:tcPr>
          <w:p w14:paraId="0C232D20" w14:textId="77777777" w:rsidR="002030E7" w:rsidRPr="00BD2D79" w:rsidRDefault="002030E7" w:rsidP="007329B9">
            <w:pPr>
              <w:rPr>
                <w:rFonts w:cs="Times New Roman"/>
              </w:rPr>
            </w:pPr>
            <w:r w:rsidRPr="00BD2D79">
              <w:rPr>
                <w:rFonts w:cs="Times New Roman"/>
              </w:rPr>
              <w:t>75</w:t>
            </w:r>
            <w:r w:rsidRPr="00BD2D79">
              <w:rPr>
                <w:rFonts w:cs="Times New Roman"/>
                <w:vertAlign w:val="superscript"/>
              </w:rPr>
              <w:t>th</w:t>
            </w:r>
          </w:p>
          <w:p w14:paraId="3C86D81A" w14:textId="77777777" w:rsidR="002030E7" w:rsidRPr="00BD2D79" w:rsidRDefault="002030E7" w:rsidP="007329B9">
            <w:pPr>
              <w:rPr>
                <w:rFonts w:cs="Times New Roman"/>
              </w:rPr>
            </w:pPr>
            <w:r w:rsidRPr="00BD2D79">
              <w:rPr>
                <w:rFonts w:cs="Times New Roman"/>
              </w:rPr>
              <w:t>percentile</w:t>
            </w:r>
          </w:p>
        </w:tc>
        <w:tc>
          <w:tcPr>
            <w:tcW w:w="1701" w:type="dxa"/>
            <w:shd w:val="clear" w:color="auto" w:fill="auto"/>
          </w:tcPr>
          <w:p w14:paraId="1C1D2F1F" w14:textId="77777777" w:rsidR="002030E7" w:rsidRPr="00BD2D79" w:rsidRDefault="002030E7" w:rsidP="007329B9">
            <w:pPr>
              <w:rPr>
                <w:rFonts w:cs="Times New Roman"/>
              </w:rPr>
            </w:pPr>
            <w:r w:rsidRPr="00BD2D79">
              <w:rPr>
                <w:rFonts w:cs="Times New Roman"/>
              </w:rPr>
              <w:t>Plausible upper limit</w:t>
            </w:r>
          </w:p>
        </w:tc>
      </w:tr>
      <w:tr w:rsidR="002030E7" w:rsidRPr="00BD2D79" w14:paraId="72E3495E" w14:textId="77777777" w:rsidTr="007329B9">
        <w:tc>
          <w:tcPr>
            <w:tcW w:w="1026" w:type="dxa"/>
            <w:shd w:val="clear" w:color="auto" w:fill="auto"/>
          </w:tcPr>
          <w:p w14:paraId="3311C41C" w14:textId="77777777" w:rsidR="002030E7" w:rsidRPr="00BD2D79" w:rsidRDefault="002030E7" w:rsidP="007329B9">
            <w:pPr>
              <w:rPr>
                <w:rFonts w:cs="Times New Roman"/>
              </w:rPr>
            </w:pPr>
            <w:r w:rsidRPr="00BD2D79">
              <w:rPr>
                <w:rFonts w:cs="Times New Roman"/>
              </w:rPr>
              <w:t>A</w:t>
            </w:r>
          </w:p>
        </w:tc>
        <w:tc>
          <w:tcPr>
            <w:tcW w:w="1350" w:type="dxa"/>
            <w:shd w:val="clear" w:color="auto" w:fill="auto"/>
          </w:tcPr>
          <w:p w14:paraId="4B9D31ED" w14:textId="77777777" w:rsidR="002030E7" w:rsidRPr="00BD2D79" w:rsidRDefault="002030E7" w:rsidP="007329B9">
            <w:pPr>
              <w:rPr>
                <w:rFonts w:cs="Times New Roman"/>
              </w:rPr>
            </w:pPr>
            <w:r w:rsidRPr="00BD2D79">
              <w:rPr>
                <w:rFonts w:cs="Times New Roman"/>
              </w:rPr>
              <w:t>0.5</w:t>
            </w:r>
          </w:p>
        </w:tc>
        <w:tc>
          <w:tcPr>
            <w:tcW w:w="1276" w:type="dxa"/>
            <w:shd w:val="clear" w:color="auto" w:fill="auto"/>
          </w:tcPr>
          <w:p w14:paraId="68911D13" w14:textId="77777777" w:rsidR="002030E7" w:rsidRPr="00BD2D79" w:rsidRDefault="002030E7" w:rsidP="007329B9">
            <w:pPr>
              <w:rPr>
                <w:rFonts w:cs="Times New Roman"/>
              </w:rPr>
            </w:pPr>
            <w:r w:rsidRPr="00BD2D79">
              <w:rPr>
                <w:rFonts w:cs="Times New Roman"/>
              </w:rPr>
              <w:t>2</w:t>
            </w:r>
          </w:p>
        </w:tc>
        <w:tc>
          <w:tcPr>
            <w:tcW w:w="1134" w:type="dxa"/>
            <w:shd w:val="clear" w:color="auto" w:fill="auto"/>
          </w:tcPr>
          <w:p w14:paraId="221542C9" w14:textId="77777777" w:rsidR="002030E7" w:rsidRPr="00BD2D79" w:rsidRDefault="002030E7" w:rsidP="007329B9">
            <w:pPr>
              <w:rPr>
                <w:rFonts w:cs="Times New Roman"/>
              </w:rPr>
            </w:pPr>
            <w:r w:rsidRPr="00BD2D79">
              <w:rPr>
                <w:rFonts w:cs="Times New Roman"/>
              </w:rPr>
              <w:t>4</w:t>
            </w:r>
          </w:p>
        </w:tc>
        <w:tc>
          <w:tcPr>
            <w:tcW w:w="1276" w:type="dxa"/>
            <w:shd w:val="clear" w:color="auto" w:fill="auto"/>
          </w:tcPr>
          <w:p w14:paraId="24AFED8A" w14:textId="77777777" w:rsidR="002030E7" w:rsidRPr="00BD2D79" w:rsidRDefault="002030E7" w:rsidP="007329B9">
            <w:pPr>
              <w:rPr>
                <w:rFonts w:cs="Times New Roman"/>
              </w:rPr>
            </w:pPr>
            <w:r w:rsidRPr="00BD2D79">
              <w:rPr>
                <w:rFonts w:cs="Times New Roman"/>
              </w:rPr>
              <w:t>10</w:t>
            </w:r>
          </w:p>
        </w:tc>
        <w:tc>
          <w:tcPr>
            <w:tcW w:w="1701" w:type="dxa"/>
            <w:shd w:val="clear" w:color="auto" w:fill="auto"/>
          </w:tcPr>
          <w:p w14:paraId="0C389CC8" w14:textId="77777777" w:rsidR="002030E7" w:rsidRPr="00BD2D79" w:rsidRDefault="002030E7" w:rsidP="007329B9">
            <w:pPr>
              <w:rPr>
                <w:rFonts w:cs="Times New Roman"/>
              </w:rPr>
            </w:pPr>
            <w:r w:rsidRPr="00BD2D79">
              <w:rPr>
                <w:rFonts w:cs="Times New Roman"/>
              </w:rPr>
              <w:t>50</w:t>
            </w:r>
          </w:p>
        </w:tc>
      </w:tr>
      <w:tr w:rsidR="002030E7" w:rsidRPr="00BD2D79" w14:paraId="771F173F" w14:textId="77777777" w:rsidTr="007329B9">
        <w:tc>
          <w:tcPr>
            <w:tcW w:w="1026" w:type="dxa"/>
            <w:shd w:val="clear" w:color="auto" w:fill="auto"/>
          </w:tcPr>
          <w:p w14:paraId="14829B81" w14:textId="77777777" w:rsidR="002030E7" w:rsidRPr="00BD2D79" w:rsidRDefault="002030E7" w:rsidP="007329B9">
            <w:pPr>
              <w:rPr>
                <w:rFonts w:cs="Times New Roman"/>
              </w:rPr>
            </w:pPr>
            <w:r w:rsidRPr="00BD2D79">
              <w:rPr>
                <w:rFonts w:cs="Times New Roman"/>
              </w:rPr>
              <w:t>B</w:t>
            </w:r>
          </w:p>
        </w:tc>
        <w:tc>
          <w:tcPr>
            <w:tcW w:w="1350" w:type="dxa"/>
            <w:shd w:val="clear" w:color="auto" w:fill="auto"/>
          </w:tcPr>
          <w:p w14:paraId="71945D2E" w14:textId="77777777" w:rsidR="002030E7" w:rsidRPr="00BD2D79" w:rsidRDefault="002030E7" w:rsidP="007329B9">
            <w:pPr>
              <w:rPr>
                <w:rFonts w:cs="Times New Roman"/>
              </w:rPr>
            </w:pPr>
            <w:r w:rsidRPr="00BD2D79">
              <w:rPr>
                <w:rFonts w:cs="Times New Roman"/>
              </w:rPr>
              <w:t>0.25</w:t>
            </w:r>
          </w:p>
        </w:tc>
        <w:tc>
          <w:tcPr>
            <w:tcW w:w="1276" w:type="dxa"/>
            <w:shd w:val="clear" w:color="auto" w:fill="auto"/>
          </w:tcPr>
          <w:p w14:paraId="63C7AC30" w14:textId="77777777" w:rsidR="002030E7" w:rsidRPr="00BD2D79" w:rsidRDefault="002030E7" w:rsidP="007329B9">
            <w:pPr>
              <w:rPr>
                <w:rFonts w:cs="Times New Roman"/>
              </w:rPr>
            </w:pPr>
            <w:r w:rsidRPr="00BD2D79">
              <w:rPr>
                <w:rFonts w:cs="Times New Roman"/>
              </w:rPr>
              <w:t>3</w:t>
            </w:r>
          </w:p>
        </w:tc>
        <w:tc>
          <w:tcPr>
            <w:tcW w:w="1134" w:type="dxa"/>
            <w:shd w:val="clear" w:color="auto" w:fill="auto"/>
          </w:tcPr>
          <w:p w14:paraId="7E259EA7" w14:textId="77777777" w:rsidR="002030E7" w:rsidRPr="00BD2D79" w:rsidRDefault="002030E7" w:rsidP="007329B9">
            <w:pPr>
              <w:rPr>
                <w:rFonts w:cs="Times New Roman"/>
              </w:rPr>
            </w:pPr>
            <w:r w:rsidRPr="00BD2D79">
              <w:rPr>
                <w:rFonts w:cs="Times New Roman"/>
              </w:rPr>
              <w:t>7.5</w:t>
            </w:r>
          </w:p>
        </w:tc>
        <w:tc>
          <w:tcPr>
            <w:tcW w:w="1276" w:type="dxa"/>
            <w:shd w:val="clear" w:color="auto" w:fill="auto"/>
          </w:tcPr>
          <w:p w14:paraId="0444581E" w14:textId="77777777" w:rsidR="002030E7" w:rsidRPr="00BD2D79" w:rsidRDefault="002030E7" w:rsidP="007329B9">
            <w:pPr>
              <w:rPr>
                <w:rFonts w:cs="Times New Roman"/>
              </w:rPr>
            </w:pPr>
            <w:r w:rsidRPr="00BD2D79">
              <w:rPr>
                <w:rFonts w:cs="Times New Roman"/>
              </w:rPr>
              <w:t>10</w:t>
            </w:r>
          </w:p>
        </w:tc>
        <w:tc>
          <w:tcPr>
            <w:tcW w:w="1701" w:type="dxa"/>
            <w:shd w:val="clear" w:color="auto" w:fill="auto"/>
          </w:tcPr>
          <w:p w14:paraId="4CF53C82" w14:textId="77777777" w:rsidR="002030E7" w:rsidRPr="00BD2D79" w:rsidRDefault="002030E7" w:rsidP="007329B9">
            <w:pPr>
              <w:rPr>
                <w:rFonts w:cs="Times New Roman"/>
              </w:rPr>
            </w:pPr>
            <w:r w:rsidRPr="00BD2D79">
              <w:rPr>
                <w:rFonts w:cs="Times New Roman"/>
              </w:rPr>
              <w:t>40</w:t>
            </w:r>
          </w:p>
        </w:tc>
      </w:tr>
      <w:tr w:rsidR="002030E7" w:rsidRPr="00BD2D79" w14:paraId="6580105A" w14:textId="77777777" w:rsidTr="007329B9">
        <w:tc>
          <w:tcPr>
            <w:tcW w:w="1026" w:type="dxa"/>
            <w:shd w:val="clear" w:color="auto" w:fill="auto"/>
          </w:tcPr>
          <w:p w14:paraId="7ECBCBC9" w14:textId="77777777" w:rsidR="002030E7" w:rsidRPr="00BD2D79" w:rsidRDefault="002030E7" w:rsidP="007329B9">
            <w:pPr>
              <w:rPr>
                <w:rFonts w:cs="Times New Roman"/>
              </w:rPr>
            </w:pPr>
            <w:r w:rsidRPr="00BD2D79">
              <w:rPr>
                <w:rFonts w:cs="Times New Roman"/>
              </w:rPr>
              <w:t>C</w:t>
            </w:r>
          </w:p>
        </w:tc>
        <w:tc>
          <w:tcPr>
            <w:tcW w:w="1350" w:type="dxa"/>
            <w:shd w:val="clear" w:color="auto" w:fill="auto"/>
          </w:tcPr>
          <w:p w14:paraId="6B55E09E" w14:textId="77777777" w:rsidR="002030E7" w:rsidRPr="00BD2D79" w:rsidRDefault="002030E7" w:rsidP="007329B9">
            <w:pPr>
              <w:rPr>
                <w:rFonts w:cs="Times New Roman"/>
              </w:rPr>
            </w:pPr>
            <w:r w:rsidRPr="00BD2D79">
              <w:rPr>
                <w:rFonts w:cs="Times New Roman"/>
              </w:rPr>
              <w:t>0.2</w:t>
            </w:r>
          </w:p>
        </w:tc>
        <w:tc>
          <w:tcPr>
            <w:tcW w:w="1276" w:type="dxa"/>
            <w:shd w:val="clear" w:color="auto" w:fill="auto"/>
          </w:tcPr>
          <w:p w14:paraId="5896FE50" w14:textId="77777777" w:rsidR="002030E7" w:rsidRPr="00BD2D79" w:rsidRDefault="002030E7" w:rsidP="007329B9">
            <w:pPr>
              <w:rPr>
                <w:rFonts w:cs="Times New Roman"/>
              </w:rPr>
            </w:pPr>
            <w:r w:rsidRPr="00BD2D79">
              <w:rPr>
                <w:rFonts w:cs="Times New Roman"/>
              </w:rPr>
              <w:t>1</w:t>
            </w:r>
          </w:p>
        </w:tc>
        <w:tc>
          <w:tcPr>
            <w:tcW w:w="1134" w:type="dxa"/>
            <w:shd w:val="clear" w:color="auto" w:fill="auto"/>
          </w:tcPr>
          <w:p w14:paraId="33A73913" w14:textId="77777777" w:rsidR="002030E7" w:rsidRPr="00BD2D79" w:rsidRDefault="002030E7" w:rsidP="007329B9">
            <w:pPr>
              <w:rPr>
                <w:rFonts w:cs="Times New Roman"/>
              </w:rPr>
            </w:pPr>
            <w:r w:rsidRPr="00BD2D79">
              <w:rPr>
                <w:rFonts w:cs="Times New Roman"/>
              </w:rPr>
              <w:t>12</w:t>
            </w:r>
          </w:p>
        </w:tc>
        <w:tc>
          <w:tcPr>
            <w:tcW w:w="1276" w:type="dxa"/>
            <w:shd w:val="clear" w:color="auto" w:fill="auto"/>
          </w:tcPr>
          <w:p w14:paraId="31456AF7" w14:textId="77777777" w:rsidR="002030E7" w:rsidRPr="00BD2D79" w:rsidRDefault="002030E7" w:rsidP="007329B9">
            <w:pPr>
              <w:rPr>
                <w:rFonts w:cs="Times New Roman"/>
              </w:rPr>
            </w:pPr>
            <w:r w:rsidRPr="00BD2D79">
              <w:rPr>
                <w:rFonts w:cs="Times New Roman"/>
              </w:rPr>
              <w:t>20</w:t>
            </w:r>
          </w:p>
        </w:tc>
        <w:tc>
          <w:tcPr>
            <w:tcW w:w="1701" w:type="dxa"/>
            <w:shd w:val="clear" w:color="auto" w:fill="auto"/>
          </w:tcPr>
          <w:p w14:paraId="4F255022" w14:textId="77777777" w:rsidR="002030E7" w:rsidRPr="00BD2D79" w:rsidRDefault="002030E7" w:rsidP="007329B9">
            <w:pPr>
              <w:rPr>
                <w:rFonts w:cs="Times New Roman"/>
              </w:rPr>
            </w:pPr>
            <w:r w:rsidRPr="00BD2D79">
              <w:rPr>
                <w:rFonts w:cs="Times New Roman"/>
              </w:rPr>
              <w:t>50</w:t>
            </w:r>
          </w:p>
        </w:tc>
      </w:tr>
      <w:tr w:rsidR="002030E7" w:rsidRPr="00BD2D79" w14:paraId="0A3024E5" w14:textId="77777777" w:rsidTr="007329B9">
        <w:tc>
          <w:tcPr>
            <w:tcW w:w="1026" w:type="dxa"/>
            <w:shd w:val="clear" w:color="auto" w:fill="auto"/>
          </w:tcPr>
          <w:p w14:paraId="7D002B07" w14:textId="77777777" w:rsidR="002030E7" w:rsidRPr="00BD2D79" w:rsidRDefault="002030E7" w:rsidP="007329B9">
            <w:pPr>
              <w:rPr>
                <w:rFonts w:cs="Times New Roman"/>
              </w:rPr>
            </w:pPr>
            <w:r w:rsidRPr="00BD2D79">
              <w:rPr>
                <w:rFonts w:cs="Times New Roman"/>
              </w:rPr>
              <w:t>D</w:t>
            </w:r>
          </w:p>
        </w:tc>
        <w:tc>
          <w:tcPr>
            <w:tcW w:w="1350" w:type="dxa"/>
            <w:shd w:val="clear" w:color="auto" w:fill="auto"/>
          </w:tcPr>
          <w:p w14:paraId="0A7F9FAF" w14:textId="77777777" w:rsidR="002030E7" w:rsidRPr="00BD2D79" w:rsidRDefault="002030E7" w:rsidP="007329B9">
            <w:pPr>
              <w:rPr>
                <w:rFonts w:cs="Times New Roman"/>
              </w:rPr>
            </w:pPr>
            <w:r w:rsidRPr="00BD2D79">
              <w:rPr>
                <w:rFonts w:cs="Times New Roman"/>
              </w:rPr>
              <w:t>0.5</w:t>
            </w:r>
          </w:p>
        </w:tc>
        <w:tc>
          <w:tcPr>
            <w:tcW w:w="1276" w:type="dxa"/>
            <w:shd w:val="clear" w:color="auto" w:fill="auto"/>
          </w:tcPr>
          <w:p w14:paraId="5D1DC4E1" w14:textId="77777777" w:rsidR="002030E7" w:rsidRPr="00BD2D79" w:rsidRDefault="002030E7" w:rsidP="007329B9">
            <w:pPr>
              <w:rPr>
                <w:rFonts w:cs="Times New Roman"/>
              </w:rPr>
            </w:pPr>
            <w:r w:rsidRPr="00BD2D79">
              <w:rPr>
                <w:rFonts w:cs="Times New Roman"/>
              </w:rPr>
              <w:t>3</w:t>
            </w:r>
          </w:p>
        </w:tc>
        <w:tc>
          <w:tcPr>
            <w:tcW w:w="1134" w:type="dxa"/>
            <w:shd w:val="clear" w:color="auto" w:fill="auto"/>
          </w:tcPr>
          <w:p w14:paraId="5A16D071" w14:textId="77777777" w:rsidR="002030E7" w:rsidRPr="00BD2D79" w:rsidRDefault="002030E7" w:rsidP="007329B9">
            <w:pPr>
              <w:rPr>
                <w:rFonts w:cs="Times New Roman"/>
              </w:rPr>
            </w:pPr>
            <w:r w:rsidRPr="00BD2D79">
              <w:rPr>
                <w:rFonts w:cs="Times New Roman"/>
              </w:rPr>
              <w:t>12</w:t>
            </w:r>
          </w:p>
        </w:tc>
        <w:tc>
          <w:tcPr>
            <w:tcW w:w="1276" w:type="dxa"/>
            <w:shd w:val="clear" w:color="auto" w:fill="auto"/>
          </w:tcPr>
          <w:p w14:paraId="38475DB0" w14:textId="77777777" w:rsidR="002030E7" w:rsidRPr="00BD2D79" w:rsidRDefault="002030E7" w:rsidP="007329B9">
            <w:pPr>
              <w:rPr>
                <w:rFonts w:cs="Times New Roman"/>
              </w:rPr>
            </w:pPr>
            <w:r w:rsidRPr="00BD2D79">
              <w:rPr>
                <w:rFonts w:cs="Times New Roman"/>
              </w:rPr>
              <w:t>30</w:t>
            </w:r>
          </w:p>
        </w:tc>
        <w:tc>
          <w:tcPr>
            <w:tcW w:w="1701" w:type="dxa"/>
            <w:shd w:val="clear" w:color="auto" w:fill="auto"/>
          </w:tcPr>
          <w:p w14:paraId="24E1EC3A" w14:textId="77777777" w:rsidR="002030E7" w:rsidRPr="00BD2D79" w:rsidRDefault="002030E7" w:rsidP="007329B9">
            <w:pPr>
              <w:rPr>
                <w:rFonts w:cs="Times New Roman"/>
              </w:rPr>
            </w:pPr>
            <w:r w:rsidRPr="00BD2D79">
              <w:rPr>
                <w:rFonts w:cs="Times New Roman"/>
              </w:rPr>
              <w:t>70</w:t>
            </w:r>
          </w:p>
        </w:tc>
      </w:tr>
    </w:tbl>
    <w:p w14:paraId="74042507" w14:textId="77777777" w:rsidR="002030E7" w:rsidRPr="00BD2D79" w:rsidRDefault="002030E7" w:rsidP="002030E7">
      <w:pPr>
        <w:rPr>
          <w:rFonts w:cs="Times New Roman"/>
        </w:rPr>
      </w:pPr>
    </w:p>
    <w:p w14:paraId="5E0D7474" w14:textId="210298C9" w:rsidR="002030E7" w:rsidRPr="00BD2D79" w:rsidRDefault="002030E7" w:rsidP="002030E7">
      <w:pPr>
        <w:rPr>
          <w:rFonts w:cs="Times New Roman"/>
          <w:b/>
        </w:rPr>
      </w:pPr>
      <w:r w:rsidRPr="00BD2D79">
        <w:rPr>
          <w:rFonts w:cs="Times New Roman"/>
          <w:b/>
        </w:rPr>
        <w:t>3.3</w:t>
      </w:r>
      <w:r w:rsidR="00CA422E">
        <w:rPr>
          <w:rFonts w:cs="Times New Roman"/>
          <w:b/>
        </w:rPr>
        <w:tab/>
      </w:r>
      <w:r w:rsidRPr="00BD2D79">
        <w:rPr>
          <w:rFonts w:cs="Times New Roman"/>
          <w:b/>
        </w:rPr>
        <w:t xml:space="preserve">Group discussion, and quantifying uncertainty about the distribution </w:t>
      </w:r>
    </w:p>
    <w:p w14:paraId="45396A2B" w14:textId="77777777" w:rsidR="002030E7" w:rsidRPr="00BD2D79" w:rsidRDefault="002030E7" w:rsidP="002030E7">
      <w:pPr>
        <w:jc w:val="both"/>
        <w:rPr>
          <w:rFonts w:cs="Times New Roman"/>
        </w:rPr>
      </w:pPr>
      <w:r w:rsidRPr="00BD2D79">
        <w:rPr>
          <w:rFonts w:cs="Times New Roman"/>
        </w:rPr>
        <w:t>It was proposed to quantify uncertainty about the distribution of incubation periods as follows. First four intervals were specified, based on the estimates provided at the individual stage</w:t>
      </w:r>
    </w:p>
    <w:p w14:paraId="46AAE044" w14:textId="77777777" w:rsidR="002030E7" w:rsidRPr="00BD2D79" w:rsidRDefault="002030E7" w:rsidP="002030E7">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1418"/>
        <w:gridCol w:w="1588"/>
        <w:gridCol w:w="1559"/>
      </w:tblGrid>
      <w:tr w:rsidR="002030E7" w:rsidRPr="00BD2D79" w14:paraId="50D66CC3" w14:textId="77777777" w:rsidTr="007329B9">
        <w:trPr>
          <w:jc w:val="center"/>
        </w:trPr>
        <w:tc>
          <w:tcPr>
            <w:tcW w:w="1569" w:type="dxa"/>
            <w:shd w:val="clear" w:color="auto" w:fill="auto"/>
          </w:tcPr>
          <w:p w14:paraId="246A7915" w14:textId="77777777" w:rsidR="002030E7" w:rsidRPr="00BD2D79" w:rsidRDefault="002030E7" w:rsidP="007329B9">
            <w:pPr>
              <w:rPr>
                <w:rFonts w:cs="Times New Roman"/>
              </w:rPr>
            </w:pPr>
            <w:r w:rsidRPr="00BD2D79">
              <w:rPr>
                <w:rFonts w:cs="Times New Roman"/>
              </w:rPr>
              <w:t>Interval 1</w:t>
            </w:r>
          </w:p>
        </w:tc>
        <w:tc>
          <w:tcPr>
            <w:tcW w:w="1418" w:type="dxa"/>
            <w:shd w:val="clear" w:color="auto" w:fill="auto"/>
          </w:tcPr>
          <w:p w14:paraId="23B3CF15" w14:textId="77777777" w:rsidR="002030E7" w:rsidRPr="00BD2D79" w:rsidRDefault="002030E7" w:rsidP="007329B9">
            <w:pPr>
              <w:rPr>
                <w:rFonts w:cs="Times New Roman"/>
              </w:rPr>
            </w:pPr>
            <w:r w:rsidRPr="00BD2D79">
              <w:rPr>
                <w:rFonts w:cs="Times New Roman"/>
              </w:rPr>
              <w:t>Interval 2</w:t>
            </w:r>
          </w:p>
        </w:tc>
        <w:tc>
          <w:tcPr>
            <w:tcW w:w="1588" w:type="dxa"/>
            <w:shd w:val="clear" w:color="auto" w:fill="auto"/>
          </w:tcPr>
          <w:p w14:paraId="441C11CD" w14:textId="77777777" w:rsidR="002030E7" w:rsidRPr="00BD2D79" w:rsidRDefault="002030E7" w:rsidP="007329B9">
            <w:pPr>
              <w:rPr>
                <w:rFonts w:cs="Times New Roman"/>
              </w:rPr>
            </w:pPr>
            <w:r w:rsidRPr="00BD2D79">
              <w:rPr>
                <w:rFonts w:cs="Times New Roman"/>
              </w:rPr>
              <w:t>Interval 3</w:t>
            </w:r>
          </w:p>
        </w:tc>
        <w:tc>
          <w:tcPr>
            <w:tcW w:w="1559" w:type="dxa"/>
            <w:shd w:val="clear" w:color="auto" w:fill="auto"/>
          </w:tcPr>
          <w:p w14:paraId="03E3AFA8" w14:textId="77777777" w:rsidR="002030E7" w:rsidRPr="00BD2D79" w:rsidRDefault="002030E7" w:rsidP="007329B9">
            <w:pPr>
              <w:rPr>
                <w:rFonts w:cs="Times New Roman"/>
              </w:rPr>
            </w:pPr>
            <w:r w:rsidRPr="00BD2D79">
              <w:rPr>
                <w:rFonts w:cs="Times New Roman"/>
              </w:rPr>
              <w:t>Interval 4</w:t>
            </w:r>
          </w:p>
        </w:tc>
      </w:tr>
      <w:tr w:rsidR="002030E7" w:rsidRPr="00BD2D79" w14:paraId="4120D6C7" w14:textId="77777777" w:rsidTr="007329B9">
        <w:trPr>
          <w:jc w:val="center"/>
        </w:trPr>
        <w:tc>
          <w:tcPr>
            <w:tcW w:w="1569" w:type="dxa"/>
            <w:shd w:val="clear" w:color="auto" w:fill="auto"/>
          </w:tcPr>
          <w:p w14:paraId="4D175F8A" w14:textId="77777777" w:rsidR="002030E7" w:rsidRPr="00BD2D79" w:rsidRDefault="002030E7" w:rsidP="007329B9">
            <w:pPr>
              <w:rPr>
                <w:rFonts w:cs="Times New Roman"/>
              </w:rPr>
            </w:pPr>
            <w:r w:rsidRPr="00BD2D79">
              <w:rPr>
                <w:rFonts w:cs="Times New Roman"/>
              </w:rPr>
              <w:t>0.25-2 years</w:t>
            </w:r>
          </w:p>
        </w:tc>
        <w:tc>
          <w:tcPr>
            <w:tcW w:w="1418" w:type="dxa"/>
            <w:shd w:val="clear" w:color="auto" w:fill="auto"/>
          </w:tcPr>
          <w:p w14:paraId="14B8FDCA" w14:textId="77777777" w:rsidR="002030E7" w:rsidRPr="00BD2D79" w:rsidRDefault="002030E7" w:rsidP="007329B9">
            <w:pPr>
              <w:rPr>
                <w:rFonts w:cs="Times New Roman"/>
              </w:rPr>
            </w:pPr>
            <w:r w:rsidRPr="00BD2D79">
              <w:rPr>
                <w:rFonts w:cs="Times New Roman"/>
              </w:rPr>
              <w:t>2-10 years</w:t>
            </w:r>
          </w:p>
        </w:tc>
        <w:tc>
          <w:tcPr>
            <w:tcW w:w="1588" w:type="dxa"/>
            <w:shd w:val="clear" w:color="auto" w:fill="auto"/>
          </w:tcPr>
          <w:p w14:paraId="17ECDAE5" w14:textId="77777777" w:rsidR="002030E7" w:rsidRPr="00BD2D79" w:rsidRDefault="002030E7" w:rsidP="007329B9">
            <w:pPr>
              <w:rPr>
                <w:rFonts w:cs="Times New Roman"/>
              </w:rPr>
            </w:pPr>
            <w:r w:rsidRPr="00BD2D79">
              <w:rPr>
                <w:rFonts w:cs="Times New Roman"/>
              </w:rPr>
              <w:t>10-20 years</w:t>
            </w:r>
          </w:p>
        </w:tc>
        <w:tc>
          <w:tcPr>
            <w:tcW w:w="1559" w:type="dxa"/>
            <w:shd w:val="clear" w:color="auto" w:fill="auto"/>
          </w:tcPr>
          <w:p w14:paraId="7496329E" w14:textId="77777777" w:rsidR="002030E7" w:rsidRPr="00BD2D79" w:rsidRDefault="002030E7" w:rsidP="007329B9">
            <w:pPr>
              <w:rPr>
                <w:rFonts w:cs="Times New Roman"/>
              </w:rPr>
            </w:pPr>
            <w:r w:rsidRPr="00BD2D79">
              <w:rPr>
                <w:rFonts w:cs="Times New Roman"/>
              </w:rPr>
              <w:t>20-50 years</w:t>
            </w:r>
          </w:p>
        </w:tc>
      </w:tr>
    </w:tbl>
    <w:p w14:paraId="23DC620B" w14:textId="77777777" w:rsidR="002030E7" w:rsidRPr="00BD2D79" w:rsidRDefault="002030E7" w:rsidP="002030E7">
      <w:pPr>
        <w:rPr>
          <w:rFonts w:cs="Times New Roman"/>
        </w:rPr>
      </w:pPr>
    </w:p>
    <w:p w14:paraId="58A9F9FD" w14:textId="77777777" w:rsidR="002030E7" w:rsidRPr="00BD2D79" w:rsidRDefault="002030E7" w:rsidP="002030E7">
      <w:pPr>
        <w:jc w:val="both"/>
        <w:rPr>
          <w:rFonts w:cs="Times New Roman"/>
        </w:rPr>
      </w:pPr>
      <w:r w:rsidRPr="00BD2D79">
        <w:rPr>
          <w:rFonts w:cs="Times New Roman"/>
        </w:rPr>
        <w:t>As a central estimate, it was proposed that each interval describes incubation periods for 25% of the population. Incubation periods would be assumed to be uniform in each interval, giving the following estimated distribution.</w:t>
      </w:r>
    </w:p>
    <w:p w14:paraId="0BE84F62" w14:textId="77777777" w:rsidR="002030E7" w:rsidRPr="00BD2D79" w:rsidRDefault="002030E7" w:rsidP="002030E7">
      <w:pPr>
        <w:jc w:val="center"/>
        <w:rPr>
          <w:rFonts w:cs="Times New Roman"/>
        </w:rPr>
      </w:pPr>
      <w:r w:rsidRPr="00BD2D79">
        <w:rPr>
          <w:rFonts w:cs="Times New Roman"/>
          <w:noProof/>
          <w:lang w:eastAsia="en-GB"/>
        </w:rPr>
        <w:drawing>
          <wp:inline distT="0" distB="0" distL="0" distR="0" wp14:anchorId="44F72239" wp14:editId="57E8AF2F">
            <wp:extent cx="3950208" cy="2379827"/>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59479" cy="2385412"/>
                    </a:xfrm>
                    <a:prstGeom prst="rect">
                      <a:avLst/>
                    </a:prstGeom>
                  </pic:spPr>
                </pic:pic>
              </a:graphicData>
            </a:graphic>
          </wp:inline>
        </w:drawing>
      </w:r>
    </w:p>
    <w:p w14:paraId="6A3A085D" w14:textId="77777777" w:rsidR="002030E7" w:rsidRPr="00BD2D79" w:rsidRDefault="002030E7" w:rsidP="002030E7">
      <w:pPr>
        <w:rPr>
          <w:rFonts w:cs="Times New Roman"/>
          <w:i/>
          <w:sz w:val="18"/>
          <w:szCs w:val="18"/>
        </w:rPr>
      </w:pPr>
      <w:r w:rsidRPr="00BD2D79">
        <w:rPr>
          <w:rFonts w:cs="Times New Roman"/>
          <w:i/>
          <w:sz w:val="18"/>
          <w:szCs w:val="18"/>
        </w:rPr>
        <w:t>Figure 4: an estimate of the distribution of incubation periods for all patients the distribution of incubation period in years, in all patients, following infection with prion via surgery (posterior eye, brain, neuroendoscopy, and intradural spinal surgery), genotype unknown for each patient. The red shaded region indicates that, given this choice of distribution, 98% of incubation periods will lie between 0.32 years and 48.8 years.</w:t>
      </w:r>
    </w:p>
    <w:p w14:paraId="4F5FC69A" w14:textId="77777777" w:rsidR="002030E7" w:rsidRPr="00BD2D79" w:rsidRDefault="002030E7" w:rsidP="002030E7">
      <w:pPr>
        <w:rPr>
          <w:rFonts w:cs="Times New Roman"/>
        </w:rPr>
      </w:pPr>
    </w:p>
    <w:p w14:paraId="2852F496" w14:textId="77777777" w:rsidR="002030E7" w:rsidRPr="00BD2D79" w:rsidRDefault="002030E7" w:rsidP="002030E7">
      <w:pPr>
        <w:jc w:val="both"/>
        <w:rPr>
          <w:rFonts w:cs="Times New Roman"/>
        </w:rPr>
      </w:pPr>
      <w:r w:rsidRPr="00BD2D79">
        <w:rPr>
          <w:rFonts w:cs="Times New Roman"/>
        </w:rPr>
        <w:t>To allow for uncertainty in the estimated distribution, it was proposed to allow the percentages in each interval to vary by up to 15% in intervals 1-3, and up to 10% in interval 4. For example, an alternative distribution would be</w:t>
      </w:r>
    </w:p>
    <w:p w14:paraId="117DF4E3" w14:textId="77777777" w:rsidR="002030E7" w:rsidRPr="00BD2D79" w:rsidRDefault="002030E7" w:rsidP="002030E7">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1418"/>
        <w:gridCol w:w="1588"/>
        <w:gridCol w:w="1559"/>
      </w:tblGrid>
      <w:tr w:rsidR="002030E7" w:rsidRPr="00BD2D79" w14:paraId="6DBF41FF" w14:textId="77777777" w:rsidTr="007329B9">
        <w:trPr>
          <w:jc w:val="center"/>
        </w:trPr>
        <w:tc>
          <w:tcPr>
            <w:tcW w:w="1569" w:type="dxa"/>
            <w:shd w:val="clear" w:color="auto" w:fill="auto"/>
          </w:tcPr>
          <w:p w14:paraId="28286C80" w14:textId="77777777" w:rsidR="002030E7" w:rsidRPr="00BD2D79" w:rsidRDefault="002030E7" w:rsidP="007329B9">
            <w:pPr>
              <w:rPr>
                <w:rFonts w:cs="Times New Roman"/>
              </w:rPr>
            </w:pPr>
            <w:r w:rsidRPr="00BD2D79">
              <w:rPr>
                <w:rFonts w:cs="Times New Roman"/>
              </w:rPr>
              <w:t>Interval 1</w:t>
            </w:r>
          </w:p>
        </w:tc>
        <w:tc>
          <w:tcPr>
            <w:tcW w:w="1418" w:type="dxa"/>
            <w:shd w:val="clear" w:color="auto" w:fill="auto"/>
          </w:tcPr>
          <w:p w14:paraId="31D741A5" w14:textId="77777777" w:rsidR="002030E7" w:rsidRPr="00BD2D79" w:rsidRDefault="002030E7" w:rsidP="007329B9">
            <w:pPr>
              <w:rPr>
                <w:rFonts w:cs="Times New Roman"/>
              </w:rPr>
            </w:pPr>
            <w:r w:rsidRPr="00BD2D79">
              <w:rPr>
                <w:rFonts w:cs="Times New Roman"/>
              </w:rPr>
              <w:t>Interval 2</w:t>
            </w:r>
          </w:p>
        </w:tc>
        <w:tc>
          <w:tcPr>
            <w:tcW w:w="1588" w:type="dxa"/>
            <w:shd w:val="clear" w:color="auto" w:fill="auto"/>
          </w:tcPr>
          <w:p w14:paraId="29FE13EF" w14:textId="77777777" w:rsidR="002030E7" w:rsidRPr="00BD2D79" w:rsidRDefault="002030E7" w:rsidP="007329B9">
            <w:pPr>
              <w:rPr>
                <w:rFonts w:cs="Times New Roman"/>
              </w:rPr>
            </w:pPr>
            <w:r w:rsidRPr="00BD2D79">
              <w:rPr>
                <w:rFonts w:cs="Times New Roman"/>
              </w:rPr>
              <w:t>Interval 3</w:t>
            </w:r>
          </w:p>
        </w:tc>
        <w:tc>
          <w:tcPr>
            <w:tcW w:w="1559" w:type="dxa"/>
            <w:shd w:val="clear" w:color="auto" w:fill="auto"/>
          </w:tcPr>
          <w:p w14:paraId="134F8C1F" w14:textId="77777777" w:rsidR="002030E7" w:rsidRPr="00BD2D79" w:rsidRDefault="002030E7" w:rsidP="007329B9">
            <w:pPr>
              <w:rPr>
                <w:rFonts w:cs="Times New Roman"/>
              </w:rPr>
            </w:pPr>
            <w:r w:rsidRPr="00BD2D79">
              <w:rPr>
                <w:rFonts w:cs="Times New Roman"/>
              </w:rPr>
              <w:t>Interval 4</w:t>
            </w:r>
          </w:p>
        </w:tc>
      </w:tr>
      <w:tr w:rsidR="002030E7" w:rsidRPr="00BD2D79" w14:paraId="499126B2" w14:textId="77777777" w:rsidTr="007329B9">
        <w:trPr>
          <w:jc w:val="center"/>
        </w:trPr>
        <w:tc>
          <w:tcPr>
            <w:tcW w:w="1569" w:type="dxa"/>
            <w:shd w:val="clear" w:color="auto" w:fill="auto"/>
          </w:tcPr>
          <w:p w14:paraId="5D53D171" w14:textId="77777777" w:rsidR="002030E7" w:rsidRPr="00BD2D79" w:rsidRDefault="002030E7" w:rsidP="007329B9">
            <w:pPr>
              <w:rPr>
                <w:rFonts w:cs="Times New Roman"/>
              </w:rPr>
            </w:pPr>
            <w:r w:rsidRPr="00BD2D79">
              <w:rPr>
                <w:rFonts w:cs="Times New Roman"/>
              </w:rPr>
              <w:t>0.25-2 years</w:t>
            </w:r>
          </w:p>
        </w:tc>
        <w:tc>
          <w:tcPr>
            <w:tcW w:w="1418" w:type="dxa"/>
            <w:shd w:val="clear" w:color="auto" w:fill="auto"/>
          </w:tcPr>
          <w:p w14:paraId="7396B4FD" w14:textId="77777777" w:rsidR="002030E7" w:rsidRPr="00BD2D79" w:rsidRDefault="002030E7" w:rsidP="007329B9">
            <w:pPr>
              <w:rPr>
                <w:rFonts w:cs="Times New Roman"/>
              </w:rPr>
            </w:pPr>
            <w:r w:rsidRPr="00BD2D79">
              <w:rPr>
                <w:rFonts w:cs="Times New Roman"/>
              </w:rPr>
              <w:t>2-10 years</w:t>
            </w:r>
          </w:p>
        </w:tc>
        <w:tc>
          <w:tcPr>
            <w:tcW w:w="1588" w:type="dxa"/>
            <w:shd w:val="clear" w:color="auto" w:fill="auto"/>
          </w:tcPr>
          <w:p w14:paraId="77AA3F0C" w14:textId="77777777" w:rsidR="002030E7" w:rsidRPr="00BD2D79" w:rsidRDefault="002030E7" w:rsidP="007329B9">
            <w:pPr>
              <w:rPr>
                <w:rFonts w:cs="Times New Roman"/>
              </w:rPr>
            </w:pPr>
            <w:r w:rsidRPr="00BD2D79">
              <w:rPr>
                <w:rFonts w:cs="Times New Roman"/>
              </w:rPr>
              <w:t>10-20 years</w:t>
            </w:r>
          </w:p>
        </w:tc>
        <w:tc>
          <w:tcPr>
            <w:tcW w:w="1559" w:type="dxa"/>
            <w:shd w:val="clear" w:color="auto" w:fill="auto"/>
          </w:tcPr>
          <w:p w14:paraId="5941BA33" w14:textId="77777777" w:rsidR="002030E7" w:rsidRPr="00BD2D79" w:rsidRDefault="002030E7" w:rsidP="007329B9">
            <w:pPr>
              <w:rPr>
                <w:rFonts w:cs="Times New Roman"/>
              </w:rPr>
            </w:pPr>
            <w:r w:rsidRPr="00BD2D79">
              <w:rPr>
                <w:rFonts w:cs="Times New Roman"/>
              </w:rPr>
              <w:t>20-50 years</w:t>
            </w:r>
          </w:p>
        </w:tc>
      </w:tr>
      <w:tr w:rsidR="002030E7" w:rsidRPr="00BD2D79" w14:paraId="459B0626" w14:textId="77777777" w:rsidTr="007329B9">
        <w:trPr>
          <w:jc w:val="center"/>
        </w:trPr>
        <w:tc>
          <w:tcPr>
            <w:tcW w:w="1569" w:type="dxa"/>
            <w:shd w:val="clear" w:color="auto" w:fill="auto"/>
          </w:tcPr>
          <w:p w14:paraId="60865148" w14:textId="77777777" w:rsidR="002030E7" w:rsidRPr="00BD2D79" w:rsidRDefault="002030E7" w:rsidP="007329B9">
            <w:pPr>
              <w:jc w:val="center"/>
              <w:rPr>
                <w:rFonts w:cs="Times New Roman"/>
              </w:rPr>
            </w:pPr>
            <w:r w:rsidRPr="00BD2D79">
              <w:rPr>
                <w:rFonts w:cs="Times New Roman"/>
              </w:rPr>
              <w:t>15%</w:t>
            </w:r>
          </w:p>
        </w:tc>
        <w:tc>
          <w:tcPr>
            <w:tcW w:w="1418" w:type="dxa"/>
            <w:shd w:val="clear" w:color="auto" w:fill="auto"/>
          </w:tcPr>
          <w:p w14:paraId="1BE91019" w14:textId="77777777" w:rsidR="002030E7" w:rsidRPr="00BD2D79" w:rsidRDefault="002030E7" w:rsidP="007329B9">
            <w:pPr>
              <w:jc w:val="center"/>
              <w:rPr>
                <w:rFonts w:cs="Times New Roman"/>
              </w:rPr>
            </w:pPr>
            <w:r w:rsidRPr="00BD2D79">
              <w:rPr>
                <w:rFonts w:cs="Times New Roman"/>
              </w:rPr>
              <w:t>35%</w:t>
            </w:r>
          </w:p>
        </w:tc>
        <w:tc>
          <w:tcPr>
            <w:tcW w:w="1588" w:type="dxa"/>
            <w:shd w:val="clear" w:color="auto" w:fill="auto"/>
          </w:tcPr>
          <w:p w14:paraId="571B59DC" w14:textId="77777777" w:rsidR="002030E7" w:rsidRPr="00BD2D79" w:rsidRDefault="002030E7" w:rsidP="007329B9">
            <w:pPr>
              <w:jc w:val="center"/>
              <w:rPr>
                <w:rFonts w:cs="Times New Roman"/>
              </w:rPr>
            </w:pPr>
            <w:r w:rsidRPr="00BD2D79">
              <w:rPr>
                <w:rFonts w:cs="Times New Roman"/>
              </w:rPr>
              <w:t>35%</w:t>
            </w:r>
          </w:p>
        </w:tc>
        <w:tc>
          <w:tcPr>
            <w:tcW w:w="1559" w:type="dxa"/>
            <w:shd w:val="clear" w:color="auto" w:fill="auto"/>
          </w:tcPr>
          <w:p w14:paraId="4F533166" w14:textId="77777777" w:rsidR="002030E7" w:rsidRPr="00BD2D79" w:rsidRDefault="002030E7" w:rsidP="007329B9">
            <w:pPr>
              <w:jc w:val="center"/>
              <w:rPr>
                <w:rFonts w:cs="Times New Roman"/>
              </w:rPr>
            </w:pPr>
            <w:r w:rsidRPr="00BD2D79">
              <w:rPr>
                <w:rFonts w:cs="Times New Roman"/>
              </w:rPr>
              <w:t>15%</w:t>
            </w:r>
          </w:p>
        </w:tc>
      </w:tr>
    </w:tbl>
    <w:p w14:paraId="6747AF74" w14:textId="77777777" w:rsidR="002030E7" w:rsidRPr="00BD2D79" w:rsidRDefault="002030E7" w:rsidP="002030E7">
      <w:pPr>
        <w:jc w:val="center"/>
        <w:rPr>
          <w:rFonts w:cs="Times New Roman"/>
        </w:rPr>
      </w:pPr>
      <w:r w:rsidRPr="00BD2D79">
        <w:rPr>
          <w:rFonts w:cs="Times New Roman"/>
          <w:noProof/>
          <w:lang w:eastAsia="en-GB"/>
        </w:rPr>
        <w:drawing>
          <wp:inline distT="0" distB="0" distL="0" distR="0" wp14:anchorId="14958D0C" wp14:editId="4850B936">
            <wp:extent cx="4264762" cy="2569332"/>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80002" cy="2578513"/>
                    </a:xfrm>
                    <a:prstGeom prst="rect">
                      <a:avLst/>
                    </a:prstGeom>
                  </pic:spPr>
                </pic:pic>
              </a:graphicData>
            </a:graphic>
          </wp:inline>
        </w:drawing>
      </w:r>
    </w:p>
    <w:p w14:paraId="4422D234" w14:textId="77777777" w:rsidR="002030E7" w:rsidRPr="00BD2D79" w:rsidRDefault="002030E7" w:rsidP="002030E7">
      <w:pPr>
        <w:rPr>
          <w:rFonts w:cs="Times New Roman"/>
          <w:i/>
          <w:sz w:val="18"/>
          <w:szCs w:val="18"/>
        </w:rPr>
      </w:pPr>
      <w:r w:rsidRPr="00BD2D79">
        <w:rPr>
          <w:rFonts w:cs="Times New Roman"/>
          <w:i/>
          <w:sz w:val="18"/>
          <w:szCs w:val="18"/>
        </w:rPr>
        <w:t>Figure 5: alternative the distribution of incubation periods, constructed by perturbing the proportions of the population in each interval from the central estimates. The red shaded region indicates that, given this choice of distribution, 98% of incubation periods will lie between 0.37 years and 48 years.</w:t>
      </w:r>
    </w:p>
    <w:p w14:paraId="06E6DF4C" w14:textId="77777777" w:rsidR="002030E7" w:rsidRPr="00BD2D79" w:rsidRDefault="002030E7" w:rsidP="002030E7">
      <w:pPr>
        <w:rPr>
          <w:rFonts w:cs="Times New Roman"/>
        </w:rPr>
      </w:pPr>
      <w:r w:rsidRPr="00BD2D79">
        <w:rPr>
          <w:rFonts w:cs="Times New Roman"/>
        </w:rPr>
        <w:br w:type="page"/>
      </w:r>
    </w:p>
    <w:p w14:paraId="6211283F" w14:textId="135A8D75" w:rsidR="002030E7" w:rsidRPr="000A2B75" w:rsidRDefault="002030E7" w:rsidP="002030E7">
      <w:pPr>
        <w:rPr>
          <w:rFonts w:cs="Times New Roman"/>
          <w:b/>
        </w:rPr>
      </w:pPr>
      <w:r w:rsidRPr="000A2B75">
        <w:rPr>
          <w:rFonts w:cs="Times New Roman"/>
          <w:b/>
        </w:rPr>
        <w:t>4</w:t>
      </w:r>
      <w:r w:rsidR="00CA422E">
        <w:rPr>
          <w:rFonts w:cs="Times New Roman"/>
          <w:b/>
        </w:rPr>
        <w:tab/>
      </w:r>
      <w:r w:rsidRPr="000A2B75">
        <w:rPr>
          <w:rFonts w:cs="Times New Roman"/>
          <w:b/>
        </w:rPr>
        <w:t>Susceptibility of patients to CJD-prion infection</w:t>
      </w:r>
    </w:p>
    <w:p w14:paraId="4741D739" w14:textId="77777777" w:rsidR="002030E7" w:rsidRPr="000A2B75" w:rsidRDefault="002030E7" w:rsidP="002030E7">
      <w:pPr>
        <w:jc w:val="both"/>
        <w:rPr>
          <w:rFonts w:cs="Times New Roman"/>
        </w:rPr>
      </w:pPr>
      <w:r w:rsidRPr="000A2B75">
        <w:rPr>
          <w:rFonts w:cs="Times New Roman"/>
        </w:rPr>
        <w:t>The experts agreed that all patients would be susceptible to infection if a sufficient infectious load was received. This differed from the previous modelling undertaken where it was assumed that proportions of m-v genotype and v-v genotype at codon 129 patients were non-susceptible.</w:t>
      </w:r>
    </w:p>
    <w:p w14:paraId="43EA737C" w14:textId="77777777" w:rsidR="002030E7" w:rsidRDefault="002030E7" w:rsidP="002030E7">
      <w:pPr>
        <w:rPr>
          <w:rFonts w:ascii="Arial" w:hAnsi="Arial" w:cs="Arial"/>
        </w:rPr>
      </w:pPr>
      <w:r>
        <w:rPr>
          <w:rFonts w:ascii="Arial" w:hAnsi="Arial" w:cs="Arial"/>
        </w:rPr>
        <w:br w:type="page"/>
      </w:r>
    </w:p>
    <w:p w14:paraId="145D245B" w14:textId="31834E76" w:rsidR="002030E7" w:rsidRPr="000A2B75" w:rsidRDefault="002030E7" w:rsidP="002030E7">
      <w:pPr>
        <w:rPr>
          <w:rFonts w:cs="Times New Roman"/>
          <w:b/>
        </w:rPr>
      </w:pPr>
      <w:r w:rsidRPr="000A2B75">
        <w:rPr>
          <w:rFonts w:cs="Times New Roman"/>
          <w:b/>
        </w:rPr>
        <w:t>5</w:t>
      </w:r>
      <w:r w:rsidR="00CA422E">
        <w:rPr>
          <w:rFonts w:cs="Times New Roman"/>
          <w:b/>
        </w:rPr>
        <w:tab/>
      </w:r>
      <w:r w:rsidRPr="000A2B75">
        <w:rPr>
          <w:rFonts w:cs="Times New Roman"/>
          <w:b/>
        </w:rPr>
        <w:t>The prevalence of CJD prions in central nervous system tissue</w:t>
      </w:r>
    </w:p>
    <w:p w14:paraId="54487566" w14:textId="77777777" w:rsidR="002030E7" w:rsidRPr="00BD2D79" w:rsidRDefault="002030E7" w:rsidP="002030E7">
      <w:pPr>
        <w:jc w:val="both"/>
        <w:rPr>
          <w:rFonts w:cs="Times New Roman"/>
        </w:rPr>
      </w:pPr>
      <w:r w:rsidRPr="00BD2D79">
        <w:rPr>
          <w:rFonts w:cs="Times New Roman"/>
        </w:rPr>
        <w:t>The experts suggested that there is uncertainty in this parameter, but that using different prevalence distributions for different age bands which resulted in increased prevalence in the 16-39 year old band was not appropriate. It was commented that as sporadic CJD increases with age, but variant CJD incubation could be greatest in younger ages, using the same distribution independent of age would be appropriate. The previous distribution used for 16-39 years old for prevalence per million people was a Beta (1.24, 2225.393). This d</w:t>
      </w:r>
      <w:r>
        <w:rPr>
          <w:rFonts w:cs="Times New Roman"/>
        </w:rPr>
        <w:t>istribution is shown in Figure 6</w:t>
      </w:r>
      <w:r w:rsidRPr="00BD2D79">
        <w:rPr>
          <w:rFonts w:cs="Times New Roman"/>
        </w:rPr>
        <w:t xml:space="preserve">. The experts commented that this may produce pessimistic numbers as the original elicitation was for all tissue, and not just central nervous system tissue, but thought that the use of the distribution was reasonable, and this was assumed appropriate for all ages. This prevalence was assumed to apply from 2005 onwards. </w:t>
      </w:r>
    </w:p>
    <w:p w14:paraId="7ACCA8B0" w14:textId="77777777" w:rsidR="002030E7" w:rsidRPr="00BD2D79" w:rsidRDefault="002030E7" w:rsidP="002030E7">
      <w:pPr>
        <w:rPr>
          <w:rFonts w:cs="Times New Roman"/>
        </w:rPr>
      </w:pPr>
    </w:p>
    <w:p w14:paraId="18705197" w14:textId="77777777" w:rsidR="002030E7" w:rsidRPr="00BD2D79" w:rsidRDefault="002030E7" w:rsidP="002030E7">
      <w:pPr>
        <w:jc w:val="center"/>
        <w:rPr>
          <w:rFonts w:cs="Times New Roman"/>
        </w:rPr>
      </w:pPr>
      <w:r w:rsidRPr="00BD2D79">
        <w:rPr>
          <w:rFonts w:cs="Times New Roman"/>
          <w:noProof/>
          <w:lang w:eastAsia="en-GB"/>
        </w:rPr>
        <w:drawing>
          <wp:inline distT="0" distB="0" distL="0" distR="0" wp14:anchorId="5BDE1AC4" wp14:editId="72B5BC59">
            <wp:extent cx="3124200" cy="25994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28581" cy="2603134"/>
                    </a:xfrm>
                    <a:prstGeom prst="rect">
                      <a:avLst/>
                    </a:prstGeom>
                  </pic:spPr>
                </pic:pic>
              </a:graphicData>
            </a:graphic>
          </wp:inline>
        </w:drawing>
      </w:r>
    </w:p>
    <w:p w14:paraId="27F6C5AE" w14:textId="77777777" w:rsidR="002030E7" w:rsidRPr="00BD2D79" w:rsidRDefault="002030E7" w:rsidP="002030E7">
      <w:pPr>
        <w:rPr>
          <w:rFonts w:cs="Times New Roman"/>
          <w:i/>
          <w:sz w:val="18"/>
          <w:szCs w:val="18"/>
        </w:rPr>
      </w:pPr>
      <w:r>
        <w:rPr>
          <w:rFonts w:cs="Times New Roman"/>
          <w:i/>
          <w:sz w:val="18"/>
          <w:szCs w:val="18"/>
        </w:rPr>
        <w:t>Figure 6</w:t>
      </w:r>
      <w:r w:rsidRPr="00BD2D79">
        <w:rPr>
          <w:rFonts w:cs="Times New Roman"/>
          <w:i/>
          <w:sz w:val="18"/>
          <w:szCs w:val="18"/>
        </w:rPr>
        <w:t xml:space="preserve">: the distribution chosen to represent the experts’ consensus judgements for </w:t>
      </w:r>
      <w:r w:rsidRPr="00BD2D79">
        <w:rPr>
          <w:rFonts w:cs="Times New Roman"/>
          <w:i/>
          <w:sz w:val="18"/>
          <w:szCs w:val="18"/>
          <w:lang w:val="en-US"/>
        </w:rPr>
        <w:t xml:space="preserve">the number of patients per million with CJD-prions in central nervous system tissue. </w:t>
      </w:r>
      <w:r w:rsidRPr="00BD2D79">
        <w:rPr>
          <w:rFonts w:cs="Times New Roman"/>
          <w:i/>
          <w:sz w:val="18"/>
          <w:szCs w:val="18"/>
        </w:rPr>
        <w:t>The red shaded region indicates that, given this choice of distribution, a probability of about 0.99 has been assumed that number per million will be less than 2300.</w:t>
      </w:r>
    </w:p>
    <w:p w14:paraId="410A640D" w14:textId="77777777" w:rsidR="002030E7" w:rsidRPr="000A2B75" w:rsidRDefault="002030E7" w:rsidP="002030E7">
      <w:pPr>
        <w:rPr>
          <w:rFonts w:cs="Times New Roman"/>
        </w:rPr>
      </w:pPr>
    </w:p>
    <w:p w14:paraId="46AD1745" w14:textId="77777777" w:rsidR="002030E7" w:rsidRPr="000A2B75" w:rsidRDefault="002030E7" w:rsidP="002030E7">
      <w:pPr>
        <w:pStyle w:val="BodyText"/>
        <w:spacing w:before="0" w:line="360" w:lineRule="auto"/>
        <w:rPr>
          <w:rFonts w:ascii="Times New Roman" w:hAnsi="Times New Roman"/>
          <w:sz w:val="22"/>
          <w:szCs w:val="22"/>
        </w:rPr>
      </w:pPr>
      <w:r w:rsidRPr="000A2B75">
        <w:rPr>
          <w:rFonts w:ascii="Times New Roman" w:hAnsi="Times New Roman"/>
          <w:sz w:val="22"/>
          <w:szCs w:val="22"/>
        </w:rPr>
        <w:t>Percentiles from the fitted Beta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34"/>
        <w:gridCol w:w="1034"/>
        <w:gridCol w:w="1034"/>
      </w:tblGrid>
      <w:tr w:rsidR="002030E7" w:rsidRPr="00BD2D79" w14:paraId="4D3F735C" w14:textId="77777777" w:rsidTr="007329B9">
        <w:trPr>
          <w:jc w:val="center"/>
        </w:trPr>
        <w:tc>
          <w:tcPr>
            <w:tcW w:w="1041" w:type="dxa"/>
            <w:shd w:val="clear" w:color="auto" w:fill="auto"/>
          </w:tcPr>
          <w:p w14:paraId="79629604" w14:textId="77777777" w:rsidR="002030E7" w:rsidRPr="00BD2D79" w:rsidRDefault="002030E7" w:rsidP="007329B9">
            <w:pPr>
              <w:rPr>
                <w:rFonts w:cs="Times New Roman"/>
              </w:rPr>
            </w:pPr>
            <w:r w:rsidRPr="00BD2D79">
              <w:rPr>
                <w:rFonts w:cs="Times New Roman"/>
              </w:rPr>
              <w:t>1st</w:t>
            </w:r>
          </w:p>
        </w:tc>
        <w:tc>
          <w:tcPr>
            <w:tcW w:w="1034" w:type="dxa"/>
            <w:shd w:val="clear" w:color="auto" w:fill="auto"/>
          </w:tcPr>
          <w:p w14:paraId="5622237E" w14:textId="77777777" w:rsidR="002030E7" w:rsidRPr="00BD2D79" w:rsidRDefault="002030E7" w:rsidP="007329B9">
            <w:pPr>
              <w:rPr>
                <w:rFonts w:cs="Times New Roman"/>
              </w:rPr>
            </w:pPr>
            <w:r w:rsidRPr="00BD2D79">
              <w:rPr>
                <w:rFonts w:cs="Times New Roman"/>
              </w:rPr>
              <w:t>5th</w:t>
            </w:r>
          </w:p>
        </w:tc>
        <w:tc>
          <w:tcPr>
            <w:tcW w:w="1034" w:type="dxa"/>
            <w:shd w:val="clear" w:color="auto" w:fill="auto"/>
          </w:tcPr>
          <w:p w14:paraId="76B88557" w14:textId="77777777" w:rsidR="002030E7" w:rsidRPr="00BD2D79" w:rsidRDefault="002030E7" w:rsidP="007329B9">
            <w:pPr>
              <w:rPr>
                <w:rFonts w:cs="Times New Roman"/>
              </w:rPr>
            </w:pPr>
            <w:r w:rsidRPr="00BD2D79">
              <w:rPr>
                <w:rFonts w:cs="Times New Roman"/>
              </w:rPr>
              <w:t>95th</w:t>
            </w:r>
          </w:p>
        </w:tc>
        <w:tc>
          <w:tcPr>
            <w:tcW w:w="1034" w:type="dxa"/>
            <w:shd w:val="clear" w:color="auto" w:fill="auto"/>
          </w:tcPr>
          <w:p w14:paraId="1FE06261" w14:textId="77777777" w:rsidR="002030E7" w:rsidRPr="00BD2D79" w:rsidRDefault="002030E7" w:rsidP="007329B9">
            <w:pPr>
              <w:rPr>
                <w:rFonts w:cs="Times New Roman"/>
              </w:rPr>
            </w:pPr>
            <w:r w:rsidRPr="00BD2D79">
              <w:rPr>
                <w:rFonts w:cs="Times New Roman"/>
              </w:rPr>
              <w:t>99</w:t>
            </w:r>
            <w:r w:rsidRPr="00BD2D79">
              <w:rPr>
                <w:rFonts w:cs="Times New Roman"/>
                <w:vertAlign w:val="superscript"/>
              </w:rPr>
              <w:t>th</w:t>
            </w:r>
          </w:p>
          <w:p w14:paraId="7E2ADBCE" w14:textId="77777777" w:rsidR="002030E7" w:rsidRPr="00BD2D79" w:rsidRDefault="002030E7" w:rsidP="007329B9">
            <w:pPr>
              <w:rPr>
                <w:rFonts w:cs="Times New Roman"/>
              </w:rPr>
            </w:pPr>
          </w:p>
        </w:tc>
      </w:tr>
      <w:tr w:rsidR="002030E7" w:rsidRPr="00BD2D79" w14:paraId="5F0CBA9E" w14:textId="77777777" w:rsidTr="007329B9">
        <w:trPr>
          <w:jc w:val="center"/>
        </w:trPr>
        <w:tc>
          <w:tcPr>
            <w:tcW w:w="1041" w:type="dxa"/>
            <w:shd w:val="clear" w:color="auto" w:fill="auto"/>
          </w:tcPr>
          <w:p w14:paraId="16395E20" w14:textId="77777777" w:rsidR="002030E7" w:rsidRPr="00BD2D79" w:rsidRDefault="002030E7" w:rsidP="007329B9">
            <w:pPr>
              <w:rPr>
                <w:rFonts w:cs="Times New Roman"/>
              </w:rPr>
            </w:pPr>
            <w:r w:rsidRPr="00BD2D79">
              <w:rPr>
                <w:rFonts w:cs="Times New Roman"/>
              </w:rPr>
              <w:t>12</w:t>
            </w:r>
          </w:p>
        </w:tc>
        <w:tc>
          <w:tcPr>
            <w:tcW w:w="1034" w:type="dxa"/>
            <w:shd w:val="clear" w:color="auto" w:fill="auto"/>
          </w:tcPr>
          <w:p w14:paraId="31DCB2F7" w14:textId="77777777" w:rsidR="002030E7" w:rsidRPr="00BD2D79" w:rsidRDefault="002030E7" w:rsidP="007329B9">
            <w:pPr>
              <w:rPr>
                <w:rFonts w:cs="Times New Roman"/>
              </w:rPr>
            </w:pPr>
            <w:r w:rsidRPr="00BD2D79">
              <w:rPr>
                <w:rFonts w:cs="Times New Roman"/>
              </w:rPr>
              <w:t>46</w:t>
            </w:r>
          </w:p>
        </w:tc>
        <w:tc>
          <w:tcPr>
            <w:tcW w:w="1034" w:type="dxa"/>
            <w:shd w:val="clear" w:color="auto" w:fill="auto"/>
          </w:tcPr>
          <w:p w14:paraId="7ACA7030" w14:textId="77777777" w:rsidR="002030E7" w:rsidRPr="00BD2D79" w:rsidRDefault="002030E7" w:rsidP="007329B9">
            <w:pPr>
              <w:rPr>
                <w:rFonts w:cs="Times New Roman"/>
              </w:rPr>
            </w:pPr>
            <w:r w:rsidRPr="00BD2D79">
              <w:rPr>
                <w:rFonts w:cs="Times New Roman"/>
              </w:rPr>
              <w:t>1547</w:t>
            </w:r>
          </w:p>
        </w:tc>
        <w:tc>
          <w:tcPr>
            <w:tcW w:w="1034" w:type="dxa"/>
            <w:shd w:val="clear" w:color="auto" w:fill="auto"/>
          </w:tcPr>
          <w:p w14:paraId="433EE610" w14:textId="77777777" w:rsidR="002030E7" w:rsidRPr="00BD2D79" w:rsidRDefault="002030E7" w:rsidP="007329B9">
            <w:pPr>
              <w:rPr>
                <w:rFonts w:cs="Times New Roman"/>
              </w:rPr>
            </w:pPr>
            <w:r w:rsidRPr="00BD2D79">
              <w:rPr>
                <w:rFonts w:cs="Times New Roman"/>
              </w:rPr>
              <w:t>2304</w:t>
            </w:r>
          </w:p>
        </w:tc>
      </w:tr>
    </w:tbl>
    <w:p w14:paraId="06603231" w14:textId="77777777" w:rsidR="002030E7" w:rsidRDefault="002030E7" w:rsidP="002030E7">
      <w:pPr>
        <w:rPr>
          <w:rFonts w:cs="Times New Roman"/>
        </w:rPr>
      </w:pPr>
      <w:r>
        <w:rPr>
          <w:rFonts w:cs="Times New Roman"/>
        </w:rPr>
        <w:br w:type="page"/>
      </w:r>
    </w:p>
    <w:p w14:paraId="33723FC4" w14:textId="0369AD4F" w:rsidR="002030E7" w:rsidRPr="00953456" w:rsidRDefault="002030E7" w:rsidP="002030E7">
      <w:pPr>
        <w:pStyle w:val="Heading1"/>
        <w:rPr>
          <w:szCs w:val="22"/>
        </w:rPr>
      </w:pPr>
      <w:bookmarkStart w:id="162" w:name="_Toc525106685"/>
      <w:r w:rsidRPr="00953456">
        <w:rPr>
          <w:szCs w:val="22"/>
        </w:rPr>
        <w:t xml:space="preserve">Appendix </w:t>
      </w:r>
      <w:r w:rsidR="008C534A">
        <w:rPr>
          <w:szCs w:val="22"/>
        </w:rPr>
        <w:t>5</w:t>
      </w:r>
      <w:r w:rsidRPr="00953456">
        <w:rPr>
          <w:szCs w:val="22"/>
        </w:rPr>
        <w:t>:</w:t>
      </w:r>
      <w:r>
        <w:rPr>
          <w:szCs w:val="22"/>
        </w:rPr>
        <w:tab/>
      </w:r>
      <w:r w:rsidRPr="00953456">
        <w:rPr>
          <w:szCs w:val="22"/>
        </w:rPr>
        <w:t>The operations considered to be at high risk</w:t>
      </w:r>
      <w:bookmarkEnd w:id="162"/>
    </w:p>
    <w:p w14:paraId="4105245C" w14:textId="77777777" w:rsidR="002030E7" w:rsidRPr="000A2B75" w:rsidRDefault="002030E7" w:rsidP="002030E7">
      <w:pPr>
        <w:rPr>
          <w:rFonts w:cs="Times New Roman"/>
        </w:rPr>
      </w:pPr>
      <w:r w:rsidRPr="000A2B75">
        <w:rPr>
          <w:rFonts w:cs="Times New Roman"/>
        </w:rPr>
        <w:t>Brain operations – Patients modelled to die within 12 months</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560"/>
      </w:tblGrid>
      <w:tr w:rsidR="002030E7" w:rsidRPr="00BD2D79" w14:paraId="28572653" w14:textId="77777777" w:rsidTr="007329B9">
        <w:trPr>
          <w:trHeight w:val="255"/>
        </w:trPr>
        <w:tc>
          <w:tcPr>
            <w:tcW w:w="960" w:type="dxa"/>
            <w:shd w:val="clear" w:color="auto" w:fill="auto"/>
            <w:vAlign w:val="center"/>
            <w:hideMark/>
          </w:tcPr>
          <w:p w14:paraId="7D50B54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A01.1</w:t>
            </w:r>
          </w:p>
        </w:tc>
        <w:tc>
          <w:tcPr>
            <w:tcW w:w="8560" w:type="dxa"/>
            <w:shd w:val="clear" w:color="auto" w:fill="auto"/>
            <w:noWrap/>
            <w:vAlign w:val="bottom"/>
            <w:hideMark/>
          </w:tcPr>
          <w:p w14:paraId="1C489A60"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Hemispherectomy</w:t>
            </w:r>
          </w:p>
        </w:tc>
      </w:tr>
      <w:tr w:rsidR="002030E7" w:rsidRPr="00BD2D79" w14:paraId="5FD20677" w14:textId="77777777" w:rsidTr="007329B9">
        <w:trPr>
          <w:trHeight w:val="255"/>
        </w:trPr>
        <w:tc>
          <w:tcPr>
            <w:tcW w:w="960" w:type="dxa"/>
            <w:shd w:val="clear" w:color="auto" w:fill="auto"/>
            <w:vAlign w:val="center"/>
            <w:hideMark/>
          </w:tcPr>
          <w:p w14:paraId="326602A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A01.2</w:t>
            </w:r>
          </w:p>
        </w:tc>
        <w:tc>
          <w:tcPr>
            <w:tcW w:w="8560" w:type="dxa"/>
            <w:shd w:val="clear" w:color="auto" w:fill="auto"/>
            <w:noWrap/>
            <w:vAlign w:val="bottom"/>
            <w:hideMark/>
          </w:tcPr>
          <w:p w14:paraId="0E8001C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Total lobectomy of brain</w:t>
            </w:r>
          </w:p>
        </w:tc>
      </w:tr>
      <w:tr w:rsidR="002030E7" w:rsidRPr="00BD2D79" w14:paraId="324A36D2" w14:textId="77777777" w:rsidTr="007329B9">
        <w:trPr>
          <w:trHeight w:val="255"/>
        </w:trPr>
        <w:tc>
          <w:tcPr>
            <w:tcW w:w="960" w:type="dxa"/>
            <w:shd w:val="clear" w:color="auto" w:fill="auto"/>
            <w:vAlign w:val="center"/>
            <w:hideMark/>
          </w:tcPr>
          <w:p w14:paraId="174ED9C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A01.3</w:t>
            </w:r>
          </w:p>
        </w:tc>
        <w:tc>
          <w:tcPr>
            <w:tcW w:w="8560" w:type="dxa"/>
            <w:shd w:val="clear" w:color="auto" w:fill="auto"/>
            <w:noWrap/>
            <w:vAlign w:val="bottom"/>
            <w:hideMark/>
          </w:tcPr>
          <w:p w14:paraId="470552E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Partial lobectomy of brain</w:t>
            </w:r>
          </w:p>
        </w:tc>
      </w:tr>
      <w:tr w:rsidR="002030E7" w:rsidRPr="00BD2D79" w14:paraId="3E6056C9" w14:textId="77777777" w:rsidTr="007329B9">
        <w:trPr>
          <w:trHeight w:val="255"/>
        </w:trPr>
        <w:tc>
          <w:tcPr>
            <w:tcW w:w="960" w:type="dxa"/>
            <w:shd w:val="clear" w:color="auto" w:fill="auto"/>
            <w:vAlign w:val="center"/>
            <w:hideMark/>
          </w:tcPr>
          <w:p w14:paraId="6425D40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A01.8</w:t>
            </w:r>
          </w:p>
        </w:tc>
        <w:tc>
          <w:tcPr>
            <w:tcW w:w="8560" w:type="dxa"/>
            <w:shd w:val="clear" w:color="auto" w:fill="auto"/>
            <w:noWrap/>
            <w:vAlign w:val="bottom"/>
            <w:hideMark/>
          </w:tcPr>
          <w:p w14:paraId="1A44042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major excision of tissue of brain</w:t>
            </w:r>
          </w:p>
        </w:tc>
      </w:tr>
      <w:tr w:rsidR="002030E7" w:rsidRPr="00BD2D79" w14:paraId="7A757DA3" w14:textId="77777777" w:rsidTr="007329B9">
        <w:trPr>
          <w:trHeight w:val="255"/>
        </w:trPr>
        <w:tc>
          <w:tcPr>
            <w:tcW w:w="960" w:type="dxa"/>
            <w:shd w:val="clear" w:color="auto" w:fill="auto"/>
            <w:vAlign w:val="center"/>
            <w:hideMark/>
          </w:tcPr>
          <w:p w14:paraId="10EE3836"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A01.9</w:t>
            </w:r>
          </w:p>
        </w:tc>
        <w:tc>
          <w:tcPr>
            <w:tcW w:w="8560" w:type="dxa"/>
            <w:shd w:val="clear" w:color="auto" w:fill="auto"/>
            <w:noWrap/>
            <w:vAlign w:val="bottom"/>
            <w:hideMark/>
          </w:tcPr>
          <w:p w14:paraId="1DEF254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major excision of tissue of brain</w:t>
            </w:r>
          </w:p>
        </w:tc>
      </w:tr>
      <w:tr w:rsidR="002030E7" w:rsidRPr="00BD2D79" w14:paraId="36E702FE" w14:textId="77777777" w:rsidTr="007329B9">
        <w:trPr>
          <w:trHeight w:val="255"/>
        </w:trPr>
        <w:tc>
          <w:tcPr>
            <w:tcW w:w="960" w:type="dxa"/>
            <w:shd w:val="clear" w:color="auto" w:fill="auto"/>
            <w:vAlign w:val="center"/>
            <w:hideMark/>
          </w:tcPr>
          <w:p w14:paraId="0861D18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A02.1</w:t>
            </w:r>
          </w:p>
        </w:tc>
        <w:tc>
          <w:tcPr>
            <w:tcW w:w="8560" w:type="dxa"/>
            <w:shd w:val="clear" w:color="auto" w:fill="auto"/>
            <w:noWrap/>
            <w:vAlign w:val="bottom"/>
            <w:hideMark/>
          </w:tcPr>
          <w:p w14:paraId="2BB0C0F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lesion of tissue of frontal lobe of brain</w:t>
            </w:r>
          </w:p>
        </w:tc>
      </w:tr>
      <w:tr w:rsidR="002030E7" w:rsidRPr="00BD2D79" w14:paraId="7F290D24" w14:textId="77777777" w:rsidTr="007329B9">
        <w:trPr>
          <w:trHeight w:val="255"/>
        </w:trPr>
        <w:tc>
          <w:tcPr>
            <w:tcW w:w="960" w:type="dxa"/>
            <w:shd w:val="clear" w:color="auto" w:fill="auto"/>
            <w:vAlign w:val="center"/>
            <w:hideMark/>
          </w:tcPr>
          <w:p w14:paraId="576AA68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A02.2</w:t>
            </w:r>
          </w:p>
        </w:tc>
        <w:tc>
          <w:tcPr>
            <w:tcW w:w="8560" w:type="dxa"/>
            <w:shd w:val="clear" w:color="auto" w:fill="auto"/>
            <w:noWrap/>
            <w:vAlign w:val="bottom"/>
            <w:hideMark/>
          </w:tcPr>
          <w:p w14:paraId="3182BA1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lesion of tissue of temporal lobe of brain</w:t>
            </w:r>
          </w:p>
        </w:tc>
      </w:tr>
      <w:tr w:rsidR="002030E7" w:rsidRPr="00BD2D79" w14:paraId="11198CDD" w14:textId="77777777" w:rsidTr="007329B9">
        <w:trPr>
          <w:trHeight w:val="255"/>
        </w:trPr>
        <w:tc>
          <w:tcPr>
            <w:tcW w:w="960" w:type="dxa"/>
            <w:shd w:val="clear" w:color="auto" w:fill="auto"/>
            <w:vAlign w:val="center"/>
            <w:hideMark/>
          </w:tcPr>
          <w:p w14:paraId="64EA1EA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A02.3</w:t>
            </w:r>
          </w:p>
        </w:tc>
        <w:tc>
          <w:tcPr>
            <w:tcW w:w="8560" w:type="dxa"/>
            <w:shd w:val="clear" w:color="auto" w:fill="auto"/>
            <w:noWrap/>
            <w:vAlign w:val="bottom"/>
            <w:hideMark/>
          </w:tcPr>
          <w:p w14:paraId="04A6E12F"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lesion of tissue of parietal lobe of brain</w:t>
            </w:r>
          </w:p>
        </w:tc>
      </w:tr>
      <w:tr w:rsidR="002030E7" w:rsidRPr="00BD2D79" w14:paraId="7F462C31" w14:textId="77777777" w:rsidTr="007329B9">
        <w:trPr>
          <w:trHeight w:val="255"/>
        </w:trPr>
        <w:tc>
          <w:tcPr>
            <w:tcW w:w="960" w:type="dxa"/>
            <w:shd w:val="clear" w:color="auto" w:fill="auto"/>
            <w:vAlign w:val="center"/>
            <w:hideMark/>
          </w:tcPr>
          <w:p w14:paraId="1C3DA406"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A02.4</w:t>
            </w:r>
          </w:p>
        </w:tc>
        <w:tc>
          <w:tcPr>
            <w:tcW w:w="8560" w:type="dxa"/>
            <w:shd w:val="clear" w:color="auto" w:fill="auto"/>
            <w:noWrap/>
            <w:vAlign w:val="bottom"/>
            <w:hideMark/>
          </w:tcPr>
          <w:p w14:paraId="03CA345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lesion of tissue of occipital lobe of brain</w:t>
            </w:r>
          </w:p>
        </w:tc>
      </w:tr>
      <w:tr w:rsidR="002030E7" w:rsidRPr="00BD2D79" w14:paraId="27AD0CB2" w14:textId="77777777" w:rsidTr="007329B9">
        <w:trPr>
          <w:trHeight w:val="255"/>
        </w:trPr>
        <w:tc>
          <w:tcPr>
            <w:tcW w:w="960" w:type="dxa"/>
            <w:shd w:val="clear" w:color="auto" w:fill="auto"/>
            <w:vAlign w:val="center"/>
            <w:hideMark/>
          </w:tcPr>
          <w:p w14:paraId="421A3E0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A02.5</w:t>
            </w:r>
          </w:p>
        </w:tc>
        <w:tc>
          <w:tcPr>
            <w:tcW w:w="8560" w:type="dxa"/>
            <w:shd w:val="clear" w:color="auto" w:fill="auto"/>
            <w:noWrap/>
            <w:vAlign w:val="bottom"/>
            <w:hideMark/>
          </w:tcPr>
          <w:p w14:paraId="03CB41E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lesion of tissue of cerebellum</w:t>
            </w:r>
          </w:p>
        </w:tc>
      </w:tr>
      <w:tr w:rsidR="002030E7" w:rsidRPr="00BD2D79" w14:paraId="620FE257" w14:textId="77777777" w:rsidTr="007329B9">
        <w:trPr>
          <w:trHeight w:val="255"/>
        </w:trPr>
        <w:tc>
          <w:tcPr>
            <w:tcW w:w="960" w:type="dxa"/>
            <w:shd w:val="clear" w:color="auto" w:fill="auto"/>
            <w:vAlign w:val="center"/>
            <w:hideMark/>
          </w:tcPr>
          <w:p w14:paraId="34CCDC36"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A02.6</w:t>
            </w:r>
          </w:p>
        </w:tc>
        <w:tc>
          <w:tcPr>
            <w:tcW w:w="8560" w:type="dxa"/>
            <w:shd w:val="clear" w:color="auto" w:fill="auto"/>
            <w:noWrap/>
            <w:vAlign w:val="bottom"/>
            <w:hideMark/>
          </w:tcPr>
          <w:p w14:paraId="3228CB66"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lesion of tissue of brain stem</w:t>
            </w:r>
          </w:p>
        </w:tc>
      </w:tr>
      <w:tr w:rsidR="002030E7" w:rsidRPr="00BD2D79" w14:paraId="28806E4B" w14:textId="77777777" w:rsidTr="007329B9">
        <w:trPr>
          <w:trHeight w:val="255"/>
        </w:trPr>
        <w:tc>
          <w:tcPr>
            <w:tcW w:w="960" w:type="dxa"/>
            <w:shd w:val="clear" w:color="auto" w:fill="auto"/>
            <w:vAlign w:val="center"/>
            <w:hideMark/>
          </w:tcPr>
          <w:p w14:paraId="166B1F1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A02.7</w:t>
            </w:r>
          </w:p>
        </w:tc>
        <w:tc>
          <w:tcPr>
            <w:tcW w:w="8560" w:type="dxa"/>
            <w:shd w:val="clear" w:color="auto" w:fill="auto"/>
            <w:noWrap/>
            <w:vAlign w:val="bottom"/>
            <w:hideMark/>
          </w:tcPr>
          <w:p w14:paraId="2694760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transcranial dermoid cyst</w:t>
            </w:r>
          </w:p>
        </w:tc>
      </w:tr>
      <w:tr w:rsidR="002030E7" w:rsidRPr="00BD2D79" w14:paraId="615FA889" w14:textId="77777777" w:rsidTr="007329B9">
        <w:trPr>
          <w:trHeight w:val="255"/>
        </w:trPr>
        <w:tc>
          <w:tcPr>
            <w:tcW w:w="960" w:type="dxa"/>
            <w:shd w:val="clear" w:color="auto" w:fill="auto"/>
            <w:vAlign w:val="center"/>
            <w:hideMark/>
          </w:tcPr>
          <w:p w14:paraId="6213E9DE"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A02.8</w:t>
            </w:r>
          </w:p>
        </w:tc>
        <w:tc>
          <w:tcPr>
            <w:tcW w:w="8560" w:type="dxa"/>
            <w:shd w:val="clear" w:color="auto" w:fill="auto"/>
            <w:noWrap/>
            <w:vAlign w:val="bottom"/>
            <w:hideMark/>
          </w:tcPr>
          <w:p w14:paraId="30FFD37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excision of lesion of tissue of brain</w:t>
            </w:r>
          </w:p>
        </w:tc>
      </w:tr>
      <w:tr w:rsidR="002030E7" w:rsidRPr="00BD2D79" w14:paraId="72BD6458" w14:textId="77777777" w:rsidTr="007329B9">
        <w:trPr>
          <w:trHeight w:val="255"/>
        </w:trPr>
        <w:tc>
          <w:tcPr>
            <w:tcW w:w="960" w:type="dxa"/>
            <w:shd w:val="clear" w:color="auto" w:fill="auto"/>
            <w:vAlign w:val="center"/>
            <w:hideMark/>
          </w:tcPr>
          <w:p w14:paraId="2DD16DBB"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A02.9</w:t>
            </w:r>
          </w:p>
        </w:tc>
        <w:tc>
          <w:tcPr>
            <w:tcW w:w="8560" w:type="dxa"/>
            <w:shd w:val="clear" w:color="auto" w:fill="auto"/>
            <w:noWrap/>
            <w:vAlign w:val="bottom"/>
            <w:hideMark/>
          </w:tcPr>
          <w:p w14:paraId="566B703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excision of lesion of tissue of brain</w:t>
            </w:r>
          </w:p>
        </w:tc>
      </w:tr>
      <w:tr w:rsidR="002030E7" w:rsidRPr="00BD2D79" w14:paraId="03CC8A28" w14:textId="77777777" w:rsidTr="007329B9">
        <w:trPr>
          <w:trHeight w:val="255"/>
        </w:trPr>
        <w:tc>
          <w:tcPr>
            <w:tcW w:w="960" w:type="dxa"/>
            <w:shd w:val="clear" w:color="auto" w:fill="auto"/>
            <w:vAlign w:val="center"/>
            <w:hideMark/>
          </w:tcPr>
          <w:p w14:paraId="66BF66C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A04.1</w:t>
            </w:r>
          </w:p>
        </w:tc>
        <w:tc>
          <w:tcPr>
            <w:tcW w:w="8560" w:type="dxa"/>
            <w:shd w:val="clear" w:color="auto" w:fill="auto"/>
            <w:noWrap/>
            <w:vAlign w:val="bottom"/>
            <w:hideMark/>
          </w:tcPr>
          <w:p w14:paraId="57D7906D"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Open biopsy of lesion of tissue of frontal lobe of brain</w:t>
            </w:r>
          </w:p>
        </w:tc>
      </w:tr>
      <w:tr w:rsidR="002030E7" w:rsidRPr="00BD2D79" w14:paraId="4DAC05C8" w14:textId="77777777" w:rsidTr="007329B9">
        <w:trPr>
          <w:trHeight w:val="255"/>
        </w:trPr>
        <w:tc>
          <w:tcPr>
            <w:tcW w:w="960" w:type="dxa"/>
            <w:shd w:val="clear" w:color="auto" w:fill="auto"/>
            <w:vAlign w:val="center"/>
            <w:hideMark/>
          </w:tcPr>
          <w:p w14:paraId="58DCCAD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A04.2</w:t>
            </w:r>
          </w:p>
        </w:tc>
        <w:tc>
          <w:tcPr>
            <w:tcW w:w="8560" w:type="dxa"/>
            <w:shd w:val="clear" w:color="auto" w:fill="auto"/>
            <w:noWrap/>
            <w:vAlign w:val="bottom"/>
            <w:hideMark/>
          </w:tcPr>
          <w:p w14:paraId="295F722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Open biopsy of lesion of tissue of temporal lobe of brain</w:t>
            </w:r>
          </w:p>
        </w:tc>
      </w:tr>
      <w:tr w:rsidR="002030E7" w:rsidRPr="00BD2D79" w14:paraId="681DD045" w14:textId="77777777" w:rsidTr="007329B9">
        <w:trPr>
          <w:trHeight w:val="255"/>
        </w:trPr>
        <w:tc>
          <w:tcPr>
            <w:tcW w:w="960" w:type="dxa"/>
            <w:shd w:val="clear" w:color="auto" w:fill="auto"/>
            <w:vAlign w:val="center"/>
            <w:hideMark/>
          </w:tcPr>
          <w:p w14:paraId="5B66B6E6"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A04.3</w:t>
            </w:r>
          </w:p>
        </w:tc>
        <w:tc>
          <w:tcPr>
            <w:tcW w:w="8560" w:type="dxa"/>
            <w:shd w:val="clear" w:color="auto" w:fill="auto"/>
            <w:noWrap/>
            <w:vAlign w:val="bottom"/>
            <w:hideMark/>
          </w:tcPr>
          <w:p w14:paraId="0E838F5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Open biopsy of lesion of tissue of parietal lobe of brain</w:t>
            </w:r>
          </w:p>
        </w:tc>
      </w:tr>
      <w:tr w:rsidR="002030E7" w:rsidRPr="00BD2D79" w14:paraId="7A3A4658" w14:textId="77777777" w:rsidTr="007329B9">
        <w:trPr>
          <w:trHeight w:val="255"/>
        </w:trPr>
        <w:tc>
          <w:tcPr>
            <w:tcW w:w="960" w:type="dxa"/>
            <w:shd w:val="clear" w:color="auto" w:fill="auto"/>
            <w:vAlign w:val="center"/>
            <w:hideMark/>
          </w:tcPr>
          <w:p w14:paraId="5ACBC99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A04.4</w:t>
            </w:r>
          </w:p>
        </w:tc>
        <w:tc>
          <w:tcPr>
            <w:tcW w:w="8560" w:type="dxa"/>
            <w:shd w:val="clear" w:color="auto" w:fill="auto"/>
            <w:noWrap/>
            <w:vAlign w:val="bottom"/>
            <w:hideMark/>
          </w:tcPr>
          <w:p w14:paraId="5701C6F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Open biopsy of lesion of tissue of occipital lobe of brain</w:t>
            </w:r>
          </w:p>
        </w:tc>
      </w:tr>
      <w:tr w:rsidR="002030E7" w:rsidRPr="00BD2D79" w14:paraId="61AE3CEE" w14:textId="77777777" w:rsidTr="007329B9">
        <w:trPr>
          <w:trHeight w:val="255"/>
        </w:trPr>
        <w:tc>
          <w:tcPr>
            <w:tcW w:w="960" w:type="dxa"/>
            <w:shd w:val="clear" w:color="auto" w:fill="auto"/>
            <w:vAlign w:val="center"/>
            <w:hideMark/>
          </w:tcPr>
          <w:p w14:paraId="28A997A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A04.5</w:t>
            </w:r>
          </w:p>
        </w:tc>
        <w:tc>
          <w:tcPr>
            <w:tcW w:w="8560" w:type="dxa"/>
            <w:shd w:val="clear" w:color="auto" w:fill="auto"/>
            <w:noWrap/>
            <w:vAlign w:val="bottom"/>
            <w:hideMark/>
          </w:tcPr>
          <w:p w14:paraId="0D2BBAE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Open biopsy of lesion of tissue of cerebellum</w:t>
            </w:r>
          </w:p>
        </w:tc>
      </w:tr>
      <w:tr w:rsidR="002030E7" w:rsidRPr="00BD2D79" w14:paraId="25B2F6E1" w14:textId="77777777" w:rsidTr="007329B9">
        <w:trPr>
          <w:trHeight w:val="255"/>
        </w:trPr>
        <w:tc>
          <w:tcPr>
            <w:tcW w:w="960" w:type="dxa"/>
            <w:shd w:val="clear" w:color="auto" w:fill="auto"/>
            <w:vAlign w:val="center"/>
            <w:hideMark/>
          </w:tcPr>
          <w:p w14:paraId="746470D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A04.6</w:t>
            </w:r>
          </w:p>
        </w:tc>
        <w:tc>
          <w:tcPr>
            <w:tcW w:w="8560" w:type="dxa"/>
            <w:shd w:val="clear" w:color="auto" w:fill="auto"/>
            <w:noWrap/>
            <w:vAlign w:val="bottom"/>
            <w:hideMark/>
          </w:tcPr>
          <w:p w14:paraId="4C48F38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Open biopsy of lesion of tissue of brain stem</w:t>
            </w:r>
          </w:p>
        </w:tc>
      </w:tr>
      <w:tr w:rsidR="002030E7" w:rsidRPr="00BD2D79" w14:paraId="27E645B0" w14:textId="77777777" w:rsidTr="007329B9">
        <w:trPr>
          <w:trHeight w:val="255"/>
        </w:trPr>
        <w:tc>
          <w:tcPr>
            <w:tcW w:w="960" w:type="dxa"/>
            <w:shd w:val="clear" w:color="auto" w:fill="auto"/>
            <w:vAlign w:val="center"/>
            <w:hideMark/>
          </w:tcPr>
          <w:p w14:paraId="5DB5ED1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A04.8</w:t>
            </w:r>
          </w:p>
        </w:tc>
        <w:tc>
          <w:tcPr>
            <w:tcW w:w="8560" w:type="dxa"/>
            <w:shd w:val="clear" w:color="auto" w:fill="auto"/>
            <w:noWrap/>
            <w:vAlign w:val="bottom"/>
            <w:hideMark/>
          </w:tcPr>
          <w:p w14:paraId="2755F6B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open biopsy of lesion of tissue of brain</w:t>
            </w:r>
          </w:p>
        </w:tc>
      </w:tr>
      <w:tr w:rsidR="002030E7" w:rsidRPr="00BD2D79" w14:paraId="5024D11B" w14:textId="77777777" w:rsidTr="007329B9">
        <w:trPr>
          <w:trHeight w:val="255"/>
        </w:trPr>
        <w:tc>
          <w:tcPr>
            <w:tcW w:w="960" w:type="dxa"/>
            <w:shd w:val="clear" w:color="auto" w:fill="auto"/>
            <w:vAlign w:val="center"/>
            <w:hideMark/>
          </w:tcPr>
          <w:p w14:paraId="480C32C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A04.9</w:t>
            </w:r>
          </w:p>
        </w:tc>
        <w:tc>
          <w:tcPr>
            <w:tcW w:w="8560" w:type="dxa"/>
            <w:shd w:val="clear" w:color="auto" w:fill="auto"/>
            <w:noWrap/>
            <w:vAlign w:val="bottom"/>
            <w:hideMark/>
          </w:tcPr>
          <w:p w14:paraId="1705AF5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open biopsy of lesion of tissue of brain</w:t>
            </w:r>
          </w:p>
        </w:tc>
      </w:tr>
      <w:tr w:rsidR="002030E7" w:rsidRPr="00BD2D79" w14:paraId="7215B12C" w14:textId="77777777" w:rsidTr="007329B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6E89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A08.1</w:t>
            </w:r>
          </w:p>
        </w:tc>
        <w:tc>
          <w:tcPr>
            <w:tcW w:w="8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6361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Biopsy of lesion of tissue of frontal lobe of brain NEC</w:t>
            </w:r>
          </w:p>
        </w:tc>
      </w:tr>
      <w:tr w:rsidR="002030E7" w:rsidRPr="00BD2D79" w14:paraId="40F05424" w14:textId="77777777" w:rsidTr="007329B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AD44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A08.2</w:t>
            </w:r>
          </w:p>
        </w:tc>
        <w:tc>
          <w:tcPr>
            <w:tcW w:w="8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D916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Biopsy of lesion of tissue of temporal lobe of brain NEC</w:t>
            </w:r>
          </w:p>
        </w:tc>
      </w:tr>
      <w:tr w:rsidR="002030E7" w:rsidRPr="00BD2D79" w14:paraId="482B28F5" w14:textId="77777777" w:rsidTr="007329B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8D19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A08.3</w:t>
            </w:r>
          </w:p>
        </w:tc>
        <w:tc>
          <w:tcPr>
            <w:tcW w:w="8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DE9B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Biopsy of lesion of tissue of parietal lobe of brain NEC</w:t>
            </w:r>
          </w:p>
        </w:tc>
      </w:tr>
      <w:tr w:rsidR="002030E7" w:rsidRPr="00BD2D79" w14:paraId="70323639" w14:textId="77777777" w:rsidTr="007329B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F09E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A08.4</w:t>
            </w:r>
          </w:p>
        </w:tc>
        <w:tc>
          <w:tcPr>
            <w:tcW w:w="8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CE1E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Biopsy of lesion of tissue of occipital lobe of brain NEC</w:t>
            </w:r>
          </w:p>
        </w:tc>
      </w:tr>
      <w:tr w:rsidR="002030E7" w:rsidRPr="00BD2D79" w14:paraId="58A97276" w14:textId="77777777" w:rsidTr="007329B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71F7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A08.5</w:t>
            </w:r>
          </w:p>
        </w:tc>
        <w:tc>
          <w:tcPr>
            <w:tcW w:w="8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F14B0"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Biopsy of lesion of tissue of cerebellum NEC</w:t>
            </w:r>
          </w:p>
        </w:tc>
      </w:tr>
      <w:tr w:rsidR="002030E7" w:rsidRPr="00BD2D79" w14:paraId="08C1D9DF" w14:textId="77777777" w:rsidTr="007329B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9007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A08.6</w:t>
            </w:r>
          </w:p>
        </w:tc>
        <w:tc>
          <w:tcPr>
            <w:tcW w:w="8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4C3A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Biopsy of lesion of tissue of brain stem NEC</w:t>
            </w:r>
          </w:p>
        </w:tc>
      </w:tr>
      <w:tr w:rsidR="002030E7" w:rsidRPr="00BD2D79" w14:paraId="5DB7A95B" w14:textId="77777777" w:rsidTr="007329B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0067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A08.8</w:t>
            </w:r>
          </w:p>
        </w:tc>
        <w:tc>
          <w:tcPr>
            <w:tcW w:w="8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4135D"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biopsy of lesion of tissue of brain</w:t>
            </w:r>
          </w:p>
        </w:tc>
      </w:tr>
      <w:tr w:rsidR="002030E7" w:rsidRPr="00BD2D79" w14:paraId="00B64B10" w14:textId="77777777" w:rsidTr="007329B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E85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A08.9</w:t>
            </w:r>
          </w:p>
        </w:tc>
        <w:tc>
          <w:tcPr>
            <w:tcW w:w="8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63B1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other biopsy of lesion of tissue of brain</w:t>
            </w:r>
          </w:p>
        </w:tc>
      </w:tr>
    </w:tbl>
    <w:p w14:paraId="6C6A4687" w14:textId="77777777" w:rsidR="002030E7" w:rsidRPr="00BD2D79" w:rsidRDefault="002030E7" w:rsidP="002030E7">
      <w:pPr>
        <w:rPr>
          <w:rFonts w:cs="Times New Roman"/>
        </w:rPr>
      </w:pPr>
    </w:p>
    <w:p w14:paraId="44209F35" w14:textId="77777777" w:rsidR="002030E7" w:rsidRPr="00BD2D79" w:rsidRDefault="002030E7" w:rsidP="002030E7">
      <w:pPr>
        <w:rPr>
          <w:rFonts w:cs="Times New Roman"/>
        </w:rPr>
      </w:pPr>
      <w:r w:rsidRPr="00BD2D79">
        <w:rPr>
          <w:rFonts w:cs="Times New Roman"/>
        </w:rPr>
        <w:br w:type="page"/>
      </w:r>
    </w:p>
    <w:p w14:paraId="3288845A" w14:textId="77777777" w:rsidR="002030E7" w:rsidRPr="00BD2D79" w:rsidRDefault="002030E7" w:rsidP="002030E7">
      <w:pPr>
        <w:rPr>
          <w:rFonts w:cs="Times New Roman"/>
        </w:rPr>
      </w:pPr>
      <w:r w:rsidRPr="00BD2D79">
        <w:rPr>
          <w:rFonts w:cs="Times New Roman"/>
        </w:rPr>
        <w:t>Brain operations – Patients modelled to have a 50% chance of death within 12 months, otherwise normal life expectancy</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560"/>
      </w:tblGrid>
      <w:tr w:rsidR="002030E7" w:rsidRPr="00BD2D79" w14:paraId="12E207B6" w14:textId="77777777" w:rsidTr="007329B9">
        <w:trPr>
          <w:trHeight w:val="255"/>
        </w:trPr>
        <w:tc>
          <w:tcPr>
            <w:tcW w:w="960" w:type="dxa"/>
            <w:shd w:val="clear" w:color="auto" w:fill="auto"/>
            <w:vAlign w:val="center"/>
            <w:hideMark/>
          </w:tcPr>
          <w:p w14:paraId="3A4A5134"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A03.1</w:t>
            </w:r>
          </w:p>
        </w:tc>
        <w:tc>
          <w:tcPr>
            <w:tcW w:w="8560" w:type="dxa"/>
            <w:shd w:val="clear" w:color="auto" w:fill="auto"/>
            <w:noWrap/>
            <w:vAlign w:val="bottom"/>
            <w:hideMark/>
          </w:tcPr>
          <w:p w14:paraId="501A0FE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Stereotactic leucotomy</w:t>
            </w:r>
          </w:p>
        </w:tc>
      </w:tr>
      <w:tr w:rsidR="002030E7" w:rsidRPr="00BD2D79" w14:paraId="008AD484" w14:textId="77777777" w:rsidTr="007329B9">
        <w:trPr>
          <w:trHeight w:val="255"/>
        </w:trPr>
        <w:tc>
          <w:tcPr>
            <w:tcW w:w="960" w:type="dxa"/>
            <w:shd w:val="clear" w:color="auto" w:fill="auto"/>
            <w:vAlign w:val="center"/>
            <w:hideMark/>
          </w:tcPr>
          <w:p w14:paraId="044E9A5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A03.2</w:t>
            </w:r>
          </w:p>
        </w:tc>
        <w:tc>
          <w:tcPr>
            <w:tcW w:w="8560" w:type="dxa"/>
            <w:shd w:val="clear" w:color="auto" w:fill="auto"/>
            <w:noWrap/>
            <w:vAlign w:val="bottom"/>
            <w:hideMark/>
          </w:tcPr>
          <w:p w14:paraId="5683276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Stereotactic ablation of tissue of thalamus</w:t>
            </w:r>
          </w:p>
        </w:tc>
      </w:tr>
      <w:tr w:rsidR="002030E7" w:rsidRPr="00BD2D79" w14:paraId="3E942C0E" w14:textId="77777777" w:rsidTr="007329B9">
        <w:trPr>
          <w:trHeight w:val="255"/>
        </w:trPr>
        <w:tc>
          <w:tcPr>
            <w:tcW w:w="960" w:type="dxa"/>
            <w:shd w:val="clear" w:color="auto" w:fill="auto"/>
            <w:vAlign w:val="center"/>
            <w:hideMark/>
          </w:tcPr>
          <w:p w14:paraId="69076D5E"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A03.3</w:t>
            </w:r>
          </w:p>
        </w:tc>
        <w:tc>
          <w:tcPr>
            <w:tcW w:w="8560" w:type="dxa"/>
            <w:shd w:val="clear" w:color="auto" w:fill="auto"/>
            <w:noWrap/>
            <w:vAlign w:val="bottom"/>
            <w:hideMark/>
          </w:tcPr>
          <w:p w14:paraId="5CFBAFCD"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Stereotactic ablation of tissue of globus pallidus</w:t>
            </w:r>
          </w:p>
        </w:tc>
      </w:tr>
      <w:tr w:rsidR="002030E7" w:rsidRPr="00BD2D79" w14:paraId="75FCA869" w14:textId="77777777" w:rsidTr="007329B9">
        <w:trPr>
          <w:trHeight w:val="255"/>
        </w:trPr>
        <w:tc>
          <w:tcPr>
            <w:tcW w:w="960" w:type="dxa"/>
            <w:shd w:val="clear" w:color="auto" w:fill="auto"/>
            <w:vAlign w:val="center"/>
            <w:hideMark/>
          </w:tcPr>
          <w:p w14:paraId="556AF41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A03.8</w:t>
            </w:r>
          </w:p>
        </w:tc>
        <w:tc>
          <w:tcPr>
            <w:tcW w:w="8560" w:type="dxa"/>
            <w:shd w:val="clear" w:color="auto" w:fill="auto"/>
            <w:noWrap/>
            <w:vAlign w:val="bottom"/>
            <w:hideMark/>
          </w:tcPr>
          <w:p w14:paraId="032322D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stereotactic ablation of tissue of brain</w:t>
            </w:r>
          </w:p>
        </w:tc>
      </w:tr>
      <w:tr w:rsidR="002030E7" w:rsidRPr="00BD2D79" w14:paraId="11E9B356" w14:textId="77777777" w:rsidTr="007329B9">
        <w:trPr>
          <w:trHeight w:val="255"/>
        </w:trPr>
        <w:tc>
          <w:tcPr>
            <w:tcW w:w="960" w:type="dxa"/>
            <w:shd w:val="clear" w:color="auto" w:fill="auto"/>
            <w:vAlign w:val="center"/>
            <w:hideMark/>
          </w:tcPr>
          <w:p w14:paraId="78D5AC3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A03.9</w:t>
            </w:r>
          </w:p>
        </w:tc>
        <w:tc>
          <w:tcPr>
            <w:tcW w:w="8560" w:type="dxa"/>
            <w:shd w:val="clear" w:color="auto" w:fill="auto"/>
            <w:noWrap/>
            <w:vAlign w:val="bottom"/>
            <w:hideMark/>
          </w:tcPr>
          <w:p w14:paraId="383CDCA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stereotactic ablation of tissue of brain</w:t>
            </w:r>
          </w:p>
        </w:tc>
      </w:tr>
      <w:tr w:rsidR="002030E7" w:rsidRPr="00BD2D79" w14:paraId="2A808603" w14:textId="77777777" w:rsidTr="007329B9">
        <w:trPr>
          <w:trHeight w:val="255"/>
        </w:trPr>
        <w:tc>
          <w:tcPr>
            <w:tcW w:w="960" w:type="dxa"/>
            <w:shd w:val="clear" w:color="auto" w:fill="auto"/>
            <w:vAlign w:val="center"/>
            <w:hideMark/>
          </w:tcPr>
          <w:p w14:paraId="4D91945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A05.1</w:t>
            </w:r>
          </w:p>
        </w:tc>
        <w:tc>
          <w:tcPr>
            <w:tcW w:w="8560" w:type="dxa"/>
            <w:shd w:val="clear" w:color="auto" w:fill="auto"/>
            <w:noWrap/>
            <w:vAlign w:val="bottom"/>
            <w:hideMark/>
          </w:tcPr>
          <w:p w14:paraId="64F51DA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Drainage of abscess of tissue of brain</w:t>
            </w:r>
          </w:p>
        </w:tc>
      </w:tr>
      <w:tr w:rsidR="002030E7" w:rsidRPr="00BD2D79" w14:paraId="2E1F6D0B" w14:textId="77777777" w:rsidTr="007329B9">
        <w:trPr>
          <w:trHeight w:val="255"/>
        </w:trPr>
        <w:tc>
          <w:tcPr>
            <w:tcW w:w="960" w:type="dxa"/>
            <w:shd w:val="clear" w:color="auto" w:fill="auto"/>
            <w:vAlign w:val="center"/>
            <w:hideMark/>
          </w:tcPr>
          <w:p w14:paraId="1FA1E6D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A05.2</w:t>
            </w:r>
          </w:p>
        </w:tc>
        <w:tc>
          <w:tcPr>
            <w:tcW w:w="8560" w:type="dxa"/>
            <w:shd w:val="clear" w:color="auto" w:fill="auto"/>
            <w:noWrap/>
            <w:vAlign w:val="bottom"/>
            <w:hideMark/>
          </w:tcPr>
          <w:p w14:paraId="2121F0C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Evacuation of haematoma from temporal lobe of brain</w:t>
            </w:r>
          </w:p>
        </w:tc>
      </w:tr>
      <w:tr w:rsidR="002030E7" w:rsidRPr="00BD2D79" w14:paraId="4B4E006A" w14:textId="77777777" w:rsidTr="007329B9">
        <w:trPr>
          <w:trHeight w:val="255"/>
        </w:trPr>
        <w:tc>
          <w:tcPr>
            <w:tcW w:w="960" w:type="dxa"/>
            <w:shd w:val="clear" w:color="auto" w:fill="auto"/>
            <w:vAlign w:val="center"/>
            <w:hideMark/>
          </w:tcPr>
          <w:p w14:paraId="06A71BE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A05.3</w:t>
            </w:r>
          </w:p>
        </w:tc>
        <w:tc>
          <w:tcPr>
            <w:tcW w:w="8560" w:type="dxa"/>
            <w:shd w:val="clear" w:color="auto" w:fill="auto"/>
            <w:noWrap/>
            <w:vAlign w:val="bottom"/>
            <w:hideMark/>
          </w:tcPr>
          <w:p w14:paraId="53E6761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Evacuation of haematoma from cerebellum</w:t>
            </w:r>
          </w:p>
        </w:tc>
      </w:tr>
      <w:tr w:rsidR="002030E7" w:rsidRPr="00BD2D79" w14:paraId="0C1FD24A" w14:textId="77777777" w:rsidTr="007329B9">
        <w:trPr>
          <w:trHeight w:val="255"/>
        </w:trPr>
        <w:tc>
          <w:tcPr>
            <w:tcW w:w="960" w:type="dxa"/>
            <w:shd w:val="clear" w:color="auto" w:fill="auto"/>
            <w:vAlign w:val="center"/>
            <w:hideMark/>
          </w:tcPr>
          <w:p w14:paraId="0A72C01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A05.4</w:t>
            </w:r>
          </w:p>
        </w:tc>
        <w:tc>
          <w:tcPr>
            <w:tcW w:w="8560" w:type="dxa"/>
            <w:shd w:val="clear" w:color="auto" w:fill="auto"/>
            <w:noWrap/>
            <w:vAlign w:val="bottom"/>
            <w:hideMark/>
          </w:tcPr>
          <w:p w14:paraId="6F402D8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Evacuation of intracerebral haematoma NEC</w:t>
            </w:r>
          </w:p>
        </w:tc>
      </w:tr>
      <w:tr w:rsidR="002030E7" w:rsidRPr="00BD2D79" w14:paraId="7BA32A9C" w14:textId="77777777" w:rsidTr="007329B9">
        <w:trPr>
          <w:trHeight w:val="255"/>
        </w:trPr>
        <w:tc>
          <w:tcPr>
            <w:tcW w:w="960" w:type="dxa"/>
            <w:shd w:val="clear" w:color="auto" w:fill="auto"/>
            <w:vAlign w:val="center"/>
            <w:hideMark/>
          </w:tcPr>
          <w:p w14:paraId="3BD31B8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A05.8</w:t>
            </w:r>
          </w:p>
        </w:tc>
        <w:tc>
          <w:tcPr>
            <w:tcW w:w="8560" w:type="dxa"/>
            <w:shd w:val="clear" w:color="auto" w:fill="auto"/>
            <w:noWrap/>
            <w:vAlign w:val="bottom"/>
            <w:hideMark/>
          </w:tcPr>
          <w:p w14:paraId="2CD4D2A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drainage of lesion of tissue of brain</w:t>
            </w:r>
          </w:p>
        </w:tc>
      </w:tr>
      <w:tr w:rsidR="002030E7" w:rsidRPr="00BD2D79" w14:paraId="1B9A7533" w14:textId="77777777" w:rsidTr="007329B9">
        <w:trPr>
          <w:trHeight w:val="255"/>
        </w:trPr>
        <w:tc>
          <w:tcPr>
            <w:tcW w:w="960" w:type="dxa"/>
            <w:shd w:val="clear" w:color="auto" w:fill="auto"/>
            <w:vAlign w:val="center"/>
            <w:hideMark/>
          </w:tcPr>
          <w:p w14:paraId="3DA694D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A05.9</w:t>
            </w:r>
          </w:p>
        </w:tc>
        <w:tc>
          <w:tcPr>
            <w:tcW w:w="8560" w:type="dxa"/>
            <w:shd w:val="clear" w:color="auto" w:fill="auto"/>
            <w:noWrap/>
            <w:vAlign w:val="bottom"/>
            <w:hideMark/>
          </w:tcPr>
          <w:p w14:paraId="3AA9B53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drainage of lesion of tissue of brain</w:t>
            </w:r>
          </w:p>
        </w:tc>
      </w:tr>
      <w:tr w:rsidR="002030E7" w:rsidRPr="00BD2D79" w14:paraId="01CA5EE1" w14:textId="77777777" w:rsidTr="007329B9">
        <w:trPr>
          <w:trHeight w:val="255"/>
        </w:trPr>
        <w:tc>
          <w:tcPr>
            <w:tcW w:w="960" w:type="dxa"/>
            <w:shd w:val="clear" w:color="auto" w:fill="auto"/>
            <w:vAlign w:val="center"/>
            <w:hideMark/>
          </w:tcPr>
          <w:p w14:paraId="0F8ED41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A07.1</w:t>
            </w:r>
          </w:p>
        </w:tc>
        <w:tc>
          <w:tcPr>
            <w:tcW w:w="8560" w:type="dxa"/>
            <w:shd w:val="clear" w:color="auto" w:fill="auto"/>
            <w:noWrap/>
            <w:vAlign w:val="bottom"/>
            <w:hideMark/>
          </w:tcPr>
          <w:p w14:paraId="756A159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Open division of tissue of brain</w:t>
            </w:r>
          </w:p>
        </w:tc>
      </w:tr>
      <w:tr w:rsidR="002030E7" w:rsidRPr="00BD2D79" w14:paraId="2F8ED800" w14:textId="77777777" w:rsidTr="007329B9">
        <w:trPr>
          <w:trHeight w:val="255"/>
        </w:trPr>
        <w:tc>
          <w:tcPr>
            <w:tcW w:w="960" w:type="dxa"/>
            <w:shd w:val="clear" w:color="auto" w:fill="auto"/>
            <w:vAlign w:val="center"/>
            <w:hideMark/>
          </w:tcPr>
          <w:p w14:paraId="4BA6935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A07.2</w:t>
            </w:r>
          </w:p>
        </w:tc>
        <w:tc>
          <w:tcPr>
            <w:tcW w:w="8560" w:type="dxa"/>
            <w:shd w:val="clear" w:color="auto" w:fill="auto"/>
            <w:noWrap/>
            <w:vAlign w:val="bottom"/>
            <w:hideMark/>
          </w:tcPr>
          <w:p w14:paraId="506E3908"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Removal of foreign body from tissue of brain</w:t>
            </w:r>
          </w:p>
        </w:tc>
      </w:tr>
      <w:tr w:rsidR="002030E7" w:rsidRPr="00BD2D79" w14:paraId="434A488D" w14:textId="77777777" w:rsidTr="007329B9">
        <w:trPr>
          <w:trHeight w:val="255"/>
        </w:trPr>
        <w:tc>
          <w:tcPr>
            <w:tcW w:w="960" w:type="dxa"/>
            <w:shd w:val="clear" w:color="auto" w:fill="auto"/>
            <w:vAlign w:val="center"/>
            <w:hideMark/>
          </w:tcPr>
          <w:p w14:paraId="160147A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A07.3</w:t>
            </w:r>
          </w:p>
        </w:tc>
        <w:tc>
          <w:tcPr>
            <w:tcW w:w="8560" w:type="dxa"/>
            <w:shd w:val="clear" w:color="auto" w:fill="auto"/>
            <w:noWrap/>
            <w:vAlign w:val="bottom"/>
            <w:hideMark/>
          </w:tcPr>
          <w:p w14:paraId="4A26885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Exploration of tissue of brain</w:t>
            </w:r>
          </w:p>
        </w:tc>
      </w:tr>
      <w:tr w:rsidR="002030E7" w:rsidRPr="00BD2D79" w14:paraId="757D11C5" w14:textId="77777777" w:rsidTr="007329B9">
        <w:trPr>
          <w:trHeight w:val="255"/>
        </w:trPr>
        <w:tc>
          <w:tcPr>
            <w:tcW w:w="960" w:type="dxa"/>
            <w:shd w:val="clear" w:color="auto" w:fill="auto"/>
            <w:vAlign w:val="center"/>
            <w:hideMark/>
          </w:tcPr>
          <w:p w14:paraId="13CE313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A07.4</w:t>
            </w:r>
          </w:p>
        </w:tc>
        <w:tc>
          <w:tcPr>
            <w:tcW w:w="8560" w:type="dxa"/>
            <w:shd w:val="clear" w:color="auto" w:fill="auto"/>
            <w:noWrap/>
            <w:vAlign w:val="bottom"/>
            <w:hideMark/>
          </w:tcPr>
          <w:p w14:paraId="6843360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abscess of tissue of brain</w:t>
            </w:r>
          </w:p>
        </w:tc>
      </w:tr>
      <w:tr w:rsidR="002030E7" w:rsidRPr="00BD2D79" w14:paraId="6D547001" w14:textId="77777777" w:rsidTr="007329B9">
        <w:trPr>
          <w:trHeight w:val="255"/>
        </w:trPr>
        <w:tc>
          <w:tcPr>
            <w:tcW w:w="960" w:type="dxa"/>
            <w:shd w:val="clear" w:color="auto" w:fill="auto"/>
            <w:vAlign w:val="center"/>
            <w:hideMark/>
          </w:tcPr>
          <w:p w14:paraId="5A1FA13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A07.6</w:t>
            </w:r>
          </w:p>
        </w:tc>
        <w:tc>
          <w:tcPr>
            <w:tcW w:w="8560" w:type="dxa"/>
            <w:shd w:val="clear" w:color="auto" w:fill="auto"/>
            <w:noWrap/>
            <w:vAlign w:val="bottom"/>
            <w:hideMark/>
          </w:tcPr>
          <w:p w14:paraId="0A795F9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Complete callosotomy</w:t>
            </w:r>
          </w:p>
        </w:tc>
      </w:tr>
      <w:tr w:rsidR="002030E7" w:rsidRPr="00BD2D79" w14:paraId="740DB083" w14:textId="77777777" w:rsidTr="007329B9">
        <w:trPr>
          <w:trHeight w:val="255"/>
        </w:trPr>
        <w:tc>
          <w:tcPr>
            <w:tcW w:w="960" w:type="dxa"/>
            <w:shd w:val="clear" w:color="auto" w:fill="auto"/>
            <w:vAlign w:val="center"/>
            <w:hideMark/>
          </w:tcPr>
          <w:p w14:paraId="5B59BBE4"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A07.7</w:t>
            </w:r>
          </w:p>
        </w:tc>
        <w:tc>
          <w:tcPr>
            <w:tcW w:w="8560" w:type="dxa"/>
            <w:shd w:val="clear" w:color="auto" w:fill="auto"/>
            <w:noWrap/>
            <w:vAlign w:val="bottom"/>
            <w:hideMark/>
          </w:tcPr>
          <w:p w14:paraId="1C89F87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Partial callosotomy</w:t>
            </w:r>
          </w:p>
        </w:tc>
      </w:tr>
      <w:tr w:rsidR="002030E7" w:rsidRPr="00BD2D79" w14:paraId="6916C1CA" w14:textId="77777777" w:rsidTr="007329B9">
        <w:trPr>
          <w:trHeight w:val="255"/>
        </w:trPr>
        <w:tc>
          <w:tcPr>
            <w:tcW w:w="960" w:type="dxa"/>
            <w:shd w:val="clear" w:color="auto" w:fill="auto"/>
            <w:vAlign w:val="center"/>
            <w:hideMark/>
          </w:tcPr>
          <w:p w14:paraId="4C39962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A07.8</w:t>
            </w:r>
          </w:p>
        </w:tc>
        <w:tc>
          <w:tcPr>
            <w:tcW w:w="8560" w:type="dxa"/>
            <w:shd w:val="clear" w:color="auto" w:fill="auto"/>
            <w:noWrap/>
            <w:vAlign w:val="bottom"/>
            <w:hideMark/>
          </w:tcPr>
          <w:p w14:paraId="5841A2F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open operations on tissue of brain</w:t>
            </w:r>
          </w:p>
        </w:tc>
      </w:tr>
      <w:tr w:rsidR="002030E7" w:rsidRPr="00BD2D79" w14:paraId="467F01E1" w14:textId="77777777" w:rsidTr="007329B9">
        <w:trPr>
          <w:trHeight w:val="255"/>
        </w:trPr>
        <w:tc>
          <w:tcPr>
            <w:tcW w:w="960" w:type="dxa"/>
            <w:shd w:val="clear" w:color="auto" w:fill="auto"/>
            <w:vAlign w:val="center"/>
            <w:hideMark/>
          </w:tcPr>
          <w:p w14:paraId="2915423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A10.2</w:t>
            </w:r>
          </w:p>
        </w:tc>
        <w:tc>
          <w:tcPr>
            <w:tcW w:w="8560" w:type="dxa"/>
            <w:shd w:val="clear" w:color="auto" w:fill="auto"/>
            <w:noWrap/>
            <w:vAlign w:val="bottom"/>
            <w:hideMark/>
          </w:tcPr>
          <w:p w14:paraId="2F9A1E0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Aspiration of abscess of tissue of brain</w:t>
            </w:r>
          </w:p>
        </w:tc>
      </w:tr>
      <w:tr w:rsidR="002030E7" w:rsidRPr="00BD2D79" w14:paraId="05F17A4B" w14:textId="77777777" w:rsidTr="007329B9">
        <w:trPr>
          <w:trHeight w:val="255"/>
        </w:trPr>
        <w:tc>
          <w:tcPr>
            <w:tcW w:w="960" w:type="dxa"/>
            <w:shd w:val="clear" w:color="auto" w:fill="auto"/>
            <w:vAlign w:val="center"/>
            <w:hideMark/>
          </w:tcPr>
          <w:p w14:paraId="117800F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A10.3</w:t>
            </w:r>
          </w:p>
        </w:tc>
        <w:tc>
          <w:tcPr>
            <w:tcW w:w="8560" w:type="dxa"/>
            <w:shd w:val="clear" w:color="auto" w:fill="auto"/>
            <w:noWrap/>
            <w:vAlign w:val="bottom"/>
            <w:hideMark/>
          </w:tcPr>
          <w:p w14:paraId="43C8B5C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Aspiration of haematoma of tissue of brain</w:t>
            </w:r>
          </w:p>
        </w:tc>
      </w:tr>
      <w:tr w:rsidR="002030E7" w:rsidRPr="00BD2D79" w14:paraId="230E8C1A" w14:textId="77777777" w:rsidTr="007329B9">
        <w:trPr>
          <w:trHeight w:val="255"/>
        </w:trPr>
        <w:tc>
          <w:tcPr>
            <w:tcW w:w="960" w:type="dxa"/>
            <w:shd w:val="clear" w:color="auto" w:fill="auto"/>
            <w:vAlign w:val="center"/>
            <w:hideMark/>
          </w:tcPr>
          <w:p w14:paraId="1BED462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A10.4</w:t>
            </w:r>
          </w:p>
        </w:tc>
        <w:tc>
          <w:tcPr>
            <w:tcW w:w="8560" w:type="dxa"/>
            <w:shd w:val="clear" w:color="auto" w:fill="auto"/>
            <w:noWrap/>
            <w:vAlign w:val="bottom"/>
            <w:hideMark/>
          </w:tcPr>
          <w:p w14:paraId="78A9BEED"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Aspiration of lesion of tissue of brain NEC</w:t>
            </w:r>
          </w:p>
        </w:tc>
      </w:tr>
      <w:tr w:rsidR="002030E7" w:rsidRPr="00BD2D79" w14:paraId="386705DD" w14:textId="77777777" w:rsidTr="007329B9">
        <w:trPr>
          <w:trHeight w:val="255"/>
        </w:trPr>
        <w:tc>
          <w:tcPr>
            <w:tcW w:w="960" w:type="dxa"/>
            <w:shd w:val="clear" w:color="auto" w:fill="auto"/>
            <w:vAlign w:val="center"/>
            <w:hideMark/>
          </w:tcPr>
          <w:p w14:paraId="00217A9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A10.5</w:t>
            </w:r>
          </w:p>
        </w:tc>
        <w:tc>
          <w:tcPr>
            <w:tcW w:w="8560" w:type="dxa"/>
            <w:shd w:val="clear" w:color="auto" w:fill="auto"/>
            <w:noWrap/>
            <w:vAlign w:val="bottom"/>
            <w:hideMark/>
          </w:tcPr>
          <w:p w14:paraId="1F69C99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Puncture of tissue of brain NEC</w:t>
            </w:r>
          </w:p>
        </w:tc>
      </w:tr>
      <w:tr w:rsidR="002030E7" w:rsidRPr="00BD2D79" w14:paraId="25C5CB63" w14:textId="77777777" w:rsidTr="007329B9">
        <w:trPr>
          <w:trHeight w:val="255"/>
        </w:trPr>
        <w:tc>
          <w:tcPr>
            <w:tcW w:w="960" w:type="dxa"/>
            <w:shd w:val="clear" w:color="auto" w:fill="auto"/>
            <w:vAlign w:val="center"/>
            <w:hideMark/>
          </w:tcPr>
          <w:p w14:paraId="6358C20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A10.8</w:t>
            </w:r>
          </w:p>
        </w:tc>
        <w:tc>
          <w:tcPr>
            <w:tcW w:w="8560" w:type="dxa"/>
            <w:shd w:val="clear" w:color="auto" w:fill="auto"/>
            <w:noWrap/>
            <w:vAlign w:val="bottom"/>
            <w:hideMark/>
          </w:tcPr>
          <w:p w14:paraId="5F178E9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operations on tissue of brain</w:t>
            </w:r>
          </w:p>
        </w:tc>
      </w:tr>
    </w:tbl>
    <w:p w14:paraId="301865F7" w14:textId="77777777" w:rsidR="002030E7" w:rsidRPr="00BD2D79" w:rsidRDefault="002030E7" w:rsidP="002030E7">
      <w:pPr>
        <w:rPr>
          <w:rFonts w:cs="Times New Roman"/>
        </w:rPr>
      </w:pPr>
    </w:p>
    <w:p w14:paraId="330C75C5" w14:textId="77777777" w:rsidR="002030E7" w:rsidRPr="00BD2D79" w:rsidRDefault="002030E7" w:rsidP="002030E7">
      <w:pPr>
        <w:rPr>
          <w:rFonts w:cs="Times New Roman"/>
        </w:rPr>
      </w:pPr>
      <w:r w:rsidRPr="00BD2D79">
        <w:rPr>
          <w:rFonts w:cs="Times New Roman"/>
        </w:rPr>
        <w:br w:type="page"/>
      </w:r>
    </w:p>
    <w:p w14:paraId="000ED386" w14:textId="77777777" w:rsidR="002030E7" w:rsidRPr="00BD2D79" w:rsidRDefault="002030E7" w:rsidP="002030E7">
      <w:pPr>
        <w:rPr>
          <w:rFonts w:cs="Times New Roman"/>
        </w:rPr>
      </w:pPr>
      <w:r w:rsidRPr="00BD2D79">
        <w:rPr>
          <w:rFonts w:cs="Times New Roman"/>
        </w:rPr>
        <w:t>Brain operations – Patients modelled to have normal life expectancy</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560"/>
      </w:tblGrid>
      <w:tr w:rsidR="002030E7" w:rsidRPr="00BD2D79" w14:paraId="143B0865" w14:textId="77777777" w:rsidTr="007329B9">
        <w:trPr>
          <w:trHeight w:val="255"/>
        </w:trPr>
        <w:tc>
          <w:tcPr>
            <w:tcW w:w="960" w:type="dxa"/>
            <w:shd w:val="clear" w:color="auto" w:fill="auto"/>
            <w:vAlign w:val="center"/>
            <w:hideMark/>
          </w:tcPr>
          <w:p w14:paraId="53D55DB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A06.1</w:t>
            </w:r>
          </w:p>
        </w:tc>
        <w:tc>
          <w:tcPr>
            <w:tcW w:w="8560" w:type="dxa"/>
            <w:shd w:val="clear" w:color="auto" w:fill="auto"/>
            <w:noWrap/>
            <w:vAlign w:val="bottom"/>
            <w:hideMark/>
          </w:tcPr>
          <w:p w14:paraId="3B78615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basal encephalocele</w:t>
            </w:r>
          </w:p>
        </w:tc>
      </w:tr>
      <w:tr w:rsidR="002030E7" w:rsidRPr="00BD2D79" w14:paraId="5FF35CBD" w14:textId="77777777" w:rsidTr="007329B9">
        <w:trPr>
          <w:trHeight w:val="255"/>
        </w:trPr>
        <w:tc>
          <w:tcPr>
            <w:tcW w:w="960" w:type="dxa"/>
            <w:shd w:val="clear" w:color="auto" w:fill="auto"/>
            <w:vAlign w:val="center"/>
            <w:hideMark/>
          </w:tcPr>
          <w:p w14:paraId="37BDD09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A06.2</w:t>
            </w:r>
          </w:p>
        </w:tc>
        <w:tc>
          <w:tcPr>
            <w:tcW w:w="8560" w:type="dxa"/>
            <w:shd w:val="clear" w:color="auto" w:fill="auto"/>
            <w:noWrap/>
            <w:vAlign w:val="bottom"/>
            <w:hideMark/>
          </w:tcPr>
          <w:p w14:paraId="07F8697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occipital encephalocele</w:t>
            </w:r>
          </w:p>
        </w:tc>
      </w:tr>
      <w:tr w:rsidR="002030E7" w:rsidRPr="00BD2D79" w14:paraId="0E2AE1CD" w14:textId="77777777" w:rsidTr="007329B9">
        <w:trPr>
          <w:trHeight w:val="255"/>
        </w:trPr>
        <w:tc>
          <w:tcPr>
            <w:tcW w:w="960" w:type="dxa"/>
            <w:shd w:val="clear" w:color="auto" w:fill="auto"/>
            <w:vAlign w:val="center"/>
            <w:hideMark/>
          </w:tcPr>
          <w:p w14:paraId="16399C5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A06.3</w:t>
            </w:r>
          </w:p>
        </w:tc>
        <w:tc>
          <w:tcPr>
            <w:tcW w:w="8560" w:type="dxa"/>
            <w:shd w:val="clear" w:color="auto" w:fill="auto"/>
            <w:noWrap/>
            <w:vAlign w:val="bottom"/>
            <w:hideMark/>
          </w:tcPr>
          <w:p w14:paraId="3B2ED19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syncipital encephalocele</w:t>
            </w:r>
          </w:p>
        </w:tc>
      </w:tr>
      <w:tr w:rsidR="002030E7" w:rsidRPr="00BD2D79" w14:paraId="500B77BC" w14:textId="77777777" w:rsidTr="007329B9">
        <w:trPr>
          <w:trHeight w:val="255"/>
        </w:trPr>
        <w:tc>
          <w:tcPr>
            <w:tcW w:w="960" w:type="dxa"/>
            <w:shd w:val="clear" w:color="auto" w:fill="auto"/>
            <w:vAlign w:val="center"/>
            <w:hideMark/>
          </w:tcPr>
          <w:p w14:paraId="1E25307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A06.4</w:t>
            </w:r>
          </w:p>
        </w:tc>
        <w:tc>
          <w:tcPr>
            <w:tcW w:w="8560" w:type="dxa"/>
            <w:shd w:val="clear" w:color="auto" w:fill="auto"/>
            <w:noWrap/>
            <w:vAlign w:val="bottom"/>
            <w:hideMark/>
          </w:tcPr>
          <w:p w14:paraId="13C0370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Repair of post-traumatic meningoencephalocele</w:t>
            </w:r>
          </w:p>
        </w:tc>
      </w:tr>
      <w:tr w:rsidR="002030E7" w:rsidRPr="00BD2D79" w14:paraId="5FF1749D" w14:textId="77777777" w:rsidTr="007329B9">
        <w:trPr>
          <w:trHeight w:val="255"/>
        </w:trPr>
        <w:tc>
          <w:tcPr>
            <w:tcW w:w="960" w:type="dxa"/>
            <w:shd w:val="clear" w:color="auto" w:fill="auto"/>
            <w:vAlign w:val="center"/>
            <w:hideMark/>
          </w:tcPr>
          <w:p w14:paraId="62FD349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A06.8</w:t>
            </w:r>
          </w:p>
        </w:tc>
        <w:tc>
          <w:tcPr>
            <w:tcW w:w="8560" w:type="dxa"/>
            <w:shd w:val="clear" w:color="auto" w:fill="auto"/>
            <w:noWrap/>
            <w:vAlign w:val="bottom"/>
            <w:hideMark/>
          </w:tcPr>
          <w:p w14:paraId="26D8A2F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excision of lesion of tissue of brain</w:t>
            </w:r>
          </w:p>
        </w:tc>
      </w:tr>
      <w:tr w:rsidR="002030E7" w:rsidRPr="00BD2D79" w14:paraId="6BBB5107" w14:textId="77777777" w:rsidTr="007329B9">
        <w:trPr>
          <w:trHeight w:val="255"/>
        </w:trPr>
        <w:tc>
          <w:tcPr>
            <w:tcW w:w="960" w:type="dxa"/>
            <w:shd w:val="clear" w:color="auto" w:fill="auto"/>
            <w:vAlign w:val="center"/>
            <w:hideMark/>
          </w:tcPr>
          <w:p w14:paraId="4D13876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A06.9</w:t>
            </w:r>
          </w:p>
        </w:tc>
        <w:tc>
          <w:tcPr>
            <w:tcW w:w="8560" w:type="dxa"/>
            <w:shd w:val="clear" w:color="auto" w:fill="auto"/>
            <w:noWrap/>
            <w:vAlign w:val="bottom"/>
            <w:hideMark/>
          </w:tcPr>
          <w:p w14:paraId="013F12A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other excision of lesion of tissue of brain</w:t>
            </w:r>
          </w:p>
        </w:tc>
      </w:tr>
      <w:tr w:rsidR="002030E7" w:rsidRPr="00BD2D79" w14:paraId="5D920748" w14:textId="77777777" w:rsidTr="007329B9">
        <w:trPr>
          <w:trHeight w:val="255"/>
        </w:trPr>
        <w:tc>
          <w:tcPr>
            <w:tcW w:w="960" w:type="dxa"/>
            <w:shd w:val="clear" w:color="auto" w:fill="auto"/>
            <w:vAlign w:val="center"/>
            <w:hideMark/>
          </w:tcPr>
          <w:p w14:paraId="0C207AE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A09.1</w:t>
            </w:r>
          </w:p>
        </w:tc>
        <w:tc>
          <w:tcPr>
            <w:tcW w:w="8560" w:type="dxa"/>
            <w:shd w:val="clear" w:color="auto" w:fill="auto"/>
            <w:noWrap/>
            <w:vAlign w:val="bottom"/>
            <w:hideMark/>
          </w:tcPr>
          <w:p w14:paraId="55168FA8"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Implantation of neurostimulator into brain</w:t>
            </w:r>
          </w:p>
        </w:tc>
      </w:tr>
      <w:tr w:rsidR="002030E7" w:rsidRPr="00BD2D79" w14:paraId="6A666940" w14:textId="77777777" w:rsidTr="007329B9">
        <w:trPr>
          <w:trHeight w:val="255"/>
        </w:trPr>
        <w:tc>
          <w:tcPr>
            <w:tcW w:w="960" w:type="dxa"/>
            <w:shd w:val="clear" w:color="auto" w:fill="auto"/>
            <w:vAlign w:val="center"/>
            <w:hideMark/>
          </w:tcPr>
          <w:p w14:paraId="462E3A8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A09.2</w:t>
            </w:r>
          </w:p>
        </w:tc>
        <w:tc>
          <w:tcPr>
            <w:tcW w:w="8560" w:type="dxa"/>
            <w:shd w:val="clear" w:color="auto" w:fill="auto"/>
            <w:noWrap/>
            <w:vAlign w:val="bottom"/>
            <w:hideMark/>
          </w:tcPr>
          <w:p w14:paraId="76886A6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Maintenance of neurostimulator in brain</w:t>
            </w:r>
          </w:p>
        </w:tc>
      </w:tr>
      <w:tr w:rsidR="002030E7" w:rsidRPr="00BD2D79" w14:paraId="6CBD648F" w14:textId="77777777" w:rsidTr="007329B9">
        <w:trPr>
          <w:trHeight w:val="255"/>
        </w:trPr>
        <w:tc>
          <w:tcPr>
            <w:tcW w:w="960" w:type="dxa"/>
            <w:shd w:val="clear" w:color="auto" w:fill="auto"/>
            <w:vAlign w:val="center"/>
            <w:hideMark/>
          </w:tcPr>
          <w:p w14:paraId="75E09DE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A09.3</w:t>
            </w:r>
          </w:p>
        </w:tc>
        <w:tc>
          <w:tcPr>
            <w:tcW w:w="8560" w:type="dxa"/>
            <w:shd w:val="clear" w:color="auto" w:fill="auto"/>
            <w:noWrap/>
            <w:vAlign w:val="bottom"/>
            <w:hideMark/>
          </w:tcPr>
          <w:p w14:paraId="4515B49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Removal of neurostimulator from brain</w:t>
            </w:r>
          </w:p>
        </w:tc>
      </w:tr>
      <w:tr w:rsidR="002030E7" w:rsidRPr="00BD2D79" w14:paraId="30ACFA92" w14:textId="77777777" w:rsidTr="007329B9">
        <w:trPr>
          <w:trHeight w:val="255"/>
        </w:trPr>
        <w:tc>
          <w:tcPr>
            <w:tcW w:w="960" w:type="dxa"/>
            <w:shd w:val="clear" w:color="auto" w:fill="auto"/>
            <w:vAlign w:val="center"/>
            <w:hideMark/>
          </w:tcPr>
          <w:p w14:paraId="38C7B72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A09.4</w:t>
            </w:r>
          </w:p>
        </w:tc>
        <w:tc>
          <w:tcPr>
            <w:tcW w:w="8560" w:type="dxa"/>
            <w:shd w:val="clear" w:color="auto" w:fill="auto"/>
            <w:noWrap/>
            <w:vAlign w:val="bottom"/>
            <w:hideMark/>
          </w:tcPr>
          <w:p w14:paraId="60C996D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Operation on neurostimulator in brain NEC</w:t>
            </w:r>
          </w:p>
        </w:tc>
      </w:tr>
      <w:tr w:rsidR="002030E7" w:rsidRPr="00BD2D79" w14:paraId="6BA8EBDC" w14:textId="77777777" w:rsidTr="007329B9">
        <w:trPr>
          <w:trHeight w:val="255"/>
        </w:trPr>
        <w:tc>
          <w:tcPr>
            <w:tcW w:w="960" w:type="dxa"/>
            <w:shd w:val="clear" w:color="auto" w:fill="auto"/>
            <w:vAlign w:val="center"/>
            <w:hideMark/>
          </w:tcPr>
          <w:p w14:paraId="7715708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A09.5</w:t>
            </w:r>
          </w:p>
        </w:tc>
        <w:tc>
          <w:tcPr>
            <w:tcW w:w="8560" w:type="dxa"/>
            <w:shd w:val="clear" w:color="auto" w:fill="auto"/>
            <w:noWrap/>
            <w:vAlign w:val="bottom"/>
            <w:hideMark/>
          </w:tcPr>
          <w:p w14:paraId="0C8BD64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Insertion of neurostimulator electrodes into the brain</w:t>
            </w:r>
          </w:p>
        </w:tc>
      </w:tr>
      <w:tr w:rsidR="002030E7" w:rsidRPr="00BD2D79" w14:paraId="6AB3D2AB" w14:textId="77777777" w:rsidTr="007329B9">
        <w:trPr>
          <w:trHeight w:val="255"/>
        </w:trPr>
        <w:tc>
          <w:tcPr>
            <w:tcW w:w="960" w:type="dxa"/>
            <w:shd w:val="clear" w:color="auto" w:fill="auto"/>
            <w:vAlign w:val="center"/>
            <w:hideMark/>
          </w:tcPr>
          <w:p w14:paraId="4A6D575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A09.8</w:t>
            </w:r>
          </w:p>
        </w:tc>
        <w:tc>
          <w:tcPr>
            <w:tcW w:w="8560" w:type="dxa"/>
            <w:shd w:val="clear" w:color="auto" w:fill="auto"/>
            <w:noWrap/>
            <w:vAlign w:val="bottom"/>
            <w:hideMark/>
          </w:tcPr>
          <w:p w14:paraId="5FBCD7E8"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neurostimulation of brain</w:t>
            </w:r>
          </w:p>
        </w:tc>
      </w:tr>
      <w:tr w:rsidR="002030E7" w:rsidRPr="00BD2D79" w14:paraId="4183E659" w14:textId="77777777" w:rsidTr="007329B9">
        <w:trPr>
          <w:trHeight w:val="255"/>
        </w:trPr>
        <w:tc>
          <w:tcPr>
            <w:tcW w:w="960" w:type="dxa"/>
            <w:shd w:val="clear" w:color="auto" w:fill="auto"/>
            <w:vAlign w:val="center"/>
            <w:hideMark/>
          </w:tcPr>
          <w:p w14:paraId="0FA5DFD6"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A09.9</w:t>
            </w:r>
          </w:p>
        </w:tc>
        <w:tc>
          <w:tcPr>
            <w:tcW w:w="8560" w:type="dxa"/>
            <w:shd w:val="clear" w:color="auto" w:fill="auto"/>
            <w:noWrap/>
            <w:vAlign w:val="bottom"/>
            <w:hideMark/>
          </w:tcPr>
          <w:p w14:paraId="6988D5ED"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neurostimulation of brain</w:t>
            </w:r>
          </w:p>
        </w:tc>
      </w:tr>
      <w:tr w:rsidR="002030E7" w:rsidRPr="00BD2D79" w14:paraId="71884104" w14:textId="77777777" w:rsidTr="007329B9">
        <w:trPr>
          <w:trHeight w:val="255"/>
        </w:trPr>
        <w:tc>
          <w:tcPr>
            <w:tcW w:w="960" w:type="dxa"/>
            <w:shd w:val="clear" w:color="auto" w:fill="auto"/>
            <w:vAlign w:val="center"/>
            <w:hideMark/>
          </w:tcPr>
          <w:p w14:paraId="7C28CAD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A11.1</w:t>
            </w:r>
          </w:p>
        </w:tc>
        <w:tc>
          <w:tcPr>
            <w:tcW w:w="8560" w:type="dxa"/>
            <w:shd w:val="clear" w:color="auto" w:fill="auto"/>
            <w:noWrap/>
            <w:vAlign w:val="bottom"/>
            <w:hideMark/>
          </w:tcPr>
          <w:p w14:paraId="43FA39CD"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Placement of depth electrodes for electroencephalography</w:t>
            </w:r>
          </w:p>
        </w:tc>
      </w:tr>
      <w:tr w:rsidR="002030E7" w:rsidRPr="00BD2D79" w14:paraId="7772CF21" w14:textId="77777777" w:rsidTr="007329B9">
        <w:trPr>
          <w:trHeight w:val="255"/>
        </w:trPr>
        <w:tc>
          <w:tcPr>
            <w:tcW w:w="960" w:type="dxa"/>
            <w:shd w:val="clear" w:color="auto" w:fill="auto"/>
            <w:vAlign w:val="center"/>
            <w:hideMark/>
          </w:tcPr>
          <w:p w14:paraId="1333249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A11.2</w:t>
            </w:r>
          </w:p>
        </w:tc>
        <w:tc>
          <w:tcPr>
            <w:tcW w:w="8560" w:type="dxa"/>
            <w:shd w:val="clear" w:color="auto" w:fill="auto"/>
            <w:noWrap/>
            <w:vAlign w:val="bottom"/>
            <w:hideMark/>
          </w:tcPr>
          <w:p w14:paraId="2C0FDBDF"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Placement of surface electrodes for electroencephalography</w:t>
            </w:r>
          </w:p>
        </w:tc>
      </w:tr>
      <w:tr w:rsidR="002030E7" w:rsidRPr="00BD2D79" w14:paraId="65D6D1F4" w14:textId="77777777" w:rsidTr="007329B9">
        <w:trPr>
          <w:trHeight w:val="255"/>
        </w:trPr>
        <w:tc>
          <w:tcPr>
            <w:tcW w:w="960" w:type="dxa"/>
            <w:shd w:val="clear" w:color="auto" w:fill="auto"/>
            <w:vAlign w:val="center"/>
            <w:hideMark/>
          </w:tcPr>
          <w:p w14:paraId="0A810C0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A11.3</w:t>
            </w:r>
          </w:p>
        </w:tc>
        <w:tc>
          <w:tcPr>
            <w:tcW w:w="8560" w:type="dxa"/>
            <w:shd w:val="clear" w:color="auto" w:fill="auto"/>
            <w:noWrap/>
            <w:vAlign w:val="bottom"/>
            <w:hideMark/>
          </w:tcPr>
          <w:p w14:paraId="13B6C60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Monitoring of pressure in tissue of brain</w:t>
            </w:r>
          </w:p>
        </w:tc>
      </w:tr>
      <w:tr w:rsidR="002030E7" w:rsidRPr="00BD2D79" w14:paraId="26F2662D" w14:textId="77777777" w:rsidTr="007329B9">
        <w:trPr>
          <w:trHeight w:val="255"/>
        </w:trPr>
        <w:tc>
          <w:tcPr>
            <w:tcW w:w="960" w:type="dxa"/>
            <w:shd w:val="clear" w:color="auto" w:fill="auto"/>
            <w:vAlign w:val="center"/>
            <w:hideMark/>
          </w:tcPr>
          <w:p w14:paraId="7D41635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A11.4</w:t>
            </w:r>
          </w:p>
        </w:tc>
        <w:tc>
          <w:tcPr>
            <w:tcW w:w="8560" w:type="dxa"/>
            <w:shd w:val="clear" w:color="auto" w:fill="auto"/>
            <w:noWrap/>
            <w:vAlign w:val="bottom"/>
            <w:hideMark/>
          </w:tcPr>
          <w:p w14:paraId="508C06E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Cortical mapping</w:t>
            </w:r>
          </w:p>
        </w:tc>
      </w:tr>
      <w:tr w:rsidR="002030E7" w:rsidRPr="00BD2D79" w14:paraId="2ECF9118" w14:textId="77777777" w:rsidTr="007329B9">
        <w:trPr>
          <w:trHeight w:val="255"/>
        </w:trPr>
        <w:tc>
          <w:tcPr>
            <w:tcW w:w="960" w:type="dxa"/>
            <w:shd w:val="clear" w:color="auto" w:fill="auto"/>
            <w:vAlign w:val="center"/>
            <w:hideMark/>
          </w:tcPr>
          <w:p w14:paraId="3C46890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A11.8</w:t>
            </w:r>
          </w:p>
        </w:tc>
        <w:tc>
          <w:tcPr>
            <w:tcW w:w="8560" w:type="dxa"/>
            <w:shd w:val="clear" w:color="auto" w:fill="auto"/>
            <w:noWrap/>
            <w:vAlign w:val="bottom"/>
            <w:hideMark/>
          </w:tcPr>
          <w:p w14:paraId="7904236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operations on tissue of brain</w:t>
            </w:r>
          </w:p>
        </w:tc>
      </w:tr>
      <w:tr w:rsidR="002030E7" w:rsidRPr="00BD2D79" w14:paraId="2E0B64D7" w14:textId="77777777" w:rsidTr="007329B9">
        <w:trPr>
          <w:trHeight w:val="255"/>
        </w:trPr>
        <w:tc>
          <w:tcPr>
            <w:tcW w:w="960" w:type="dxa"/>
            <w:shd w:val="clear" w:color="auto" w:fill="auto"/>
            <w:vAlign w:val="center"/>
            <w:hideMark/>
          </w:tcPr>
          <w:p w14:paraId="6BFE1BA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A12.1</w:t>
            </w:r>
          </w:p>
        </w:tc>
        <w:tc>
          <w:tcPr>
            <w:tcW w:w="8560" w:type="dxa"/>
            <w:shd w:val="clear" w:color="auto" w:fill="auto"/>
            <w:noWrap/>
            <w:vAlign w:val="bottom"/>
            <w:hideMark/>
          </w:tcPr>
          <w:p w14:paraId="0E78095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Ventriculocisternostomy</w:t>
            </w:r>
          </w:p>
        </w:tc>
      </w:tr>
      <w:tr w:rsidR="002030E7" w:rsidRPr="00BD2D79" w14:paraId="04389943" w14:textId="77777777" w:rsidTr="007329B9">
        <w:trPr>
          <w:trHeight w:val="255"/>
        </w:trPr>
        <w:tc>
          <w:tcPr>
            <w:tcW w:w="960" w:type="dxa"/>
            <w:shd w:val="clear" w:color="auto" w:fill="auto"/>
            <w:vAlign w:val="center"/>
            <w:hideMark/>
          </w:tcPr>
          <w:p w14:paraId="062846D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A12.2</w:t>
            </w:r>
          </w:p>
        </w:tc>
        <w:tc>
          <w:tcPr>
            <w:tcW w:w="8560" w:type="dxa"/>
            <w:shd w:val="clear" w:color="auto" w:fill="auto"/>
            <w:noWrap/>
            <w:vAlign w:val="bottom"/>
            <w:hideMark/>
          </w:tcPr>
          <w:p w14:paraId="5232DC4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Creation of ventriculovascular shunt</w:t>
            </w:r>
          </w:p>
        </w:tc>
      </w:tr>
      <w:tr w:rsidR="002030E7" w:rsidRPr="00BD2D79" w14:paraId="1A5597E0" w14:textId="77777777" w:rsidTr="007329B9">
        <w:trPr>
          <w:trHeight w:val="255"/>
        </w:trPr>
        <w:tc>
          <w:tcPr>
            <w:tcW w:w="960" w:type="dxa"/>
            <w:shd w:val="clear" w:color="auto" w:fill="auto"/>
            <w:vAlign w:val="center"/>
            <w:hideMark/>
          </w:tcPr>
          <w:p w14:paraId="0A5C452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A12.3</w:t>
            </w:r>
          </w:p>
        </w:tc>
        <w:tc>
          <w:tcPr>
            <w:tcW w:w="8560" w:type="dxa"/>
            <w:shd w:val="clear" w:color="auto" w:fill="auto"/>
            <w:noWrap/>
            <w:vAlign w:val="bottom"/>
            <w:hideMark/>
          </w:tcPr>
          <w:p w14:paraId="10D6C52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Creation of ventriculopleural shunt</w:t>
            </w:r>
          </w:p>
        </w:tc>
      </w:tr>
      <w:tr w:rsidR="002030E7" w:rsidRPr="00BD2D79" w14:paraId="24008B86" w14:textId="77777777" w:rsidTr="007329B9">
        <w:trPr>
          <w:trHeight w:val="255"/>
        </w:trPr>
        <w:tc>
          <w:tcPr>
            <w:tcW w:w="960" w:type="dxa"/>
            <w:shd w:val="clear" w:color="auto" w:fill="auto"/>
            <w:vAlign w:val="center"/>
            <w:hideMark/>
          </w:tcPr>
          <w:p w14:paraId="60B01CC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A12.4</w:t>
            </w:r>
          </w:p>
        </w:tc>
        <w:tc>
          <w:tcPr>
            <w:tcW w:w="8560" w:type="dxa"/>
            <w:shd w:val="clear" w:color="auto" w:fill="auto"/>
            <w:noWrap/>
            <w:vAlign w:val="bottom"/>
            <w:hideMark/>
          </w:tcPr>
          <w:p w14:paraId="5F4CE52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Creation of ventriculoperitoneal shunt</w:t>
            </w:r>
          </w:p>
        </w:tc>
      </w:tr>
      <w:tr w:rsidR="002030E7" w:rsidRPr="00BD2D79" w14:paraId="1F98D2AA" w14:textId="77777777" w:rsidTr="007329B9">
        <w:trPr>
          <w:trHeight w:val="255"/>
        </w:trPr>
        <w:tc>
          <w:tcPr>
            <w:tcW w:w="960" w:type="dxa"/>
            <w:shd w:val="clear" w:color="auto" w:fill="auto"/>
            <w:vAlign w:val="center"/>
            <w:hideMark/>
          </w:tcPr>
          <w:p w14:paraId="43F5528B"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A12.5</w:t>
            </w:r>
          </w:p>
        </w:tc>
        <w:tc>
          <w:tcPr>
            <w:tcW w:w="8560" w:type="dxa"/>
            <w:shd w:val="clear" w:color="auto" w:fill="auto"/>
            <w:noWrap/>
            <w:vAlign w:val="bottom"/>
            <w:hideMark/>
          </w:tcPr>
          <w:p w14:paraId="356C878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Creation of subcutaneous cerebrospinal fluid reservoir</w:t>
            </w:r>
          </w:p>
        </w:tc>
      </w:tr>
      <w:tr w:rsidR="002030E7" w:rsidRPr="00BD2D79" w14:paraId="6997EED0" w14:textId="77777777" w:rsidTr="007329B9">
        <w:trPr>
          <w:trHeight w:val="255"/>
        </w:trPr>
        <w:tc>
          <w:tcPr>
            <w:tcW w:w="960" w:type="dxa"/>
            <w:shd w:val="clear" w:color="auto" w:fill="auto"/>
            <w:vAlign w:val="center"/>
            <w:hideMark/>
          </w:tcPr>
          <w:p w14:paraId="44D67E34"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A12.8</w:t>
            </w:r>
          </w:p>
        </w:tc>
        <w:tc>
          <w:tcPr>
            <w:tcW w:w="8560" w:type="dxa"/>
            <w:shd w:val="clear" w:color="auto" w:fill="auto"/>
            <w:noWrap/>
            <w:vAlign w:val="bottom"/>
            <w:hideMark/>
          </w:tcPr>
          <w:p w14:paraId="73B45E70"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creation of connection from ventricle of brain</w:t>
            </w:r>
          </w:p>
        </w:tc>
      </w:tr>
      <w:tr w:rsidR="002030E7" w:rsidRPr="00BD2D79" w14:paraId="2B66B5DA" w14:textId="77777777" w:rsidTr="007329B9">
        <w:trPr>
          <w:trHeight w:val="255"/>
        </w:trPr>
        <w:tc>
          <w:tcPr>
            <w:tcW w:w="960" w:type="dxa"/>
            <w:shd w:val="clear" w:color="auto" w:fill="auto"/>
            <w:vAlign w:val="center"/>
            <w:hideMark/>
          </w:tcPr>
          <w:p w14:paraId="04B192A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A13.1</w:t>
            </w:r>
          </w:p>
        </w:tc>
        <w:tc>
          <w:tcPr>
            <w:tcW w:w="8560" w:type="dxa"/>
            <w:shd w:val="clear" w:color="auto" w:fill="auto"/>
            <w:noWrap/>
            <w:vAlign w:val="bottom"/>
            <w:hideMark/>
          </w:tcPr>
          <w:p w14:paraId="2B530800"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Maintenance of proximal catheter of cerebroventricular shunt</w:t>
            </w:r>
          </w:p>
        </w:tc>
      </w:tr>
      <w:tr w:rsidR="002030E7" w:rsidRPr="00BD2D79" w14:paraId="3F21DC5B" w14:textId="77777777" w:rsidTr="007329B9">
        <w:trPr>
          <w:trHeight w:val="255"/>
        </w:trPr>
        <w:tc>
          <w:tcPr>
            <w:tcW w:w="960" w:type="dxa"/>
            <w:shd w:val="clear" w:color="auto" w:fill="auto"/>
            <w:vAlign w:val="center"/>
            <w:hideMark/>
          </w:tcPr>
          <w:p w14:paraId="1E5B3B7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A13.2</w:t>
            </w:r>
          </w:p>
        </w:tc>
        <w:tc>
          <w:tcPr>
            <w:tcW w:w="8560" w:type="dxa"/>
            <w:shd w:val="clear" w:color="auto" w:fill="auto"/>
            <w:noWrap/>
            <w:vAlign w:val="bottom"/>
            <w:hideMark/>
          </w:tcPr>
          <w:p w14:paraId="2D054B2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Maintenance of distal catheter of cerebroventricular shunt</w:t>
            </w:r>
          </w:p>
        </w:tc>
      </w:tr>
      <w:tr w:rsidR="002030E7" w:rsidRPr="00BD2D79" w14:paraId="02158D88" w14:textId="77777777" w:rsidTr="007329B9">
        <w:trPr>
          <w:trHeight w:val="255"/>
        </w:trPr>
        <w:tc>
          <w:tcPr>
            <w:tcW w:w="960" w:type="dxa"/>
            <w:shd w:val="clear" w:color="auto" w:fill="auto"/>
            <w:vAlign w:val="center"/>
            <w:hideMark/>
          </w:tcPr>
          <w:p w14:paraId="110F753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A13.3</w:t>
            </w:r>
          </w:p>
        </w:tc>
        <w:tc>
          <w:tcPr>
            <w:tcW w:w="8560" w:type="dxa"/>
            <w:shd w:val="clear" w:color="auto" w:fill="auto"/>
            <w:noWrap/>
            <w:vAlign w:val="bottom"/>
            <w:hideMark/>
          </w:tcPr>
          <w:p w14:paraId="190F7C0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Insertion of antisyphon device into cerebroventricular shunt</w:t>
            </w:r>
          </w:p>
        </w:tc>
      </w:tr>
      <w:tr w:rsidR="002030E7" w:rsidRPr="00BD2D79" w14:paraId="0D7FED99" w14:textId="77777777" w:rsidTr="007329B9">
        <w:trPr>
          <w:trHeight w:val="255"/>
        </w:trPr>
        <w:tc>
          <w:tcPr>
            <w:tcW w:w="960" w:type="dxa"/>
            <w:shd w:val="clear" w:color="auto" w:fill="auto"/>
            <w:vAlign w:val="center"/>
            <w:hideMark/>
          </w:tcPr>
          <w:p w14:paraId="0FE3595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A13.4</w:t>
            </w:r>
          </w:p>
        </w:tc>
        <w:tc>
          <w:tcPr>
            <w:tcW w:w="8560" w:type="dxa"/>
            <w:shd w:val="clear" w:color="auto" w:fill="auto"/>
            <w:noWrap/>
            <w:vAlign w:val="bottom"/>
            <w:hideMark/>
          </w:tcPr>
          <w:p w14:paraId="1FE774F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Renewal of valve of cerebroventricular shunt</w:t>
            </w:r>
          </w:p>
        </w:tc>
      </w:tr>
      <w:tr w:rsidR="002030E7" w:rsidRPr="00BD2D79" w14:paraId="0B3B323F" w14:textId="77777777" w:rsidTr="007329B9">
        <w:trPr>
          <w:trHeight w:val="255"/>
        </w:trPr>
        <w:tc>
          <w:tcPr>
            <w:tcW w:w="960" w:type="dxa"/>
            <w:shd w:val="clear" w:color="auto" w:fill="auto"/>
            <w:vAlign w:val="center"/>
            <w:hideMark/>
          </w:tcPr>
          <w:p w14:paraId="7FCAB85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A13.8</w:t>
            </w:r>
          </w:p>
        </w:tc>
        <w:tc>
          <w:tcPr>
            <w:tcW w:w="8560" w:type="dxa"/>
            <w:shd w:val="clear" w:color="auto" w:fill="auto"/>
            <w:noWrap/>
            <w:vAlign w:val="bottom"/>
            <w:hideMark/>
          </w:tcPr>
          <w:p w14:paraId="1F0E861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attention to component of connection from ventricle of brain</w:t>
            </w:r>
          </w:p>
        </w:tc>
      </w:tr>
      <w:tr w:rsidR="002030E7" w:rsidRPr="00BD2D79" w14:paraId="53FB8652" w14:textId="77777777" w:rsidTr="007329B9">
        <w:trPr>
          <w:trHeight w:val="255"/>
        </w:trPr>
        <w:tc>
          <w:tcPr>
            <w:tcW w:w="960" w:type="dxa"/>
            <w:shd w:val="clear" w:color="auto" w:fill="auto"/>
            <w:vAlign w:val="center"/>
            <w:hideMark/>
          </w:tcPr>
          <w:p w14:paraId="7903411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A13.9</w:t>
            </w:r>
          </w:p>
        </w:tc>
        <w:tc>
          <w:tcPr>
            <w:tcW w:w="8560" w:type="dxa"/>
            <w:shd w:val="clear" w:color="auto" w:fill="auto"/>
            <w:noWrap/>
            <w:vAlign w:val="bottom"/>
            <w:hideMark/>
          </w:tcPr>
          <w:p w14:paraId="0CE54E5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attention to component of connection from ventricle of brain</w:t>
            </w:r>
          </w:p>
        </w:tc>
      </w:tr>
      <w:tr w:rsidR="002030E7" w:rsidRPr="00BD2D79" w14:paraId="27C5DAF1" w14:textId="77777777" w:rsidTr="007329B9">
        <w:trPr>
          <w:trHeight w:val="255"/>
        </w:trPr>
        <w:tc>
          <w:tcPr>
            <w:tcW w:w="960" w:type="dxa"/>
            <w:shd w:val="clear" w:color="auto" w:fill="auto"/>
            <w:vAlign w:val="center"/>
            <w:hideMark/>
          </w:tcPr>
          <w:p w14:paraId="735CD76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A14.1</w:t>
            </w:r>
          </w:p>
        </w:tc>
        <w:tc>
          <w:tcPr>
            <w:tcW w:w="8560" w:type="dxa"/>
            <w:shd w:val="clear" w:color="auto" w:fill="auto"/>
            <w:noWrap/>
            <w:vAlign w:val="bottom"/>
            <w:hideMark/>
          </w:tcPr>
          <w:p w14:paraId="4BC0353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Renewal of cerebroventricular shunt</w:t>
            </w:r>
          </w:p>
        </w:tc>
      </w:tr>
      <w:tr w:rsidR="002030E7" w:rsidRPr="00BD2D79" w14:paraId="7AB8B320" w14:textId="77777777" w:rsidTr="007329B9">
        <w:trPr>
          <w:trHeight w:val="255"/>
        </w:trPr>
        <w:tc>
          <w:tcPr>
            <w:tcW w:w="960" w:type="dxa"/>
            <w:shd w:val="clear" w:color="auto" w:fill="auto"/>
            <w:vAlign w:val="center"/>
            <w:hideMark/>
          </w:tcPr>
          <w:p w14:paraId="6C6D1B3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A14.2</w:t>
            </w:r>
          </w:p>
        </w:tc>
        <w:tc>
          <w:tcPr>
            <w:tcW w:w="8560" w:type="dxa"/>
            <w:shd w:val="clear" w:color="auto" w:fill="auto"/>
            <w:noWrap/>
            <w:vAlign w:val="bottom"/>
            <w:hideMark/>
          </w:tcPr>
          <w:p w14:paraId="30BA6B7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Revision of cerebroventricular shunt NEC</w:t>
            </w:r>
          </w:p>
        </w:tc>
      </w:tr>
      <w:tr w:rsidR="002030E7" w:rsidRPr="00BD2D79" w14:paraId="7E95A177" w14:textId="77777777" w:rsidTr="007329B9">
        <w:trPr>
          <w:trHeight w:val="255"/>
        </w:trPr>
        <w:tc>
          <w:tcPr>
            <w:tcW w:w="960" w:type="dxa"/>
            <w:shd w:val="clear" w:color="auto" w:fill="auto"/>
            <w:vAlign w:val="center"/>
            <w:hideMark/>
          </w:tcPr>
          <w:p w14:paraId="1ABCD41B"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A14.3</w:t>
            </w:r>
          </w:p>
        </w:tc>
        <w:tc>
          <w:tcPr>
            <w:tcW w:w="8560" w:type="dxa"/>
            <w:shd w:val="clear" w:color="auto" w:fill="auto"/>
            <w:noWrap/>
            <w:vAlign w:val="bottom"/>
            <w:hideMark/>
          </w:tcPr>
          <w:p w14:paraId="5921BE7D"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Removal of cerebroventricular shunt</w:t>
            </w:r>
          </w:p>
        </w:tc>
      </w:tr>
      <w:tr w:rsidR="002030E7" w:rsidRPr="00BD2D79" w14:paraId="37E4248D" w14:textId="77777777" w:rsidTr="007329B9">
        <w:trPr>
          <w:trHeight w:val="255"/>
        </w:trPr>
        <w:tc>
          <w:tcPr>
            <w:tcW w:w="960" w:type="dxa"/>
            <w:shd w:val="clear" w:color="auto" w:fill="auto"/>
            <w:vAlign w:val="center"/>
            <w:hideMark/>
          </w:tcPr>
          <w:p w14:paraId="4D604D3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A14.4</w:t>
            </w:r>
          </w:p>
        </w:tc>
        <w:tc>
          <w:tcPr>
            <w:tcW w:w="8560" w:type="dxa"/>
            <w:shd w:val="clear" w:color="auto" w:fill="auto"/>
            <w:noWrap/>
            <w:vAlign w:val="bottom"/>
            <w:hideMark/>
          </w:tcPr>
          <w:p w14:paraId="027E072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Irrigation of cerebroventricular shunt</w:t>
            </w:r>
          </w:p>
        </w:tc>
      </w:tr>
      <w:tr w:rsidR="002030E7" w:rsidRPr="00BD2D79" w14:paraId="30A0CDFC" w14:textId="77777777" w:rsidTr="007329B9">
        <w:trPr>
          <w:trHeight w:val="255"/>
        </w:trPr>
        <w:tc>
          <w:tcPr>
            <w:tcW w:w="960" w:type="dxa"/>
            <w:shd w:val="clear" w:color="auto" w:fill="auto"/>
            <w:vAlign w:val="center"/>
            <w:hideMark/>
          </w:tcPr>
          <w:p w14:paraId="465B0B7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A14.5</w:t>
            </w:r>
          </w:p>
        </w:tc>
        <w:tc>
          <w:tcPr>
            <w:tcW w:w="8560" w:type="dxa"/>
            <w:shd w:val="clear" w:color="auto" w:fill="auto"/>
            <w:noWrap/>
            <w:vAlign w:val="bottom"/>
            <w:hideMark/>
          </w:tcPr>
          <w:p w14:paraId="2DD3C7B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Attention to cerebroventricular shunt NEC</w:t>
            </w:r>
          </w:p>
        </w:tc>
      </w:tr>
      <w:tr w:rsidR="002030E7" w:rsidRPr="00BD2D79" w14:paraId="0B4E6198" w14:textId="77777777" w:rsidTr="007329B9">
        <w:trPr>
          <w:trHeight w:val="255"/>
        </w:trPr>
        <w:tc>
          <w:tcPr>
            <w:tcW w:w="960" w:type="dxa"/>
            <w:shd w:val="clear" w:color="auto" w:fill="auto"/>
            <w:vAlign w:val="center"/>
            <w:hideMark/>
          </w:tcPr>
          <w:p w14:paraId="240AF99E"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A14.8</w:t>
            </w:r>
          </w:p>
        </w:tc>
        <w:tc>
          <w:tcPr>
            <w:tcW w:w="8560" w:type="dxa"/>
            <w:shd w:val="clear" w:color="auto" w:fill="auto"/>
            <w:noWrap/>
            <w:vAlign w:val="bottom"/>
            <w:hideMark/>
          </w:tcPr>
          <w:p w14:paraId="5416D74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operations on connection from ventricle of brain</w:t>
            </w:r>
          </w:p>
        </w:tc>
      </w:tr>
      <w:tr w:rsidR="002030E7" w:rsidRPr="00BD2D79" w14:paraId="20F60696" w14:textId="77777777" w:rsidTr="007329B9">
        <w:trPr>
          <w:trHeight w:val="255"/>
        </w:trPr>
        <w:tc>
          <w:tcPr>
            <w:tcW w:w="960" w:type="dxa"/>
            <w:shd w:val="clear" w:color="auto" w:fill="auto"/>
            <w:vAlign w:val="center"/>
            <w:hideMark/>
          </w:tcPr>
          <w:p w14:paraId="5902B5A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A14.9</w:t>
            </w:r>
          </w:p>
        </w:tc>
        <w:tc>
          <w:tcPr>
            <w:tcW w:w="8560" w:type="dxa"/>
            <w:shd w:val="clear" w:color="auto" w:fill="auto"/>
            <w:noWrap/>
            <w:vAlign w:val="bottom"/>
            <w:hideMark/>
          </w:tcPr>
          <w:p w14:paraId="58005CD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other operations on connection from ventricle of brain</w:t>
            </w:r>
          </w:p>
        </w:tc>
      </w:tr>
      <w:tr w:rsidR="002030E7" w:rsidRPr="00BD2D79" w14:paraId="2DF9AE52" w14:textId="77777777" w:rsidTr="007329B9">
        <w:trPr>
          <w:trHeight w:val="255"/>
        </w:trPr>
        <w:tc>
          <w:tcPr>
            <w:tcW w:w="960" w:type="dxa"/>
            <w:shd w:val="clear" w:color="auto" w:fill="auto"/>
            <w:vAlign w:val="center"/>
            <w:hideMark/>
          </w:tcPr>
          <w:p w14:paraId="19676C9B"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A16.1</w:t>
            </w:r>
          </w:p>
        </w:tc>
        <w:tc>
          <w:tcPr>
            <w:tcW w:w="8560" w:type="dxa"/>
            <w:shd w:val="clear" w:color="auto" w:fill="auto"/>
            <w:noWrap/>
            <w:vAlign w:val="bottom"/>
            <w:hideMark/>
          </w:tcPr>
          <w:p w14:paraId="2FBE2E0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Open drainage of ventricle of brain NEC</w:t>
            </w:r>
          </w:p>
        </w:tc>
      </w:tr>
      <w:tr w:rsidR="002030E7" w:rsidRPr="00BD2D79" w14:paraId="0CD43ED5" w14:textId="77777777" w:rsidTr="007329B9">
        <w:trPr>
          <w:trHeight w:val="255"/>
        </w:trPr>
        <w:tc>
          <w:tcPr>
            <w:tcW w:w="960" w:type="dxa"/>
            <w:shd w:val="clear" w:color="auto" w:fill="auto"/>
            <w:vAlign w:val="center"/>
            <w:hideMark/>
          </w:tcPr>
          <w:p w14:paraId="5EA1547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A16.8</w:t>
            </w:r>
          </w:p>
        </w:tc>
        <w:tc>
          <w:tcPr>
            <w:tcW w:w="8560" w:type="dxa"/>
            <w:shd w:val="clear" w:color="auto" w:fill="auto"/>
            <w:noWrap/>
            <w:vAlign w:val="bottom"/>
            <w:hideMark/>
          </w:tcPr>
          <w:p w14:paraId="6E31F01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open operations on ventricle of brain</w:t>
            </w:r>
          </w:p>
        </w:tc>
      </w:tr>
      <w:tr w:rsidR="002030E7" w:rsidRPr="00BD2D79" w14:paraId="3F6C2283" w14:textId="77777777" w:rsidTr="007329B9">
        <w:trPr>
          <w:trHeight w:val="255"/>
        </w:trPr>
        <w:tc>
          <w:tcPr>
            <w:tcW w:w="960" w:type="dxa"/>
            <w:shd w:val="clear" w:color="auto" w:fill="auto"/>
            <w:vAlign w:val="center"/>
            <w:hideMark/>
          </w:tcPr>
          <w:p w14:paraId="457B25C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A20.1</w:t>
            </w:r>
          </w:p>
        </w:tc>
        <w:tc>
          <w:tcPr>
            <w:tcW w:w="8560" w:type="dxa"/>
            <w:shd w:val="clear" w:color="auto" w:fill="auto"/>
            <w:noWrap/>
            <w:vAlign w:val="bottom"/>
            <w:hideMark/>
          </w:tcPr>
          <w:p w14:paraId="206435A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Drainage of ventricle of brain NEC</w:t>
            </w:r>
          </w:p>
        </w:tc>
      </w:tr>
      <w:tr w:rsidR="002030E7" w:rsidRPr="00BD2D79" w14:paraId="2C130AA1" w14:textId="77777777" w:rsidTr="007329B9">
        <w:trPr>
          <w:trHeight w:val="255"/>
        </w:trPr>
        <w:tc>
          <w:tcPr>
            <w:tcW w:w="960" w:type="dxa"/>
            <w:shd w:val="clear" w:color="auto" w:fill="auto"/>
            <w:vAlign w:val="center"/>
            <w:hideMark/>
          </w:tcPr>
          <w:p w14:paraId="3274CE5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A20.2</w:t>
            </w:r>
          </w:p>
        </w:tc>
        <w:tc>
          <w:tcPr>
            <w:tcW w:w="8560" w:type="dxa"/>
            <w:shd w:val="clear" w:color="auto" w:fill="auto"/>
            <w:noWrap/>
            <w:vAlign w:val="bottom"/>
            <w:hideMark/>
          </w:tcPr>
          <w:p w14:paraId="461B9AE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Ventriculography of brain</w:t>
            </w:r>
          </w:p>
        </w:tc>
      </w:tr>
      <w:tr w:rsidR="002030E7" w:rsidRPr="00BD2D79" w14:paraId="01137FBC" w14:textId="77777777" w:rsidTr="007329B9">
        <w:trPr>
          <w:trHeight w:val="255"/>
        </w:trPr>
        <w:tc>
          <w:tcPr>
            <w:tcW w:w="960" w:type="dxa"/>
            <w:shd w:val="clear" w:color="auto" w:fill="auto"/>
            <w:vAlign w:val="center"/>
            <w:hideMark/>
          </w:tcPr>
          <w:p w14:paraId="718B937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A20.3</w:t>
            </w:r>
          </w:p>
        </w:tc>
        <w:tc>
          <w:tcPr>
            <w:tcW w:w="8560" w:type="dxa"/>
            <w:shd w:val="clear" w:color="auto" w:fill="auto"/>
            <w:noWrap/>
            <w:vAlign w:val="bottom"/>
            <w:hideMark/>
          </w:tcPr>
          <w:p w14:paraId="12A5E37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Monitoring of pressure in ventricle of brain</w:t>
            </w:r>
          </w:p>
        </w:tc>
      </w:tr>
      <w:tr w:rsidR="002030E7" w:rsidRPr="00BD2D79" w14:paraId="385E9346" w14:textId="77777777" w:rsidTr="007329B9">
        <w:trPr>
          <w:trHeight w:val="255"/>
        </w:trPr>
        <w:tc>
          <w:tcPr>
            <w:tcW w:w="960" w:type="dxa"/>
            <w:shd w:val="clear" w:color="auto" w:fill="auto"/>
            <w:vAlign w:val="center"/>
            <w:hideMark/>
          </w:tcPr>
          <w:p w14:paraId="6417F15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A20.8</w:t>
            </w:r>
          </w:p>
        </w:tc>
        <w:tc>
          <w:tcPr>
            <w:tcW w:w="8560" w:type="dxa"/>
            <w:shd w:val="clear" w:color="auto" w:fill="auto"/>
            <w:noWrap/>
            <w:vAlign w:val="bottom"/>
            <w:hideMark/>
          </w:tcPr>
          <w:p w14:paraId="059175BD"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operations on ventricle of brain</w:t>
            </w:r>
          </w:p>
        </w:tc>
      </w:tr>
      <w:tr w:rsidR="002030E7" w:rsidRPr="00BD2D79" w14:paraId="65BCF821" w14:textId="77777777" w:rsidTr="007329B9">
        <w:trPr>
          <w:trHeight w:val="255"/>
        </w:trPr>
        <w:tc>
          <w:tcPr>
            <w:tcW w:w="960" w:type="dxa"/>
            <w:shd w:val="clear" w:color="auto" w:fill="auto"/>
            <w:vAlign w:val="center"/>
            <w:hideMark/>
          </w:tcPr>
          <w:p w14:paraId="1F44C67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A20.9</w:t>
            </w:r>
          </w:p>
        </w:tc>
        <w:tc>
          <w:tcPr>
            <w:tcW w:w="8560" w:type="dxa"/>
            <w:shd w:val="clear" w:color="auto" w:fill="auto"/>
            <w:noWrap/>
            <w:vAlign w:val="bottom"/>
            <w:hideMark/>
          </w:tcPr>
          <w:p w14:paraId="2C7D80A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other operations on ventricle of brain</w:t>
            </w:r>
          </w:p>
        </w:tc>
      </w:tr>
      <w:tr w:rsidR="002030E7" w:rsidRPr="00BD2D79" w14:paraId="772B43AF" w14:textId="77777777" w:rsidTr="007329B9">
        <w:trPr>
          <w:trHeight w:val="255"/>
        </w:trPr>
        <w:tc>
          <w:tcPr>
            <w:tcW w:w="960" w:type="dxa"/>
            <w:shd w:val="clear" w:color="auto" w:fill="auto"/>
            <w:vAlign w:val="center"/>
            <w:hideMark/>
          </w:tcPr>
          <w:p w14:paraId="1D88010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A22.1</w:t>
            </w:r>
          </w:p>
        </w:tc>
        <w:tc>
          <w:tcPr>
            <w:tcW w:w="8560" w:type="dxa"/>
            <w:shd w:val="clear" w:color="auto" w:fill="auto"/>
            <w:noWrap/>
            <w:vAlign w:val="bottom"/>
            <w:hideMark/>
          </w:tcPr>
          <w:p w14:paraId="059D1B4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Drainage of subarachnoid space of brain</w:t>
            </w:r>
          </w:p>
        </w:tc>
      </w:tr>
      <w:tr w:rsidR="002030E7" w:rsidRPr="00BD2D79" w14:paraId="795B7DC7" w14:textId="77777777" w:rsidTr="007329B9">
        <w:trPr>
          <w:trHeight w:val="255"/>
        </w:trPr>
        <w:tc>
          <w:tcPr>
            <w:tcW w:w="960" w:type="dxa"/>
            <w:shd w:val="clear" w:color="auto" w:fill="auto"/>
            <w:vAlign w:val="center"/>
            <w:hideMark/>
          </w:tcPr>
          <w:p w14:paraId="51D07DD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A22.2</w:t>
            </w:r>
          </w:p>
        </w:tc>
        <w:tc>
          <w:tcPr>
            <w:tcW w:w="8560" w:type="dxa"/>
            <w:shd w:val="clear" w:color="auto" w:fill="auto"/>
            <w:noWrap/>
            <w:vAlign w:val="bottom"/>
            <w:hideMark/>
          </w:tcPr>
          <w:p w14:paraId="4677B4AF"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Puncture of cistern of brain</w:t>
            </w:r>
          </w:p>
        </w:tc>
      </w:tr>
      <w:tr w:rsidR="002030E7" w:rsidRPr="00BD2D79" w14:paraId="26F8E1C7" w14:textId="77777777" w:rsidTr="007329B9">
        <w:trPr>
          <w:trHeight w:val="255"/>
        </w:trPr>
        <w:tc>
          <w:tcPr>
            <w:tcW w:w="960" w:type="dxa"/>
            <w:shd w:val="clear" w:color="auto" w:fill="auto"/>
            <w:vAlign w:val="center"/>
            <w:hideMark/>
          </w:tcPr>
          <w:p w14:paraId="45F5443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A22.3</w:t>
            </w:r>
          </w:p>
        </w:tc>
        <w:tc>
          <w:tcPr>
            <w:tcW w:w="8560" w:type="dxa"/>
            <w:shd w:val="clear" w:color="auto" w:fill="auto"/>
            <w:noWrap/>
            <w:vAlign w:val="bottom"/>
            <w:hideMark/>
          </w:tcPr>
          <w:p w14:paraId="6D45B9E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Isotopic cisternography</w:t>
            </w:r>
          </w:p>
        </w:tc>
      </w:tr>
      <w:tr w:rsidR="002030E7" w:rsidRPr="00BD2D79" w14:paraId="3D5E7618" w14:textId="77777777" w:rsidTr="007329B9">
        <w:trPr>
          <w:trHeight w:val="255"/>
        </w:trPr>
        <w:tc>
          <w:tcPr>
            <w:tcW w:w="960" w:type="dxa"/>
            <w:shd w:val="clear" w:color="auto" w:fill="auto"/>
            <w:vAlign w:val="center"/>
            <w:hideMark/>
          </w:tcPr>
          <w:p w14:paraId="34FA5E7E"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A22.8</w:t>
            </w:r>
          </w:p>
        </w:tc>
        <w:tc>
          <w:tcPr>
            <w:tcW w:w="8560" w:type="dxa"/>
            <w:shd w:val="clear" w:color="auto" w:fill="auto"/>
            <w:noWrap/>
            <w:vAlign w:val="bottom"/>
            <w:hideMark/>
          </w:tcPr>
          <w:p w14:paraId="0407E16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operations on subarachnoid space of brain</w:t>
            </w:r>
          </w:p>
        </w:tc>
      </w:tr>
      <w:tr w:rsidR="002030E7" w:rsidRPr="00BD2D79" w14:paraId="3CC724D8" w14:textId="77777777" w:rsidTr="007329B9">
        <w:trPr>
          <w:trHeight w:val="255"/>
        </w:trPr>
        <w:tc>
          <w:tcPr>
            <w:tcW w:w="960" w:type="dxa"/>
            <w:shd w:val="clear" w:color="auto" w:fill="auto"/>
            <w:vAlign w:val="center"/>
            <w:hideMark/>
          </w:tcPr>
          <w:p w14:paraId="6BE55C7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A25.1</w:t>
            </w:r>
          </w:p>
        </w:tc>
        <w:tc>
          <w:tcPr>
            <w:tcW w:w="8560" w:type="dxa"/>
            <w:shd w:val="clear" w:color="auto" w:fill="auto"/>
            <w:noWrap/>
            <w:vAlign w:val="bottom"/>
            <w:hideMark/>
          </w:tcPr>
          <w:p w14:paraId="59195B0F"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transection of optic nerve (ii)</w:t>
            </w:r>
          </w:p>
        </w:tc>
      </w:tr>
      <w:tr w:rsidR="002030E7" w:rsidRPr="00BD2D79" w14:paraId="32D26BB8" w14:textId="77777777" w:rsidTr="007329B9">
        <w:trPr>
          <w:trHeight w:val="255"/>
        </w:trPr>
        <w:tc>
          <w:tcPr>
            <w:tcW w:w="960" w:type="dxa"/>
            <w:shd w:val="clear" w:color="auto" w:fill="auto"/>
            <w:vAlign w:val="center"/>
            <w:hideMark/>
          </w:tcPr>
          <w:p w14:paraId="3EDD368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A25.2</w:t>
            </w:r>
          </w:p>
        </w:tc>
        <w:tc>
          <w:tcPr>
            <w:tcW w:w="8560" w:type="dxa"/>
            <w:shd w:val="clear" w:color="auto" w:fill="auto"/>
            <w:noWrap/>
            <w:vAlign w:val="bottom"/>
            <w:hideMark/>
          </w:tcPr>
          <w:p w14:paraId="4780CA0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transection of oculomotor nerve (iii)</w:t>
            </w:r>
          </w:p>
        </w:tc>
      </w:tr>
      <w:tr w:rsidR="002030E7" w:rsidRPr="00BD2D79" w14:paraId="34B9905E" w14:textId="77777777" w:rsidTr="007329B9">
        <w:trPr>
          <w:trHeight w:val="255"/>
        </w:trPr>
        <w:tc>
          <w:tcPr>
            <w:tcW w:w="960" w:type="dxa"/>
            <w:shd w:val="clear" w:color="auto" w:fill="auto"/>
            <w:vAlign w:val="center"/>
            <w:hideMark/>
          </w:tcPr>
          <w:p w14:paraId="4D7B462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A25.3</w:t>
            </w:r>
          </w:p>
        </w:tc>
        <w:tc>
          <w:tcPr>
            <w:tcW w:w="8560" w:type="dxa"/>
            <w:shd w:val="clear" w:color="auto" w:fill="auto"/>
            <w:noWrap/>
            <w:vAlign w:val="bottom"/>
            <w:hideMark/>
          </w:tcPr>
          <w:p w14:paraId="0D3E93D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transection of trigeminal nerve (v)</w:t>
            </w:r>
          </w:p>
        </w:tc>
      </w:tr>
      <w:tr w:rsidR="002030E7" w:rsidRPr="00BD2D79" w14:paraId="167832F1" w14:textId="77777777" w:rsidTr="007329B9">
        <w:trPr>
          <w:trHeight w:val="255"/>
        </w:trPr>
        <w:tc>
          <w:tcPr>
            <w:tcW w:w="960" w:type="dxa"/>
            <w:shd w:val="clear" w:color="auto" w:fill="auto"/>
            <w:vAlign w:val="center"/>
            <w:hideMark/>
          </w:tcPr>
          <w:p w14:paraId="4DE43F0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A25.4</w:t>
            </w:r>
          </w:p>
        </w:tc>
        <w:tc>
          <w:tcPr>
            <w:tcW w:w="8560" w:type="dxa"/>
            <w:shd w:val="clear" w:color="auto" w:fill="auto"/>
            <w:noWrap/>
            <w:vAlign w:val="bottom"/>
            <w:hideMark/>
          </w:tcPr>
          <w:p w14:paraId="4852404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transection of facial nerve (vii)</w:t>
            </w:r>
          </w:p>
        </w:tc>
      </w:tr>
      <w:tr w:rsidR="002030E7" w:rsidRPr="00BD2D79" w14:paraId="266D9872" w14:textId="77777777" w:rsidTr="007329B9">
        <w:trPr>
          <w:trHeight w:val="255"/>
        </w:trPr>
        <w:tc>
          <w:tcPr>
            <w:tcW w:w="960" w:type="dxa"/>
            <w:shd w:val="clear" w:color="auto" w:fill="auto"/>
            <w:vAlign w:val="center"/>
            <w:hideMark/>
          </w:tcPr>
          <w:p w14:paraId="1C4710E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A25.5</w:t>
            </w:r>
          </w:p>
        </w:tc>
        <w:tc>
          <w:tcPr>
            <w:tcW w:w="8560" w:type="dxa"/>
            <w:shd w:val="clear" w:color="auto" w:fill="auto"/>
            <w:noWrap/>
            <w:vAlign w:val="bottom"/>
            <w:hideMark/>
          </w:tcPr>
          <w:p w14:paraId="6D60677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transection of acoustic nerve (viii)</w:t>
            </w:r>
          </w:p>
        </w:tc>
      </w:tr>
      <w:tr w:rsidR="002030E7" w:rsidRPr="00BD2D79" w14:paraId="1418390F" w14:textId="77777777" w:rsidTr="007329B9">
        <w:trPr>
          <w:trHeight w:val="255"/>
        </w:trPr>
        <w:tc>
          <w:tcPr>
            <w:tcW w:w="960" w:type="dxa"/>
            <w:shd w:val="clear" w:color="auto" w:fill="auto"/>
            <w:vAlign w:val="center"/>
            <w:hideMark/>
          </w:tcPr>
          <w:p w14:paraId="557E160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A25.6</w:t>
            </w:r>
          </w:p>
        </w:tc>
        <w:tc>
          <w:tcPr>
            <w:tcW w:w="8560" w:type="dxa"/>
            <w:shd w:val="clear" w:color="auto" w:fill="auto"/>
            <w:noWrap/>
            <w:vAlign w:val="bottom"/>
            <w:hideMark/>
          </w:tcPr>
          <w:p w14:paraId="611F980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transection of glossopharyngeal nerve (ix)</w:t>
            </w:r>
          </w:p>
        </w:tc>
      </w:tr>
      <w:tr w:rsidR="002030E7" w:rsidRPr="00BD2D79" w14:paraId="4B47EBB3" w14:textId="77777777" w:rsidTr="007329B9">
        <w:trPr>
          <w:trHeight w:val="255"/>
        </w:trPr>
        <w:tc>
          <w:tcPr>
            <w:tcW w:w="960" w:type="dxa"/>
            <w:shd w:val="clear" w:color="auto" w:fill="auto"/>
            <w:vAlign w:val="center"/>
            <w:hideMark/>
          </w:tcPr>
          <w:p w14:paraId="0051B93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A25.7</w:t>
            </w:r>
          </w:p>
        </w:tc>
        <w:tc>
          <w:tcPr>
            <w:tcW w:w="8560" w:type="dxa"/>
            <w:shd w:val="clear" w:color="auto" w:fill="auto"/>
            <w:noWrap/>
            <w:vAlign w:val="bottom"/>
            <w:hideMark/>
          </w:tcPr>
          <w:p w14:paraId="5A3C02E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transection of vagus nerve (x)</w:t>
            </w:r>
          </w:p>
        </w:tc>
      </w:tr>
      <w:tr w:rsidR="002030E7" w:rsidRPr="00BD2D79" w14:paraId="797241CF" w14:textId="77777777" w:rsidTr="007329B9">
        <w:trPr>
          <w:trHeight w:val="255"/>
        </w:trPr>
        <w:tc>
          <w:tcPr>
            <w:tcW w:w="960" w:type="dxa"/>
            <w:shd w:val="clear" w:color="auto" w:fill="auto"/>
            <w:vAlign w:val="center"/>
            <w:hideMark/>
          </w:tcPr>
          <w:p w14:paraId="212A187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A25.8</w:t>
            </w:r>
          </w:p>
        </w:tc>
        <w:tc>
          <w:tcPr>
            <w:tcW w:w="8560" w:type="dxa"/>
            <w:shd w:val="clear" w:color="auto" w:fill="auto"/>
            <w:noWrap/>
            <w:vAlign w:val="bottom"/>
            <w:hideMark/>
          </w:tcPr>
          <w:p w14:paraId="66F8FF9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transection of specified cranial nerve NEC</w:t>
            </w:r>
          </w:p>
        </w:tc>
      </w:tr>
      <w:tr w:rsidR="002030E7" w:rsidRPr="00BD2D79" w14:paraId="63FFE1CF" w14:textId="77777777" w:rsidTr="007329B9">
        <w:trPr>
          <w:trHeight w:val="255"/>
        </w:trPr>
        <w:tc>
          <w:tcPr>
            <w:tcW w:w="960" w:type="dxa"/>
            <w:shd w:val="clear" w:color="auto" w:fill="auto"/>
            <w:vAlign w:val="center"/>
            <w:hideMark/>
          </w:tcPr>
          <w:p w14:paraId="2F53890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A26.1</w:t>
            </w:r>
          </w:p>
        </w:tc>
        <w:tc>
          <w:tcPr>
            <w:tcW w:w="8560" w:type="dxa"/>
            <w:shd w:val="clear" w:color="auto" w:fill="auto"/>
            <w:noWrap/>
            <w:vAlign w:val="bottom"/>
            <w:hideMark/>
          </w:tcPr>
          <w:p w14:paraId="32BBA6EF"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destruction of optic nerve (ii)</w:t>
            </w:r>
          </w:p>
        </w:tc>
      </w:tr>
      <w:tr w:rsidR="002030E7" w:rsidRPr="00BD2D79" w14:paraId="42A45914" w14:textId="77777777" w:rsidTr="007329B9">
        <w:trPr>
          <w:trHeight w:val="255"/>
        </w:trPr>
        <w:tc>
          <w:tcPr>
            <w:tcW w:w="960" w:type="dxa"/>
            <w:shd w:val="clear" w:color="auto" w:fill="auto"/>
            <w:vAlign w:val="center"/>
            <w:hideMark/>
          </w:tcPr>
          <w:p w14:paraId="6A86AAD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A26.2</w:t>
            </w:r>
          </w:p>
        </w:tc>
        <w:tc>
          <w:tcPr>
            <w:tcW w:w="8560" w:type="dxa"/>
            <w:shd w:val="clear" w:color="auto" w:fill="auto"/>
            <w:noWrap/>
            <w:vAlign w:val="bottom"/>
            <w:hideMark/>
          </w:tcPr>
          <w:p w14:paraId="4B5623B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destruction of oculomotor nerve (iii)</w:t>
            </w:r>
          </w:p>
        </w:tc>
      </w:tr>
      <w:tr w:rsidR="002030E7" w:rsidRPr="00BD2D79" w14:paraId="6E7581BC" w14:textId="77777777" w:rsidTr="007329B9">
        <w:trPr>
          <w:trHeight w:val="255"/>
        </w:trPr>
        <w:tc>
          <w:tcPr>
            <w:tcW w:w="960" w:type="dxa"/>
            <w:shd w:val="clear" w:color="auto" w:fill="auto"/>
            <w:vAlign w:val="center"/>
            <w:hideMark/>
          </w:tcPr>
          <w:p w14:paraId="35FA1FF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A26.3</w:t>
            </w:r>
          </w:p>
        </w:tc>
        <w:tc>
          <w:tcPr>
            <w:tcW w:w="8560" w:type="dxa"/>
            <w:shd w:val="clear" w:color="auto" w:fill="auto"/>
            <w:noWrap/>
            <w:vAlign w:val="bottom"/>
            <w:hideMark/>
          </w:tcPr>
          <w:p w14:paraId="57A84BE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destruction of trigeminal nerve (v)</w:t>
            </w:r>
          </w:p>
        </w:tc>
      </w:tr>
      <w:tr w:rsidR="002030E7" w:rsidRPr="00BD2D79" w14:paraId="4DB1F28E" w14:textId="77777777" w:rsidTr="007329B9">
        <w:trPr>
          <w:trHeight w:val="255"/>
        </w:trPr>
        <w:tc>
          <w:tcPr>
            <w:tcW w:w="960" w:type="dxa"/>
            <w:shd w:val="clear" w:color="auto" w:fill="auto"/>
            <w:vAlign w:val="center"/>
            <w:hideMark/>
          </w:tcPr>
          <w:p w14:paraId="2CFF03CE"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A26.4</w:t>
            </w:r>
          </w:p>
        </w:tc>
        <w:tc>
          <w:tcPr>
            <w:tcW w:w="8560" w:type="dxa"/>
            <w:shd w:val="clear" w:color="auto" w:fill="auto"/>
            <w:noWrap/>
            <w:vAlign w:val="bottom"/>
            <w:hideMark/>
          </w:tcPr>
          <w:p w14:paraId="4E41CF1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destruction of facial nerve (vii)</w:t>
            </w:r>
          </w:p>
        </w:tc>
      </w:tr>
      <w:tr w:rsidR="002030E7" w:rsidRPr="00BD2D79" w14:paraId="4DB6BAFC" w14:textId="77777777" w:rsidTr="007329B9">
        <w:trPr>
          <w:trHeight w:val="255"/>
        </w:trPr>
        <w:tc>
          <w:tcPr>
            <w:tcW w:w="960" w:type="dxa"/>
            <w:shd w:val="clear" w:color="auto" w:fill="auto"/>
            <w:vAlign w:val="center"/>
            <w:hideMark/>
          </w:tcPr>
          <w:p w14:paraId="3EB3059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A26.6</w:t>
            </w:r>
          </w:p>
        </w:tc>
        <w:tc>
          <w:tcPr>
            <w:tcW w:w="8560" w:type="dxa"/>
            <w:shd w:val="clear" w:color="auto" w:fill="auto"/>
            <w:noWrap/>
            <w:vAlign w:val="bottom"/>
            <w:hideMark/>
          </w:tcPr>
          <w:p w14:paraId="74E9F05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destruction of glossopharyngeal nerve (ix)</w:t>
            </w:r>
          </w:p>
        </w:tc>
      </w:tr>
      <w:tr w:rsidR="002030E7" w:rsidRPr="00BD2D79" w14:paraId="35B59C1B" w14:textId="77777777" w:rsidTr="007329B9">
        <w:trPr>
          <w:trHeight w:val="255"/>
        </w:trPr>
        <w:tc>
          <w:tcPr>
            <w:tcW w:w="960" w:type="dxa"/>
            <w:shd w:val="clear" w:color="auto" w:fill="auto"/>
            <w:vAlign w:val="center"/>
            <w:hideMark/>
          </w:tcPr>
          <w:p w14:paraId="76302CF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A26.8</w:t>
            </w:r>
          </w:p>
        </w:tc>
        <w:tc>
          <w:tcPr>
            <w:tcW w:w="8560" w:type="dxa"/>
            <w:shd w:val="clear" w:color="auto" w:fill="auto"/>
            <w:noWrap/>
            <w:vAlign w:val="bottom"/>
            <w:hideMark/>
          </w:tcPr>
          <w:p w14:paraId="313ABEC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destruction of specified cranial nerve NEC</w:t>
            </w:r>
          </w:p>
        </w:tc>
      </w:tr>
      <w:tr w:rsidR="002030E7" w:rsidRPr="00BD2D79" w14:paraId="76462AA6" w14:textId="77777777" w:rsidTr="007329B9">
        <w:trPr>
          <w:trHeight w:val="255"/>
        </w:trPr>
        <w:tc>
          <w:tcPr>
            <w:tcW w:w="960" w:type="dxa"/>
            <w:shd w:val="clear" w:color="auto" w:fill="auto"/>
            <w:vAlign w:val="center"/>
            <w:hideMark/>
          </w:tcPr>
          <w:p w14:paraId="13327A0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A26.9</w:t>
            </w:r>
          </w:p>
        </w:tc>
        <w:tc>
          <w:tcPr>
            <w:tcW w:w="8560" w:type="dxa"/>
            <w:shd w:val="clear" w:color="auto" w:fill="auto"/>
            <w:noWrap/>
            <w:vAlign w:val="bottom"/>
            <w:hideMark/>
          </w:tcPr>
          <w:p w14:paraId="1280E7B8"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other intracranial destruction of cranial nerve</w:t>
            </w:r>
          </w:p>
        </w:tc>
      </w:tr>
      <w:tr w:rsidR="002030E7" w:rsidRPr="00BD2D79" w14:paraId="5525401A" w14:textId="77777777" w:rsidTr="007329B9">
        <w:trPr>
          <w:trHeight w:val="255"/>
        </w:trPr>
        <w:tc>
          <w:tcPr>
            <w:tcW w:w="960" w:type="dxa"/>
            <w:shd w:val="clear" w:color="auto" w:fill="auto"/>
            <w:vAlign w:val="center"/>
            <w:hideMark/>
          </w:tcPr>
          <w:p w14:paraId="7CDF13F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A29.1</w:t>
            </w:r>
          </w:p>
        </w:tc>
        <w:tc>
          <w:tcPr>
            <w:tcW w:w="8560" w:type="dxa"/>
            <w:shd w:val="clear" w:color="auto" w:fill="auto"/>
            <w:noWrap/>
            <w:vAlign w:val="bottom"/>
            <w:hideMark/>
          </w:tcPr>
          <w:p w14:paraId="150E001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lesion of optic nerve (ii)</w:t>
            </w:r>
          </w:p>
        </w:tc>
      </w:tr>
      <w:tr w:rsidR="002030E7" w:rsidRPr="00BD2D79" w14:paraId="7810D313" w14:textId="77777777" w:rsidTr="007329B9">
        <w:trPr>
          <w:trHeight w:val="255"/>
        </w:trPr>
        <w:tc>
          <w:tcPr>
            <w:tcW w:w="960" w:type="dxa"/>
            <w:shd w:val="clear" w:color="auto" w:fill="auto"/>
            <w:vAlign w:val="center"/>
            <w:hideMark/>
          </w:tcPr>
          <w:p w14:paraId="1118FA9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A29.8</w:t>
            </w:r>
          </w:p>
        </w:tc>
        <w:tc>
          <w:tcPr>
            <w:tcW w:w="8560" w:type="dxa"/>
            <w:shd w:val="clear" w:color="auto" w:fill="auto"/>
            <w:noWrap/>
            <w:vAlign w:val="bottom"/>
            <w:hideMark/>
          </w:tcPr>
          <w:p w14:paraId="06514D58"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lesion of specified cranial nerve NEC</w:t>
            </w:r>
          </w:p>
        </w:tc>
      </w:tr>
      <w:tr w:rsidR="002030E7" w:rsidRPr="00BD2D79" w14:paraId="4870505A" w14:textId="77777777" w:rsidTr="007329B9">
        <w:trPr>
          <w:trHeight w:val="255"/>
        </w:trPr>
        <w:tc>
          <w:tcPr>
            <w:tcW w:w="960" w:type="dxa"/>
            <w:shd w:val="clear" w:color="auto" w:fill="auto"/>
            <w:vAlign w:val="center"/>
            <w:hideMark/>
          </w:tcPr>
          <w:p w14:paraId="387E834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A29.9</w:t>
            </w:r>
          </w:p>
        </w:tc>
        <w:tc>
          <w:tcPr>
            <w:tcW w:w="8560" w:type="dxa"/>
            <w:shd w:val="clear" w:color="auto" w:fill="auto"/>
            <w:noWrap/>
            <w:vAlign w:val="bottom"/>
            <w:hideMark/>
          </w:tcPr>
          <w:p w14:paraId="687E181F"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excision of lesion of cranial nerve</w:t>
            </w:r>
          </w:p>
        </w:tc>
      </w:tr>
      <w:tr w:rsidR="002030E7" w:rsidRPr="00BD2D79" w14:paraId="654E3370" w14:textId="77777777" w:rsidTr="007329B9">
        <w:trPr>
          <w:trHeight w:val="255"/>
        </w:trPr>
        <w:tc>
          <w:tcPr>
            <w:tcW w:w="960" w:type="dxa"/>
            <w:shd w:val="clear" w:color="auto" w:fill="auto"/>
            <w:vAlign w:val="center"/>
            <w:hideMark/>
          </w:tcPr>
          <w:p w14:paraId="17C7668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A31.3</w:t>
            </w:r>
          </w:p>
        </w:tc>
        <w:tc>
          <w:tcPr>
            <w:tcW w:w="8560" w:type="dxa"/>
            <w:shd w:val="clear" w:color="auto" w:fill="auto"/>
            <w:noWrap/>
            <w:vAlign w:val="bottom"/>
            <w:hideMark/>
          </w:tcPr>
          <w:p w14:paraId="57B5677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stereotactic neurolysis of trigeminal nerve (v)</w:t>
            </w:r>
          </w:p>
        </w:tc>
      </w:tr>
      <w:tr w:rsidR="002030E7" w:rsidRPr="00BD2D79" w14:paraId="4A607DD6" w14:textId="77777777" w:rsidTr="007329B9">
        <w:trPr>
          <w:trHeight w:val="255"/>
        </w:trPr>
        <w:tc>
          <w:tcPr>
            <w:tcW w:w="960" w:type="dxa"/>
            <w:shd w:val="clear" w:color="auto" w:fill="auto"/>
            <w:vAlign w:val="center"/>
            <w:hideMark/>
          </w:tcPr>
          <w:p w14:paraId="0418444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A31.5</w:t>
            </w:r>
          </w:p>
        </w:tc>
        <w:tc>
          <w:tcPr>
            <w:tcW w:w="8560" w:type="dxa"/>
            <w:shd w:val="clear" w:color="auto" w:fill="auto"/>
            <w:noWrap/>
            <w:vAlign w:val="bottom"/>
            <w:hideMark/>
          </w:tcPr>
          <w:p w14:paraId="3200238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stereotactic neurolysis of acoustic nerve (viii)</w:t>
            </w:r>
          </w:p>
        </w:tc>
      </w:tr>
      <w:tr w:rsidR="002030E7" w:rsidRPr="00BD2D79" w14:paraId="5D96D895" w14:textId="77777777" w:rsidTr="007329B9">
        <w:trPr>
          <w:trHeight w:val="255"/>
        </w:trPr>
        <w:tc>
          <w:tcPr>
            <w:tcW w:w="960" w:type="dxa"/>
            <w:shd w:val="clear" w:color="auto" w:fill="auto"/>
            <w:vAlign w:val="center"/>
            <w:hideMark/>
          </w:tcPr>
          <w:p w14:paraId="72C85B9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A31.8</w:t>
            </w:r>
          </w:p>
        </w:tc>
        <w:tc>
          <w:tcPr>
            <w:tcW w:w="8560" w:type="dxa"/>
            <w:shd w:val="clear" w:color="auto" w:fill="auto"/>
            <w:noWrap/>
            <w:vAlign w:val="bottom"/>
            <w:hideMark/>
          </w:tcPr>
          <w:p w14:paraId="0B6FDDA6"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Intracranial stereotactic neurolysis of specified cranial nerve NEC</w:t>
            </w:r>
          </w:p>
        </w:tc>
      </w:tr>
      <w:tr w:rsidR="002030E7" w:rsidRPr="00BD2D79" w14:paraId="26C2403A" w14:textId="77777777" w:rsidTr="007329B9">
        <w:trPr>
          <w:trHeight w:val="255"/>
        </w:trPr>
        <w:tc>
          <w:tcPr>
            <w:tcW w:w="960" w:type="dxa"/>
            <w:shd w:val="clear" w:color="auto" w:fill="auto"/>
            <w:vAlign w:val="center"/>
            <w:hideMark/>
          </w:tcPr>
          <w:p w14:paraId="7EFFBD9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A32.1</w:t>
            </w:r>
          </w:p>
        </w:tc>
        <w:tc>
          <w:tcPr>
            <w:tcW w:w="8560" w:type="dxa"/>
            <w:shd w:val="clear" w:color="auto" w:fill="auto"/>
            <w:noWrap/>
            <w:vAlign w:val="bottom"/>
            <w:hideMark/>
          </w:tcPr>
          <w:p w14:paraId="3418640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Decompression of optic nerve (ii)</w:t>
            </w:r>
          </w:p>
        </w:tc>
      </w:tr>
      <w:tr w:rsidR="002030E7" w:rsidRPr="00BD2D79" w14:paraId="0D9B5F55" w14:textId="77777777" w:rsidTr="007329B9">
        <w:trPr>
          <w:trHeight w:val="255"/>
        </w:trPr>
        <w:tc>
          <w:tcPr>
            <w:tcW w:w="960" w:type="dxa"/>
            <w:shd w:val="clear" w:color="auto" w:fill="auto"/>
            <w:vAlign w:val="center"/>
            <w:hideMark/>
          </w:tcPr>
          <w:p w14:paraId="0526C93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A33.1</w:t>
            </w:r>
          </w:p>
        </w:tc>
        <w:tc>
          <w:tcPr>
            <w:tcW w:w="8560" w:type="dxa"/>
            <w:shd w:val="clear" w:color="auto" w:fill="auto"/>
            <w:noWrap/>
            <w:vAlign w:val="bottom"/>
            <w:hideMark/>
          </w:tcPr>
          <w:p w14:paraId="3C01014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Introduction of neurostimulator into cranial nerve</w:t>
            </w:r>
          </w:p>
        </w:tc>
      </w:tr>
      <w:tr w:rsidR="002030E7" w:rsidRPr="00BD2D79" w14:paraId="3176E7DD" w14:textId="77777777" w:rsidTr="007329B9">
        <w:trPr>
          <w:trHeight w:val="255"/>
        </w:trPr>
        <w:tc>
          <w:tcPr>
            <w:tcW w:w="960" w:type="dxa"/>
            <w:shd w:val="clear" w:color="auto" w:fill="auto"/>
            <w:vAlign w:val="center"/>
            <w:hideMark/>
          </w:tcPr>
          <w:p w14:paraId="1CA5057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A33.2</w:t>
            </w:r>
          </w:p>
        </w:tc>
        <w:tc>
          <w:tcPr>
            <w:tcW w:w="8560" w:type="dxa"/>
            <w:shd w:val="clear" w:color="auto" w:fill="auto"/>
            <w:noWrap/>
            <w:vAlign w:val="bottom"/>
            <w:hideMark/>
          </w:tcPr>
          <w:p w14:paraId="01D05C70"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Maintenance of neurostimulator in cranial nerve</w:t>
            </w:r>
          </w:p>
        </w:tc>
      </w:tr>
      <w:tr w:rsidR="002030E7" w:rsidRPr="00BD2D79" w14:paraId="7BBFCBE7" w14:textId="77777777" w:rsidTr="007329B9">
        <w:trPr>
          <w:trHeight w:val="255"/>
        </w:trPr>
        <w:tc>
          <w:tcPr>
            <w:tcW w:w="960" w:type="dxa"/>
            <w:shd w:val="clear" w:color="auto" w:fill="auto"/>
            <w:vAlign w:val="center"/>
            <w:hideMark/>
          </w:tcPr>
          <w:p w14:paraId="39A9E57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A33.3</w:t>
            </w:r>
          </w:p>
        </w:tc>
        <w:tc>
          <w:tcPr>
            <w:tcW w:w="8560" w:type="dxa"/>
            <w:shd w:val="clear" w:color="auto" w:fill="auto"/>
            <w:noWrap/>
            <w:vAlign w:val="bottom"/>
            <w:hideMark/>
          </w:tcPr>
          <w:p w14:paraId="45D4474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Removal of neurostimulator from cranial nerve</w:t>
            </w:r>
          </w:p>
        </w:tc>
      </w:tr>
      <w:tr w:rsidR="002030E7" w:rsidRPr="00BD2D79" w14:paraId="39731A03" w14:textId="77777777" w:rsidTr="007329B9">
        <w:trPr>
          <w:trHeight w:val="255"/>
        </w:trPr>
        <w:tc>
          <w:tcPr>
            <w:tcW w:w="960" w:type="dxa"/>
            <w:shd w:val="clear" w:color="auto" w:fill="auto"/>
            <w:vAlign w:val="center"/>
            <w:hideMark/>
          </w:tcPr>
          <w:p w14:paraId="07FE5DF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A33.4</w:t>
            </w:r>
          </w:p>
        </w:tc>
        <w:tc>
          <w:tcPr>
            <w:tcW w:w="8560" w:type="dxa"/>
            <w:shd w:val="clear" w:color="auto" w:fill="auto"/>
            <w:noWrap/>
            <w:vAlign w:val="bottom"/>
            <w:hideMark/>
          </w:tcPr>
          <w:p w14:paraId="4466DE8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Insertion of neurostimulator electrodes into the cranial nerve</w:t>
            </w:r>
          </w:p>
        </w:tc>
      </w:tr>
      <w:tr w:rsidR="002030E7" w:rsidRPr="00BD2D79" w14:paraId="56B1CEAC" w14:textId="77777777" w:rsidTr="007329B9">
        <w:trPr>
          <w:trHeight w:val="255"/>
        </w:trPr>
        <w:tc>
          <w:tcPr>
            <w:tcW w:w="960" w:type="dxa"/>
            <w:shd w:val="clear" w:color="auto" w:fill="auto"/>
            <w:vAlign w:val="center"/>
            <w:hideMark/>
          </w:tcPr>
          <w:p w14:paraId="0FB9B77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A33.8</w:t>
            </w:r>
          </w:p>
        </w:tc>
        <w:tc>
          <w:tcPr>
            <w:tcW w:w="8560" w:type="dxa"/>
            <w:shd w:val="clear" w:color="auto" w:fill="auto"/>
            <w:noWrap/>
            <w:vAlign w:val="bottom"/>
            <w:hideMark/>
          </w:tcPr>
          <w:p w14:paraId="62BF0F10"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neurostimulation of cranial nerve</w:t>
            </w:r>
          </w:p>
        </w:tc>
      </w:tr>
      <w:tr w:rsidR="002030E7" w:rsidRPr="00BD2D79" w14:paraId="405A5CC6" w14:textId="77777777" w:rsidTr="007329B9">
        <w:trPr>
          <w:trHeight w:val="255"/>
        </w:trPr>
        <w:tc>
          <w:tcPr>
            <w:tcW w:w="960" w:type="dxa"/>
            <w:shd w:val="clear" w:color="auto" w:fill="auto"/>
            <w:vAlign w:val="center"/>
            <w:hideMark/>
          </w:tcPr>
          <w:p w14:paraId="7E5291F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A33.9</w:t>
            </w:r>
          </w:p>
        </w:tc>
        <w:tc>
          <w:tcPr>
            <w:tcW w:w="8560" w:type="dxa"/>
            <w:shd w:val="clear" w:color="auto" w:fill="auto"/>
            <w:noWrap/>
            <w:vAlign w:val="bottom"/>
            <w:hideMark/>
          </w:tcPr>
          <w:p w14:paraId="40B6D01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neurostimulation of cranial nerve</w:t>
            </w:r>
          </w:p>
        </w:tc>
      </w:tr>
      <w:tr w:rsidR="002030E7" w:rsidRPr="00BD2D79" w14:paraId="3CB53486" w14:textId="77777777" w:rsidTr="007329B9">
        <w:trPr>
          <w:trHeight w:val="255"/>
        </w:trPr>
        <w:tc>
          <w:tcPr>
            <w:tcW w:w="960" w:type="dxa"/>
            <w:shd w:val="clear" w:color="auto" w:fill="auto"/>
            <w:vAlign w:val="center"/>
            <w:hideMark/>
          </w:tcPr>
          <w:p w14:paraId="65A5DDE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A34.1</w:t>
            </w:r>
          </w:p>
        </w:tc>
        <w:tc>
          <w:tcPr>
            <w:tcW w:w="8560" w:type="dxa"/>
            <w:shd w:val="clear" w:color="auto" w:fill="auto"/>
            <w:noWrap/>
            <w:vAlign w:val="bottom"/>
            <w:hideMark/>
          </w:tcPr>
          <w:p w14:paraId="273F268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Exploration of optic nerve (ii)</w:t>
            </w:r>
          </w:p>
        </w:tc>
      </w:tr>
      <w:tr w:rsidR="002030E7" w:rsidRPr="00BD2D79" w14:paraId="3C94322D" w14:textId="77777777" w:rsidTr="007329B9">
        <w:trPr>
          <w:trHeight w:val="255"/>
        </w:trPr>
        <w:tc>
          <w:tcPr>
            <w:tcW w:w="960" w:type="dxa"/>
            <w:shd w:val="clear" w:color="auto" w:fill="auto"/>
            <w:vAlign w:val="center"/>
            <w:hideMark/>
          </w:tcPr>
          <w:p w14:paraId="0EACD6B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A34.3</w:t>
            </w:r>
          </w:p>
        </w:tc>
        <w:tc>
          <w:tcPr>
            <w:tcW w:w="8560" w:type="dxa"/>
            <w:shd w:val="clear" w:color="auto" w:fill="auto"/>
            <w:noWrap/>
            <w:vAlign w:val="bottom"/>
            <w:hideMark/>
          </w:tcPr>
          <w:p w14:paraId="17B602C0"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Exploration of trigeminal nerve (v)</w:t>
            </w:r>
          </w:p>
        </w:tc>
      </w:tr>
      <w:tr w:rsidR="002030E7" w:rsidRPr="00BD2D79" w14:paraId="0FB928E6" w14:textId="77777777" w:rsidTr="007329B9">
        <w:trPr>
          <w:trHeight w:val="255"/>
        </w:trPr>
        <w:tc>
          <w:tcPr>
            <w:tcW w:w="960" w:type="dxa"/>
            <w:shd w:val="clear" w:color="auto" w:fill="auto"/>
            <w:vAlign w:val="center"/>
            <w:hideMark/>
          </w:tcPr>
          <w:p w14:paraId="1C55CB8E"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A34.4</w:t>
            </w:r>
          </w:p>
        </w:tc>
        <w:tc>
          <w:tcPr>
            <w:tcW w:w="8560" w:type="dxa"/>
            <w:shd w:val="clear" w:color="auto" w:fill="auto"/>
            <w:noWrap/>
            <w:vAlign w:val="bottom"/>
            <w:hideMark/>
          </w:tcPr>
          <w:p w14:paraId="226ECCF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Exploration of facial nerve (vii)</w:t>
            </w:r>
          </w:p>
        </w:tc>
      </w:tr>
      <w:tr w:rsidR="002030E7" w:rsidRPr="00BD2D79" w14:paraId="19EAA6C0" w14:textId="77777777" w:rsidTr="007329B9">
        <w:trPr>
          <w:trHeight w:val="255"/>
        </w:trPr>
        <w:tc>
          <w:tcPr>
            <w:tcW w:w="960" w:type="dxa"/>
            <w:shd w:val="clear" w:color="auto" w:fill="auto"/>
            <w:vAlign w:val="center"/>
            <w:hideMark/>
          </w:tcPr>
          <w:p w14:paraId="4D62AFE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A34.5</w:t>
            </w:r>
          </w:p>
        </w:tc>
        <w:tc>
          <w:tcPr>
            <w:tcW w:w="8560" w:type="dxa"/>
            <w:shd w:val="clear" w:color="auto" w:fill="auto"/>
            <w:noWrap/>
            <w:vAlign w:val="bottom"/>
            <w:hideMark/>
          </w:tcPr>
          <w:p w14:paraId="5E02510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Exploration of acoustic nerve (viii)</w:t>
            </w:r>
          </w:p>
        </w:tc>
      </w:tr>
      <w:tr w:rsidR="002030E7" w:rsidRPr="00BD2D79" w14:paraId="53DE9957" w14:textId="77777777" w:rsidTr="007329B9">
        <w:trPr>
          <w:trHeight w:val="255"/>
        </w:trPr>
        <w:tc>
          <w:tcPr>
            <w:tcW w:w="960" w:type="dxa"/>
            <w:shd w:val="clear" w:color="auto" w:fill="auto"/>
            <w:vAlign w:val="center"/>
            <w:hideMark/>
          </w:tcPr>
          <w:p w14:paraId="5A0BD23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A34.7</w:t>
            </w:r>
          </w:p>
        </w:tc>
        <w:tc>
          <w:tcPr>
            <w:tcW w:w="8560" w:type="dxa"/>
            <w:shd w:val="clear" w:color="auto" w:fill="auto"/>
            <w:noWrap/>
            <w:vAlign w:val="bottom"/>
            <w:hideMark/>
          </w:tcPr>
          <w:p w14:paraId="128D5AB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Exploration of vagus nerve (x)</w:t>
            </w:r>
          </w:p>
        </w:tc>
      </w:tr>
      <w:tr w:rsidR="002030E7" w:rsidRPr="00BD2D79" w14:paraId="16B668F3" w14:textId="77777777" w:rsidTr="007329B9">
        <w:trPr>
          <w:trHeight w:val="255"/>
        </w:trPr>
        <w:tc>
          <w:tcPr>
            <w:tcW w:w="960" w:type="dxa"/>
            <w:shd w:val="clear" w:color="auto" w:fill="auto"/>
            <w:vAlign w:val="center"/>
            <w:hideMark/>
          </w:tcPr>
          <w:p w14:paraId="1DAD7D8B"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A34.8</w:t>
            </w:r>
          </w:p>
        </w:tc>
        <w:tc>
          <w:tcPr>
            <w:tcW w:w="8560" w:type="dxa"/>
            <w:shd w:val="clear" w:color="auto" w:fill="auto"/>
            <w:noWrap/>
            <w:vAlign w:val="bottom"/>
            <w:hideMark/>
          </w:tcPr>
          <w:p w14:paraId="23B5F64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Exploration of specified cranial nerve NEC</w:t>
            </w:r>
          </w:p>
        </w:tc>
      </w:tr>
      <w:tr w:rsidR="002030E7" w:rsidRPr="00BD2D79" w14:paraId="460DF442" w14:textId="77777777" w:rsidTr="007329B9">
        <w:trPr>
          <w:trHeight w:val="255"/>
        </w:trPr>
        <w:tc>
          <w:tcPr>
            <w:tcW w:w="960" w:type="dxa"/>
            <w:shd w:val="clear" w:color="auto" w:fill="auto"/>
            <w:vAlign w:val="center"/>
            <w:hideMark/>
          </w:tcPr>
          <w:p w14:paraId="6EE4F39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A34.9</w:t>
            </w:r>
          </w:p>
        </w:tc>
        <w:tc>
          <w:tcPr>
            <w:tcW w:w="8560" w:type="dxa"/>
            <w:shd w:val="clear" w:color="auto" w:fill="auto"/>
            <w:noWrap/>
            <w:vAlign w:val="bottom"/>
            <w:hideMark/>
          </w:tcPr>
          <w:p w14:paraId="6062B6D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exploration of cranial nerve</w:t>
            </w:r>
          </w:p>
        </w:tc>
      </w:tr>
      <w:tr w:rsidR="002030E7" w:rsidRPr="00BD2D79" w14:paraId="1F5F0E94" w14:textId="77777777" w:rsidTr="007329B9">
        <w:trPr>
          <w:trHeight w:val="255"/>
        </w:trPr>
        <w:tc>
          <w:tcPr>
            <w:tcW w:w="960" w:type="dxa"/>
            <w:shd w:val="clear" w:color="auto" w:fill="auto"/>
            <w:vAlign w:val="center"/>
            <w:hideMark/>
          </w:tcPr>
          <w:p w14:paraId="206055C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A36.8</w:t>
            </w:r>
          </w:p>
        </w:tc>
        <w:tc>
          <w:tcPr>
            <w:tcW w:w="8560" w:type="dxa"/>
            <w:shd w:val="clear" w:color="auto" w:fill="auto"/>
            <w:noWrap/>
            <w:vAlign w:val="bottom"/>
            <w:hideMark/>
          </w:tcPr>
          <w:p w14:paraId="2AC6956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operations on cranial nerve</w:t>
            </w:r>
          </w:p>
        </w:tc>
      </w:tr>
      <w:tr w:rsidR="002030E7" w:rsidRPr="00BD2D79" w14:paraId="2329EB8F" w14:textId="77777777" w:rsidTr="007329B9">
        <w:trPr>
          <w:trHeight w:val="255"/>
        </w:trPr>
        <w:tc>
          <w:tcPr>
            <w:tcW w:w="960" w:type="dxa"/>
            <w:shd w:val="clear" w:color="auto" w:fill="auto"/>
            <w:vAlign w:val="center"/>
            <w:hideMark/>
          </w:tcPr>
          <w:p w14:paraId="1CBEFC0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A38.1</w:t>
            </w:r>
          </w:p>
        </w:tc>
        <w:tc>
          <w:tcPr>
            <w:tcW w:w="8560" w:type="dxa"/>
            <w:shd w:val="clear" w:color="auto" w:fill="auto"/>
            <w:noWrap/>
            <w:vAlign w:val="bottom"/>
            <w:hideMark/>
          </w:tcPr>
          <w:p w14:paraId="65D7CEE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Extirpation of lesion of meninges of cortex of brain</w:t>
            </w:r>
          </w:p>
        </w:tc>
      </w:tr>
      <w:tr w:rsidR="002030E7" w:rsidRPr="00BD2D79" w14:paraId="1B6D1B6B" w14:textId="77777777" w:rsidTr="007329B9">
        <w:trPr>
          <w:trHeight w:val="255"/>
        </w:trPr>
        <w:tc>
          <w:tcPr>
            <w:tcW w:w="960" w:type="dxa"/>
            <w:shd w:val="clear" w:color="auto" w:fill="auto"/>
            <w:vAlign w:val="center"/>
            <w:hideMark/>
          </w:tcPr>
          <w:p w14:paraId="1A3E8CC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A38.2</w:t>
            </w:r>
          </w:p>
        </w:tc>
        <w:tc>
          <w:tcPr>
            <w:tcW w:w="8560" w:type="dxa"/>
            <w:shd w:val="clear" w:color="auto" w:fill="auto"/>
            <w:noWrap/>
            <w:vAlign w:val="bottom"/>
            <w:hideMark/>
          </w:tcPr>
          <w:p w14:paraId="6CABF1E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Extirpation of lesion of meninges of sphenoidal ridge of cranium</w:t>
            </w:r>
          </w:p>
        </w:tc>
      </w:tr>
      <w:tr w:rsidR="002030E7" w:rsidRPr="00BD2D79" w14:paraId="3088057B" w14:textId="77777777" w:rsidTr="007329B9">
        <w:trPr>
          <w:trHeight w:val="255"/>
        </w:trPr>
        <w:tc>
          <w:tcPr>
            <w:tcW w:w="960" w:type="dxa"/>
            <w:shd w:val="clear" w:color="auto" w:fill="auto"/>
            <w:vAlign w:val="center"/>
            <w:hideMark/>
          </w:tcPr>
          <w:p w14:paraId="43C1973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A38.3</w:t>
            </w:r>
          </w:p>
        </w:tc>
        <w:tc>
          <w:tcPr>
            <w:tcW w:w="8560" w:type="dxa"/>
            <w:shd w:val="clear" w:color="auto" w:fill="auto"/>
            <w:noWrap/>
            <w:vAlign w:val="bottom"/>
            <w:hideMark/>
          </w:tcPr>
          <w:p w14:paraId="74D1D29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Extirpation of lesion of meninges of subfrontal region of brain</w:t>
            </w:r>
          </w:p>
        </w:tc>
      </w:tr>
      <w:tr w:rsidR="002030E7" w:rsidRPr="00BD2D79" w14:paraId="26C10782" w14:textId="77777777" w:rsidTr="007329B9">
        <w:trPr>
          <w:trHeight w:val="255"/>
        </w:trPr>
        <w:tc>
          <w:tcPr>
            <w:tcW w:w="960" w:type="dxa"/>
            <w:shd w:val="clear" w:color="auto" w:fill="auto"/>
            <w:vAlign w:val="center"/>
            <w:hideMark/>
          </w:tcPr>
          <w:p w14:paraId="6D46FC7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A38.4</w:t>
            </w:r>
          </w:p>
        </w:tc>
        <w:tc>
          <w:tcPr>
            <w:tcW w:w="8560" w:type="dxa"/>
            <w:shd w:val="clear" w:color="auto" w:fill="auto"/>
            <w:noWrap/>
            <w:vAlign w:val="bottom"/>
            <w:hideMark/>
          </w:tcPr>
          <w:p w14:paraId="574FAD8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Extirpation of lesion of meninges of parasagittal region of brain</w:t>
            </w:r>
          </w:p>
        </w:tc>
      </w:tr>
      <w:tr w:rsidR="002030E7" w:rsidRPr="00BD2D79" w14:paraId="6303965C" w14:textId="77777777" w:rsidTr="007329B9">
        <w:trPr>
          <w:trHeight w:val="255"/>
        </w:trPr>
        <w:tc>
          <w:tcPr>
            <w:tcW w:w="960" w:type="dxa"/>
            <w:shd w:val="clear" w:color="auto" w:fill="auto"/>
            <w:vAlign w:val="center"/>
            <w:hideMark/>
          </w:tcPr>
          <w:p w14:paraId="5649DC8B"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A38.5</w:t>
            </w:r>
          </w:p>
        </w:tc>
        <w:tc>
          <w:tcPr>
            <w:tcW w:w="8560" w:type="dxa"/>
            <w:shd w:val="clear" w:color="auto" w:fill="auto"/>
            <w:noWrap/>
            <w:vAlign w:val="bottom"/>
            <w:hideMark/>
          </w:tcPr>
          <w:p w14:paraId="6A9EA3E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Extirpation of lesion of falx cerebri</w:t>
            </w:r>
          </w:p>
        </w:tc>
      </w:tr>
      <w:tr w:rsidR="002030E7" w:rsidRPr="00BD2D79" w14:paraId="52149824" w14:textId="77777777" w:rsidTr="007329B9">
        <w:trPr>
          <w:trHeight w:val="255"/>
        </w:trPr>
        <w:tc>
          <w:tcPr>
            <w:tcW w:w="960" w:type="dxa"/>
            <w:shd w:val="clear" w:color="auto" w:fill="auto"/>
            <w:vAlign w:val="center"/>
            <w:hideMark/>
          </w:tcPr>
          <w:p w14:paraId="1BAC2A6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A38.6</w:t>
            </w:r>
          </w:p>
        </w:tc>
        <w:tc>
          <w:tcPr>
            <w:tcW w:w="8560" w:type="dxa"/>
            <w:shd w:val="clear" w:color="auto" w:fill="auto"/>
            <w:noWrap/>
            <w:vAlign w:val="bottom"/>
            <w:hideMark/>
          </w:tcPr>
          <w:p w14:paraId="36E3893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Extirpation of lesion of tentorium cerebelli</w:t>
            </w:r>
          </w:p>
        </w:tc>
      </w:tr>
      <w:tr w:rsidR="002030E7" w:rsidRPr="00BD2D79" w14:paraId="0369D6B2" w14:textId="77777777" w:rsidTr="007329B9">
        <w:trPr>
          <w:trHeight w:val="255"/>
        </w:trPr>
        <w:tc>
          <w:tcPr>
            <w:tcW w:w="960" w:type="dxa"/>
            <w:shd w:val="clear" w:color="auto" w:fill="auto"/>
            <w:vAlign w:val="center"/>
            <w:hideMark/>
          </w:tcPr>
          <w:p w14:paraId="7B1D72A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A38.8</w:t>
            </w:r>
          </w:p>
        </w:tc>
        <w:tc>
          <w:tcPr>
            <w:tcW w:w="8560" w:type="dxa"/>
            <w:shd w:val="clear" w:color="auto" w:fill="auto"/>
            <w:noWrap/>
            <w:vAlign w:val="bottom"/>
            <w:hideMark/>
          </w:tcPr>
          <w:p w14:paraId="33C40E6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extirpation of lesion of meninges of brain</w:t>
            </w:r>
          </w:p>
        </w:tc>
      </w:tr>
      <w:tr w:rsidR="002030E7" w:rsidRPr="00BD2D79" w14:paraId="5E390B19" w14:textId="77777777" w:rsidTr="007329B9">
        <w:trPr>
          <w:trHeight w:val="255"/>
        </w:trPr>
        <w:tc>
          <w:tcPr>
            <w:tcW w:w="960" w:type="dxa"/>
            <w:shd w:val="clear" w:color="auto" w:fill="auto"/>
            <w:vAlign w:val="center"/>
            <w:hideMark/>
          </w:tcPr>
          <w:p w14:paraId="0E5E2A8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A38.9</w:t>
            </w:r>
          </w:p>
        </w:tc>
        <w:tc>
          <w:tcPr>
            <w:tcW w:w="8560" w:type="dxa"/>
            <w:shd w:val="clear" w:color="auto" w:fill="auto"/>
            <w:noWrap/>
            <w:vAlign w:val="bottom"/>
            <w:hideMark/>
          </w:tcPr>
          <w:p w14:paraId="4D91676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extirpation of lesion of meninges of brain</w:t>
            </w:r>
          </w:p>
        </w:tc>
      </w:tr>
      <w:tr w:rsidR="002030E7" w:rsidRPr="00BD2D79" w14:paraId="13016BE6" w14:textId="77777777" w:rsidTr="007329B9">
        <w:trPr>
          <w:trHeight w:val="255"/>
        </w:trPr>
        <w:tc>
          <w:tcPr>
            <w:tcW w:w="960" w:type="dxa"/>
            <w:shd w:val="clear" w:color="auto" w:fill="auto"/>
            <w:vAlign w:val="center"/>
            <w:hideMark/>
          </w:tcPr>
          <w:p w14:paraId="4D6BA3C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A39.1</w:t>
            </w:r>
          </w:p>
        </w:tc>
        <w:tc>
          <w:tcPr>
            <w:tcW w:w="8560" w:type="dxa"/>
            <w:shd w:val="clear" w:color="auto" w:fill="auto"/>
            <w:noWrap/>
            <w:vAlign w:val="bottom"/>
            <w:hideMark/>
          </w:tcPr>
          <w:p w14:paraId="357635F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Repair of meningoencephalocele</w:t>
            </w:r>
          </w:p>
        </w:tc>
      </w:tr>
      <w:tr w:rsidR="002030E7" w:rsidRPr="00BD2D79" w14:paraId="6B0E35B4" w14:textId="77777777" w:rsidTr="007329B9">
        <w:trPr>
          <w:trHeight w:val="255"/>
        </w:trPr>
        <w:tc>
          <w:tcPr>
            <w:tcW w:w="960" w:type="dxa"/>
            <w:shd w:val="clear" w:color="auto" w:fill="auto"/>
            <w:vAlign w:val="center"/>
            <w:hideMark/>
          </w:tcPr>
          <w:p w14:paraId="3895133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A39.2</w:t>
            </w:r>
          </w:p>
        </w:tc>
        <w:tc>
          <w:tcPr>
            <w:tcW w:w="8560" w:type="dxa"/>
            <w:shd w:val="clear" w:color="auto" w:fill="auto"/>
            <w:noWrap/>
            <w:vAlign w:val="bottom"/>
            <w:hideMark/>
          </w:tcPr>
          <w:p w14:paraId="4A1036A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Repair of dura of anterior fossa of cranium</w:t>
            </w:r>
          </w:p>
        </w:tc>
      </w:tr>
      <w:tr w:rsidR="002030E7" w:rsidRPr="00BD2D79" w14:paraId="554923C6" w14:textId="77777777" w:rsidTr="007329B9">
        <w:trPr>
          <w:trHeight w:val="255"/>
        </w:trPr>
        <w:tc>
          <w:tcPr>
            <w:tcW w:w="960" w:type="dxa"/>
            <w:shd w:val="clear" w:color="auto" w:fill="auto"/>
            <w:vAlign w:val="center"/>
            <w:hideMark/>
          </w:tcPr>
          <w:p w14:paraId="1B2F36B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A39.3</w:t>
            </w:r>
          </w:p>
        </w:tc>
        <w:tc>
          <w:tcPr>
            <w:tcW w:w="8560" w:type="dxa"/>
            <w:shd w:val="clear" w:color="auto" w:fill="auto"/>
            <w:noWrap/>
            <w:vAlign w:val="bottom"/>
            <w:hideMark/>
          </w:tcPr>
          <w:p w14:paraId="7D5231B0"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Repair of dura of middle fossa of cranium</w:t>
            </w:r>
          </w:p>
        </w:tc>
      </w:tr>
      <w:tr w:rsidR="002030E7" w:rsidRPr="00BD2D79" w14:paraId="744813F4" w14:textId="77777777" w:rsidTr="007329B9">
        <w:trPr>
          <w:trHeight w:val="255"/>
        </w:trPr>
        <w:tc>
          <w:tcPr>
            <w:tcW w:w="960" w:type="dxa"/>
            <w:shd w:val="clear" w:color="auto" w:fill="auto"/>
            <w:vAlign w:val="center"/>
            <w:hideMark/>
          </w:tcPr>
          <w:p w14:paraId="71EE3FE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A39.4</w:t>
            </w:r>
          </w:p>
        </w:tc>
        <w:tc>
          <w:tcPr>
            <w:tcW w:w="8560" w:type="dxa"/>
            <w:shd w:val="clear" w:color="auto" w:fill="auto"/>
            <w:noWrap/>
            <w:vAlign w:val="bottom"/>
            <w:hideMark/>
          </w:tcPr>
          <w:p w14:paraId="5C16DDC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Repair of dura of posterior fossa of cranium</w:t>
            </w:r>
          </w:p>
        </w:tc>
      </w:tr>
      <w:tr w:rsidR="002030E7" w:rsidRPr="00BD2D79" w14:paraId="7F37DD73" w14:textId="77777777" w:rsidTr="007329B9">
        <w:trPr>
          <w:trHeight w:val="255"/>
        </w:trPr>
        <w:tc>
          <w:tcPr>
            <w:tcW w:w="960" w:type="dxa"/>
            <w:shd w:val="clear" w:color="auto" w:fill="auto"/>
            <w:vAlign w:val="center"/>
            <w:hideMark/>
          </w:tcPr>
          <w:p w14:paraId="0C327BF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A39.5</w:t>
            </w:r>
          </w:p>
        </w:tc>
        <w:tc>
          <w:tcPr>
            <w:tcW w:w="8560" w:type="dxa"/>
            <w:shd w:val="clear" w:color="auto" w:fill="auto"/>
            <w:noWrap/>
            <w:vAlign w:val="bottom"/>
            <w:hideMark/>
          </w:tcPr>
          <w:p w14:paraId="07CA8408"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Repair of dura of vault of cranium</w:t>
            </w:r>
          </w:p>
        </w:tc>
      </w:tr>
      <w:tr w:rsidR="002030E7" w:rsidRPr="00BD2D79" w14:paraId="12E2C7B4" w14:textId="77777777" w:rsidTr="007329B9">
        <w:trPr>
          <w:trHeight w:val="255"/>
        </w:trPr>
        <w:tc>
          <w:tcPr>
            <w:tcW w:w="960" w:type="dxa"/>
            <w:shd w:val="clear" w:color="auto" w:fill="auto"/>
            <w:vAlign w:val="center"/>
            <w:hideMark/>
          </w:tcPr>
          <w:p w14:paraId="1D378DF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A39.8</w:t>
            </w:r>
          </w:p>
        </w:tc>
        <w:tc>
          <w:tcPr>
            <w:tcW w:w="8560" w:type="dxa"/>
            <w:shd w:val="clear" w:color="auto" w:fill="auto"/>
            <w:noWrap/>
            <w:vAlign w:val="bottom"/>
            <w:hideMark/>
          </w:tcPr>
          <w:p w14:paraId="774E536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repair of dura</w:t>
            </w:r>
          </w:p>
        </w:tc>
      </w:tr>
      <w:tr w:rsidR="002030E7" w:rsidRPr="00BD2D79" w14:paraId="43949985" w14:textId="77777777" w:rsidTr="007329B9">
        <w:trPr>
          <w:trHeight w:val="255"/>
        </w:trPr>
        <w:tc>
          <w:tcPr>
            <w:tcW w:w="960" w:type="dxa"/>
            <w:shd w:val="clear" w:color="auto" w:fill="auto"/>
            <w:vAlign w:val="center"/>
            <w:hideMark/>
          </w:tcPr>
          <w:p w14:paraId="2113EEB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A39.9</w:t>
            </w:r>
          </w:p>
        </w:tc>
        <w:tc>
          <w:tcPr>
            <w:tcW w:w="8560" w:type="dxa"/>
            <w:shd w:val="clear" w:color="auto" w:fill="auto"/>
            <w:noWrap/>
            <w:vAlign w:val="bottom"/>
            <w:hideMark/>
          </w:tcPr>
          <w:p w14:paraId="14BA211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repair of dura</w:t>
            </w:r>
          </w:p>
        </w:tc>
      </w:tr>
      <w:tr w:rsidR="002030E7" w:rsidRPr="00BD2D79" w14:paraId="7D0792F0" w14:textId="77777777" w:rsidTr="007329B9">
        <w:trPr>
          <w:trHeight w:val="255"/>
        </w:trPr>
        <w:tc>
          <w:tcPr>
            <w:tcW w:w="960" w:type="dxa"/>
            <w:shd w:val="clear" w:color="auto" w:fill="auto"/>
            <w:vAlign w:val="center"/>
            <w:hideMark/>
          </w:tcPr>
          <w:p w14:paraId="36D24A3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A41.1</w:t>
            </w:r>
          </w:p>
        </w:tc>
        <w:tc>
          <w:tcPr>
            <w:tcW w:w="8560" w:type="dxa"/>
            <w:shd w:val="clear" w:color="auto" w:fill="auto"/>
            <w:noWrap/>
            <w:vAlign w:val="bottom"/>
            <w:hideMark/>
          </w:tcPr>
          <w:p w14:paraId="3C7559E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Evacuation of subdural haematoma</w:t>
            </w:r>
          </w:p>
        </w:tc>
      </w:tr>
      <w:tr w:rsidR="002030E7" w:rsidRPr="00BD2D79" w14:paraId="06A85395" w14:textId="77777777" w:rsidTr="007329B9">
        <w:trPr>
          <w:trHeight w:val="255"/>
        </w:trPr>
        <w:tc>
          <w:tcPr>
            <w:tcW w:w="960" w:type="dxa"/>
            <w:shd w:val="clear" w:color="auto" w:fill="auto"/>
            <w:vAlign w:val="center"/>
            <w:hideMark/>
          </w:tcPr>
          <w:p w14:paraId="269D0A1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A41.2</w:t>
            </w:r>
          </w:p>
        </w:tc>
        <w:tc>
          <w:tcPr>
            <w:tcW w:w="8560" w:type="dxa"/>
            <w:shd w:val="clear" w:color="auto" w:fill="auto"/>
            <w:noWrap/>
            <w:vAlign w:val="bottom"/>
            <w:hideMark/>
          </w:tcPr>
          <w:p w14:paraId="71989C1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Drainage of abscess of subdural space</w:t>
            </w:r>
          </w:p>
        </w:tc>
      </w:tr>
      <w:tr w:rsidR="002030E7" w:rsidRPr="00BD2D79" w14:paraId="14AAD71B" w14:textId="77777777" w:rsidTr="007329B9">
        <w:trPr>
          <w:trHeight w:val="255"/>
        </w:trPr>
        <w:tc>
          <w:tcPr>
            <w:tcW w:w="960" w:type="dxa"/>
            <w:shd w:val="clear" w:color="auto" w:fill="auto"/>
            <w:vAlign w:val="center"/>
            <w:hideMark/>
          </w:tcPr>
          <w:p w14:paraId="029B23F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A41.8</w:t>
            </w:r>
          </w:p>
        </w:tc>
        <w:tc>
          <w:tcPr>
            <w:tcW w:w="8560" w:type="dxa"/>
            <w:shd w:val="clear" w:color="auto" w:fill="auto"/>
            <w:noWrap/>
            <w:vAlign w:val="bottom"/>
            <w:hideMark/>
          </w:tcPr>
          <w:p w14:paraId="14BF945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drainage of subdural space</w:t>
            </w:r>
          </w:p>
        </w:tc>
      </w:tr>
      <w:tr w:rsidR="002030E7" w:rsidRPr="00BD2D79" w14:paraId="5B51CE38" w14:textId="77777777" w:rsidTr="007329B9">
        <w:trPr>
          <w:trHeight w:val="255"/>
        </w:trPr>
        <w:tc>
          <w:tcPr>
            <w:tcW w:w="960" w:type="dxa"/>
            <w:shd w:val="clear" w:color="auto" w:fill="auto"/>
            <w:vAlign w:val="center"/>
            <w:hideMark/>
          </w:tcPr>
          <w:p w14:paraId="790AD6D6"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A41.9</w:t>
            </w:r>
          </w:p>
        </w:tc>
        <w:tc>
          <w:tcPr>
            <w:tcW w:w="8560" w:type="dxa"/>
            <w:shd w:val="clear" w:color="auto" w:fill="auto"/>
            <w:noWrap/>
            <w:vAlign w:val="bottom"/>
            <w:hideMark/>
          </w:tcPr>
          <w:p w14:paraId="2FE0BA2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drainage of subdural space</w:t>
            </w:r>
          </w:p>
        </w:tc>
      </w:tr>
      <w:tr w:rsidR="002030E7" w:rsidRPr="00BD2D79" w14:paraId="48F3A0F7" w14:textId="77777777" w:rsidTr="007329B9">
        <w:trPr>
          <w:trHeight w:val="255"/>
        </w:trPr>
        <w:tc>
          <w:tcPr>
            <w:tcW w:w="960" w:type="dxa"/>
            <w:shd w:val="clear" w:color="auto" w:fill="auto"/>
            <w:vAlign w:val="center"/>
            <w:hideMark/>
          </w:tcPr>
          <w:p w14:paraId="6C611DB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A42.1</w:t>
            </w:r>
          </w:p>
        </w:tc>
        <w:tc>
          <w:tcPr>
            <w:tcW w:w="8560" w:type="dxa"/>
            <w:shd w:val="clear" w:color="auto" w:fill="auto"/>
            <w:noWrap/>
            <w:vAlign w:val="bottom"/>
            <w:hideMark/>
          </w:tcPr>
          <w:p w14:paraId="64BD305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Creation of anastomosis of dura</w:t>
            </w:r>
          </w:p>
        </w:tc>
      </w:tr>
      <w:tr w:rsidR="002030E7" w:rsidRPr="00BD2D79" w14:paraId="1307A9D7" w14:textId="77777777" w:rsidTr="007329B9">
        <w:trPr>
          <w:trHeight w:val="255"/>
        </w:trPr>
        <w:tc>
          <w:tcPr>
            <w:tcW w:w="960" w:type="dxa"/>
            <w:shd w:val="clear" w:color="auto" w:fill="auto"/>
            <w:vAlign w:val="center"/>
            <w:hideMark/>
          </w:tcPr>
          <w:p w14:paraId="45730224"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A42.2</w:t>
            </w:r>
          </w:p>
        </w:tc>
        <w:tc>
          <w:tcPr>
            <w:tcW w:w="8560" w:type="dxa"/>
            <w:shd w:val="clear" w:color="auto" w:fill="auto"/>
            <w:noWrap/>
            <w:vAlign w:val="bottom"/>
            <w:hideMark/>
          </w:tcPr>
          <w:p w14:paraId="6825F3D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Biopsy of lesion of meninges of brain</w:t>
            </w:r>
          </w:p>
        </w:tc>
      </w:tr>
      <w:tr w:rsidR="002030E7" w:rsidRPr="00BD2D79" w14:paraId="46A1DE76" w14:textId="77777777" w:rsidTr="007329B9">
        <w:trPr>
          <w:trHeight w:val="255"/>
        </w:trPr>
        <w:tc>
          <w:tcPr>
            <w:tcW w:w="960" w:type="dxa"/>
            <w:shd w:val="clear" w:color="auto" w:fill="auto"/>
            <w:vAlign w:val="center"/>
            <w:hideMark/>
          </w:tcPr>
          <w:p w14:paraId="280B5BD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A42.8</w:t>
            </w:r>
          </w:p>
        </w:tc>
        <w:tc>
          <w:tcPr>
            <w:tcW w:w="8560" w:type="dxa"/>
            <w:shd w:val="clear" w:color="auto" w:fill="auto"/>
            <w:noWrap/>
            <w:vAlign w:val="bottom"/>
            <w:hideMark/>
          </w:tcPr>
          <w:p w14:paraId="56CE626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operations on meninges of brain</w:t>
            </w:r>
          </w:p>
        </w:tc>
      </w:tr>
      <w:tr w:rsidR="002030E7" w:rsidRPr="00BD2D79" w14:paraId="45342EEA" w14:textId="77777777" w:rsidTr="007329B9">
        <w:trPr>
          <w:trHeight w:val="255"/>
        </w:trPr>
        <w:tc>
          <w:tcPr>
            <w:tcW w:w="960" w:type="dxa"/>
            <w:shd w:val="clear" w:color="auto" w:fill="auto"/>
            <w:vAlign w:val="center"/>
            <w:hideMark/>
          </w:tcPr>
          <w:p w14:paraId="4AE034E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A43.1</w:t>
            </w:r>
          </w:p>
        </w:tc>
        <w:tc>
          <w:tcPr>
            <w:tcW w:w="8560" w:type="dxa"/>
            <w:shd w:val="clear" w:color="auto" w:fill="auto"/>
            <w:noWrap/>
            <w:vAlign w:val="bottom"/>
            <w:hideMark/>
          </w:tcPr>
          <w:p w14:paraId="165B3CB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Extirpation of lesion of meninges of skull base</w:t>
            </w:r>
          </w:p>
        </w:tc>
      </w:tr>
      <w:tr w:rsidR="002030E7" w:rsidRPr="00BD2D79" w14:paraId="7E61CFCD" w14:textId="77777777" w:rsidTr="007329B9">
        <w:trPr>
          <w:trHeight w:val="255"/>
        </w:trPr>
        <w:tc>
          <w:tcPr>
            <w:tcW w:w="960" w:type="dxa"/>
            <w:shd w:val="clear" w:color="auto" w:fill="auto"/>
            <w:vAlign w:val="center"/>
            <w:hideMark/>
          </w:tcPr>
          <w:p w14:paraId="7DF88DF6"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A43.2</w:t>
            </w:r>
          </w:p>
        </w:tc>
        <w:tc>
          <w:tcPr>
            <w:tcW w:w="8560" w:type="dxa"/>
            <w:shd w:val="clear" w:color="auto" w:fill="auto"/>
            <w:noWrap/>
            <w:vAlign w:val="bottom"/>
            <w:hideMark/>
          </w:tcPr>
          <w:p w14:paraId="436B1718"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Extirpation of lesion of meninges of skull clivus</w:t>
            </w:r>
          </w:p>
        </w:tc>
      </w:tr>
      <w:tr w:rsidR="002030E7" w:rsidRPr="00BD2D79" w14:paraId="3A7C5D7A" w14:textId="77777777" w:rsidTr="007329B9">
        <w:trPr>
          <w:trHeight w:val="255"/>
        </w:trPr>
        <w:tc>
          <w:tcPr>
            <w:tcW w:w="960" w:type="dxa"/>
            <w:shd w:val="clear" w:color="auto" w:fill="auto"/>
            <w:vAlign w:val="center"/>
            <w:hideMark/>
          </w:tcPr>
          <w:p w14:paraId="096DF4B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A43.8</w:t>
            </w:r>
          </w:p>
        </w:tc>
        <w:tc>
          <w:tcPr>
            <w:tcW w:w="8560" w:type="dxa"/>
            <w:shd w:val="clear" w:color="auto" w:fill="auto"/>
            <w:noWrap/>
            <w:vAlign w:val="bottom"/>
            <w:hideMark/>
          </w:tcPr>
          <w:p w14:paraId="5A52EDDF"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extirpation of lesion of meninges of brain</w:t>
            </w:r>
          </w:p>
        </w:tc>
      </w:tr>
      <w:tr w:rsidR="002030E7" w:rsidRPr="00BD2D79" w14:paraId="261DCFD9" w14:textId="77777777" w:rsidTr="007329B9">
        <w:trPr>
          <w:trHeight w:val="255"/>
        </w:trPr>
        <w:tc>
          <w:tcPr>
            <w:tcW w:w="960" w:type="dxa"/>
            <w:shd w:val="clear" w:color="auto" w:fill="auto"/>
            <w:vAlign w:val="center"/>
            <w:hideMark/>
          </w:tcPr>
          <w:p w14:paraId="501AE68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A43.9</w:t>
            </w:r>
          </w:p>
        </w:tc>
        <w:tc>
          <w:tcPr>
            <w:tcW w:w="8560" w:type="dxa"/>
            <w:shd w:val="clear" w:color="auto" w:fill="auto"/>
            <w:noWrap/>
            <w:vAlign w:val="bottom"/>
            <w:hideMark/>
          </w:tcPr>
          <w:p w14:paraId="330A1D96"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other extirpation of lesion of meninges of brain</w:t>
            </w:r>
          </w:p>
        </w:tc>
      </w:tr>
      <w:tr w:rsidR="002030E7" w:rsidRPr="00BD2D79" w14:paraId="011391C4" w14:textId="77777777" w:rsidTr="007329B9">
        <w:trPr>
          <w:trHeight w:val="255"/>
        </w:trPr>
        <w:tc>
          <w:tcPr>
            <w:tcW w:w="960" w:type="dxa"/>
            <w:shd w:val="clear" w:color="auto" w:fill="auto"/>
            <w:vAlign w:val="center"/>
            <w:hideMark/>
          </w:tcPr>
          <w:p w14:paraId="60BB6ED4"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A44.1</w:t>
            </w:r>
          </w:p>
        </w:tc>
        <w:tc>
          <w:tcPr>
            <w:tcW w:w="8560" w:type="dxa"/>
            <w:shd w:val="clear" w:color="auto" w:fill="auto"/>
            <w:noWrap/>
            <w:vAlign w:val="bottom"/>
            <w:hideMark/>
          </w:tcPr>
          <w:p w14:paraId="1197A14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Chordectomy of spinal cord</w:t>
            </w:r>
          </w:p>
        </w:tc>
      </w:tr>
      <w:tr w:rsidR="002030E7" w:rsidRPr="00BD2D79" w14:paraId="5724A535" w14:textId="77777777" w:rsidTr="007329B9">
        <w:trPr>
          <w:trHeight w:val="255"/>
        </w:trPr>
        <w:tc>
          <w:tcPr>
            <w:tcW w:w="960" w:type="dxa"/>
            <w:shd w:val="clear" w:color="auto" w:fill="auto"/>
            <w:vAlign w:val="center"/>
            <w:hideMark/>
          </w:tcPr>
          <w:p w14:paraId="66CBC5A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A44.2</w:t>
            </w:r>
          </w:p>
        </w:tc>
        <w:tc>
          <w:tcPr>
            <w:tcW w:w="8560" w:type="dxa"/>
            <w:shd w:val="clear" w:color="auto" w:fill="auto"/>
            <w:noWrap/>
            <w:vAlign w:val="bottom"/>
            <w:hideMark/>
          </w:tcPr>
          <w:p w14:paraId="326B3D8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Extirpation of lesion of spinal cord NEC</w:t>
            </w:r>
          </w:p>
        </w:tc>
      </w:tr>
      <w:tr w:rsidR="002030E7" w:rsidRPr="00BD2D79" w14:paraId="379508A1" w14:textId="77777777" w:rsidTr="007329B9">
        <w:trPr>
          <w:trHeight w:val="255"/>
        </w:trPr>
        <w:tc>
          <w:tcPr>
            <w:tcW w:w="960" w:type="dxa"/>
            <w:shd w:val="clear" w:color="auto" w:fill="auto"/>
            <w:vAlign w:val="center"/>
            <w:hideMark/>
          </w:tcPr>
          <w:p w14:paraId="33E2C66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A44.3</w:t>
            </w:r>
          </w:p>
        </w:tc>
        <w:tc>
          <w:tcPr>
            <w:tcW w:w="8560" w:type="dxa"/>
            <w:shd w:val="clear" w:color="auto" w:fill="auto"/>
            <w:noWrap/>
            <w:vAlign w:val="bottom"/>
            <w:hideMark/>
          </w:tcPr>
          <w:p w14:paraId="1DE3648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lesion of intradural intramedullary spinal cord</w:t>
            </w:r>
          </w:p>
        </w:tc>
      </w:tr>
      <w:tr w:rsidR="002030E7" w:rsidRPr="00BD2D79" w14:paraId="5FD5C863" w14:textId="77777777" w:rsidTr="007329B9">
        <w:trPr>
          <w:trHeight w:val="255"/>
        </w:trPr>
        <w:tc>
          <w:tcPr>
            <w:tcW w:w="960" w:type="dxa"/>
            <w:shd w:val="clear" w:color="auto" w:fill="auto"/>
            <w:vAlign w:val="center"/>
            <w:hideMark/>
          </w:tcPr>
          <w:p w14:paraId="6B78E40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A44.4</w:t>
            </w:r>
          </w:p>
        </w:tc>
        <w:tc>
          <w:tcPr>
            <w:tcW w:w="8560" w:type="dxa"/>
            <w:shd w:val="clear" w:color="auto" w:fill="auto"/>
            <w:noWrap/>
            <w:vAlign w:val="bottom"/>
            <w:hideMark/>
          </w:tcPr>
          <w:p w14:paraId="17D19F3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lesion of extradural spinal cord</w:t>
            </w:r>
          </w:p>
        </w:tc>
      </w:tr>
      <w:tr w:rsidR="002030E7" w:rsidRPr="00BD2D79" w14:paraId="500F7FD2" w14:textId="77777777" w:rsidTr="007329B9">
        <w:trPr>
          <w:trHeight w:val="255"/>
        </w:trPr>
        <w:tc>
          <w:tcPr>
            <w:tcW w:w="960" w:type="dxa"/>
            <w:shd w:val="clear" w:color="auto" w:fill="auto"/>
            <w:vAlign w:val="center"/>
            <w:hideMark/>
          </w:tcPr>
          <w:p w14:paraId="27755BC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A44.5</w:t>
            </w:r>
          </w:p>
        </w:tc>
        <w:tc>
          <w:tcPr>
            <w:tcW w:w="8560" w:type="dxa"/>
            <w:shd w:val="clear" w:color="auto" w:fill="auto"/>
            <w:noWrap/>
            <w:vAlign w:val="bottom"/>
            <w:hideMark/>
          </w:tcPr>
          <w:p w14:paraId="5C4EA4A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lesion of intradural extramedullary spinal cord</w:t>
            </w:r>
          </w:p>
        </w:tc>
      </w:tr>
      <w:tr w:rsidR="002030E7" w:rsidRPr="00BD2D79" w14:paraId="0AA960C3" w14:textId="77777777" w:rsidTr="007329B9">
        <w:trPr>
          <w:trHeight w:val="255"/>
        </w:trPr>
        <w:tc>
          <w:tcPr>
            <w:tcW w:w="960" w:type="dxa"/>
            <w:shd w:val="clear" w:color="auto" w:fill="auto"/>
            <w:vAlign w:val="center"/>
            <w:hideMark/>
          </w:tcPr>
          <w:p w14:paraId="7DA77D5E"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A44.8</w:t>
            </w:r>
          </w:p>
        </w:tc>
        <w:tc>
          <w:tcPr>
            <w:tcW w:w="8560" w:type="dxa"/>
            <w:shd w:val="clear" w:color="auto" w:fill="auto"/>
            <w:noWrap/>
            <w:vAlign w:val="bottom"/>
            <w:hideMark/>
          </w:tcPr>
          <w:p w14:paraId="1D817670"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partial extirpation of spinal cord</w:t>
            </w:r>
          </w:p>
        </w:tc>
      </w:tr>
      <w:tr w:rsidR="002030E7" w:rsidRPr="00BD2D79" w14:paraId="44C66044" w14:textId="77777777" w:rsidTr="007329B9">
        <w:trPr>
          <w:trHeight w:val="255"/>
        </w:trPr>
        <w:tc>
          <w:tcPr>
            <w:tcW w:w="960" w:type="dxa"/>
            <w:shd w:val="clear" w:color="auto" w:fill="auto"/>
            <w:vAlign w:val="center"/>
            <w:hideMark/>
          </w:tcPr>
          <w:p w14:paraId="1EF1C38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A44.9</w:t>
            </w:r>
          </w:p>
        </w:tc>
        <w:tc>
          <w:tcPr>
            <w:tcW w:w="8560" w:type="dxa"/>
            <w:shd w:val="clear" w:color="auto" w:fill="auto"/>
            <w:noWrap/>
            <w:vAlign w:val="bottom"/>
            <w:hideMark/>
          </w:tcPr>
          <w:p w14:paraId="3BE7C03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partial extirpation of spinal cord</w:t>
            </w:r>
          </w:p>
        </w:tc>
      </w:tr>
      <w:tr w:rsidR="002030E7" w:rsidRPr="00BD2D79" w14:paraId="6E9303F0" w14:textId="77777777" w:rsidTr="007329B9">
        <w:trPr>
          <w:trHeight w:val="255"/>
        </w:trPr>
        <w:tc>
          <w:tcPr>
            <w:tcW w:w="960" w:type="dxa"/>
            <w:shd w:val="clear" w:color="auto" w:fill="auto"/>
            <w:vAlign w:val="center"/>
            <w:hideMark/>
          </w:tcPr>
          <w:p w14:paraId="0967D976"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A45.1</w:t>
            </w:r>
          </w:p>
        </w:tc>
        <w:tc>
          <w:tcPr>
            <w:tcW w:w="8560" w:type="dxa"/>
            <w:shd w:val="clear" w:color="auto" w:fill="auto"/>
            <w:noWrap/>
            <w:vAlign w:val="bottom"/>
            <w:hideMark/>
          </w:tcPr>
          <w:p w14:paraId="700E45A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Stereotactic chordotomy of spinal cord</w:t>
            </w:r>
          </w:p>
        </w:tc>
      </w:tr>
      <w:tr w:rsidR="002030E7" w:rsidRPr="00BD2D79" w14:paraId="0B7DDEC9" w14:textId="77777777" w:rsidTr="007329B9">
        <w:trPr>
          <w:trHeight w:val="255"/>
        </w:trPr>
        <w:tc>
          <w:tcPr>
            <w:tcW w:w="960" w:type="dxa"/>
            <w:shd w:val="clear" w:color="auto" w:fill="auto"/>
            <w:vAlign w:val="center"/>
            <w:hideMark/>
          </w:tcPr>
          <w:p w14:paraId="190AFA2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A45.2</w:t>
            </w:r>
          </w:p>
        </w:tc>
        <w:tc>
          <w:tcPr>
            <w:tcW w:w="8560" w:type="dxa"/>
            <w:shd w:val="clear" w:color="auto" w:fill="auto"/>
            <w:noWrap/>
            <w:vAlign w:val="bottom"/>
            <w:hideMark/>
          </w:tcPr>
          <w:p w14:paraId="552BC6F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Open chordotomy of spinal cord NEC</w:t>
            </w:r>
          </w:p>
        </w:tc>
      </w:tr>
      <w:tr w:rsidR="002030E7" w:rsidRPr="00BD2D79" w14:paraId="01E7FE38" w14:textId="77777777" w:rsidTr="007329B9">
        <w:trPr>
          <w:trHeight w:val="255"/>
        </w:trPr>
        <w:tc>
          <w:tcPr>
            <w:tcW w:w="960" w:type="dxa"/>
            <w:shd w:val="clear" w:color="auto" w:fill="auto"/>
            <w:vAlign w:val="center"/>
            <w:hideMark/>
          </w:tcPr>
          <w:p w14:paraId="76D876B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A45.3</w:t>
            </w:r>
          </w:p>
        </w:tc>
        <w:tc>
          <w:tcPr>
            <w:tcW w:w="8560" w:type="dxa"/>
            <w:shd w:val="clear" w:color="auto" w:fill="auto"/>
            <w:noWrap/>
            <w:vAlign w:val="bottom"/>
            <w:hideMark/>
          </w:tcPr>
          <w:p w14:paraId="694E74E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Myelotomy of spinal cord</w:t>
            </w:r>
          </w:p>
        </w:tc>
      </w:tr>
      <w:tr w:rsidR="002030E7" w:rsidRPr="00BD2D79" w14:paraId="37FC97D4" w14:textId="77777777" w:rsidTr="007329B9">
        <w:trPr>
          <w:trHeight w:val="255"/>
        </w:trPr>
        <w:tc>
          <w:tcPr>
            <w:tcW w:w="960" w:type="dxa"/>
            <w:shd w:val="clear" w:color="auto" w:fill="auto"/>
            <w:vAlign w:val="center"/>
            <w:hideMark/>
          </w:tcPr>
          <w:p w14:paraId="3C10493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A45.4</w:t>
            </w:r>
          </w:p>
        </w:tc>
        <w:tc>
          <w:tcPr>
            <w:tcW w:w="8560" w:type="dxa"/>
            <w:shd w:val="clear" w:color="auto" w:fill="auto"/>
            <w:noWrap/>
            <w:vAlign w:val="bottom"/>
            <w:hideMark/>
          </w:tcPr>
          <w:p w14:paraId="57D5968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Open biopsy of lesion of spinal cord</w:t>
            </w:r>
          </w:p>
        </w:tc>
      </w:tr>
      <w:tr w:rsidR="002030E7" w:rsidRPr="00BD2D79" w14:paraId="42CF5779" w14:textId="77777777" w:rsidTr="007329B9">
        <w:trPr>
          <w:trHeight w:val="255"/>
        </w:trPr>
        <w:tc>
          <w:tcPr>
            <w:tcW w:w="960" w:type="dxa"/>
            <w:shd w:val="clear" w:color="auto" w:fill="auto"/>
            <w:vAlign w:val="center"/>
            <w:hideMark/>
          </w:tcPr>
          <w:p w14:paraId="7059713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A45.5</w:t>
            </w:r>
          </w:p>
        </w:tc>
        <w:tc>
          <w:tcPr>
            <w:tcW w:w="8560" w:type="dxa"/>
            <w:shd w:val="clear" w:color="auto" w:fill="auto"/>
            <w:noWrap/>
            <w:vAlign w:val="bottom"/>
            <w:hideMark/>
          </w:tcPr>
          <w:p w14:paraId="325A071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Removal of foreign body from spinal cord</w:t>
            </w:r>
          </w:p>
        </w:tc>
      </w:tr>
      <w:tr w:rsidR="002030E7" w:rsidRPr="00BD2D79" w14:paraId="00E4DAB8" w14:textId="77777777" w:rsidTr="007329B9">
        <w:trPr>
          <w:trHeight w:val="255"/>
        </w:trPr>
        <w:tc>
          <w:tcPr>
            <w:tcW w:w="960" w:type="dxa"/>
            <w:shd w:val="clear" w:color="auto" w:fill="auto"/>
            <w:vAlign w:val="center"/>
            <w:hideMark/>
          </w:tcPr>
          <w:p w14:paraId="275B8D6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A45.6</w:t>
            </w:r>
          </w:p>
        </w:tc>
        <w:tc>
          <w:tcPr>
            <w:tcW w:w="8560" w:type="dxa"/>
            <w:shd w:val="clear" w:color="auto" w:fill="auto"/>
            <w:noWrap/>
            <w:vAlign w:val="bottom"/>
            <w:hideMark/>
          </w:tcPr>
          <w:p w14:paraId="7E4D91F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Open aspiration of lesion of spinal cord</w:t>
            </w:r>
          </w:p>
        </w:tc>
      </w:tr>
      <w:tr w:rsidR="002030E7" w:rsidRPr="00BD2D79" w14:paraId="009DC007" w14:textId="77777777" w:rsidTr="007329B9">
        <w:trPr>
          <w:trHeight w:val="255"/>
        </w:trPr>
        <w:tc>
          <w:tcPr>
            <w:tcW w:w="960" w:type="dxa"/>
            <w:shd w:val="clear" w:color="auto" w:fill="auto"/>
            <w:vAlign w:val="center"/>
            <w:hideMark/>
          </w:tcPr>
          <w:p w14:paraId="66A7643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A45.8</w:t>
            </w:r>
          </w:p>
        </w:tc>
        <w:tc>
          <w:tcPr>
            <w:tcW w:w="8560" w:type="dxa"/>
            <w:shd w:val="clear" w:color="auto" w:fill="auto"/>
            <w:noWrap/>
            <w:vAlign w:val="bottom"/>
            <w:hideMark/>
          </w:tcPr>
          <w:p w14:paraId="3EBD561F"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open operations on spinal cord</w:t>
            </w:r>
          </w:p>
        </w:tc>
      </w:tr>
      <w:tr w:rsidR="002030E7" w:rsidRPr="00BD2D79" w14:paraId="2A0C807B" w14:textId="77777777" w:rsidTr="007329B9">
        <w:trPr>
          <w:trHeight w:val="255"/>
        </w:trPr>
        <w:tc>
          <w:tcPr>
            <w:tcW w:w="960" w:type="dxa"/>
            <w:shd w:val="clear" w:color="auto" w:fill="auto"/>
            <w:vAlign w:val="center"/>
            <w:hideMark/>
          </w:tcPr>
          <w:p w14:paraId="3EDC7B1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A47.1</w:t>
            </w:r>
          </w:p>
        </w:tc>
        <w:tc>
          <w:tcPr>
            <w:tcW w:w="8560" w:type="dxa"/>
            <w:shd w:val="clear" w:color="auto" w:fill="auto"/>
            <w:noWrap/>
            <w:vAlign w:val="bottom"/>
            <w:hideMark/>
          </w:tcPr>
          <w:p w14:paraId="2B6A5A0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Needle destruction of substantia gelatinosa of cervical spinal cord</w:t>
            </w:r>
          </w:p>
        </w:tc>
      </w:tr>
      <w:tr w:rsidR="002030E7" w:rsidRPr="00BD2D79" w14:paraId="1426D4D6" w14:textId="77777777" w:rsidTr="007329B9">
        <w:trPr>
          <w:trHeight w:val="255"/>
        </w:trPr>
        <w:tc>
          <w:tcPr>
            <w:tcW w:w="960" w:type="dxa"/>
            <w:shd w:val="clear" w:color="auto" w:fill="auto"/>
            <w:vAlign w:val="center"/>
            <w:hideMark/>
          </w:tcPr>
          <w:p w14:paraId="3CA9C28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A47.2</w:t>
            </w:r>
          </w:p>
        </w:tc>
        <w:tc>
          <w:tcPr>
            <w:tcW w:w="8560" w:type="dxa"/>
            <w:shd w:val="clear" w:color="auto" w:fill="auto"/>
            <w:noWrap/>
            <w:vAlign w:val="bottom"/>
            <w:hideMark/>
          </w:tcPr>
          <w:p w14:paraId="579898B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Radiofrequency controlled thermal destruction of spinothalamic tract</w:t>
            </w:r>
          </w:p>
        </w:tc>
      </w:tr>
      <w:tr w:rsidR="002030E7" w:rsidRPr="00BD2D79" w14:paraId="66EC188B" w14:textId="77777777" w:rsidTr="007329B9">
        <w:trPr>
          <w:trHeight w:val="255"/>
        </w:trPr>
        <w:tc>
          <w:tcPr>
            <w:tcW w:w="960" w:type="dxa"/>
            <w:shd w:val="clear" w:color="auto" w:fill="auto"/>
            <w:vAlign w:val="center"/>
            <w:hideMark/>
          </w:tcPr>
          <w:p w14:paraId="30BFC5F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A47.3</w:t>
            </w:r>
          </w:p>
        </w:tc>
        <w:tc>
          <w:tcPr>
            <w:tcW w:w="8560" w:type="dxa"/>
            <w:shd w:val="clear" w:color="auto" w:fill="auto"/>
            <w:noWrap/>
            <w:vAlign w:val="bottom"/>
            <w:hideMark/>
          </w:tcPr>
          <w:p w14:paraId="481BA09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Percutaneous chordotomy of spinal cord</w:t>
            </w:r>
          </w:p>
        </w:tc>
      </w:tr>
      <w:tr w:rsidR="002030E7" w:rsidRPr="00BD2D79" w14:paraId="299120E0" w14:textId="77777777" w:rsidTr="007329B9">
        <w:trPr>
          <w:trHeight w:val="255"/>
        </w:trPr>
        <w:tc>
          <w:tcPr>
            <w:tcW w:w="960" w:type="dxa"/>
            <w:shd w:val="clear" w:color="auto" w:fill="auto"/>
            <w:vAlign w:val="center"/>
            <w:hideMark/>
          </w:tcPr>
          <w:p w14:paraId="0A7670FB"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A47.8</w:t>
            </w:r>
          </w:p>
        </w:tc>
        <w:tc>
          <w:tcPr>
            <w:tcW w:w="8560" w:type="dxa"/>
            <w:shd w:val="clear" w:color="auto" w:fill="auto"/>
            <w:noWrap/>
            <w:vAlign w:val="bottom"/>
            <w:hideMark/>
          </w:tcPr>
          <w:p w14:paraId="7CD8F08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destruction of spinal cord</w:t>
            </w:r>
          </w:p>
        </w:tc>
      </w:tr>
      <w:tr w:rsidR="002030E7" w:rsidRPr="00BD2D79" w14:paraId="7B936139" w14:textId="77777777" w:rsidTr="007329B9">
        <w:trPr>
          <w:trHeight w:val="255"/>
        </w:trPr>
        <w:tc>
          <w:tcPr>
            <w:tcW w:w="960" w:type="dxa"/>
            <w:shd w:val="clear" w:color="auto" w:fill="auto"/>
            <w:vAlign w:val="center"/>
            <w:hideMark/>
          </w:tcPr>
          <w:p w14:paraId="3FA6E826"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A48.1</w:t>
            </w:r>
          </w:p>
        </w:tc>
        <w:tc>
          <w:tcPr>
            <w:tcW w:w="8560" w:type="dxa"/>
            <w:shd w:val="clear" w:color="auto" w:fill="auto"/>
            <w:noWrap/>
            <w:vAlign w:val="bottom"/>
            <w:hideMark/>
          </w:tcPr>
          <w:p w14:paraId="0124CB2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Biopsy of lesion of spinal cord NEC</w:t>
            </w:r>
          </w:p>
        </w:tc>
      </w:tr>
      <w:tr w:rsidR="002030E7" w:rsidRPr="00BD2D79" w14:paraId="346816CB" w14:textId="77777777" w:rsidTr="007329B9">
        <w:trPr>
          <w:trHeight w:val="255"/>
        </w:trPr>
        <w:tc>
          <w:tcPr>
            <w:tcW w:w="960" w:type="dxa"/>
            <w:shd w:val="clear" w:color="auto" w:fill="auto"/>
            <w:vAlign w:val="center"/>
            <w:hideMark/>
          </w:tcPr>
          <w:p w14:paraId="6005CCC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A48.2</w:t>
            </w:r>
          </w:p>
        </w:tc>
        <w:tc>
          <w:tcPr>
            <w:tcW w:w="8560" w:type="dxa"/>
            <w:shd w:val="clear" w:color="auto" w:fill="auto"/>
            <w:noWrap/>
            <w:vAlign w:val="bottom"/>
            <w:hideMark/>
          </w:tcPr>
          <w:p w14:paraId="598DEA7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Aspiration of lesion of spinal cord</w:t>
            </w:r>
          </w:p>
        </w:tc>
      </w:tr>
      <w:tr w:rsidR="002030E7" w:rsidRPr="00BD2D79" w14:paraId="699BAF74" w14:textId="77777777" w:rsidTr="007329B9">
        <w:trPr>
          <w:trHeight w:val="255"/>
        </w:trPr>
        <w:tc>
          <w:tcPr>
            <w:tcW w:w="960" w:type="dxa"/>
            <w:shd w:val="clear" w:color="auto" w:fill="auto"/>
            <w:vAlign w:val="center"/>
            <w:hideMark/>
          </w:tcPr>
          <w:p w14:paraId="183F3B7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A48.3</w:t>
            </w:r>
          </w:p>
        </w:tc>
        <w:tc>
          <w:tcPr>
            <w:tcW w:w="8560" w:type="dxa"/>
            <w:shd w:val="clear" w:color="auto" w:fill="auto"/>
            <w:noWrap/>
            <w:vAlign w:val="bottom"/>
            <w:hideMark/>
          </w:tcPr>
          <w:p w14:paraId="4CDA312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Insertion of neurostimulator adjacent to spinal cord</w:t>
            </w:r>
          </w:p>
        </w:tc>
      </w:tr>
      <w:tr w:rsidR="002030E7" w:rsidRPr="00BD2D79" w14:paraId="405F74FA" w14:textId="77777777" w:rsidTr="007329B9">
        <w:trPr>
          <w:trHeight w:val="255"/>
        </w:trPr>
        <w:tc>
          <w:tcPr>
            <w:tcW w:w="960" w:type="dxa"/>
            <w:shd w:val="clear" w:color="auto" w:fill="auto"/>
            <w:vAlign w:val="center"/>
            <w:hideMark/>
          </w:tcPr>
          <w:p w14:paraId="14A6E7A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A48.4</w:t>
            </w:r>
          </w:p>
        </w:tc>
        <w:tc>
          <w:tcPr>
            <w:tcW w:w="8560" w:type="dxa"/>
            <w:shd w:val="clear" w:color="auto" w:fill="auto"/>
            <w:noWrap/>
            <w:vAlign w:val="bottom"/>
            <w:hideMark/>
          </w:tcPr>
          <w:p w14:paraId="6210FA4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Attention to neurostimulator adjacent to spinal cord NEC</w:t>
            </w:r>
          </w:p>
        </w:tc>
      </w:tr>
      <w:tr w:rsidR="002030E7" w:rsidRPr="00BD2D79" w14:paraId="70CFE398" w14:textId="77777777" w:rsidTr="007329B9">
        <w:trPr>
          <w:trHeight w:val="255"/>
        </w:trPr>
        <w:tc>
          <w:tcPr>
            <w:tcW w:w="960" w:type="dxa"/>
            <w:shd w:val="clear" w:color="auto" w:fill="auto"/>
            <w:vAlign w:val="center"/>
            <w:hideMark/>
          </w:tcPr>
          <w:p w14:paraId="2917713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A48.6</w:t>
            </w:r>
          </w:p>
        </w:tc>
        <w:tc>
          <w:tcPr>
            <w:tcW w:w="8560" w:type="dxa"/>
            <w:shd w:val="clear" w:color="auto" w:fill="auto"/>
            <w:noWrap/>
            <w:vAlign w:val="bottom"/>
            <w:hideMark/>
          </w:tcPr>
          <w:p w14:paraId="035F0F0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Removal of neurostimulator adjacent to spinal cord</w:t>
            </w:r>
          </w:p>
        </w:tc>
      </w:tr>
      <w:tr w:rsidR="002030E7" w:rsidRPr="00BD2D79" w14:paraId="533D0BD7" w14:textId="77777777" w:rsidTr="007329B9">
        <w:trPr>
          <w:trHeight w:val="255"/>
        </w:trPr>
        <w:tc>
          <w:tcPr>
            <w:tcW w:w="960" w:type="dxa"/>
            <w:shd w:val="clear" w:color="auto" w:fill="auto"/>
            <w:vAlign w:val="center"/>
            <w:hideMark/>
          </w:tcPr>
          <w:p w14:paraId="725B219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A48.7</w:t>
            </w:r>
          </w:p>
        </w:tc>
        <w:tc>
          <w:tcPr>
            <w:tcW w:w="8560" w:type="dxa"/>
            <w:shd w:val="clear" w:color="auto" w:fill="auto"/>
            <w:noWrap/>
            <w:vAlign w:val="bottom"/>
            <w:hideMark/>
          </w:tcPr>
          <w:p w14:paraId="2D23D8B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Insertion of neurostimulator electrodes into the spinal cord</w:t>
            </w:r>
          </w:p>
        </w:tc>
      </w:tr>
      <w:tr w:rsidR="002030E7" w:rsidRPr="00BD2D79" w14:paraId="3895C036" w14:textId="77777777" w:rsidTr="007329B9">
        <w:trPr>
          <w:trHeight w:val="255"/>
        </w:trPr>
        <w:tc>
          <w:tcPr>
            <w:tcW w:w="960" w:type="dxa"/>
            <w:shd w:val="clear" w:color="auto" w:fill="auto"/>
            <w:vAlign w:val="center"/>
            <w:hideMark/>
          </w:tcPr>
          <w:p w14:paraId="67FC158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A48.8</w:t>
            </w:r>
          </w:p>
        </w:tc>
        <w:tc>
          <w:tcPr>
            <w:tcW w:w="8560" w:type="dxa"/>
            <w:shd w:val="clear" w:color="auto" w:fill="auto"/>
            <w:noWrap/>
            <w:vAlign w:val="bottom"/>
            <w:hideMark/>
          </w:tcPr>
          <w:p w14:paraId="4CD23DB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operations on spinal cord</w:t>
            </w:r>
          </w:p>
        </w:tc>
      </w:tr>
      <w:tr w:rsidR="002030E7" w:rsidRPr="00BD2D79" w14:paraId="75034E55" w14:textId="77777777" w:rsidTr="007329B9">
        <w:trPr>
          <w:trHeight w:val="255"/>
        </w:trPr>
        <w:tc>
          <w:tcPr>
            <w:tcW w:w="960" w:type="dxa"/>
            <w:shd w:val="clear" w:color="auto" w:fill="auto"/>
            <w:vAlign w:val="center"/>
            <w:hideMark/>
          </w:tcPr>
          <w:p w14:paraId="63FBBCB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A49.1</w:t>
            </w:r>
          </w:p>
        </w:tc>
        <w:tc>
          <w:tcPr>
            <w:tcW w:w="8560" w:type="dxa"/>
            <w:shd w:val="clear" w:color="auto" w:fill="auto"/>
            <w:noWrap/>
            <w:vAlign w:val="bottom"/>
            <w:hideMark/>
          </w:tcPr>
          <w:p w14:paraId="4B82D3C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Freeing of spinal tether NEC</w:t>
            </w:r>
          </w:p>
        </w:tc>
      </w:tr>
      <w:tr w:rsidR="002030E7" w:rsidRPr="00BD2D79" w14:paraId="02225E4B" w14:textId="77777777" w:rsidTr="007329B9">
        <w:trPr>
          <w:trHeight w:val="255"/>
        </w:trPr>
        <w:tc>
          <w:tcPr>
            <w:tcW w:w="960" w:type="dxa"/>
            <w:shd w:val="clear" w:color="auto" w:fill="auto"/>
            <w:vAlign w:val="center"/>
            <w:hideMark/>
          </w:tcPr>
          <w:p w14:paraId="1AE1194E"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A49.2</w:t>
            </w:r>
          </w:p>
        </w:tc>
        <w:tc>
          <w:tcPr>
            <w:tcW w:w="8560" w:type="dxa"/>
            <w:shd w:val="clear" w:color="auto" w:fill="auto"/>
            <w:noWrap/>
            <w:vAlign w:val="bottom"/>
            <w:hideMark/>
          </w:tcPr>
          <w:p w14:paraId="4894739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Closure of spinal myelomeningocele</w:t>
            </w:r>
          </w:p>
        </w:tc>
      </w:tr>
      <w:tr w:rsidR="002030E7" w:rsidRPr="00BD2D79" w14:paraId="502BD39C" w14:textId="77777777" w:rsidTr="007329B9">
        <w:trPr>
          <w:trHeight w:val="255"/>
        </w:trPr>
        <w:tc>
          <w:tcPr>
            <w:tcW w:w="960" w:type="dxa"/>
            <w:shd w:val="clear" w:color="auto" w:fill="auto"/>
            <w:vAlign w:val="center"/>
            <w:hideMark/>
          </w:tcPr>
          <w:p w14:paraId="7B8803D6"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A49.3</w:t>
            </w:r>
          </w:p>
        </w:tc>
        <w:tc>
          <w:tcPr>
            <w:tcW w:w="8560" w:type="dxa"/>
            <w:shd w:val="clear" w:color="auto" w:fill="auto"/>
            <w:noWrap/>
            <w:vAlign w:val="bottom"/>
            <w:hideMark/>
          </w:tcPr>
          <w:p w14:paraId="2C08297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Closure of spinal meningocele</w:t>
            </w:r>
          </w:p>
        </w:tc>
      </w:tr>
      <w:tr w:rsidR="002030E7" w:rsidRPr="00BD2D79" w14:paraId="4254DBE6" w14:textId="77777777" w:rsidTr="007329B9">
        <w:trPr>
          <w:trHeight w:val="255"/>
        </w:trPr>
        <w:tc>
          <w:tcPr>
            <w:tcW w:w="960" w:type="dxa"/>
            <w:shd w:val="clear" w:color="auto" w:fill="auto"/>
            <w:vAlign w:val="center"/>
            <w:hideMark/>
          </w:tcPr>
          <w:p w14:paraId="3C61DA8B"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A49.4</w:t>
            </w:r>
          </w:p>
        </w:tc>
        <w:tc>
          <w:tcPr>
            <w:tcW w:w="8560" w:type="dxa"/>
            <w:shd w:val="clear" w:color="auto" w:fill="auto"/>
            <w:noWrap/>
            <w:vAlign w:val="bottom"/>
            <w:hideMark/>
          </w:tcPr>
          <w:p w14:paraId="1109DC4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Complex freeing of spinal tether</w:t>
            </w:r>
          </w:p>
        </w:tc>
      </w:tr>
      <w:tr w:rsidR="002030E7" w:rsidRPr="00BD2D79" w14:paraId="6279A0FB" w14:textId="77777777" w:rsidTr="007329B9">
        <w:trPr>
          <w:trHeight w:val="255"/>
        </w:trPr>
        <w:tc>
          <w:tcPr>
            <w:tcW w:w="960" w:type="dxa"/>
            <w:shd w:val="clear" w:color="auto" w:fill="auto"/>
            <w:vAlign w:val="center"/>
            <w:hideMark/>
          </w:tcPr>
          <w:p w14:paraId="4C84D84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A49.8</w:t>
            </w:r>
          </w:p>
        </w:tc>
        <w:tc>
          <w:tcPr>
            <w:tcW w:w="8560" w:type="dxa"/>
            <w:shd w:val="clear" w:color="auto" w:fill="auto"/>
            <w:noWrap/>
            <w:vAlign w:val="bottom"/>
            <w:hideMark/>
          </w:tcPr>
          <w:p w14:paraId="1F6AE25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repair of spina bifida</w:t>
            </w:r>
          </w:p>
        </w:tc>
      </w:tr>
      <w:tr w:rsidR="002030E7" w:rsidRPr="00BD2D79" w14:paraId="67ABA4B0" w14:textId="77777777" w:rsidTr="007329B9">
        <w:trPr>
          <w:trHeight w:val="255"/>
        </w:trPr>
        <w:tc>
          <w:tcPr>
            <w:tcW w:w="960" w:type="dxa"/>
            <w:shd w:val="clear" w:color="auto" w:fill="auto"/>
            <w:vAlign w:val="center"/>
            <w:hideMark/>
          </w:tcPr>
          <w:p w14:paraId="6F21AFA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A49.9</w:t>
            </w:r>
          </w:p>
        </w:tc>
        <w:tc>
          <w:tcPr>
            <w:tcW w:w="8560" w:type="dxa"/>
            <w:shd w:val="clear" w:color="auto" w:fill="auto"/>
            <w:noWrap/>
            <w:vAlign w:val="bottom"/>
            <w:hideMark/>
          </w:tcPr>
          <w:p w14:paraId="7A5D484D"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repair of spina bifida</w:t>
            </w:r>
          </w:p>
        </w:tc>
      </w:tr>
      <w:tr w:rsidR="002030E7" w:rsidRPr="00BD2D79" w14:paraId="136FE3E0" w14:textId="77777777" w:rsidTr="007329B9">
        <w:trPr>
          <w:trHeight w:val="255"/>
        </w:trPr>
        <w:tc>
          <w:tcPr>
            <w:tcW w:w="960" w:type="dxa"/>
            <w:shd w:val="clear" w:color="auto" w:fill="auto"/>
            <w:vAlign w:val="center"/>
            <w:hideMark/>
          </w:tcPr>
          <w:p w14:paraId="3ED9D16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A51.1</w:t>
            </w:r>
          </w:p>
        </w:tc>
        <w:tc>
          <w:tcPr>
            <w:tcW w:w="8560" w:type="dxa"/>
            <w:shd w:val="clear" w:color="auto" w:fill="auto"/>
            <w:noWrap/>
            <w:vAlign w:val="bottom"/>
            <w:hideMark/>
          </w:tcPr>
          <w:p w14:paraId="454216C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Extirpation of lesion of meninges of spinal cord</w:t>
            </w:r>
          </w:p>
        </w:tc>
      </w:tr>
      <w:tr w:rsidR="002030E7" w:rsidRPr="00BD2D79" w14:paraId="778C25BE" w14:textId="77777777" w:rsidTr="007329B9">
        <w:trPr>
          <w:trHeight w:val="255"/>
        </w:trPr>
        <w:tc>
          <w:tcPr>
            <w:tcW w:w="960" w:type="dxa"/>
            <w:shd w:val="clear" w:color="auto" w:fill="auto"/>
            <w:vAlign w:val="center"/>
            <w:hideMark/>
          </w:tcPr>
          <w:p w14:paraId="4685C23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A51.2</w:t>
            </w:r>
          </w:p>
        </w:tc>
        <w:tc>
          <w:tcPr>
            <w:tcW w:w="8560" w:type="dxa"/>
            <w:shd w:val="clear" w:color="auto" w:fill="auto"/>
            <w:noWrap/>
            <w:vAlign w:val="bottom"/>
            <w:hideMark/>
          </w:tcPr>
          <w:p w14:paraId="1478C0E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Freeing of adhesions of meninges of spinal cord</w:t>
            </w:r>
          </w:p>
        </w:tc>
      </w:tr>
      <w:tr w:rsidR="002030E7" w:rsidRPr="00BD2D79" w14:paraId="6F420CBE" w14:textId="77777777" w:rsidTr="007329B9">
        <w:trPr>
          <w:trHeight w:val="255"/>
        </w:trPr>
        <w:tc>
          <w:tcPr>
            <w:tcW w:w="960" w:type="dxa"/>
            <w:shd w:val="clear" w:color="auto" w:fill="auto"/>
            <w:vAlign w:val="center"/>
            <w:hideMark/>
          </w:tcPr>
          <w:p w14:paraId="5690D81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A51.3</w:t>
            </w:r>
          </w:p>
        </w:tc>
        <w:tc>
          <w:tcPr>
            <w:tcW w:w="8560" w:type="dxa"/>
            <w:shd w:val="clear" w:color="auto" w:fill="auto"/>
            <w:noWrap/>
            <w:vAlign w:val="bottom"/>
            <w:hideMark/>
          </w:tcPr>
          <w:p w14:paraId="0DBEE41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Biopsy of lesion of meninges of spinal cord</w:t>
            </w:r>
          </w:p>
        </w:tc>
      </w:tr>
      <w:tr w:rsidR="002030E7" w:rsidRPr="00BD2D79" w14:paraId="70EBDC94" w14:textId="77777777" w:rsidTr="007329B9">
        <w:trPr>
          <w:trHeight w:val="255"/>
        </w:trPr>
        <w:tc>
          <w:tcPr>
            <w:tcW w:w="960" w:type="dxa"/>
            <w:shd w:val="clear" w:color="auto" w:fill="auto"/>
            <w:vAlign w:val="center"/>
            <w:hideMark/>
          </w:tcPr>
          <w:p w14:paraId="53EFB78E"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A51.8</w:t>
            </w:r>
          </w:p>
        </w:tc>
        <w:tc>
          <w:tcPr>
            <w:tcW w:w="8560" w:type="dxa"/>
            <w:shd w:val="clear" w:color="auto" w:fill="auto"/>
            <w:noWrap/>
            <w:vAlign w:val="bottom"/>
            <w:hideMark/>
          </w:tcPr>
          <w:p w14:paraId="2E619708"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operations on meninges of spinal cord</w:t>
            </w:r>
          </w:p>
        </w:tc>
      </w:tr>
      <w:tr w:rsidR="002030E7" w:rsidRPr="00BD2D79" w14:paraId="62DB2BFD" w14:textId="77777777" w:rsidTr="007329B9">
        <w:trPr>
          <w:trHeight w:val="255"/>
        </w:trPr>
        <w:tc>
          <w:tcPr>
            <w:tcW w:w="960" w:type="dxa"/>
            <w:shd w:val="clear" w:color="auto" w:fill="auto"/>
            <w:vAlign w:val="center"/>
            <w:hideMark/>
          </w:tcPr>
          <w:p w14:paraId="237A0F5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A51.9</w:t>
            </w:r>
          </w:p>
        </w:tc>
        <w:tc>
          <w:tcPr>
            <w:tcW w:w="8560" w:type="dxa"/>
            <w:shd w:val="clear" w:color="auto" w:fill="auto"/>
            <w:noWrap/>
            <w:vAlign w:val="bottom"/>
            <w:hideMark/>
          </w:tcPr>
          <w:p w14:paraId="1CAAE33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other operations on meninges of spinal cord</w:t>
            </w:r>
          </w:p>
        </w:tc>
      </w:tr>
      <w:tr w:rsidR="002030E7" w:rsidRPr="00BD2D79" w14:paraId="5CEFDA40" w14:textId="77777777" w:rsidTr="007329B9">
        <w:trPr>
          <w:trHeight w:val="255"/>
        </w:trPr>
        <w:tc>
          <w:tcPr>
            <w:tcW w:w="960" w:type="dxa"/>
            <w:shd w:val="clear" w:color="auto" w:fill="auto"/>
            <w:vAlign w:val="center"/>
            <w:hideMark/>
          </w:tcPr>
          <w:p w14:paraId="0D336A8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A53.1</w:t>
            </w:r>
          </w:p>
        </w:tc>
        <w:tc>
          <w:tcPr>
            <w:tcW w:w="8560" w:type="dxa"/>
            <w:shd w:val="clear" w:color="auto" w:fill="auto"/>
            <w:noWrap/>
            <w:vAlign w:val="bottom"/>
            <w:hideMark/>
          </w:tcPr>
          <w:p w14:paraId="088B23F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Cerebrospinal syringostomy</w:t>
            </w:r>
          </w:p>
        </w:tc>
      </w:tr>
      <w:tr w:rsidR="002030E7" w:rsidRPr="00BD2D79" w14:paraId="1A7E8F1A" w14:textId="77777777" w:rsidTr="007329B9">
        <w:trPr>
          <w:trHeight w:val="255"/>
        </w:trPr>
        <w:tc>
          <w:tcPr>
            <w:tcW w:w="960" w:type="dxa"/>
            <w:shd w:val="clear" w:color="auto" w:fill="auto"/>
            <w:vAlign w:val="center"/>
            <w:hideMark/>
          </w:tcPr>
          <w:p w14:paraId="7894BE6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A53.3</w:t>
            </w:r>
          </w:p>
        </w:tc>
        <w:tc>
          <w:tcPr>
            <w:tcW w:w="8560" w:type="dxa"/>
            <w:shd w:val="clear" w:color="auto" w:fill="auto"/>
            <w:noWrap/>
            <w:vAlign w:val="bottom"/>
            <w:hideMark/>
          </w:tcPr>
          <w:p w14:paraId="7D5AABD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Creation of syringoperitoneal shunt</w:t>
            </w:r>
          </w:p>
        </w:tc>
      </w:tr>
      <w:tr w:rsidR="002030E7" w:rsidRPr="00BD2D79" w14:paraId="02BDF43F" w14:textId="77777777" w:rsidTr="007329B9">
        <w:trPr>
          <w:trHeight w:val="255"/>
        </w:trPr>
        <w:tc>
          <w:tcPr>
            <w:tcW w:w="960" w:type="dxa"/>
            <w:shd w:val="clear" w:color="auto" w:fill="auto"/>
            <w:vAlign w:val="center"/>
            <w:hideMark/>
          </w:tcPr>
          <w:p w14:paraId="04449D0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A57.1</w:t>
            </w:r>
          </w:p>
        </w:tc>
        <w:tc>
          <w:tcPr>
            <w:tcW w:w="8560" w:type="dxa"/>
            <w:shd w:val="clear" w:color="auto" w:fill="auto"/>
            <w:noWrap/>
            <w:vAlign w:val="bottom"/>
            <w:hideMark/>
          </w:tcPr>
          <w:p w14:paraId="574810E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Extirpation of lesion of spinal nerve root</w:t>
            </w:r>
          </w:p>
        </w:tc>
      </w:tr>
      <w:tr w:rsidR="002030E7" w:rsidRPr="00BD2D79" w14:paraId="290E7C2A" w14:textId="77777777" w:rsidTr="007329B9">
        <w:trPr>
          <w:trHeight w:val="255"/>
        </w:trPr>
        <w:tc>
          <w:tcPr>
            <w:tcW w:w="960" w:type="dxa"/>
            <w:shd w:val="clear" w:color="auto" w:fill="auto"/>
            <w:vAlign w:val="center"/>
            <w:hideMark/>
          </w:tcPr>
          <w:p w14:paraId="4C4FC57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A57.6</w:t>
            </w:r>
          </w:p>
        </w:tc>
        <w:tc>
          <w:tcPr>
            <w:tcW w:w="8560" w:type="dxa"/>
            <w:shd w:val="clear" w:color="auto" w:fill="auto"/>
            <w:noWrap/>
            <w:vAlign w:val="bottom"/>
            <w:hideMark/>
          </w:tcPr>
          <w:p w14:paraId="2B564E8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Reimplantation of spinal nerves into spinal cord</w:t>
            </w:r>
          </w:p>
        </w:tc>
      </w:tr>
      <w:tr w:rsidR="002030E7" w:rsidRPr="00BD2D79" w14:paraId="5382BC00" w14:textId="77777777" w:rsidTr="007329B9">
        <w:trPr>
          <w:trHeight w:val="255"/>
        </w:trPr>
        <w:tc>
          <w:tcPr>
            <w:tcW w:w="960" w:type="dxa"/>
            <w:shd w:val="clear" w:color="auto" w:fill="auto"/>
            <w:vAlign w:val="center"/>
            <w:hideMark/>
          </w:tcPr>
          <w:p w14:paraId="2BBE0DC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A57.8</w:t>
            </w:r>
          </w:p>
        </w:tc>
        <w:tc>
          <w:tcPr>
            <w:tcW w:w="8560" w:type="dxa"/>
            <w:shd w:val="clear" w:color="auto" w:fill="auto"/>
            <w:noWrap/>
            <w:vAlign w:val="bottom"/>
            <w:hideMark/>
          </w:tcPr>
          <w:p w14:paraId="35247AA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operations on spinal nerve root</w:t>
            </w:r>
          </w:p>
        </w:tc>
      </w:tr>
      <w:tr w:rsidR="002030E7" w:rsidRPr="00BD2D79" w14:paraId="0C56AC38" w14:textId="77777777" w:rsidTr="007329B9">
        <w:trPr>
          <w:trHeight w:val="255"/>
        </w:trPr>
        <w:tc>
          <w:tcPr>
            <w:tcW w:w="960" w:type="dxa"/>
            <w:shd w:val="clear" w:color="auto" w:fill="auto"/>
            <w:vAlign w:val="center"/>
            <w:hideMark/>
          </w:tcPr>
          <w:p w14:paraId="59732996"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A57.9</w:t>
            </w:r>
          </w:p>
        </w:tc>
        <w:tc>
          <w:tcPr>
            <w:tcW w:w="8560" w:type="dxa"/>
            <w:shd w:val="clear" w:color="auto" w:fill="auto"/>
            <w:noWrap/>
            <w:vAlign w:val="bottom"/>
            <w:hideMark/>
          </w:tcPr>
          <w:p w14:paraId="320F3450"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operations on spinal nerve root</w:t>
            </w:r>
          </w:p>
        </w:tc>
      </w:tr>
      <w:tr w:rsidR="002030E7" w:rsidRPr="00BD2D79" w14:paraId="2FDAF272" w14:textId="77777777" w:rsidTr="007329B9">
        <w:trPr>
          <w:trHeight w:val="255"/>
        </w:trPr>
        <w:tc>
          <w:tcPr>
            <w:tcW w:w="960" w:type="dxa"/>
            <w:shd w:val="clear" w:color="auto" w:fill="auto"/>
            <w:vAlign w:val="center"/>
            <w:hideMark/>
          </w:tcPr>
          <w:p w14:paraId="74199AE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B01.1</w:t>
            </w:r>
          </w:p>
        </w:tc>
        <w:tc>
          <w:tcPr>
            <w:tcW w:w="8560" w:type="dxa"/>
            <w:shd w:val="clear" w:color="auto" w:fill="auto"/>
            <w:noWrap/>
            <w:vAlign w:val="bottom"/>
            <w:hideMark/>
          </w:tcPr>
          <w:p w14:paraId="1559C4A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Transethmoidal hypophysectomy</w:t>
            </w:r>
          </w:p>
        </w:tc>
      </w:tr>
      <w:tr w:rsidR="002030E7" w:rsidRPr="00BD2D79" w14:paraId="4D932ACF" w14:textId="77777777" w:rsidTr="007329B9">
        <w:trPr>
          <w:trHeight w:val="255"/>
        </w:trPr>
        <w:tc>
          <w:tcPr>
            <w:tcW w:w="960" w:type="dxa"/>
            <w:shd w:val="clear" w:color="auto" w:fill="auto"/>
            <w:vAlign w:val="center"/>
            <w:hideMark/>
          </w:tcPr>
          <w:p w14:paraId="7D93D1D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B01.2</w:t>
            </w:r>
          </w:p>
        </w:tc>
        <w:tc>
          <w:tcPr>
            <w:tcW w:w="8560" w:type="dxa"/>
            <w:shd w:val="clear" w:color="auto" w:fill="auto"/>
            <w:noWrap/>
            <w:vAlign w:val="bottom"/>
            <w:hideMark/>
          </w:tcPr>
          <w:p w14:paraId="2AE5D11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Trans-sphenoidal hypophysectomy</w:t>
            </w:r>
          </w:p>
        </w:tc>
      </w:tr>
      <w:tr w:rsidR="002030E7" w:rsidRPr="00BD2D79" w14:paraId="61B642A5" w14:textId="77777777" w:rsidTr="007329B9">
        <w:trPr>
          <w:trHeight w:val="255"/>
        </w:trPr>
        <w:tc>
          <w:tcPr>
            <w:tcW w:w="960" w:type="dxa"/>
            <w:shd w:val="clear" w:color="auto" w:fill="auto"/>
            <w:vAlign w:val="center"/>
            <w:hideMark/>
          </w:tcPr>
          <w:p w14:paraId="21DE1DAB"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B01.4</w:t>
            </w:r>
          </w:p>
        </w:tc>
        <w:tc>
          <w:tcPr>
            <w:tcW w:w="8560" w:type="dxa"/>
            <w:shd w:val="clear" w:color="auto" w:fill="auto"/>
            <w:noWrap/>
            <w:vAlign w:val="bottom"/>
            <w:hideMark/>
          </w:tcPr>
          <w:p w14:paraId="6124F41F"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Transcranial hypophysectomy</w:t>
            </w:r>
          </w:p>
        </w:tc>
      </w:tr>
      <w:tr w:rsidR="002030E7" w:rsidRPr="00BD2D79" w14:paraId="1D16207A" w14:textId="77777777" w:rsidTr="007329B9">
        <w:trPr>
          <w:trHeight w:val="255"/>
        </w:trPr>
        <w:tc>
          <w:tcPr>
            <w:tcW w:w="960" w:type="dxa"/>
            <w:shd w:val="clear" w:color="auto" w:fill="auto"/>
            <w:vAlign w:val="center"/>
          </w:tcPr>
          <w:p w14:paraId="282797A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B01.8</w:t>
            </w:r>
          </w:p>
        </w:tc>
        <w:tc>
          <w:tcPr>
            <w:tcW w:w="8560" w:type="dxa"/>
            <w:shd w:val="clear" w:color="auto" w:fill="auto"/>
            <w:noWrap/>
            <w:vAlign w:val="bottom"/>
          </w:tcPr>
          <w:p w14:paraId="11F2724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excision of pituitary gland</w:t>
            </w:r>
          </w:p>
        </w:tc>
      </w:tr>
      <w:tr w:rsidR="002030E7" w:rsidRPr="00BD2D79" w14:paraId="10C396E4" w14:textId="77777777" w:rsidTr="007329B9">
        <w:trPr>
          <w:trHeight w:val="255"/>
        </w:trPr>
        <w:tc>
          <w:tcPr>
            <w:tcW w:w="960" w:type="dxa"/>
            <w:shd w:val="clear" w:color="auto" w:fill="auto"/>
            <w:vAlign w:val="center"/>
            <w:hideMark/>
          </w:tcPr>
          <w:p w14:paraId="74E89B4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B02.2</w:t>
            </w:r>
          </w:p>
        </w:tc>
        <w:tc>
          <w:tcPr>
            <w:tcW w:w="8560" w:type="dxa"/>
            <w:shd w:val="clear" w:color="auto" w:fill="auto"/>
            <w:noWrap/>
            <w:vAlign w:val="bottom"/>
            <w:hideMark/>
          </w:tcPr>
          <w:p w14:paraId="1A9993B0"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Implantation of radioactive substance into pituitary gland</w:t>
            </w:r>
          </w:p>
        </w:tc>
      </w:tr>
      <w:tr w:rsidR="002030E7" w:rsidRPr="00BD2D79" w14:paraId="24467CB9" w14:textId="77777777" w:rsidTr="007329B9">
        <w:trPr>
          <w:trHeight w:val="255"/>
        </w:trPr>
        <w:tc>
          <w:tcPr>
            <w:tcW w:w="960" w:type="dxa"/>
            <w:shd w:val="clear" w:color="auto" w:fill="auto"/>
            <w:vAlign w:val="center"/>
            <w:hideMark/>
          </w:tcPr>
          <w:p w14:paraId="3A80550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B04.1</w:t>
            </w:r>
          </w:p>
        </w:tc>
        <w:tc>
          <w:tcPr>
            <w:tcW w:w="8560" w:type="dxa"/>
            <w:shd w:val="clear" w:color="auto" w:fill="auto"/>
            <w:noWrap/>
            <w:vAlign w:val="bottom"/>
            <w:hideMark/>
          </w:tcPr>
          <w:p w14:paraId="684B1A8D"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lesion of pituitary gland</w:t>
            </w:r>
          </w:p>
        </w:tc>
      </w:tr>
      <w:tr w:rsidR="002030E7" w:rsidRPr="00BD2D79" w14:paraId="663F574A" w14:textId="77777777" w:rsidTr="007329B9">
        <w:trPr>
          <w:trHeight w:val="255"/>
        </w:trPr>
        <w:tc>
          <w:tcPr>
            <w:tcW w:w="960" w:type="dxa"/>
            <w:shd w:val="clear" w:color="auto" w:fill="auto"/>
            <w:vAlign w:val="center"/>
            <w:hideMark/>
          </w:tcPr>
          <w:p w14:paraId="3F2B957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B04.2</w:t>
            </w:r>
          </w:p>
        </w:tc>
        <w:tc>
          <w:tcPr>
            <w:tcW w:w="8560" w:type="dxa"/>
            <w:shd w:val="clear" w:color="auto" w:fill="auto"/>
            <w:noWrap/>
            <w:vAlign w:val="bottom"/>
            <w:hideMark/>
          </w:tcPr>
          <w:p w14:paraId="0611719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Biopsy of lesion of pituitary gland</w:t>
            </w:r>
          </w:p>
        </w:tc>
      </w:tr>
      <w:tr w:rsidR="002030E7" w:rsidRPr="00BD2D79" w14:paraId="54918F17" w14:textId="77777777" w:rsidTr="007329B9">
        <w:trPr>
          <w:trHeight w:val="255"/>
        </w:trPr>
        <w:tc>
          <w:tcPr>
            <w:tcW w:w="960" w:type="dxa"/>
            <w:shd w:val="clear" w:color="auto" w:fill="auto"/>
            <w:vAlign w:val="center"/>
            <w:hideMark/>
          </w:tcPr>
          <w:p w14:paraId="27049CE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B04.3</w:t>
            </w:r>
          </w:p>
        </w:tc>
        <w:tc>
          <w:tcPr>
            <w:tcW w:w="8560" w:type="dxa"/>
            <w:shd w:val="clear" w:color="auto" w:fill="auto"/>
            <w:noWrap/>
            <w:vAlign w:val="bottom"/>
            <w:hideMark/>
          </w:tcPr>
          <w:p w14:paraId="77034C4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Decompression of pituitary gland</w:t>
            </w:r>
          </w:p>
        </w:tc>
      </w:tr>
      <w:tr w:rsidR="002030E7" w:rsidRPr="00BD2D79" w14:paraId="076504DA" w14:textId="77777777" w:rsidTr="007329B9">
        <w:trPr>
          <w:trHeight w:val="255"/>
        </w:trPr>
        <w:tc>
          <w:tcPr>
            <w:tcW w:w="960" w:type="dxa"/>
            <w:shd w:val="clear" w:color="auto" w:fill="auto"/>
            <w:vAlign w:val="center"/>
            <w:hideMark/>
          </w:tcPr>
          <w:p w14:paraId="6F2B3CA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B04.4</w:t>
            </w:r>
          </w:p>
        </w:tc>
        <w:tc>
          <w:tcPr>
            <w:tcW w:w="8560" w:type="dxa"/>
            <w:shd w:val="clear" w:color="auto" w:fill="auto"/>
            <w:noWrap/>
            <w:vAlign w:val="bottom"/>
            <w:hideMark/>
          </w:tcPr>
          <w:p w14:paraId="68C2773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Exploration of pituitary gland</w:t>
            </w:r>
          </w:p>
        </w:tc>
      </w:tr>
      <w:tr w:rsidR="002030E7" w:rsidRPr="00BD2D79" w14:paraId="13354B7A" w14:textId="77777777" w:rsidTr="007329B9">
        <w:trPr>
          <w:trHeight w:val="255"/>
        </w:trPr>
        <w:tc>
          <w:tcPr>
            <w:tcW w:w="960" w:type="dxa"/>
            <w:shd w:val="clear" w:color="auto" w:fill="auto"/>
            <w:vAlign w:val="center"/>
            <w:hideMark/>
          </w:tcPr>
          <w:p w14:paraId="4977E0A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B04.5</w:t>
            </w:r>
          </w:p>
        </w:tc>
        <w:tc>
          <w:tcPr>
            <w:tcW w:w="8560" w:type="dxa"/>
            <w:shd w:val="clear" w:color="auto" w:fill="auto"/>
            <w:noWrap/>
            <w:vAlign w:val="bottom"/>
            <w:hideMark/>
          </w:tcPr>
          <w:p w14:paraId="16F369F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Operations on pituitary stalk</w:t>
            </w:r>
          </w:p>
        </w:tc>
      </w:tr>
      <w:tr w:rsidR="002030E7" w:rsidRPr="00BD2D79" w14:paraId="1F9B2DBF" w14:textId="77777777" w:rsidTr="007329B9">
        <w:trPr>
          <w:trHeight w:val="255"/>
        </w:trPr>
        <w:tc>
          <w:tcPr>
            <w:tcW w:w="960" w:type="dxa"/>
            <w:shd w:val="clear" w:color="auto" w:fill="auto"/>
            <w:vAlign w:val="center"/>
            <w:hideMark/>
          </w:tcPr>
          <w:p w14:paraId="7E9D4EE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B04.8</w:t>
            </w:r>
          </w:p>
        </w:tc>
        <w:tc>
          <w:tcPr>
            <w:tcW w:w="8560" w:type="dxa"/>
            <w:shd w:val="clear" w:color="auto" w:fill="auto"/>
            <w:noWrap/>
            <w:vAlign w:val="bottom"/>
            <w:hideMark/>
          </w:tcPr>
          <w:p w14:paraId="73E7D31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operations on pituitary gland</w:t>
            </w:r>
          </w:p>
        </w:tc>
      </w:tr>
      <w:tr w:rsidR="002030E7" w:rsidRPr="00BD2D79" w14:paraId="0815A8AF" w14:textId="77777777" w:rsidTr="007329B9">
        <w:trPr>
          <w:trHeight w:val="255"/>
        </w:trPr>
        <w:tc>
          <w:tcPr>
            <w:tcW w:w="960" w:type="dxa"/>
            <w:shd w:val="clear" w:color="auto" w:fill="auto"/>
            <w:vAlign w:val="center"/>
            <w:hideMark/>
          </w:tcPr>
          <w:p w14:paraId="1F36B80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B06.1</w:t>
            </w:r>
          </w:p>
        </w:tc>
        <w:tc>
          <w:tcPr>
            <w:tcW w:w="8560" w:type="dxa"/>
            <w:shd w:val="clear" w:color="auto" w:fill="auto"/>
            <w:noWrap/>
            <w:vAlign w:val="bottom"/>
            <w:hideMark/>
          </w:tcPr>
          <w:p w14:paraId="113DBA0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pineal gland</w:t>
            </w:r>
          </w:p>
        </w:tc>
      </w:tr>
      <w:tr w:rsidR="002030E7" w:rsidRPr="00BD2D79" w14:paraId="271BB373" w14:textId="77777777" w:rsidTr="007329B9">
        <w:trPr>
          <w:trHeight w:val="255"/>
        </w:trPr>
        <w:tc>
          <w:tcPr>
            <w:tcW w:w="960" w:type="dxa"/>
            <w:shd w:val="clear" w:color="auto" w:fill="auto"/>
            <w:vAlign w:val="center"/>
            <w:hideMark/>
          </w:tcPr>
          <w:p w14:paraId="41F4FFC4"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B06.8</w:t>
            </w:r>
          </w:p>
        </w:tc>
        <w:tc>
          <w:tcPr>
            <w:tcW w:w="8560" w:type="dxa"/>
            <w:shd w:val="clear" w:color="auto" w:fill="auto"/>
            <w:noWrap/>
            <w:vAlign w:val="bottom"/>
            <w:hideMark/>
          </w:tcPr>
          <w:p w14:paraId="6F04D2E6"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operations on pineal gland</w:t>
            </w:r>
          </w:p>
        </w:tc>
      </w:tr>
      <w:tr w:rsidR="002030E7" w:rsidRPr="00BD2D79" w14:paraId="1E0DBDAA" w14:textId="77777777" w:rsidTr="007329B9">
        <w:trPr>
          <w:trHeight w:val="255"/>
        </w:trPr>
        <w:tc>
          <w:tcPr>
            <w:tcW w:w="960" w:type="dxa"/>
            <w:shd w:val="clear" w:color="auto" w:fill="auto"/>
            <w:vAlign w:val="center"/>
            <w:hideMark/>
          </w:tcPr>
          <w:p w14:paraId="6CBFF9D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B06.9</w:t>
            </w:r>
          </w:p>
        </w:tc>
        <w:tc>
          <w:tcPr>
            <w:tcW w:w="8560" w:type="dxa"/>
            <w:shd w:val="clear" w:color="auto" w:fill="auto"/>
            <w:noWrap/>
            <w:vAlign w:val="bottom"/>
            <w:hideMark/>
          </w:tcPr>
          <w:p w14:paraId="1BE0E71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operations on pineal gland</w:t>
            </w:r>
          </w:p>
        </w:tc>
      </w:tr>
      <w:tr w:rsidR="002030E7" w:rsidRPr="00BD2D79" w14:paraId="784536B0" w14:textId="77777777" w:rsidTr="007329B9">
        <w:trPr>
          <w:trHeight w:val="255"/>
        </w:trPr>
        <w:tc>
          <w:tcPr>
            <w:tcW w:w="960" w:type="dxa"/>
            <w:shd w:val="clear" w:color="auto" w:fill="auto"/>
            <w:vAlign w:val="center"/>
            <w:hideMark/>
          </w:tcPr>
          <w:p w14:paraId="1031DC9B"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L33.1</w:t>
            </w:r>
          </w:p>
        </w:tc>
        <w:tc>
          <w:tcPr>
            <w:tcW w:w="8560" w:type="dxa"/>
            <w:shd w:val="clear" w:color="auto" w:fill="auto"/>
            <w:noWrap/>
            <w:vAlign w:val="bottom"/>
            <w:hideMark/>
          </w:tcPr>
          <w:p w14:paraId="63E8E27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aneurysm of cerebral artery</w:t>
            </w:r>
          </w:p>
        </w:tc>
      </w:tr>
      <w:tr w:rsidR="002030E7" w:rsidRPr="00BD2D79" w14:paraId="57927178" w14:textId="77777777" w:rsidTr="007329B9">
        <w:trPr>
          <w:trHeight w:val="255"/>
        </w:trPr>
        <w:tc>
          <w:tcPr>
            <w:tcW w:w="960" w:type="dxa"/>
            <w:shd w:val="clear" w:color="auto" w:fill="auto"/>
            <w:vAlign w:val="center"/>
            <w:hideMark/>
          </w:tcPr>
          <w:p w14:paraId="124FEC0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L33.2</w:t>
            </w:r>
          </w:p>
        </w:tc>
        <w:tc>
          <w:tcPr>
            <w:tcW w:w="8560" w:type="dxa"/>
            <w:shd w:val="clear" w:color="auto" w:fill="auto"/>
            <w:noWrap/>
            <w:vAlign w:val="bottom"/>
            <w:hideMark/>
          </w:tcPr>
          <w:p w14:paraId="1F1DDC20"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Clipping of aneurysm of cerebral artery</w:t>
            </w:r>
          </w:p>
        </w:tc>
      </w:tr>
      <w:tr w:rsidR="002030E7" w:rsidRPr="00BD2D79" w14:paraId="067A4459" w14:textId="77777777" w:rsidTr="007329B9">
        <w:trPr>
          <w:trHeight w:val="255"/>
        </w:trPr>
        <w:tc>
          <w:tcPr>
            <w:tcW w:w="960" w:type="dxa"/>
            <w:shd w:val="clear" w:color="auto" w:fill="auto"/>
            <w:vAlign w:val="center"/>
            <w:hideMark/>
          </w:tcPr>
          <w:p w14:paraId="2817EB2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L33.3</w:t>
            </w:r>
          </w:p>
        </w:tc>
        <w:tc>
          <w:tcPr>
            <w:tcW w:w="8560" w:type="dxa"/>
            <w:shd w:val="clear" w:color="auto" w:fill="auto"/>
            <w:noWrap/>
            <w:vAlign w:val="bottom"/>
            <w:hideMark/>
          </w:tcPr>
          <w:p w14:paraId="38A3FEFF"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Ligation of aneurysm of cerebral artery NEC</w:t>
            </w:r>
          </w:p>
        </w:tc>
      </w:tr>
      <w:tr w:rsidR="002030E7" w:rsidRPr="00BD2D79" w14:paraId="6A8A6AE9" w14:textId="77777777" w:rsidTr="007329B9">
        <w:trPr>
          <w:trHeight w:val="255"/>
        </w:trPr>
        <w:tc>
          <w:tcPr>
            <w:tcW w:w="960" w:type="dxa"/>
            <w:shd w:val="clear" w:color="auto" w:fill="auto"/>
            <w:vAlign w:val="center"/>
            <w:hideMark/>
          </w:tcPr>
          <w:p w14:paraId="1B9CB74B"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L33.4</w:t>
            </w:r>
          </w:p>
        </w:tc>
        <w:tc>
          <w:tcPr>
            <w:tcW w:w="8560" w:type="dxa"/>
            <w:shd w:val="clear" w:color="auto" w:fill="auto"/>
            <w:noWrap/>
            <w:vAlign w:val="bottom"/>
            <w:hideMark/>
          </w:tcPr>
          <w:p w14:paraId="66306B1F"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Obliteration of aneurysm of cerebral artery NEC</w:t>
            </w:r>
          </w:p>
        </w:tc>
      </w:tr>
      <w:tr w:rsidR="002030E7" w:rsidRPr="00BD2D79" w14:paraId="7FCCF4C7" w14:textId="77777777" w:rsidTr="007329B9">
        <w:trPr>
          <w:trHeight w:val="255"/>
        </w:trPr>
        <w:tc>
          <w:tcPr>
            <w:tcW w:w="960" w:type="dxa"/>
            <w:shd w:val="clear" w:color="auto" w:fill="auto"/>
            <w:vAlign w:val="center"/>
            <w:hideMark/>
          </w:tcPr>
          <w:p w14:paraId="5B34670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L33.8</w:t>
            </w:r>
          </w:p>
        </w:tc>
        <w:tc>
          <w:tcPr>
            <w:tcW w:w="8560" w:type="dxa"/>
            <w:shd w:val="clear" w:color="auto" w:fill="auto"/>
            <w:noWrap/>
            <w:vAlign w:val="bottom"/>
            <w:hideMark/>
          </w:tcPr>
          <w:p w14:paraId="04605C98"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operations on aneurysm of cerebral artery</w:t>
            </w:r>
          </w:p>
        </w:tc>
      </w:tr>
      <w:tr w:rsidR="002030E7" w:rsidRPr="00BD2D79" w14:paraId="5229B345" w14:textId="77777777" w:rsidTr="007329B9">
        <w:trPr>
          <w:trHeight w:val="255"/>
        </w:trPr>
        <w:tc>
          <w:tcPr>
            <w:tcW w:w="960" w:type="dxa"/>
            <w:shd w:val="clear" w:color="auto" w:fill="auto"/>
            <w:vAlign w:val="center"/>
            <w:hideMark/>
          </w:tcPr>
          <w:p w14:paraId="74D77405"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L34.1</w:t>
            </w:r>
          </w:p>
        </w:tc>
        <w:tc>
          <w:tcPr>
            <w:tcW w:w="8560" w:type="dxa"/>
            <w:shd w:val="clear" w:color="auto" w:fill="auto"/>
            <w:noWrap/>
            <w:vAlign w:val="bottom"/>
            <w:hideMark/>
          </w:tcPr>
          <w:p w14:paraId="088ADC1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Reconstruction of cerebral artery</w:t>
            </w:r>
          </w:p>
        </w:tc>
      </w:tr>
      <w:tr w:rsidR="002030E7" w:rsidRPr="00BD2D79" w14:paraId="3B499CDF" w14:textId="77777777" w:rsidTr="007329B9">
        <w:trPr>
          <w:trHeight w:val="255"/>
        </w:trPr>
        <w:tc>
          <w:tcPr>
            <w:tcW w:w="960" w:type="dxa"/>
            <w:shd w:val="clear" w:color="auto" w:fill="auto"/>
            <w:vAlign w:val="center"/>
            <w:hideMark/>
          </w:tcPr>
          <w:p w14:paraId="24CF4D4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L34.2</w:t>
            </w:r>
          </w:p>
        </w:tc>
        <w:tc>
          <w:tcPr>
            <w:tcW w:w="8560" w:type="dxa"/>
            <w:shd w:val="clear" w:color="auto" w:fill="auto"/>
            <w:noWrap/>
            <w:vAlign w:val="bottom"/>
            <w:hideMark/>
          </w:tcPr>
          <w:p w14:paraId="3FD3CC18"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Anastomosis of cerebral artery</w:t>
            </w:r>
          </w:p>
        </w:tc>
      </w:tr>
      <w:tr w:rsidR="002030E7" w:rsidRPr="00BD2D79" w14:paraId="1FC99320" w14:textId="77777777" w:rsidTr="007329B9">
        <w:trPr>
          <w:trHeight w:val="255"/>
        </w:trPr>
        <w:tc>
          <w:tcPr>
            <w:tcW w:w="960" w:type="dxa"/>
            <w:shd w:val="clear" w:color="auto" w:fill="auto"/>
            <w:vAlign w:val="center"/>
            <w:hideMark/>
          </w:tcPr>
          <w:p w14:paraId="1213DCE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L34.3</w:t>
            </w:r>
          </w:p>
        </w:tc>
        <w:tc>
          <w:tcPr>
            <w:tcW w:w="8560" w:type="dxa"/>
            <w:shd w:val="clear" w:color="auto" w:fill="auto"/>
            <w:noWrap/>
            <w:vAlign w:val="bottom"/>
            <w:hideMark/>
          </w:tcPr>
          <w:p w14:paraId="1F0F0F4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Open embolectomy of cerebral artery</w:t>
            </w:r>
          </w:p>
        </w:tc>
      </w:tr>
      <w:tr w:rsidR="002030E7" w:rsidRPr="00BD2D79" w14:paraId="129C81B7" w14:textId="77777777" w:rsidTr="007329B9">
        <w:trPr>
          <w:trHeight w:val="255"/>
        </w:trPr>
        <w:tc>
          <w:tcPr>
            <w:tcW w:w="960" w:type="dxa"/>
            <w:shd w:val="clear" w:color="auto" w:fill="auto"/>
            <w:vAlign w:val="center"/>
            <w:hideMark/>
          </w:tcPr>
          <w:p w14:paraId="131DE9E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L34.4</w:t>
            </w:r>
          </w:p>
        </w:tc>
        <w:tc>
          <w:tcPr>
            <w:tcW w:w="8560" w:type="dxa"/>
            <w:shd w:val="clear" w:color="auto" w:fill="auto"/>
            <w:noWrap/>
            <w:vAlign w:val="bottom"/>
            <w:hideMark/>
          </w:tcPr>
          <w:p w14:paraId="7DA3DE8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Open embolisation of cerebral artery</w:t>
            </w:r>
          </w:p>
        </w:tc>
      </w:tr>
      <w:tr w:rsidR="002030E7" w:rsidRPr="00BD2D79" w14:paraId="7110674D" w14:textId="77777777" w:rsidTr="007329B9">
        <w:trPr>
          <w:trHeight w:val="255"/>
        </w:trPr>
        <w:tc>
          <w:tcPr>
            <w:tcW w:w="960" w:type="dxa"/>
            <w:shd w:val="clear" w:color="auto" w:fill="auto"/>
            <w:vAlign w:val="center"/>
            <w:hideMark/>
          </w:tcPr>
          <w:p w14:paraId="19290474"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L34.8</w:t>
            </w:r>
          </w:p>
        </w:tc>
        <w:tc>
          <w:tcPr>
            <w:tcW w:w="8560" w:type="dxa"/>
            <w:shd w:val="clear" w:color="auto" w:fill="auto"/>
            <w:noWrap/>
            <w:vAlign w:val="bottom"/>
            <w:hideMark/>
          </w:tcPr>
          <w:p w14:paraId="559C87B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open operations on cerebral artery</w:t>
            </w:r>
          </w:p>
        </w:tc>
      </w:tr>
    </w:tbl>
    <w:p w14:paraId="1D57E8AA" w14:textId="77777777" w:rsidR="002030E7" w:rsidRPr="00BD2D79" w:rsidRDefault="002030E7" w:rsidP="002030E7">
      <w:pPr>
        <w:rPr>
          <w:rFonts w:cs="Times New Roman"/>
        </w:rPr>
      </w:pPr>
    </w:p>
    <w:p w14:paraId="5085869E" w14:textId="77777777" w:rsidR="002030E7" w:rsidRPr="00BD2D79" w:rsidRDefault="002030E7" w:rsidP="002030E7">
      <w:pPr>
        <w:rPr>
          <w:rFonts w:cs="Times New Roman"/>
        </w:rPr>
      </w:pPr>
    </w:p>
    <w:p w14:paraId="2D8A3277" w14:textId="77777777" w:rsidR="002030E7" w:rsidRPr="00BD2D79" w:rsidRDefault="002030E7" w:rsidP="002030E7">
      <w:pPr>
        <w:rPr>
          <w:rFonts w:cs="Times New Roman"/>
        </w:rPr>
      </w:pPr>
      <w:r w:rsidRPr="00BD2D79">
        <w:rPr>
          <w:rFonts w:cs="Times New Roman"/>
        </w:rPr>
        <w:t xml:space="preserve">Neuroendoscopy operations </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560"/>
      </w:tblGrid>
      <w:tr w:rsidR="002030E7" w:rsidRPr="00BD2D79" w14:paraId="76B75649" w14:textId="77777777" w:rsidTr="007329B9">
        <w:trPr>
          <w:trHeight w:val="255"/>
        </w:trPr>
        <w:tc>
          <w:tcPr>
            <w:tcW w:w="960" w:type="dxa"/>
            <w:shd w:val="clear" w:color="auto" w:fill="auto"/>
            <w:vAlign w:val="center"/>
            <w:hideMark/>
          </w:tcPr>
          <w:p w14:paraId="29BEDB9E"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A17.1</w:t>
            </w:r>
          </w:p>
        </w:tc>
        <w:tc>
          <w:tcPr>
            <w:tcW w:w="8560" w:type="dxa"/>
            <w:shd w:val="clear" w:color="auto" w:fill="auto"/>
            <w:noWrap/>
            <w:vAlign w:val="bottom"/>
            <w:hideMark/>
          </w:tcPr>
          <w:p w14:paraId="19FC14D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Endoscopic extirpation of lesion of ventricle of brain</w:t>
            </w:r>
          </w:p>
        </w:tc>
      </w:tr>
      <w:tr w:rsidR="002030E7" w:rsidRPr="00BD2D79" w14:paraId="64450590" w14:textId="77777777" w:rsidTr="007329B9">
        <w:trPr>
          <w:trHeight w:val="255"/>
        </w:trPr>
        <w:tc>
          <w:tcPr>
            <w:tcW w:w="960" w:type="dxa"/>
            <w:shd w:val="clear" w:color="auto" w:fill="auto"/>
            <w:vAlign w:val="center"/>
            <w:hideMark/>
          </w:tcPr>
          <w:p w14:paraId="72762FD8"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A17.2</w:t>
            </w:r>
          </w:p>
        </w:tc>
        <w:tc>
          <w:tcPr>
            <w:tcW w:w="8560" w:type="dxa"/>
            <w:shd w:val="clear" w:color="auto" w:fill="auto"/>
            <w:noWrap/>
            <w:vAlign w:val="bottom"/>
            <w:hideMark/>
          </w:tcPr>
          <w:p w14:paraId="3B165EF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Endoscopic third ventriculostomy</w:t>
            </w:r>
          </w:p>
        </w:tc>
      </w:tr>
      <w:tr w:rsidR="002030E7" w:rsidRPr="00BD2D79" w14:paraId="1B1D4E13" w14:textId="77777777" w:rsidTr="007329B9">
        <w:trPr>
          <w:trHeight w:val="255"/>
        </w:trPr>
        <w:tc>
          <w:tcPr>
            <w:tcW w:w="960" w:type="dxa"/>
            <w:shd w:val="clear" w:color="auto" w:fill="auto"/>
            <w:vAlign w:val="center"/>
            <w:hideMark/>
          </w:tcPr>
          <w:p w14:paraId="46F3402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A17.8</w:t>
            </w:r>
          </w:p>
        </w:tc>
        <w:tc>
          <w:tcPr>
            <w:tcW w:w="8560" w:type="dxa"/>
            <w:shd w:val="clear" w:color="auto" w:fill="auto"/>
            <w:noWrap/>
            <w:vAlign w:val="bottom"/>
            <w:hideMark/>
          </w:tcPr>
          <w:p w14:paraId="7CEFEB28"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therapeutic endoscopic operations on ventricle of brain</w:t>
            </w:r>
          </w:p>
        </w:tc>
      </w:tr>
      <w:tr w:rsidR="002030E7" w:rsidRPr="00BD2D79" w14:paraId="2FA175E5" w14:textId="77777777" w:rsidTr="007329B9">
        <w:trPr>
          <w:trHeight w:val="255"/>
        </w:trPr>
        <w:tc>
          <w:tcPr>
            <w:tcW w:w="960" w:type="dxa"/>
            <w:shd w:val="clear" w:color="auto" w:fill="auto"/>
            <w:vAlign w:val="center"/>
            <w:hideMark/>
          </w:tcPr>
          <w:p w14:paraId="4E4901F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A17.9</w:t>
            </w:r>
          </w:p>
        </w:tc>
        <w:tc>
          <w:tcPr>
            <w:tcW w:w="8560" w:type="dxa"/>
            <w:shd w:val="clear" w:color="auto" w:fill="auto"/>
            <w:noWrap/>
            <w:vAlign w:val="bottom"/>
            <w:hideMark/>
          </w:tcPr>
          <w:p w14:paraId="61DE7E5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therapeutic endoscopic operations on ventricle of brain</w:t>
            </w:r>
          </w:p>
        </w:tc>
      </w:tr>
      <w:tr w:rsidR="002030E7" w:rsidRPr="00BD2D79" w14:paraId="34950F53" w14:textId="77777777" w:rsidTr="007329B9">
        <w:trPr>
          <w:trHeight w:val="255"/>
        </w:trPr>
        <w:tc>
          <w:tcPr>
            <w:tcW w:w="960" w:type="dxa"/>
            <w:shd w:val="clear" w:color="auto" w:fill="auto"/>
            <w:vAlign w:val="center"/>
            <w:hideMark/>
          </w:tcPr>
          <w:p w14:paraId="6034A50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A18.1</w:t>
            </w:r>
          </w:p>
        </w:tc>
        <w:tc>
          <w:tcPr>
            <w:tcW w:w="8560" w:type="dxa"/>
            <w:shd w:val="clear" w:color="auto" w:fill="auto"/>
            <w:noWrap/>
            <w:vAlign w:val="bottom"/>
            <w:hideMark/>
          </w:tcPr>
          <w:p w14:paraId="5EAD2C9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Diagnostic endoscopic examination of ventricle of brain and biopsy of lesion of ventricle of brain</w:t>
            </w:r>
          </w:p>
        </w:tc>
      </w:tr>
      <w:tr w:rsidR="002030E7" w:rsidRPr="00BD2D79" w14:paraId="44BECA1D" w14:textId="77777777" w:rsidTr="007329B9">
        <w:trPr>
          <w:trHeight w:val="255"/>
        </w:trPr>
        <w:tc>
          <w:tcPr>
            <w:tcW w:w="960" w:type="dxa"/>
            <w:shd w:val="clear" w:color="auto" w:fill="auto"/>
            <w:vAlign w:val="center"/>
            <w:hideMark/>
          </w:tcPr>
          <w:p w14:paraId="5579B4E6"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A18.9</w:t>
            </w:r>
          </w:p>
        </w:tc>
        <w:tc>
          <w:tcPr>
            <w:tcW w:w="8560" w:type="dxa"/>
            <w:shd w:val="clear" w:color="auto" w:fill="auto"/>
            <w:noWrap/>
            <w:vAlign w:val="bottom"/>
            <w:hideMark/>
          </w:tcPr>
          <w:p w14:paraId="391DBBE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diagnostic endoscopic examination of ventricle of brain</w:t>
            </w:r>
          </w:p>
        </w:tc>
      </w:tr>
    </w:tbl>
    <w:p w14:paraId="665C86A9" w14:textId="77777777" w:rsidR="002030E7" w:rsidRPr="00BD2D79" w:rsidRDefault="002030E7" w:rsidP="002030E7">
      <w:pPr>
        <w:rPr>
          <w:rFonts w:cs="Times New Roman"/>
        </w:rPr>
      </w:pPr>
    </w:p>
    <w:p w14:paraId="06A6F038" w14:textId="77777777" w:rsidR="002030E7" w:rsidRPr="00BD2D79" w:rsidRDefault="002030E7" w:rsidP="002030E7">
      <w:pPr>
        <w:rPr>
          <w:rFonts w:cs="Times New Roman"/>
        </w:rPr>
      </w:pPr>
      <w:r w:rsidRPr="00BD2D79">
        <w:rPr>
          <w:rFonts w:cs="Times New Roman"/>
        </w:rPr>
        <w:br w:type="page"/>
      </w:r>
    </w:p>
    <w:p w14:paraId="4D5A3A42" w14:textId="77777777" w:rsidR="002030E7" w:rsidRPr="00BD2D79" w:rsidRDefault="002030E7" w:rsidP="002030E7">
      <w:pPr>
        <w:rPr>
          <w:rFonts w:cs="Times New Roman"/>
        </w:rPr>
      </w:pPr>
      <w:r w:rsidRPr="00BD2D79">
        <w:rPr>
          <w:rFonts w:cs="Times New Roman"/>
        </w:rPr>
        <w:t>Posterior eye operations</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7257"/>
      </w:tblGrid>
      <w:tr w:rsidR="002030E7" w:rsidRPr="00BD2D79" w14:paraId="162DFE01" w14:textId="77777777" w:rsidTr="007329B9">
        <w:trPr>
          <w:trHeight w:val="255"/>
        </w:trPr>
        <w:tc>
          <w:tcPr>
            <w:tcW w:w="960" w:type="dxa"/>
            <w:shd w:val="clear" w:color="auto" w:fill="auto"/>
            <w:vAlign w:val="center"/>
            <w:hideMark/>
          </w:tcPr>
          <w:p w14:paraId="1979CC5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C85.1</w:t>
            </w:r>
          </w:p>
        </w:tc>
        <w:tc>
          <w:tcPr>
            <w:tcW w:w="7257" w:type="dxa"/>
            <w:shd w:val="clear" w:color="auto" w:fill="auto"/>
            <w:noWrap/>
            <w:vAlign w:val="bottom"/>
            <w:hideMark/>
          </w:tcPr>
          <w:p w14:paraId="70A21C8B"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Retinopexy using cryotherapy</w:t>
            </w:r>
          </w:p>
        </w:tc>
      </w:tr>
      <w:tr w:rsidR="002030E7" w:rsidRPr="00BD2D79" w14:paraId="24B339B0" w14:textId="77777777" w:rsidTr="007329B9">
        <w:trPr>
          <w:trHeight w:val="255"/>
        </w:trPr>
        <w:tc>
          <w:tcPr>
            <w:tcW w:w="960" w:type="dxa"/>
            <w:shd w:val="clear" w:color="auto" w:fill="auto"/>
            <w:vAlign w:val="center"/>
            <w:hideMark/>
          </w:tcPr>
          <w:p w14:paraId="7D76296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C84.5</w:t>
            </w:r>
          </w:p>
        </w:tc>
        <w:tc>
          <w:tcPr>
            <w:tcW w:w="7257" w:type="dxa"/>
            <w:shd w:val="clear" w:color="auto" w:fill="auto"/>
            <w:noWrap/>
            <w:vAlign w:val="bottom"/>
            <w:hideMark/>
          </w:tcPr>
          <w:p w14:paraId="39203C3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Drainage of subretinal fluid through retina</w:t>
            </w:r>
          </w:p>
        </w:tc>
      </w:tr>
      <w:tr w:rsidR="002030E7" w:rsidRPr="00BD2D79" w14:paraId="315CC713" w14:textId="77777777" w:rsidTr="007329B9">
        <w:trPr>
          <w:trHeight w:val="255"/>
        </w:trPr>
        <w:tc>
          <w:tcPr>
            <w:tcW w:w="960" w:type="dxa"/>
            <w:shd w:val="clear" w:color="auto" w:fill="auto"/>
            <w:vAlign w:val="center"/>
            <w:hideMark/>
          </w:tcPr>
          <w:p w14:paraId="0AB8ECC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C84.6</w:t>
            </w:r>
          </w:p>
        </w:tc>
        <w:tc>
          <w:tcPr>
            <w:tcW w:w="7257" w:type="dxa"/>
            <w:shd w:val="clear" w:color="auto" w:fill="auto"/>
            <w:noWrap/>
            <w:vAlign w:val="bottom"/>
            <w:hideMark/>
          </w:tcPr>
          <w:p w14:paraId="735F7D7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Retinotomy NEC</w:t>
            </w:r>
          </w:p>
        </w:tc>
      </w:tr>
      <w:tr w:rsidR="002030E7" w:rsidRPr="00BD2D79" w14:paraId="496418C3" w14:textId="77777777" w:rsidTr="007329B9">
        <w:trPr>
          <w:trHeight w:val="255"/>
        </w:trPr>
        <w:tc>
          <w:tcPr>
            <w:tcW w:w="960" w:type="dxa"/>
            <w:shd w:val="clear" w:color="auto" w:fill="auto"/>
            <w:vAlign w:val="center"/>
            <w:hideMark/>
          </w:tcPr>
          <w:p w14:paraId="4F4DE80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C89.2</w:t>
            </w:r>
          </w:p>
        </w:tc>
        <w:tc>
          <w:tcPr>
            <w:tcW w:w="7257" w:type="dxa"/>
            <w:shd w:val="clear" w:color="auto" w:fill="auto"/>
            <w:noWrap/>
            <w:vAlign w:val="bottom"/>
            <w:hideMark/>
          </w:tcPr>
          <w:p w14:paraId="7ACA993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Injection of steroid into posterior segment of eye</w:t>
            </w:r>
          </w:p>
        </w:tc>
      </w:tr>
      <w:tr w:rsidR="002030E7" w:rsidRPr="00BD2D79" w14:paraId="2E7A04ED" w14:textId="77777777" w:rsidTr="007329B9">
        <w:trPr>
          <w:trHeight w:val="255"/>
        </w:trPr>
        <w:tc>
          <w:tcPr>
            <w:tcW w:w="960" w:type="dxa"/>
            <w:shd w:val="clear" w:color="auto" w:fill="auto"/>
            <w:vAlign w:val="center"/>
            <w:hideMark/>
          </w:tcPr>
          <w:p w14:paraId="2016C596"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C85.5</w:t>
            </w:r>
          </w:p>
        </w:tc>
        <w:tc>
          <w:tcPr>
            <w:tcW w:w="7257" w:type="dxa"/>
            <w:shd w:val="clear" w:color="auto" w:fill="auto"/>
            <w:noWrap/>
            <w:vAlign w:val="bottom"/>
            <w:hideMark/>
          </w:tcPr>
          <w:p w14:paraId="24A6CFA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Retinopexy NEC</w:t>
            </w:r>
          </w:p>
        </w:tc>
      </w:tr>
      <w:tr w:rsidR="002030E7" w:rsidRPr="00BD2D79" w14:paraId="04679A75" w14:textId="77777777" w:rsidTr="007329B9">
        <w:trPr>
          <w:trHeight w:val="255"/>
        </w:trPr>
        <w:tc>
          <w:tcPr>
            <w:tcW w:w="960" w:type="dxa"/>
            <w:shd w:val="clear" w:color="auto" w:fill="auto"/>
            <w:vAlign w:val="center"/>
            <w:hideMark/>
          </w:tcPr>
          <w:p w14:paraId="1A1BD33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C84.1</w:t>
            </w:r>
          </w:p>
        </w:tc>
        <w:tc>
          <w:tcPr>
            <w:tcW w:w="7257" w:type="dxa"/>
            <w:shd w:val="clear" w:color="auto" w:fill="auto"/>
            <w:noWrap/>
            <w:vAlign w:val="bottom"/>
            <w:hideMark/>
          </w:tcPr>
          <w:p w14:paraId="388293A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Epiretinal dissection</w:t>
            </w:r>
          </w:p>
        </w:tc>
      </w:tr>
      <w:tr w:rsidR="002030E7" w:rsidRPr="00BD2D79" w14:paraId="67340199" w14:textId="77777777" w:rsidTr="007329B9">
        <w:trPr>
          <w:trHeight w:val="255"/>
        </w:trPr>
        <w:tc>
          <w:tcPr>
            <w:tcW w:w="960" w:type="dxa"/>
            <w:shd w:val="clear" w:color="auto" w:fill="auto"/>
            <w:vAlign w:val="center"/>
            <w:hideMark/>
          </w:tcPr>
          <w:p w14:paraId="159D28BD"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C85.2</w:t>
            </w:r>
          </w:p>
        </w:tc>
        <w:tc>
          <w:tcPr>
            <w:tcW w:w="7257" w:type="dxa"/>
            <w:shd w:val="clear" w:color="auto" w:fill="auto"/>
            <w:noWrap/>
            <w:vAlign w:val="bottom"/>
            <w:hideMark/>
          </w:tcPr>
          <w:p w14:paraId="493090E8"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Retinopexy using diathermy</w:t>
            </w:r>
          </w:p>
        </w:tc>
      </w:tr>
      <w:tr w:rsidR="002030E7" w:rsidRPr="00BD2D79" w14:paraId="7D478EEC" w14:textId="77777777" w:rsidTr="007329B9">
        <w:trPr>
          <w:trHeight w:val="255"/>
        </w:trPr>
        <w:tc>
          <w:tcPr>
            <w:tcW w:w="960" w:type="dxa"/>
            <w:shd w:val="clear" w:color="auto" w:fill="auto"/>
            <w:vAlign w:val="center"/>
            <w:hideMark/>
          </w:tcPr>
          <w:p w14:paraId="512E4B4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C89.3</w:t>
            </w:r>
          </w:p>
        </w:tc>
        <w:tc>
          <w:tcPr>
            <w:tcW w:w="7257" w:type="dxa"/>
            <w:shd w:val="clear" w:color="auto" w:fill="auto"/>
            <w:noWrap/>
            <w:vAlign w:val="bottom"/>
            <w:hideMark/>
          </w:tcPr>
          <w:p w14:paraId="780BF1C8"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Injection of therapeutic substance into posterior segment of eye NEC</w:t>
            </w:r>
          </w:p>
        </w:tc>
      </w:tr>
      <w:tr w:rsidR="002030E7" w:rsidRPr="00BD2D79" w14:paraId="5C8F814D" w14:textId="77777777" w:rsidTr="007329B9">
        <w:trPr>
          <w:trHeight w:val="255"/>
        </w:trPr>
        <w:tc>
          <w:tcPr>
            <w:tcW w:w="960" w:type="dxa"/>
            <w:shd w:val="clear" w:color="auto" w:fill="auto"/>
            <w:vAlign w:val="center"/>
            <w:hideMark/>
          </w:tcPr>
          <w:p w14:paraId="3D42EAF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C84.8</w:t>
            </w:r>
          </w:p>
        </w:tc>
        <w:tc>
          <w:tcPr>
            <w:tcW w:w="7257" w:type="dxa"/>
            <w:shd w:val="clear" w:color="auto" w:fill="auto"/>
            <w:noWrap/>
            <w:vAlign w:val="bottom"/>
            <w:hideMark/>
          </w:tcPr>
          <w:p w14:paraId="4B3C1F74"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other operations on retina</w:t>
            </w:r>
          </w:p>
        </w:tc>
      </w:tr>
      <w:tr w:rsidR="002030E7" w:rsidRPr="00BD2D79" w14:paraId="134D84CB" w14:textId="77777777" w:rsidTr="007329B9">
        <w:trPr>
          <w:trHeight w:val="255"/>
        </w:trPr>
        <w:tc>
          <w:tcPr>
            <w:tcW w:w="960" w:type="dxa"/>
            <w:shd w:val="clear" w:color="auto" w:fill="auto"/>
            <w:vAlign w:val="center"/>
            <w:hideMark/>
          </w:tcPr>
          <w:p w14:paraId="086050D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C82.8</w:t>
            </w:r>
          </w:p>
        </w:tc>
        <w:tc>
          <w:tcPr>
            <w:tcW w:w="7257" w:type="dxa"/>
            <w:shd w:val="clear" w:color="auto" w:fill="auto"/>
            <w:noWrap/>
            <w:vAlign w:val="bottom"/>
            <w:hideMark/>
          </w:tcPr>
          <w:p w14:paraId="720A618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destruction of lesion of retina</w:t>
            </w:r>
          </w:p>
        </w:tc>
      </w:tr>
      <w:tr w:rsidR="002030E7" w:rsidRPr="00BD2D79" w14:paraId="1F330D70" w14:textId="77777777" w:rsidTr="007329B9">
        <w:trPr>
          <w:trHeight w:val="255"/>
        </w:trPr>
        <w:tc>
          <w:tcPr>
            <w:tcW w:w="960" w:type="dxa"/>
            <w:shd w:val="clear" w:color="auto" w:fill="auto"/>
            <w:vAlign w:val="center"/>
            <w:hideMark/>
          </w:tcPr>
          <w:p w14:paraId="1FEC0B2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C89.1</w:t>
            </w:r>
          </w:p>
        </w:tc>
        <w:tc>
          <w:tcPr>
            <w:tcW w:w="7257" w:type="dxa"/>
            <w:shd w:val="clear" w:color="auto" w:fill="auto"/>
            <w:noWrap/>
            <w:vAlign w:val="bottom"/>
            <w:hideMark/>
          </w:tcPr>
          <w:p w14:paraId="3D73D15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Insertion of sustained release device into posterior segment of eye</w:t>
            </w:r>
          </w:p>
        </w:tc>
      </w:tr>
      <w:tr w:rsidR="002030E7" w:rsidRPr="00BD2D79" w14:paraId="47A162E1" w14:textId="77777777" w:rsidTr="007329B9">
        <w:trPr>
          <w:trHeight w:val="255"/>
        </w:trPr>
        <w:tc>
          <w:tcPr>
            <w:tcW w:w="960" w:type="dxa"/>
            <w:shd w:val="clear" w:color="auto" w:fill="auto"/>
            <w:vAlign w:val="center"/>
            <w:hideMark/>
          </w:tcPr>
          <w:p w14:paraId="04974DD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C85.8</w:t>
            </w:r>
          </w:p>
        </w:tc>
        <w:tc>
          <w:tcPr>
            <w:tcW w:w="7257" w:type="dxa"/>
            <w:shd w:val="clear" w:color="auto" w:fill="auto"/>
            <w:noWrap/>
            <w:vAlign w:val="bottom"/>
            <w:hideMark/>
          </w:tcPr>
          <w:p w14:paraId="3B91136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fixation of retina</w:t>
            </w:r>
          </w:p>
        </w:tc>
      </w:tr>
      <w:tr w:rsidR="002030E7" w:rsidRPr="00BD2D79" w14:paraId="005B011C" w14:textId="77777777" w:rsidTr="007329B9">
        <w:trPr>
          <w:trHeight w:val="255"/>
        </w:trPr>
        <w:tc>
          <w:tcPr>
            <w:tcW w:w="960" w:type="dxa"/>
            <w:shd w:val="clear" w:color="auto" w:fill="auto"/>
            <w:vAlign w:val="center"/>
            <w:hideMark/>
          </w:tcPr>
          <w:p w14:paraId="155B282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C01.1</w:t>
            </w:r>
          </w:p>
        </w:tc>
        <w:tc>
          <w:tcPr>
            <w:tcW w:w="7257" w:type="dxa"/>
            <w:shd w:val="clear" w:color="auto" w:fill="auto"/>
            <w:noWrap/>
            <w:vAlign w:val="bottom"/>
            <w:hideMark/>
          </w:tcPr>
          <w:p w14:paraId="651F646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Exenteration of orbit</w:t>
            </w:r>
          </w:p>
        </w:tc>
      </w:tr>
      <w:tr w:rsidR="002030E7" w:rsidRPr="00BD2D79" w14:paraId="46FC05B6" w14:textId="77777777" w:rsidTr="007329B9">
        <w:trPr>
          <w:trHeight w:val="255"/>
        </w:trPr>
        <w:tc>
          <w:tcPr>
            <w:tcW w:w="960" w:type="dxa"/>
            <w:shd w:val="clear" w:color="auto" w:fill="auto"/>
            <w:vAlign w:val="center"/>
            <w:hideMark/>
          </w:tcPr>
          <w:p w14:paraId="3E464C2A"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C84.3</w:t>
            </w:r>
          </w:p>
        </w:tc>
        <w:tc>
          <w:tcPr>
            <w:tcW w:w="7257" w:type="dxa"/>
            <w:shd w:val="clear" w:color="auto" w:fill="auto"/>
            <w:noWrap/>
            <w:vAlign w:val="bottom"/>
            <w:hideMark/>
          </w:tcPr>
          <w:p w14:paraId="29E4BB8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Biopsy of lesion of retina</w:t>
            </w:r>
          </w:p>
        </w:tc>
      </w:tr>
      <w:tr w:rsidR="002030E7" w:rsidRPr="00BD2D79" w14:paraId="7424E8BB" w14:textId="77777777" w:rsidTr="007329B9">
        <w:trPr>
          <w:trHeight w:val="255"/>
        </w:trPr>
        <w:tc>
          <w:tcPr>
            <w:tcW w:w="960" w:type="dxa"/>
            <w:shd w:val="clear" w:color="auto" w:fill="auto"/>
            <w:vAlign w:val="center"/>
            <w:hideMark/>
          </w:tcPr>
          <w:p w14:paraId="4D73E9C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C84.2</w:t>
            </w:r>
          </w:p>
        </w:tc>
        <w:tc>
          <w:tcPr>
            <w:tcW w:w="7257" w:type="dxa"/>
            <w:shd w:val="clear" w:color="auto" w:fill="auto"/>
            <w:noWrap/>
            <w:vAlign w:val="bottom"/>
            <w:hideMark/>
          </w:tcPr>
          <w:p w14:paraId="72DBC517"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Excision of lesion of retina NEC</w:t>
            </w:r>
          </w:p>
        </w:tc>
      </w:tr>
      <w:tr w:rsidR="002030E7" w:rsidRPr="00BD2D79" w14:paraId="7A1C2690" w14:textId="77777777" w:rsidTr="007329B9">
        <w:trPr>
          <w:trHeight w:val="255"/>
        </w:trPr>
        <w:tc>
          <w:tcPr>
            <w:tcW w:w="960" w:type="dxa"/>
            <w:shd w:val="clear" w:color="auto" w:fill="auto"/>
            <w:vAlign w:val="center"/>
            <w:hideMark/>
          </w:tcPr>
          <w:p w14:paraId="470144F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C84.9</w:t>
            </w:r>
          </w:p>
        </w:tc>
        <w:tc>
          <w:tcPr>
            <w:tcW w:w="7257" w:type="dxa"/>
            <w:shd w:val="clear" w:color="auto" w:fill="auto"/>
            <w:noWrap/>
            <w:vAlign w:val="bottom"/>
            <w:hideMark/>
          </w:tcPr>
          <w:p w14:paraId="16C0B63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other operations on retina</w:t>
            </w:r>
          </w:p>
        </w:tc>
      </w:tr>
      <w:tr w:rsidR="002030E7" w:rsidRPr="00BD2D79" w14:paraId="13A4D410" w14:textId="77777777" w:rsidTr="007329B9">
        <w:trPr>
          <w:trHeight w:val="255"/>
        </w:trPr>
        <w:tc>
          <w:tcPr>
            <w:tcW w:w="960" w:type="dxa"/>
            <w:shd w:val="clear" w:color="auto" w:fill="auto"/>
            <w:vAlign w:val="center"/>
            <w:hideMark/>
          </w:tcPr>
          <w:p w14:paraId="25004B70"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C01.2</w:t>
            </w:r>
          </w:p>
        </w:tc>
        <w:tc>
          <w:tcPr>
            <w:tcW w:w="7257" w:type="dxa"/>
            <w:shd w:val="clear" w:color="auto" w:fill="auto"/>
            <w:noWrap/>
            <w:vAlign w:val="bottom"/>
            <w:hideMark/>
          </w:tcPr>
          <w:p w14:paraId="175ADB89"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Enucleation of eye</w:t>
            </w:r>
          </w:p>
        </w:tc>
      </w:tr>
      <w:tr w:rsidR="002030E7" w:rsidRPr="00BD2D79" w14:paraId="4C607165" w14:textId="77777777" w:rsidTr="007329B9">
        <w:trPr>
          <w:trHeight w:val="255"/>
        </w:trPr>
        <w:tc>
          <w:tcPr>
            <w:tcW w:w="960" w:type="dxa"/>
            <w:shd w:val="clear" w:color="auto" w:fill="auto"/>
            <w:vAlign w:val="center"/>
            <w:hideMark/>
          </w:tcPr>
          <w:p w14:paraId="3568339E"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C01.3</w:t>
            </w:r>
          </w:p>
        </w:tc>
        <w:tc>
          <w:tcPr>
            <w:tcW w:w="7257" w:type="dxa"/>
            <w:shd w:val="clear" w:color="auto" w:fill="auto"/>
            <w:noWrap/>
            <w:vAlign w:val="bottom"/>
            <w:hideMark/>
          </w:tcPr>
          <w:p w14:paraId="79910B03"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Evisceration of eye</w:t>
            </w:r>
          </w:p>
        </w:tc>
      </w:tr>
      <w:tr w:rsidR="002030E7" w:rsidRPr="00BD2D79" w14:paraId="2BDDB686" w14:textId="77777777" w:rsidTr="007329B9">
        <w:trPr>
          <w:trHeight w:val="255"/>
        </w:trPr>
        <w:tc>
          <w:tcPr>
            <w:tcW w:w="960" w:type="dxa"/>
            <w:shd w:val="clear" w:color="auto" w:fill="auto"/>
            <w:vAlign w:val="center"/>
            <w:hideMark/>
          </w:tcPr>
          <w:p w14:paraId="2AEAFA8C"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C82.9</w:t>
            </w:r>
          </w:p>
        </w:tc>
        <w:tc>
          <w:tcPr>
            <w:tcW w:w="7257" w:type="dxa"/>
            <w:shd w:val="clear" w:color="auto" w:fill="auto"/>
            <w:noWrap/>
            <w:vAlign w:val="bottom"/>
            <w:hideMark/>
          </w:tcPr>
          <w:p w14:paraId="139A91F2"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destruction of lesion of retina</w:t>
            </w:r>
          </w:p>
        </w:tc>
      </w:tr>
      <w:tr w:rsidR="002030E7" w:rsidRPr="00BD2D79" w14:paraId="267F62B3" w14:textId="77777777" w:rsidTr="007329B9">
        <w:trPr>
          <w:trHeight w:val="255"/>
        </w:trPr>
        <w:tc>
          <w:tcPr>
            <w:tcW w:w="960" w:type="dxa"/>
            <w:shd w:val="clear" w:color="auto" w:fill="auto"/>
            <w:vAlign w:val="center"/>
            <w:hideMark/>
          </w:tcPr>
          <w:p w14:paraId="73B002B3"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C89.8</w:t>
            </w:r>
          </w:p>
        </w:tc>
        <w:tc>
          <w:tcPr>
            <w:tcW w:w="7257" w:type="dxa"/>
            <w:shd w:val="clear" w:color="auto" w:fill="auto"/>
            <w:noWrap/>
            <w:vAlign w:val="bottom"/>
            <w:hideMark/>
          </w:tcPr>
          <w:p w14:paraId="42648CE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operations on posterior segment of eye</w:t>
            </w:r>
          </w:p>
        </w:tc>
      </w:tr>
      <w:tr w:rsidR="002030E7" w:rsidRPr="00BD2D79" w14:paraId="7EE74BAA" w14:textId="77777777" w:rsidTr="007329B9">
        <w:trPr>
          <w:trHeight w:val="255"/>
        </w:trPr>
        <w:tc>
          <w:tcPr>
            <w:tcW w:w="960" w:type="dxa"/>
            <w:shd w:val="clear" w:color="auto" w:fill="auto"/>
            <w:vAlign w:val="center"/>
            <w:hideMark/>
          </w:tcPr>
          <w:p w14:paraId="7FFA3781"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C83.3</w:t>
            </w:r>
          </w:p>
        </w:tc>
        <w:tc>
          <w:tcPr>
            <w:tcW w:w="7257" w:type="dxa"/>
            <w:shd w:val="clear" w:color="auto" w:fill="auto"/>
            <w:noWrap/>
            <w:vAlign w:val="bottom"/>
            <w:hideMark/>
          </w:tcPr>
          <w:p w14:paraId="3D303ED5"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Limited macular translocation</w:t>
            </w:r>
          </w:p>
        </w:tc>
      </w:tr>
      <w:tr w:rsidR="002030E7" w:rsidRPr="00BD2D79" w14:paraId="366754E9" w14:textId="77777777" w:rsidTr="007329B9">
        <w:trPr>
          <w:trHeight w:val="255"/>
        </w:trPr>
        <w:tc>
          <w:tcPr>
            <w:tcW w:w="960" w:type="dxa"/>
            <w:shd w:val="clear" w:color="auto" w:fill="auto"/>
            <w:vAlign w:val="center"/>
            <w:hideMark/>
          </w:tcPr>
          <w:p w14:paraId="0A4EB43E"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C85.4</w:t>
            </w:r>
          </w:p>
        </w:tc>
        <w:tc>
          <w:tcPr>
            <w:tcW w:w="7257" w:type="dxa"/>
            <w:shd w:val="clear" w:color="auto" w:fill="auto"/>
            <w:noWrap/>
            <w:vAlign w:val="bottom"/>
            <w:hideMark/>
          </w:tcPr>
          <w:p w14:paraId="08656F31"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Retinopexy using tissue adhesive</w:t>
            </w:r>
          </w:p>
        </w:tc>
      </w:tr>
      <w:tr w:rsidR="002030E7" w:rsidRPr="00BD2D79" w14:paraId="141B61A5" w14:textId="77777777" w:rsidTr="007329B9">
        <w:trPr>
          <w:trHeight w:val="255"/>
        </w:trPr>
        <w:tc>
          <w:tcPr>
            <w:tcW w:w="960" w:type="dxa"/>
            <w:shd w:val="clear" w:color="auto" w:fill="auto"/>
            <w:vAlign w:val="center"/>
            <w:hideMark/>
          </w:tcPr>
          <w:p w14:paraId="35314BA2"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C85.9</w:t>
            </w:r>
          </w:p>
        </w:tc>
        <w:tc>
          <w:tcPr>
            <w:tcW w:w="7257" w:type="dxa"/>
            <w:shd w:val="clear" w:color="auto" w:fill="auto"/>
            <w:noWrap/>
            <w:vAlign w:val="bottom"/>
            <w:hideMark/>
          </w:tcPr>
          <w:p w14:paraId="3F2F494A"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fixation of retina</w:t>
            </w:r>
          </w:p>
        </w:tc>
      </w:tr>
      <w:tr w:rsidR="002030E7" w:rsidRPr="00BD2D79" w14:paraId="6E4619F2" w14:textId="77777777" w:rsidTr="007329B9">
        <w:trPr>
          <w:trHeight w:val="255"/>
        </w:trPr>
        <w:tc>
          <w:tcPr>
            <w:tcW w:w="960" w:type="dxa"/>
            <w:shd w:val="clear" w:color="auto" w:fill="auto"/>
            <w:vAlign w:val="center"/>
            <w:hideMark/>
          </w:tcPr>
          <w:p w14:paraId="797DAE89"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C01.8</w:t>
            </w:r>
          </w:p>
        </w:tc>
        <w:tc>
          <w:tcPr>
            <w:tcW w:w="7257" w:type="dxa"/>
            <w:shd w:val="clear" w:color="auto" w:fill="auto"/>
            <w:noWrap/>
            <w:vAlign w:val="bottom"/>
            <w:hideMark/>
          </w:tcPr>
          <w:p w14:paraId="659DB56E"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Other specified excision of eye</w:t>
            </w:r>
          </w:p>
        </w:tc>
      </w:tr>
      <w:tr w:rsidR="002030E7" w:rsidRPr="00BD2D79" w14:paraId="30D7FE1F" w14:textId="77777777" w:rsidTr="007329B9">
        <w:trPr>
          <w:trHeight w:val="255"/>
        </w:trPr>
        <w:tc>
          <w:tcPr>
            <w:tcW w:w="960" w:type="dxa"/>
            <w:shd w:val="clear" w:color="auto" w:fill="auto"/>
            <w:vAlign w:val="center"/>
            <w:hideMark/>
          </w:tcPr>
          <w:p w14:paraId="125E42B7"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C01.9</w:t>
            </w:r>
          </w:p>
        </w:tc>
        <w:tc>
          <w:tcPr>
            <w:tcW w:w="7257" w:type="dxa"/>
            <w:shd w:val="clear" w:color="auto" w:fill="auto"/>
            <w:noWrap/>
            <w:vAlign w:val="bottom"/>
            <w:hideMark/>
          </w:tcPr>
          <w:p w14:paraId="45322C3D"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excision of eye</w:t>
            </w:r>
          </w:p>
        </w:tc>
      </w:tr>
      <w:tr w:rsidR="002030E7" w:rsidRPr="00BD2D79" w14:paraId="491A58C1" w14:textId="77777777" w:rsidTr="007329B9">
        <w:trPr>
          <w:trHeight w:val="255"/>
        </w:trPr>
        <w:tc>
          <w:tcPr>
            <w:tcW w:w="960" w:type="dxa"/>
            <w:shd w:val="clear" w:color="auto" w:fill="auto"/>
            <w:vAlign w:val="center"/>
            <w:hideMark/>
          </w:tcPr>
          <w:p w14:paraId="693CBC8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C85.3</w:t>
            </w:r>
          </w:p>
        </w:tc>
        <w:tc>
          <w:tcPr>
            <w:tcW w:w="7257" w:type="dxa"/>
            <w:shd w:val="clear" w:color="auto" w:fill="auto"/>
            <w:noWrap/>
            <w:vAlign w:val="bottom"/>
            <w:hideMark/>
          </w:tcPr>
          <w:p w14:paraId="5A1A96D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Retinopexy using mechanical tacks</w:t>
            </w:r>
          </w:p>
        </w:tc>
      </w:tr>
      <w:tr w:rsidR="002030E7" w:rsidRPr="00BD2D79" w14:paraId="3F7FBABE" w14:textId="77777777" w:rsidTr="007329B9">
        <w:trPr>
          <w:trHeight w:val="255"/>
        </w:trPr>
        <w:tc>
          <w:tcPr>
            <w:tcW w:w="960" w:type="dxa"/>
            <w:shd w:val="clear" w:color="auto" w:fill="auto"/>
            <w:vAlign w:val="center"/>
            <w:hideMark/>
          </w:tcPr>
          <w:p w14:paraId="12CBADFF"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C89.9</w:t>
            </w:r>
          </w:p>
        </w:tc>
        <w:tc>
          <w:tcPr>
            <w:tcW w:w="7257" w:type="dxa"/>
            <w:shd w:val="clear" w:color="auto" w:fill="auto"/>
            <w:noWrap/>
            <w:vAlign w:val="bottom"/>
            <w:hideMark/>
          </w:tcPr>
          <w:p w14:paraId="2ADEC6DC"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operations on posterior segment of eye</w:t>
            </w:r>
          </w:p>
        </w:tc>
      </w:tr>
      <w:tr w:rsidR="002030E7" w:rsidRPr="00BD2D79" w14:paraId="363C54D3" w14:textId="77777777" w:rsidTr="007329B9">
        <w:trPr>
          <w:trHeight w:val="255"/>
        </w:trPr>
        <w:tc>
          <w:tcPr>
            <w:tcW w:w="960" w:type="dxa"/>
            <w:shd w:val="clear" w:color="auto" w:fill="auto"/>
            <w:vAlign w:val="center"/>
            <w:hideMark/>
          </w:tcPr>
          <w:p w14:paraId="222BD62E" w14:textId="77777777" w:rsidR="002030E7" w:rsidRPr="00BD2D79" w:rsidRDefault="002030E7" w:rsidP="007329B9">
            <w:pPr>
              <w:spacing w:line="240" w:lineRule="auto"/>
              <w:rPr>
                <w:rFonts w:eastAsia="Times New Roman" w:cs="Times New Roman"/>
                <w:color w:val="000000"/>
                <w:sz w:val="20"/>
                <w:szCs w:val="20"/>
                <w:lang w:eastAsia="en-GB"/>
              </w:rPr>
            </w:pPr>
            <w:r w:rsidRPr="00BD2D79">
              <w:rPr>
                <w:rFonts w:eastAsia="Times New Roman" w:cs="Times New Roman"/>
                <w:color w:val="000000"/>
                <w:sz w:val="20"/>
                <w:szCs w:val="20"/>
                <w:lang w:eastAsia="en-GB"/>
              </w:rPr>
              <w:t>C88.9</w:t>
            </w:r>
          </w:p>
        </w:tc>
        <w:tc>
          <w:tcPr>
            <w:tcW w:w="7257" w:type="dxa"/>
            <w:shd w:val="clear" w:color="auto" w:fill="auto"/>
            <w:noWrap/>
            <w:vAlign w:val="bottom"/>
            <w:hideMark/>
          </w:tcPr>
          <w:p w14:paraId="06C45D4F" w14:textId="77777777" w:rsidR="002030E7" w:rsidRPr="00BD2D79" w:rsidRDefault="002030E7" w:rsidP="007329B9">
            <w:pPr>
              <w:spacing w:line="240" w:lineRule="auto"/>
              <w:rPr>
                <w:rFonts w:eastAsia="Times New Roman" w:cs="Times New Roman"/>
                <w:sz w:val="20"/>
                <w:szCs w:val="20"/>
                <w:lang w:eastAsia="en-GB"/>
              </w:rPr>
            </w:pPr>
            <w:r w:rsidRPr="00BD2D79">
              <w:rPr>
                <w:rFonts w:eastAsia="Times New Roman" w:cs="Times New Roman"/>
                <w:sz w:val="20"/>
                <w:szCs w:val="20"/>
                <w:lang w:eastAsia="en-GB"/>
              </w:rPr>
              <w:t>Unspecified destruction of subretinal lesion</w:t>
            </w:r>
          </w:p>
        </w:tc>
      </w:tr>
    </w:tbl>
    <w:p w14:paraId="438EF42D" w14:textId="77777777" w:rsidR="002030E7" w:rsidRPr="00BD2D79" w:rsidRDefault="002030E7" w:rsidP="002030E7">
      <w:pPr>
        <w:rPr>
          <w:rFonts w:cs="Times New Roman"/>
        </w:rPr>
      </w:pPr>
    </w:p>
    <w:p w14:paraId="5E3A2DCD" w14:textId="77777777" w:rsidR="002030E7" w:rsidRPr="00BD2D79" w:rsidRDefault="002030E7" w:rsidP="002030E7">
      <w:pPr>
        <w:rPr>
          <w:rFonts w:cs="Times New Roman"/>
        </w:rPr>
      </w:pPr>
    </w:p>
    <w:p w14:paraId="78FBE7F0" w14:textId="77777777" w:rsidR="002030E7" w:rsidRPr="00BD2D79" w:rsidRDefault="002030E7" w:rsidP="002030E7">
      <w:pPr>
        <w:rPr>
          <w:rFonts w:cs="Times New Roman"/>
        </w:rPr>
      </w:pPr>
      <w:r w:rsidRPr="00BD2D79">
        <w:rPr>
          <w:rFonts w:cs="Times New Roman"/>
        </w:rPr>
        <w:br w:type="page"/>
      </w:r>
    </w:p>
    <w:p w14:paraId="72FDD38D" w14:textId="6116059A" w:rsidR="002030E7" w:rsidRPr="00953456" w:rsidRDefault="002030E7" w:rsidP="002030E7">
      <w:pPr>
        <w:pStyle w:val="Heading1"/>
        <w:rPr>
          <w:szCs w:val="22"/>
        </w:rPr>
      </w:pPr>
      <w:bookmarkStart w:id="163" w:name="_Toc525106686"/>
      <w:r w:rsidRPr="00953456">
        <w:rPr>
          <w:szCs w:val="22"/>
        </w:rPr>
        <w:t xml:space="preserve">Appendix </w:t>
      </w:r>
      <w:r w:rsidR="008C534A">
        <w:rPr>
          <w:szCs w:val="22"/>
        </w:rPr>
        <w:t>6</w:t>
      </w:r>
      <w:r w:rsidRPr="00953456">
        <w:rPr>
          <w:szCs w:val="22"/>
        </w:rPr>
        <w:t>:</w:t>
      </w:r>
      <w:r w:rsidRPr="00953456">
        <w:rPr>
          <w:szCs w:val="22"/>
        </w:rPr>
        <w:tab/>
        <w:t>The assumed age profile of patients receiving each operation</w:t>
      </w:r>
      <w:bookmarkEnd w:id="163"/>
    </w:p>
    <w:p w14:paraId="0EA9C1AF" w14:textId="24A08E82" w:rsidR="002030E7" w:rsidRPr="00DD794C" w:rsidRDefault="002030E7" w:rsidP="002030E7">
      <w:pPr>
        <w:pStyle w:val="Caption"/>
        <w:ind w:left="1440" w:hanging="1440"/>
        <w:rPr>
          <w:rFonts w:cs="Times New Roman"/>
          <w:szCs w:val="22"/>
        </w:rPr>
      </w:pPr>
      <w:bookmarkStart w:id="164" w:name="_Toc525106737"/>
      <w:r w:rsidRPr="00DD794C">
        <w:rPr>
          <w:rFonts w:cs="Times New Roman"/>
          <w:szCs w:val="22"/>
        </w:rPr>
        <w:t xml:space="preserve">Figure </w:t>
      </w:r>
      <w:r w:rsidRPr="00DD794C">
        <w:rPr>
          <w:rFonts w:cs="Times New Roman"/>
          <w:szCs w:val="22"/>
        </w:rPr>
        <w:fldChar w:fldCharType="begin"/>
      </w:r>
      <w:r w:rsidRPr="00DD794C">
        <w:rPr>
          <w:rFonts w:cs="Times New Roman"/>
          <w:szCs w:val="22"/>
        </w:rPr>
        <w:instrText xml:space="preserve"> SEQ Figure \* ARABIC </w:instrText>
      </w:r>
      <w:r w:rsidRPr="00DD794C">
        <w:rPr>
          <w:rFonts w:cs="Times New Roman"/>
          <w:szCs w:val="22"/>
        </w:rPr>
        <w:fldChar w:fldCharType="separate"/>
      </w:r>
      <w:r w:rsidR="00690541">
        <w:rPr>
          <w:rFonts w:cs="Times New Roman"/>
          <w:noProof/>
          <w:szCs w:val="22"/>
        </w:rPr>
        <w:t>20</w:t>
      </w:r>
      <w:r w:rsidRPr="00DD794C">
        <w:rPr>
          <w:rFonts w:cs="Times New Roman"/>
          <w:szCs w:val="22"/>
        </w:rPr>
        <w:fldChar w:fldCharType="end"/>
      </w:r>
      <w:r w:rsidRPr="00DD794C">
        <w:rPr>
          <w:rFonts w:cs="Times New Roman"/>
          <w:szCs w:val="22"/>
        </w:rPr>
        <w:t>:</w:t>
      </w:r>
      <w:r w:rsidRPr="00DD794C">
        <w:rPr>
          <w:rFonts w:cs="Times New Roman"/>
          <w:szCs w:val="22"/>
        </w:rPr>
        <w:tab/>
        <w:t>The assumed age profile of patients undergoing brain surgery who are assumed to have normal life expectancy</w:t>
      </w:r>
      <w:bookmarkEnd w:id="164"/>
    </w:p>
    <w:p w14:paraId="21781AFC" w14:textId="77777777" w:rsidR="002030E7" w:rsidRPr="00BD2D79" w:rsidRDefault="002030E7" w:rsidP="002030E7">
      <w:pPr>
        <w:rPr>
          <w:rFonts w:cs="Times New Roman"/>
        </w:rPr>
      </w:pPr>
      <w:r w:rsidRPr="00BD2D79">
        <w:rPr>
          <w:rFonts w:cs="Times New Roman"/>
          <w:noProof/>
          <w:lang w:eastAsia="en-GB"/>
        </w:rPr>
        <w:drawing>
          <wp:inline distT="0" distB="0" distL="0" distR="0" wp14:anchorId="410798CB" wp14:editId="5B7D8454">
            <wp:extent cx="4571429" cy="2742857"/>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1429" cy="2742857"/>
                    </a:xfrm>
                    <a:prstGeom prst="rect">
                      <a:avLst/>
                    </a:prstGeom>
                  </pic:spPr>
                </pic:pic>
              </a:graphicData>
            </a:graphic>
          </wp:inline>
        </w:drawing>
      </w:r>
    </w:p>
    <w:p w14:paraId="17B0092B" w14:textId="77777777" w:rsidR="002030E7" w:rsidRPr="00BD2D79" w:rsidRDefault="002030E7" w:rsidP="002030E7">
      <w:pPr>
        <w:rPr>
          <w:rFonts w:cs="Times New Roman"/>
        </w:rPr>
      </w:pPr>
    </w:p>
    <w:p w14:paraId="575C855F" w14:textId="1F94971F" w:rsidR="002030E7" w:rsidRPr="00DD794C" w:rsidRDefault="002030E7" w:rsidP="002030E7">
      <w:pPr>
        <w:pStyle w:val="Caption"/>
        <w:ind w:left="1440" w:hanging="1440"/>
        <w:rPr>
          <w:rFonts w:cs="Times New Roman"/>
          <w:szCs w:val="22"/>
        </w:rPr>
      </w:pPr>
      <w:bookmarkStart w:id="165" w:name="_Toc525106738"/>
      <w:r w:rsidRPr="00DD794C">
        <w:rPr>
          <w:rFonts w:cs="Times New Roman"/>
          <w:szCs w:val="22"/>
        </w:rPr>
        <w:t xml:space="preserve">Figure </w:t>
      </w:r>
      <w:r w:rsidRPr="00DD794C">
        <w:rPr>
          <w:rFonts w:cs="Times New Roman"/>
          <w:szCs w:val="22"/>
        </w:rPr>
        <w:fldChar w:fldCharType="begin"/>
      </w:r>
      <w:r w:rsidRPr="00DD794C">
        <w:rPr>
          <w:rFonts w:cs="Times New Roman"/>
          <w:szCs w:val="22"/>
        </w:rPr>
        <w:instrText xml:space="preserve"> SEQ Figure \* ARABIC </w:instrText>
      </w:r>
      <w:r w:rsidRPr="00DD794C">
        <w:rPr>
          <w:rFonts w:cs="Times New Roman"/>
          <w:szCs w:val="22"/>
        </w:rPr>
        <w:fldChar w:fldCharType="separate"/>
      </w:r>
      <w:r w:rsidR="00690541">
        <w:rPr>
          <w:rFonts w:cs="Times New Roman"/>
          <w:noProof/>
          <w:szCs w:val="22"/>
        </w:rPr>
        <w:t>21</w:t>
      </w:r>
      <w:r w:rsidRPr="00DD794C">
        <w:rPr>
          <w:rFonts w:cs="Times New Roman"/>
          <w:szCs w:val="22"/>
        </w:rPr>
        <w:fldChar w:fldCharType="end"/>
      </w:r>
      <w:r w:rsidRPr="00DD794C">
        <w:rPr>
          <w:rFonts w:cs="Times New Roman"/>
          <w:szCs w:val="22"/>
        </w:rPr>
        <w:t>:</w:t>
      </w:r>
      <w:r w:rsidRPr="00DD794C">
        <w:rPr>
          <w:rFonts w:cs="Times New Roman"/>
          <w:szCs w:val="22"/>
        </w:rPr>
        <w:tab/>
        <w:t>The assumed age profile of patients undergoing brain surgery assumed to die within 12 months</w:t>
      </w:r>
      <w:bookmarkEnd w:id="165"/>
    </w:p>
    <w:p w14:paraId="137563AF" w14:textId="77777777" w:rsidR="002030E7" w:rsidRPr="00BD2D79" w:rsidRDefault="002030E7" w:rsidP="002030E7">
      <w:pPr>
        <w:rPr>
          <w:rFonts w:cs="Times New Roman"/>
        </w:rPr>
      </w:pPr>
      <w:r w:rsidRPr="00BD2D79">
        <w:rPr>
          <w:rFonts w:cs="Times New Roman"/>
          <w:noProof/>
          <w:lang w:eastAsia="en-GB"/>
        </w:rPr>
        <w:drawing>
          <wp:inline distT="0" distB="0" distL="0" distR="0" wp14:anchorId="794A6986" wp14:editId="36BF1FCF">
            <wp:extent cx="4571429" cy="2742857"/>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1429" cy="2742857"/>
                    </a:xfrm>
                    <a:prstGeom prst="rect">
                      <a:avLst/>
                    </a:prstGeom>
                  </pic:spPr>
                </pic:pic>
              </a:graphicData>
            </a:graphic>
          </wp:inline>
        </w:drawing>
      </w:r>
    </w:p>
    <w:p w14:paraId="197DDFB5" w14:textId="77777777" w:rsidR="002030E7" w:rsidRPr="00BD2D79" w:rsidRDefault="002030E7" w:rsidP="002030E7">
      <w:pPr>
        <w:rPr>
          <w:rFonts w:cs="Times New Roman"/>
        </w:rPr>
      </w:pPr>
    </w:p>
    <w:p w14:paraId="0CFBDFE6" w14:textId="77777777" w:rsidR="002030E7" w:rsidRPr="00BD2D79" w:rsidRDefault="002030E7" w:rsidP="002030E7">
      <w:pPr>
        <w:rPr>
          <w:rFonts w:cs="Times New Roman"/>
        </w:rPr>
      </w:pPr>
    </w:p>
    <w:p w14:paraId="35C9366C" w14:textId="77777777" w:rsidR="002030E7" w:rsidRPr="00BD2D79" w:rsidRDefault="002030E7" w:rsidP="002030E7">
      <w:pPr>
        <w:rPr>
          <w:rFonts w:cs="Times New Roman"/>
        </w:rPr>
      </w:pPr>
    </w:p>
    <w:p w14:paraId="0339AC19" w14:textId="77777777" w:rsidR="002030E7" w:rsidRDefault="002030E7" w:rsidP="002030E7">
      <w:pPr>
        <w:rPr>
          <w:rFonts w:cs="Times New Roman"/>
          <w:b/>
          <w:iCs/>
        </w:rPr>
      </w:pPr>
      <w:r>
        <w:rPr>
          <w:rFonts w:cs="Times New Roman"/>
          <w:b/>
          <w:i/>
        </w:rPr>
        <w:br w:type="page"/>
      </w:r>
    </w:p>
    <w:p w14:paraId="568BECE9" w14:textId="0EC9FD60" w:rsidR="002030E7" w:rsidRPr="00DD794C" w:rsidRDefault="002030E7" w:rsidP="002030E7">
      <w:pPr>
        <w:pStyle w:val="Caption"/>
        <w:ind w:left="1440" w:hanging="1440"/>
        <w:rPr>
          <w:rFonts w:cs="Times New Roman"/>
          <w:szCs w:val="22"/>
        </w:rPr>
      </w:pPr>
      <w:bookmarkStart w:id="166" w:name="_Toc525106739"/>
      <w:r w:rsidRPr="00DD794C">
        <w:rPr>
          <w:rFonts w:cs="Times New Roman"/>
          <w:szCs w:val="22"/>
        </w:rPr>
        <w:t xml:space="preserve">Figure </w:t>
      </w:r>
      <w:r w:rsidRPr="00DD794C">
        <w:rPr>
          <w:rFonts w:cs="Times New Roman"/>
          <w:szCs w:val="22"/>
        </w:rPr>
        <w:fldChar w:fldCharType="begin"/>
      </w:r>
      <w:r w:rsidRPr="00DD794C">
        <w:rPr>
          <w:rFonts w:cs="Times New Roman"/>
          <w:szCs w:val="22"/>
        </w:rPr>
        <w:instrText xml:space="preserve"> SEQ Figure \* ARABIC </w:instrText>
      </w:r>
      <w:r w:rsidRPr="00DD794C">
        <w:rPr>
          <w:rFonts w:cs="Times New Roman"/>
          <w:szCs w:val="22"/>
        </w:rPr>
        <w:fldChar w:fldCharType="separate"/>
      </w:r>
      <w:r w:rsidR="00690541">
        <w:rPr>
          <w:rFonts w:cs="Times New Roman"/>
          <w:noProof/>
          <w:szCs w:val="22"/>
        </w:rPr>
        <w:t>22</w:t>
      </w:r>
      <w:r w:rsidRPr="00DD794C">
        <w:rPr>
          <w:rFonts w:cs="Times New Roman"/>
          <w:szCs w:val="22"/>
        </w:rPr>
        <w:fldChar w:fldCharType="end"/>
      </w:r>
      <w:r w:rsidRPr="00DD794C">
        <w:rPr>
          <w:rFonts w:cs="Times New Roman"/>
          <w:szCs w:val="22"/>
        </w:rPr>
        <w:t>:</w:t>
      </w:r>
      <w:r w:rsidRPr="00DD794C">
        <w:rPr>
          <w:rFonts w:cs="Times New Roman"/>
          <w:szCs w:val="22"/>
        </w:rPr>
        <w:tab/>
        <w:t>The assumed age profile of patients undergoing brain surgery who are assumed to have a 50% chance of death within 12 months otherwise who are assumed to have normal life expectancy</w:t>
      </w:r>
      <w:bookmarkEnd w:id="166"/>
    </w:p>
    <w:p w14:paraId="510C7878" w14:textId="77777777" w:rsidR="002030E7" w:rsidRPr="00BD2D79" w:rsidRDefault="002030E7" w:rsidP="002030E7">
      <w:pPr>
        <w:rPr>
          <w:rFonts w:cs="Times New Roman"/>
        </w:rPr>
      </w:pPr>
      <w:r w:rsidRPr="00BD2D79">
        <w:rPr>
          <w:rFonts w:cs="Times New Roman"/>
          <w:noProof/>
          <w:lang w:eastAsia="en-GB"/>
        </w:rPr>
        <w:drawing>
          <wp:inline distT="0" distB="0" distL="0" distR="0" wp14:anchorId="5D3411DA" wp14:editId="319DC73E">
            <wp:extent cx="4571429" cy="2742857"/>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1429" cy="2742857"/>
                    </a:xfrm>
                    <a:prstGeom prst="rect">
                      <a:avLst/>
                    </a:prstGeom>
                  </pic:spPr>
                </pic:pic>
              </a:graphicData>
            </a:graphic>
          </wp:inline>
        </w:drawing>
      </w:r>
    </w:p>
    <w:p w14:paraId="66766B8F" w14:textId="77777777" w:rsidR="002030E7" w:rsidRPr="00BD2D79" w:rsidRDefault="002030E7" w:rsidP="002030E7">
      <w:pPr>
        <w:rPr>
          <w:rFonts w:cs="Times New Roman"/>
        </w:rPr>
      </w:pPr>
    </w:p>
    <w:p w14:paraId="6809303A" w14:textId="4F209602" w:rsidR="002030E7" w:rsidRPr="00DD794C" w:rsidRDefault="002030E7" w:rsidP="00E55A7F">
      <w:pPr>
        <w:pStyle w:val="Caption"/>
        <w:spacing w:line="360" w:lineRule="auto"/>
        <w:rPr>
          <w:rFonts w:cs="Times New Roman"/>
          <w:szCs w:val="22"/>
        </w:rPr>
      </w:pPr>
      <w:bookmarkStart w:id="167" w:name="_Toc525106740"/>
      <w:r w:rsidRPr="00DD794C">
        <w:rPr>
          <w:rFonts w:cs="Times New Roman"/>
          <w:szCs w:val="22"/>
        </w:rPr>
        <w:t xml:space="preserve">Figure </w:t>
      </w:r>
      <w:r w:rsidRPr="00DD794C">
        <w:rPr>
          <w:rFonts w:cs="Times New Roman"/>
          <w:szCs w:val="22"/>
        </w:rPr>
        <w:fldChar w:fldCharType="begin"/>
      </w:r>
      <w:r w:rsidRPr="00DD794C">
        <w:rPr>
          <w:rFonts w:cs="Times New Roman"/>
          <w:szCs w:val="22"/>
        </w:rPr>
        <w:instrText xml:space="preserve"> SEQ Figure \* ARABIC </w:instrText>
      </w:r>
      <w:r w:rsidRPr="00DD794C">
        <w:rPr>
          <w:rFonts w:cs="Times New Roman"/>
          <w:szCs w:val="22"/>
        </w:rPr>
        <w:fldChar w:fldCharType="separate"/>
      </w:r>
      <w:r w:rsidR="00690541">
        <w:rPr>
          <w:rFonts w:cs="Times New Roman"/>
          <w:noProof/>
          <w:szCs w:val="22"/>
        </w:rPr>
        <w:t>23</w:t>
      </w:r>
      <w:r w:rsidRPr="00DD794C">
        <w:rPr>
          <w:rFonts w:cs="Times New Roman"/>
          <w:szCs w:val="22"/>
        </w:rPr>
        <w:fldChar w:fldCharType="end"/>
      </w:r>
      <w:r w:rsidRPr="00DD794C">
        <w:rPr>
          <w:rFonts w:cs="Times New Roman"/>
          <w:szCs w:val="22"/>
        </w:rPr>
        <w:t>:</w:t>
      </w:r>
      <w:r w:rsidRPr="00DD794C">
        <w:rPr>
          <w:rFonts w:cs="Times New Roman"/>
          <w:szCs w:val="22"/>
        </w:rPr>
        <w:tab/>
        <w:t>The assumed age profile of patients undergoing neuroendoscopy</w:t>
      </w:r>
      <w:bookmarkEnd w:id="167"/>
    </w:p>
    <w:p w14:paraId="438C14C2" w14:textId="77777777" w:rsidR="002030E7" w:rsidRPr="00BD2D79" w:rsidRDefault="002030E7" w:rsidP="002030E7">
      <w:pPr>
        <w:rPr>
          <w:rFonts w:cs="Times New Roman"/>
        </w:rPr>
      </w:pPr>
      <w:r w:rsidRPr="00BD2D79">
        <w:rPr>
          <w:rFonts w:cs="Times New Roman"/>
          <w:noProof/>
          <w:lang w:eastAsia="en-GB"/>
        </w:rPr>
        <w:drawing>
          <wp:inline distT="0" distB="0" distL="0" distR="0" wp14:anchorId="0CF15058" wp14:editId="20A40A00">
            <wp:extent cx="4571429" cy="2742857"/>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1429" cy="2742857"/>
                    </a:xfrm>
                    <a:prstGeom prst="rect">
                      <a:avLst/>
                    </a:prstGeom>
                  </pic:spPr>
                </pic:pic>
              </a:graphicData>
            </a:graphic>
          </wp:inline>
        </w:drawing>
      </w:r>
    </w:p>
    <w:p w14:paraId="700541B2" w14:textId="77777777" w:rsidR="002030E7" w:rsidRPr="00BD2D79" w:rsidRDefault="002030E7" w:rsidP="002030E7">
      <w:pPr>
        <w:rPr>
          <w:rFonts w:cs="Times New Roman"/>
        </w:rPr>
      </w:pPr>
    </w:p>
    <w:p w14:paraId="14B64719" w14:textId="77777777" w:rsidR="002030E7" w:rsidRDefault="002030E7" w:rsidP="002030E7">
      <w:pPr>
        <w:rPr>
          <w:rFonts w:cs="Times New Roman"/>
          <w:b/>
          <w:iCs/>
          <w:color w:val="44546A" w:themeColor="text2"/>
        </w:rPr>
      </w:pPr>
      <w:r>
        <w:rPr>
          <w:rFonts w:cs="Times New Roman"/>
          <w:b/>
          <w:i/>
        </w:rPr>
        <w:br w:type="page"/>
      </w:r>
    </w:p>
    <w:p w14:paraId="2FD2401B" w14:textId="225E0EE1" w:rsidR="002030E7" w:rsidRPr="00DD794C" w:rsidRDefault="002030E7" w:rsidP="00E55A7F">
      <w:pPr>
        <w:pStyle w:val="Caption"/>
        <w:spacing w:line="360" w:lineRule="auto"/>
        <w:rPr>
          <w:rFonts w:cs="Times New Roman"/>
          <w:szCs w:val="22"/>
        </w:rPr>
      </w:pPr>
      <w:bookmarkStart w:id="168" w:name="_Toc525106741"/>
      <w:r w:rsidRPr="00DD794C">
        <w:rPr>
          <w:rFonts w:cs="Times New Roman"/>
          <w:szCs w:val="22"/>
        </w:rPr>
        <w:t xml:space="preserve">Figure </w:t>
      </w:r>
      <w:r w:rsidRPr="00DD794C">
        <w:rPr>
          <w:rFonts w:cs="Times New Roman"/>
          <w:szCs w:val="22"/>
        </w:rPr>
        <w:fldChar w:fldCharType="begin"/>
      </w:r>
      <w:r w:rsidRPr="00DD794C">
        <w:rPr>
          <w:rFonts w:cs="Times New Roman"/>
          <w:szCs w:val="22"/>
        </w:rPr>
        <w:instrText xml:space="preserve"> SEQ Figure \* ARABIC </w:instrText>
      </w:r>
      <w:r w:rsidRPr="00DD794C">
        <w:rPr>
          <w:rFonts w:cs="Times New Roman"/>
          <w:szCs w:val="22"/>
        </w:rPr>
        <w:fldChar w:fldCharType="separate"/>
      </w:r>
      <w:r w:rsidR="00690541">
        <w:rPr>
          <w:rFonts w:cs="Times New Roman"/>
          <w:noProof/>
          <w:szCs w:val="22"/>
        </w:rPr>
        <w:t>24</w:t>
      </w:r>
      <w:r w:rsidRPr="00DD794C">
        <w:rPr>
          <w:rFonts w:cs="Times New Roman"/>
          <w:szCs w:val="22"/>
        </w:rPr>
        <w:fldChar w:fldCharType="end"/>
      </w:r>
      <w:r w:rsidRPr="00DD794C">
        <w:rPr>
          <w:rFonts w:cs="Times New Roman"/>
          <w:szCs w:val="22"/>
        </w:rPr>
        <w:t>:</w:t>
      </w:r>
      <w:r w:rsidRPr="00DD794C">
        <w:rPr>
          <w:rFonts w:cs="Times New Roman"/>
          <w:szCs w:val="22"/>
        </w:rPr>
        <w:tab/>
        <w:t>The assumed age profile of patients undergoing posterior eye operations</w:t>
      </w:r>
      <w:bookmarkEnd w:id="168"/>
      <w:r w:rsidRPr="00DD794C">
        <w:rPr>
          <w:rFonts w:cs="Times New Roman"/>
          <w:szCs w:val="22"/>
        </w:rPr>
        <w:t xml:space="preserve"> </w:t>
      </w:r>
    </w:p>
    <w:p w14:paraId="2FF2243A" w14:textId="77777777" w:rsidR="002030E7" w:rsidRPr="00BD2D79" w:rsidRDefault="002030E7" w:rsidP="002030E7">
      <w:pPr>
        <w:rPr>
          <w:rFonts w:cs="Times New Roman"/>
        </w:rPr>
      </w:pPr>
      <w:r w:rsidRPr="00BD2D79">
        <w:rPr>
          <w:rFonts w:cs="Times New Roman"/>
          <w:noProof/>
          <w:lang w:eastAsia="en-GB"/>
        </w:rPr>
        <w:drawing>
          <wp:inline distT="0" distB="0" distL="0" distR="0" wp14:anchorId="50206728" wp14:editId="06225C7A">
            <wp:extent cx="4571429" cy="2742857"/>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1429" cy="2742857"/>
                    </a:xfrm>
                    <a:prstGeom prst="rect">
                      <a:avLst/>
                    </a:prstGeom>
                  </pic:spPr>
                </pic:pic>
              </a:graphicData>
            </a:graphic>
          </wp:inline>
        </w:drawing>
      </w:r>
    </w:p>
    <w:p w14:paraId="7764856E" w14:textId="77777777" w:rsidR="002030E7" w:rsidRPr="00BD2D79" w:rsidRDefault="002030E7" w:rsidP="002030E7">
      <w:pPr>
        <w:rPr>
          <w:rFonts w:cs="Times New Roman"/>
        </w:rPr>
      </w:pPr>
    </w:p>
    <w:p w14:paraId="665FCE49" w14:textId="77777777" w:rsidR="002030E7" w:rsidRDefault="002030E7" w:rsidP="002030E7">
      <w:r>
        <w:br w:type="page"/>
      </w:r>
    </w:p>
    <w:p w14:paraId="0479B3FE" w14:textId="08871657" w:rsidR="002030E7" w:rsidRDefault="0061543B" w:rsidP="002030E7">
      <w:pPr>
        <w:pStyle w:val="Heading1"/>
        <w:rPr>
          <w:szCs w:val="22"/>
        </w:rPr>
      </w:pPr>
      <w:bookmarkStart w:id="169" w:name="_Toc525106687"/>
      <w:r>
        <w:rPr>
          <w:szCs w:val="22"/>
        </w:rPr>
        <w:t xml:space="preserve">Appendix </w:t>
      </w:r>
      <w:r w:rsidR="008C534A">
        <w:rPr>
          <w:szCs w:val="22"/>
        </w:rPr>
        <w:t>7</w:t>
      </w:r>
      <w:r>
        <w:rPr>
          <w:szCs w:val="22"/>
        </w:rPr>
        <w:t>:</w:t>
      </w:r>
      <w:r>
        <w:rPr>
          <w:szCs w:val="22"/>
        </w:rPr>
        <w:tab/>
      </w:r>
      <w:r w:rsidR="002030E7" w:rsidRPr="0027212B">
        <w:rPr>
          <w:szCs w:val="22"/>
        </w:rPr>
        <w:t>The calibration methodology</w:t>
      </w:r>
      <w:bookmarkEnd w:id="169"/>
    </w:p>
    <w:p w14:paraId="4170CE7D" w14:textId="6E1F3E3A" w:rsidR="00643453" w:rsidRPr="00643453" w:rsidRDefault="00643453" w:rsidP="00643453">
      <w:pPr>
        <w:rPr>
          <w:b/>
          <w:bCs/>
        </w:rPr>
      </w:pPr>
      <w:r w:rsidRPr="00643453">
        <w:rPr>
          <w:b/>
          <w:bCs/>
        </w:rPr>
        <w:t>Notation</w:t>
      </w:r>
    </w:p>
    <w:p w14:paraId="45CF7559" w14:textId="77777777" w:rsidR="00643453" w:rsidRPr="00B76BE0" w:rsidRDefault="00643453" w:rsidP="00643453">
      <w:pPr>
        <w:pStyle w:val="FirstParagraph"/>
        <w:spacing w:line="360" w:lineRule="auto"/>
        <w:rPr>
          <w:rFonts w:ascii="Times New Roman" w:hAnsi="Times New Roman" w:cs="Times New Roman"/>
          <w:sz w:val="22"/>
          <w:szCs w:val="22"/>
        </w:rPr>
      </w:pPr>
      <w:bookmarkStart w:id="170" w:name="notation"/>
      <w:bookmarkEnd w:id="170"/>
      <w:r w:rsidRPr="00B76BE0">
        <w:rPr>
          <w:rFonts w:ascii="Times New Roman" w:hAnsi="Times New Roman" w:cs="Times New Roman"/>
          <w:sz w:val="22"/>
          <w:szCs w:val="22"/>
        </w:rPr>
        <w:t>We define the following</w:t>
      </w:r>
    </w:p>
    <w:p w14:paraId="42D5C404" w14:textId="77777777" w:rsidR="00643453" w:rsidRPr="00B76BE0" w:rsidRDefault="00643453" w:rsidP="00643453">
      <w:pPr>
        <w:numPr>
          <w:ilvl w:val="0"/>
          <w:numId w:val="38"/>
        </w:numPr>
        <w:spacing w:after="200"/>
        <w:jc w:val="both"/>
        <w:rPr>
          <w:rFonts w:cs="Times New Roman"/>
        </w:rPr>
      </w:pPr>
      <m:oMath>
        <m:r>
          <w:rPr>
            <w:rFonts w:ascii="Cambria Math" w:hAnsi="Cambria Math" w:cs="Times New Roman"/>
          </w:rPr>
          <m:t>θ</m:t>
        </m:r>
      </m:oMath>
      <w:r w:rsidRPr="00B76BE0">
        <w:rPr>
          <w:rFonts w:cs="Times New Roman"/>
        </w:rPr>
        <w:t xml:space="preserve">: the simulation model inputs. The true values of these inputs are uncertain; following various expert elicitation sessions, we have constructed a prior distribution </w:t>
      </w:r>
      <m:oMath>
        <m:r>
          <w:rPr>
            <w:rFonts w:ascii="Cambria Math" w:hAnsi="Cambria Math" w:cs="Times New Roman"/>
          </w:rPr>
          <m:t>p(θ)</m:t>
        </m:r>
      </m:oMath>
      <w:r w:rsidRPr="00B76BE0">
        <w:rPr>
          <w:rFonts w:cs="Times New Roman"/>
        </w:rPr>
        <w:t xml:space="preserve"> for </w:t>
      </w:r>
      <m:oMath>
        <m:r>
          <w:rPr>
            <w:rFonts w:ascii="Cambria Math" w:hAnsi="Cambria Math" w:cs="Times New Roman"/>
          </w:rPr>
          <m:t>θ</m:t>
        </m:r>
      </m:oMath>
      <w:r w:rsidRPr="00B76BE0">
        <w:rPr>
          <w:rFonts w:cs="Times New Roman"/>
        </w:rPr>
        <w:t>.</w:t>
      </w:r>
    </w:p>
    <w:p w14:paraId="1DCDA62C" w14:textId="77777777" w:rsidR="00643453" w:rsidRPr="00B76BE0" w:rsidRDefault="00EB4E00" w:rsidP="00643453">
      <w:pPr>
        <w:numPr>
          <w:ilvl w:val="0"/>
          <w:numId w:val="38"/>
        </w:numPr>
        <w:spacing w:after="200"/>
        <w:rPr>
          <w:rFonts w:cs="Times New Roman"/>
        </w:rPr>
      </w:pPr>
      <m:oMath>
        <m:sSup>
          <m:sSupPr>
            <m:ctrlPr>
              <w:rPr>
                <w:rFonts w:ascii="Cambria Math" w:hAnsi="Cambria Math" w:cs="Times New Roman"/>
              </w:rPr>
            </m:ctrlPr>
          </m:sSupPr>
          <m:e>
            <m:r>
              <w:rPr>
                <w:rFonts w:ascii="Cambria Math" w:hAnsi="Cambria Math" w:cs="Times New Roman"/>
              </w:rPr>
              <m:t>T</m:t>
            </m:r>
          </m:e>
          <m:sup>
            <m:r>
              <w:rPr>
                <w:rFonts w:ascii="Cambria Math" w:hAnsi="Cambria Math" w:cs="Times New Roman"/>
              </w:rPr>
              <m:t>(i)</m:t>
            </m:r>
          </m:sup>
        </m:sSup>
      </m:oMath>
      <w:r w:rsidR="00643453" w:rsidRPr="00B76BE0">
        <w:rPr>
          <w:rFonts w:cs="Times New Roman"/>
        </w:rPr>
        <w:t xml:space="preserve"> - the number of transmissions of CJD</w:t>
      </w:r>
      <w:r w:rsidR="00643453">
        <w:rPr>
          <w:rFonts w:cs="Times New Roman"/>
        </w:rPr>
        <w:t xml:space="preserve"> via surgery that result in clinical symptoms (CJDcs)</w:t>
      </w:r>
      <w:r w:rsidR="00643453" w:rsidRPr="00B76BE0">
        <w:rPr>
          <w:rFonts w:cs="Times New Roman"/>
        </w:rPr>
        <w:t xml:space="preserve"> in age category </w:t>
      </w:r>
      <m:oMath>
        <m:r>
          <w:rPr>
            <w:rFonts w:ascii="Cambria Math" w:hAnsi="Cambria Math" w:cs="Times New Roman"/>
          </w:rPr>
          <m:t>i</m:t>
        </m:r>
      </m:oMath>
      <w:r w:rsidR="00643453" w:rsidRPr="00B76BE0">
        <w:rPr>
          <w:rFonts w:cs="Times New Roman"/>
        </w:rPr>
        <w:t xml:space="preserve">, over the period 2005-2018. The age categories are </w:t>
      </w:r>
      <m:oMath>
        <m:r>
          <w:rPr>
            <w:rFonts w:ascii="Cambria Math" w:hAnsi="Cambria Math" w:cs="Times New Roman"/>
          </w:rPr>
          <m:t>i=1</m:t>
        </m:r>
      </m:oMath>
      <w:r w:rsidR="00643453" w:rsidRPr="00B76BE0">
        <w:rPr>
          <w:rFonts w:cs="Times New Roman"/>
        </w:rPr>
        <w:t xml:space="preserve">: 59 years and below; </w:t>
      </w:r>
      <m:oMath>
        <m:r>
          <w:rPr>
            <w:rFonts w:ascii="Cambria Math" w:hAnsi="Cambria Math" w:cs="Times New Roman"/>
          </w:rPr>
          <m:t>i=2</m:t>
        </m:r>
      </m:oMath>
      <w:r w:rsidR="00643453" w:rsidRPr="00B76BE0">
        <w:rPr>
          <w:rFonts w:cs="Times New Roman"/>
        </w:rPr>
        <w:t xml:space="preserve">: 60-79 years; </w:t>
      </w:r>
      <m:oMath>
        <m:r>
          <w:rPr>
            <w:rFonts w:ascii="Cambria Math" w:hAnsi="Cambria Math" w:cs="Times New Roman"/>
          </w:rPr>
          <m:t>i=3</m:t>
        </m:r>
      </m:oMath>
      <w:r w:rsidR="00643453" w:rsidRPr="00B76BE0">
        <w:rPr>
          <w:rFonts w:cs="Times New Roman"/>
        </w:rPr>
        <w:t xml:space="preserve">: 80 years and above. We write </w:t>
      </w:r>
      <m:oMath>
        <m:r>
          <w:rPr>
            <w:rFonts w:ascii="Cambria Math" w:hAnsi="Cambria Math" w:cs="Times New Roman"/>
          </w:rPr>
          <m:t>T=(</m:t>
        </m:r>
        <m:sSup>
          <m:sSupPr>
            <m:ctrlPr>
              <w:rPr>
                <w:rFonts w:ascii="Cambria Math" w:hAnsi="Cambria Math" w:cs="Times New Roman"/>
              </w:rPr>
            </m:ctrlPr>
          </m:sSupPr>
          <m:e>
            <m:r>
              <w:rPr>
                <w:rFonts w:ascii="Cambria Math" w:hAnsi="Cambria Math" w:cs="Times New Roman"/>
              </w:rPr>
              <m:t>T</m:t>
            </m:r>
          </m:e>
          <m:sup>
            <m:r>
              <w:rPr>
                <w:rFonts w:ascii="Cambria Math" w:hAnsi="Cambria Math" w:cs="Times New Roman"/>
              </w:rPr>
              <m:t>(1)</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T</m:t>
            </m:r>
          </m:e>
          <m:sup>
            <m:r>
              <w:rPr>
                <w:rFonts w:ascii="Cambria Math" w:hAnsi="Cambria Math" w:cs="Times New Roman"/>
              </w:rPr>
              <m:t>(3)</m:t>
            </m:r>
          </m:sup>
        </m:sSup>
        <m:r>
          <w:rPr>
            <w:rFonts w:ascii="Cambria Math" w:hAnsi="Cambria Math" w:cs="Times New Roman"/>
          </w:rPr>
          <m:t>)</m:t>
        </m:r>
      </m:oMath>
      <w:r w:rsidR="00643453" w:rsidRPr="00B76BE0">
        <w:rPr>
          <w:rFonts w:cs="Times New Roman"/>
        </w:rPr>
        <w:t>.</w:t>
      </w:r>
    </w:p>
    <w:p w14:paraId="756C9BDB" w14:textId="77777777" w:rsidR="00643453" w:rsidRPr="00B76BE0" w:rsidRDefault="00EB4E00" w:rsidP="00643453">
      <w:pPr>
        <w:numPr>
          <w:ilvl w:val="0"/>
          <w:numId w:val="38"/>
        </w:numPr>
        <w:spacing w:after="200"/>
        <w:jc w:val="both"/>
        <w:rPr>
          <w:rFonts w:cs="Times New Roman"/>
        </w:rPr>
      </w:pPr>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(i)</m:t>
            </m:r>
          </m:sup>
        </m:sSup>
      </m:oMath>
      <w:r w:rsidR="00643453" w:rsidRPr="00B76BE0">
        <w:rPr>
          <w:rFonts w:cs="Times New Roman"/>
        </w:rPr>
        <w:t xml:space="preserve"> - the number of transmissions of </w:t>
      </w:r>
      <w:r w:rsidR="00643453">
        <w:rPr>
          <w:rFonts w:cs="Times New Roman"/>
        </w:rPr>
        <w:t>CJDcs</w:t>
      </w:r>
      <w:r w:rsidR="00643453" w:rsidRPr="00B76BE0">
        <w:rPr>
          <w:rFonts w:cs="Times New Roman"/>
        </w:rPr>
        <w:t xml:space="preserve">, in age category </w:t>
      </w:r>
      <m:oMath>
        <m:r>
          <w:rPr>
            <w:rFonts w:ascii="Cambria Math" w:hAnsi="Cambria Math" w:cs="Times New Roman"/>
          </w:rPr>
          <m:t>i</m:t>
        </m:r>
      </m:oMath>
      <w:r w:rsidR="00643453" w:rsidRPr="00B76BE0">
        <w:rPr>
          <w:rFonts w:cs="Times New Roman"/>
        </w:rPr>
        <w:t xml:space="preserve">, over the period 2005-2018, that resulted in deaths </w:t>
      </w:r>
      <w:r w:rsidR="00643453" w:rsidRPr="00B76BE0">
        <w:rPr>
          <w:rFonts w:cs="Times New Roman"/>
          <w:i/>
        </w:rPr>
        <w:t>recorded</w:t>
      </w:r>
      <w:r w:rsidR="00643453" w:rsidRPr="00B76BE0">
        <w:rPr>
          <w:rFonts w:cs="Times New Roman"/>
        </w:rPr>
        <w:t xml:space="preserve"> as being due to CJD. Note that for each </w:t>
      </w:r>
      <m:oMath>
        <m:r>
          <w:rPr>
            <w:rFonts w:ascii="Cambria Math" w:hAnsi="Cambria Math" w:cs="Times New Roman"/>
          </w:rPr>
          <m:t>i</m:t>
        </m:r>
      </m:oMath>
      <w:r w:rsidR="00643453" w:rsidRPr="00B76BE0">
        <w:rPr>
          <w:rFonts w:cs="Times New Roman"/>
        </w:rPr>
        <w:t xml:space="preserve">, we have </w:t>
      </w:r>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(i)</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T</m:t>
            </m:r>
          </m:e>
          <m:sup>
            <m:r>
              <w:rPr>
                <w:rFonts w:ascii="Cambria Math" w:hAnsi="Cambria Math" w:cs="Times New Roman"/>
              </w:rPr>
              <m:t>(i)</m:t>
            </m:r>
          </m:sup>
        </m:sSup>
      </m:oMath>
      <w:r w:rsidR="00643453" w:rsidRPr="00B76BE0">
        <w:rPr>
          <w:rFonts w:cs="Times New Roman"/>
        </w:rPr>
        <w:t>.</w:t>
      </w:r>
    </w:p>
    <w:p w14:paraId="62A41166" w14:textId="77777777" w:rsidR="00643453" w:rsidRPr="00B76BE0" w:rsidRDefault="00643453" w:rsidP="00643453">
      <w:pPr>
        <w:numPr>
          <w:ilvl w:val="0"/>
          <w:numId w:val="38"/>
        </w:numPr>
        <w:spacing w:after="200"/>
        <w:jc w:val="both"/>
        <w:rPr>
          <w:rFonts w:cs="Times New Roman"/>
        </w:rPr>
      </w:pPr>
      <m:oMath>
        <m:r>
          <w:rPr>
            <w:rFonts w:ascii="Cambria Math" w:hAnsi="Cambria Math" w:cs="Times New Roman"/>
          </w:rPr>
          <m:t>C</m:t>
        </m:r>
      </m:oMath>
      <w:r w:rsidRPr="00B76BE0">
        <w:rPr>
          <w:rFonts w:cs="Times New Roman"/>
        </w:rPr>
        <w:t xml:space="preserve">: the data available for calibrating the simulation model. We know that over the period 2005-2018, there were 15 recorded deaths from CJD, where the individuals were known to have had surgery. Hence, any number between 0-15 of these individuals could have acquired CJD from surgery. The age categories for these 15 recorded deaths are unavailable to us, so the calibration data </w:t>
      </w:r>
      <m:oMath>
        <m:r>
          <w:rPr>
            <w:rFonts w:ascii="Cambria Math" w:hAnsi="Cambria Math" w:cs="Times New Roman"/>
          </w:rPr>
          <m:t>C</m:t>
        </m:r>
      </m:oMath>
      <w:r w:rsidRPr="00B76BE0">
        <w:rPr>
          <w:rFonts w:cs="Times New Roman"/>
        </w:rPr>
        <w:t xml:space="preserve"> is the observation of the event that</w:t>
      </w:r>
    </w:p>
    <w:p w14:paraId="4B3C652C" w14:textId="77777777" w:rsidR="00643453" w:rsidRPr="00B76BE0" w:rsidRDefault="00643453" w:rsidP="00643453">
      <w:pPr>
        <w:pStyle w:val="BodyText"/>
        <w:spacing w:line="360" w:lineRule="auto"/>
        <w:rPr>
          <w:rFonts w:ascii="Times New Roman" w:hAnsi="Times New Roman"/>
          <w:sz w:val="22"/>
          <w:szCs w:val="22"/>
        </w:rPr>
      </w:pPr>
      <m:oMathPara>
        <m:oMathParaPr>
          <m:jc m:val="center"/>
        </m:oMathParaPr>
        <m:oMath>
          <m:r>
            <w:rPr>
              <w:rFonts w:ascii="Cambria Math" w:hAnsi="Cambria Math"/>
              <w:sz w:val="22"/>
              <w:szCs w:val="22"/>
            </w:rPr>
            <m:t>0≤</m:t>
          </m:r>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(1)</m:t>
              </m:r>
            </m:sup>
          </m:sSup>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(3)</m:t>
              </m:r>
            </m:sup>
          </m:sSup>
          <m:r>
            <w:rPr>
              <w:rFonts w:ascii="Cambria Math" w:hAnsi="Cambria Math"/>
              <w:sz w:val="22"/>
              <w:szCs w:val="22"/>
            </w:rPr>
            <m:t>≤15.</m:t>
          </m:r>
        </m:oMath>
      </m:oMathPara>
    </w:p>
    <w:p w14:paraId="67023122" w14:textId="77777777" w:rsidR="00643453" w:rsidRPr="00B76BE0" w:rsidRDefault="00EB4E00" w:rsidP="00643453">
      <w:pPr>
        <w:numPr>
          <w:ilvl w:val="0"/>
          <w:numId w:val="38"/>
        </w:numPr>
        <w:spacing w:after="200"/>
        <w:jc w:val="both"/>
        <w:rPr>
          <w:rFonts w:cs="Times New Roman"/>
        </w:rPr>
      </w:pPr>
      <m:oMath>
        <m:sSup>
          <m:sSupPr>
            <m:ctrlPr>
              <w:rPr>
                <w:rFonts w:ascii="Cambria Math" w:hAnsi="Cambria Math" w:cs="Times New Roman"/>
              </w:rPr>
            </m:ctrlPr>
          </m:sSupPr>
          <m:e>
            <m:r>
              <w:rPr>
                <w:rFonts w:ascii="Cambria Math" w:hAnsi="Cambria Math" w:cs="Times New Roman"/>
              </w:rPr>
              <m:t>ϕ</m:t>
            </m:r>
          </m:e>
          <m:sup>
            <m:r>
              <w:rPr>
                <w:rFonts w:ascii="Cambria Math" w:hAnsi="Cambria Math" w:cs="Times New Roman"/>
              </w:rPr>
              <m:t>(i)</m:t>
            </m:r>
          </m:sup>
        </m:sSup>
      </m:oMath>
      <w:r w:rsidR="00643453" w:rsidRPr="00B76BE0">
        <w:rPr>
          <w:rFonts w:cs="Times New Roman"/>
        </w:rPr>
        <w:t xml:space="preserve">: the percentage of patients, in age category </w:t>
      </w:r>
      <m:oMath>
        <m:r>
          <w:rPr>
            <w:rFonts w:ascii="Cambria Math" w:hAnsi="Cambria Math" w:cs="Times New Roman"/>
          </w:rPr>
          <m:t>i</m:t>
        </m:r>
      </m:oMath>
      <w:r w:rsidR="00643453" w:rsidRPr="00B76BE0">
        <w:rPr>
          <w:rFonts w:cs="Times New Roman"/>
        </w:rPr>
        <w:t xml:space="preserve">, whose death was due to CJD, that are misdiagnosed as having died from another neurodegenerative disease, since 2005. These percentages are unknown, and we have elicited probability distributions for them. Note that we treat these as elicited ‘posterior distributions’ </w:t>
      </w:r>
      <m:oMath>
        <m:r>
          <w:rPr>
            <w:rFonts w:ascii="Cambria Math" w:hAnsi="Cambria Math" w:cs="Times New Roman"/>
          </w:rPr>
          <m:t>p(</m:t>
        </m:r>
        <m:sSup>
          <m:sSupPr>
            <m:ctrlPr>
              <w:rPr>
                <w:rFonts w:ascii="Cambria Math" w:hAnsi="Cambria Math" w:cs="Times New Roman"/>
              </w:rPr>
            </m:ctrlPr>
          </m:sSupPr>
          <m:e>
            <m:r>
              <w:rPr>
                <w:rFonts w:ascii="Cambria Math" w:hAnsi="Cambria Math" w:cs="Times New Roman"/>
              </w:rPr>
              <m:t>ϕ</m:t>
            </m:r>
          </m:e>
          <m:sup>
            <m:r>
              <w:rPr>
                <w:rFonts w:ascii="Cambria Math" w:hAnsi="Cambria Math" w:cs="Times New Roman"/>
              </w:rPr>
              <m:t>(i)</m:t>
            </m:r>
          </m:sup>
        </m:sSup>
        <m:r>
          <w:rPr>
            <w:rFonts w:ascii="Cambria Math" w:hAnsi="Cambria Math" w:cs="Times New Roman"/>
          </w:rPr>
          <m:t>|C)</m:t>
        </m:r>
      </m:oMath>
      <w:r w:rsidR="00643453" w:rsidRPr="00B76BE0">
        <w:rPr>
          <w:rFonts w:cs="Times New Roman"/>
        </w:rPr>
        <w:t>.</w:t>
      </w:r>
    </w:p>
    <w:p w14:paraId="5A23D19F" w14:textId="77777777" w:rsidR="00643453" w:rsidRPr="00B76BE0" w:rsidRDefault="00643453" w:rsidP="00643453">
      <w:pPr>
        <w:pStyle w:val="FirstParagraph"/>
        <w:spacing w:line="360" w:lineRule="auto"/>
        <w:rPr>
          <w:rFonts w:ascii="Times New Roman" w:hAnsi="Times New Roman" w:cs="Times New Roman"/>
          <w:sz w:val="22"/>
          <w:szCs w:val="22"/>
        </w:rPr>
      </w:pPr>
      <w:r w:rsidRPr="00B76BE0">
        <w:rPr>
          <w:rFonts w:ascii="Times New Roman" w:hAnsi="Times New Roman" w:cs="Times New Roman"/>
          <w:sz w:val="22"/>
          <w:szCs w:val="22"/>
        </w:rPr>
        <w:t>We suppose that</w:t>
      </w:r>
    </w:p>
    <w:p w14:paraId="2B2DACA9" w14:textId="77777777" w:rsidR="00643453" w:rsidRPr="00B76BE0" w:rsidRDefault="00EB4E00" w:rsidP="00643453">
      <w:pPr>
        <w:pStyle w:val="BodyText"/>
        <w:spacing w:line="360" w:lineRule="auto"/>
        <w:rPr>
          <w:rFonts w:ascii="Times New Roman" w:hAnsi="Times New Roman"/>
          <w:sz w:val="22"/>
          <w:szCs w:val="22"/>
        </w:rPr>
      </w:pPr>
      <m:oMathPara>
        <m:oMathParaPr>
          <m:jc m:val="center"/>
        </m:oMathParaPr>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(i)</m:t>
              </m:r>
            </m:sup>
          </m:sSup>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T</m:t>
              </m:r>
            </m:e>
            <m:sup>
              <m:r>
                <w:rPr>
                  <w:rFonts w:ascii="Cambria Math" w:hAnsi="Cambria Math"/>
                  <w:sz w:val="22"/>
                  <w:szCs w:val="22"/>
                </w:rPr>
                <m:t>(i)</m:t>
              </m:r>
            </m:sup>
          </m:sSup>
          <m:r>
            <w:rPr>
              <w:rFonts w:ascii="Cambria Math" w:hAnsi="Cambria Math"/>
              <w:sz w:val="22"/>
              <w:szCs w:val="22"/>
            </w:rPr>
            <m:t>, </m:t>
          </m:r>
          <m:sSup>
            <m:sSupPr>
              <m:ctrlPr>
                <w:rPr>
                  <w:rFonts w:ascii="Cambria Math" w:hAnsi="Cambria Math"/>
                  <w:sz w:val="22"/>
                  <w:szCs w:val="22"/>
                </w:rPr>
              </m:ctrlPr>
            </m:sSupPr>
            <m:e>
              <m:r>
                <w:rPr>
                  <w:rFonts w:ascii="Cambria Math" w:hAnsi="Cambria Math"/>
                  <w:sz w:val="22"/>
                  <w:szCs w:val="22"/>
                </w:rPr>
                <m:t>ϕ</m:t>
              </m:r>
            </m:e>
            <m:sup>
              <m:r>
                <w:rPr>
                  <w:rFonts w:ascii="Cambria Math" w:hAnsi="Cambria Math"/>
                  <w:sz w:val="22"/>
                  <w:szCs w:val="22"/>
                </w:rPr>
                <m:t>(i)</m:t>
              </m:r>
            </m:sup>
          </m:sSup>
          <m:r>
            <w:rPr>
              <w:rFonts w:ascii="Cambria Math" w:hAnsi="Cambria Math"/>
              <w:sz w:val="22"/>
              <w:szCs w:val="22"/>
            </w:rPr>
            <m:t>∼Binomial(</m:t>
          </m:r>
          <m:sSup>
            <m:sSupPr>
              <m:ctrlPr>
                <w:rPr>
                  <w:rFonts w:ascii="Cambria Math" w:hAnsi="Cambria Math"/>
                  <w:sz w:val="22"/>
                  <w:szCs w:val="22"/>
                </w:rPr>
              </m:ctrlPr>
            </m:sSupPr>
            <m:e>
              <m:r>
                <w:rPr>
                  <w:rFonts w:ascii="Cambria Math" w:hAnsi="Cambria Math"/>
                  <w:sz w:val="22"/>
                  <w:szCs w:val="22"/>
                </w:rPr>
                <m:t>T</m:t>
              </m:r>
            </m:e>
            <m:sup>
              <m:r>
                <w:rPr>
                  <w:rFonts w:ascii="Cambria Math" w:hAnsi="Cambria Math"/>
                  <w:sz w:val="22"/>
                  <w:szCs w:val="22"/>
                </w:rPr>
                <m:t>(i)</m:t>
              </m:r>
            </m:sup>
          </m:sSup>
          <m:r>
            <w:rPr>
              <w:rFonts w:ascii="Cambria Math" w:hAnsi="Cambria Math"/>
              <w:sz w:val="22"/>
              <w:szCs w:val="22"/>
            </w:rPr>
            <m:t>, 1-</m:t>
          </m:r>
          <m:sSup>
            <m:sSupPr>
              <m:ctrlPr>
                <w:rPr>
                  <w:rFonts w:ascii="Cambria Math" w:hAnsi="Cambria Math"/>
                  <w:sz w:val="22"/>
                  <w:szCs w:val="22"/>
                </w:rPr>
              </m:ctrlPr>
            </m:sSupPr>
            <m:e>
              <m:r>
                <w:rPr>
                  <w:rFonts w:ascii="Cambria Math" w:hAnsi="Cambria Math"/>
                  <w:sz w:val="22"/>
                  <w:szCs w:val="22"/>
                </w:rPr>
                <m:t>ϕ</m:t>
              </m:r>
            </m:e>
            <m:sup>
              <m:r>
                <w:rPr>
                  <w:rFonts w:ascii="Cambria Math" w:hAnsi="Cambria Math"/>
                  <w:sz w:val="22"/>
                  <w:szCs w:val="22"/>
                </w:rPr>
                <m:t>(i)</m:t>
              </m:r>
            </m:sup>
          </m:sSup>
          <m:r>
            <w:rPr>
              <w:rFonts w:ascii="Cambria Math" w:hAnsi="Cambria Math"/>
              <w:sz w:val="22"/>
              <w:szCs w:val="22"/>
            </w:rPr>
            <m:t>).</m:t>
          </m:r>
        </m:oMath>
      </m:oMathPara>
    </w:p>
    <w:p w14:paraId="12459874" w14:textId="77777777" w:rsidR="00643453" w:rsidRPr="00B76BE0" w:rsidRDefault="00643453" w:rsidP="00643453">
      <w:pPr>
        <w:pStyle w:val="FirstParagraph"/>
        <w:spacing w:line="360" w:lineRule="auto"/>
        <w:rPr>
          <w:rFonts w:ascii="Times New Roman" w:hAnsi="Times New Roman" w:cs="Times New Roman"/>
          <w:sz w:val="22"/>
          <w:szCs w:val="22"/>
        </w:rPr>
      </w:pPr>
      <w:r w:rsidRPr="00B76BE0">
        <w:rPr>
          <w:rFonts w:ascii="Times New Roman" w:hAnsi="Times New Roman" w:cs="Times New Roman"/>
          <w:sz w:val="22"/>
          <w:szCs w:val="22"/>
        </w:rPr>
        <w:t xml:space="preserve">We collect the </w:t>
      </w:r>
      <m:oMath>
        <m:sSup>
          <m:sSupPr>
            <m:ctrlPr>
              <w:rPr>
                <w:rFonts w:ascii="Cambria Math" w:hAnsi="Cambria Math" w:cs="Times New Roman"/>
                <w:sz w:val="22"/>
                <w:szCs w:val="22"/>
              </w:rPr>
            </m:ctrlPr>
          </m:sSupPr>
          <m:e>
            <m:r>
              <w:rPr>
                <w:rFonts w:ascii="Cambria Math" w:hAnsi="Cambria Math" w:cs="Times New Roman"/>
                <w:sz w:val="22"/>
                <w:szCs w:val="22"/>
              </w:rPr>
              <m:t>ϕ</m:t>
            </m:r>
          </m:e>
          <m:sup>
            <m:r>
              <w:rPr>
                <w:rFonts w:ascii="Cambria Math" w:hAnsi="Cambria Math" w:cs="Times New Roman"/>
                <w:sz w:val="22"/>
                <w:szCs w:val="22"/>
              </w:rPr>
              <m:t>(i)</m:t>
            </m:r>
          </m:sup>
        </m:sSup>
      </m:oMath>
      <w:r w:rsidRPr="00B76BE0">
        <w:rPr>
          <w:rFonts w:ascii="Times New Roman" w:hAnsi="Times New Roman" w:cs="Times New Roman"/>
          <w:sz w:val="22"/>
          <w:szCs w:val="22"/>
        </w:rPr>
        <w:t xml:space="preserve"> parameters into vector </w:t>
      </w:r>
      <m:oMath>
        <m:r>
          <w:rPr>
            <w:rFonts w:ascii="Cambria Math" w:hAnsi="Cambria Math" w:cs="Times New Roman"/>
            <w:sz w:val="22"/>
            <w:szCs w:val="22"/>
          </w:rPr>
          <m:t>ϕ</m:t>
        </m:r>
      </m:oMath>
      <w:r w:rsidRPr="00B76BE0">
        <w:rPr>
          <w:rFonts w:ascii="Times New Roman" w:hAnsi="Times New Roman" w:cs="Times New Roman"/>
          <w:sz w:val="22"/>
          <w:szCs w:val="22"/>
        </w:rPr>
        <w:t xml:space="preserve"> and write</w:t>
      </w:r>
    </w:p>
    <w:p w14:paraId="12F65171" w14:textId="77777777" w:rsidR="00643453" w:rsidRPr="00B76BE0" w:rsidRDefault="00643453" w:rsidP="00643453">
      <w:pPr>
        <w:pStyle w:val="BodyText"/>
        <w:spacing w:line="360" w:lineRule="auto"/>
        <w:rPr>
          <w:rFonts w:ascii="Times New Roman" w:hAnsi="Times New Roman"/>
          <w:sz w:val="22"/>
          <w:szCs w:val="22"/>
        </w:rPr>
      </w:pPr>
      <m:oMathPara>
        <m:oMathParaPr>
          <m:jc m:val="center"/>
        </m:oMathParaPr>
        <m:oMath>
          <m:r>
            <w:rPr>
              <w:rFonts w:ascii="Cambria Math" w:hAnsi="Cambria Math"/>
              <w:sz w:val="22"/>
              <w:szCs w:val="22"/>
            </w:rPr>
            <m:t>ϕ=(</m:t>
          </m:r>
          <m:sSup>
            <m:sSupPr>
              <m:ctrlPr>
                <w:rPr>
                  <w:rFonts w:ascii="Cambria Math" w:hAnsi="Cambria Math"/>
                  <w:sz w:val="22"/>
                  <w:szCs w:val="22"/>
                </w:rPr>
              </m:ctrlPr>
            </m:sSupPr>
            <m:e>
              <m:r>
                <w:rPr>
                  <w:rFonts w:ascii="Cambria Math" w:hAnsi="Cambria Math"/>
                  <w:sz w:val="22"/>
                  <w:szCs w:val="22"/>
                </w:rPr>
                <m:t>ϕ</m:t>
              </m:r>
            </m:e>
            <m:sup>
              <m:r>
                <w:rPr>
                  <w:rFonts w:ascii="Cambria Math" w:hAnsi="Cambria Math"/>
                  <w:sz w:val="22"/>
                  <w:szCs w:val="22"/>
                </w:rPr>
                <m:t>(1)</m:t>
              </m:r>
            </m:sup>
          </m:sSup>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ϕ</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ϕ</m:t>
              </m:r>
            </m:e>
            <m:sup>
              <m:r>
                <w:rPr>
                  <w:rFonts w:ascii="Cambria Math" w:hAnsi="Cambria Math"/>
                  <w:sz w:val="22"/>
                  <w:szCs w:val="22"/>
                </w:rPr>
                <m:t>(3)</m:t>
              </m:r>
            </m:sup>
          </m:sSup>
          <m:r>
            <w:rPr>
              <w:rFonts w:ascii="Cambria Math" w:hAnsi="Cambria Math"/>
              <w:sz w:val="22"/>
              <w:szCs w:val="22"/>
            </w:rPr>
            <m:t>).</m:t>
          </m:r>
        </m:oMath>
      </m:oMathPara>
    </w:p>
    <w:p w14:paraId="0E9F117A" w14:textId="77777777" w:rsidR="00643453" w:rsidRPr="00B76BE0" w:rsidRDefault="00EB4E00" w:rsidP="00643453">
      <w:pPr>
        <w:numPr>
          <w:ilvl w:val="0"/>
          <w:numId w:val="38"/>
        </w:numPr>
        <w:spacing w:after="200"/>
        <w:jc w:val="both"/>
        <w:rPr>
          <w:rFonts w:cs="Times New Roman"/>
        </w:rPr>
      </w:pPr>
      <m:oMath>
        <m:sSup>
          <m:sSupPr>
            <m:ctrlPr>
              <w:rPr>
                <w:rFonts w:ascii="Cambria Math" w:hAnsi="Cambria Math" w:cs="Times New Roman"/>
              </w:rPr>
            </m:ctrlPr>
          </m:sSupPr>
          <m:e>
            <m:r>
              <w:rPr>
                <w:rFonts w:ascii="Cambria Math" w:hAnsi="Cambria Math" w:cs="Times New Roman"/>
              </w:rPr>
              <m:t>M</m:t>
            </m:r>
          </m:e>
          <m:sup>
            <m:r>
              <w:rPr>
                <w:rFonts w:ascii="Cambria Math" w:hAnsi="Cambria Math" w:cs="Times New Roman"/>
              </w:rPr>
              <m:t>(i)</m:t>
            </m:r>
          </m:sup>
        </m:sSup>
      </m:oMath>
      <w:r w:rsidR="00643453" w:rsidRPr="00B76BE0">
        <w:rPr>
          <w:rFonts w:cs="Times New Roman"/>
        </w:rPr>
        <w:t xml:space="preserve"> the </w:t>
      </w:r>
      <w:r w:rsidR="00643453" w:rsidRPr="00B76BE0">
        <w:rPr>
          <w:rFonts w:cs="Times New Roman"/>
          <w:i/>
        </w:rPr>
        <w:t>maximum</w:t>
      </w:r>
      <w:r w:rsidR="00643453" w:rsidRPr="00B76BE0">
        <w:rPr>
          <w:rFonts w:cs="Times New Roman"/>
        </w:rPr>
        <w:t xml:space="preserve"> number of transmissions of </w:t>
      </w:r>
      <w:r w:rsidR="00643453">
        <w:rPr>
          <w:rFonts w:cs="Times New Roman"/>
        </w:rPr>
        <w:t>CJDcs</w:t>
      </w:r>
      <w:r w:rsidR="00643453" w:rsidRPr="00B76BE0">
        <w:rPr>
          <w:rFonts w:cs="Times New Roman"/>
        </w:rPr>
        <w:t xml:space="preserve">, in age category </w:t>
      </w:r>
      <m:oMath>
        <m:r>
          <w:rPr>
            <w:rFonts w:ascii="Cambria Math" w:hAnsi="Cambria Math" w:cs="Times New Roman"/>
          </w:rPr>
          <m:t>i</m:t>
        </m:r>
      </m:oMath>
      <w:r w:rsidR="00643453" w:rsidRPr="00B76BE0">
        <w:rPr>
          <w:rFonts w:cs="Times New Roman"/>
        </w:rPr>
        <w:t xml:space="preserve">, over the period 2005-2018, that resulted in deaths </w:t>
      </w:r>
      <w:r w:rsidR="00643453" w:rsidRPr="00B76BE0">
        <w:rPr>
          <w:rFonts w:cs="Times New Roman"/>
          <w:i/>
        </w:rPr>
        <w:t>recorded</w:t>
      </w:r>
      <w:r w:rsidR="00643453" w:rsidRPr="00B76BE0">
        <w:rPr>
          <w:rFonts w:cs="Times New Roman"/>
        </w:rPr>
        <w:t xml:space="preserve"> as being due to CJD. We have</w:t>
      </w:r>
    </w:p>
    <w:p w14:paraId="076E3C5B" w14:textId="77777777" w:rsidR="00643453" w:rsidRPr="00B76BE0" w:rsidRDefault="00EB4E00" w:rsidP="00643453">
      <w:pPr>
        <w:pStyle w:val="BodyText"/>
        <w:spacing w:line="360" w:lineRule="auto"/>
        <w:rPr>
          <w:rFonts w:ascii="Times New Roman" w:hAnsi="Times New Roman"/>
          <w:sz w:val="22"/>
          <w:szCs w:val="22"/>
        </w:rPr>
      </w:pPr>
      <m:oMathPara>
        <m:oMathParaPr>
          <m:jc m:val="center"/>
        </m:oMathParaPr>
        <m:oMath>
          <m:sSup>
            <m:sSupPr>
              <m:ctrlPr>
                <w:rPr>
                  <w:rFonts w:ascii="Cambria Math" w:hAnsi="Cambria Math"/>
                  <w:sz w:val="22"/>
                  <w:szCs w:val="22"/>
                </w:rPr>
              </m:ctrlPr>
            </m:sSupPr>
            <m:e>
              <m:r>
                <w:rPr>
                  <w:rFonts w:ascii="Cambria Math" w:hAnsi="Cambria Math"/>
                  <w:sz w:val="22"/>
                  <w:szCs w:val="22"/>
                </w:rPr>
                <m:t>M</m:t>
              </m:r>
            </m:e>
            <m:sup>
              <m:r>
                <w:rPr>
                  <w:rFonts w:ascii="Cambria Math" w:hAnsi="Cambria Math"/>
                  <w:sz w:val="22"/>
                  <w:szCs w:val="22"/>
                </w:rPr>
                <m:t>(1)</m:t>
              </m:r>
            </m:sup>
          </m:sSup>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M</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M</m:t>
              </m:r>
            </m:e>
            <m:sup>
              <m:r>
                <w:rPr>
                  <w:rFonts w:ascii="Cambria Math" w:hAnsi="Cambria Math"/>
                  <w:sz w:val="22"/>
                  <w:szCs w:val="22"/>
                </w:rPr>
                <m:t>(3)</m:t>
              </m:r>
            </m:sup>
          </m:sSup>
          <m:r>
            <w:rPr>
              <w:rFonts w:ascii="Cambria Math" w:hAnsi="Cambria Math"/>
              <w:sz w:val="22"/>
              <w:szCs w:val="22"/>
            </w:rPr>
            <m:t>=15,</m:t>
          </m:r>
        </m:oMath>
      </m:oMathPara>
    </w:p>
    <w:p w14:paraId="2B0E2A07" w14:textId="77777777" w:rsidR="00643453" w:rsidRPr="00B76BE0" w:rsidRDefault="00643453" w:rsidP="00643453">
      <w:pPr>
        <w:rPr>
          <w:rFonts w:cs="Times New Roman"/>
        </w:rPr>
      </w:pPr>
      <w:r w:rsidRPr="00B76BE0">
        <w:rPr>
          <w:rFonts w:cs="Times New Roman"/>
        </w:rPr>
        <w:t>and that</w:t>
      </w:r>
    </w:p>
    <w:p w14:paraId="596F2682" w14:textId="77777777" w:rsidR="00643453" w:rsidRPr="00B76BE0" w:rsidRDefault="00EB4E00" w:rsidP="00643453">
      <w:pPr>
        <w:pStyle w:val="BodyText"/>
        <w:spacing w:line="360" w:lineRule="auto"/>
        <w:rPr>
          <w:rFonts w:ascii="Times New Roman" w:hAnsi="Times New Roman"/>
          <w:sz w:val="22"/>
          <w:szCs w:val="22"/>
        </w:rPr>
      </w:pPr>
      <m:oMathPara>
        <m:oMathParaPr>
          <m:jc m:val="center"/>
        </m:oMathParaPr>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(i)</m:t>
              </m:r>
            </m:sup>
          </m:sSup>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M</m:t>
              </m:r>
            </m:e>
            <m:sup>
              <m:r>
                <w:rPr>
                  <w:rFonts w:ascii="Cambria Math" w:hAnsi="Cambria Math"/>
                  <w:sz w:val="22"/>
                  <w:szCs w:val="22"/>
                </w:rPr>
                <m:t>(i)</m:t>
              </m:r>
            </m:sup>
          </m:sSup>
          <m:r>
            <w:rPr>
              <w:rFonts w:ascii="Cambria Math" w:hAnsi="Cambria Math"/>
              <w:sz w:val="22"/>
              <w:szCs w:val="22"/>
            </w:rPr>
            <m:t>,</m:t>
          </m:r>
        </m:oMath>
      </m:oMathPara>
    </w:p>
    <w:p w14:paraId="18252C82" w14:textId="77777777" w:rsidR="00643453" w:rsidRPr="00B76BE0" w:rsidRDefault="00643453" w:rsidP="00643453">
      <w:pPr>
        <w:rPr>
          <w:rFonts w:cs="Times New Roman"/>
        </w:rPr>
      </w:pPr>
      <w:r w:rsidRPr="00B76BE0">
        <w:rPr>
          <w:rFonts w:cs="Times New Roman"/>
        </w:rPr>
        <w:t xml:space="preserve">for </w:t>
      </w:r>
      <m:oMath>
        <m:r>
          <w:rPr>
            <w:rFonts w:ascii="Cambria Math" w:hAnsi="Cambria Math" w:cs="Times New Roman"/>
          </w:rPr>
          <m:t>i=1,2,3</m:t>
        </m:r>
      </m:oMath>
      <w:r w:rsidRPr="00B76BE0">
        <w:rPr>
          <w:rFonts w:cs="Times New Roman"/>
        </w:rPr>
        <w:t>. Defining</w:t>
      </w:r>
    </w:p>
    <w:p w14:paraId="6529448D" w14:textId="77777777" w:rsidR="00643453" w:rsidRPr="00B76BE0" w:rsidRDefault="00643453" w:rsidP="00643453">
      <w:pPr>
        <w:pStyle w:val="BodyText"/>
        <w:spacing w:line="360" w:lineRule="auto"/>
        <w:rPr>
          <w:rFonts w:ascii="Times New Roman" w:hAnsi="Times New Roman"/>
          <w:sz w:val="22"/>
          <w:szCs w:val="22"/>
        </w:rPr>
      </w:pPr>
      <m:oMathPara>
        <m:oMathParaPr>
          <m:jc m:val="center"/>
        </m:oMathParaPr>
        <m:oMath>
          <m:r>
            <w:rPr>
              <w:rFonts w:ascii="Cambria Math" w:hAnsi="Cambria Math"/>
              <w:sz w:val="22"/>
              <w:szCs w:val="22"/>
            </w:rPr>
            <m:t>M=(</m:t>
          </m:r>
          <m:sSup>
            <m:sSupPr>
              <m:ctrlPr>
                <w:rPr>
                  <w:rFonts w:ascii="Cambria Math" w:hAnsi="Cambria Math"/>
                  <w:sz w:val="22"/>
                  <w:szCs w:val="22"/>
                </w:rPr>
              </m:ctrlPr>
            </m:sSupPr>
            <m:e>
              <m:r>
                <w:rPr>
                  <w:rFonts w:ascii="Cambria Math" w:hAnsi="Cambria Math"/>
                  <w:sz w:val="22"/>
                  <w:szCs w:val="22"/>
                </w:rPr>
                <m:t>M</m:t>
              </m:r>
            </m:e>
            <m:sup>
              <m:r>
                <w:rPr>
                  <w:rFonts w:ascii="Cambria Math" w:hAnsi="Cambria Math"/>
                  <w:sz w:val="22"/>
                  <w:szCs w:val="22"/>
                </w:rPr>
                <m:t>(1)</m:t>
              </m:r>
            </m:sup>
          </m:sSup>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M</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M</m:t>
              </m:r>
            </m:e>
            <m:sup>
              <m:r>
                <w:rPr>
                  <w:rFonts w:ascii="Cambria Math" w:hAnsi="Cambria Math"/>
                  <w:sz w:val="22"/>
                  <w:szCs w:val="22"/>
                </w:rPr>
                <m:t>(3)</m:t>
              </m:r>
            </m:sup>
          </m:sSup>
          <m:r>
            <w:rPr>
              <w:rFonts w:ascii="Cambria Math" w:hAnsi="Cambria Math"/>
              <w:sz w:val="22"/>
              <w:szCs w:val="22"/>
            </w:rPr>
            <m:t>),</m:t>
          </m:r>
        </m:oMath>
      </m:oMathPara>
    </w:p>
    <w:p w14:paraId="7B37C071" w14:textId="77777777" w:rsidR="00643453" w:rsidRPr="00B76BE0" w:rsidRDefault="00643453" w:rsidP="00643453">
      <w:pPr>
        <w:rPr>
          <w:rFonts w:cs="Times New Roman"/>
        </w:rPr>
      </w:pPr>
      <w:r w:rsidRPr="00B76BE0">
        <w:rPr>
          <w:rFonts w:cs="Times New Roman"/>
        </w:rPr>
        <w:t>we make the assumption that</w:t>
      </w:r>
    </w:p>
    <w:p w14:paraId="24DEAC7C" w14:textId="77777777" w:rsidR="00643453" w:rsidRPr="00B76BE0" w:rsidRDefault="00643453" w:rsidP="00643453">
      <w:pPr>
        <w:pStyle w:val="BodyText"/>
        <w:spacing w:line="360" w:lineRule="auto"/>
        <w:rPr>
          <w:rFonts w:ascii="Times New Roman" w:hAnsi="Times New Roman"/>
          <w:sz w:val="22"/>
          <w:szCs w:val="22"/>
        </w:rPr>
      </w:pPr>
      <m:oMathPara>
        <m:oMathParaPr>
          <m:jc m:val="center"/>
        </m:oMathParaPr>
        <m:oMath>
          <m:r>
            <w:rPr>
              <w:rFonts w:ascii="Cambria Math" w:hAnsi="Cambria Math"/>
              <w:sz w:val="22"/>
              <w:szCs w:val="22"/>
            </w:rPr>
            <m:t>M|C∼Multinomial</m:t>
          </m:r>
          <m:d>
            <m:dPr>
              <m:ctrlPr>
                <w:rPr>
                  <w:rFonts w:ascii="Cambria Math" w:hAnsi="Cambria Math"/>
                  <w:sz w:val="22"/>
                  <w:szCs w:val="22"/>
                </w:rPr>
              </m:ctrlPr>
            </m:dPr>
            <m:e>
              <m:r>
                <w:rPr>
                  <w:rFonts w:ascii="Cambria Math" w:hAnsi="Cambria Math"/>
                  <w:sz w:val="22"/>
                  <w:szCs w:val="22"/>
                </w:rPr>
                <m:t>15;</m:t>
              </m:r>
              <m:f>
                <m:fPr>
                  <m:ctrlPr>
                    <w:rPr>
                      <w:rFonts w:ascii="Cambria Math" w:hAnsi="Cambria Math"/>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1</m:t>
                  </m:r>
                </m:num>
                <m:den>
                  <m:r>
                    <w:rPr>
                      <w:rFonts w:ascii="Cambria Math" w:hAnsi="Cambria Math"/>
                      <w:sz w:val="22"/>
                      <w:szCs w:val="22"/>
                    </w:rPr>
                    <m:t>3</m:t>
                  </m:r>
                </m:den>
              </m:f>
            </m:e>
          </m:d>
          <m:r>
            <w:rPr>
              <w:rFonts w:ascii="Cambria Math" w:hAnsi="Cambria Math"/>
              <w:sz w:val="22"/>
              <w:szCs w:val="22"/>
            </w:rPr>
            <m:t>,</m:t>
          </m:r>
        </m:oMath>
      </m:oMathPara>
    </w:p>
    <w:p w14:paraId="0D8BC739" w14:textId="77777777" w:rsidR="00643453" w:rsidRPr="00B76BE0" w:rsidRDefault="00643453" w:rsidP="00643453">
      <w:pPr>
        <w:jc w:val="both"/>
        <w:rPr>
          <w:rFonts w:cs="Times New Roman"/>
        </w:rPr>
      </w:pPr>
      <w:r w:rsidRPr="00B76BE0">
        <w:rPr>
          <w:rFonts w:cs="Times New Roman"/>
        </w:rPr>
        <w:t xml:space="preserve">i.e. that each of the 15 potential cases was equally likely to be in any age category. This is likely to give too much weight to the oldest age category, but the assumption is conservative in the sense </w:t>
      </w:r>
      <w:r>
        <w:rPr>
          <w:rFonts w:cs="Times New Roman"/>
        </w:rPr>
        <w:t>of minimising the risk of under</w:t>
      </w:r>
      <w:r w:rsidRPr="00B76BE0">
        <w:rPr>
          <w:rFonts w:cs="Times New Roman"/>
        </w:rPr>
        <w:t>estimating numbers of transmissions</w:t>
      </w:r>
      <w:r>
        <w:rPr>
          <w:rFonts w:cs="Times New Roman"/>
        </w:rPr>
        <w:t xml:space="preserve"> of CJDcs</w:t>
      </w:r>
      <w:r w:rsidRPr="00B76BE0">
        <w:rPr>
          <w:rFonts w:cs="Times New Roman"/>
        </w:rPr>
        <w:t>: patients in the oldest age category are judged the most likely to be misdiagnosed as having died from another neurodegenerative disease. Allocating a higher number of the 15 cases into the oldest age category will ‘permit’ higher numbers of transmissions</w:t>
      </w:r>
      <w:r>
        <w:rPr>
          <w:rFonts w:cs="Times New Roman"/>
        </w:rPr>
        <w:t xml:space="preserve"> of CJDcs</w:t>
      </w:r>
      <w:r w:rsidRPr="00B76BE0">
        <w:rPr>
          <w:rFonts w:cs="Times New Roman"/>
        </w:rPr>
        <w:t>, as more can be undetected.</w:t>
      </w:r>
    </w:p>
    <w:p w14:paraId="466695B2" w14:textId="77777777" w:rsidR="00643453" w:rsidRPr="00B76BE0" w:rsidRDefault="00643453" w:rsidP="00643453">
      <w:pPr>
        <w:numPr>
          <w:ilvl w:val="0"/>
          <w:numId w:val="38"/>
        </w:numPr>
        <w:spacing w:after="200"/>
        <w:rPr>
          <w:rFonts w:cs="Times New Roman"/>
        </w:rPr>
      </w:pPr>
      <m:oMath>
        <m:r>
          <w:rPr>
            <w:rFonts w:ascii="Cambria Math" w:hAnsi="Cambria Math" w:cs="Times New Roman"/>
          </w:rPr>
          <m:t>S=(</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27</m:t>
            </m:r>
          </m:sub>
        </m:sSub>
        <m:r>
          <w:rPr>
            <w:rFonts w:ascii="Cambria Math" w:hAnsi="Cambria Math" w:cs="Times New Roman"/>
          </w:rPr>
          <m:t>)</m:t>
        </m:r>
      </m:oMath>
      <w:r w:rsidRPr="00B76BE0">
        <w:rPr>
          <w:rFonts w:cs="Times New Roman"/>
        </w:rPr>
        <w:t xml:space="preserve">: a vector of scenario values for each surgical centre. Each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m:t>
            </m:r>
          </m:sub>
        </m:sSub>
      </m:oMath>
      <w:r w:rsidRPr="00B76BE0">
        <w:rPr>
          <w:rFonts w:cs="Times New Roman"/>
        </w:rPr>
        <w:t xml:space="preserve"> is coded as 1:, 2:, 3:. The definition</w:t>
      </w:r>
      <w:r>
        <w:rPr>
          <w:rFonts w:cs="Times New Roman"/>
        </w:rPr>
        <w:t>s</w:t>
      </w:r>
      <w:r w:rsidRPr="00B76BE0">
        <w:rPr>
          <w:rFonts w:cs="Times New Roman"/>
        </w:rPr>
        <w:t xml:space="preserve"> of surgical centres are provided in Section 3.5.1, with S4-S6 being denoted S1 to S3 when it is assumed that the P96 group are not infectious from birth.</w:t>
      </w:r>
    </w:p>
    <w:p w14:paraId="6889AC26" w14:textId="77777777" w:rsidR="00643453" w:rsidRDefault="00643453" w:rsidP="00643453">
      <w:pPr>
        <w:numPr>
          <w:ilvl w:val="0"/>
          <w:numId w:val="38"/>
        </w:numPr>
        <w:spacing w:after="200"/>
        <w:rPr>
          <w:rFonts w:cs="Times New Roman"/>
        </w:rPr>
      </w:pPr>
      <m:oMath>
        <m:r>
          <w:rPr>
            <w:rFonts w:ascii="Cambria Math" w:hAnsi="Cambria Math" w:cs="Times New Roman"/>
          </w:rPr>
          <m:t>Y</m:t>
        </m:r>
      </m:oMath>
      <w:r w:rsidRPr="00B76BE0">
        <w:rPr>
          <w:rFonts w:cs="Times New Roman"/>
        </w:rPr>
        <w:t xml:space="preserve">: the number of </w:t>
      </w:r>
      <w:r>
        <w:rPr>
          <w:rFonts w:cs="Times New Roman"/>
        </w:rPr>
        <w:t xml:space="preserve">discounted </w:t>
      </w:r>
      <w:r w:rsidRPr="00B76BE0">
        <w:rPr>
          <w:rFonts w:cs="Times New Roman"/>
        </w:rPr>
        <w:t xml:space="preserve">QALYs that would be lost, as a result of transmission of </w:t>
      </w:r>
      <w:r>
        <w:rPr>
          <w:rFonts w:cs="Times New Roman"/>
        </w:rPr>
        <w:t>CJDcs, due to surgery that took place between</w:t>
      </w:r>
      <w:r w:rsidRPr="00B76BE0">
        <w:rPr>
          <w:rFonts w:cs="Times New Roman"/>
        </w:rPr>
        <w:t xml:space="preserve"> the period 2019-2023.</w:t>
      </w:r>
    </w:p>
    <w:p w14:paraId="049E0985" w14:textId="77777777" w:rsidR="00643453" w:rsidRPr="00B76BE0" w:rsidRDefault="00643453" w:rsidP="00643453">
      <w:pPr>
        <w:spacing w:after="200"/>
        <w:rPr>
          <w:rFonts w:cs="Times New Roman"/>
        </w:rPr>
      </w:pPr>
    </w:p>
    <w:p w14:paraId="3DDFF361" w14:textId="77777777" w:rsidR="00643453" w:rsidRPr="00B76BE0" w:rsidRDefault="00643453" w:rsidP="00643453">
      <w:pPr>
        <w:rPr>
          <w:b/>
        </w:rPr>
      </w:pPr>
      <w:bookmarkStart w:id="171" w:name="estimating-the-number-of-qalys-lost-in-2"/>
      <w:bookmarkEnd w:id="171"/>
      <w:r w:rsidRPr="00B76BE0">
        <w:rPr>
          <w:b/>
        </w:rPr>
        <w:t xml:space="preserve">Estimating the number of QALYs lost </w:t>
      </w:r>
      <w:r>
        <w:rPr>
          <w:b/>
        </w:rPr>
        <w:t>due to a stCJD caused by an operation between</w:t>
      </w:r>
      <w:r w:rsidRPr="00B76BE0">
        <w:rPr>
          <w:b/>
        </w:rPr>
        <w:t xml:space="preserve"> 2019</w:t>
      </w:r>
      <w:r>
        <w:rPr>
          <w:b/>
        </w:rPr>
        <w:t xml:space="preserve"> and </w:t>
      </w:r>
      <w:r w:rsidRPr="00B76BE0">
        <w:rPr>
          <w:b/>
        </w:rPr>
        <w:t>2023</w:t>
      </w:r>
    </w:p>
    <w:p w14:paraId="5388B5B1" w14:textId="77777777" w:rsidR="00643453" w:rsidRPr="00B76BE0" w:rsidRDefault="00643453" w:rsidP="00643453">
      <w:pPr>
        <w:pStyle w:val="FirstParagraph"/>
        <w:spacing w:line="360" w:lineRule="auto"/>
        <w:rPr>
          <w:rFonts w:ascii="Times New Roman" w:hAnsi="Times New Roman" w:cs="Times New Roman"/>
          <w:sz w:val="22"/>
          <w:szCs w:val="22"/>
        </w:rPr>
      </w:pPr>
      <w:r w:rsidRPr="00B76BE0">
        <w:rPr>
          <w:rFonts w:ascii="Times New Roman" w:hAnsi="Times New Roman" w:cs="Times New Roman"/>
          <w:sz w:val="22"/>
          <w:szCs w:val="22"/>
        </w:rPr>
        <w:t xml:space="preserve">The aim is to draw a sample of values </w:t>
      </w:r>
      <m:oMath>
        <m:sSub>
          <m:sSubPr>
            <m:ctrlPr>
              <w:rPr>
                <w:rFonts w:ascii="Cambria Math" w:hAnsi="Cambria Math" w:cs="Times New Roman"/>
                <w:sz w:val="22"/>
                <w:szCs w:val="22"/>
              </w:rPr>
            </m:ctrlPr>
          </m:sSubPr>
          <m:e>
            <m:r>
              <w:rPr>
                <w:rFonts w:ascii="Cambria Math" w:hAnsi="Cambria Math" w:cs="Times New Roman"/>
                <w:sz w:val="22"/>
                <w:szCs w:val="22"/>
              </w:rPr>
              <m:t>Y</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Y</m:t>
            </m:r>
          </m:e>
          <m:sub>
            <m:r>
              <w:rPr>
                <w:rFonts w:ascii="Cambria Math" w:hAnsi="Cambria Math" w:cs="Times New Roman"/>
                <w:sz w:val="22"/>
                <w:szCs w:val="22"/>
              </w:rPr>
              <m:t>N</m:t>
            </m:r>
          </m:sub>
        </m:sSub>
      </m:oMath>
      <w:r w:rsidRPr="00B76BE0">
        <w:rPr>
          <w:rFonts w:ascii="Times New Roman" w:hAnsi="Times New Roman" w:cs="Times New Roman"/>
          <w:sz w:val="22"/>
          <w:szCs w:val="22"/>
        </w:rPr>
        <w:t xml:space="preserve"> from the probability distribution of </w:t>
      </w:r>
      <m:oMath>
        <m:r>
          <w:rPr>
            <w:rFonts w:ascii="Cambria Math" w:hAnsi="Cambria Math" w:cs="Times New Roman"/>
            <w:sz w:val="22"/>
            <w:szCs w:val="22"/>
          </w:rPr>
          <m:t>p(Y|C)</m:t>
        </m:r>
      </m:oMath>
      <w:r w:rsidRPr="00B76BE0">
        <w:rPr>
          <w:rFonts w:ascii="Times New Roman" w:hAnsi="Times New Roman" w:cs="Times New Roman"/>
          <w:sz w:val="22"/>
          <w:szCs w:val="22"/>
        </w:rPr>
        <w:t xml:space="preserve">, from which we can provide an estimate of the expected value </w:t>
      </w:r>
      <m:oMath>
        <m:r>
          <w:rPr>
            <w:rFonts w:ascii="Cambria Math" w:hAnsi="Cambria Math" w:cs="Times New Roman"/>
            <w:sz w:val="22"/>
            <w:szCs w:val="22"/>
          </w:rPr>
          <m:t>E(Y|C)</m:t>
        </m:r>
      </m:oMath>
      <w:r w:rsidRPr="00B76BE0">
        <w:rPr>
          <w:rFonts w:ascii="Times New Roman" w:hAnsi="Times New Roman" w:cs="Times New Roman"/>
          <w:sz w:val="22"/>
          <w:szCs w:val="22"/>
        </w:rPr>
        <w:t>. This distribution can be expressed as</w:t>
      </w:r>
    </w:p>
    <w:p w14:paraId="3EAF1EE4" w14:textId="77777777" w:rsidR="00643453" w:rsidRPr="00B76BE0" w:rsidRDefault="00643453" w:rsidP="00643453">
      <w:pPr>
        <w:pStyle w:val="BodyText"/>
        <w:spacing w:line="360" w:lineRule="auto"/>
        <w:rPr>
          <w:rFonts w:ascii="Times New Roman" w:hAnsi="Times New Roman"/>
          <w:sz w:val="22"/>
          <w:szCs w:val="22"/>
        </w:rPr>
      </w:pPr>
      <m:oMathPara>
        <m:oMathParaPr>
          <m:jc m:val="center"/>
        </m:oMathParaPr>
        <m:oMath>
          <m:r>
            <w:rPr>
              <w:rFonts w:ascii="Cambria Math" w:hAnsi="Cambria Math"/>
              <w:sz w:val="22"/>
              <w:szCs w:val="22"/>
            </w:rPr>
            <m:t>p(Y|C)=∫p(Y|C,θ)p(θ|C)dθ.</m:t>
          </m:r>
        </m:oMath>
      </m:oMathPara>
    </w:p>
    <w:p w14:paraId="5F40F7A1" w14:textId="77777777" w:rsidR="00643453" w:rsidRPr="00B76BE0" w:rsidRDefault="00643453" w:rsidP="00643453">
      <w:pPr>
        <w:pStyle w:val="FirstParagraph"/>
        <w:spacing w:line="360" w:lineRule="auto"/>
        <w:rPr>
          <w:rFonts w:ascii="Times New Roman" w:hAnsi="Times New Roman" w:cs="Times New Roman"/>
          <w:sz w:val="22"/>
          <w:szCs w:val="22"/>
        </w:rPr>
      </w:pPr>
      <w:r w:rsidRPr="00B76BE0">
        <w:rPr>
          <w:rFonts w:ascii="Times New Roman" w:hAnsi="Times New Roman" w:cs="Times New Roman"/>
          <w:sz w:val="22"/>
          <w:szCs w:val="22"/>
        </w:rPr>
        <w:t xml:space="preserve">Hence, we can obtain a sample </w:t>
      </w:r>
      <m:oMath>
        <m:sSub>
          <m:sSubPr>
            <m:ctrlPr>
              <w:rPr>
                <w:rFonts w:ascii="Cambria Math" w:hAnsi="Cambria Math" w:cs="Times New Roman"/>
                <w:sz w:val="22"/>
                <w:szCs w:val="22"/>
              </w:rPr>
            </m:ctrlPr>
          </m:sSubPr>
          <m:e>
            <m:r>
              <w:rPr>
                <w:rFonts w:ascii="Cambria Math" w:hAnsi="Cambria Math" w:cs="Times New Roman"/>
                <w:sz w:val="22"/>
                <w:szCs w:val="22"/>
              </w:rPr>
              <m:t>Y</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Y</m:t>
            </m:r>
          </m:e>
          <m:sub>
            <m:r>
              <w:rPr>
                <w:rFonts w:ascii="Cambria Math" w:hAnsi="Cambria Math" w:cs="Times New Roman"/>
                <w:sz w:val="22"/>
                <w:szCs w:val="22"/>
              </w:rPr>
              <m:t>N</m:t>
            </m:r>
          </m:sub>
        </m:sSub>
      </m:oMath>
      <w:r w:rsidRPr="00B76BE0">
        <w:rPr>
          <w:rFonts w:ascii="Times New Roman" w:hAnsi="Times New Roman" w:cs="Times New Roman"/>
          <w:sz w:val="22"/>
          <w:szCs w:val="22"/>
        </w:rPr>
        <w:t xml:space="preserve"> by obtaining a sample </w:t>
      </w:r>
      <m:oMath>
        <m:sSub>
          <m:sSubPr>
            <m:ctrlPr>
              <w:rPr>
                <w:rFonts w:ascii="Cambria Math" w:hAnsi="Cambria Math" w:cs="Times New Roman"/>
                <w:sz w:val="22"/>
                <w:szCs w:val="22"/>
              </w:rPr>
            </m:ctrlPr>
          </m:sSubPr>
          <m:e>
            <m:r>
              <w:rPr>
                <w:rFonts w:ascii="Cambria Math" w:hAnsi="Cambria Math" w:cs="Times New Roman"/>
                <w:sz w:val="22"/>
                <w:szCs w:val="22"/>
              </w:rPr>
              <m:t>θ</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θ</m:t>
            </m:r>
          </m:e>
          <m:sub>
            <m:r>
              <w:rPr>
                <w:rFonts w:ascii="Cambria Math" w:hAnsi="Cambria Math" w:cs="Times New Roman"/>
                <w:sz w:val="22"/>
                <w:szCs w:val="22"/>
              </w:rPr>
              <m:t>N</m:t>
            </m:r>
          </m:sub>
        </m:sSub>
      </m:oMath>
      <w:r w:rsidRPr="00B76BE0">
        <w:rPr>
          <w:rFonts w:ascii="Times New Roman" w:hAnsi="Times New Roman" w:cs="Times New Roman"/>
          <w:sz w:val="22"/>
          <w:szCs w:val="22"/>
        </w:rPr>
        <w:t xml:space="preserve"> from </w:t>
      </w:r>
      <m:oMath>
        <m:r>
          <w:rPr>
            <w:rFonts w:ascii="Cambria Math" w:hAnsi="Cambria Math" w:cs="Times New Roman"/>
            <w:sz w:val="22"/>
            <w:szCs w:val="22"/>
          </w:rPr>
          <m:t>p(θ|C)</m:t>
        </m:r>
      </m:oMath>
      <w:r w:rsidRPr="00B76BE0">
        <w:rPr>
          <w:rFonts w:ascii="Times New Roman" w:hAnsi="Times New Roman" w:cs="Times New Roman"/>
          <w:sz w:val="22"/>
          <w:szCs w:val="22"/>
        </w:rPr>
        <w:t xml:space="preserve">, and then sampling </w:t>
      </w:r>
      <m:oMath>
        <m:sSub>
          <m:sSubPr>
            <m:ctrlPr>
              <w:rPr>
                <w:rFonts w:ascii="Cambria Math" w:hAnsi="Cambria Math" w:cs="Times New Roman"/>
                <w:sz w:val="22"/>
                <w:szCs w:val="22"/>
              </w:rPr>
            </m:ctrlPr>
          </m:sSubPr>
          <m:e>
            <m:r>
              <w:rPr>
                <w:rFonts w:ascii="Cambria Math" w:hAnsi="Cambria Math" w:cs="Times New Roman"/>
                <w:sz w:val="22"/>
                <w:szCs w:val="22"/>
              </w:rPr>
              <m:t>Y</m:t>
            </m:r>
          </m:e>
          <m:sub>
            <m:r>
              <w:rPr>
                <w:rFonts w:ascii="Cambria Math" w:hAnsi="Cambria Math" w:cs="Times New Roman"/>
                <w:sz w:val="22"/>
                <w:szCs w:val="22"/>
              </w:rPr>
              <m:t>i</m:t>
            </m:r>
          </m:sub>
        </m:sSub>
      </m:oMath>
      <w:r w:rsidRPr="00B76BE0">
        <w:rPr>
          <w:rFonts w:ascii="Times New Roman" w:hAnsi="Times New Roman" w:cs="Times New Roman"/>
          <w:sz w:val="22"/>
          <w:szCs w:val="22"/>
        </w:rPr>
        <w:t xml:space="preserve"> from </w:t>
      </w:r>
      <m:oMath>
        <m:r>
          <w:rPr>
            <w:rFonts w:ascii="Cambria Math" w:hAnsi="Cambria Math" w:cs="Times New Roman"/>
            <w:sz w:val="22"/>
            <w:szCs w:val="22"/>
          </w:rPr>
          <m:t>p(Y|</m:t>
        </m:r>
        <m:sSub>
          <m:sSubPr>
            <m:ctrlPr>
              <w:rPr>
                <w:rFonts w:ascii="Cambria Math" w:hAnsi="Cambria Math" w:cs="Times New Roman"/>
                <w:sz w:val="22"/>
                <w:szCs w:val="22"/>
              </w:rPr>
            </m:ctrlPr>
          </m:sSubPr>
          <m:e>
            <m:r>
              <w:rPr>
                <w:rFonts w:ascii="Cambria Math" w:hAnsi="Cambria Math" w:cs="Times New Roman"/>
                <w:sz w:val="22"/>
                <w:szCs w:val="22"/>
              </w:rPr>
              <m:t>θ</m:t>
            </m:r>
          </m:e>
          <m:sub>
            <m:r>
              <w:rPr>
                <w:rFonts w:ascii="Cambria Math" w:hAnsi="Cambria Math" w:cs="Times New Roman"/>
                <w:sz w:val="22"/>
                <w:szCs w:val="22"/>
              </w:rPr>
              <m:t>i</m:t>
            </m:r>
          </m:sub>
        </m:sSub>
        <m:r>
          <w:rPr>
            <w:rFonts w:ascii="Cambria Math" w:hAnsi="Cambria Math" w:cs="Times New Roman"/>
            <w:sz w:val="22"/>
            <w:szCs w:val="22"/>
          </w:rPr>
          <m:t>,C)</m:t>
        </m:r>
      </m:oMath>
      <w:r w:rsidRPr="00B76BE0">
        <w:rPr>
          <w:rFonts w:ascii="Times New Roman" w:hAnsi="Times New Roman" w:cs="Times New Roman"/>
          <w:sz w:val="22"/>
          <w:szCs w:val="22"/>
        </w:rPr>
        <w:t>. In essence, we are</w:t>
      </w:r>
    </w:p>
    <w:p w14:paraId="5A68BD6B" w14:textId="77777777" w:rsidR="00643453" w:rsidRPr="00B76BE0" w:rsidRDefault="00643453" w:rsidP="00643453">
      <w:pPr>
        <w:pStyle w:val="Compact"/>
        <w:numPr>
          <w:ilvl w:val="0"/>
          <w:numId w:val="39"/>
        </w:numPr>
        <w:spacing w:line="360" w:lineRule="auto"/>
        <w:rPr>
          <w:rFonts w:ascii="Times New Roman" w:hAnsi="Times New Roman" w:cs="Times New Roman"/>
          <w:sz w:val="22"/>
          <w:szCs w:val="22"/>
        </w:rPr>
      </w:pPr>
      <w:r w:rsidRPr="00B76BE0">
        <w:rPr>
          <w:rFonts w:ascii="Times New Roman" w:hAnsi="Times New Roman" w:cs="Times New Roman"/>
          <w:sz w:val="22"/>
          <w:szCs w:val="22"/>
        </w:rPr>
        <w:t xml:space="preserve">calibrating the simulation model by updating the model inputs from </w:t>
      </w:r>
      <m:oMath>
        <m:r>
          <w:rPr>
            <w:rFonts w:ascii="Cambria Math" w:hAnsi="Cambria Math" w:cs="Times New Roman"/>
            <w:sz w:val="22"/>
            <w:szCs w:val="22"/>
          </w:rPr>
          <m:t>p(θ)</m:t>
        </m:r>
      </m:oMath>
      <w:r w:rsidRPr="00B76BE0">
        <w:rPr>
          <w:rFonts w:ascii="Times New Roman" w:hAnsi="Times New Roman" w:cs="Times New Roman"/>
          <w:sz w:val="22"/>
          <w:szCs w:val="22"/>
        </w:rPr>
        <w:t xml:space="preserve"> to </w:t>
      </w:r>
      <m:oMath>
        <m:r>
          <w:rPr>
            <w:rFonts w:ascii="Cambria Math" w:hAnsi="Cambria Math" w:cs="Times New Roman"/>
            <w:sz w:val="22"/>
            <w:szCs w:val="22"/>
          </w:rPr>
          <m:t>p(θ|C)</m:t>
        </m:r>
      </m:oMath>
      <w:r w:rsidRPr="00B76BE0">
        <w:rPr>
          <w:rFonts w:ascii="Times New Roman" w:hAnsi="Times New Roman" w:cs="Times New Roman"/>
          <w:sz w:val="22"/>
          <w:szCs w:val="22"/>
        </w:rPr>
        <w:t xml:space="preserve">: we update what we know about the model inputs in light of the calibration data </w:t>
      </w:r>
      <m:oMath>
        <m:r>
          <w:rPr>
            <w:rFonts w:ascii="Cambria Math" w:hAnsi="Cambria Math" w:cs="Times New Roman"/>
            <w:sz w:val="22"/>
            <w:szCs w:val="22"/>
          </w:rPr>
          <m:t>C</m:t>
        </m:r>
      </m:oMath>
      <w:r w:rsidRPr="00B76BE0">
        <w:rPr>
          <w:rFonts w:ascii="Times New Roman" w:hAnsi="Times New Roman" w:cs="Times New Roman"/>
          <w:sz w:val="22"/>
          <w:szCs w:val="22"/>
        </w:rPr>
        <w:t>;</w:t>
      </w:r>
    </w:p>
    <w:p w14:paraId="7F379B37" w14:textId="77777777" w:rsidR="00643453" w:rsidRDefault="00643453" w:rsidP="00643453">
      <w:pPr>
        <w:pStyle w:val="Compact"/>
        <w:numPr>
          <w:ilvl w:val="0"/>
          <w:numId w:val="39"/>
        </w:numPr>
        <w:spacing w:line="360" w:lineRule="auto"/>
        <w:rPr>
          <w:rFonts w:ascii="Times New Roman" w:hAnsi="Times New Roman" w:cs="Times New Roman"/>
          <w:sz w:val="22"/>
          <w:szCs w:val="22"/>
        </w:rPr>
      </w:pPr>
      <w:r w:rsidRPr="00B76BE0">
        <w:rPr>
          <w:rFonts w:ascii="Times New Roman" w:hAnsi="Times New Roman" w:cs="Times New Roman"/>
          <w:sz w:val="22"/>
          <w:szCs w:val="22"/>
        </w:rPr>
        <w:t xml:space="preserve">running the simulation model forward to predict </w:t>
      </w:r>
      <m:oMath>
        <m:r>
          <w:rPr>
            <w:rFonts w:ascii="Cambria Math" w:hAnsi="Cambria Math" w:cs="Times New Roman"/>
            <w:sz w:val="22"/>
            <w:szCs w:val="22"/>
          </w:rPr>
          <m:t>Y</m:t>
        </m:r>
      </m:oMath>
      <w:r w:rsidRPr="00B76BE0">
        <w:rPr>
          <w:rFonts w:ascii="Times New Roman" w:hAnsi="Times New Roman" w:cs="Times New Roman"/>
          <w:sz w:val="22"/>
          <w:szCs w:val="22"/>
        </w:rPr>
        <w:t xml:space="preserve">, at input values </w:t>
      </w:r>
      <m:oMath>
        <m:r>
          <w:rPr>
            <w:rFonts w:ascii="Cambria Math" w:hAnsi="Cambria Math" w:cs="Times New Roman"/>
            <w:sz w:val="22"/>
            <w:szCs w:val="22"/>
          </w:rPr>
          <m:t>θ</m:t>
        </m:r>
      </m:oMath>
      <w:r w:rsidRPr="00B76BE0">
        <w:rPr>
          <w:rFonts w:ascii="Times New Roman" w:hAnsi="Times New Roman" w:cs="Times New Roman"/>
          <w:sz w:val="22"/>
          <w:szCs w:val="22"/>
        </w:rPr>
        <w:t xml:space="preserve"> sampled from </w:t>
      </w:r>
      <m:oMath>
        <m:r>
          <w:rPr>
            <w:rFonts w:ascii="Cambria Math" w:hAnsi="Cambria Math" w:cs="Times New Roman"/>
            <w:sz w:val="22"/>
            <w:szCs w:val="22"/>
          </w:rPr>
          <m:t>p(θ|C)</m:t>
        </m:r>
      </m:oMath>
      <w:r w:rsidRPr="00B76BE0">
        <w:rPr>
          <w:rFonts w:ascii="Times New Roman" w:hAnsi="Times New Roman" w:cs="Times New Roman"/>
          <w:sz w:val="22"/>
          <w:szCs w:val="22"/>
        </w:rPr>
        <w:t xml:space="preserve">: input values identified to be consistent with the calibration data </w:t>
      </w:r>
      <m:oMath>
        <m:r>
          <w:rPr>
            <w:rFonts w:ascii="Cambria Math" w:hAnsi="Cambria Math" w:cs="Times New Roman"/>
            <w:sz w:val="22"/>
            <w:szCs w:val="22"/>
          </w:rPr>
          <m:t>C</m:t>
        </m:r>
      </m:oMath>
      <w:r w:rsidRPr="00B76BE0">
        <w:rPr>
          <w:rFonts w:ascii="Times New Roman" w:hAnsi="Times New Roman" w:cs="Times New Roman"/>
          <w:sz w:val="22"/>
          <w:szCs w:val="22"/>
        </w:rPr>
        <w:t>.</w:t>
      </w:r>
    </w:p>
    <w:p w14:paraId="134A9C06" w14:textId="77777777" w:rsidR="00643453" w:rsidRDefault="00643453" w:rsidP="00643453">
      <w:pPr>
        <w:pStyle w:val="Compact"/>
        <w:spacing w:line="360" w:lineRule="auto"/>
        <w:rPr>
          <w:rFonts w:ascii="Times New Roman" w:hAnsi="Times New Roman" w:cs="Times New Roman"/>
          <w:sz w:val="22"/>
          <w:szCs w:val="22"/>
        </w:rPr>
      </w:pPr>
    </w:p>
    <w:p w14:paraId="30503C37" w14:textId="77777777" w:rsidR="00643453" w:rsidRPr="00B76BE0" w:rsidRDefault="00643453" w:rsidP="00643453">
      <w:pPr>
        <w:rPr>
          <w:b/>
        </w:rPr>
      </w:pPr>
      <w:bookmarkStart w:id="172" w:name="sampling-from-pthetac"/>
      <w:bookmarkEnd w:id="172"/>
      <w:r w:rsidRPr="00B76BE0">
        <w:rPr>
          <w:b/>
        </w:rPr>
        <w:t xml:space="preserve">Sampling from </w:t>
      </w:r>
      <m:oMath>
        <m:r>
          <m:rPr>
            <m:sty m:val="bi"/>
          </m:rPr>
          <w:rPr>
            <w:rFonts w:ascii="Cambria Math" w:hAnsi="Cambria Math"/>
          </w:rPr>
          <m:t>p(θ|C)</m:t>
        </m:r>
      </m:oMath>
    </w:p>
    <w:p w14:paraId="1122E000" w14:textId="77777777" w:rsidR="00643453" w:rsidRPr="00B76BE0" w:rsidRDefault="00643453" w:rsidP="00643453">
      <w:pPr>
        <w:pStyle w:val="FirstParagraph"/>
        <w:spacing w:line="360" w:lineRule="auto"/>
        <w:jc w:val="both"/>
        <w:rPr>
          <w:rFonts w:ascii="Times New Roman" w:hAnsi="Times New Roman" w:cs="Times New Roman"/>
          <w:sz w:val="22"/>
          <w:szCs w:val="22"/>
        </w:rPr>
      </w:pPr>
      <w:r w:rsidRPr="00B76BE0">
        <w:rPr>
          <w:rFonts w:ascii="Times New Roman" w:hAnsi="Times New Roman" w:cs="Times New Roman"/>
          <w:sz w:val="22"/>
          <w:szCs w:val="22"/>
        </w:rPr>
        <w:t xml:space="preserve">The method we use to sample from </w:t>
      </w:r>
      <m:oMath>
        <m:r>
          <w:rPr>
            <w:rFonts w:ascii="Cambria Math" w:hAnsi="Cambria Math" w:cs="Times New Roman"/>
            <w:sz w:val="22"/>
            <w:szCs w:val="22"/>
          </w:rPr>
          <m:t>p(θ|C)</m:t>
        </m:r>
      </m:oMath>
      <w:r w:rsidRPr="00B76BE0">
        <w:rPr>
          <w:rFonts w:ascii="Times New Roman" w:hAnsi="Times New Roman" w:cs="Times New Roman"/>
          <w:sz w:val="22"/>
          <w:szCs w:val="22"/>
        </w:rPr>
        <w:t xml:space="preserve"> is known as Approximate Bayesian Computation (ABC). This is a standard technique when we have a simulation model that can generate a random value of </w:t>
      </w:r>
      <m:oMath>
        <m:r>
          <w:rPr>
            <w:rFonts w:ascii="Cambria Math" w:hAnsi="Cambria Math" w:cs="Times New Roman"/>
            <w:sz w:val="22"/>
            <w:szCs w:val="22"/>
          </w:rPr>
          <m:t>C</m:t>
        </m:r>
      </m:oMath>
      <w:r w:rsidRPr="00B76BE0">
        <w:rPr>
          <w:rFonts w:ascii="Times New Roman" w:hAnsi="Times New Roman" w:cs="Times New Roman"/>
          <w:sz w:val="22"/>
          <w:szCs w:val="22"/>
        </w:rPr>
        <w:t xml:space="preserve"> given an input </w:t>
      </w:r>
      <m:oMath>
        <m:r>
          <w:rPr>
            <w:rFonts w:ascii="Cambria Math" w:hAnsi="Cambria Math" w:cs="Times New Roman"/>
            <w:sz w:val="22"/>
            <w:szCs w:val="22"/>
          </w:rPr>
          <m:t>θ</m:t>
        </m:r>
      </m:oMath>
      <w:r w:rsidRPr="00B76BE0">
        <w:rPr>
          <w:rFonts w:ascii="Times New Roman" w:hAnsi="Times New Roman" w:cs="Times New Roman"/>
          <w:sz w:val="22"/>
          <w:szCs w:val="22"/>
        </w:rPr>
        <w:t xml:space="preserve">, but no </w:t>
      </w:r>
      <w:r w:rsidRPr="00B76BE0">
        <w:rPr>
          <w:rFonts w:ascii="Times New Roman" w:hAnsi="Times New Roman" w:cs="Times New Roman"/>
          <w:i/>
          <w:sz w:val="22"/>
          <w:szCs w:val="22"/>
        </w:rPr>
        <w:t>formula</w:t>
      </w:r>
      <w:r w:rsidRPr="00B76BE0">
        <w:rPr>
          <w:rFonts w:ascii="Times New Roman" w:hAnsi="Times New Roman" w:cs="Times New Roman"/>
          <w:sz w:val="22"/>
          <w:szCs w:val="22"/>
        </w:rPr>
        <w:t xml:space="preserve"> can be obtained for the likelihood function </w:t>
      </w:r>
      <m:oMath>
        <m:r>
          <w:rPr>
            <w:rFonts w:ascii="Cambria Math" w:hAnsi="Cambria Math" w:cs="Times New Roman"/>
            <w:sz w:val="22"/>
            <w:szCs w:val="22"/>
          </w:rPr>
          <m:t>p(C|θ)</m:t>
        </m:r>
      </m:oMath>
      <w:r w:rsidRPr="00B76BE0">
        <w:rPr>
          <w:rFonts w:ascii="Times New Roman" w:hAnsi="Times New Roman" w:cs="Times New Roman"/>
          <w:sz w:val="22"/>
          <w:szCs w:val="22"/>
        </w:rPr>
        <w:t>. The basic ABC algorithm is as follows.</w:t>
      </w:r>
    </w:p>
    <w:p w14:paraId="01F82790" w14:textId="77777777" w:rsidR="00643453" w:rsidRPr="00B76BE0" w:rsidRDefault="00643453" w:rsidP="00643453">
      <w:pPr>
        <w:numPr>
          <w:ilvl w:val="0"/>
          <w:numId w:val="39"/>
        </w:numPr>
        <w:spacing w:after="200"/>
        <w:rPr>
          <w:rFonts w:cs="Times New Roman"/>
        </w:rPr>
      </w:pPr>
      <w:r w:rsidRPr="00B76BE0">
        <w:rPr>
          <w:rFonts w:cs="Times New Roman"/>
        </w:rPr>
        <w:t xml:space="preserve">Generate one random value </w:t>
      </w:r>
      <m:oMath>
        <m:sSup>
          <m:sSupPr>
            <m:ctrlPr>
              <w:rPr>
                <w:rFonts w:ascii="Cambria Math" w:hAnsi="Cambria Math" w:cs="Times New Roman"/>
              </w:rPr>
            </m:ctrlPr>
          </m:sSupPr>
          <m:e>
            <m:r>
              <w:rPr>
                <w:rFonts w:ascii="Cambria Math" w:hAnsi="Cambria Math" w:cs="Times New Roman"/>
              </w:rPr>
              <m:t>θ</m:t>
            </m:r>
          </m:e>
          <m:sup>
            <m:r>
              <w:rPr>
                <w:rFonts w:ascii="Cambria Math" w:hAnsi="Cambria Math" w:cs="Times New Roman"/>
              </w:rPr>
              <m:t>*</m:t>
            </m:r>
          </m:sup>
        </m:sSup>
      </m:oMath>
      <w:r w:rsidRPr="00B76BE0">
        <w:rPr>
          <w:rFonts w:cs="Times New Roman"/>
        </w:rPr>
        <w:t xml:space="preserve"> from the elicited prior </w:t>
      </w:r>
      <m:oMath>
        <m:r>
          <w:rPr>
            <w:rFonts w:ascii="Cambria Math" w:hAnsi="Cambria Math" w:cs="Times New Roman"/>
          </w:rPr>
          <m:t>p(θ)</m:t>
        </m:r>
      </m:oMath>
    </w:p>
    <w:p w14:paraId="28125E56" w14:textId="77777777" w:rsidR="00643453" w:rsidRPr="00B76BE0" w:rsidRDefault="00643453" w:rsidP="00643453">
      <w:pPr>
        <w:numPr>
          <w:ilvl w:val="0"/>
          <w:numId w:val="39"/>
        </w:numPr>
        <w:spacing w:after="200"/>
        <w:jc w:val="both"/>
        <w:rPr>
          <w:rFonts w:cs="Times New Roman"/>
        </w:rPr>
      </w:pPr>
      <w:r w:rsidRPr="00B76BE0">
        <w:rPr>
          <w:rFonts w:cs="Times New Roman"/>
        </w:rPr>
        <w:t xml:space="preserve">Given the model input </w:t>
      </w:r>
      <m:oMath>
        <m:sSup>
          <m:sSupPr>
            <m:ctrlPr>
              <w:rPr>
                <w:rFonts w:ascii="Cambria Math" w:hAnsi="Cambria Math" w:cs="Times New Roman"/>
              </w:rPr>
            </m:ctrlPr>
          </m:sSupPr>
          <m:e>
            <m:r>
              <w:rPr>
                <w:rFonts w:ascii="Cambria Math" w:hAnsi="Cambria Math" w:cs="Times New Roman"/>
              </w:rPr>
              <m:t>θ</m:t>
            </m:r>
          </m:e>
          <m:sup>
            <m:r>
              <w:rPr>
                <w:rFonts w:ascii="Cambria Math" w:hAnsi="Cambria Math" w:cs="Times New Roman"/>
              </w:rPr>
              <m:t>*</m:t>
            </m:r>
          </m:sup>
        </m:sSup>
      </m:oMath>
      <w:r w:rsidRPr="00B76BE0">
        <w:rPr>
          <w:rFonts w:cs="Times New Roman"/>
        </w:rPr>
        <w:t xml:space="preserve">, run the model, and observe whether the event </w:t>
      </w:r>
      <m:oMath>
        <m:r>
          <w:rPr>
            <w:rFonts w:ascii="Cambria Math" w:hAnsi="Cambria Math" w:cs="Times New Roman"/>
          </w:rPr>
          <m:t>C</m:t>
        </m:r>
      </m:oMath>
      <w:r w:rsidRPr="00B76BE0">
        <w:rPr>
          <w:rFonts w:cs="Times New Roman"/>
        </w:rPr>
        <w:t xml:space="preserve"> has occured within the model simulation.</w:t>
      </w:r>
    </w:p>
    <w:p w14:paraId="63B9C45C" w14:textId="77777777" w:rsidR="00643453" w:rsidRPr="00B76BE0" w:rsidRDefault="00643453" w:rsidP="00643453">
      <w:pPr>
        <w:numPr>
          <w:ilvl w:val="0"/>
          <w:numId w:val="39"/>
        </w:numPr>
        <w:spacing w:after="200"/>
        <w:jc w:val="both"/>
        <w:rPr>
          <w:rFonts w:cs="Times New Roman"/>
        </w:rPr>
      </w:pPr>
      <w:r w:rsidRPr="00B76BE0">
        <w:rPr>
          <w:rFonts w:cs="Times New Roman"/>
        </w:rPr>
        <w:t xml:space="preserve">If the event </w:t>
      </w:r>
      <m:oMath>
        <m:r>
          <w:rPr>
            <w:rFonts w:ascii="Cambria Math" w:hAnsi="Cambria Math" w:cs="Times New Roman"/>
          </w:rPr>
          <m:t>C</m:t>
        </m:r>
      </m:oMath>
      <w:r w:rsidRPr="00B76BE0">
        <w:rPr>
          <w:rFonts w:cs="Times New Roman"/>
        </w:rPr>
        <w:t xml:space="preserve"> has occurred within the model simulation, accept </w:t>
      </w:r>
      <m:oMath>
        <m:sSup>
          <m:sSupPr>
            <m:ctrlPr>
              <w:rPr>
                <w:rFonts w:ascii="Cambria Math" w:hAnsi="Cambria Math" w:cs="Times New Roman"/>
              </w:rPr>
            </m:ctrlPr>
          </m:sSupPr>
          <m:e>
            <m:r>
              <w:rPr>
                <w:rFonts w:ascii="Cambria Math" w:hAnsi="Cambria Math" w:cs="Times New Roman"/>
              </w:rPr>
              <m:t>θ</m:t>
            </m:r>
          </m:e>
          <m:sup>
            <m:r>
              <w:rPr>
                <w:rFonts w:ascii="Cambria Math" w:hAnsi="Cambria Math" w:cs="Times New Roman"/>
              </w:rPr>
              <m:t>*</m:t>
            </m:r>
          </m:sup>
        </m:sSup>
      </m:oMath>
      <w:r w:rsidRPr="00B76BE0">
        <w:rPr>
          <w:rFonts w:cs="Times New Roman"/>
        </w:rPr>
        <w:t xml:space="preserve"> as a valid draw from </w:t>
      </w:r>
      <m:oMath>
        <m:r>
          <w:rPr>
            <w:rFonts w:ascii="Cambria Math" w:hAnsi="Cambria Math" w:cs="Times New Roman"/>
          </w:rPr>
          <m:t>p(θ|C)</m:t>
        </m:r>
      </m:oMath>
      <w:r w:rsidRPr="00B76BE0">
        <w:rPr>
          <w:rFonts w:cs="Times New Roman"/>
        </w:rPr>
        <w:t xml:space="preserve">. Otherwise, reject, and return to step 1. Repeat until a candidate value </w:t>
      </w:r>
      <m:oMath>
        <m:sSup>
          <m:sSupPr>
            <m:ctrlPr>
              <w:rPr>
                <w:rFonts w:ascii="Cambria Math" w:hAnsi="Cambria Math" w:cs="Times New Roman"/>
              </w:rPr>
            </m:ctrlPr>
          </m:sSupPr>
          <m:e>
            <m:r>
              <w:rPr>
                <w:rFonts w:ascii="Cambria Math" w:hAnsi="Cambria Math" w:cs="Times New Roman"/>
              </w:rPr>
              <m:t>θ</m:t>
            </m:r>
          </m:e>
          <m:sup>
            <m:r>
              <w:rPr>
                <w:rFonts w:ascii="Cambria Math" w:hAnsi="Cambria Math" w:cs="Times New Roman"/>
              </w:rPr>
              <m:t>*</m:t>
            </m:r>
          </m:sup>
        </m:sSup>
      </m:oMath>
      <w:r w:rsidRPr="00B76BE0">
        <w:rPr>
          <w:rFonts w:cs="Times New Roman"/>
        </w:rPr>
        <w:t xml:space="preserve"> is accepted.</w:t>
      </w:r>
    </w:p>
    <w:p w14:paraId="68AEFA53" w14:textId="77777777" w:rsidR="00643453" w:rsidRDefault="00643453" w:rsidP="00643453">
      <w:pPr>
        <w:pStyle w:val="FirstParagraph"/>
        <w:spacing w:line="360" w:lineRule="auto"/>
        <w:jc w:val="both"/>
        <w:rPr>
          <w:rFonts w:ascii="Times New Roman" w:hAnsi="Times New Roman" w:cs="Times New Roman"/>
          <w:sz w:val="22"/>
          <w:szCs w:val="22"/>
        </w:rPr>
      </w:pPr>
      <w:r w:rsidRPr="00B76BE0">
        <w:rPr>
          <w:rFonts w:ascii="Times New Roman" w:hAnsi="Times New Roman" w:cs="Times New Roman"/>
          <w:sz w:val="22"/>
          <w:szCs w:val="22"/>
        </w:rPr>
        <w:t xml:space="preserve">The process is repeated as many times as required to produce a sample </w:t>
      </w:r>
      <m:oMath>
        <m:sSub>
          <m:sSubPr>
            <m:ctrlPr>
              <w:rPr>
                <w:rFonts w:ascii="Cambria Math" w:hAnsi="Cambria Math" w:cs="Times New Roman"/>
                <w:sz w:val="22"/>
                <w:szCs w:val="22"/>
              </w:rPr>
            </m:ctrlPr>
          </m:sSubPr>
          <m:e>
            <m:r>
              <w:rPr>
                <w:rFonts w:ascii="Cambria Math" w:hAnsi="Cambria Math" w:cs="Times New Roman"/>
                <w:sz w:val="22"/>
                <w:szCs w:val="22"/>
              </w:rPr>
              <m:t>θ</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θ</m:t>
            </m:r>
          </m:e>
          <m:sub>
            <m:r>
              <w:rPr>
                <w:rFonts w:ascii="Cambria Math" w:hAnsi="Cambria Math" w:cs="Times New Roman"/>
                <w:sz w:val="22"/>
                <w:szCs w:val="22"/>
              </w:rPr>
              <m:t>N</m:t>
            </m:r>
          </m:sub>
        </m:sSub>
      </m:oMath>
      <w:r w:rsidRPr="00B76BE0">
        <w:rPr>
          <w:rFonts w:ascii="Times New Roman" w:hAnsi="Times New Roman" w:cs="Times New Roman"/>
          <w:sz w:val="22"/>
          <w:szCs w:val="22"/>
        </w:rPr>
        <w:t xml:space="preserve"> from </w:t>
      </w:r>
      <m:oMath>
        <m:r>
          <w:rPr>
            <w:rFonts w:ascii="Cambria Math" w:hAnsi="Cambria Math" w:cs="Times New Roman"/>
            <w:sz w:val="22"/>
            <w:szCs w:val="22"/>
          </w:rPr>
          <m:t>p(θ|C)</m:t>
        </m:r>
      </m:oMath>
      <w:r w:rsidRPr="00B76BE0">
        <w:rPr>
          <w:rFonts w:ascii="Times New Roman" w:hAnsi="Times New Roman" w:cs="Times New Roman"/>
          <w:sz w:val="22"/>
          <w:szCs w:val="22"/>
        </w:rPr>
        <w:t xml:space="preserve">. For each accepted </w:t>
      </w:r>
      <m:oMath>
        <m:r>
          <w:rPr>
            <w:rFonts w:ascii="Cambria Math" w:hAnsi="Cambria Math" w:cs="Times New Roman"/>
            <w:sz w:val="22"/>
            <w:szCs w:val="22"/>
          </w:rPr>
          <m:t>θ</m:t>
        </m:r>
      </m:oMath>
      <w:r w:rsidRPr="00B76BE0">
        <w:rPr>
          <w:rFonts w:ascii="Times New Roman" w:hAnsi="Times New Roman" w:cs="Times New Roman"/>
          <w:sz w:val="22"/>
          <w:szCs w:val="22"/>
        </w:rPr>
        <w:t xml:space="preserve"> value, the model can be run forward to produce the desired sample </w:t>
      </w:r>
      <m:oMath>
        <m:sSub>
          <m:sSubPr>
            <m:ctrlPr>
              <w:rPr>
                <w:rFonts w:ascii="Cambria Math" w:hAnsi="Cambria Math" w:cs="Times New Roman"/>
                <w:sz w:val="22"/>
                <w:szCs w:val="22"/>
              </w:rPr>
            </m:ctrlPr>
          </m:sSubPr>
          <m:e>
            <m:r>
              <w:rPr>
                <w:rFonts w:ascii="Cambria Math" w:hAnsi="Cambria Math" w:cs="Times New Roman"/>
                <w:sz w:val="22"/>
                <w:szCs w:val="22"/>
              </w:rPr>
              <m:t>Y</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Y</m:t>
            </m:r>
          </m:e>
          <m:sub>
            <m:r>
              <w:rPr>
                <w:rFonts w:ascii="Cambria Math" w:hAnsi="Cambria Math" w:cs="Times New Roman"/>
                <w:sz w:val="22"/>
                <w:szCs w:val="22"/>
              </w:rPr>
              <m:t>N</m:t>
            </m:r>
          </m:sub>
        </m:sSub>
      </m:oMath>
      <w:r w:rsidRPr="00B76BE0">
        <w:rPr>
          <w:rFonts w:ascii="Times New Roman" w:hAnsi="Times New Roman" w:cs="Times New Roman"/>
          <w:sz w:val="22"/>
          <w:szCs w:val="22"/>
        </w:rPr>
        <w:t>. We refer to this as the “simple rejection ABC algorithm”.</w:t>
      </w:r>
    </w:p>
    <w:p w14:paraId="1BC63A7D" w14:textId="77777777" w:rsidR="00643453" w:rsidRDefault="00643453" w:rsidP="00643453">
      <w:pPr>
        <w:pStyle w:val="BodyText"/>
        <w:rPr>
          <w:lang w:val="en-US"/>
        </w:rPr>
      </w:pPr>
    </w:p>
    <w:p w14:paraId="1EBE9C50" w14:textId="77777777" w:rsidR="00643453" w:rsidRPr="00B76BE0" w:rsidRDefault="00643453" w:rsidP="00643453">
      <w:pPr>
        <w:rPr>
          <w:b/>
        </w:rPr>
      </w:pPr>
      <w:bookmarkStart w:id="173" w:name="implementing-the-simple-rejection-abc-al"/>
      <w:bookmarkEnd w:id="173"/>
      <w:r w:rsidRPr="00B76BE0">
        <w:rPr>
          <w:b/>
        </w:rPr>
        <w:t>Implementing the simple rejection ABC algorithm</w:t>
      </w:r>
    </w:p>
    <w:p w14:paraId="117F66CE" w14:textId="77777777" w:rsidR="00643453" w:rsidRPr="00B76BE0" w:rsidRDefault="00643453" w:rsidP="00643453">
      <w:pPr>
        <w:pStyle w:val="FirstParagraph"/>
        <w:spacing w:line="360" w:lineRule="auto"/>
        <w:rPr>
          <w:rFonts w:ascii="Times New Roman" w:hAnsi="Times New Roman" w:cs="Times New Roman"/>
          <w:sz w:val="22"/>
          <w:szCs w:val="22"/>
        </w:rPr>
      </w:pPr>
      <w:r w:rsidRPr="00B76BE0">
        <w:rPr>
          <w:rFonts w:ascii="Times New Roman" w:hAnsi="Times New Roman" w:cs="Times New Roman"/>
          <w:sz w:val="22"/>
          <w:szCs w:val="22"/>
        </w:rPr>
        <w:t xml:space="preserve">The output quantities produced by the simulation model are </w:t>
      </w:r>
      <m:oMath>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(1)</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oMath>
      <w:r w:rsidRPr="00B76BE0">
        <w:rPr>
          <w:rFonts w:ascii="Times New Roman" w:hAnsi="Times New Roman" w:cs="Times New Roman"/>
          <w:sz w:val="22"/>
          <w:szCs w:val="22"/>
        </w:rPr>
        <w:t xml:space="preserve">. To determine from these whether the event </w:t>
      </w:r>
      <m:oMath>
        <m:r>
          <w:rPr>
            <w:rFonts w:ascii="Cambria Math" w:hAnsi="Cambria Math" w:cs="Times New Roman"/>
            <w:sz w:val="22"/>
            <w:szCs w:val="22"/>
          </w:rPr>
          <m:t>C</m:t>
        </m:r>
      </m:oMath>
      <w:r w:rsidRPr="00B76BE0">
        <w:rPr>
          <w:rFonts w:ascii="Times New Roman" w:hAnsi="Times New Roman" w:cs="Times New Roman"/>
          <w:sz w:val="22"/>
          <w:szCs w:val="22"/>
        </w:rPr>
        <w:t xml:space="preserve"> has occurred, we additionally sample </w:t>
      </w:r>
      <m:oMath>
        <m:r>
          <w:rPr>
            <w:rFonts w:ascii="Cambria Math" w:hAnsi="Cambria Math" w:cs="Times New Roman"/>
            <w:sz w:val="22"/>
            <w:szCs w:val="22"/>
          </w:rPr>
          <m:t>M,S</m:t>
        </m:r>
      </m:oMath>
      <w:r w:rsidRPr="00B76BE0">
        <w:rPr>
          <w:rFonts w:ascii="Times New Roman" w:hAnsi="Times New Roman" w:cs="Times New Roman"/>
          <w:sz w:val="22"/>
          <w:szCs w:val="22"/>
        </w:rPr>
        <w:t xml:space="preserve"> and </w:t>
      </w:r>
      <m:oMath>
        <m:r>
          <w:rPr>
            <w:rFonts w:ascii="Cambria Math" w:hAnsi="Cambria Math" w:cs="Times New Roman"/>
            <w:sz w:val="22"/>
            <w:szCs w:val="22"/>
          </w:rPr>
          <m:t>ϕ</m:t>
        </m:r>
      </m:oMath>
      <w:r w:rsidRPr="00B76BE0">
        <w:rPr>
          <w:rFonts w:ascii="Times New Roman" w:hAnsi="Times New Roman" w:cs="Times New Roman"/>
          <w:sz w:val="22"/>
          <w:szCs w:val="22"/>
        </w:rPr>
        <w:t xml:space="preserve">, so that we are in effect sampling from the joint distribution </w:t>
      </w:r>
      <m:oMath>
        <m:r>
          <w:rPr>
            <w:rFonts w:ascii="Cambria Math" w:hAnsi="Cambria Math" w:cs="Times New Roman"/>
            <w:sz w:val="22"/>
            <w:szCs w:val="22"/>
          </w:rPr>
          <m:t>p(θ,M,S,ϕ|C)</m:t>
        </m:r>
      </m:oMath>
      <w:r w:rsidRPr="00B76BE0">
        <w:rPr>
          <w:rFonts w:ascii="Times New Roman" w:hAnsi="Times New Roman" w:cs="Times New Roman"/>
          <w:sz w:val="22"/>
          <w:szCs w:val="22"/>
        </w:rPr>
        <w:t>. We write</w:t>
      </w:r>
    </w:p>
    <w:p w14:paraId="5F97BA16" w14:textId="77777777" w:rsidR="00643453" w:rsidRPr="00B76BE0" w:rsidRDefault="00643453" w:rsidP="00643453">
      <w:pPr>
        <w:pStyle w:val="BodyText"/>
        <w:spacing w:line="360" w:lineRule="auto"/>
        <w:rPr>
          <w:rFonts w:ascii="Times New Roman" w:hAnsi="Times New Roman"/>
          <w:sz w:val="22"/>
          <w:szCs w:val="22"/>
        </w:rPr>
      </w:pPr>
      <m:oMathPara>
        <m:oMathParaPr>
          <m:jc m:val="center"/>
        </m:oMathParaPr>
        <m:oMath>
          <m:r>
            <w:rPr>
              <w:rFonts w:ascii="Cambria Math" w:hAnsi="Cambria Math"/>
              <w:sz w:val="22"/>
              <w:szCs w:val="22"/>
            </w:rPr>
            <m:t>p(θ,M,S,ϕ|C)=p(M,ϕ|E)p(θ,S|M,ϕ,C).</m:t>
          </m:r>
        </m:oMath>
      </m:oMathPara>
    </w:p>
    <w:p w14:paraId="5ACAC23F" w14:textId="77777777" w:rsidR="00643453" w:rsidRPr="00B76BE0" w:rsidRDefault="00643453" w:rsidP="00643453">
      <w:pPr>
        <w:pStyle w:val="FirstParagraph"/>
        <w:spacing w:line="360" w:lineRule="auto"/>
        <w:rPr>
          <w:rFonts w:ascii="Times New Roman" w:hAnsi="Times New Roman" w:cs="Times New Roman"/>
          <w:sz w:val="22"/>
          <w:szCs w:val="22"/>
        </w:rPr>
      </w:pPr>
      <w:r w:rsidRPr="00B76BE0">
        <w:rPr>
          <w:rFonts w:ascii="Times New Roman" w:hAnsi="Times New Roman" w:cs="Times New Roman"/>
          <w:sz w:val="22"/>
          <w:szCs w:val="22"/>
        </w:rPr>
        <w:t>and we assume</w:t>
      </w:r>
    </w:p>
    <w:p w14:paraId="2F8AC613" w14:textId="77777777" w:rsidR="00643453" w:rsidRPr="00B76BE0" w:rsidRDefault="00643453" w:rsidP="00643453">
      <w:pPr>
        <w:pStyle w:val="BodyText"/>
        <w:spacing w:line="360" w:lineRule="auto"/>
        <w:rPr>
          <w:rFonts w:ascii="Times New Roman" w:hAnsi="Times New Roman"/>
          <w:sz w:val="22"/>
          <w:szCs w:val="22"/>
        </w:rPr>
      </w:pPr>
      <m:oMathPara>
        <m:oMathParaPr>
          <m:jc m:val="center"/>
        </m:oMathParaPr>
        <m:oMath>
          <m:r>
            <w:rPr>
              <w:rFonts w:ascii="Cambria Math" w:hAnsi="Cambria Math"/>
              <w:sz w:val="22"/>
              <w:szCs w:val="22"/>
            </w:rPr>
            <m:t>p(M,ϕ|C)=p(M|C)p(ϕ|C).</m:t>
          </m:r>
        </m:oMath>
      </m:oMathPara>
    </w:p>
    <w:p w14:paraId="79DDA2E9" w14:textId="77777777" w:rsidR="00643453" w:rsidRPr="00B76BE0" w:rsidRDefault="00643453" w:rsidP="00643453">
      <w:pPr>
        <w:pStyle w:val="FirstParagraph"/>
        <w:spacing w:line="360" w:lineRule="auto"/>
        <w:rPr>
          <w:rFonts w:ascii="Times New Roman" w:hAnsi="Times New Roman" w:cs="Times New Roman"/>
          <w:sz w:val="22"/>
          <w:szCs w:val="22"/>
        </w:rPr>
      </w:pPr>
      <w:r w:rsidRPr="00B76BE0">
        <w:rPr>
          <w:rFonts w:ascii="Times New Roman" w:hAnsi="Times New Roman" w:cs="Times New Roman"/>
          <w:sz w:val="22"/>
          <w:szCs w:val="22"/>
        </w:rPr>
        <w:t xml:space="preserve">We have the multinomial distribution for </w:t>
      </w:r>
      <m:oMath>
        <m:r>
          <w:rPr>
            <w:rFonts w:ascii="Cambria Math" w:hAnsi="Cambria Math" w:cs="Times New Roman"/>
            <w:sz w:val="22"/>
            <w:szCs w:val="22"/>
          </w:rPr>
          <m:t>M|C</m:t>
        </m:r>
      </m:oMath>
      <w:r w:rsidRPr="00B76BE0">
        <w:rPr>
          <w:rFonts w:ascii="Times New Roman" w:hAnsi="Times New Roman" w:cs="Times New Roman"/>
          <w:sz w:val="22"/>
          <w:szCs w:val="22"/>
        </w:rPr>
        <w:t xml:space="preserve">, and the elicited distribution for </w:t>
      </w:r>
      <m:oMath>
        <m:r>
          <w:rPr>
            <w:rFonts w:ascii="Cambria Math" w:hAnsi="Cambria Math" w:cs="Times New Roman"/>
            <w:sz w:val="22"/>
            <w:szCs w:val="22"/>
          </w:rPr>
          <m:t>ϕ|C</m:t>
        </m:r>
      </m:oMath>
      <w:r w:rsidRPr="00B76BE0">
        <w:rPr>
          <w:rFonts w:ascii="Times New Roman" w:hAnsi="Times New Roman" w:cs="Times New Roman"/>
          <w:sz w:val="22"/>
          <w:szCs w:val="22"/>
        </w:rPr>
        <w:t>, from which we can simulate values easily.</w:t>
      </w:r>
    </w:p>
    <w:p w14:paraId="46BFC6F2" w14:textId="77777777" w:rsidR="00643453" w:rsidRPr="00B76BE0" w:rsidRDefault="00643453" w:rsidP="00643453">
      <w:pPr>
        <w:pStyle w:val="BodyText"/>
        <w:spacing w:line="360" w:lineRule="auto"/>
        <w:rPr>
          <w:rFonts w:ascii="Times New Roman" w:hAnsi="Times New Roman"/>
          <w:sz w:val="22"/>
          <w:szCs w:val="22"/>
        </w:rPr>
      </w:pPr>
      <w:r w:rsidRPr="00B76BE0">
        <w:rPr>
          <w:rFonts w:ascii="Times New Roman" w:hAnsi="Times New Roman"/>
          <w:sz w:val="22"/>
          <w:szCs w:val="22"/>
        </w:rPr>
        <w:t>Note that</w:t>
      </w:r>
    </w:p>
    <w:p w14:paraId="464006F5" w14:textId="77777777" w:rsidR="00643453" w:rsidRPr="00B76BE0" w:rsidRDefault="00643453" w:rsidP="00643453">
      <w:pPr>
        <w:pStyle w:val="BodyText"/>
        <w:spacing w:line="360" w:lineRule="auto"/>
        <w:rPr>
          <w:rFonts w:ascii="Times New Roman" w:hAnsi="Times New Roman"/>
          <w:sz w:val="22"/>
          <w:szCs w:val="22"/>
        </w:rPr>
      </w:pPr>
      <m:oMathPara>
        <m:oMathParaPr>
          <m:jc m:val="center"/>
        </m:oMathParaPr>
        <m:oMath>
          <m:r>
            <w:rPr>
              <w:rFonts w:ascii="Cambria Math" w:hAnsi="Cambria Math"/>
              <w:sz w:val="22"/>
              <w:szCs w:val="22"/>
            </w:rPr>
            <m:t>p(θ,S|M,ϕ,C)=p(θ,S|M,ϕ),</m:t>
          </m:r>
        </m:oMath>
      </m:oMathPara>
    </w:p>
    <w:p w14:paraId="2157C510" w14:textId="77777777" w:rsidR="00643453" w:rsidRPr="00B76BE0" w:rsidRDefault="00643453" w:rsidP="00643453">
      <w:pPr>
        <w:pStyle w:val="FirstParagraph"/>
        <w:spacing w:line="360" w:lineRule="auto"/>
        <w:rPr>
          <w:rFonts w:ascii="Times New Roman" w:hAnsi="Times New Roman" w:cs="Times New Roman"/>
          <w:sz w:val="22"/>
          <w:szCs w:val="22"/>
        </w:rPr>
      </w:pPr>
      <w:r w:rsidRPr="00B76BE0">
        <w:rPr>
          <w:rFonts w:ascii="Times New Roman" w:hAnsi="Times New Roman" w:cs="Times New Roman"/>
          <w:sz w:val="22"/>
          <w:szCs w:val="22"/>
        </w:rPr>
        <w:t xml:space="preserve">since given </w:t>
      </w:r>
      <m:oMath>
        <m:r>
          <w:rPr>
            <w:rFonts w:ascii="Cambria Math" w:hAnsi="Cambria Math" w:cs="Times New Roman"/>
            <w:sz w:val="22"/>
            <w:szCs w:val="22"/>
          </w:rPr>
          <m:t>M=(</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(1)</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(3)</m:t>
            </m:r>
          </m:sup>
        </m:sSup>
        <m:r>
          <w:rPr>
            <w:rFonts w:ascii="Cambria Math" w:hAnsi="Cambria Math" w:cs="Times New Roman"/>
            <w:sz w:val="22"/>
            <w:szCs w:val="22"/>
          </w:rPr>
          <m:t>)</m:t>
        </m:r>
      </m:oMath>
      <w:r w:rsidRPr="00B76BE0">
        <w:rPr>
          <w:rFonts w:ascii="Times New Roman" w:hAnsi="Times New Roman" w:cs="Times New Roman"/>
          <w:sz w:val="22"/>
          <w:szCs w:val="22"/>
        </w:rPr>
        <w:t xml:space="preserve">, we already know </w:t>
      </w:r>
      <m:oMath>
        <m:r>
          <w:rPr>
            <w:rFonts w:ascii="Cambria Math" w:hAnsi="Cambria Math" w:cs="Times New Roman"/>
            <w:sz w:val="22"/>
            <w:szCs w:val="22"/>
          </w:rPr>
          <m:t>C</m:t>
        </m:r>
      </m:oMath>
      <w:r w:rsidRPr="00B76BE0">
        <w:rPr>
          <w:rFonts w:ascii="Times New Roman" w:hAnsi="Times New Roman" w:cs="Times New Roman"/>
          <w:sz w:val="22"/>
          <w:szCs w:val="22"/>
        </w:rPr>
        <w:t xml:space="preserve">: the total of </w:t>
      </w:r>
      <m:oMath>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(1)</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(3)</m:t>
            </m:r>
          </m:sup>
        </m:sSup>
      </m:oMath>
      <w:r w:rsidRPr="00B76BE0">
        <w:rPr>
          <w:rFonts w:ascii="Times New Roman" w:hAnsi="Times New Roman" w:cs="Times New Roman"/>
          <w:sz w:val="22"/>
          <w:szCs w:val="22"/>
        </w:rPr>
        <w:t>.</w:t>
      </w:r>
    </w:p>
    <w:p w14:paraId="3F2FCB68" w14:textId="77777777" w:rsidR="00643453" w:rsidRPr="00B76BE0" w:rsidRDefault="00643453" w:rsidP="00643453">
      <w:pPr>
        <w:pStyle w:val="BodyText"/>
        <w:spacing w:line="360" w:lineRule="auto"/>
        <w:rPr>
          <w:rFonts w:ascii="Times New Roman" w:hAnsi="Times New Roman"/>
          <w:sz w:val="22"/>
          <w:szCs w:val="22"/>
        </w:rPr>
      </w:pPr>
      <w:r w:rsidRPr="00B76BE0">
        <w:rPr>
          <w:rFonts w:ascii="Times New Roman" w:hAnsi="Times New Roman"/>
          <w:sz w:val="22"/>
          <w:szCs w:val="22"/>
        </w:rPr>
        <w:t xml:space="preserve">The ABC algorithm is then, in effect, used to sample from </w:t>
      </w:r>
      <m:oMath>
        <m:r>
          <w:rPr>
            <w:rFonts w:ascii="Cambria Math" w:hAnsi="Cambria Math"/>
            <w:sz w:val="22"/>
            <w:szCs w:val="22"/>
          </w:rPr>
          <m:t>p(θ,S|M,ϕ)</m:t>
        </m:r>
      </m:oMath>
      <w:r w:rsidRPr="00B76BE0">
        <w:rPr>
          <w:rFonts w:ascii="Times New Roman" w:hAnsi="Times New Roman"/>
          <w:sz w:val="22"/>
          <w:szCs w:val="22"/>
        </w:rPr>
        <w:t xml:space="preserve">, where the ‘prior’ distribution is </w:t>
      </w:r>
      <m:oMath>
        <m:r>
          <w:rPr>
            <w:rFonts w:ascii="Cambria Math" w:hAnsi="Cambria Math"/>
            <w:sz w:val="22"/>
            <w:szCs w:val="22"/>
          </w:rPr>
          <m:t>p(θ,S|ϕ)</m:t>
        </m:r>
      </m:oMath>
      <w:r w:rsidRPr="00B76BE0">
        <w:rPr>
          <w:rFonts w:ascii="Times New Roman" w:hAnsi="Times New Roman"/>
          <w:sz w:val="22"/>
          <w:szCs w:val="22"/>
        </w:rPr>
        <w:t xml:space="preserve">, and we assume independence between </w:t>
      </w:r>
      <m:oMath>
        <m:r>
          <w:rPr>
            <w:rFonts w:ascii="Cambria Math" w:hAnsi="Cambria Math"/>
            <w:sz w:val="22"/>
            <w:szCs w:val="22"/>
          </w:rPr>
          <m:t>θ,S</m:t>
        </m:r>
      </m:oMath>
      <w:r w:rsidRPr="00B76BE0">
        <w:rPr>
          <w:rFonts w:ascii="Times New Roman" w:hAnsi="Times New Roman"/>
          <w:sz w:val="22"/>
          <w:szCs w:val="22"/>
        </w:rPr>
        <w:t xml:space="preserve"> and </w:t>
      </w:r>
      <m:oMath>
        <m:r>
          <w:rPr>
            <w:rFonts w:ascii="Cambria Math" w:hAnsi="Cambria Math"/>
            <w:sz w:val="22"/>
            <w:szCs w:val="22"/>
          </w:rPr>
          <m:t>ϕ</m:t>
        </m:r>
      </m:oMath>
      <w:r w:rsidRPr="00B76BE0">
        <w:rPr>
          <w:rFonts w:ascii="Times New Roman" w:hAnsi="Times New Roman"/>
          <w:sz w:val="22"/>
          <w:szCs w:val="22"/>
        </w:rPr>
        <w:t>:</w:t>
      </w:r>
    </w:p>
    <w:p w14:paraId="279B3165" w14:textId="77777777" w:rsidR="00643453" w:rsidRPr="00B76BE0" w:rsidRDefault="00643453" w:rsidP="00643453">
      <w:pPr>
        <w:pStyle w:val="BodyText"/>
        <w:spacing w:line="360" w:lineRule="auto"/>
        <w:rPr>
          <w:rFonts w:ascii="Times New Roman" w:hAnsi="Times New Roman"/>
          <w:sz w:val="22"/>
          <w:szCs w:val="22"/>
        </w:rPr>
      </w:pPr>
      <m:oMathPara>
        <m:oMathParaPr>
          <m:jc m:val="center"/>
        </m:oMathParaPr>
        <m:oMath>
          <m:r>
            <w:rPr>
              <w:rFonts w:ascii="Cambria Math" w:hAnsi="Cambria Math"/>
              <w:sz w:val="22"/>
              <w:szCs w:val="22"/>
            </w:rPr>
            <m:t>p(θ,S|ϕ)=p(θ|ϕ)p(S|ϕ)=p(θ)P(S)</m:t>
          </m:r>
        </m:oMath>
      </m:oMathPara>
    </w:p>
    <w:p w14:paraId="07C2B6A7" w14:textId="77777777" w:rsidR="00643453" w:rsidRPr="00B76BE0" w:rsidRDefault="00643453" w:rsidP="00643453">
      <w:pPr>
        <w:numPr>
          <w:ilvl w:val="0"/>
          <w:numId w:val="39"/>
        </w:numPr>
        <w:spacing w:after="200"/>
        <w:rPr>
          <w:rFonts w:cs="Times New Roman"/>
        </w:rPr>
      </w:pPr>
      <w:r w:rsidRPr="00B76BE0">
        <w:rPr>
          <w:rFonts w:cs="Times New Roman"/>
        </w:rPr>
        <w:t xml:space="preserve">Sample </w:t>
      </w:r>
      <m:oMath>
        <m:sSup>
          <m:sSupPr>
            <m:ctrlPr>
              <w:rPr>
                <w:rFonts w:ascii="Cambria Math" w:hAnsi="Cambria Math" w:cs="Times New Roman"/>
              </w:rPr>
            </m:ctrlPr>
          </m:sSupPr>
          <m:e>
            <m:r>
              <w:rPr>
                <w:rFonts w:ascii="Cambria Math" w:hAnsi="Cambria Math" w:cs="Times New Roman"/>
              </w:rPr>
              <m:t>θ</m:t>
            </m:r>
          </m:e>
          <m:sup>
            <m:r>
              <w:rPr>
                <w:rFonts w:ascii="Cambria Math" w:hAnsi="Cambria Math" w:cs="Times New Roman"/>
              </w:rPr>
              <m:t>*</m:t>
            </m:r>
          </m:sup>
        </m:sSup>
      </m:oMath>
      <w:r w:rsidRPr="00B76BE0">
        <w:rPr>
          <w:rFonts w:cs="Times New Roman"/>
        </w:rPr>
        <w:t xml:space="preserve"> from </w:t>
      </w:r>
      <m:oMath>
        <m:r>
          <w:rPr>
            <w:rFonts w:ascii="Cambria Math" w:hAnsi="Cambria Math" w:cs="Times New Roman"/>
          </w:rPr>
          <m:t>p(θ|ϕ)=p(θ)</m:t>
        </m:r>
      </m:oMath>
      <w:r w:rsidRPr="00B76BE0">
        <w:rPr>
          <w:rFonts w:cs="Times New Roman"/>
        </w:rPr>
        <w:t>.</w:t>
      </w:r>
    </w:p>
    <w:p w14:paraId="53E5D8AB" w14:textId="77777777" w:rsidR="00643453" w:rsidRPr="00B76BE0" w:rsidRDefault="00643453" w:rsidP="00643453">
      <w:pPr>
        <w:numPr>
          <w:ilvl w:val="0"/>
          <w:numId w:val="39"/>
        </w:numPr>
        <w:spacing w:after="200"/>
        <w:rPr>
          <w:rFonts w:cs="Times New Roman"/>
        </w:rPr>
      </w:pPr>
      <w:r w:rsidRPr="00B76BE0">
        <w:rPr>
          <w:rFonts w:cs="Times New Roman"/>
        </w:rPr>
        <w:t xml:space="preserve">Sample </w:t>
      </w:r>
      <m:oMath>
        <m:sSup>
          <m:sSupPr>
            <m:ctrlPr>
              <w:rPr>
                <w:rFonts w:ascii="Cambria Math" w:hAnsi="Cambria Math" w:cs="Times New Roman"/>
              </w:rPr>
            </m:ctrlPr>
          </m:sSupPr>
          <m:e>
            <m:r>
              <w:rPr>
                <w:rFonts w:ascii="Cambria Math" w:hAnsi="Cambria Math" w:cs="Times New Roman"/>
              </w:rPr>
              <m:t>S</m:t>
            </m:r>
          </m:e>
          <m:sup>
            <m:r>
              <w:rPr>
                <w:rFonts w:ascii="Cambria Math" w:hAnsi="Cambria Math" w:cs="Times New Roman"/>
              </w:rPr>
              <m:t>*</m:t>
            </m:r>
          </m:sup>
        </m:sSup>
      </m:oMath>
      <w:r w:rsidRPr="00B76BE0">
        <w:rPr>
          <w:rFonts w:cs="Times New Roman"/>
        </w:rPr>
        <w:t xml:space="preserve"> from </w:t>
      </w:r>
      <m:oMath>
        <m:r>
          <w:rPr>
            <w:rFonts w:ascii="Cambria Math" w:hAnsi="Cambria Math" w:cs="Times New Roman"/>
          </w:rPr>
          <m:t>p(S|ϕ)=p(S)</m:t>
        </m:r>
      </m:oMath>
      <w:r w:rsidRPr="00B76BE0">
        <w:rPr>
          <w:rFonts w:cs="Times New Roman"/>
        </w:rPr>
        <w:t>.</w:t>
      </w:r>
    </w:p>
    <w:p w14:paraId="33B5F436" w14:textId="77777777" w:rsidR="00643453" w:rsidRPr="00B76BE0" w:rsidRDefault="00643453" w:rsidP="00643453">
      <w:pPr>
        <w:numPr>
          <w:ilvl w:val="0"/>
          <w:numId w:val="39"/>
        </w:numPr>
        <w:spacing w:after="200"/>
        <w:rPr>
          <w:rFonts w:cs="Times New Roman"/>
        </w:rPr>
      </w:pPr>
      <w:r w:rsidRPr="00B76BE0">
        <w:rPr>
          <w:rFonts w:cs="Times New Roman"/>
        </w:rPr>
        <w:t xml:space="preserve">Run the simulation model to generate outputs </w:t>
      </w:r>
      <m:oMath>
        <m:r>
          <w:rPr>
            <w:rFonts w:ascii="Cambria Math" w:hAnsi="Cambria Math" w:cs="Times New Roman"/>
          </w:rPr>
          <m:t>T</m:t>
        </m:r>
      </m:oMath>
    </w:p>
    <w:p w14:paraId="66667828" w14:textId="77777777" w:rsidR="00643453" w:rsidRPr="00B76BE0" w:rsidRDefault="00643453" w:rsidP="00643453">
      <w:pPr>
        <w:numPr>
          <w:ilvl w:val="0"/>
          <w:numId w:val="39"/>
        </w:numPr>
        <w:spacing w:after="200"/>
        <w:rPr>
          <w:rFonts w:cs="Times New Roman"/>
        </w:rPr>
      </w:pPr>
      <w:r w:rsidRPr="00B76BE0">
        <w:rPr>
          <w:rFonts w:cs="Times New Roman"/>
        </w:rPr>
        <w:t xml:space="preserve">Given the outputs </w:t>
      </w:r>
      <m:oMath>
        <m:r>
          <w:rPr>
            <w:rFonts w:ascii="Cambria Math" w:hAnsi="Cambria Math" w:cs="Times New Roman"/>
          </w:rPr>
          <m:t>T</m:t>
        </m:r>
      </m:oMath>
      <w:r w:rsidRPr="00B76BE0">
        <w:rPr>
          <w:rFonts w:cs="Times New Roman"/>
        </w:rPr>
        <w:t xml:space="preserve">, sample </w:t>
      </w:r>
      <m:oMath>
        <m:r>
          <w:rPr>
            <w:rFonts w:ascii="Cambria Math" w:hAnsi="Cambria Math" w:cs="Times New Roman"/>
          </w:rPr>
          <m:t>R</m:t>
        </m:r>
      </m:oMath>
      <w:r w:rsidRPr="00B76BE0">
        <w:rPr>
          <w:rFonts w:cs="Times New Roman"/>
        </w:rPr>
        <w:t>, where</w:t>
      </w:r>
    </w:p>
    <w:p w14:paraId="041C8DBF" w14:textId="77777777" w:rsidR="00643453" w:rsidRPr="00B76BE0" w:rsidRDefault="00EB4E00" w:rsidP="00643453">
      <w:pPr>
        <w:pStyle w:val="BodyText"/>
        <w:spacing w:line="360" w:lineRule="auto"/>
        <w:rPr>
          <w:rFonts w:ascii="Times New Roman" w:hAnsi="Times New Roman"/>
          <w:sz w:val="22"/>
          <w:szCs w:val="22"/>
        </w:rPr>
      </w:pPr>
      <m:oMathPara>
        <m:oMathParaPr>
          <m:jc m:val="center"/>
        </m:oMathParaPr>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(i)</m:t>
              </m:r>
            </m:sup>
          </m:sSup>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T</m:t>
              </m:r>
            </m:e>
            <m:sup>
              <m:r>
                <w:rPr>
                  <w:rFonts w:ascii="Cambria Math" w:hAnsi="Cambria Math"/>
                  <w:sz w:val="22"/>
                  <w:szCs w:val="22"/>
                </w:rPr>
                <m:t>(i)</m:t>
              </m:r>
            </m:sup>
          </m:sSup>
          <m:r>
            <w:rPr>
              <w:rFonts w:ascii="Cambria Math" w:hAnsi="Cambria Math"/>
              <w:sz w:val="22"/>
              <w:szCs w:val="22"/>
            </w:rPr>
            <m:t>, </m:t>
          </m:r>
          <m:sSup>
            <m:sSupPr>
              <m:ctrlPr>
                <w:rPr>
                  <w:rFonts w:ascii="Cambria Math" w:hAnsi="Cambria Math"/>
                  <w:sz w:val="22"/>
                  <w:szCs w:val="22"/>
                </w:rPr>
              </m:ctrlPr>
            </m:sSupPr>
            <m:e>
              <m:r>
                <w:rPr>
                  <w:rFonts w:ascii="Cambria Math" w:hAnsi="Cambria Math"/>
                  <w:sz w:val="22"/>
                  <w:szCs w:val="22"/>
                </w:rPr>
                <m:t>ϕ</m:t>
              </m:r>
            </m:e>
            <m:sup>
              <m:r>
                <w:rPr>
                  <w:rFonts w:ascii="Cambria Math" w:hAnsi="Cambria Math"/>
                  <w:sz w:val="22"/>
                  <w:szCs w:val="22"/>
                </w:rPr>
                <m:t>(i)</m:t>
              </m:r>
            </m:sup>
          </m:sSup>
          <m:r>
            <w:rPr>
              <w:rFonts w:ascii="Cambria Math" w:hAnsi="Cambria Math"/>
              <w:sz w:val="22"/>
              <w:szCs w:val="22"/>
            </w:rPr>
            <m:t>∼Binomial(</m:t>
          </m:r>
          <m:sSup>
            <m:sSupPr>
              <m:ctrlPr>
                <w:rPr>
                  <w:rFonts w:ascii="Cambria Math" w:hAnsi="Cambria Math"/>
                  <w:sz w:val="22"/>
                  <w:szCs w:val="22"/>
                </w:rPr>
              </m:ctrlPr>
            </m:sSupPr>
            <m:e>
              <m:r>
                <w:rPr>
                  <w:rFonts w:ascii="Cambria Math" w:hAnsi="Cambria Math"/>
                  <w:sz w:val="22"/>
                  <w:szCs w:val="22"/>
                </w:rPr>
                <m:t>T</m:t>
              </m:r>
            </m:e>
            <m:sup>
              <m:r>
                <w:rPr>
                  <w:rFonts w:ascii="Cambria Math" w:hAnsi="Cambria Math"/>
                  <w:sz w:val="22"/>
                  <w:szCs w:val="22"/>
                </w:rPr>
                <m:t>(i)</m:t>
              </m:r>
            </m:sup>
          </m:sSup>
          <m:r>
            <w:rPr>
              <w:rFonts w:ascii="Cambria Math" w:hAnsi="Cambria Math"/>
              <w:sz w:val="22"/>
              <w:szCs w:val="22"/>
            </w:rPr>
            <m:t>, 1-</m:t>
          </m:r>
          <m:sSup>
            <m:sSupPr>
              <m:ctrlPr>
                <w:rPr>
                  <w:rFonts w:ascii="Cambria Math" w:hAnsi="Cambria Math"/>
                  <w:sz w:val="22"/>
                  <w:szCs w:val="22"/>
                </w:rPr>
              </m:ctrlPr>
            </m:sSupPr>
            <m:e>
              <m:r>
                <w:rPr>
                  <w:rFonts w:ascii="Cambria Math" w:hAnsi="Cambria Math"/>
                  <w:sz w:val="22"/>
                  <w:szCs w:val="22"/>
                </w:rPr>
                <m:t>ϕ</m:t>
              </m:r>
            </m:e>
            <m:sup>
              <m:r>
                <w:rPr>
                  <w:rFonts w:ascii="Cambria Math" w:hAnsi="Cambria Math"/>
                  <w:sz w:val="22"/>
                  <w:szCs w:val="22"/>
                </w:rPr>
                <m:t>(i)</m:t>
              </m:r>
            </m:sup>
          </m:sSup>
          <m:r>
            <w:rPr>
              <w:rFonts w:ascii="Cambria Math" w:hAnsi="Cambria Math"/>
              <w:sz w:val="22"/>
              <w:szCs w:val="22"/>
            </w:rPr>
            <m:t>).</m:t>
          </m:r>
        </m:oMath>
      </m:oMathPara>
    </w:p>
    <w:p w14:paraId="56768B7D" w14:textId="77777777" w:rsidR="00643453" w:rsidRPr="00B76BE0" w:rsidRDefault="00643453" w:rsidP="00643453">
      <w:pPr>
        <w:numPr>
          <w:ilvl w:val="0"/>
          <w:numId w:val="39"/>
        </w:numPr>
        <w:spacing w:after="200"/>
        <w:rPr>
          <w:rFonts w:cs="Times New Roman"/>
        </w:rPr>
      </w:pPr>
      <w:r w:rsidRPr="00B76BE0">
        <w:rPr>
          <w:rFonts w:cs="Times New Roman"/>
        </w:rPr>
        <w:t>Observe whether, within the simulation model, the event</w:t>
      </w:r>
    </w:p>
    <w:p w14:paraId="1CD20F9B" w14:textId="77777777" w:rsidR="00643453" w:rsidRPr="00B76BE0" w:rsidRDefault="00EB4E00" w:rsidP="00643453">
      <w:pPr>
        <w:pStyle w:val="BodyText"/>
        <w:spacing w:line="360" w:lineRule="auto"/>
        <w:rPr>
          <w:rFonts w:ascii="Times New Roman" w:hAnsi="Times New Roman"/>
          <w:sz w:val="22"/>
          <w:szCs w:val="22"/>
        </w:rPr>
      </w:pPr>
      <m:oMathPara>
        <m:oMathParaPr>
          <m:jc m:val="center"/>
        </m:oMathParaPr>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(i)</m:t>
              </m:r>
            </m:sup>
          </m:sSup>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M</m:t>
              </m:r>
            </m:e>
            <m:sup>
              <m:r>
                <w:rPr>
                  <w:rFonts w:ascii="Cambria Math" w:hAnsi="Cambria Math"/>
                  <w:sz w:val="22"/>
                  <w:szCs w:val="22"/>
                </w:rPr>
                <m:t>(i)</m:t>
              </m:r>
            </m:sup>
          </m:sSup>
          <m:r>
            <w:rPr>
              <w:rFonts w:ascii="Cambria Math" w:hAnsi="Cambria Math"/>
              <w:sz w:val="22"/>
              <w:szCs w:val="22"/>
            </w:rPr>
            <m:t>,</m:t>
          </m:r>
        </m:oMath>
      </m:oMathPara>
    </w:p>
    <w:p w14:paraId="41AD74F1" w14:textId="77777777" w:rsidR="00643453" w:rsidRDefault="00643453" w:rsidP="00643453">
      <w:pPr>
        <w:spacing w:after="200"/>
        <w:ind w:left="480"/>
        <w:rPr>
          <w:rFonts w:cs="Times New Roman"/>
        </w:rPr>
      </w:pPr>
      <w:r w:rsidRPr="00B76BE0">
        <w:rPr>
          <w:rFonts w:cs="Times New Roman"/>
        </w:rPr>
        <w:t xml:space="preserve">for </w:t>
      </w:r>
      <m:oMath>
        <m:r>
          <w:rPr>
            <w:rFonts w:ascii="Cambria Math" w:hAnsi="Cambria Math" w:cs="Times New Roman"/>
          </w:rPr>
          <m:t>i=1,2,3</m:t>
        </m:r>
      </m:oMath>
      <w:r w:rsidRPr="00B76BE0">
        <w:rPr>
          <w:rFonts w:cs="Times New Roman"/>
        </w:rPr>
        <w:t xml:space="preserve"> has occurred. If it has, we accept </w:t>
      </w:r>
      <m:oMath>
        <m:sSup>
          <m:sSupPr>
            <m:ctrlPr>
              <w:rPr>
                <w:rFonts w:ascii="Cambria Math" w:hAnsi="Cambria Math" w:cs="Times New Roman"/>
              </w:rPr>
            </m:ctrlPr>
          </m:sSupPr>
          <m:e>
            <m:r>
              <w:rPr>
                <w:rFonts w:ascii="Cambria Math" w:hAnsi="Cambria Math" w:cs="Times New Roman"/>
              </w:rPr>
              <m:t>θ</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S</m:t>
            </m:r>
          </m:e>
          <m:sup>
            <m:r>
              <w:rPr>
                <w:rFonts w:ascii="Cambria Math" w:hAnsi="Cambria Math" w:cs="Times New Roman"/>
              </w:rPr>
              <m:t>*</m:t>
            </m:r>
          </m:sup>
        </m:sSup>
      </m:oMath>
      <w:r w:rsidRPr="00B76BE0">
        <w:rPr>
          <w:rFonts w:cs="Times New Roman"/>
        </w:rPr>
        <w:t xml:space="preserve"> as a sample from </w:t>
      </w:r>
      <m:oMath>
        <m:r>
          <w:rPr>
            <w:rFonts w:ascii="Cambria Math" w:hAnsi="Cambria Math" w:cs="Times New Roman"/>
          </w:rPr>
          <m:t>p(θ,S|M,ϕ)</m:t>
        </m:r>
      </m:oMath>
      <w:r w:rsidRPr="00B76BE0">
        <w:rPr>
          <w:rFonts w:cs="Times New Roman"/>
        </w:rPr>
        <w:t>. Otherwise, we reject and return to step 1.</w:t>
      </w:r>
    </w:p>
    <w:p w14:paraId="366C0DE7" w14:textId="77777777" w:rsidR="00643453" w:rsidRPr="00B76BE0" w:rsidRDefault="00643453" w:rsidP="00643453">
      <w:pPr>
        <w:spacing w:after="200"/>
        <w:rPr>
          <w:rFonts w:cs="Times New Roman"/>
        </w:rPr>
      </w:pPr>
    </w:p>
    <w:p w14:paraId="6A5E3447" w14:textId="77777777" w:rsidR="00643453" w:rsidRPr="00B76BE0" w:rsidRDefault="00643453" w:rsidP="00643453">
      <w:pPr>
        <w:rPr>
          <w:b/>
        </w:rPr>
      </w:pPr>
      <w:bookmarkStart w:id="174" w:name="estimation-of-eyc"/>
      <w:bookmarkEnd w:id="174"/>
      <w:r w:rsidRPr="00B76BE0">
        <w:rPr>
          <w:b/>
        </w:rPr>
        <w:t xml:space="preserve">Estimation of </w:t>
      </w:r>
      <m:oMath>
        <m:r>
          <m:rPr>
            <m:sty m:val="bi"/>
          </m:rPr>
          <w:rPr>
            <w:rFonts w:ascii="Cambria Math" w:hAnsi="Cambria Math"/>
          </w:rPr>
          <m:t>E(Y|C)</m:t>
        </m:r>
      </m:oMath>
    </w:p>
    <w:p w14:paraId="3B086E12" w14:textId="77777777" w:rsidR="00643453" w:rsidRPr="00B76BE0" w:rsidRDefault="00643453" w:rsidP="00643453">
      <w:pPr>
        <w:pStyle w:val="FirstParagraph"/>
        <w:spacing w:line="360" w:lineRule="auto"/>
        <w:jc w:val="both"/>
        <w:rPr>
          <w:rFonts w:ascii="Times New Roman" w:hAnsi="Times New Roman" w:cs="Times New Roman"/>
          <w:sz w:val="22"/>
          <w:szCs w:val="22"/>
        </w:rPr>
      </w:pPr>
      <w:r w:rsidRPr="00B76BE0">
        <w:rPr>
          <w:rFonts w:ascii="Times New Roman" w:hAnsi="Times New Roman" w:cs="Times New Roman"/>
          <w:sz w:val="22"/>
          <w:szCs w:val="22"/>
        </w:rPr>
        <w:t xml:space="preserve">Applying the ABC algorithm would give a sample </w:t>
      </w:r>
      <m:oMath>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(1)</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(M)</m:t>
            </m:r>
          </m:sup>
        </m:sSup>
      </m:oMath>
      <w:r w:rsidRPr="00B76BE0">
        <w:rPr>
          <w:rFonts w:ascii="Times New Roman" w:hAnsi="Times New Roman" w:cs="Times New Roman"/>
          <w:sz w:val="22"/>
          <w:szCs w:val="22"/>
        </w:rPr>
        <w:t xml:space="preserve">. Running the simulation model forward at these inputs only, we obtain an independent sample </w:t>
      </w:r>
      <m:oMath>
        <m:sSup>
          <m:sSupPr>
            <m:ctrlPr>
              <w:rPr>
                <w:rFonts w:ascii="Cambria Math" w:hAnsi="Cambria Math" w:cs="Times New Roman"/>
                <w:sz w:val="22"/>
                <w:szCs w:val="22"/>
              </w:rPr>
            </m:ctrlPr>
          </m:sSupPr>
          <m:e>
            <m:r>
              <w:rPr>
                <w:rFonts w:ascii="Cambria Math" w:hAnsi="Cambria Math" w:cs="Times New Roman"/>
                <w:sz w:val="22"/>
                <w:szCs w:val="22"/>
              </w:rPr>
              <m:t>Y</m:t>
            </m:r>
          </m:e>
          <m:sup>
            <m:r>
              <w:rPr>
                <w:rFonts w:ascii="Cambria Math" w:hAnsi="Cambria Math" w:cs="Times New Roman"/>
                <w:sz w:val="22"/>
                <w:szCs w:val="22"/>
              </w:rPr>
              <m:t>(1)</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Y</m:t>
            </m:r>
          </m:e>
          <m:sup>
            <m:r>
              <w:rPr>
                <w:rFonts w:ascii="Cambria Math" w:hAnsi="Cambria Math" w:cs="Times New Roman"/>
                <w:sz w:val="22"/>
                <w:szCs w:val="22"/>
              </w:rPr>
              <m:t>(M)</m:t>
            </m:r>
          </m:sup>
        </m:sSup>
      </m:oMath>
      <w:r w:rsidRPr="00B76BE0">
        <w:rPr>
          <w:rFonts w:ascii="Times New Roman" w:hAnsi="Times New Roman" w:cs="Times New Roman"/>
          <w:sz w:val="22"/>
          <w:szCs w:val="22"/>
        </w:rPr>
        <w:t xml:space="preserve">, from the distribution of </w:t>
      </w:r>
      <m:oMath>
        <m:r>
          <w:rPr>
            <w:rFonts w:ascii="Cambria Math" w:hAnsi="Cambria Math" w:cs="Times New Roman"/>
            <w:sz w:val="22"/>
            <w:szCs w:val="22"/>
          </w:rPr>
          <m:t>p(Y|C)</m:t>
        </m:r>
      </m:oMath>
      <w:r w:rsidRPr="00B76BE0">
        <w:rPr>
          <w:rFonts w:ascii="Times New Roman" w:hAnsi="Times New Roman" w:cs="Times New Roman"/>
          <w:sz w:val="22"/>
          <w:szCs w:val="22"/>
        </w:rPr>
        <w:t xml:space="preserve">, from which we can estimate </w:t>
      </w:r>
      <m:oMath>
        <m:r>
          <w:rPr>
            <w:rFonts w:ascii="Cambria Math" w:hAnsi="Cambria Math" w:cs="Times New Roman"/>
            <w:sz w:val="22"/>
            <w:szCs w:val="22"/>
          </w:rPr>
          <m:t>E(Y|C)</m:t>
        </m:r>
      </m:oMath>
      <w:r w:rsidRPr="00B76BE0">
        <w:rPr>
          <w:rFonts w:ascii="Times New Roman" w:hAnsi="Times New Roman" w:cs="Times New Roman"/>
          <w:sz w:val="22"/>
          <w:szCs w:val="22"/>
        </w:rPr>
        <w:t xml:space="preserve"> via</w:t>
      </w:r>
    </w:p>
    <w:p w14:paraId="4D73800E" w14:textId="77777777" w:rsidR="00643453" w:rsidRPr="00B76BE0" w:rsidRDefault="00EB4E00" w:rsidP="00643453">
      <w:pPr>
        <w:pStyle w:val="BodyText"/>
        <w:spacing w:line="360" w:lineRule="auto"/>
        <w:rPr>
          <w:rFonts w:ascii="Times New Roman" w:hAnsi="Times New Roman"/>
          <w:sz w:val="22"/>
          <w:szCs w:val="22"/>
        </w:rPr>
      </w:pPr>
      <m:oMathPara>
        <m:oMathParaPr>
          <m:jc m:val="center"/>
        </m:oMathParaPr>
        <m:oMath>
          <m:bar>
            <m:barPr>
              <m:pos m:val="top"/>
              <m:ctrlPr>
                <w:rPr>
                  <w:rFonts w:ascii="Cambria Math" w:hAnsi="Cambria Math"/>
                  <w:sz w:val="22"/>
                  <w:szCs w:val="22"/>
                </w:rPr>
              </m:ctrlPr>
            </m:barPr>
            <m:e>
              <m:r>
                <w:rPr>
                  <w:rFonts w:ascii="Cambria Math" w:hAnsi="Cambria Math"/>
                  <w:sz w:val="22"/>
                  <w:szCs w:val="22"/>
                </w:rPr>
                <m:t>Y</m:t>
              </m:r>
            </m:e>
          </m:bar>
          <m: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1</m:t>
              </m:r>
            </m:num>
            <m:den>
              <m:r>
                <w:rPr>
                  <w:rFonts w:ascii="Cambria Math" w:hAnsi="Cambria Math"/>
                  <w:sz w:val="22"/>
                  <w:szCs w:val="22"/>
                </w:rPr>
                <m:t>M</m:t>
              </m:r>
            </m:den>
          </m:f>
          <m:nary>
            <m:naryPr>
              <m:chr m:val="∑"/>
              <m:limLoc m:val="undOvr"/>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M</m:t>
              </m:r>
            </m:sup>
            <m:e>
              <m:sSup>
                <m:sSupPr>
                  <m:ctrlPr>
                    <w:rPr>
                      <w:rFonts w:ascii="Cambria Math" w:hAnsi="Cambria Math"/>
                      <w:sz w:val="22"/>
                      <w:szCs w:val="22"/>
                    </w:rPr>
                  </m:ctrlPr>
                </m:sSupPr>
                <m:e>
                  <m:r>
                    <w:rPr>
                      <w:rFonts w:ascii="Cambria Math" w:hAnsi="Cambria Math"/>
                      <w:sz w:val="22"/>
                      <w:szCs w:val="22"/>
                    </w:rPr>
                    <m:t>Y</m:t>
                  </m:r>
                </m:e>
                <m:sup>
                  <m:r>
                    <w:rPr>
                      <w:rFonts w:ascii="Cambria Math" w:hAnsi="Cambria Math"/>
                      <w:sz w:val="22"/>
                      <w:szCs w:val="22"/>
                    </w:rPr>
                    <m:t>(i)</m:t>
                  </m:r>
                </m:sup>
              </m:sSup>
            </m:e>
          </m:nary>
          <m:r>
            <w:rPr>
              <w:rFonts w:ascii="Cambria Math" w:hAnsi="Cambria Math"/>
              <w:sz w:val="22"/>
              <w:szCs w:val="22"/>
            </w:rPr>
            <m:t>,</m:t>
          </m:r>
        </m:oMath>
      </m:oMathPara>
    </w:p>
    <w:p w14:paraId="630478EB" w14:textId="77777777" w:rsidR="00643453" w:rsidRPr="00B76BE0" w:rsidRDefault="00643453" w:rsidP="00643453">
      <w:pPr>
        <w:pStyle w:val="FirstParagraph"/>
        <w:spacing w:line="360" w:lineRule="auto"/>
        <w:rPr>
          <w:rFonts w:ascii="Times New Roman" w:hAnsi="Times New Roman" w:cs="Times New Roman"/>
          <w:sz w:val="22"/>
          <w:szCs w:val="22"/>
        </w:rPr>
      </w:pPr>
      <w:r w:rsidRPr="00B76BE0">
        <w:rPr>
          <w:rFonts w:ascii="Times New Roman" w:hAnsi="Times New Roman" w:cs="Times New Roman"/>
          <w:sz w:val="22"/>
          <w:szCs w:val="22"/>
        </w:rPr>
        <w:t xml:space="preserve">and an approximate 95% confidence interval for </w:t>
      </w:r>
      <m:oMath>
        <m:r>
          <w:rPr>
            <w:rFonts w:ascii="Cambria Math" w:hAnsi="Cambria Math" w:cs="Times New Roman"/>
            <w:sz w:val="22"/>
            <w:szCs w:val="22"/>
          </w:rPr>
          <m:t>E(Y|C)</m:t>
        </m:r>
      </m:oMath>
      <w:r w:rsidRPr="00B76BE0">
        <w:rPr>
          <w:rFonts w:ascii="Times New Roman" w:hAnsi="Times New Roman" w:cs="Times New Roman"/>
          <w:sz w:val="22"/>
          <w:szCs w:val="22"/>
        </w:rPr>
        <w:t xml:space="preserve"> can be calculated as </w:t>
      </w:r>
      <m:oMath>
        <m:bar>
          <m:barPr>
            <m:pos m:val="top"/>
            <m:ctrlPr>
              <w:rPr>
                <w:rFonts w:ascii="Cambria Math" w:hAnsi="Cambria Math" w:cs="Times New Roman"/>
                <w:sz w:val="22"/>
                <w:szCs w:val="22"/>
              </w:rPr>
            </m:ctrlPr>
          </m:barPr>
          <m:e>
            <m:r>
              <w:rPr>
                <w:rFonts w:ascii="Cambria Math" w:hAnsi="Cambria Math" w:cs="Times New Roman"/>
                <w:sz w:val="22"/>
                <w:szCs w:val="22"/>
              </w:rPr>
              <m:t>Y</m:t>
            </m:r>
          </m:e>
        </m:bar>
        <m:r>
          <w:rPr>
            <w:rFonts w:ascii="Cambria Math" w:hAnsi="Cambria Math" w:cs="Times New Roman"/>
            <w:sz w:val="22"/>
            <w:szCs w:val="22"/>
          </w:rPr>
          <m:t>±2</m:t>
        </m:r>
        <m:rad>
          <m:radPr>
            <m:degHide m:val="1"/>
            <m:ctrlPr>
              <w:rPr>
                <w:rFonts w:ascii="Cambria Math" w:hAnsi="Cambria Math" w:cs="Times New Roman"/>
                <w:sz w:val="22"/>
                <w:szCs w:val="22"/>
              </w:rPr>
            </m:ctrlPr>
          </m:radPr>
          <m:deg/>
          <m:e>
            <m:sSubSup>
              <m:sSubSupPr>
                <m:ctrlPr>
                  <w:rPr>
                    <w:rFonts w:ascii="Cambria Math" w:hAnsi="Cambria Math" w:cs="Times New Roman"/>
                    <w:sz w:val="22"/>
                    <w:szCs w:val="22"/>
                  </w:rPr>
                </m:ctrlPr>
              </m:sSubSupPr>
              <m:e>
                <m:r>
                  <w:rPr>
                    <w:rFonts w:ascii="Cambria Math" w:hAnsi="Cambria Math" w:cs="Times New Roman"/>
                    <w:sz w:val="22"/>
                    <w:szCs w:val="22"/>
                  </w:rPr>
                  <m:t>S</m:t>
                </m:r>
              </m:e>
              <m:sub>
                <m:r>
                  <w:rPr>
                    <w:rFonts w:ascii="Cambria Math" w:hAnsi="Cambria Math" w:cs="Times New Roman"/>
                    <w:sz w:val="22"/>
                    <w:szCs w:val="22"/>
                  </w:rPr>
                  <m:t>Y</m:t>
                </m:r>
              </m:sub>
              <m:sup>
                <m:r>
                  <w:rPr>
                    <w:rFonts w:ascii="Cambria Math" w:hAnsi="Cambria Math" w:cs="Times New Roman"/>
                    <w:sz w:val="22"/>
                    <w:szCs w:val="22"/>
                  </w:rPr>
                  <m:t>2</m:t>
                </m:r>
              </m:sup>
            </m:sSubSup>
            <m:r>
              <w:rPr>
                <w:rFonts w:ascii="Cambria Math" w:hAnsi="Cambria Math" w:cs="Times New Roman"/>
                <w:sz w:val="22"/>
                <w:szCs w:val="22"/>
              </w:rPr>
              <m:t>/M</m:t>
            </m:r>
          </m:e>
        </m:rad>
      </m:oMath>
      <w:r w:rsidRPr="00B76BE0">
        <w:rPr>
          <w:rFonts w:ascii="Times New Roman" w:hAnsi="Times New Roman" w:cs="Times New Roman"/>
          <w:sz w:val="22"/>
          <w:szCs w:val="22"/>
        </w:rPr>
        <w:t>, with</w:t>
      </w:r>
    </w:p>
    <w:p w14:paraId="3D9FB56D" w14:textId="77777777" w:rsidR="00643453" w:rsidRPr="00B76BE0" w:rsidRDefault="00EB4E00" w:rsidP="00643453">
      <w:pPr>
        <w:pStyle w:val="BodyText"/>
        <w:spacing w:line="360" w:lineRule="auto"/>
        <w:rPr>
          <w:rFonts w:ascii="Times New Roman" w:hAnsi="Times New Roman"/>
          <w:sz w:val="22"/>
          <w:szCs w:val="22"/>
        </w:rPr>
      </w:pPr>
      <m:oMathPara>
        <m:oMathParaPr>
          <m:jc m:val="center"/>
        </m:oMathParaPr>
        <m:oMath>
          <m:sSubSup>
            <m:sSubSupPr>
              <m:ctrlPr>
                <w:rPr>
                  <w:rFonts w:ascii="Cambria Math" w:hAnsi="Cambria Math"/>
                  <w:sz w:val="22"/>
                  <w:szCs w:val="22"/>
                </w:rPr>
              </m:ctrlPr>
            </m:sSubSupPr>
            <m:e>
              <m:r>
                <w:rPr>
                  <w:rFonts w:ascii="Cambria Math" w:hAnsi="Cambria Math"/>
                  <w:sz w:val="22"/>
                  <w:szCs w:val="22"/>
                </w:rPr>
                <m:t>S</m:t>
              </m:r>
            </m:e>
            <m:sub>
              <m:r>
                <w:rPr>
                  <w:rFonts w:ascii="Cambria Math" w:hAnsi="Cambria Math"/>
                  <w:sz w:val="22"/>
                  <w:szCs w:val="22"/>
                </w:rPr>
                <m:t>Y</m:t>
              </m:r>
            </m:sub>
            <m:sup>
              <m:r>
                <w:rPr>
                  <w:rFonts w:ascii="Cambria Math" w:hAnsi="Cambria Math"/>
                  <w:sz w:val="22"/>
                  <w:szCs w:val="22"/>
                </w:rPr>
                <m:t>2</m:t>
              </m:r>
            </m:sup>
          </m:sSubSup>
          <m: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1</m:t>
              </m:r>
            </m:num>
            <m:den>
              <m:r>
                <w:rPr>
                  <w:rFonts w:ascii="Cambria Math" w:hAnsi="Cambria Math"/>
                  <w:sz w:val="22"/>
                  <w:szCs w:val="22"/>
                </w:rPr>
                <m:t>M-1</m:t>
              </m:r>
            </m:den>
          </m:f>
          <m:nary>
            <m:naryPr>
              <m:chr m:val="∑"/>
              <m:limLoc m:val="undOvr"/>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M</m:t>
              </m:r>
            </m:sup>
            <m:e>
              <m:r>
                <w:rPr>
                  <w:rFonts w:ascii="Cambria Math" w:hAnsi="Cambria Math"/>
                  <w:sz w:val="22"/>
                  <w:szCs w:val="22"/>
                </w:rPr>
                <m:t>(</m:t>
              </m:r>
            </m:e>
          </m:nary>
          <m:sSup>
            <m:sSupPr>
              <m:ctrlPr>
                <w:rPr>
                  <w:rFonts w:ascii="Cambria Math" w:hAnsi="Cambria Math"/>
                  <w:sz w:val="22"/>
                  <w:szCs w:val="22"/>
                </w:rPr>
              </m:ctrlPr>
            </m:sSupPr>
            <m:e>
              <m:r>
                <w:rPr>
                  <w:rFonts w:ascii="Cambria Math" w:hAnsi="Cambria Math"/>
                  <w:sz w:val="22"/>
                  <w:szCs w:val="22"/>
                </w:rPr>
                <m:t>Y</m:t>
              </m:r>
            </m:e>
            <m:sup>
              <m:r>
                <w:rPr>
                  <w:rFonts w:ascii="Cambria Math" w:hAnsi="Cambria Math"/>
                  <w:sz w:val="22"/>
                  <w:szCs w:val="22"/>
                </w:rPr>
                <m:t>(i)</m:t>
              </m:r>
            </m:sup>
          </m:sSup>
          <m:r>
            <w:rPr>
              <w:rFonts w:ascii="Cambria Math" w:hAnsi="Cambria Math"/>
              <w:sz w:val="22"/>
              <w:szCs w:val="22"/>
            </w:rPr>
            <m:t>-</m:t>
          </m:r>
          <m:bar>
            <m:barPr>
              <m:pos m:val="top"/>
              <m:ctrlPr>
                <w:rPr>
                  <w:rFonts w:ascii="Cambria Math" w:hAnsi="Cambria Math"/>
                  <w:sz w:val="22"/>
                  <w:szCs w:val="22"/>
                </w:rPr>
              </m:ctrlPr>
            </m:barPr>
            <m:e>
              <m:r>
                <w:rPr>
                  <w:rFonts w:ascii="Cambria Math" w:hAnsi="Cambria Math"/>
                  <w:sz w:val="22"/>
                  <w:szCs w:val="22"/>
                </w:rPr>
                <m:t>Y</m:t>
              </m:r>
            </m:e>
          </m:bar>
          <m:sSup>
            <m:sSupPr>
              <m:ctrlPr>
                <w:rPr>
                  <w:rFonts w:ascii="Cambria Math" w:hAnsi="Cambria Math"/>
                  <w:sz w:val="22"/>
                  <w:szCs w:val="22"/>
                </w:rPr>
              </m:ctrlPr>
            </m:sSupPr>
            <m:e>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m:t>
          </m:r>
        </m:oMath>
      </m:oMathPara>
    </w:p>
    <w:p w14:paraId="32FFD936" w14:textId="77777777" w:rsidR="00643453" w:rsidRDefault="00643453" w:rsidP="00643453">
      <w:pPr>
        <w:pStyle w:val="FirstParagraph"/>
        <w:spacing w:line="360" w:lineRule="auto"/>
        <w:jc w:val="both"/>
        <w:rPr>
          <w:rFonts w:ascii="Times New Roman" w:hAnsi="Times New Roman" w:cs="Times New Roman"/>
          <w:sz w:val="22"/>
          <w:szCs w:val="22"/>
        </w:rPr>
      </w:pPr>
      <w:r w:rsidRPr="00B76BE0">
        <w:rPr>
          <w:rFonts w:ascii="Times New Roman" w:hAnsi="Times New Roman" w:cs="Times New Roman"/>
          <w:sz w:val="22"/>
          <w:szCs w:val="22"/>
        </w:rPr>
        <w:t xml:space="preserve">We actually use a slightly different estimator for </w:t>
      </w:r>
      <m:oMath>
        <m:r>
          <w:rPr>
            <w:rFonts w:ascii="Cambria Math" w:hAnsi="Cambria Math" w:cs="Times New Roman"/>
            <w:sz w:val="22"/>
            <w:szCs w:val="22"/>
          </w:rPr>
          <m:t>E(Y|C)</m:t>
        </m:r>
      </m:oMath>
      <w:r w:rsidRPr="00B76BE0">
        <w:rPr>
          <w:rFonts w:ascii="Times New Roman" w:hAnsi="Times New Roman" w:cs="Times New Roman"/>
          <w:sz w:val="22"/>
          <w:szCs w:val="22"/>
        </w:rPr>
        <w:t xml:space="preserve"> which has a lower variance, but we retain the confidence interval given above. Note also that there is a computational bottleneck in step 3 of this algorithm: running the model to observe whether </w:t>
      </w:r>
      <m:oMath>
        <m:r>
          <w:rPr>
            <w:rFonts w:ascii="Cambria Math" w:hAnsi="Cambria Math" w:cs="Times New Roman"/>
            <w:sz w:val="22"/>
            <w:szCs w:val="22"/>
          </w:rPr>
          <m:t>C</m:t>
        </m:r>
      </m:oMath>
      <w:r w:rsidRPr="00B76BE0">
        <w:rPr>
          <w:rFonts w:ascii="Times New Roman" w:hAnsi="Times New Roman" w:cs="Times New Roman"/>
          <w:sz w:val="22"/>
          <w:szCs w:val="22"/>
        </w:rPr>
        <w:t xml:space="preserve"> has occurred can be computationally expensive.</w:t>
      </w:r>
    </w:p>
    <w:p w14:paraId="1C3CB274" w14:textId="77777777" w:rsidR="00643453" w:rsidRDefault="00643453" w:rsidP="00643453">
      <w:pPr>
        <w:pStyle w:val="BodyText"/>
        <w:rPr>
          <w:lang w:val="en-US"/>
        </w:rPr>
      </w:pPr>
    </w:p>
    <w:p w14:paraId="5F96CAB4" w14:textId="77777777" w:rsidR="00643453" w:rsidRPr="00B76BE0" w:rsidRDefault="00643453" w:rsidP="00643453">
      <w:pPr>
        <w:rPr>
          <w:b/>
        </w:rPr>
      </w:pPr>
      <w:bookmarkStart w:id="175" w:name="speeding-up-the-computation"/>
      <w:bookmarkEnd w:id="175"/>
      <w:r w:rsidRPr="00B76BE0">
        <w:rPr>
          <w:b/>
        </w:rPr>
        <w:t>Speeding up the computation</w:t>
      </w:r>
    </w:p>
    <w:p w14:paraId="36EB4EEE" w14:textId="77777777" w:rsidR="00643453" w:rsidRPr="00B76BE0" w:rsidRDefault="00643453" w:rsidP="00643453">
      <w:pPr>
        <w:pStyle w:val="FirstParagraph"/>
        <w:spacing w:line="360" w:lineRule="auto"/>
        <w:jc w:val="both"/>
        <w:rPr>
          <w:rFonts w:ascii="Times New Roman" w:hAnsi="Times New Roman" w:cs="Times New Roman"/>
          <w:sz w:val="22"/>
          <w:szCs w:val="22"/>
        </w:rPr>
      </w:pPr>
      <w:r w:rsidRPr="00B76BE0">
        <w:rPr>
          <w:rFonts w:ascii="Times New Roman" w:hAnsi="Times New Roman" w:cs="Times New Roman"/>
          <w:sz w:val="22"/>
          <w:szCs w:val="22"/>
        </w:rPr>
        <w:t xml:space="preserve">We can speed up the computation by noting that, in some cases, it will not be necessary to simulate outcomes for all 27 surgical centres. Based on the number of simulated transmissions </w:t>
      </w:r>
      <w:r>
        <w:rPr>
          <w:rFonts w:ascii="Times New Roman" w:hAnsi="Times New Roman" w:cs="Times New Roman"/>
          <w:sz w:val="22"/>
          <w:szCs w:val="22"/>
        </w:rPr>
        <w:t xml:space="preserve">of </w:t>
      </w:r>
      <w:r w:rsidRPr="005E05C5">
        <w:rPr>
          <w:rFonts w:ascii="Times New Roman" w:hAnsi="Times New Roman" w:cs="Times New Roman"/>
          <w:sz w:val="22"/>
          <w:szCs w:val="22"/>
        </w:rPr>
        <w:t>CJDcs</w:t>
      </w:r>
      <w:r w:rsidRPr="00B76BE0">
        <w:rPr>
          <w:rFonts w:ascii="Times New Roman" w:hAnsi="Times New Roman" w:cs="Times New Roman"/>
          <w:sz w:val="22"/>
          <w:szCs w:val="22"/>
        </w:rPr>
        <w:t xml:space="preserve"> for a single surgical centre, an upper bound can be placed on the probability that the parameter value will ultimately be accepted. For example, if there were </w:t>
      </w:r>
      <m:oMath>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(1)</m:t>
            </m:r>
          </m:sup>
        </m:sSup>
        <m:r>
          <w:rPr>
            <w:rFonts w:ascii="Cambria Math" w:hAnsi="Cambria Math" w:cs="Times New Roman"/>
            <w:sz w:val="22"/>
            <w:szCs w:val="22"/>
          </w:rPr>
          <m:t>=65</m:t>
        </m:r>
      </m:oMath>
      <w:r w:rsidRPr="00B76BE0">
        <w:rPr>
          <w:rFonts w:ascii="Times New Roman" w:hAnsi="Times New Roman" w:cs="Times New Roman"/>
          <w:sz w:val="22"/>
          <w:szCs w:val="22"/>
        </w:rPr>
        <w:t xml:space="preserve"> simulated transmissions</w:t>
      </w:r>
      <w:r>
        <w:rPr>
          <w:rFonts w:ascii="Times New Roman" w:hAnsi="Times New Roman" w:cs="Times New Roman"/>
          <w:sz w:val="22"/>
          <w:szCs w:val="22"/>
        </w:rPr>
        <w:t xml:space="preserve"> </w:t>
      </w:r>
      <w:r w:rsidRPr="005E05C5">
        <w:rPr>
          <w:rFonts w:ascii="Times New Roman" w:hAnsi="Times New Roman" w:cs="Times New Roman"/>
          <w:sz w:val="22"/>
          <w:szCs w:val="22"/>
        </w:rPr>
        <w:t>of CJDcs</w:t>
      </w:r>
      <w:r w:rsidRPr="00B76BE0">
        <w:rPr>
          <w:rFonts w:ascii="Times New Roman" w:hAnsi="Times New Roman" w:cs="Times New Roman"/>
          <w:sz w:val="22"/>
          <w:szCs w:val="22"/>
        </w:rPr>
        <w:t xml:space="preserve"> in the age under 60 category, no more than 50 of these could result in undetected CJD cases, and the probability of this occuring would be of the order of </w:t>
      </w:r>
      <m:oMath>
        <m:r>
          <w:rPr>
            <w:rFonts w:ascii="Cambria Math" w:hAnsi="Cambria Math" w:cs="Times New Roman"/>
            <w:sz w:val="22"/>
            <w:szCs w:val="22"/>
          </w:rPr>
          <m:t>1/(</m:t>
        </m:r>
        <m:sSup>
          <m:sSupPr>
            <m:ctrlPr>
              <w:rPr>
                <w:rFonts w:ascii="Cambria Math" w:hAnsi="Cambria Math" w:cs="Times New Roman"/>
                <w:sz w:val="22"/>
                <w:szCs w:val="22"/>
              </w:rPr>
            </m:ctrlPr>
          </m:sSupPr>
          <m:e>
            <m:r>
              <w:rPr>
                <w:rFonts w:ascii="Cambria Math" w:hAnsi="Cambria Math" w:cs="Times New Roman"/>
                <w:sz w:val="22"/>
                <w:szCs w:val="22"/>
              </w:rPr>
              <m:t>10</m:t>
            </m:r>
          </m:e>
          <m:sup>
            <m:r>
              <w:rPr>
                <w:rFonts w:ascii="Cambria Math" w:hAnsi="Cambria Math" w:cs="Times New Roman"/>
                <w:sz w:val="22"/>
                <w:szCs w:val="22"/>
              </w:rPr>
              <m:t>9</m:t>
            </m:r>
          </m:sup>
        </m:sSup>
        <m:r>
          <w:rPr>
            <w:rFonts w:ascii="Cambria Math" w:hAnsi="Cambria Math" w:cs="Times New Roman"/>
            <w:sz w:val="22"/>
            <w:szCs w:val="22"/>
          </w:rPr>
          <m:t>)</m:t>
        </m:r>
      </m:oMath>
      <w:r w:rsidRPr="00B76BE0">
        <w:rPr>
          <w:rFonts w:ascii="Times New Roman" w:hAnsi="Times New Roman" w:cs="Times New Roman"/>
          <w:sz w:val="22"/>
          <w:szCs w:val="22"/>
        </w:rPr>
        <w:t>; the final probability of acceptance could be no more than this, regardless of what other events are simulated. (Under such a scenario, almost certainly, there would be transmissions</w:t>
      </w:r>
      <w:r>
        <w:rPr>
          <w:rFonts w:ascii="Times New Roman" w:hAnsi="Times New Roman" w:cs="Times New Roman"/>
          <w:sz w:val="22"/>
          <w:szCs w:val="22"/>
        </w:rPr>
        <w:t xml:space="preserve"> </w:t>
      </w:r>
      <w:r w:rsidRPr="005E05C5">
        <w:rPr>
          <w:rFonts w:ascii="Times New Roman" w:hAnsi="Times New Roman" w:cs="Times New Roman"/>
          <w:sz w:val="22"/>
          <w:szCs w:val="22"/>
        </w:rPr>
        <w:t>of CJDcs</w:t>
      </w:r>
      <w:r w:rsidRPr="00B76BE0">
        <w:rPr>
          <w:rFonts w:ascii="Times New Roman" w:hAnsi="Times New Roman" w:cs="Times New Roman"/>
          <w:sz w:val="22"/>
          <w:szCs w:val="22"/>
        </w:rPr>
        <w:t xml:space="preserve"> in the other age groups, which would reduce the probability of acceptance by further orders of magnitude.)</w:t>
      </w:r>
    </w:p>
    <w:p w14:paraId="7C3FDDBE" w14:textId="77777777" w:rsidR="00643453" w:rsidRPr="00B76BE0" w:rsidRDefault="00643453" w:rsidP="00643453">
      <w:pPr>
        <w:pStyle w:val="BodyText"/>
        <w:spacing w:line="360" w:lineRule="auto"/>
        <w:jc w:val="both"/>
        <w:rPr>
          <w:rFonts w:ascii="Times New Roman" w:hAnsi="Times New Roman"/>
          <w:sz w:val="22"/>
          <w:szCs w:val="22"/>
        </w:rPr>
      </w:pPr>
      <w:r w:rsidRPr="00B76BE0">
        <w:rPr>
          <w:rFonts w:ascii="Times New Roman" w:hAnsi="Times New Roman"/>
          <w:sz w:val="22"/>
          <w:szCs w:val="22"/>
        </w:rPr>
        <w:t>Based on an understanding of the model’s behaviour, and some preliminary analysis of the model outputs we can determine parameter combinations that are guaranteed to be rejected. Specifically, we consider the term</w:t>
      </w:r>
    </w:p>
    <w:p w14:paraId="392AC7B2" w14:textId="77777777" w:rsidR="00643453" w:rsidRPr="00B76BE0" w:rsidRDefault="00643453" w:rsidP="00643453">
      <w:pPr>
        <w:pStyle w:val="BodyText"/>
        <w:spacing w:line="360" w:lineRule="auto"/>
        <w:rPr>
          <w:rFonts w:ascii="Times New Roman" w:hAnsi="Times New Roman"/>
          <w:sz w:val="22"/>
          <w:szCs w:val="22"/>
        </w:rPr>
      </w:pPr>
      <m:oMathPara>
        <m:oMathParaPr>
          <m:jc m:val="center"/>
        </m:oMathParaPr>
        <m:oMath>
          <m:r>
            <w:rPr>
              <w:rFonts w:ascii="Cambria Math" w:hAnsi="Cambria Math"/>
              <w:sz w:val="22"/>
              <w:szCs w:val="22"/>
            </w:rPr>
            <m:t>γ=</m:t>
          </m:r>
          <m:sSup>
            <m:sSupPr>
              <m:ctrlPr>
                <w:rPr>
                  <w:rFonts w:ascii="Cambria Math" w:hAnsi="Cambria Math"/>
                  <w:sz w:val="22"/>
                  <w:szCs w:val="22"/>
                </w:rPr>
              </m:ctrlPr>
            </m:sSupPr>
            <m:e>
              <m:r>
                <w:rPr>
                  <w:rFonts w:ascii="Cambria Math" w:hAnsi="Cambria Math"/>
                  <w:sz w:val="22"/>
                  <w:szCs w:val="22"/>
                </w:rPr>
                <m:t>10</m:t>
              </m:r>
            </m:e>
            <m:sup>
              <m:sSub>
                <m:sSubPr>
                  <m:ctrlPr>
                    <w:rPr>
                      <w:rFonts w:ascii="Cambria Math" w:hAnsi="Cambria Math"/>
                      <w:sz w:val="22"/>
                      <w:szCs w:val="22"/>
                    </w:rPr>
                  </m:ctrlPr>
                </m:sSubPr>
                <m:e>
                  <m:r>
                    <w:rPr>
                      <w:rFonts w:ascii="Cambria Math" w:hAnsi="Cambria Math"/>
                      <w:sz w:val="22"/>
                      <w:szCs w:val="22"/>
                    </w:rPr>
                    <m:t>θ</m:t>
                  </m:r>
                </m:e>
                <m:sub>
                  <m:r>
                    <w:rPr>
                      <w:rFonts w:ascii="Cambria Math" w:hAnsi="Cambria Math"/>
                      <w:sz w:val="22"/>
                      <w:szCs w:val="22"/>
                    </w:rPr>
                    <m:t>M</m:t>
                  </m:r>
                </m:sub>
              </m:sSub>
            </m:sup>
          </m:sSup>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θ</m:t>
              </m:r>
            </m:e>
            <m:sub>
              <m:r>
                <w:rPr>
                  <w:rFonts w:ascii="Cambria Math" w:hAnsi="Cambria Math"/>
                  <w:sz w:val="22"/>
                  <w:szCs w:val="22"/>
                </w:rPr>
                <m:t>R</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θ</m:t>
              </m:r>
            </m:e>
            <m:sub>
              <m:r>
                <w:rPr>
                  <w:rFonts w:ascii="Cambria Math" w:hAnsi="Cambria Math"/>
                  <w:sz w:val="22"/>
                  <w:szCs w:val="22"/>
                </w:rPr>
                <m:t>P</m:t>
              </m:r>
            </m:sub>
          </m:sSub>
          <m:r>
            <w:rPr>
              <w:rFonts w:ascii="Cambria Math" w:hAnsi="Cambria Math"/>
              <w:sz w:val="22"/>
              <w:szCs w:val="22"/>
            </w:rPr>
            <m:t>,</m:t>
          </m:r>
        </m:oMath>
      </m:oMathPara>
    </w:p>
    <w:p w14:paraId="393BD34D" w14:textId="77777777" w:rsidR="00643453" w:rsidRPr="00B76BE0" w:rsidRDefault="00643453" w:rsidP="00643453">
      <w:pPr>
        <w:pStyle w:val="FirstParagraph"/>
        <w:spacing w:line="360" w:lineRule="auto"/>
        <w:jc w:val="both"/>
        <w:rPr>
          <w:rFonts w:ascii="Times New Roman" w:hAnsi="Times New Roman" w:cs="Times New Roman"/>
          <w:sz w:val="22"/>
          <w:szCs w:val="22"/>
        </w:rPr>
      </w:pPr>
      <w:r w:rsidRPr="00B76BE0">
        <w:rPr>
          <w:rFonts w:ascii="Times New Roman" w:hAnsi="Times New Roman" w:cs="Times New Roman"/>
          <w:sz w:val="22"/>
          <w:szCs w:val="22"/>
        </w:rPr>
        <w:t xml:space="preserve">where </w:t>
      </w:r>
      <m:oMath>
        <m:sSub>
          <m:sSubPr>
            <m:ctrlPr>
              <w:rPr>
                <w:rFonts w:ascii="Cambria Math" w:hAnsi="Cambria Math" w:cs="Times New Roman"/>
                <w:sz w:val="22"/>
                <w:szCs w:val="22"/>
              </w:rPr>
            </m:ctrlPr>
          </m:sSubPr>
          <m:e>
            <m:r>
              <w:rPr>
                <w:rFonts w:ascii="Cambria Math" w:hAnsi="Cambria Math" w:cs="Times New Roman"/>
                <w:sz w:val="22"/>
                <w:szCs w:val="22"/>
              </w:rPr>
              <m:t>θ</m:t>
            </m:r>
          </m:e>
          <m:sub>
            <m:r>
              <w:rPr>
                <w:rFonts w:ascii="Cambria Math" w:hAnsi="Cambria Math" w:cs="Times New Roman"/>
                <w:sz w:val="22"/>
                <w:szCs w:val="22"/>
              </w:rPr>
              <m:t>M</m:t>
            </m:r>
          </m:sub>
        </m:sSub>
      </m:oMath>
      <w:r w:rsidRPr="00B76BE0">
        <w:rPr>
          <w:rFonts w:ascii="Times New Roman" w:hAnsi="Times New Roman" w:cs="Times New Roman"/>
          <w:sz w:val="22"/>
          <w:szCs w:val="22"/>
        </w:rPr>
        <w:t xml:space="preserve"> is the mean infectious titre (in log terms) </w:t>
      </w:r>
      <m:oMath>
        <m:r>
          <w:rPr>
            <w:rFonts w:ascii="Cambria Math" w:hAnsi="Cambria Math" w:cs="Times New Roman"/>
            <w:sz w:val="22"/>
            <w:szCs w:val="22"/>
          </w:rPr>
          <m:t>×</m:t>
        </m:r>
      </m:oMath>
      <w:r w:rsidRPr="00B76BE0">
        <w:rPr>
          <w:rFonts w:ascii="Times New Roman" w:hAnsi="Times New Roman" w:cs="Times New Roman"/>
          <w:sz w:val="22"/>
          <w:szCs w:val="22"/>
        </w:rPr>
        <w:t xml:space="preserve"> log reduction in infectivity associated with the first autoclaving cycle </w:t>
      </w:r>
      <m:oMath>
        <m:r>
          <w:rPr>
            <w:rFonts w:ascii="Cambria Math" w:hAnsi="Cambria Math" w:cs="Times New Roman"/>
            <w:sz w:val="22"/>
            <w:szCs w:val="22"/>
          </w:rPr>
          <m:t>×</m:t>
        </m:r>
      </m:oMath>
      <w:r w:rsidRPr="00B76BE0">
        <w:rPr>
          <w:rFonts w:ascii="Times New Roman" w:hAnsi="Times New Roman" w:cs="Times New Roman"/>
          <w:sz w:val="22"/>
          <w:szCs w:val="22"/>
        </w:rPr>
        <w:t xml:space="preserve"> log reduction associated with detergent on the first cycle; </w:t>
      </w:r>
      <m:oMath>
        <m:sSub>
          <m:sSubPr>
            <m:ctrlPr>
              <w:rPr>
                <w:rFonts w:ascii="Cambria Math" w:hAnsi="Cambria Math" w:cs="Times New Roman"/>
                <w:sz w:val="22"/>
                <w:szCs w:val="22"/>
              </w:rPr>
            </m:ctrlPr>
          </m:sSubPr>
          <m:e>
            <m:r>
              <w:rPr>
                <w:rFonts w:ascii="Cambria Math" w:hAnsi="Cambria Math" w:cs="Times New Roman"/>
                <w:sz w:val="22"/>
                <w:szCs w:val="22"/>
              </w:rPr>
              <m:t>θ</m:t>
            </m:r>
          </m:e>
          <m:sub>
            <m:r>
              <w:rPr>
                <w:rFonts w:ascii="Cambria Math" w:hAnsi="Cambria Math" w:cs="Times New Roman"/>
                <w:sz w:val="22"/>
                <w:szCs w:val="22"/>
              </w:rPr>
              <m:t>R</m:t>
            </m:r>
          </m:sub>
        </m:sSub>
      </m:oMath>
      <w:r w:rsidRPr="00B76BE0">
        <w:rPr>
          <w:rFonts w:ascii="Times New Roman" w:hAnsi="Times New Roman" w:cs="Times New Roman"/>
          <w:sz w:val="22"/>
          <w:szCs w:val="22"/>
        </w:rPr>
        <w:t xml:space="preserve"> is the residual mass on an instrument </w:t>
      </w:r>
      <m:oMath>
        <m:r>
          <w:rPr>
            <w:rFonts w:ascii="Cambria Math" w:hAnsi="Cambria Math" w:cs="Times New Roman"/>
            <w:sz w:val="22"/>
            <w:szCs w:val="22"/>
          </w:rPr>
          <m:t>×(1-</m:t>
        </m:r>
      </m:oMath>
      <w:r w:rsidRPr="00B76BE0">
        <w:rPr>
          <w:rFonts w:ascii="Times New Roman" w:hAnsi="Times New Roman" w:cs="Times New Roman"/>
          <w:sz w:val="22"/>
          <w:szCs w:val="22"/>
        </w:rPr>
        <w:t xml:space="preserve"> the proportion of residual mass transferred to the patient); </w:t>
      </w:r>
      <m:oMath>
        <m:sSub>
          <m:sSubPr>
            <m:ctrlPr>
              <w:rPr>
                <w:rFonts w:ascii="Cambria Math" w:hAnsi="Cambria Math" w:cs="Times New Roman"/>
                <w:sz w:val="22"/>
                <w:szCs w:val="22"/>
              </w:rPr>
            </m:ctrlPr>
          </m:sSubPr>
          <m:e>
            <m:r>
              <w:rPr>
                <w:rFonts w:ascii="Cambria Math" w:hAnsi="Cambria Math" w:cs="Times New Roman"/>
                <w:sz w:val="22"/>
                <w:szCs w:val="22"/>
              </w:rPr>
              <m:t>θ</m:t>
            </m:r>
          </m:e>
          <m:sub>
            <m:r>
              <w:rPr>
                <w:rFonts w:ascii="Cambria Math" w:hAnsi="Cambria Math" w:cs="Times New Roman"/>
                <w:sz w:val="22"/>
                <w:szCs w:val="22"/>
              </w:rPr>
              <m:t>P</m:t>
            </m:r>
          </m:sub>
        </m:sSub>
      </m:oMath>
      <w:r w:rsidRPr="00B76BE0">
        <w:rPr>
          <w:rFonts w:ascii="Times New Roman" w:hAnsi="Times New Roman" w:cs="Times New Roman"/>
          <w:sz w:val="22"/>
          <w:szCs w:val="22"/>
        </w:rPr>
        <w:t xml:space="preserve"> is the proportion of asymptomatic individuals with CJD prions in their tissue.</w:t>
      </w:r>
    </w:p>
    <w:p w14:paraId="4726106E" w14:textId="77777777" w:rsidR="00643453" w:rsidRPr="00B76BE0" w:rsidRDefault="00643453" w:rsidP="00643453">
      <w:pPr>
        <w:pStyle w:val="BodyText"/>
        <w:spacing w:line="360" w:lineRule="auto"/>
        <w:jc w:val="both"/>
        <w:rPr>
          <w:rFonts w:ascii="Times New Roman" w:hAnsi="Times New Roman"/>
          <w:sz w:val="22"/>
          <w:szCs w:val="22"/>
        </w:rPr>
      </w:pPr>
      <w:r w:rsidRPr="00B76BE0">
        <w:rPr>
          <w:rFonts w:ascii="Times New Roman" w:hAnsi="Times New Roman"/>
          <w:sz w:val="22"/>
          <w:szCs w:val="22"/>
        </w:rPr>
        <w:t xml:space="preserve">2000 parameter sets </w:t>
      </w:r>
      <m:oMath>
        <m:sSub>
          <m:sSubPr>
            <m:ctrlPr>
              <w:rPr>
                <w:rFonts w:ascii="Cambria Math" w:hAnsi="Cambria Math"/>
                <w:sz w:val="22"/>
                <w:szCs w:val="22"/>
              </w:rPr>
            </m:ctrlPr>
          </m:sSubPr>
          <m:e>
            <m:r>
              <w:rPr>
                <w:rFonts w:ascii="Cambria Math" w:hAnsi="Cambria Math"/>
                <w:sz w:val="22"/>
                <w:szCs w:val="22"/>
              </w:rPr>
              <m:t>θ</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θ</m:t>
            </m:r>
          </m:e>
          <m:sub>
            <m:r>
              <w:rPr>
                <w:rFonts w:ascii="Cambria Math" w:hAnsi="Cambria Math"/>
                <w:sz w:val="22"/>
                <w:szCs w:val="22"/>
              </w:rPr>
              <m:t>2000</m:t>
            </m:r>
          </m:sub>
        </m:sSub>
      </m:oMath>
      <w:r w:rsidRPr="00B76BE0">
        <w:rPr>
          <w:rFonts w:ascii="Times New Roman" w:hAnsi="Times New Roman"/>
          <w:sz w:val="22"/>
          <w:szCs w:val="22"/>
        </w:rPr>
        <w:t xml:space="preserve"> were drawn from the appropriate distributions, </w:t>
      </w:r>
      <m:oMath>
        <m:sSub>
          <m:sSubPr>
            <m:ctrlPr>
              <w:rPr>
                <w:rFonts w:ascii="Cambria Math" w:hAnsi="Cambria Math"/>
                <w:sz w:val="22"/>
                <w:szCs w:val="22"/>
              </w:rPr>
            </m:ctrlPr>
          </m:sSubPr>
          <m:e>
            <m:r>
              <w:rPr>
                <w:rFonts w:ascii="Cambria Math" w:hAnsi="Cambria Math"/>
                <w:sz w:val="22"/>
                <w:szCs w:val="22"/>
              </w:rPr>
              <m:t>γ</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γ</m:t>
            </m:r>
          </m:e>
          <m:sub>
            <m:r>
              <w:rPr>
                <w:rFonts w:ascii="Cambria Math" w:hAnsi="Cambria Math"/>
                <w:sz w:val="22"/>
                <w:szCs w:val="22"/>
              </w:rPr>
              <m:t>2000</m:t>
            </m:r>
          </m:sub>
        </m:sSub>
      </m:oMath>
      <w:r w:rsidRPr="00B76BE0">
        <w:rPr>
          <w:rFonts w:ascii="Times New Roman" w:hAnsi="Times New Roman"/>
          <w:sz w:val="22"/>
          <w:szCs w:val="22"/>
        </w:rPr>
        <w:t xml:space="preserve"> was calculated in each case, and twelve random number streams (corresponding to twelve surgical centres) were simulated for each of the following scenarios: S1, S2 and S3. We identified that for </w:t>
      </w:r>
      <m:oMath>
        <m:r>
          <w:rPr>
            <w:rFonts w:ascii="Cambria Math" w:hAnsi="Cambria Math"/>
            <w:sz w:val="22"/>
            <w:szCs w:val="22"/>
          </w:rPr>
          <m:t>γ&gt;</m:t>
        </m:r>
        <m:sSup>
          <m:sSupPr>
            <m:ctrlPr>
              <w:rPr>
                <w:rFonts w:ascii="Cambria Math" w:hAnsi="Cambria Math"/>
                <w:sz w:val="22"/>
                <w:szCs w:val="22"/>
              </w:rPr>
            </m:ctrlPr>
          </m:sSupPr>
          <m:e>
            <m:r>
              <w:rPr>
                <w:rFonts w:ascii="Cambria Math" w:hAnsi="Cambria Math"/>
                <w:sz w:val="22"/>
                <w:szCs w:val="22"/>
              </w:rPr>
              <m:t>e</m:t>
            </m:r>
          </m:e>
          <m:sup>
            <m:r>
              <w:rPr>
                <w:rFonts w:ascii="Cambria Math" w:hAnsi="Cambria Math"/>
                <w:sz w:val="22"/>
                <w:szCs w:val="22"/>
              </w:rPr>
              <m:t>12</m:t>
            </m:r>
          </m:sup>
        </m:sSup>
      </m:oMath>
      <w:r w:rsidRPr="00B76BE0">
        <w:rPr>
          <w:rFonts w:ascii="Times New Roman" w:hAnsi="Times New Roman"/>
          <w:sz w:val="22"/>
          <w:szCs w:val="22"/>
        </w:rPr>
        <w:t xml:space="preserve">, the final probability of acceptance would be negligible (too many transmissions </w:t>
      </w:r>
      <w:r w:rsidRPr="005E05C5">
        <w:rPr>
          <w:rFonts w:ascii="Times New Roman" w:hAnsi="Times New Roman"/>
          <w:sz w:val="22"/>
          <w:szCs w:val="22"/>
        </w:rPr>
        <w:t>of CJDcs</w:t>
      </w:r>
      <w:r w:rsidRPr="00B76BE0">
        <w:rPr>
          <w:rFonts w:ascii="Times New Roman" w:hAnsi="Times New Roman"/>
          <w:sz w:val="22"/>
          <w:szCs w:val="22"/>
        </w:rPr>
        <w:t xml:space="preserve"> would be simulated), and so the corresponding parameter set could be rejected, without running the full simulation to produce </w:t>
      </w:r>
      <m:oMath>
        <m:r>
          <w:rPr>
            <w:rFonts w:ascii="Cambria Math" w:hAnsi="Cambria Math"/>
            <w:sz w:val="22"/>
            <w:szCs w:val="22"/>
          </w:rPr>
          <m:t>R</m:t>
        </m:r>
      </m:oMath>
      <w:r w:rsidRPr="00B76BE0">
        <w:rPr>
          <w:rFonts w:ascii="Times New Roman" w:hAnsi="Times New Roman"/>
          <w:sz w:val="22"/>
          <w:szCs w:val="22"/>
        </w:rPr>
        <w:t>.</w:t>
      </w:r>
    </w:p>
    <w:p w14:paraId="1A51358A" w14:textId="77777777" w:rsidR="00643453" w:rsidRPr="00B76BE0" w:rsidRDefault="00643453" w:rsidP="00643453">
      <w:pPr>
        <w:pStyle w:val="BodyText"/>
        <w:spacing w:line="360" w:lineRule="auto"/>
        <w:jc w:val="both"/>
        <w:rPr>
          <w:rFonts w:ascii="Times New Roman" w:hAnsi="Times New Roman"/>
          <w:sz w:val="22"/>
          <w:szCs w:val="22"/>
        </w:rPr>
      </w:pPr>
      <w:r w:rsidRPr="00B76BE0">
        <w:rPr>
          <w:rFonts w:ascii="Times New Roman" w:hAnsi="Times New Roman"/>
          <w:sz w:val="22"/>
          <w:szCs w:val="22"/>
        </w:rPr>
        <w:t xml:space="preserve">For </w:t>
      </w:r>
      <m:oMath>
        <m:r>
          <w:rPr>
            <w:rFonts w:ascii="Cambria Math" w:hAnsi="Cambria Math"/>
            <w:sz w:val="22"/>
            <w:szCs w:val="22"/>
          </w:rPr>
          <m:t>γ&lt;</m:t>
        </m:r>
        <m:sSup>
          <m:sSupPr>
            <m:ctrlPr>
              <w:rPr>
                <w:rFonts w:ascii="Cambria Math" w:hAnsi="Cambria Math"/>
                <w:sz w:val="22"/>
                <w:szCs w:val="22"/>
              </w:rPr>
            </m:ctrlPr>
          </m:sSupPr>
          <m:e>
            <m:r>
              <w:rPr>
                <w:rFonts w:ascii="Cambria Math" w:hAnsi="Cambria Math"/>
                <w:sz w:val="22"/>
                <w:szCs w:val="22"/>
              </w:rPr>
              <m:t>e</m:t>
            </m:r>
          </m:e>
          <m:sup>
            <m:r>
              <w:rPr>
                <w:rFonts w:ascii="Cambria Math" w:hAnsi="Cambria Math"/>
                <w:sz w:val="22"/>
                <w:szCs w:val="22"/>
              </w:rPr>
              <m:t>12</m:t>
            </m:r>
          </m:sup>
        </m:sSup>
      </m:oMath>
      <w:r w:rsidRPr="00B76BE0">
        <w:rPr>
          <w:rFonts w:ascii="Times New Roman" w:hAnsi="Times New Roman"/>
          <w:sz w:val="22"/>
          <w:szCs w:val="22"/>
        </w:rPr>
        <w:t xml:space="preserve">, it would still be possible for the candidate </w:t>
      </w:r>
      <m:oMath>
        <m:r>
          <w:rPr>
            <w:rFonts w:ascii="Cambria Math" w:hAnsi="Cambria Math"/>
            <w:sz w:val="22"/>
            <w:szCs w:val="22"/>
          </w:rPr>
          <m:t>θ</m:t>
        </m:r>
      </m:oMath>
      <w:r w:rsidRPr="00B76BE0">
        <w:rPr>
          <w:rFonts w:ascii="Times New Roman" w:hAnsi="Times New Roman"/>
          <w:sz w:val="22"/>
          <w:szCs w:val="22"/>
        </w:rPr>
        <w:t xml:space="preserve"> to be rejected. In other cases, we can be certain that a candidate value </w:t>
      </w:r>
      <m:oMath>
        <m:sSup>
          <m:sSupPr>
            <m:ctrlPr>
              <w:rPr>
                <w:rFonts w:ascii="Cambria Math" w:hAnsi="Cambria Math"/>
                <w:sz w:val="22"/>
                <w:szCs w:val="22"/>
              </w:rPr>
            </m:ctrlPr>
          </m:sSupPr>
          <m:e>
            <m:r>
              <w:rPr>
                <w:rFonts w:ascii="Cambria Math" w:hAnsi="Cambria Math"/>
                <w:sz w:val="22"/>
                <w:szCs w:val="22"/>
              </w:rPr>
              <m:t>θ</m:t>
            </m:r>
          </m:e>
          <m:sup>
            <m:r>
              <w:rPr>
                <w:rFonts w:ascii="Cambria Math" w:hAnsi="Cambria Math"/>
                <w:sz w:val="22"/>
                <w:szCs w:val="22"/>
              </w:rPr>
              <m:t>*</m:t>
            </m:r>
          </m:sup>
        </m:sSup>
      </m:oMath>
      <w:r w:rsidRPr="00B76BE0">
        <w:rPr>
          <w:rFonts w:ascii="Times New Roman" w:hAnsi="Times New Roman"/>
          <w:sz w:val="22"/>
          <w:szCs w:val="22"/>
        </w:rPr>
        <w:t xml:space="preserve"> will be rejected, based on a ‘partial’ simulation run: we do not have to simulate the full calibration output </w:t>
      </w:r>
      <m:oMath>
        <m:r>
          <w:rPr>
            <w:rFonts w:ascii="Cambria Math" w:hAnsi="Cambria Math"/>
            <w:sz w:val="22"/>
            <w:szCs w:val="22"/>
          </w:rPr>
          <m:t>R</m:t>
        </m:r>
      </m:oMath>
      <w:r w:rsidRPr="00B76BE0">
        <w:rPr>
          <w:rFonts w:ascii="Times New Roman" w:hAnsi="Times New Roman"/>
          <w:sz w:val="22"/>
          <w:szCs w:val="22"/>
        </w:rPr>
        <w:t>. We used the following approach.</w:t>
      </w:r>
    </w:p>
    <w:p w14:paraId="387F9FFD" w14:textId="77777777" w:rsidR="00643453" w:rsidRPr="00B76BE0" w:rsidRDefault="00643453" w:rsidP="00643453">
      <w:pPr>
        <w:numPr>
          <w:ilvl w:val="0"/>
          <w:numId w:val="39"/>
        </w:numPr>
        <w:spacing w:after="200"/>
        <w:jc w:val="both"/>
        <w:rPr>
          <w:rFonts w:cs="Times New Roman"/>
        </w:rPr>
      </w:pPr>
      <w:r w:rsidRPr="00B76BE0">
        <w:rPr>
          <w:rFonts w:cs="Times New Roman"/>
        </w:rPr>
        <w:t xml:space="preserve">Generate a candidate value </w:t>
      </w:r>
      <m:oMath>
        <m:sSup>
          <m:sSupPr>
            <m:ctrlPr>
              <w:rPr>
                <w:rFonts w:ascii="Cambria Math" w:hAnsi="Cambria Math" w:cs="Times New Roman"/>
              </w:rPr>
            </m:ctrlPr>
          </m:sSupPr>
          <m:e>
            <m:r>
              <w:rPr>
                <w:rFonts w:ascii="Cambria Math" w:hAnsi="Cambria Math" w:cs="Times New Roman"/>
              </w:rPr>
              <m:t>θ</m:t>
            </m:r>
          </m:e>
          <m:sup>
            <m:r>
              <w:rPr>
                <w:rFonts w:ascii="Cambria Math" w:hAnsi="Cambria Math" w:cs="Times New Roman"/>
              </w:rPr>
              <m:t>*</m:t>
            </m:r>
          </m:sup>
        </m:sSup>
      </m:oMath>
      <w:r w:rsidRPr="00B76BE0">
        <w:rPr>
          <w:rFonts w:cs="Times New Roman"/>
        </w:rPr>
        <w:t xml:space="preserve">, for which </w:t>
      </w:r>
      <m:oMath>
        <m:r>
          <w:rPr>
            <w:rFonts w:ascii="Cambria Math" w:hAnsi="Cambria Math" w:cs="Times New Roman"/>
          </w:rPr>
          <m:t>γ&lt;</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12</m:t>
            </m:r>
          </m:sup>
        </m:sSup>
      </m:oMath>
      <w:r w:rsidRPr="00B76BE0">
        <w:rPr>
          <w:rFonts w:cs="Times New Roman"/>
        </w:rPr>
        <w:t>.</w:t>
      </w:r>
    </w:p>
    <w:p w14:paraId="132970E0" w14:textId="77777777" w:rsidR="00643453" w:rsidRPr="00B76BE0" w:rsidRDefault="00643453" w:rsidP="00643453">
      <w:pPr>
        <w:numPr>
          <w:ilvl w:val="0"/>
          <w:numId w:val="39"/>
        </w:numPr>
        <w:spacing w:after="200"/>
        <w:jc w:val="both"/>
        <w:rPr>
          <w:rFonts w:cs="Times New Roman"/>
        </w:rPr>
      </w:pPr>
      <w:r w:rsidRPr="00B76BE0">
        <w:rPr>
          <w:rFonts w:cs="Times New Roman"/>
        </w:rPr>
        <w:t>Under scenario S3, first simulate the number of transmissions</w:t>
      </w:r>
      <w:r>
        <w:rPr>
          <w:rFonts w:cs="Times New Roman"/>
        </w:rPr>
        <w:t xml:space="preserve"> </w:t>
      </w:r>
      <w:r w:rsidRPr="005E05C5">
        <w:rPr>
          <w:rFonts w:cs="Times New Roman"/>
        </w:rPr>
        <w:t>of CJDcs</w:t>
      </w:r>
      <w:r w:rsidRPr="00B76BE0">
        <w:rPr>
          <w:rFonts w:cs="Times New Roman"/>
        </w:rPr>
        <w:t xml:space="preserve"> for 6 random number streams (6 surgical centres)</w:t>
      </w:r>
    </w:p>
    <w:p w14:paraId="37DBEB30" w14:textId="77777777" w:rsidR="00643453" w:rsidRPr="00B76BE0" w:rsidRDefault="00643453" w:rsidP="00643453">
      <w:pPr>
        <w:numPr>
          <w:ilvl w:val="0"/>
          <w:numId w:val="39"/>
        </w:numPr>
        <w:spacing w:after="200"/>
        <w:jc w:val="both"/>
        <w:rPr>
          <w:rFonts w:cs="Times New Roman"/>
        </w:rPr>
      </w:pPr>
      <w:r w:rsidRPr="00B76BE0">
        <w:rPr>
          <w:rFonts w:cs="Times New Roman"/>
        </w:rPr>
        <w:t>If the total number of transmissions</w:t>
      </w:r>
      <w:r>
        <w:rPr>
          <w:rFonts w:cs="Times New Roman"/>
        </w:rPr>
        <w:t xml:space="preserve"> </w:t>
      </w:r>
      <w:r w:rsidRPr="005E05C5">
        <w:rPr>
          <w:rFonts w:cs="Times New Roman"/>
        </w:rPr>
        <w:t>of CJDcs</w:t>
      </w:r>
      <w:r w:rsidRPr="00B76BE0">
        <w:rPr>
          <w:rFonts w:cs="Times New Roman"/>
        </w:rPr>
        <w:t xml:space="preserve"> for the first 6 random number streams for the age category below 60 years exceeds 36, reject </w:t>
      </w:r>
      <m:oMath>
        <m:sSup>
          <m:sSupPr>
            <m:ctrlPr>
              <w:rPr>
                <w:rFonts w:ascii="Cambria Math" w:hAnsi="Cambria Math" w:cs="Times New Roman"/>
              </w:rPr>
            </m:ctrlPr>
          </m:sSupPr>
          <m:e>
            <m:r>
              <w:rPr>
                <w:rFonts w:ascii="Cambria Math" w:hAnsi="Cambria Math" w:cs="Times New Roman"/>
              </w:rPr>
              <m:t>θ</m:t>
            </m:r>
          </m:e>
          <m:sup>
            <m:r>
              <w:rPr>
                <w:rFonts w:ascii="Cambria Math" w:hAnsi="Cambria Math" w:cs="Times New Roman"/>
              </w:rPr>
              <m:t>*</m:t>
            </m:r>
          </m:sup>
        </m:sSup>
      </m:oMath>
      <w:r w:rsidRPr="00B76BE0">
        <w:rPr>
          <w:rFonts w:cs="Times New Roman"/>
        </w:rPr>
        <w:t xml:space="preserve"> and return to step 1.</w:t>
      </w:r>
    </w:p>
    <w:p w14:paraId="0ADA518E" w14:textId="77777777" w:rsidR="00643453" w:rsidRDefault="00643453" w:rsidP="00E55A7F">
      <w:pPr>
        <w:numPr>
          <w:ilvl w:val="0"/>
          <w:numId w:val="39"/>
        </w:numPr>
        <w:jc w:val="both"/>
        <w:rPr>
          <w:rFonts w:cs="Times New Roman"/>
        </w:rPr>
      </w:pPr>
      <w:r w:rsidRPr="00B76BE0">
        <w:rPr>
          <w:rFonts w:cs="Times New Roman"/>
        </w:rPr>
        <w:t xml:space="preserve">Continue simulating random number streams in batches: reject </w:t>
      </w:r>
      <m:oMath>
        <m:sSup>
          <m:sSupPr>
            <m:ctrlPr>
              <w:rPr>
                <w:rFonts w:ascii="Cambria Math" w:hAnsi="Cambria Math" w:cs="Times New Roman"/>
              </w:rPr>
            </m:ctrlPr>
          </m:sSupPr>
          <m:e>
            <m:r>
              <w:rPr>
                <w:rFonts w:ascii="Cambria Math" w:hAnsi="Cambria Math" w:cs="Times New Roman"/>
              </w:rPr>
              <m:t>θ</m:t>
            </m:r>
          </m:e>
          <m:sup>
            <m:r>
              <w:rPr>
                <w:rFonts w:ascii="Cambria Math" w:hAnsi="Cambria Math" w:cs="Times New Roman"/>
              </w:rPr>
              <m:t>*</m:t>
            </m:r>
          </m:sup>
        </m:sSup>
      </m:oMath>
      <w:r w:rsidRPr="00B76BE0">
        <w:rPr>
          <w:rFonts w:cs="Times New Roman"/>
        </w:rPr>
        <w:t xml:space="preserve"> if in streams 7 to 13 the rejection threshold was increased to 40; to 45 for random number streams 14 to 17; to 55 for random number streams 18 to 23; and 66 for random number streams 24 to 27.</w:t>
      </w:r>
    </w:p>
    <w:p w14:paraId="74776224" w14:textId="77777777" w:rsidR="00643453" w:rsidRPr="00B76BE0" w:rsidRDefault="00643453" w:rsidP="00E55A7F">
      <w:pPr>
        <w:rPr>
          <w:rFonts w:cs="Times New Roman"/>
        </w:rPr>
      </w:pPr>
    </w:p>
    <w:p w14:paraId="22FCE9B4" w14:textId="77777777" w:rsidR="00643453" w:rsidRPr="00B76BE0" w:rsidRDefault="00643453" w:rsidP="00E55A7F">
      <w:pPr>
        <w:rPr>
          <w:b/>
        </w:rPr>
      </w:pPr>
      <w:bookmarkStart w:id="176" w:name="a-weighted-abc-scheme"/>
      <w:bookmarkEnd w:id="176"/>
      <w:r w:rsidRPr="00B76BE0">
        <w:rPr>
          <w:b/>
        </w:rPr>
        <w:t>A weighted ABC scheme</w:t>
      </w:r>
    </w:p>
    <w:p w14:paraId="5B9E6426" w14:textId="77777777" w:rsidR="00643453" w:rsidRPr="00B76BE0" w:rsidRDefault="00643453" w:rsidP="00E55A7F">
      <w:pPr>
        <w:pStyle w:val="FirstParagraph"/>
        <w:spacing w:before="0" w:after="0" w:line="360" w:lineRule="auto"/>
        <w:jc w:val="both"/>
        <w:rPr>
          <w:rFonts w:ascii="Times New Roman" w:hAnsi="Times New Roman" w:cs="Times New Roman"/>
          <w:sz w:val="22"/>
          <w:szCs w:val="22"/>
        </w:rPr>
      </w:pPr>
      <w:r w:rsidRPr="00B76BE0">
        <w:rPr>
          <w:rFonts w:ascii="Times New Roman" w:hAnsi="Times New Roman" w:cs="Times New Roman"/>
          <w:sz w:val="22"/>
          <w:szCs w:val="22"/>
        </w:rPr>
        <w:t xml:space="preserve">Instead of using the estimator </w:t>
      </w:r>
      <m:oMath>
        <m:bar>
          <m:barPr>
            <m:pos m:val="top"/>
            <m:ctrlPr>
              <w:rPr>
                <w:rFonts w:ascii="Cambria Math" w:hAnsi="Cambria Math" w:cs="Times New Roman"/>
                <w:sz w:val="22"/>
                <w:szCs w:val="22"/>
              </w:rPr>
            </m:ctrlPr>
          </m:barPr>
          <m:e>
            <m:r>
              <w:rPr>
                <w:rFonts w:ascii="Cambria Math" w:hAnsi="Cambria Math" w:cs="Times New Roman"/>
                <w:sz w:val="22"/>
                <w:szCs w:val="22"/>
              </w:rPr>
              <m:t>Y</m:t>
            </m:r>
          </m:e>
        </m:bar>
      </m:oMath>
      <w:r w:rsidRPr="00B76BE0">
        <w:rPr>
          <w:rFonts w:ascii="Times New Roman" w:hAnsi="Times New Roman" w:cs="Times New Roman"/>
          <w:sz w:val="22"/>
          <w:szCs w:val="22"/>
        </w:rPr>
        <w:t xml:space="preserve">, we can instead calculate a weight </w:t>
      </w:r>
      <m:oMath>
        <m:sSub>
          <m:sSubPr>
            <m:ctrlPr>
              <w:rPr>
                <w:rFonts w:ascii="Cambria Math" w:hAnsi="Cambria Math" w:cs="Times New Roman"/>
                <w:sz w:val="22"/>
                <w:szCs w:val="22"/>
              </w:rPr>
            </m:ctrlPr>
          </m:sSubPr>
          <m:e>
            <m:r>
              <w:rPr>
                <w:rFonts w:ascii="Cambria Math" w:hAnsi="Cambria Math" w:cs="Times New Roman"/>
                <w:sz w:val="22"/>
                <w:szCs w:val="22"/>
              </w:rPr>
              <m:t>w</m:t>
            </m:r>
          </m:e>
          <m:sub>
            <m:r>
              <w:rPr>
                <w:rFonts w:ascii="Cambria Math" w:hAnsi="Cambria Math" w:cs="Times New Roman"/>
                <w:sz w:val="22"/>
                <w:szCs w:val="22"/>
              </w:rPr>
              <m:t>i</m:t>
            </m:r>
          </m:sub>
        </m:sSub>
      </m:oMath>
      <w:r w:rsidRPr="00B76BE0">
        <w:rPr>
          <w:rFonts w:ascii="Times New Roman" w:hAnsi="Times New Roman" w:cs="Times New Roman"/>
          <w:sz w:val="22"/>
          <w:szCs w:val="22"/>
        </w:rPr>
        <w:t xml:space="preserve">: the </w:t>
      </w:r>
      <w:r w:rsidRPr="00B76BE0">
        <w:rPr>
          <w:rFonts w:ascii="Times New Roman" w:hAnsi="Times New Roman" w:cs="Times New Roman"/>
          <w:i/>
          <w:sz w:val="22"/>
          <w:szCs w:val="22"/>
        </w:rPr>
        <w:t>probability</w:t>
      </w:r>
      <w:r w:rsidRPr="00B76BE0">
        <w:rPr>
          <w:rFonts w:ascii="Times New Roman" w:hAnsi="Times New Roman" w:cs="Times New Roman"/>
          <w:sz w:val="22"/>
          <w:szCs w:val="22"/>
        </w:rPr>
        <w:t xml:space="preserve"> that the model will simulate the event </w:t>
      </w:r>
      <m:oMath>
        <m:r>
          <w:rPr>
            <w:rFonts w:ascii="Cambria Math" w:hAnsi="Cambria Math" w:cs="Times New Roman"/>
            <w:sz w:val="22"/>
            <w:szCs w:val="22"/>
          </w:rPr>
          <m:t>T</m:t>
        </m:r>
      </m:oMath>
      <w:r w:rsidRPr="00B76BE0">
        <w:rPr>
          <w:rFonts w:ascii="Times New Roman" w:hAnsi="Times New Roman" w:cs="Times New Roman"/>
          <w:sz w:val="22"/>
          <w:szCs w:val="22"/>
        </w:rPr>
        <w:t xml:space="preserve"> to have occurred. The estimate for </w:t>
      </w:r>
      <m:oMath>
        <m:r>
          <w:rPr>
            <w:rFonts w:ascii="Cambria Math" w:hAnsi="Cambria Math" w:cs="Times New Roman"/>
            <w:sz w:val="22"/>
            <w:szCs w:val="22"/>
          </w:rPr>
          <m:t>E(Y|C)</m:t>
        </m:r>
      </m:oMath>
      <w:r w:rsidRPr="00B76BE0">
        <w:rPr>
          <w:rFonts w:ascii="Times New Roman" w:hAnsi="Times New Roman" w:cs="Times New Roman"/>
          <w:sz w:val="22"/>
          <w:szCs w:val="22"/>
        </w:rPr>
        <w:t xml:space="preserve"> will then be of the form</w:t>
      </w:r>
    </w:p>
    <w:p w14:paraId="6674E3C3" w14:textId="77777777" w:rsidR="00643453" w:rsidRPr="00B76BE0" w:rsidRDefault="00EB4E00" w:rsidP="00643453">
      <w:pPr>
        <w:pStyle w:val="BodyText"/>
        <w:spacing w:line="360" w:lineRule="auto"/>
        <w:rPr>
          <w:rFonts w:ascii="Times New Roman" w:hAnsi="Times New Roman"/>
          <w:sz w:val="22"/>
          <w:szCs w:val="22"/>
        </w:rPr>
      </w:pPr>
      <m:oMathPara>
        <m:oMathParaPr>
          <m:jc m:val="center"/>
        </m:oMathParaPr>
        <m:oMath>
          <m:groupChr>
            <m:groupChrPr>
              <m:chr m:val="^"/>
              <m:pos m:val="top"/>
              <m:vertJc m:val="bot"/>
              <m:ctrlPr>
                <w:rPr>
                  <w:rFonts w:ascii="Cambria Math" w:hAnsi="Cambria Math"/>
                  <w:sz w:val="22"/>
                  <w:szCs w:val="22"/>
                </w:rPr>
              </m:ctrlPr>
            </m:groupChrPr>
            <m:e>
              <m:r>
                <w:rPr>
                  <w:rFonts w:ascii="Cambria Math" w:hAnsi="Cambria Math"/>
                  <w:sz w:val="22"/>
                  <w:szCs w:val="22"/>
                </w:rPr>
                <m:t>E</m:t>
              </m:r>
            </m:e>
          </m:groupChr>
          <m:r>
            <w:rPr>
              <w:rFonts w:ascii="Cambria Math" w:hAnsi="Cambria Math"/>
              <w:sz w:val="22"/>
              <w:szCs w:val="22"/>
            </w:rPr>
            <m:t>(Y|C)=</m:t>
          </m:r>
          <m:nary>
            <m:naryPr>
              <m:chr m:val="∑"/>
              <m:limLoc m:val="undOvr"/>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509</m:t>
              </m:r>
            </m:sup>
            <m:e>
              <m:sSub>
                <m:sSubPr>
                  <m:ctrlPr>
                    <w:rPr>
                      <w:rFonts w:ascii="Cambria Math" w:hAnsi="Cambria Math"/>
                      <w:sz w:val="22"/>
                      <w:szCs w:val="22"/>
                    </w:rPr>
                  </m:ctrlPr>
                </m:sSubPr>
                <m:e>
                  <m:groupChr>
                    <m:groupChrPr>
                      <m:chr m:val="̃"/>
                      <m:pos m:val="top"/>
                      <m:vertJc m:val="bot"/>
                      <m:ctrlPr>
                        <w:rPr>
                          <w:rFonts w:ascii="Cambria Math" w:hAnsi="Cambria Math"/>
                          <w:sz w:val="22"/>
                          <w:szCs w:val="22"/>
                        </w:rPr>
                      </m:ctrlPr>
                    </m:groupChrPr>
                    <m:e>
                      <m:r>
                        <w:rPr>
                          <w:rFonts w:ascii="Cambria Math" w:hAnsi="Cambria Math"/>
                          <w:sz w:val="22"/>
                          <w:szCs w:val="22"/>
                        </w:rPr>
                        <m:t>w</m:t>
                      </m:r>
                    </m:e>
                  </m:groupChr>
                </m:e>
                <m:sub>
                  <m:r>
                    <w:rPr>
                      <w:rFonts w:ascii="Cambria Math" w:hAnsi="Cambria Math"/>
                      <w:sz w:val="22"/>
                      <w:szCs w:val="22"/>
                    </w:rPr>
                    <m:t>i</m:t>
                  </m:r>
                </m:sub>
              </m:sSub>
            </m:e>
          </m:nary>
          <m:sSub>
            <m:sSubPr>
              <m:ctrlPr>
                <w:rPr>
                  <w:rFonts w:ascii="Cambria Math" w:hAnsi="Cambria Math"/>
                  <w:sz w:val="22"/>
                  <w:szCs w:val="22"/>
                </w:rPr>
              </m:ctrlPr>
            </m:sSubPr>
            <m:e>
              <m:r>
                <w:rPr>
                  <w:rFonts w:ascii="Cambria Math" w:hAnsi="Cambria Math"/>
                  <w:sz w:val="22"/>
                  <w:szCs w:val="22"/>
                </w:rPr>
                <m:t>Y</m:t>
              </m:r>
            </m:e>
            <m:sub>
              <m:r>
                <w:rPr>
                  <w:rFonts w:ascii="Cambria Math" w:hAnsi="Cambria Math"/>
                  <w:sz w:val="22"/>
                  <w:szCs w:val="22"/>
                </w:rPr>
                <m:t>i</m:t>
              </m:r>
            </m:sub>
          </m:sSub>
          <m:r>
            <w:rPr>
              <w:rFonts w:ascii="Cambria Math" w:hAnsi="Cambria Math"/>
              <w:sz w:val="22"/>
              <w:szCs w:val="22"/>
            </w:rPr>
            <m:t>,</m:t>
          </m:r>
        </m:oMath>
      </m:oMathPara>
    </w:p>
    <w:p w14:paraId="2D52A780" w14:textId="77777777" w:rsidR="00643453" w:rsidRPr="00B76BE0" w:rsidRDefault="00643453" w:rsidP="00643453">
      <w:pPr>
        <w:pStyle w:val="FirstParagraph"/>
        <w:spacing w:line="360" w:lineRule="auto"/>
        <w:rPr>
          <w:rFonts w:ascii="Times New Roman" w:hAnsi="Times New Roman" w:cs="Times New Roman"/>
          <w:sz w:val="22"/>
          <w:szCs w:val="22"/>
        </w:rPr>
      </w:pPr>
      <w:r w:rsidRPr="00B76BE0">
        <w:rPr>
          <w:rFonts w:ascii="Times New Roman" w:hAnsi="Times New Roman" w:cs="Times New Roman"/>
          <w:sz w:val="22"/>
          <w:szCs w:val="22"/>
        </w:rPr>
        <w:t>with</w:t>
      </w:r>
    </w:p>
    <w:p w14:paraId="56F0B669" w14:textId="77777777" w:rsidR="00643453" w:rsidRPr="00B76BE0" w:rsidRDefault="00EB4E00" w:rsidP="00643453">
      <w:pPr>
        <w:pStyle w:val="BodyText"/>
        <w:spacing w:line="360" w:lineRule="auto"/>
        <w:rPr>
          <w:rFonts w:ascii="Times New Roman" w:hAnsi="Times New Roman"/>
          <w:sz w:val="22"/>
          <w:szCs w:val="22"/>
        </w:rPr>
      </w:pPr>
      <m:oMathPara>
        <m:oMathParaPr>
          <m:jc m:val="center"/>
        </m:oMathParaPr>
        <m:oMath>
          <m:sSub>
            <m:sSubPr>
              <m:ctrlPr>
                <w:rPr>
                  <w:rFonts w:ascii="Cambria Math" w:hAnsi="Cambria Math"/>
                  <w:sz w:val="22"/>
                  <w:szCs w:val="22"/>
                </w:rPr>
              </m:ctrlPr>
            </m:sSubPr>
            <m:e>
              <m:groupChr>
                <m:groupChrPr>
                  <m:chr m:val="̃"/>
                  <m:pos m:val="top"/>
                  <m:vertJc m:val="bot"/>
                  <m:ctrlPr>
                    <w:rPr>
                      <w:rFonts w:ascii="Cambria Math" w:hAnsi="Cambria Math"/>
                      <w:sz w:val="22"/>
                      <w:szCs w:val="22"/>
                    </w:rPr>
                  </m:ctrlPr>
                </m:groupChrPr>
                <m:e>
                  <m:r>
                    <w:rPr>
                      <w:rFonts w:ascii="Cambria Math" w:hAnsi="Cambria Math"/>
                      <w:sz w:val="22"/>
                      <w:szCs w:val="22"/>
                    </w:rPr>
                    <m:t>w</m:t>
                  </m:r>
                </m:e>
              </m:groupChr>
            </m:e>
            <m:sub>
              <m:r>
                <w:rPr>
                  <w:rFonts w:ascii="Cambria Math" w:hAnsi="Cambria Math"/>
                  <w:sz w:val="22"/>
                  <w:szCs w:val="22"/>
                </w:rPr>
                <m:t>i</m:t>
              </m:r>
            </m:sub>
          </m:sSub>
          <m: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w</m:t>
                  </m:r>
                </m:e>
                <m:sub>
                  <m:r>
                    <w:rPr>
                      <w:rFonts w:ascii="Cambria Math" w:hAnsi="Cambria Math"/>
                      <w:sz w:val="22"/>
                      <w:szCs w:val="22"/>
                    </w:rPr>
                    <m:t>i</m:t>
                  </m:r>
                </m:sub>
              </m:sSub>
            </m:num>
            <m:den>
              <m:nary>
                <m:naryPr>
                  <m:chr m:val="∑"/>
                  <m:limLoc m:val="undOvr"/>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509</m:t>
                  </m:r>
                </m:sup>
                <m:e>
                  <m:sSub>
                    <m:sSubPr>
                      <m:ctrlPr>
                        <w:rPr>
                          <w:rFonts w:ascii="Cambria Math" w:hAnsi="Cambria Math"/>
                          <w:sz w:val="22"/>
                          <w:szCs w:val="22"/>
                        </w:rPr>
                      </m:ctrlPr>
                    </m:sSubPr>
                    <m:e>
                      <m:r>
                        <w:rPr>
                          <w:rFonts w:ascii="Cambria Math" w:hAnsi="Cambria Math"/>
                          <w:sz w:val="22"/>
                          <w:szCs w:val="22"/>
                        </w:rPr>
                        <m:t>w</m:t>
                      </m:r>
                    </m:e>
                    <m:sub>
                      <m:r>
                        <w:rPr>
                          <w:rFonts w:ascii="Cambria Math" w:hAnsi="Cambria Math"/>
                          <w:sz w:val="22"/>
                          <w:szCs w:val="22"/>
                        </w:rPr>
                        <m:t>i</m:t>
                      </m:r>
                    </m:sub>
                  </m:sSub>
                </m:e>
              </m:nary>
            </m:den>
          </m:f>
          <m:r>
            <w:rPr>
              <w:rFonts w:ascii="Cambria Math" w:hAnsi="Cambria Math"/>
              <w:sz w:val="22"/>
              <w:szCs w:val="22"/>
            </w:rPr>
            <m:t>.</m:t>
          </m:r>
        </m:oMath>
      </m:oMathPara>
    </w:p>
    <w:p w14:paraId="6B92BCF9" w14:textId="77777777" w:rsidR="00643453" w:rsidRPr="00B76BE0" w:rsidRDefault="00643453" w:rsidP="001A0C19">
      <w:pPr>
        <w:pStyle w:val="FirstParagraph"/>
        <w:spacing w:line="360" w:lineRule="auto"/>
        <w:jc w:val="both"/>
        <w:rPr>
          <w:rFonts w:ascii="Times New Roman" w:hAnsi="Times New Roman" w:cs="Times New Roman"/>
          <w:sz w:val="22"/>
          <w:szCs w:val="22"/>
        </w:rPr>
      </w:pPr>
      <w:r w:rsidRPr="00B76BE0">
        <w:rPr>
          <w:rFonts w:ascii="Times New Roman" w:hAnsi="Times New Roman" w:cs="Times New Roman"/>
          <w:sz w:val="22"/>
          <w:szCs w:val="22"/>
        </w:rPr>
        <w:t xml:space="preserve">This approach instead generates (weighted) samples directly from the marginal distribution </w:t>
      </w:r>
      <m:oMath>
        <m:r>
          <w:rPr>
            <w:rFonts w:ascii="Cambria Math" w:hAnsi="Cambria Math" w:cs="Times New Roman"/>
            <w:sz w:val="22"/>
            <w:szCs w:val="22"/>
          </w:rPr>
          <m:t>p(θ|T)</m:t>
        </m:r>
      </m:oMath>
      <w:r w:rsidRPr="00B76BE0">
        <w:rPr>
          <w:rFonts w:ascii="Times New Roman" w:hAnsi="Times New Roman" w:cs="Times New Roman"/>
          <w:sz w:val="22"/>
          <w:szCs w:val="22"/>
        </w:rPr>
        <w:t xml:space="preserve">, rather than joint samples from </w:t>
      </w:r>
      <m:oMath>
        <m:r>
          <w:rPr>
            <w:rFonts w:ascii="Cambria Math" w:hAnsi="Cambria Math" w:cs="Times New Roman"/>
            <w:sz w:val="22"/>
            <w:szCs w:val="22"/>
          </w:rPr>
          <m:t>p(θ,M,S,ϕ|T)</m:t>
        </m:r>
      </m:oMath>
      <w:r w:rsidRPr="00B76BE0">
        <w:rPr>
          <w:rFonts w:ascii="Times New Roman" w:hAnsi="Times New Roman" w:cs="Times New Roman"/>
          <w:sz w:val="22"/>
          <w:szCs w:val="22"/>
        </w:rPr>
        <w:t xml:space="preserve">. Each weight </w:t>
      </w:r>
      <m:oMath>
        <m:sSub>
          <m:sSubPr>
            <m:ctrlPr>
              <w:rPr>
                <w:rFonts w:ascii="Cambria Math" w:hAnsi="Cambria Math" w:cs="Times New Roman"/>
                <w:sz w:val="22"/>
                <w:szCs w:val="22"/>
              </w:rPr>
            </m:ctrlPr>
          </m:sSubPr>
          <m:e>
            <m:r>
              <w:rPr>
                <w:rFonts w:ascii="Cambria Math" w:hAnsi="Cambria Math" w:cs="Times New Roman"/>
                <w:sz w:val="22"/>
                <w:szCs w:val="22"/>
              </w:rPr>
              <m:t>w</m:t>
            </m:r>
          </m:e>
          <m:sub>
            <m:r>
              <w:rPr>
                <w:rFonts w:ascii="Cambria Math" w:hAnsi="Cambria Math" w:cs="Times New Roman"/>
                <w:sz w:val="22"/>
                <w:szCs w:val="22"/>
              </w:rPr>
              <m:t>i</m:t>
            </m:r>
          </m:sub>
        </m:sSub>
      </m:oMath>
      <w:r w:rsidRPr="00B76BE0">
        <w:rPr>
          <w:rFonts w:ascii="Times New Roman" w:hAnsi="Times New Roman" w:cs="Times New Roman"/>
          <w:sz w:val="22"/>
          <w:szCs w:val="22"/>
        </w:rPr>
        <w:t xml:space="preserve"> is estimated using the following Monte Carlo procedure. For each candidate value </w:t>
      </w:r>
      <m:oMath>
        <m:sSub>
          <m:sSubPr>
            <m:ctrlPr>
              <w:rPr>
                <w:rFonts w:ascii="Cambria Math" w:hAnsi="Cambria Math" w:cs="Times New Roman"/>
                <w:sz w:val="22"/>
                <w:szCs w:val="22"/>
              </w:rPr>
            </m:ctrlPr>
          </m:sSubPr>
          <m:e>
            <m:r>
              <w:rPr>
                <w:rFonts w:ascii="Cambria Math" w:hAnsi="Cambria Math" w:cs="Times New Roman"/>
                <w:sz w:val="22"/>
                <w:szCs w:val="22"/>
              </w:rPr>
              <m:t>θ</m:t>
            </m:r>
          </m:e>
          <m:sub>
            <m:r>
              <w:rPr>
                <w:rFonts w:ascii="Cambria Math" w:hAnsi="Cambria Math" w:cs="Times New Roman"/>
                <w:sz w:val="22"/>
                <w:szCs w:val="22"/>
              </w:rPr>
              <m:t>i</m:t>
            </m:r>
          </m:sub>
        </m:sSub>
      </m:oMath>
      <w:r w:rsidRPr="00B76BE0">
        <w:rPr>
          <w:rFonts w:ascii="Times New Roman" w:hAnsi="Times New Roman" w:cs="Times New Roman"/>
          <w:sz w:val="22"/>
          <w:szCs w:val="22"/>
        </w:rPr>
        <w:t>, we the model simulates numbers of transmissions</w:t>
      </w:r>
      <w:r>
        <w:rPr>
          <w:rFonts w:ascii="Times New Roman" w:hAnsi="Times New Roman" w:cs="Times New Roman"/>
          <w:sz w:val="22"/>
          <w:szCs w:val="22"/>
        </w:rPr>
        <w:t xml:space="preserve"> of </w:t>
      </w:r>
      <w:r w:rsidRPr="005E05C5">
        <w:rPr>
          <w:rFonts w:ascii="Times New Roman" w:hAnsi="Times New Roman" w:cs="Times New Roman"/>
          <w:sz w:val="22"/>
          <w:szCs w:val="22"/>
        </w:rPr>
        <w:t>CJDcs</w:t>
      </w:r>
      <w:r w:rsidRPr="00B76BE0">
        <w:rPr>
          <w:rFonts w:ascii="Times New Roman" w:hAnsi="Times New Roman" w:cs="Times New Roman"/>
          <w:sz w:val="22"/>
          <w:szCs w:val="22"/>
        </w:rPr>
        <w:t xml:space="preserve"> in each age band, under </w:t>
      </w:r>
      <w:r w:rsidRPr="00B76BE0">
        <w:rPr>
          <w:rFonts w:ascii="Times New Roman" w:hAnsi="Times New Roman" w:cs="Times New Roman"/>
          <w:i/>
          <w:sz w:val="22"/>
          <w:szCs w:val="22"/>
        </w:rPr>
        <w:t>all</w:t>
      </w:r>
      <w:r w:rsidRPr="00B76BE0">
        <w:rPr>
          <w:rFonts w:ascii="Times New Roman" w:hAnsi="Times New Roman" w:cs="Times New Roman"/>
          <w:sz w:val="22"/>
          <w:szCs w:val="22"/>
        </w:rPr>
        <w:t xml:space="preserve"> scenarios for each surgical centre. The transmissions </w:t>
      </w:r>
      <w:r w:rsidRPr="005E05C5">
        <w:rPr>
          <w:rFonts w:ascii="Times New Roman" w:hAnsi="Times New Roman" w:cs="Times New Roman"/>
          <w:sz w:val="22"/>
          <w:szCs w:val="22"/>
        </w:rPr>
        <w:t>of CJDcs</w:t>
      </w:r>
      <w:r w:rsidRPr="00B76BE0">
        <w:rPr>
          <w:rFonts w:ascii="Times New Roman" w:hAnsi="Times New Roman" w:cs="Times New Roman"/>
          <w:sz w:val="22"/>
          <w:szCs w:val="22"/>
        </w:rPr>
        <w:t xml:space="preserve"> corresponding to the scenarios in </w:t>
      </w:r>
      <m:oMath>
        <m:r>
          <w:rPr>
            <w:rFonts w:ascii="Cambria Math" w:hAnsi="Cambria Math" w:cs="Times New Roman"/>
            <w:sz w:val="22"/>
            <w:szCs w:val="22"/>
          </w:rPr>
          <m:t>S</m:t>
        </m:r>
      </m:oMath>
      <w:r w:rsidRPr="00B76BE0">
        <w:rPr>
          <w:rFonts w:ascii="Times New Roman" w:hAnsi="Times New Roman" w:cs="Times New Roman"/>
          <w:sz w:val="22"/>
          <w:szCs w:val="22"/>
        </w:rPr>
        <w:t xml:space="preserve"> can then be selected.</w:t>
      </w:r>
    </w:p>
    <w:p w14:paraId="77688CB2" w14:textId="77777777" w:rsidR="00643453" w:rsidRPr="00B76BE0" w:rsidRDefault="00643453" w:rsidP="00643453">
      <w:pPr>
        <w:pStyle w:val="BodyText"/>
        <w:spacing w:line="360" w:lineRule="auto"/>
        <w:rPr>
          <w:rFonts w:ascii="Times New Roman" w:hAnsi="Times New Roman"/>
          <w:sz w:val="22"/>
          <w:szCs w:val="22"/>
        </w:rPr>
      </w:pPr>
      <w:r w:rsidRPr="00B76BE0">
        <w:rPr>
          <w:rFonts w:ascii="Times New Roman" w:hAnsi="Times New Roman"/>
          <w:sz w:val="22"/>
          <w:szCs w:val="22"/>
        </w:rPr>
        <w:t xml:space="preserve">For </w:t>
      </w:r>
      <m:oMath>
        <m:r>
          <w:rPr>
            <w:rFonts w:ascii="Cambria Math" w:hAnsi="Cambria Math"/>
            <w:sz w:val="22"/>
            <w:szCs w:val="22"/>
          </w:rPr>
          <m:t>k=1,…,100000</m:t>
        </m:r>
      </m:oMath>
      <w:r w:rsidRPr="00B76BE0">
        <w:rPr>
          <w:rFonts w:ascii="Times New Roman" w:hAnsi="Times New Roman"/>
          <w:sz w:val="22"/>
          <w:szCs w:val="22"/>
        </w:rPr>
        <w:t>:</w:t>
      </w:r>
    </w:p>
    <w:p w14:paraId="00EA8CC4" w14:textId="77777777" w:rsidR="00643453" w:rsidRPr="00B76BE0" w:rsidRDefault="00643453" w:rsidP="00643453">
      <w:pPr>
        <w:numPr>
          <w:ilvl w:val="0"/>
          <w:numId w:val="39"/>
        </w:numPr>
        <w:spacing w:after="200"/>
        <w:jc w:val="both"/>
        <w:rPr>
          <w:rFonts w:cs="Times New Roman"/>
        </w:rPr>
      </w:pPr>
      <w:r w:rsidRPr="00B76BE0">
        <w:rPr>
          <w:rFonts w:cs="Times New Roman"/>
        </w:rPr>
        <w:t xml:space="preserve">Randomly sample </w:t>
      </w:r>
      <m:oMath>
        <m:r>
          <w:rPr>
            <w:rFonts w:ascii="Cambria Math" w:hAnsi="Cambria Math" w:cs="Times New Roman"/>
          </w:rPr>
          <m:t>S</m:t>
        </m:r>
      </m:oMath>
      <w:r w:rsidRPr="00B76BE0">
        <w:rPr>
          <w:rFonts w:cs="Times New Roman"/>
        </w:rPr>
        <w:t xml:space="preserve"> from its prior distribution, and denote this value by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k</m:t>
            </m:r>
          </m:sub>
        </m:sSub>
      </m:oMath>
      <w:r w:rsidRPr="00B76BE0">
        <w:rPr>
          <w:rFonts w:cs="Times New Roman"/>
        </w:rPr>
        <w:t xml:space="preserve">. Given the model simulation run for input value </w:t>
      </w:r>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j</m:t>
            </m:r>
          </m:sub>
        </m:sSub>
      </m:oMath>
      <w:r w:rsidRPr="00B76BE0">
        <w:rPr>
          <w:rFonts w:cs="Times New Roman"/>
        </w:rPr>
        <w:t xml:space="preserve"> and scenario set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k</m:t>
            </m:r>
          </m:sub>
        </m:sSub>
      </m:oMath>
      <w:r w:rsidRPr="00B76BE0">
        <w:rPr>
          <w:rFonts w:cs="Times New Roman"/>
        </w:rPr>
        <w:t xml:space="preserve">, extract the number of transmissions </w:t>
      </w:r>
      <w:r w:rsidRPr="005E05C5">
        <w:rPr>
          <w:rFonts w:cs="Times New Roman"/>
        </w:rPr>
        <w:t>of CJDcs</w:t>
      </w:r>
      <w:r w:rsidRPr="00B76BE0">
        <w:rPr>
          <w:rFonts w:cs="Times New Roman"/>
        </w:rPr>
        <w:t xml:space="preserve"> in each age band. Denote these by </w:t>
      </w:r>
      <m:oMath>
        <m:sSubSup>
          <m:sSubSupPr>
            <m:ctrlPr>
              <w:rPr>
                <w:rFonts w:ascii="Cambria Math" w:hAnsi="Cambria Math" w:cs="Times New Roman"/>
              </w:rPr>
            </m:ctrlPr>
          </m:sSubSupPr>
          <m:e>
            <m:r>
              <w:rPr>
                <w:rFonts w:ascii="Cambria Math" w:hAnsi="Cambria Math" w:cs="Times New Roman"/>
              </w:rPr>
              <m:t>T</m:t>
            </m:r>
          </m:e>
          <m:sub>
            <m:r>
              <w:rPr>
                <w:rFonts w:ascii="Cambria Math" w:hAnsi="Cambria Math" w:cs="Times New Roman"/>
              </w:rPr>
              <m:t>j,k</m:t>
            </m:r>
          </m:sub>
          <m:sup>
            <m:r>
              <w:rPr>
                <w:rFonts w:ascii="Cambria Math" w:hAnsi="Cambria Math" w:cs="Times New Roman"/>
              </w:rPr>
              <m:t>(i)</m:t>
            </m:r>
          </m:sup>
        </m:sSubSup>
      </m:oMath>
      <w:r w:rsidRPr="00B76BE0">
        <w:rPr>
          <w:rFonts w:cs="Times New Roman"/>
        </w:rPr>
        <w:t xml:space="preserve"> for </w:t>
      </w:r>
      <m:oMath>
        <m:r>
          <w:rPr>
            <w:rFonts w:ascii="Cambria Math" w:hAnsi="Cambria Math" w:cs="Times New Roman"/>
          </w:rPr>
          <m:t>i=1,2,3</m:t>
        </m:r>
      </m:oMath>
      <w:r w:rsidRPr="00B76BE0">
        <w:rPr>
          <w:rFonts w:cs="Times New Roman"/>
        </w:rPr>
        <w:t>.</w:t>
      </w:r>
    </w:p>
    <w:p w14:paraId="4126F7AC" w14:textId="77777777" w:rsidR="00643453" w:rsidRPr="00B76BE0" w:rsidRDefault="00643453" w:rsidP="00643453">
      <w:pPr>
        <w:numPr>
          <w:ilvl w:val="0"/>
          <w:numId w:val="39"/>
        </w:numPr>
        <w:spacing w:after="200"/>
        <w:rPr>
          <w:rFonts w:cs="Times New Roman"/>
        </w:rPr>
      </w:pPr>
      <w:r w:rsidRPr="00B76BE0">
        <w:rPr>
          <w:rFonts w:cs="Times New Roman"/>
        </w:rPr>
        <w:t xml:space="preserve">Randomly sample </w:t>
      </w:r>
      <m:oMath>
        <m:r>
          <w:rPr>
            <w:rFonts w:ascii="Cambria Math" w:hAnsi="Cambria Math" w:cs="Times New Roman"/>
          </w:rPr>
          <m:t>M</m:t>
        </m:r>
      </m:oMath>
      <w:r w:rsidRPr="00B76BE0">
        <w:rPr>
          <w:rFonts w:cs="Times New Roman"/>
        </w:rPr>
        <w:t xml:space="preserve"> from its multinomial distribution. Denote the sampled values by </w:t>
      </w:r>
      <m:oMath>
        <m:sSubSup>
          <m:sSubSupPr>
            <m:ctrlPr>
              <w:rPr>
                <w:rFonts w:ascii="Cambria Math" w:hAnsi="Cambria Math" w:cs="Times New Roman"/>
              </w:rPr>
            </m:ctrlPr>
          </m:sSubSupPr>
          <m:e>
            <m:r>
              <w:rPr>
                <w:rFonts w:ascii="Cambria Math" w:hAnsi="Cambria Math" w:cs="Times New Roman"/>
              </w:rPr>
              <m:t>M</m:t>
            </m:r>
          </m:e>
          <m:sub>
            <m:r>
              <w:rPr>
                <w:rFonts w:ascii="Cambria Math" w:hAnsi="Cambria Math" w:cs="Times New Roman"/>
              </w:rPr>
              <m:t>k</m:t>
            </m:r>
          </m:sub>
          <m:sup>
            <m:r>
              <w:rPr>
                <w:rFonts w:ascii="Cambria Math" w:hAnsi="Cambria Math" w:cs="Times New Roman"/>
              </w:rPr>
              <m:t>(1)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M</m:t>
            </m:r>
          </m:e>
          <m:sub>
            <m:r>
              <w:rPr>
                <w:rFonts w:ascii="Cambria Math" w:hAnsi="Cambria Math" w:cs="Times New Roman"/>
              </w:rPr>
              <m:t>k</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M</m:t>
            </m:r>
          </m:e>
          <m:sub>
            <m:r>
              <w:rPr>
                <w:rFonts w:ascii="Cambria Math" w:hAnsi="Cambria Math" w:cs="Times New Roman"/>
              </w:rPr>
              <m:t>k</m:t>
            </m:r>
          </m:sub>
          <m:sup>
            <m:r>
              <w:rPr>
                <w:rFonts w:ascii="Cambria Math" w:hAnsi="Cambria Math" w:cs="Times New Roman"/>
              </w:rPr>
              <m:t>(3)</m:t>
            </m:r>
          </m:sup>
        </m:sSubSup>
      </m:oMath>
    </w:p>
    <w:p w14:paraId="0EF84B5E" w14:textId="77777777" w:rsidR="00643453" w:rsidRPr="00B76BE0" w:rsidRDefault="00643453" w:rsidP="00643453">
      <w:pPr>
        <w:numPr>
          <w:ilvl w:val="0"/>
          <w:numId w:val="39"/>
        </w:numPr>
        <w:spacing w:after="200"/>
        <w:jc w:val="both"/>
        <w:rPr>
          <w:rFonts w:cs="Times New Roman"/>
        </w:rPr>
      </w:pPr>
      <w:r w:rsidRPr="00B76BE0">
        <w:rPr>
          <w:rFonts w:cs="Times New Roman"/>
        </w:rPr>
        <w:t xml:space="preserve">Randomly sample </w:t>
      </w:r>
      <m:oMath>
        <m:sSup>
          <m:sSupPr>
            <m:ctrlPr>
              <w:rPr>
                <w:rFonts w:ascii="Cambria Math" w:hAnsi="Cambria Math" w:cs="Times New Roman"/>
              </w:rPr>
            </m:ctrlPr>
          </m:sSupPr>
          <m:e>
            <m:r>
              <w:rPr>
                <w:rFonts w:ascii="Cambria Math" w:hAnsi="Cambria Math" w:cs="Times New Roman"/>
              </w:rPr>
              <m:t>ϕ</m:t>
            </m:r>
          </m:e>
          <m:sup>
            <m:r>
              <w:rPr>
                <w:rFonts w:ascii="Cambria Math" w:hAnsi="Cambria Math" w:cs="Times New Roman"/>
              </w:rPr>
              <m:t>(1)</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ϕ</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ϕ</m:t>
            </m:r>
          </m:e>
          <m:sup>
            <m:r>
              <w:rPr>
                <w:rFonts w:ascii="Cambria Math" w:hAnsi="Cambria Math" w:cs="Times New Roman"/>
              </w:rPr>
              <m:t>(3)</m:t>
            </m:r>
          </m:sup>
        </m:sSup>
      </m:oMath>
      <w:r w:rsidRPr="00B76BE0">
        <w:rPr>
          <w:rFonts w:cs="Times New Roman"/>
        </w:rPr>
        <w:t xml:space="preserve"> from the three elicited prior distributions. Denote these values by </w:t>
      </w:r>
      <m:oMath>
        <m:sSubSup>
          <m:sSubSupPr>
            <m:ctrlPr>
              <w:rPr>
                <w:rFonts w:ascii="Cambria Math" w:hAnsi="Cambria Math" w:cs="Times New Roman"/>
              </w:rPr>
            </m:ctrlPr>
          </m:sSubSupPr>
          <m:e>
            <m:r>
              <w:rPr>
                <w:rFonts w:ascii="Cambria Math" w:hAnsi="Cambria Math" w:cs="Times New Roman"/>
              </w:rPr>
              <m:t>ϕ</m:t>
            </m:r>
          </m:e>
          <m:sub>
            <m:r>
              <w:rPr>
                <w:rFonts w:ascii="Cambria Math" w:hAnsi="Cambria Math" w:cs="Times New Roman"/>
              </w:rPr>
              <m:t>k</m:t>
            </m:r>
          </m:sub>
          <m:sup>
            <m:r>
              <w:rPr>
                <w:rFonts w:ascii="Cambria Math" w:hAnsi="Cambria Math" w:cs="Times New Roman"/>
              </w:rPr>
              <m:t>(1)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ϕ</m:t>
            </m:r>
          </m:e>
          <m:sub>
            <m:r>
              <w:rPr>
                <w:rFonts w:ascii="Cambria Math" w:hAnsi="Cambria Math" w:cs="Times New Roman"/>
              </w:rPr>
              <m:t>k</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ϕ</m:t>
            </m:r>
          </m:e>
          <m:sub>
            <m:r>
              <w:rPr>
                <w:rFonts w:ascii="Cambria Math" w:hAnsi="Cambria Math" w:cs="Times New Roman"/>
              </w:rPr>
              <m:t>k</m:t>
            </m:r>
          </m:sub>
          <m:sup>
            <m:r>
              <w:rPr>
                <w:rFonts w:ascii="Cambria Math" w:hAnsi="Cambria Math" w:cs="Times New Roman"/>
              </w:rPr>
              <m:t>(3)</m:t>
            </m:r>
          </m:sup>
        </m:sSubSup>
      </m:oMath>
    </w:p>
    <w:p w14:paraId="667017D5" w14:textId="77777777" w:rsidR="00643453" w:rsidRPr="00B76BE0" w:rsidRDefault="00643453" w:rsidP="00643453">
      <w:pPr>
        <w:numPr>
          <w:ilvl w:val="0"/>
          <w:numId w:val="39"/>
        </w:numPr>
        <w:spacing w:after="200"/>
        <w:rPr>
          <w:rFonts w:cs="Times New Roman"/>
        </w:rPr>
      </w:pPr>
      <w:r w:rsidRPr="00B76BE0">
        <w:rPr>
          <w:rFonts w:cs="Times New Roman"/>
        </w:rPr>
        <w:t>Given the sampled values in step 2, we now have</w:t>
      </w:r>
    </w:p>
    <w:p w14:paraId="754F398A" w14:textId="77777777" w:rsidR="00643453" w:rsidRPr="00B76BE0" w:rsidRDefault="00EB4E00" w:rsidP="00643453">
      <w:pPr>
        <w:pStyle w:val="FirstParagraph"/>
        <w:spacing w:line="360" w:lineRule="auto"/>
        <w:rPr>
          <w:rFonts w:ascii="Times New Roman" w:hAnsi="Times New Roman" w:cs="Times New Roman"/>
          <w:sz w:val="22"/>
          <w:szCs w:val="22"/>
        </w:rPr>
      </w:pPr>
      <m:oMathPara>
        <m:oMathParaPr>
          <m:jc m:val="center"/>
        </m:oMathParaPr>
        <m:oMath>
          <m:sSup>
            <m:sSupPr>
              <m:ctrlPr>
                <w:rPr>
                  <w:rFonts w:ascii="Cambria Math" w:hAnsi="Cambria Math" w:cs="Times New Roman"/>
                  <w:sz w:val="22"/>
                  <w:szCs w:val="22"/>
                </w:rPr>
              </m:ctrlPr>
            </m:sSupPr>
            <m:e>
              <m:r>
                <w:rPr>
                  <w:rFonts w:ascii="Cambria Math" w:hAnsi="Cambria Math" w:cs="Times New Roman"/>
                  <w:sz w:val="22"/>
                  <w:szCs w:val="22"/>
                </w:rPr>
                <m:t>R</m:t>
              </m:r>
            </m:e>
            <m:sup>
              <m:r>
                <w:rPr>
                  <w:rFonts w:ascii="Cambria Math" w:hAnsi="Cambria Math" w:cs="Times New Roman"/>
                  <w:sz w:val="22"/>
                  <w:szCs w:val="22"/>
                </w:rPr>
                <m:t>(i)</m:t>
              </m:r>
            </m:sup>
          </m:sSup>
          <m:r>
            <w:rPr>
              <w:rFonts w:ascii="Cambria Math" w:hAnsi="Cambria Math" w:cs="Times New Roman"/>
              <w:sz w:val="22"/>
              <w:szCs w:val="22"/>
            </w:rPr>
            <m:t>|</m:t>
          </m:r>
          <m:sSubSup>
            <m:sSubSupPr>
              <m:ctrlPr>
                <w:rPr>
                  <w:rFonts w:ascii="Cambria Math" w:hAnsi="Cambria Math" w:cs="Times New Roman"/>
                  <w:sz w:val="22"/>
                  <w:szCs w:val="22"/>
                </w:rPr>
              </m:ctrlPr>
            </m:sSubSupPr>
            <m:e>
              <m:r>
                <w:rPr>
                  <w:rFonts w:ascii="Cambria Math" w:hAnsi="Cambria Math" w:cs="Times New Roman"/>
                  <w:sz w:val="22"/>
                  <w:szCs w:val="22"/>
                </w:rPr>
                <m:t>T</m:t>
              </m:r>
            </m:e>
            <m:sub>
              <m:r>
                <w:rPr>
                  <w:rFonts w:ascii="Cambria Math" w:hAnsi="Cambria Math" w:cs="Times New Roman"/>
                  <w:sz w:val="22"/>
                  <w:szCs w:val="22"/>
                </w:rPr>
                <m:t>j,k</m:t>
              </m:r>
            </m:sub>
            <m:sup>
              <m:r>
                <w:rPr>
                  <w:rFonts w:ascii="Cambria Math" w:hAnsi="Cambria Math" w:cs="Times New Roman"/>
                  <w:sz w:val="22"/>
                  <w:szCs w:val="22"/>
                </w:rPr>
                <m:t>(i)</m:t>
              </m:r>
            </m:sup>
          </m:sSubSup>
          <m:r>
            <w:rPr>
              <w:rFonts w:ascii="Cambria Math" w:hAnsi="Cambria Math" w:cs="Times New Roman"/>
              <w:sz w:val="22"/>
              <w:szCs w:val="22"/>
            </w:rPr>
            <m:t>, </m:t>
          </m:r>
          <m:sSubSup>
            <m:sSubSupPr>
              <m:ctrlPr>
                <w:rPr>
                  <w:rFonts w:ascii="Cambria Math" w:hAnsi="Cambria Math" w:cs="Times New Roman"/>
                  <w:sz w:val="22"/>
                  <w:szCs w:val="22"/>
                </w:rPr>
              </m:ctrlPr>
            </m:sSubSupPr>
            <m:e>
              <m:r>
                <w:rPr>
                  <w:rFonts w:ascii="Cambria Math" w:hAnsi="Cambria Math" w:cs="Times New Roman"/>
                  <w:sz w:val="22"/>
                  <w:szCs w:val="22"/>
                </w:rPr>
                <m:t>ϕ</m:t>
              </m:r>
            </m:e>
            <m:sub>
              <m:r>
                <w:rPr>
                  <w:rFonts w:ascii="Cambria Math" w:hAnsi="Cambria Math" w:cs="Times New Roman"/>
                  <w:sz w:val="22"/>
                  <w:szCs w:val="22"/>
                </w:rPr>
                <m:t>k</m:t>
              </m:r>
            </m:sub>
            <m:sup>
              <m:r>
                <w:rPr>
                  <w:rFonts w:ascii="Cambria Math" w:hAnsi="Cambria Math" w:cs="Times New Roman"/>
                  <w:sz w:val="22"/>
                  <w:szCs w:val="22"/>
                </w:rPr>
                <m:t>(i)</m:t>
              </m:r>
            </m:sup>
          </m:sSubSup>
          <m:r>
            <w:rPr>
              <w:rFonts w:ascii="Cambria Math" w:hAnsi="Cambria Math" w:cs="Times New Roman"/>
              <w:sz w:val="22"/>
              <w:szCs w:val="22"/>
            </w:rPr>
            <m:t>∼Binomial(</m:t>
          </m:r>
          <m:sSubSup>
            <m:sSubSupPr>
              <m:ctrlPr>
                <w:rPr>
                  <w:rFonts w:ascii="Cambria Math" w:hAnsi="Cambria Math" w:cs="Times New Roman"/>
                  <w:sz w:val="22"/>
                  <w:szCs w:val="22"/>
                </w:rPr>
              </m:ctrlPr>
            </m:sSubSupPr>
            <m:e>
              <m:r>
                <w:rPr>
                  <w:rFonts w:ascii="Cambria Math" w:hAnsi="Cambria Math" w:cs="Times New Roman"/>
                  <w:sz w:val="22"/>
                  <w:szCs w:val="22"/>
                </w:rPr>
                <m:t>T</m:t>
              </m:r>
            </m:e>
            <m:sub>
              <m:r>
                <w:rPr>
                  <w:rFonts w:ascii="Cambria Math" w:hAnsi="Cambria Math" w:cs="Times New Roman"/>
                  <w:sz w:val="22"/>
                  <w:szCs w:val="22"/>
                </w:rPr>
                <m:t>j,k</m:t>
              </m:r>
            </m:sub>
            <m:sup>
              <m:r>
                <w:rPr>
                  <w:rFonts w:ascii="Cambria Math" w:hAnsi="Cambria Math" w:cs="Times New Roman"/>
                  <w:sz w:val="22"/>
                  <w:szCs w:val="22"/>
                </w:rPr>
                <m:t>(i)</m:t>
              </m:r>
            </m:sup>
          </m:sSubSup>
          <m:r>
            <w:rPr>
              <w:rFonts w:ascii="Cambria Math" w:hAnsi="Cambria Math" w:cs="Times New Roman"/>
              <w:sz w:val="22"/>
              <w:szCs w:val="22"/>
            </w:rPr>
            <m:t>, 1-</m:t>
          </m:r>
          <m:sSubSup>
            <m:sSubSupPr>
              <m:ctrlPr>
                <w:rPr>
                  <w:rFonts w:ascii="Cambria Math" w:hAnsi="Cambria Math" w:cs="Times New Roman"/>
                  <w:sz w:val="22"/>
                  <w:szCs w:val="22"/>
                </w:rPr>
              </m:ctrlPr>
            </m:sSubSupPr>
            <m:e>
              <m:r>
                <w:rPr>
                  <w:rFonts w:ascii="Cambria Math" w:hAnsi="Cambria Math" w:cs="Times New Roman"/>
                  <w:sz w:val="22"/>
                  <w:szCs w:val="22"/>
                </w:rPr>
                <m:t>ϕ</m:t>
              </m:r>
            </m:e>
            <m:sub>
              <m:r>
                <w:rPr>
                  <w:rFonts w:ascii="Cambria Math" w:hAnsi="Cambria Math" w:cs="Times New Roman"/>
                  <w:sz w:val="22"/>
                  <w:szCs w:val="22"/>
                </w:rPr>
                <m:t>k</m:t>
              </m:r>
            </m:sub>
            <m:sup>
              <m:r>
                <w:rPr>
                  <w:rFonts w:ascii="Cambria Math" w:hAnsi="Cambria Math" w:cs="Times New Roman"/>
                  <w:sz w:val="22"/>
                  <w:szCs w:val="22"/>
                </w:rPr>
                <m:t>(i)</m:t>
              </m:r>
            </m:sup>
          </m:sSubSup>
          <m:r>
            <w:rPr>
              <w:rFonts w:ascii="Cambria Math" w:hAnsi="Cambria Math" w:cs="Times New Roman"/>
              <w:sz w:val="22"/>
              <w:szCs w:val="22"/>
            </w:rPr>
            <m:t>).</m:t>
          </m:r>
        </m:oMath>
      </m:oMathPara>
    </w:p>
    <w:p w14:paraId="7B5F6A4D" w14:textId="77777777" w:rsidR="00643453" w:rsidRPr="00B76BE0" w:rsidRDefault="00643453" w:rsidP="00643453">
      <w:pPr>
        <w:pStyle w:val="Compact"/>
        <w:numPr>
          <w:ilvl w:val="0"/>
          <w:numId w:val="44"/>
        </w:numPr>
        <w:spacing w:line="360" w:lineRule="auto"/>
        <w:rPr>
          <w:rFonts w:ascii="Times New Roman" w:hAnsi="Times New Roman" w:cs="Times New Roman"/>
          <w:sz w:val="22"/>
          <w:szCs w:val="22"/>
        </w:rPr>
      </w:pPr>
      <w:r w:rsidRPr="00B76BE0">
        <w:rPr>
          <w:rFonts w:ascii="Times New Roman" w:hAnsi="Times New Roman" w:cs="Times New Roman"/>
          <w:sz w:val="22"/>
          <w:szCs w:val="22"/>
        </w:rPr>
        <w:t>Compute, from the corresponding binomial distributions in step 3,</w:t>
      </w:r>
    </w:p>
    <w:p w14:paraId="167DFFE4" w14:textId="77777777" w:rsidR="00643453" w:rsidRPr="00B76BE0" w:rsidRDefault="00EB4E00" w:rsidP="00643453">
      <w:pPr>
        <w:pStyle w:val="Compact"/>
        <w:spacing w:line="360" w:lineRule="auto"/>
        <w:rPr>
          <w:rFonts w:ascii="Times New Roman" w:hAnsi="Times New Roman" w:cs="Times New Roman"/>
          <w:sz w:val="22"/>
          <w:szCs w:val="22"/>
        </w:rPr>
      </w:pPr>
      <m:oMathPara>
        <m:oMathParaPr>
          <m:jc m:val="center"/>
        </m:oMathParaPr>
        <m:oMath>
          <m:sSub>
            <m:sSubPr>
              <m:ctrlPr>
                <w:rPr>
                  <w:rFonts w:ascii="Cambria Math" w:hAnsi="Cambria Math" w:cs="Times New Roman"/>
                  <w:sz w:val="22"/>
                  <w:szCs w:val="22"/>
                </w:rPr>
              </m:ctrlPr>
            </m:sSubPr>
            <m:e>
              <m:r>
                <w:rPr>
                  <w:rFonts w:ascii="Cambria Math" w:hAnsi="Cambria Math" w:cs="Times New Roman"/>
                  <w:sz w:val="22"/>
                  <w:szCs w:val="22"/>
                </w:rPr>
                <m:t>w</m:t>
              </m:r>
            </m:e>
            <m:sub>
              <m:r>
                <w:rPr>
                  <w:rFonts w:ascii="Cambria Math" w:hAnsi="Cambria Math" w:cs="Times New Roman"/>
                  <w:sz w:val="22"/>
                  <w:szCs w:val="22"/>
                </w:rPr>
                <m:t>j,k</m:t>
              </m:r>
            </m:sub>
          </m:sSub>
          <m:r>
            <w:rPr>
              <w:rFonts w:ascii="Cambria Math" w:hAnsi="Cambria Math" w:cs="Times New Roman"/>
              <w:sz w:val="22"/>
              <w:szCs w:val="22"/>
            </w:rPr>
            <m:t>=</m:t>
          </m:r>
          <m:nary>
            <m:naryPr>
              <m:chr m:val="∏"/>
              <m:limLoc m:val="undOvr"/>
              <m:ctrlPr>
                <w:rPr>
                  <w:rFonts w:ascii="Cambria Math" w:hAnsi="Cambria Math" w:cs="Times New Roman"/>
                  <w:sz w:val="22"/>
                  <w:szCs w:val="22"/>
                </w:rPr>
              </m:ctrlPr>
            </m:naryPr>
            <m:sub>
              <m:r>
                <w:rPr>
                  <w:rFonts w:ascii="Cambria Math" w:hAnsi="Cambria Math" w:cs="Times New Roman"/>
                  <w:sz w:val="22"/>
                  <w:szCs w:val="22"/>
                </w:rPr>
                <m:t>i=1</m:t>
              </m:r>
            </m:sub>
            <m:sup>
              <m:r>
                <w:rPr>
                  <w:rFonts w:ascii="Cambria Math" w:hAnsi="Cambria Math" w:cs="Times New Roman"/>
                  <w:sz w:val="22"/>
                  <w:szCs w:val="22"/>
                </w:rPr>
                <m:t>3</m:t>
              </m:r>
            </m:sup>
            <m:e>
              <m:r>
                <w:rPr>
                  <w:rFonts w:ascii="Cambria Math" w:hAnsi="Cambria Math" w:cs="Times New Roman"/>
                  <w:sz w:val="22"/>
                  <w:szCs w:val="22"/>
                </w:rPr>
                <m:t>P</m:t>
              </m:r>
            </m:e>
          </m:nary>
          <m:r>
            <w:rPr>
              <w:rFonts w:ascii="Cambria Math" w:hAnsi="Cambria Math" w:cs="Times New Roman"/>
              <w:sz w:val="22"/>
              <w:szCs w:val="22"/>
            </w:rPr>
            <m:t>r(</m:t>
          </m:r>
          <m:sSup>
            <m:sSupPr>
              <m:ctrlPr>
                <w:rPr>
                  <w:rFonts w:ascii="Cambria Math" w:hAnsi="Cambria Math" w:cs="Times New Roman"/>
                  <w:sz w:val="22"/>
                  <w:szCs w:val="22"/>
                </w:rPr>
              </m:ctrlPr>
            </m:sSupPr>
            <m:e>
              <m:r>
                <w:rPr>
                  <w:rFonts w:ascii="Cambria Math" w:hAnsi="Cambria Math" w:cs="Times New Roman"/>
                  <w:sz w:val="22"/>
                  <w:szCs w:val="22"/>
                </w:rPr>
                <m:t>R</m:t>
              </m:r>
            </m:e>
            <m:sup>
              <m:r>
                <w:rPr>
                  <w:rFonts w:ascii="Cambria Math" w:hAnsi="Cambria Math" w:cs="Times New Roman"/>
                  <w:sz w:val="22"/>
                  <w:szCs w:val="22"/>
                </w:rPr>
                <m:t>(i)</m:t>
              </m:r>
            </m:sup>
          </m:sSup>
          <m:r>
            <w:rPr>
              <w:rFonts w:ascii="Cambria Math" w:hAnsi="Cambria Math" w:cs="Times New Roman"/>
              <w:sz w:val="22"/>
              <w:szCs w:val="22"/>
            </w:rPr>
            <m:t>≤</m:t>
          </m:r>
          <m:sSubSup>
            <m:sSubSupPr>
              <m:ctrlPr>
                <w:rPr>
                  <w:rFonts w:ascii="Cambria Math" w:hAnsi="Cambria Math" w:cs="Times New Roman"/>
                  <w:sz w:val="22"/>
                  <w:szCs w:val="22"/>
                </w:rPr>
              </m:ctrlPr>
            </m:sSubSupPr>
            <m:e>
              <m:r>
                <w:rPr>
                  <w:rFonts w:ascii="Cambria Math" w:hAnsi="Cambria Math" w:cs="Times New Roman"/>
                  <w:sz w:val="22"/>
                  <w:szCs w:val="22"/>
                </w:rPr>
                <m:t>M</m:t>
              </m:r>
            </m:e>
            <m:sub>
              <m:r>
                <w:rPr>
                  <w:rFonts w:ascii="Cambria Math" w:hAnsi="Cambria Math" w:cs="Times New Roman"/>
                  <w:sz w:val="22"/>
                  <w:szCs w:val="22"/>
                </w:rPr>
                <m:t>k</m:t>
              </m:r>
            </m:sub>
            <m:sup>
              <m:r>
                <w:rPr>
                  <w:rFonts w:ascii="Cambria Math" w:hAnsi="Cambria Math" w:cs="Times New Roman"/>
                  <w:sz w:val="22"/>
                  <w:szCs w:val="22"/>
                </w:rPr>
                <m:t>(i)</m:t>
              </m:r>
            </m:sup>
          </m:sSubSup>
          <m:r>
            <w:rPr>
              <w:rFonts w:ascii="Cambria Math" w:hAnsi="Cambria Math" w:cs="Times New Roman"/>
              <w:sz w:val="22"/>
              <w:szCs w:val="22"/>
            </w:rPr>
            <m:t>)</m:t>
          </m:r>
        </m:oMath>
      </m:oMathPara>
    </w:p>
    <w:p w14:paraId="7ACE814D" w14:textId="77777777" w:rsidR="00643453" w:rsidRPr="00B76BE0" w:rsidRDefault="00643453" w:rsidP="00643453">
      <w:pPr>
        <w:pStyle w:val="Compact"/>
        <w:numPr>
          <w:ilvl w:val="0"/>
          <w:numId w:val="44"/>
        </w:numPr>
        <w:spacing w:line="360" w:lineRule="auto"/>
        <w:rPr>
          <w:rFonts w:ascii="Times New Roman" w:hAnsi="Times New Roman" w:cs="Times New Roman"/>
          <w:sz w:val="22"/>
          <w:szCs w:val="22"/>
        </w:rPr>
      </w:pPr>
      <w:r w:rsidRPr="00B76BE0">
        <w:rPr>
          <w:rFonts w:ascii="Times New Roman" w:hAnsi="Times New Roman" w:cs="Times New Roman"/>
          <w:sz w:val="22"/>
          <w:szCs w:val="22"/>
        </w:rPr>
        <w:t xml:space="preserve">The weight </w:t>
      </w:r>
      <m:oMath>
        <m:sSub>
          <m:sSubPr>
            <m:ctrlPr>
              <w:rPr>
                <w:rFonts w:ascii="Cambria Math" w:hAnsi="Cambria Math" w:cs="Times New Roman"/>
                <w:sz w:val="22"/>
                <w:szCs w:val="22"/>
              </w:rPr>
            </m:ctrlPr>
          </m:sSubPr>
          <m:e>
            <m:r>
              <w:rPr>
                <w:rFonts w:ascii="Cambria Math" w:hAnsi="Cambria Math" w:cs="Times New Roman"/>
                <w:sz w:val="22"/>
                <w:szCs w:val="22"/>
              </w:rPr>
              <m:t>w</m:t>
            </m:r>
          </m:e>
          <m:sub>
            <m:r>
              <w:rPr>
                <w:rFonts w:ascii="Cambria Math" w:hAnsi="Cambria Math" w:cs="Times New Roman"/>
                <w:sz w:val="22"/>
                <w:szCs w:val="22"/>
              </w:rPr>
              <m:t>i</m:t>
            </m:r>
          </m:sub>
        </m:sSub>
      </m:oMath>
      <w:r w:rsidRPr="00B76BE0">
        <w:rPr>
          <w:rFonts w:ascii="Times New Roman" w:hAnsi="Times New Roman" w:cs="Times New Roman"/>
          <w:sz w:val="22"/>
          <w:szCs w:val="22"/>
        </w:rPr>
        <w:t xml:space="preserve"> is estimated as</w:t>
      </w:r>
    </w:p>
    <w:p w14:paraId="5F435F02" w14:textId="77777777" w:rsidR="00643453" w:rsidRPr="00B76BE0" w:rsidRDefault="00EB4E00" w:rsidP="00643453">
      <w:pPr>
        <w:pStyle w:val="Compact"/>
        <w:spacing w:line="360" w:lineRule="auto"/>
        <w:rPr>
          <w:rFonts w:ascii="Times New Roman" w:eastAsiaTheme="minorEastAsia" w:hAnsi="Times New Roman" w:cs="Times New Roman"/>
          <w:sz w:val="22"/>
          <w:szCs w:val="22"/>
        </w:rPr>
      </w:pPr>
      <m:oMathPara>
        <m:oMathParaPr>
          <m:jc m:val="center"/>
        </m:oMathParaPr>
        <m:oMath>
          <m:sSub>
            <m:sSubPr>
              <m:ctrlPr>
                <w:rPr>
                  <w:rFonts w:ascii="Cambria Math" w:hAnsi="Cambria Math" w:cs="Times New Roman"/>
                  <w:sz w:val="22"/>
                  <w:szCs w:val="22"/>
                </w:rPr>
              </m:ctrlPr>
            </m:sSubPr>
            <m:e>
              <m:groupChr>
                <m:groupChrPr>
                  <m:chr m:val="^"/>
                  <m:pos m:val="top"/>
                  <m:vertJc m:val="bot"/>
                  <m:ctrlPr>
                    <w:rPr>
                      <w:rFonts w:ascii="Cambria Math" w:hAnsi="Cambria Math" w:cs="Times New Roman"/>
                      <w:sz w:val="22"/>
                      <w:szCs w:val="22"/>
                    </w:rPr>
                  </m:ctrlPr>
                </m:groupChrPr>
                <m:e>
                  <m:r>
                    <w:rPr>
                      <w:rFonts w:ascii="Cambria Math" w:hAnsi="Cambria Math" w:cs="Times New Roman"/>
                      <w:sz w:val="22"/>
                      <w:szCs w:val="22"/>
                    </w:rPr>
                    <m:t>w</m:t>
                  </m:r>
                </m:e>
              </m:groupChr>
            </m:e>
            <m:sub>
              <m:r>
                <w:rPr>
                  <w:rFonts w:ascii="Cambria Math" w:hAnsi="Cambria Math" w:cs="Times New Roman"/>
                  <w:sz w:val="22"/>
                  <w:szCs w:val="22"/>
                </w:rPr>
                <m:t>j</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100000</m:t>
              </m:r>
            </m:den>
          </m:f>
          <m:nary>
            <m:naryPr>
              <m:chr m:val="∑"/>
              <m:limLoc m:val="undOvr"/>
              <m:ctrlPr>
                <w:rPr>
                  <w:rFonts w:ascii="Cambria Math" w:hAnsi="Cambria Math" w:cs="Times New Roman"/>
                  <w:sz w:val="22"/>
                  <w:szCs w:val="22"/>
                </w:rPr>
              </m:ctrlPr>
            </m:naryPr>
            <m:sub>
              <m:r>
                <w:rPr>
                  <w:rFonts w:ascii="Cambria Math" w:hAnsi="Cambria Math" w:cs="Times New Roman"/>
                  <w:sz w:val="22"/>
                  <w:szCs w:val="22"/>
                </w:rPr>
                <m:t>k=1</m:t>
              </m:r>
            </m:sub>
            <m:sup>
              <m:r>
                <w:rPr>
                  <w:rFonts w:ascii="Cambria Math" w:hAnsi="Cambria Math" w:cs="Times New Roman"/>
                  <w:sz w:val="22"/>
                  <w:szCs w:val="22"/>
                </w:rPr>
                <m:t>100000</m:t>
              </m:r>
            </m:sup>
            <m:e>
              <m:sSub>
                <m:sSubPr>
                  <m:ctrlPr>
                    <w:rPr>
                      <w:rFonts w:ascii="Cambria Math" w:hAnsi="Cambria Math" w:cs="Times New Roman"/>
                      <w:sz w:val="22"/>
                      <w:szCs w:val="22"/>
                    </w:rPr>
                  </m:ctrlPr>
                </m:sSubPr>
                <m:e>
                  <m:r>
                    <w:rPr>
                      <w:rFonts w:ascii="Cambria Math" w:hAnsi="Cambria Math" w:cs="Times New Roman"/>
                      <w:sz w:val="22"/>
                      <w:szCs w:val="22"/>
                    </w:rPr>
                    <m:t>w</m:t>
                  </m:r>
                </m:e>
                <m:sub>
                  <m:r>
                    <w:rPr>
                      <w:rFonts w:ascii="Cambria Math" w:hAnsi="Cambria Math" w:cs="Times New Roman"/>
                      <w:sz w:val="22"/>
                      <w:szCs w:val="22"/>
                    </w:rPr>
                    <m:t>j,k</m:t>
                  </m:r>
                </m:sub>
              </m:sSub>
            </m:e>
          </m:nary>
        </m:oMath>
      </m:oMathPara>
    </w:p>
    <w:p w14:paraId="36A0A944" w14:textId="77777777" w:rsidR="00643453" w:rsidRDefault="00643453" w:rsidP="00643453">
      <w:pPr>
        <w:pStyle w:val="Compact"/>
        <w:spacing w:line="360" w:lineRule="auto"/>
        <w:rPr>
          <w:rFonts w:ascii="Times New Roman" w:eastAsiaTheme="minorEastAsia" w:hAnsi="Times New Roman" w:cs="Times New Roman"/>
          <w:sz w:val="22"/>
          <w:szCs w:val="22"/>
        </w:rPr>
      </w:pPr>
    </w:p>
    <w:p w14:paraId="4C8A71DD" w14:textId="77777777" w:rsidR="00643453" w:rsidRDefault="00643453" w:rsidP="00643453">
      <w:pPr>
        <w:spacing w:after="160" w:line="259" w:lineRule="auto"/>
        <w:rPr>
          <w:b/>
        </w:rPr>
      </w:pPr>
      <w:bookmarkStart w:id="177" w:name="implementation"/>
      <w:bookmarkEnd w:id="177"/>
      <w:r>
        <w:rPr>
          <w:b/>
        </w:rPr>
        <w:br w:type="page"/>
      </w:r>
    </w:p>
    <w:p w14:paraId="763F1528" w14:textId="77777777" w:rsidR="00643453" w:rsidRPr="00B76BE0" w:rsidRDefault="00643453" w:rsidP="00921D8D">
      <w:pPr>
        <w:rPr>
          <w:b/>
        </w:rPr>
      </w:pPr>
      <w:r w:rsidRPr="00B76BE0">
        <w:rPr>
          <w:b/>
        </w:rPr>
        <w:t>Implementation</w:t>
      </w:r>
    </w:p>
    <w:p w14:paraId="6D1B929E" w14:textId="77777777" w:rsidR="00643453" w:rsidRPr="00B76BE0" w:rsidRDefault="00643453" w:rsidP="00921D8D">
      <w:pPr>
        <w:pStyle w:val="FirstParagraph"/>
        <w:spacing w:before="0" w:after="0" w:line="360" w:lineRule="auto"/>
        <w:jc w:val="both"/>
        <w:rPr>
          <w:rFonts w:ascii="Times New Roman" w:hAnsi="Times New Roman" w:cs="Times New Roman"/>
          <w:sz w:val="22"/>
          <w:szCs w:val="22"/>
        </w:rPr>
      </w:pPr>
      <w:r w:rsidRPr="00B76BE0">
        <w:rPr>
          <w:rFonts w:ascii="Times New Roman" w:hAnsi="Times New Roman" w:cs="Times New Roman"/>
          <w:sz w:val="22"/>
          <w:szCs w:val="22"/>
        </w:rPr>
        <w:t xml:space="preserve">We started with a sample of 2000 parameter values. Applying the screening based on the calculated </w:t>
      </w:r>
      <m:oMath>
        <m:sSub>
          <m:sSubPr>
            <m:ctrlPr>
              <w:rPr>
                <w:rFonts w:ascii="Cambria Math" w:hAnsi="Cambria Math" w:cs="Times New Roman"/>
                <w:sz w:val="22"/>
                <w:szCs w:val="22"/>
              </w:rPr>
            </m:ctrlPr>
          </m:sSubPr>
          <m:e>
            <m:r>
              <w:rPr>
                <w:rFonts w:ascii="Cambria Math" w:hAnsi="Cambria Math" w:cs="Times New Roman"/>
                <w:sz w:val="22"/>
                <w:szCs w:val="22"/>
              </w:rPr>
              <m:t>γ</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γ</m:t>
            </m:r>
          </m:e>
          <m:sub>
            <m:r>
              <w:rPr>
                <w:rFonts w:ascii="Cambria Math" w:hAnsi="Cambria Math" w:cs="Times New Roman"/>
                <w:sz w:val="22"/>
                <w:szCs w:val="22"/>
              </w:rPr>
              <m:t>2000</m:t>
            </m:r>
          </m:sub>
        </m:sSub>
      </m:oMath>
      <w:r w:rsidRPr="00B76BE0">
        <w:rPr>
          <w:rFonts w:ascii="Times New Roman" w:hAnsi="Times New Roman" w:cs="Times New Roman"/>
          <w:sz w:val="22"/>
          <w:szCs w:val="22"/>
        </w:rPr>
        <w:t xml:space="preserve"> values, we obtained a set </w:t>
      </w:r>
      <m:oMath>
        <m:sSub>
          <m:sSubPr>
            <m:ctrlPr>
              <w:rPr>
                <w:rFonts w:ascii="Cambria Math" w:hAnsi="Cambria Math" w:cs="Times New Roman"/>
                <w:sz w:val="22"/>
                <w:szCs w:val="22"/>
              </w:rPr>
            </m:ctrlPr>
          </m:sSubPr>
          <m:e>
            <m:r>
              <w:rPr>
                <w:rFonts w:ascii="Cambria Math" w:hAnsi="Cambria Math" w:cs="Times New Roman"/>
                <w:sz w:val="22"/>
                <w:szCs w:val="22"/>
              </w:rPr>
              <m:t>θ</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θ</m:t>
            </m:r>
          </m:e>
          <m:sub>
            <m:r>
              <w:rPr>
                <w:rFonts w:ascii="Cambria Math" w:hAnsi="Cambria Math" w:cs="Times New Roman"/>
                <w:sz w:val="22"/>
                <w:szCs w:val="22"/>
              </w:rPr>
              <m:t>509</m:t>
            </m:r>
          </m:sub>
        </m:sSub>
      </m:oMath>
      <w:r w:rsidRPr="00B76BE0">
        <w:rPr>
          <w:rFonts w:ascii="Times New Roman" w:hAnsi="Times New Roman" w:cs="Times New Roman"/>
          <w:sz w:val="22"/>
          <w:szCs w:val="22"/>
        </w:rPr>
        <w:t xml:space="preserve"> that were not rejected. The weighted ABC algorithm was used to estimate </w:t>
      </w:r>
      <m:oMath>
        <m:r>
          <w:rPr>
            <w:rFonts w:ascii="Cambria Math" w:hAnsi="Cambria Math" w:cs="Times New Roman"/>
            <w:sz w:val="22"/>
            <w:szCs w:val="22"/>
          </w:rPr>
          <m:t>E(Y|C)</m:t>
        </m:r>
      </m:oMath>
      <w:r w:rsidRPr="00B76BE0">
        <w:rPr>
          <w:rFonts w:ascii="Times New Roman" w:hAnsi="Times New Roman" w:cs="Times New Roman"/>
          <w:sz w:val="22"/>
          <w:szCs w:val="22"/>
        </w:rPr>
        <w:t xml:space="preserve">, and the (conservative) confidence interval using the simple rejection ABC algorithm was calculated for this estimate. </w:t>
      </w:r>
      <w:r w:rsidRPr="00080F28">
        <w:rPr>
          <w:rFonts w:ascii="Times New Roman" w:hAnsi="Times New Roman" w:cs="Times New Roman"/>
          <w:sz w:val="22"/>
          <w:szCs w:val="22"/>
        </w:rPr>
        <w:t xml:space="preserve">Applying the simple rejection ABC algorithm reduces the sample size from 509 candidate parameter values to </w:t>
      </w:r>
      <w:r>
        <w:rPr>
          <w:rFonts w:ascii="Times New Roman" w:hAnsi="Times New Roman" w:cs="Times New Roman"/>
          <w:sz w:val="22"/>
          <w:szCs w:val="22"/>
        </w:rPr>
        <w:t>119</w:t>
      </w:r>
      <w:r w:rsidRPr="00080F28">
        <w:rPr>
          <w:rFonts w:ascii="Times New Roman" w:hAnsi="Times New Roman" w:cs="Times New Roman"/>
          <w:sz w:val="22"/>
          <w:szCs w:val="22"/>
        </w:rPr>
        <w:t xml:space="preserve"> </w:t>
      </w:r>
      <w:r>
        <w:rPr>
          <w:rFonts w:ascii="Times New Roman" w:hAnsi="Times New Roman" w:cs="Times New Roman"/>
          <w:sz w:val="22"/>
          <w:szCs w:val="22"/>
        </w:rPr>
        <w:t>when it was assumed that the P96 group could be infectious from birth and 134 when it was assumed that the P96 group were not infectious from birth</w:t>
      </w:r>
      <w:r w:rsidRPr="00080F28">
        <w:rPr>
          <w:rFonts w:ascii="Times New Roman" w:hAnsi="Times New Roman" w:cs="Times New Roman"/>
          <w:sz w:val="22"/>
          <w:szCs w:val="22"/>
        </w:rPr>
        <w:t xml:space="preserve">; the estimator </w:t>
      </w:r>
      <m:oMath>
        <m:bar>
          <m:barPr>
            <m:pos m:val="top"/>
            <m:ctrlPr>
              <w:rPr>
                <w:rFonts w:ascii="Cambria Math" w:hAnsi="Cambria Math" w:cs="Times New Roman"/>
                <w:sz w:val="22"/>
                <w:szCs w:val="22"/>
              </w:rPr>
            </m:ctrlPr>
          </m:barPr>
          <m:e>
            <m:r>
              <w:rPr>
                <w:rFonts w:ascii="Cambria Math" w:hAnsi="Cambria Math" w:cs="Times New Roman"/>
                <w:sz w:val="22"/>
                <w:szCs w:val="22"/>
              </w:rPr>
              <m:t>Y</m:t>
            </m:r>
          </m:e>
        </m:bar>
      </m:oMath>
      <w:r>
        <w:rPr>
          <w:rFonts w:ascii="Times New Roman" w:eastAsiaTheme="minorEastAsia" w:hAnsi="Times New Roman" w:cs="Times New Roman"/>
          <w:sz w:val="22"/>
          <w:szCs w:val="22"/>
        </w:rPr>
        <w:t xml:space="preserve"> </w:t>
      </w:r>
      <w:r w:rsidRPr="00080F28">
        <w:rPr>
          <w:rFonts w:ascii="Times New Roman" w:hAnsi="Times New Roman" w:cs="Times New Roman"/>
          <w:sz w:val="22"/>
          <w:szCs w:val="22"/>
        </w:rPr>
        <w:t xml:space="preserve">would be based on </w:t>
      </w:r>
      <w:r>
        <w:rPr>
          <w:rFonts w:ascii="Times New Roman" w:hAnsi="Times New Roman" w:cs="Times New Roman"/>
          <w:sz w:val="22"/>
          <w:szCs w:val="22"/>
        </w:rPr>
        <w:t xml:space="preserve">119 and </w:t>
      </w:r>
      <w:r w:rsidRPr="00080F28">
        <w:rPr>
          <w:rFonts w:ascii="Times New Roman" w:hAnsi="Times New Roman" w:cs="Times New Roman"/>
          <w:sz w:val="22"/>
          <w:szCs w:val="22"/>
        </w:rPr>
        <w:t>13</w:t>
      </w:r>
      <w:r>
        <w:rPr>
          <w:rFonts w:ascii="Times New Roman" w:hAnsi="Times New Roman" w:cs="Times New Roman"/>
          <w:sz w:val="22"/>
          <w:szCs w:val="22"/>
        </w:rPr>
        <w:t>4</w:t>
      </w:r>
      <w:r w:rsidRPr="00080F28">
        <w:rPr>
          <w:rFonts w:ascii="Times New Roman" w:hAnsi="Times New Roman" w:cs="Times New Roman"/>
          <w:sz w:val="22"/>
          <w:szCs w:val="22"/>
        </w:rPr>
        <w:t xml:space="preserve"> model runs</w:t>
      </w:r>
      <w:r>
        <w:rPr>
          <w:rFonts w:ascii="Times New Roman" w:hAnsi="Times New Roman" w:cs="Times New Roman"/>
          <w:sz w:val="22"/>
          <w:szCs w:val="22"/>
        </w:rPr>
        <w:t xml:space="preserve"> respectively</w:t>
      </w:r>
      <w:r w:rsidRPr="00080F28">
        <w:rPr>
          <w:rFonts w:ascii="Times New Roman" w:hAnsi="Times New Roman" w:cs="Times New Roman"/>
          <w:sz w:val="22"/>
          <w:szCs w:val="22"/>
        </w:rPr>
        <w:t>.</w:t>
      </w:r>
    </w:p>
    <w:p w14:paraId="42DF04E9" w14:textId="28872A47" w:rsidR="001771CF" w:rsidRPr="00643453" w:rsidRDefault="001771CF" w:rsidP="00643453">
      <w:pPr>
        <w:rPr>
          <w:rFonts w:cs="Times New Roman"/>
          <w:lang w:val="en-US"/>
        </w:rPr>
      </w:pPr>
    </w:p>
    <w:sectPr w:rsidR="001771CF" w:rsidRPr="00643453" w:rsidSect="00931EC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10278" w14:textId="77777777" w:rsidR="00741B5A" w:rsidRDefault="00741B5A" w:rsidP="000C07FF">
      <w:pPr>
        <w:spacing w:line="240" w:lineRule="auto"/>
      </w:pPr>
      <w:r>
        <w:separator/>
      </w:r>
    </w:p>
  </w:endnote>
  <w:endnote w:type="continuationSeparator" w:id="0">
    <w:p w14:paraId="5C363C76" w14:textId="77777777" w:rsidR="00741B5A" w:rsidRDefault="00741B5A" w:rsidP="000C07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dvTrebu-R">
    <w:altName w:val="Cambria"/>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2842"/>
      <w:docPartObj>
        <w:docPartGallery w:val="Page Numbers (Bottom of Page)"/>
        <w:docPartUnique/>
      </w:docPartObj>
    </w:sdtPr>
    <w:sdtEndPr>
      <w:rPr>
        <w:noProof/>
      </w:rPr>
    </w:sdtEndPr>
    <w:sdtContent>
      <w:p w14:paraId="12BBCF61" w14:textId="6C6D4E1B" w:rsidR="00741B5A" w:rsidRDefault="00741B5A" w:rsidP="00EF722F">
        <w:pPr>
          <w:pStyle w:val="Footer"/>
          <w:jc w:val="right"/>
        </w:pPr>
        <w:r>
          <w:fldChar w:fldCharType="begin"/>
        </w:r>
        <w:r>
          <w:instrText xml:space="preserve"> PAGE   \* MERGEFORMAT </w:instrText>
        </w:r>
        <w:r>
          <w:fldChar w:fldCharType="separate"/>
        </w:r>
        <w:r w:rsidR="0006075E">
          <w:rPr>
            <w:noProof/>
          </w:rPr>
          <w:t>5</w:t>
        </w:r>
        <w:r>
          <w:rPr>
            <w:noProof/>
          </w:rPr>
          <w:fldChar w:fldCharType="end"/>
        </w:r>
      </w:p>
    </w:sdtContent>
  </w:sdt>
  <w:p w14:paraId="18E24D22" w14:textId="77777777" w:rsidR="00741B5A" w:rsidRDefault="00741B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4CFC2" w14:textId="77777777" w:rsidR="00741B5A" w:rsidRDefault="00741B5A" w:rsidP="000C07FF">
      <w:pPr>
        <w:spacing w:line="240" w:lineRule="auto"/>
      </w:pPr>
      <w:r>
        <w:separator/>
      </w:r>
    </w:p>
  </w:footnote>
  <w:footnote w:type="continuationSeparator" w:id="0">
    <w:p w14:paraId="6A74A0C3" w14:textId="77777777" w:rsidR="00741B5A" w:rsidRDefault="00741B5A" w:rsidP="000C07FF">
      <w:pPr>
        <w:spacing w:line="240" w:lineRule="auto"/>
      </w:pPr>
      <w:r>
        <w:continuationSeparator/>
      </w:r>
    </w:p>
  </w:footnote>
  <w:footnote w:id="1">
    <w:p w14:paraId="6F4259DB" w14:textId="77777777" w:rsidR="00741B5A" w:rsidRPr="00180229" w:rsidRDefault="00741B5A" w:rsidP="002030E7">
      <w:pPr>
        <w:pStyle w:val="FootnoteText"/>
        <w:rPr>
          <w:rFonts w:ascii="Times New Roman" w:hAnsi="Times New Roman"/>
          <w:lang w:val="en-US"/>
        </w:rPr>
      </w:pPr>
      <w:r w:rsidRPr="00180229">
        <w:rPr>
          <w:rStyle w:val="FootnoteReference"/>
          <w:rFonts w:ascii="Times New Roman" w:hAnsi="Times New Roman"/>
        </w:rPr>
        <w:footnoteRef/>
      </w:r>
      <w:r w:rsidRPr="00180229">
        <w:rPr>
          <w:rFonts w:ascii="Times New Roman" w:hAnsi="Times New Roman"/>
        </w:rPr>
        <w:t xml:space="preserve"> National CJD Research &amp; Surveillance Unit (2016), </w:t>
      </w:r>
      <w:r w:rsidRPr="00180229">
        <w:rPr>
          <w:rFonts w:ascii="Times New Roman" w:hAnsi="Times New Roman"/>
          <w:lang w:val="en-US"/>
        </w:rPr>
        <w:t>available at https://www.cjd.ed.ac.uk/sites/default/files/report25.pdf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7B07E" w14:textId="77777777" w:rsidR="00741B5A" w:rsidRPr="00837A37" w:rsidRDefault="00741B5A" w:rsidP="0084515B">
    <w:pPr>
      <w:pStyle w:val="Header"/>
      <w:jc w:val="right"/>
    </w:pPr>
    <w:r>
      <w:t>Confidential until published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0B626" w14:textId="77777777" w:rsidR="00741B5A" w:rsidRPr="00837A37" w:rsidRDefault="00741B5A" w:rsidP="00B53489">
    <w:pPr>
      <w:pStyle w:val="Header"/>
      <w:jc w:val="right"/>
    </w:pPr>
    <w:r>
      <w:t>Confidential until published</w:t>
    </w:r>
  </w:p>
  <w:p w14:paraId="1138C825" w14:textId="77777777" w:rsidR="00741B5A" w:rsidRDefault="00741B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FCDBC1"/>
    <w:multiLevelType w:val="multilevel"/>
    <w:tmpl w:val="EFEA745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AD27679A"/>
    <w:multiLevelType w:val="multilevel"/>
    <w:tmpl w:val="307E9B7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F30B5BC0"/>
    <w:multiLevelType w:val="multilevel"/>
    <w:tmpl w:val="D3420AD8"/>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2BB79EC"/>
    <w:multiLevelType w:val="hybridMultilevel"/>
    <w:tmpl w:val="57C6A80E"/>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05D23"/>
    <w:multiLevelType w:val="hybridMultilevel"/>
    <w:tmpl w:val="D7BAA0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553813"/>
    <w:multiLevelType w:val="hybridMultilevel"/>
    <w:tmpl w:val="CD0CC90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D936FBF"/>
    <w:multiLevelType w:val="hybridMultilevel"/>
    <w:tmpl w:val="7374C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9E596A"/>
    <w:multiLevelType w:val="hybridMultilevel"/>
    <w:tmpl w:val="1EF88654"/>
    <w:lvl w:ilvl="0" w:tplc="08090001">
      <w:start w:val="1"/>
      <w:numFmt w:val="bullet"/>
      <w:lvlText w:val=""/>
      <w:lvlJc w:val="left"/>
      <w:pPr>
        <w:ind w:left="720" w:hanging="360"/>
      </w:pPr>
      <w:rPr>
        <w:rFonts w:ascii="Symbol" w:hAnsi="Symbol" w:hint="default"/>
      </w:rPr>
    </w:lvl>
    <w:lvl w:ilvl="1" w:tplc="CDC0EB88">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EB5546"/>
    <w:multiLevelType w:val="multilevel"/>
    <w:tmpl w:val="5EB48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775208"/>
    <w:multiLevelType w:val="hybridMultilevel"/>
    <w:tmpl w:val="64EE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9C4B53"/>
    <w:multiLevelType w:val="hybridMultilevel"/>
    <w:tmpl w:val="FBB263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16A107D"/>
    <w:multiLevelType w:val="hybridMultilevel"/>
    <w:tmpl w:val="90A0F1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1F1BC3"/>
    <w:multiLevelType w:val="hybridMultilevel"/>
    <w:tmpl w:val="98BE320C"/>
    <w:lvl w:ilvl="0" w:tplc="08090001">
      <w:start w:val="1"/>
      <w:numFmt w:val="bullet"/>
      <w:lvlText w:val=""/>
      <w:lvlJc w:val="left"/>
      <w:pPr>
        <w:ind w:left="360" w:hanging="360"/>
      </w:pPr>
      <w:rPr>
        <w:rFonts w:ascii="Symbol" w:hAnsi="Symbol" w:hint="default"/>
      </w:rPr>
    </w:lvl>
    <w:lvl w:ilvl="1" w:tplc="D2A47CE2">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36082F"/>
    <w:multiLevelType w:val="hybridMultilevel"/>
    <w:tmpl w:val="C8448D8E"/>
    <w:lvl w:ilvl="0" w:tplc="0A70A80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AB635E0"/>
    <w:multiLevelType w:val="hybridMultilevel"/>
    <w:tmpl w:val="C79EA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E730A0"/>
    <w:multiLevelType w:val="hybridMultilevel"/>
    <w:tmpl w:val="569C3614"/>
    <w:lvl w:ilvl="0" w:tplc="B8B6AD70">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6A93E21"/>
    <w:multiLevelType w:val="hybridMultilevel"/>
    <w:tmpl w:val="C7AA6EA4"/>
    <w:lvl w:ilvl="0" w:tplc="BCEA0C4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D4F34AB"/>
    <w:multiLevelType w:val="multilevel"/>
    <w:tmpl w:val="A87AF42C"/>
    <w:lvl w:ilvl="0">
      <w:start w:val="1"/>
      <w:numFmt w:val="decimal"/>
      <w:lvlText w:val="%1"/>
      <w:lvlJc w:val="left"/>
      <w:pPr>
        <w:ind w:left="709" w:hanging="709"/>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b w:val="0"/>
        <w:i/>
      </w:rPr>
    </w:lvl>
    <w:lvl w:ilvl="3">
      <w:start w:val="1"/>
      <w:numFmt w:val="decimal"/>
      <w:suff w:val="space"/>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FFD2036"/>
    <w:multiLevelType w:val="hybridMultilevel"/>
    <w:tmpl w:val="FFFA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44131F"/>
    <w:multiLevelType w:val="hybridMultilevel"/>
    <w:tmpl w:val="96E42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B63AD1"/>
    <w:multiLevelType w:val="hybridMultilevel"/>
    <w:tmpl w:val="2596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02590D"/>
    <w:multiLevelType w:val="hybridMultilevel"/>
    <w:tmpl w:val="FDAE98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7F7A66"/>
    <w:multiLevelType w:val="hybridMultilevel"/>
    <w:tmpl w:val="99C249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733B1F"/>
    <w:multiLevelType w:val="hybridMultilevel"/>
    <w:tmpl w:val="8AE4C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73108B"/>
    <w:multiLevelType w:val="hybridMultilevel"/>
    <w:tmpl w:val="91284E16"/>
    <w:lvl w:ilvl="0" w:tplc="2A58FF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3464F8"/>
    <w:multiLevelType w:val="hybridMultilevel"/>
    <w:tmpl w:val="9626D6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FA5B95"/>
    <w:multiLevelType w:val="hybridMultilevel"/>
    <w:tmpl w:val="60ECB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ED0564"/>
    <w:multiLevelType w:val="multilevel"/>
    <w:tmpl w:val="5EC29B1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8" w15:restartNumberingAfterBreak="0">
    <w:nsid w:val="696D4C69"/>
    <w:multiLevelType w:val="hybridMultilevel"/>
    <w:tmpl w:val="B8BC8D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4D292C"/>
    <w:multiLevelType w:val="hybridMultilevel"/>
    <w:tmpl w:val="6E8C772A"/>
    <w:lvl w:ilvl="0" w:tplc="63B20014">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11248E"/>
    <w:multiLevelType w:val="hybridMultilevel"/>
    <w:tmpl w:val="271A9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91690A"/>
    <w:multiLevelType w:val="hybridMultilevel"/>
    <w:tmpl w:val="FBB263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0954B0A"/>
    <w:multiLevelType w:val="hybridMultilevel"/>
    <w:tmpl w:val="915018D2"/>
    <w:lvl w:ilvl="0" w:tplc="D0FE6106">
      <w:start w:val="1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A1FBDC"/>
    <w:multiLevelType w:val="multilevel"/>
    <w:tmpl w:val="3218269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4" w15:restartNumberingAfterBreak="0">
    <w:nsid w:val="764500C8"/>
    <w:multiLevelType w:val="hybridMultilevel"/>
    <w:tmpl w:val="5CF0BC8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C3EA6"/>
    <w:multiLevelType w:val="hybridMultilevel"/>
    <w:tmpl w:val="41724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29"/>
  </w:num>
  <w:num w:numId="4">
    <w:abstractNumId w:val="13"/>
  </w:num>
  <w:num w:numId="5">
    <w:abstractNumId w:val="32"/>
  </w:num>
  <w:num w:numId="6">
    <w:abstractNumId w:val="18"/>
  </w:num>
  <w:num w:numId="7">
    <w:abstractNumId w:val="5"/>
  </w:num>
  <w:num w:numId="8">
    <w:abstractNumId w:val="20"/>
  </w:num>
  <w:num w:numId="9">
    <w:abstractNumId w:val="3"/>
  </w:num>
  <w:num w:numId="10">
    <w:abstractNumId w:val="31"/>
  </w:num>
  <w:num w:numId="11">
    <w:abstractNumId w:val="10"/>
  </w:num>
  <w:num w:numId="12">
    <w:abstractNumId w:val="6"/>
  </w:num>
  <w:num w:numId="13">
    <w:abstractNumId w:val="14"/>
  </w:num>
  <w:num w:numId="14">
    <w:abstractNumId w:val="9"/>
  </w:num>
  <w:num w:numId="15">
    <w:abstractNumId w:val="16"/>
  </w:num>
  <w:num w:numId="16">
    <w:abstractNumId w:val="15"/>
  </w:num>
  <w:num w:numId="17">
    <w:abstractNumId w:val="23"/>
  </w:num>
  <w:num w:numId="18">
    <w:abstractNumId w:val="12"/>
  </w:num>
  <w:num w:numId="19">
    <w:abstractNumId w:val="7"/>
  </w:num>
  <w:num w:numId="20">
    <w:abstractNumId w:val="35"/>
  </w:num>
  <w:num w:numId="21">
    <w:abstractNumId w:val="21"/>
  </w:num>
  <w:num w:numId="22">
    <w:abstractNumId w:val="34"/>
  </w:num>
  <w:num w:numId="23">
    <w:abstractNumId w:val="30"/>
  </w:num>
  <w:num w:numId="24">
    <w:abstractNumId w:val="8"/>
  </w:num>
  <w:num w:numId="25">
    <w:abstractNumId w:val="11"/>
  </w:num>
  <w:num w:numId="26">
    <w:abstractNumId w:val="17"/>
  </w:num>
  <w:num w:numId="27">
    <w:abstractNumId w:val="4"/>
  </w:num>
  <w:num w:numId="28">
    <w:abstractNumId w:val="26"/>
  </w:num>
  <w:num w:numId="29">
    <w:abstractNumId w:val="19"/>
  </w:num>
  <w:num w:numId="30">
    <w:abstractNumId w:val="28"/>
  </w:num>
  <w:num w:numId="31">
    <w:abstractNumId w:val="22"/>
  </w:num>
  <w:num w:numId="32">
    <w:abstractNumId w:val="1"/>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8">
    <w:abstractNumId w:val="0"/>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activeWritingStyle w:appName="MSWord" w:lang="en" w:vendorID="64" w:dllVersion="6" w:nlCheck="1" w:checkStyle="1"/>
  <w:activeWritingStyle w:appName="MSWord" w:lang="en-CA" w:vendorID="64" w:dllVersion="6" w:nlCheck="1" w:checkStyle="0"/>
  <w:activeWritingStyle w:appName="MSWord" w:lang="fr-FR" w:vendorID="64" w:dllVersion="6" w:nlCheck="1" w:checkStyle="0"/>
  <w:activeWritingStyle w:appName="MSWord" w:lang="es-ES_tradnl"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fr-FR" w:vendorID="64" w:dllVersion="409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DSU style based on NIHR-Journals-Library September 2016&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p0pptazv05wtesfz5vrzsj2p0rv09ttsa9&quot;&gt;cjd@sheffield.ac.uk&lt;record-ids&gt;&lt;item&gt;202&lt;/item&gt;&lt;item&gt;553&lt;/item&gt;&lt;item&gt;576&lt;/item&gt;&lt;item&gt;579&lt;/item&gt;&lt;item&gt;580&lt;/item&gt;&lt;item&gt;581&lt;/item&gt;&lt;item&gt;583&lt;/item&gt;&lt;item&gt;799&lt;/item&gt;&lt;item&gt;938&lt;/item&gt;&lt;item&gt;947&lt;/item&gt;&lt;item&gt;953&lt;/item&gt;&lt;item&gt;1025&lt;/item&gt;&lt;item&gt;1912&lt;/item&gt;&lt;item&gt;1918&lt;/item&gt;&lt;item&gt;1934&lt;/item&gt;&lt;item&gt;1947&lt;/item&gt;&lt;item&gt;1966&lt;/item&gt;&lt;item&gt;1969&lt;/item&gt;&lt;item&gt;1975&lt;/item&gt;&lt;item&gt;1976&lt;/item&gt;&lt;item&gt;1978&lt;/item&gt;&lt;item&gt;1996&lt;/item&gt;&lt;item&gt;1997&lt;/item&gt;&lt;item&gt;2001&lt;/item&gt;&lt;item&gt;2006&lt;/item&gt;&lt;item&gt;2013&lt;/item&gt;&lt;item&gt;2014&lt;/item&gt;&lt;item&gt;2025&lt;/item&gt;&lt;item&gt;2031&lt;/item&gt;&lt;item&gt;2034&lt;/item&gt;&lt;item&gt;2045&lt;/item&gt;&lt;item&gt;2056&lt;/item&gt;&lt;item&gt;2062&lt;/item&gt;&lt;item&gt;2066&lt;/item&gt;&lt;item&gt;2080&lt;/item&gt;&lt;item&gt;2593&lt;/item&gt;&lt;item&gt;4605&lt;/item&gt;&lt;item&gt;5367&lt;/item&gt;&lt;item&gt;5681&lt;/item&gt;&lt;item&gt;5715&lt;/item&gt;&lt;item&gt;7042&lt;/item&gt;&lt;item&gt;7884&lt;/item&gt;&lt;item&gt;7950&lt;/item&gt;&lt;item&gt;7960&lt;/item&gt;&lt;item&gt;7970&lt;/item&gt;&lt;item&gt;7978&lt;/item&gt;&lt;item&gt;7988&lt;/item&gt;&lt;item&gt;7990&lt;/item&gt;&lt;item&gt;7995&lt;/item&gt;&lt;item&gt;7997&lt;/item&gt;&lt;item&gt;8010&lt;/item&gt;&lt;item&gt;8012&lt;/item&gt;&lt;item&gt;8022&lt;/item&gt;&lt;item&gt;8034&lt;/item&gt;&lt;item&gt;8045&lt;/item&gt;&lt;item&gt;8065&lt;/item&gt;&lt;item&gt;8072&lt;/item&gt;&lt;item&gt;8076&lt;/item&gt;&lt;item&gt;8079&lt;/item&gt;&lt;item&gt;8081&lt;/item&gt;&lt;item&gt;8085&lt;/item&gt;&lt;item&gt;8091&lt;/item&gt;&lt;item&gt;8094&lt;/item&gt;&lt;item&gt;8101&lt;/item&gt;&lt;item&gt;8104&lt;/item&gt;&lt;item&gt;8107&lt;/item&gt;&lt;item&gt;8127&lt;/item&gt;&lt;item&gt;8131&lt;/item&gt;&lt;item&gt;8136&lt;/item&gt;&lt;item&gt;8152&lt;/item&gt;&lt;item&gt;8155&lt;/item&gt;&lt;item&gt;8156&lt;/item&gt;&lt;item&gt;8158&lt;/item&gt;&lt;item&gt;8167&lt;/item&gt;&lt;item&gt;8172&lt;/item&gt;&lt;item&gt;8180&lt;/item&gt;&lt;item&gt;8184&lt;/item&gt;&lt;item&gt;8186&lt;/item&gt;&lt;item&gt;8200&lt;/item&gt;&lt;item&gt;8210&lt;/item&gt;&lt;item&gt;8212&lt;/item&gt;&lt;item&gt;8226&lt;/item&gt;&lt;item&gt;8231&lt;/item&gt;&lt;item&gt;8241&lt;/item&gt;&lt;item&gt;8246&lt;/item&gt;&lt;item&gt;8258&lt;/item&gt;&lt;item&gt;8267&lt;/item&gt;&lt;item&gt;8280&lt;/item&gt;&lt;item&gt;8281&lt;/item&gt;&lt;item&gt;8285&lt;/item&gt;&lt;item&gt;8287&lt;/item&gt;&lt;item&gt;8294&lt;/item&gt;&lt;item&gt;8295&lt;/item&gt;&lt;item&gt;8296&lt;/item&gt;&lt;item&gt;8297&lt;/item&gt;&lt;item&gt;8299&lt;/item&gt;&lt;item&gt;8311&lt;/item&gt;&lt;item&gt;8314&lt;/item&gt;&lt;item&gt;8318&lt;/item&gt;&lt;item&gt;8319&lt;/item&gt;&lt;item&gt;8321&lt;/item&gt;&lt;item&gt;8337&lt;/item&gt;&lt;item&gt;8339&lt;/item&gt;&lt;item&gt;8347&lt;/item&gt;&lt;item&gt;8353&lt;/item&gt;&lt;item&gt;8358&lt;/item&gt;&lt;item&gt;8369&lt;/item&gt;&lt;item&gt;8370&lt;/item&gt;&lt;item&gt;8372&lt;/item&gt;&lt;item&gt;8373&lt;/item&gt;&lt;item&gt;8374&lt;/item&gt;&lt;item&gt;8376&lt;/item&gt;&lt;item&gt;8382&lt;/item&gt;&lt;item&gt;8384&lt;/item&gt;&lt;item&gt;8388&lt;/item&gt;&lt;item&gt;8390&lt;/item&gt;&lt;item&gt;8391&lt;/item&gt;&lt;item&gt;8397&lt;/item&gt;&lt;item&gt;8406&lt;/item&gt;&lt;item&gt;8422&lt;/item&gt;&lt;item&gt;8423&lt;/item&gt;&lt;item&gt;8432&lt;/item&gt;&lt;item&gt;8439&lt;/item&gt;&lt;item&gt;8452&lt;/item&gt;&lt;item&gt;8471&lt;/item&gt;&lt;item&gt;8477&lt;/item&gt;&lt;item&gt;8484&lt;/item&gt;&lt;item&gt;8485&lt;/item&gt;&lt;item&gt;8491&lt;/item&gt;&lt;item&gt;8493&lt;/item&gt;&lt;item&gt;8496&lt;/item&gt;&lt;item&gt;8501&lt;/item&gt;&lt;item&gt;8503&lt;/item&gt;&lt;item&gt;8507&lt;/item&gt;&lt;item&gt;8510&lt;/item&gt;&lt;item&gt;8512&lt;/item&gt;&lt;item&gt;8514&lt;/item&gt;&lt;item&gt;8521&lt;/item&gt;&lt;item&gt;8522&lt;/item&gt;&lt;item&gt;8524&lt;/item&gt;&lt;item&gt;8525&lt;/item&gt;&lt;item&gt;8532&lt;/item&gt;&lt;item&gt;8539&lt;/item&gt;&lt;item&gt;8555&lt;/item&gt;&lt;item&gt;8569&lt;/item&gt;&lt;item&gt;8577&lt;/item&gt;&lt;item&gt;8588&lt;/item&gt;&lt;item&gt;8595&lt;/item&gt;&lt;item&gt;8596&lt;/item&gt;&lt;item&gt;8597&lt;/item&gt;&lt;item&gt;8625&lt;/item&gt;&lt;item&gt;8691&lt;/item&gt;&lt;item&gt;8728&lt;/item&gt;&lt;item&gt;8822&lt;/item&gt;&lt;item&gt;8833&lt;/item&gt;&lt;item&gt;8835&lt;/item&gt;&lt;item&gt;8845&lt;/item&gt;&lt;item&gt;8928&lt;/item&gt;&lt;item&gt;8931&lt;/item&gt;&lt;item&gt;8940&lt;/item&gt;&lt;item&gt;8943&lt;/item&gt;&lt;item&gt;8944&lt;/item&gt;&lt;item&gt;9048&lt;/item&gt;&lt;item&gt;9050&lt;/item&gt;&lt;item&gt;9156&lt;/item&gt;&lt;item&gt;9158&lt;/item&gt;&lt;item&gt;9398&lt;/item&gt;&lt;item&gt;9404&lt;/item&gt;&lt;item&gt;9421&lt;/item&gt;&lt;item&gt;9490&lt;/item&gt;&lt;item&gt;9730&lt;/item&gt;&lt;item&gt;9731&lt;/item&gt;&lt;item&gt;9732&lt;/item&gt;&lt;item&gt;9733&lt;/item&gt;&lt;item&gt;9735&lt;/item&gt;&lt;item&gt;9802&lt;/item&gt;&lt;item&gt;9865&lt;/item&gt;&lt;item&gt;10239&lt;/item&gt;&lt;item&gt;10240&lt;/item&gt;&lt;item&gt;10241&lt;/item&gt;&lt;item&gt;10242&lt;/item&gt;&lt;item&gt;10243&lt;/item&gt;&lt;item&gt;10245&lt;/item&gt;&lt;item&gt;10246&lt;/item&gt;&lt;item&gt;10247&lt;/item&gt;&lt;item&gt;10249&lt;/item&gt;&lt;item&gt;10250&lt;/item&gt;&lt;item&gt;10251&lt;/item&gt;&lt;item&gt;10252&lt;/item&gt;&lt;item&gt;10254&lt;/item&gt;&lt;item&gt;10255&lt;/item&gt;&lt;item&gt;10256&lt;/item&gt;&lt;item&gt;10257&lt;/item&gt;&lt;item&gt;10258&lt;/item&gt;&lt;item&gt;10260&lt;/item&gt;&lt;item&gt;10263&lt;/item&gt;&lt;item&gt;10264&lt;/item&gt;&lt;item&gt;10265&lt;/item&gt;&lt;item&gt;10266&lt;/item&gt;&lt;item&gt;10269&lt;/item&gt;&lt;item&gt;10270&lt;/item&gt;&lt;item&gt;10271&lt;/item&gt;&lt;item&gt;10272&lt;/item&gt;&lt;item&gt;10273&lt;/item&gt;&lt;item&gt;10274&lt;/item&gt;&lt;item&gt;10275&lt;/item&gt;&lt;item&gt;10277&lt;/item&gt;&lt;item&gt;10278&lt;/item&gt;&lt;item&gt;10279&lt;/item&gt;&lt;item&gt;10280&lt;/item&gt;&lt;item&gt;10281&lt;/item&gt;&lt;item&gt;10282&lt;/item&gt;&lt;item&gt;10284&lt;/item&gt;&lt;item&gt;10286&lt;/item&gt;&lt;item&gt;10287&lt;/item&gt;&lt;item&gt;10288&lt;/item&gt;&lt;/record-ids&gt;&lt;/item&gt;&lt;/Libraries&gt;"/>
  </w:docVars>
  <w:rsids>
    <w:rsidRoot w:val="001771CF"/>
    <w:rsid w:val="0000001A"/>
    <w:rsid w:val="00000BF5"/>
    <w:rsid w:val="00002989"/>
    <w:rsid w:val="00004F20"/>
    <w:rsid w:val="00007540"/>
    <w:rsid w:val="00010E7E"/>
    <w:rsid w:val="000151F2"/>
    <w:rsid w:val="00017B68"/>
    <w:rsid w:val="0002017B"/>
    <w:rsid w:val="00023D1B"/>
    <w:rsid w:val="00024060"/>
    <w:rsid w:val="00025B99"/>
    <w:rsid w:val="00033F16"/>
    <w:rsid w:val="00035D09"/>
    <w:rsid w:val="0003660C"/>
    <w:rsid w:val="00036703"/>
    <w:rsid w:val="000369E9"/>
    <w:rsid w:val="00037911"/>
    <w:rsid w:val="00040488"/>
    <w:rsid w:val="000445E3"/>
    <w:rsid w:val="0005344C"/>
    <w:rsid w:val="00056312"/>
    <w:rsid w:val="0006075E"/>
    <w:rsid w:val="00062291"/>
    <w:rsid w:val="00065218"/>
    <w:rsid w:val="00072D8B"/>
    <w:rsid w:val="00074D8B"/>
    <w:rsid w:val="000778B0"/>
    <w:rsid w:val="0008439D"/>
    <w:rsid w:val="00084E92"/>
    <w:rsid w:val="000859CB"/>
    <w:rsid w:val="00085F5B"/>
    <w:rsid w:val="00087A9C"/>
    <w:rsid w:val="000917F0"/>
    <w:rsid w:val="00091B14"/>
    <w:rsid w:val="000930F9"/>
    <w:rsid w:val="0009633C"/>
    <w:rsid w:val="000A0B12"/>
    <w:rsid w:val="000A18AA"/>
    <w:rsid w:val="000A21F8"/>
    <w:rsid w:val="000A57E2"/>
    <w:rsid w:val="000B1F01"/>
    <w:rsid w:val="000B351D"/>
    <w:rsid w:val="000B37ED"/>
    <w:rsid w:val="000B3FED"/>
    <w:rsid w:val="000B5A91"/>
    <w:rsid w:val="000B5D15"/>
    <w:rsid w:val="000B635E"/>
    <w:rsid w:val="000B6F62"/>
    <w:rsid w:val="000C07FF"/>
    <w:rsid w:val="000C3E82"/>
    <w:rsid w:val="000C5770"/>
    <w:rsid w:val="000C5D00"/>
    <w:rsid w:val="000D2CA8"/>
    <w:rsid w:val="000D314A"/>
    <w:rsid w:val="000D6EA7"/>
    <w:rsid w:val="000D7838"/>
    <w:rsid w:val="000E1275"/>
    <w:rsid w:val="000E1CDE"/>
    <w:rsid w:val="000E1D31"/>
    <w:rsid w:val="000E4E0B"/>
    <w:rsid w:val="000E7C25"/>
    <w:rsid w:val="000F0243"/>
    <w:rsid w:val="000F0871"/>
    <w:rsid w:val="000F443E"/>
    <w:rsid w:val="000F5A1A"/>
    <w:rsid w:val="00100BB2"/>
    <w:rsid w:val="0010265E"/>
    <w:rsid w:val="001037B5"/>
    <w:rsid w:val="0010441D"/>
    <w:rsid w:val="00104F87"/>
    <w:rsid w:val="00106120"/>
    <w:rsid w:val="00107BDA"/>
    <w:rsid w:val="00116F2D"/>
    <w:rsid w:val="00117BCE"/>
    <w:rsid w:val="00117F6C"/>
    <w:rsid w:val="00122B2D"/>
    <w:rsid w:val="001236CA"/>
    <w:rsid w:val="001243D8"/>
    <w:rsid w:val="00124454"/>
    <w:rsid w:val="00124C55"/>
    <w:rsid w:val="0012505E"/>
    <w:rsid w:val="00126DFB"/>
    <w:rsid w:val="00127F1F"/>
    <w:rsid w:val="00130C2E"/>
    <w:rsid w:val="00131156"/>
    <w:rsid w:val="0013137E"/>
    <w:rsid w:val="00131393"/>
    <w:rsid w:val="001332EC"/>
    <w:rsid w:val="00134923"/>
    <w:rsid w:val="00135C86"/>
    <w:rsid w:val="001361B2"/>
    <w:rsid w:val="00140508"/>
    <w:rsid w:val="00142676"/>
    <w:rsid w:val="0014767F"/>
    <w:rsid w:val="00153CED"/>
    <w:rsid w:val="0015557F"/>
    <w:rsid w:val="001558F7"/>
    <w:rsid w:val="00155F06"/>
    <w:rsid w:val="00160B83"/>
    <w:rsid w:val="00161234"/>
    <w:rsid w:val="00161569"/>
    <w:rsid w:val="00165EEA"/>
    <w:rsid w:val="00170E8C"/>
    <w:rsid w:val="00171A16"/>
    <w:rsid w:val="00171C4E"/>
    <w:rsid w:val="00172008"/>
    <w:rsid w:val="00175C97"/>
    <w:rsid w:val="00176BAD"/>
    <w:rsid w:val="00177008"/>
    <w:rsid w:val="001771CF"/>
    <w:rsid w:val="00182528"/>
    <w:rsid w:val="00185469"/>
    <w:rsid w:val="00186EED"/>
    <w:rsid w:val="001879AC"/>
    <w:rsid w:val="001900ED"/>
    <w:rsid w:val="001925B0"/>
    <w:rsid w:val="001932E5"/>
    <w:rsid w:val="00193F2D"/>
    <w:rsid w:val="0019735D"/>
    <w:rsid w:val="001A0C19"/>
    <w:rsid w:val="001A288C"/>
    <w:rsid w:val="001A3E87"/>
    <w:rsid w:val="001A5D93"/>
    <w:rsid w:val="001B0119"/>
    <w:rsid w:val="001B099D"/>
    <w:rsid w:val="001B27A4"/>
    <w:rsid w:val="001B6512"/>
    <w:rsid w:val="001B74F5"/>
    <w:rsid w:val="001C1038"/>
    <w:rsid w:val="001C176D"/>
    <w:rsid w:val="001C21B6"/>
    <w:rsid w:val="001C3274"/>
    <w:rsid w:val="001C4180"/>
    <w:rsid w:val="001C5E3F"/>
    <w:rsid w:val="001C7D39"/>
    <w:rsid w:val="001D110E"/>
    <w:rsid w:val="001D1C67"/>
    <w:rsid w:val="001D24AE"/>
    <w:rsid w:val="001D3EFC"/>
    <w:rsid w:val="001D584F"/>
    <w:rsid w:val="001D65B2"/>
    <w:rsid w:val="001D7A5D"/>
    <w:rsid w:val="001D7CAD"/>
    <w:rsid w:val="001E07B6"/>
    <w:rsid w:val="001E0C2B"/>
    <w:rsid w:val="001E0D77"/>
    <w:rsid w:val="001E6615"/>
    <w:rsid w:val="001E7E2E"/>
    <w:rsid w:val="001F2F5C"/>
    <w:rsid w:val="001F4E8F"/>
    <w:rsid w:val="001F5EF1"/>
    <w:rsid w:val="001F607F"/>
    <w:rsid w:val="00200527"/>
    <w:rsid w:val="00200CB5"/>
    <w:rsid w:val="0020137F"/>
    <w:rsid w:val="002023E0"/>
    <w:rsid w:val="002030E7"/>
    <w:rsid w:val="002043DB"/>
    <w:rsid w:val="00204543"/>
    <w:rsid w:val="00210785"/>
    <w:rsid w:val="00212255"/>
    <w:rsid w:val="0021248F"/>
    <w:rsid w:val="00220A43"/>
    <w:rsid w:val="00226494"/>
    <w:rsid w:val="002267D2"/>
    <w:rsid w:val="002270A9"/>
    <w:rsid w:val="00231D63"/>
    <w:rsid w:val="002323F8"/>
    <w:rsid w:val="002324A0"/>
    <w:rsid w:val="00232F38"/>
    <w:rsid w:val="00235C82"/>
    <w:rsid w:val="00240B3A"/>
    <w:rsid w:val="0024301B"/>
    <w:rsid w:val="00243D7C"/>
    <w:rsid w:val="00246BA0"/>
    <w:rsid w:val="00250149"/>
    <w:rsid w:val="00250E79"/>
    <w:rsid w:val="00251F96"/>
    <w:rsid w:val="00253924"/>
    <w:rsid w:val="0025467C"/>
    <w:rsid w:val="00260642"/>
    <w:rsid w:val="0026137D"/>
    <w:rsid w:val="0026188C"/>
    <w:rsid w:val="0026354A"/>
    <w:rsid w:val="00263A59"/>
    <w:rsid w:val="00265A60"/>
    <w:rsid w:val="002704F6"/>
    <w:rsid w:val="00270CD9"/>
    <w:rsid w:val="00271AD2"/>
    <w:rsid w:val="0027212B"/>
    <w:rsid w:val="00272B7D"/>
    <w:rsid w:val="00272ED6"/>
    <w:rsid w:val="002744BD"/>
    <w:rsid w:val="00275BB4"/>
    <w:rsid w:val="0027619F"/>
    <w:rsid w:val="00277275"/>
    <w:rsid w:val="00277E94"/>
    <w:rsid w:val="002809C8"/>
    <w:rsid w:val="00280DB0"/>
    <w:rsid w:val="00280DD0"/>
    <w:rsid w:val="00281CF3"/>
    <w:rsid w:val="00283365"/>
    <w:rsid w:val="00284566"/>
    <w:rsid w:val="002849E9"/>
    <w:rsid w:val="002871C7"/>
    <w:rsid w:val="00292024"/>
    <w:rsid w:val="00292107"/>
    <w:rsid w:val="00294505"/>
    <w:rsid w:val="00294703"/>
    <w:rsid w:val="002953B2"/>
    <w:rsid w:val="00297726"/>
    <w:rsid w:val="00297774"/>
    <w:rsid w:val="00297D3F"/>
    <w:rsid w:val="002A099A"/>
    <w:rsid w:val="002A1CA2"/>
    <w:rsid w:val="002A3EB9"/>
    <w:rsid w:val="002A59F8"/>
    <w:rsid w:val="002A677D"/>
    <w:rsid w:val="002A7615"/>
    <w:rsid w:val="002B45AD"/>
    <w:rsid w:val="002B55B2"/>
    <w:rsid w:val="002B63E3"/>
    <w:rsid w:val="002B678B"/>
    <w:rsid w:val="002C04FE"/>
    <w:rsid w:val="002C2063"/>
    <w:rsid w:val="002C3D9A"/>
    <w:rsid w:val="002C4B29"/>
    <w:rsid w:val="002C73CC"/>
    <w:rsid w:val="002D0DF2"/>
    <w:rsid w:val="002D132A"/>
    <w:rsid w:val="002D3AE4"/>
    <w:rsid w:val="002D3BCF"/>
    <w:rsid w:val="002D4EA3"/>
    <w:rsid w:val="002E22FD"/>
    <w:rsid w:val="002E4A8D"/>
    <w:rsid w:val="002E5E1A"/>
    <w:rsid w:val="002E790F"/>
    <w:rsid w:val="002E7B7B"/>
    <w:rsid w:val="002F0E33"/>
    <w:rsid w:val="002F1F20"/>
    <w:rsid w:val="002F2DE1"/>
    <w:rsid w:val="002F473F"/>
    <w:rsid w:val="002F634E"/>
    <w:rsid w:val="002F675D"/>
    <w:rsid w:val="003012D0"/>
    <w:rsid w:val="00302702"/>
    <w:rsid w:val="00303D5A"/>
    <w:rsid w:val="00304EAC"/>
    <w:rsid w:val="00305B40"/>
    <w:rsid w:val="00305D00"/>
    <w:rsid w:val="00306B6B"/>
    <w:rsid w:val="0031052F"/>
    <w:rsid w:val="0031217E"/>
    <w:rsid w:val="00312B87"/>
    <w:rsid w:val="003138DF"/>
    <w:rsid w:val="003167EB"/>
    <w:rsid w:val="0031719C"/>
    <w:rsid w:val="00317DA6"/>
    <w:rsid w:val="00320A16"/>
    <w:rsid w:val="0032392B"/>
    <w:rsid w:val="003263EF"/>
    <w:rsid w:val="00330258"/>
    <w:rsid w:val="00330CA1"/>
    <w:rsid w:val="00333BE7"/>
    <w:rsid w:val="00333F34"/>
    <w:rsid w:val="00334D92"/>
    <w:rsid w:val="00334E96"/>
    <w:rsid w:val="0033503F"/>
    <w:rsid w:val="0033708D"/>
    <w:rsid w:val="003405FA"/>
    <w:rsid w:val="00340743"/>
    <w:rsid w:val="00340971"/>
    <w:rsid w:val="00341F00"/>
    <w:rsid w:val="0034217C"/>
    <w:rsid w:val="003431AD"/>
    <w:rsid w:val="003460AD"/>
    <w:rsid w:val="00347548"/>
    <w:rsid w:val="003479BA"/>
    <w:rsid w:val="003511E0"/>
    <w:rsid w:val="003519D5"/>
    <w:rsid w:val="003530F6"/>
    <w:rsid w:val="00355FF6"/>
    <w:rsid w:val="00356B0B"/>
    <w:rsid w:val="00357729"/>
    <w:rsid w:val="0036235A"/>
    <w:rsid w:val="0036392B"/>
    <w:rsid w:val="00363FB8"/>
    <w:rsid w:val="00365120"/>
    <w:rsid w:val="003660D1"/>
    <w:rsid w:val="00366434"/>
    <w:rsid w:val="00367CE0"/>
    <w:rsid w:val="003713EF"/>
    <w:rsid w:val="0037182C"/>
    <w:rsid w:val="003718AD"/>
    <w:rsid w:val="00373C52"/>
    <w:rsid w:val="00374125"/>
    <w:rsid w:val="0037492E"/>
    <w:rsid w:val="00374CF3"/>
    <w:rsid w:val="00376AB2"/>
    <w:rsid w:val="00376B76"/>
    <w:rsid w:val="00376E26"/>
    <w:rsid w:val="00376F4B"/>
    <w:rsid w:val="00377250"/>
    <w:rsid w:val="00381349"/>
    <w:rsid w:val="003861AC"/>
    <w:rsid w:val="00386760"/>
    <w:rsid w:val="00386B7D"/>
    <w:rsid w:val="00392027"/>
    <w:rsid w:val="0039432C"/>
    <w:rsid w:val="0039586E"/>
    <w:rsid w:val="00396D86"/>
    <w:rsid w:val="00397C58"/>
    <w:rsid w:val="003A0A8E"/>
    <w:rsid w:val="003A0D62"/>
    <w:rsid w:val="003A322C"/>
    <w:rsid w:val="003B0BCA"/>
    <w:rsid w:val="003B110B"/>
    <w:rsid w:val="003B1766"/>
    <w:rsid w:val="003B3E98"/>
    <w:rsid w:val="003B6138"/>
    <w:rsid w:val="003B67F0"/>
    <w:rsid w:val="003C0ED6"/>
    <w:rsid w:val="003C113D"/>
    <w:rsid w:val="003C32FD"/>
    <w:rsid w:val="003C50A9"/>
    <w:rsid w:val="003C6F81"/>
    <w:rsid w:val="003C7187"/>
    <w:rsid w:val="003C7B4D"/>
    <w:rsid w:val="003C7C6E"/>
    <w:rsid w:val="003D1ADF"/>
    <w:rsid w:val="003D34F7"/>
    <w:rsid w:val="003D4CD6"/>
    <w:rsid w:val="003D75C2"/>
    <w:rsid w:val="003E16C9"/>
    <w:rsid w:val="003E4447"/>
    <w:rsid w:val="003E44A4"/>
    <w:rsid w:val="003E5371"/>
    <w:rsid w:val="003E53FB"/>
    <w:rsid w:val="003F0EE9"/>
    <w:rsid w:val="003F302D"/>
    <w:rsid w:val="003F3FC7"/>
    <w:rsid w:val="003F41EF"/>
    <w:rsid w:val="003F504C"/>
    <w:rsid w:val="003F542D"/>
    <w:rsid w:val="003F638D"/>
    <w:rsid w:val="003F7861"/>
    <w:rsid w:val="003F78AA"/>
    <w:rsid w:val="004011A6"/>
    <w:rsid w:val="00401E4D"/>
    <w:rsid w:val="00403690"/>
    <w:rsid w:val="0040602B"/>
    <w:rsid w:val="004064F9"/>
    <w:rsid w:val="004074D8"/>
    <w:rsid w:val="00411549"/>
    <w:rsid w:val="004149B9"/>
    <w:rsid w:val="004222FB"/>
    <w:rsid w:val="00422429"/>
    <w:rsid w:val="004260BE"/>
    <w:rsid w:val="0042764E"/>
    <w:rsid w:val="00430D20"/>
    <w:rsid w:val="00430EFD"/>
    <w:rsid w:val="00433559"/>
    <w:rsid w:val="004351EC"/>
    <w:rsid w:val="00435772"/>
    <w:rsid w:val="004375C7"/>
    <w:rsid w:val="00437679"/>
    <w:rsid w:val="00437CC1"/>
    <w:rsid w:val="00437F78"/>
    <w:rsid w:val="004433E2"/>
    <w:rsid w:val="00443C84"/>
    <w:rsid w:val="004446F5"/>
    <w:rsid w:val="0045018A"/>
    <w:rsid w:val="00450604"/>
    <w:rsid w:val="00453313"/>
    <w:rsid w:val="00454E64"/>
    <w:rsid w:val="00456C3D"/>
    <w:rsid w:val="00456DA3"/>
    <w:rsid w:val="00463842"/>
    <w:rsid w:val="004642FD"/>
    <w:rsid w:val="00464F97"/>
    <w:rsid w:val="00465A05"/>
    <w:rsid w:val="004662D0"/>
    <w:rsid w:val="0047137F"/>
    <w:rsid w:val="00474627"/>
    <w:rsid w:val="00475EFA"/>
    <w:rsid w:val="004775B6"/>
    <w:rsid w:val="00481317"/>
    <w:rsid w:val="0048499E"/>
    <w:rsid w:val="00487444"/>
    <w:rsid w:val="00487CD0"/>
    <w:rsid w:val="004925E0"/>
    <w:rsid w:val="004939E1"/>
    <w:rsid w:val="00494CE9"/>
    <w:rsid w:val="0049614B"/>
    <w:rsid w:val="00496608"/>
    <w:rsid w:val="004A0B00"/>
    <w:rsid w:val="004A1996"/>
    <w:rsid w:val="004A33C4"/>
    <w:rsid w:val="004A5111"/>
    <w:rsid w:val="004B16AA"/>
    <w:rsid w:val="004B2E5E"/>
    <w:rsid w:val="004B3740"/>
    <w:rsid w:val="004B38B5"/>
    <w:rsid w:val="004B661A"/>
    <w:rsid w:val="004B69F5"/>
    <w:rsid w:val="004C1F58"/>
    <w:rsid w:val="004C2713"/>
    <w:rsid w:val="004C271D"/>
    <w:rsid w:val="004C49AD"/>
    <w:rsid w:val="004C4EE1"/>
    <w:rsid w:val="004C52FB"/>
    <w:rsid w:val="004D0FB6"/>
    <w:rsid w:val="004D293B"/>
    <w:rsid w:val="004D4076"/>
    <w:rsid w:val="004E170E"/>
    <w:rsid w:val="004E6A1B"/>
    <w:rsid w:val="004E6D2D"/>
    <w:rsid w:val="004E6E9D"/>
    <w:rsid w:val="004E7BCE"/>
    <w:rsid w:val="004E7FFC"/>
    <w:rsid w:val="004F0067"/>
    <w:rsid w:val="004F01C2"/>
    <w:rsid w:val="004F5261"/>
    <w:rsid w:val="004F6687"/>
    <w:rsid w:val="004F6837"/>
    <w:rsid w:val="00500F8B"/>
    <w:rsid w:val="005010CA"/>
    <w:rsid w:val="005036E0"/>
    <w:rsid w:val="00505F03"/>
    <w:rsid w:val="0050710E"/>
    <w:rsid w:val="00507127"/>
    <w:rsid w:val="005110F3"/>
    <w:rsid w:val="005112F8"/>
    <w:rsid w:val="0051246A"/>
    <w:rsid w:val="00515017"/>
    <w:rsid w:val="00516787"/>
    <w:rsid w:val="005203BB"/>
    <w:rsid w:val="0052255B"/>
    <w:rsid w:val="005227A3"/>
    <w:rsid w:val="00523C63"/>
    <w:rsid w:val="00524032"/>
    <w:rsid w:val="00524213"/>
    <w:rsid w:val="0052621B"/>
    <w:rsid w:val="005266C7"/>
    <w:rsid w:val="00526B86"/>
    <w:rsid w:val="00531483"/>
    <w:rsid w:val="005317F3"/>
    <w:rsid w:val="00532E82"/>
    <w:rsid w:val="0053369C"/>
    <w:rsid w:val="00533A73"/>
    <w:rsid w:val="00534F83"/>
    <w:rsid w:val="00535721"/>
    <w:rsid w:val="0054027F"/>
    <w:rsid w:val="00542D7E"/>
    <w:rsid w:val="0054596B"/>
    <w:rsid w:val="005470B8"/>
    <w:rsid w:val="005512BD"/>
    <w:rsid w:val="00554D50"/>
    <w:rsid w:val="005552F7"/>
    <w:rsid w:val="00555544"/>
    <w:rsid w:val="005603AB"/>
    <w:rsid w:val="00560D8C"/>
    <w:rsid w:val="00560ED2"/>
    <w:rsid w:val="005638C5"/>
    <w:rsid w:val="00566058"/>
    <w:rsid w:val="00567262"/>
    <w:rsid w:val="0057017F"/>
    <w:rsid w:val="00570433"/>
    <w:rsid w:val="005716A1"/>
    <w:rsid w:val="00571DED"/>
    <w:rsid w:val="00572C33"/>
    <w:rsid w:val="00574F5B"/>
    <w:rsid w:val="00576792"/>
    <w:rsid w:val="005801B0"/>
    <w:rsid w:val="00580209"/>
    <w:rsid w:val="00584638"/>
    <w:rsid w:val="0058627C"/>
    <w:rsid w:val="0058711C"/>
    <w:rsid w:val="0058755C"/>
    <w:rsid w:val="00587BE6"/>
    <w:rsid w:val="00592162"/>
    <w:rsid w:val="0059326D"/>
    <w:rsid w:val="00593E51"/>
    <w:rsid w:val="00594CC0"/>
    <w:rsid w:val="00596632"/>
    <w:rsid w:val="00596ED2"/>
    <w:rsid w:val="00597A9A"/>
    <w:rsid w:val="005A2933"/>
    <w:rsid w:val="005A44D3"/>
    <w:rsid w:val="005A44EE"/>
    <w:rsid w:val="005A4649"/>
    <w:rsid w:val="005A4915"/>
    <w:rsid w:val="005A5106"/>
    <w:rsid w:val="005A5D5E"/>
    <w:rsid w:val="005B044D"/>
    <w:rsid w:val="005B0DDB"/>
    <w:rsid w:val="005B184A"/>
    <w:rsid w:val="005B46E0"/>
    <w:rsid w:val="005B5B9B"/>
    <w:rsid w:val="005C01AE"/>
    <w:rsid w:val="005C1D2F"/>
    <w:rsid w:val="005C213C"/>
    <w:rsid w:val="005C50C5"/>
    <w:rsid w:val="005C64F0"/>
    <w:rsid w:val="005C6A8A"/>
    <w:rsid w:val="005C7055"/>
    <w:rsid w:val="005D079C"/>
    <w:rsid w:val="005D189C"/>
    <w:rsid w:val="005D76AE"/>
    <w:rsid w:val="005D7C43"/>
    <w:rsid w:val="005E091E"/>
    <w:rsid w:val="005E286B"/>
    <w:rsid w:val="005E6461"/>
    <w:rsid w:val="005E7320"/>
    <w:rsid w:val="005F01F0"/>
    <w:rsid w:val="005F105A"/>
    <w:rsid w:val="005F3820"/>
    <w:rsid w:val="005F5678"/>
    <w:rsid w:val="005F6EE4"/>
    <w:rsid w:val="00600F59"/>
    <w:rsid w:val="00602211"/>
    <w:rsid w:val="00603022"/>
    <w:rsid w:val="00603410"/>
    <w:rsid w:val="00606028"/>
    <w:rsid w:val="00614DB8"/>
    <w:rsid w:val="00615311"/>
    <w:rsid w:val="0061543B"/>
    <w:rsid w:val="00615663"/>
    <w:rsid w:val="0061568C"/>
    <w:rsid w:val="006158ED"/>
    <w:rsid w:val="0061675D"/>
    <w:rsid w:val="00622A1D"/>
    <w:rsid w:val="00622C6B"/>
    <w:rsid w:val="006231EE"/>
    <w:rsid w:val="00623F12"/>
    <w:rsid w:val="00625642"/>
    <w:rsid w:val="00626B7C"/>
    <w:rsid w:val="00634A6D"/>
    <w:rsid w:val="00634FE3"/>
    <w:rsid w:val="00635170"/>
    <w:rsid w:val="006400A8"/>
    <w:rsid w:val="00641A81"/>
    <w:rsid w:val="0064302A"/>
    <w:rsid w:val="00643453"/>
    <w:rsid w:val="00643500"/>
    <w:rsid w:val="00644F7C"/>
    <w:rsid w:val="00645395"/>
    <w:rsid w:val="00646218"/>
    <w:rsid w:val="00646E54"/>
    <w:rsid w:val="00650B39"/>
    <w:rsid w:val="00653027"/>
    <w:rsid w:val="00655D0C"/>
    <w:rsid w:val="0065607D"/>
    <w:rsid w:val="0065763F"/>
    <w:rsid w:val="00661C36"/>
    <w:rsid w:val="006623EA"/>
    <w:rsid w:val="006664FD"/>
    <w:rsid w:val="00667BE3"/>
    <w:rsid w:val="006717B5"/>
    <w:rsid w:val="00675093"/>
    <w:rsid w:val="00675DFF"/>
    <w:rsid w:val="006764A3"/>
    <w:rsid w:val="006824B6"/>
    <w:rsid w:val="00686F6B"/>
    <w:rsid w:val="00690541"/>
    <w:rsid w:val="006914E7"/>
    <w:rsid w:val="00691E36"/>
    <w:rsid w:val="00692BA2"/>
    <w:rsid w:val="006939D9"/>
    <w:rsid w:val="0069566F"/>
    <w:rsid w:val="006963FD"/>
    <w:rsid w:val="006967D4"/>
    <w:rsid w:val="00697334"/>
    <w:rsid w:val="006A1AA7"/>
    <w:rsid w:val="006A3C83"/>
    <w:rsid w:val="006A3D1A"/>
    <w:rsid w:val="006A3FBC"/>
    <w:rsid w:val="006A742B"/>
    <w:rsid w:val="006B0011"/>
    <w:rsid w:val="006B145F"/>
    <w:rsid w:val="006B156F"/>
    <w:rsid w:val="006B3AE2"/>
    <w:rsid w:val="006B41E9"/>
    <w:rsid w:val="006B540D"/>
    <w:rsid w:val="006B5EB8"/>
    <w:rsid w:val="006B7F6F"/>
    <w:rsid w:val="006C241D"/>
    <w:rsid w:val="006C300B"/>
    <w:rsid w:val="006C301F"/>
    <w:rsid w:val="006C3530"/>
    <w:rsid w:val="006C6B34"/>
    <w:rsid w:val="006D05FD"/>
    <w:rsid w:val="006D0C7B"/>
    <w:rsid w:val="006D0FF1"/>
    <w:rsid w:val="006D2B20"/>
    <w:rsid w:val="006D5922"/>
    <w:rsid w:val="006D7EC6"/>
    <w:rsid w:val="006E0146"/>
    <w:rsid w:val="006E0C16"/>
    <w:rsid w:val="006E1D8B"/>
    <w:rsid w:val="006E37C0"/>
    <w:rsid w:val="006E4CF8"/>
    <w:rsid w:val="006E589E"/>
    <w:rsid w:val="006E5A3D"/>
    <w:rsid w:val="006E76FC"/>
    <w:rsid w:val="006F1A40"/>
    <w:rsid w:val="006F26DC"/>
    <w:rsid w:val="006F3DF7"/>
    <w:rsid w:val="006F50A2"/>
    <w:rsid w:val="00700FF2"/>
    <w:rsid w:val="0070235C"/>
    <w:rsid w:val="0070703D"/>
    <w:rsid w:val="00707D43"/>
    <w:rsid w:val="00710F07"/>
    <w:rsid w:val="007133C9"/>
    <w:rsid w:val="00714799"/>
    <w:rsid w:val="00716901"/>
    <w:rsid w:val="00716CC9"/>
    <w:rsid w:val="00717551"/>
    <w:rsid w:val="00720259"/>
    <w:rsid w:val="00724BBD"/>
    <w:rsid w:val="00725CD9"/>
    <w:rsid w:val="007329B9"/>
    <w:rsid w:val="00733811"/>
    <w:rsid w:val="00734005"/>
    <w:rsid w:val="007353A5"/>
    <w:rsid w:val="00735A8E"/>
    <w:rsid w:val="0073758D"/>
    <w:rsid w:val="00737A2A"/>
    <w:rsid w:val="00740DCB"/>
    <w:rsid w:val="00741543"/>
    <w:rsid w:val="0074196B"/>
    <w:rsid w:val="00741B5A"/>
    <w:rsid w:val="007471CB"/>
    <w:rsid w:val="00747FD7"/>
    <w:rsid w:val="007502FF"/>
    <w:rsid w:val="007555D4"/>
    <w:rsid w:val="007568C7"/>
    <w:rsid w:val="00761CE2"/>
    <w:rsid w:val="0076256B"/>
    <w:rsid w:val="00764214"/>
    <w:rsid w:val="00764CB7"/>
    <w:rsid w:val="00764F8B"/>
    <w:rsid w:val="0076576E"/>
    <w:rsid w:val="00767562"/>
    <w:rsid w:val="00772F81"/>
    <w:rsid w:val="00773A5E"/>
    <w:rsid w:val="00774052"/>
    <w:rsid w:val="0077522E"/>
    <w:rsid w:val="00777618"/>
    <w:rsid w:val="007825E2"/>
    <w:rsid w:val="00785842"/>
    <w:rsid w:val="007860D7"/>
    <w:rsid w:val="00786B3F"/>
    <w:rsid w:val="00786C54"/>
    <w:rsid w:val="00787072"/>
    <w:rsid w:val="00790E42"/>
    <w:rsid w:val="00791668"/>
    <w:rsid w:val="00791CA6"/>
    <w:rsid w:val="00793482"/>
    <w:rsid w:val="007960DD"/>
    <w:rsid w:val="00797225"/>
    <w:rsid w:val="007A26B6"/>
    <w:rsid w:val="007A493F"/>
    <w:rsid w:val="007A5266"/>
    <w:rsid w:val="007A73FD"/>
    <w:rsid w:val="007A74EF"/>
    <w:rsid w:val="007A7C51"/>
    <w:rsid w:val="007B0066"/>
    <w:rsid w:val="007B0A4B"/>
    <w:rsid w:val="007B36B1"/>
    <w:rsid w:val="007B4434"/>
    <w:rsid w:val="007B6334"/>
    <w:rsid w:val="007C036C"/>
    <w:rsid w:val="007C1925"/>
    <w:rsid w:val="007C2E12"/>
    <w:rsid w:val="007C3C41"/>
    <w:rsid w:val="007C706F"/>
    <w:rsid w:val="007C7CE1"/>
    <w:rsid w:val="007C7F25"/>
    <w:rsid w:val="007D1B6D"/>
    <w:rsid w:val="007D2962"/>
    <w:rsid w:val="007D3094"/>
    <w:rsid w:val="007D3FA6"/>
    <w:rsid w:val="007D493E"/>
    <w:rsid w:val="007D4C90"/>
    <w:rsid w:val="007D6D14"/>
    <w:rsid w:val="007D7E16"/>
    <w:rsid w:val="007E31FF"/>
    <w:rsid w:val="007E365F"/>
    <w:rsid w:val="007E367F"/>
    <w:rsid w:val="007F029A"/>
    <w:rsid w:val="007F2929"/>
    <w:rsid w:val="007F2E5C"/>
    <w:rsid w:val="007F47FE"/>
    <w:rsid w:val="007F4C26"/>
    <w:rsid w:val="007F636B"/>
    <w:rsid w:val="007F6B3F"/>
    <w:rsid w:val="007F72F0"/>
    <w:rsid w:val="007F7329"/>
    <w:rsid w:val="008004B8"/>
    <w:rsid w:val="00800B58"/>
    <w:rsid w:val="008016ED"/>
    <w:rsid w:val="008023A7"/>
    <w:rsid w:val="00802713"/>
    <w:rsid w:val="008046DF"/>
    <w:rsid w:val="0080595C"/>
    <w:rsid w:val="008059E1"/>
    <w:rsid w:val="00810B4C"/>
    <w:rsid w:val="008115EA"/>
    <w:rsid w:val="00811BE9"/>
    <w:rsid w:val="00815546"/>
    <w:rsid w:val="00820B63"/>
    <w:rsid w:val="00820FC7"/>
    <w:rsid w:val="0082184D"/>
    <w:rsid w:val="00822107"/>
    <w:rsid w:val="0082253D"/>
    <w:rsid w:val="00822F20"/>
    <w:rsid w:val="0082366B"/>
    <w:rsid w:val="008252EB"/>
    <w:rsid w:val="00826471"/>
    <w:rsid w:val="0082734D"/>
    <w:rsid w:val="00832632"/>
    <w:rsid w:val="00835EFC"/>
    <w:rsid w:val="00843D04"/>
    <w:rsid w:val="00844E9B"/>
    <w:rsid w:val="0084515B"/>
    <w:rsid w:val="008457C0"/>
    <w:rsid w:val="00847502"/>
    <w:rsid w:val="00851989"/>
    <w:rsid w:val="00851AC2"/>
    <w:rsid w:val="00852085"/>
    <w:rsid w:val="00855292"/>
    <w:rsid w:val="008569F7"/>
    <w:rsid w:val="008578FA"/>
    <w:rsid w:val="008601C3"/>
    <w:rsid w:val="00864898"/>
    <w:rsid w:val="00864A88"/>
    <w:rsid w:val="00864AEF"/>
    <w:rsid w:val="00865353"/>
    <w:rsid w:val="0086735B"/>
    <w:rsid w:val="008718B1"/>
    <w:rsid w:val="00875F98"/>
    <w:rsid w:val="0088320C"/>
    <w:rsid w:val="00883BCE"/>
    <w:rsid w:val="00884449"/>
    <w:rsid w:val="00885C04"/>
    <w:rsid w:val="008869CA"/>
    <w:rsid w:val="008873FC"/>
    <w:rsid w:val="00890582"/>
    <w:rsid w:val="00892AF6"/>
    <w:rsid w:val="00892DF9"/>
    <w:rsid w:val="00896ED9"/>
    <w:rsid w:val="008A2B7A"/>
    <w:rsid w:val="008A3FA2"/>
    <w:rsid w:val="008A52DE"/>
    <w:rsid w:val="008A76EA"/>
    <w:rsid w:val="008A7BD4"/>
    <w:rsid w:val="008B7114"/>
    <w:rsid w:val="008C48DA"/>
    <w:rsid w:val="008C4960"/>
    <w:rsid w:val="008C534A"/>
    <w:rsid w:val="008C61E8"/>
    <w:rsid w:val="008D1571"/>
    <w:rsid w:val="008D353A"/>
    <w:rsid w:val="008D3566"/>
    <w:rsid w:val="008D535A"/>
    <w:rsid w:val="008D54F9"/>
    <w:rsid w:val="008D700D"/>
    <w:rsid w:val="008E16A6"/>
    <w:rsid w:val="008E3211"/>
    <w:rsid w:val="008E4CF9"/>
    <w:rsid w:val="008E4D84"/>
    <w:rsid w:val="008E5649"/>
    <w:rsid w:val="008E6954"/>
    <w:rsid w:val="008E74B0"/>
    <w:rsid w:val="008F0B1D"/>
    <w:rsid w:val="008F2B4F"/>
    <w:rsid w:val="008F39A2"/>
    <w:rsid w:val="008F4587"/>
    <w:rsid w:val="008F531B"/>
    <w:rsid w:val="008F6F67"/>
    <w:rsid w:val="008F7399"/>
    <w:rsid w:val="00900FAE"/>
    <w:rsid w:val="00901C43"/>
    <w:rsid w:val="00902199"/>
    <w:rsid w:val="00904ED6"/>
    <w:rsid w:val="00906C8D"/>
    <w:rsid w:val="00910682"/>
    <w:rsid w:val="0091300E"/>
    <w:rsid w:val="00914758"/>
    <w:rsid w:val="00914AE1"/>
    <w:rsid w:val="00914B29"/>
    <w:rsid w:val="0091796C"/>
    <w:rsid w:val="00921D8D"/>
    <w:rsid w:val="009229DB"/>
    <w:rsid w:val="00923105"/>
    <w:rsid w:val="00925361"/>
    <w:rsid w:val="009262F1"/>
    <w:rsid w:val="00926C8E"/>
    <w:rsid w:val="00927592"/>
    <w:rsid w:val="00930045"/>
    <w:rsid w:val="0093005E"/>
    <w:rsid w:val="00930862"/>
    <w:rsid w:val="0093145B"/>
    <w:rsid w:val="00931EC4"/>
    <w:rsid w:val="009343BC"/>
    <w:rsid w:val="00934941"/>
    <w:rsid w:val="00934C8F"/>
    <w:rsid w:val="0093622F"/>
    <w:rsid w:val="00936321"/>
    <w:rsid w:val="00936566"/>
    <w:rsid w:val="00936CB0"/>
    <w:rsid w:val="00936E1E"/>
    <w:rsid w:val="00937412"/>
    <w:rsid w:val="00937DAA"/>
    <w:rsid w:val="00940C3B"/>
    <w:rsid w:val="00942194"/>
    <w:rsid w:val="00943E3B"/>
    <w:rsid w:val="00947B0F"/>
    <w:rsid w:val="0095153F"/>
    <w:rsid w:val="00953BA8"/>
    <w:rsid w:val="00954538"/>
    <w:rsid w:val="00954A9C"/>
    <w:rsid w:val="009573C1"/>
    <w:rsid w:val="00961F11"/>
    <w:rsid w:val="009631B0"/>
    <w:rsid w:val="00965D52"/>
    <w:rsid w:val="00965ECD"/>
    <w:rsid w:val="0096671F"/>
    <w:rsid w:val="00966B61"/>
    <w:rsid w:val="00966B8E"/>
    <w:rsid w:val="00972FBD"/>
    <w:rsid w:val="00973EC6"/>
    <w:rsid w:val="00973FD5"/>
    <w:rsid w:val="00974834"/>
    <w:rsid w:val="009748E5"/>
    <w:rsid w:val="00976812"/>
    <w:rsid w:val="0097793C"/>
    <w:rsid w:val="0098375F"/>
    <w:rsid w:val="009865FF"/>
    <w:rsid w:val="00986766"/>
    <w:rsid w:val="009873F8"/>
    <w:rsid w:val="0099198C"/>
    <w:rsid w:val="00995D40"/>
    <w:rsid w:val="009968D1"/>
    <w:rsid w:val="00997A91"/>
    <w:rsid w:val="009A0A78"/>
    <w:rsid w:val="009A3332"/>
    <w:rsid w:val="009A625B"/>
    <w:rsid w:val="009A682E"/>
    <w:rsid w:val="009B0060"/>
    <w:rsid w:val="009B14CE"/>
    <w:rsid w:val="009B1F03"/>
    <w:rsid w:val="009B2F72"/>
    <w:rsid w:val="009B49F8"/>
    <w:rsid w:val="009B4E5A"/>
    <w:rsid w:val="009B538C"/>
    <w:rsid w:val="009B605A"/>
    <w:rsid w:val="009B708A"/>
    <w:rsid w:val="009C0077"/>
    <w:rsid w:val="009C0BF8"/>
    <w:rsid w:val="009C1D9D"/>
    <w:rsid w:val="009C2FDB"/>
    <w:rsid w:val="009C3663"/>
    <w:rsid w:val="009C3FD5"/>
    <w:rsid w:val="009C4884"/>
    <w:rsid w:val="009C631C"/>
    <w:rsid w:val="009D0674"/>
    <w:rsid w:val="009D10C6"/>
    <w:rsid w:val="009D2C64"/>
    <w:rsid w:val="009D44DC"/>
    <w:rsid w:val="009D50F2"/>
    <w:rsid w:val="009D554F"/>
    <w:rsid w:val="009E1CD6"/>
    <w:rsid w:val="009F2001"/>
    <w:rsid w:val="009F222C"/>
    <w:rsid w:val="009F2DFA"/>
    <w:rsid w:val="009F543E"/>
    <w:rsid w:val="009F5584"/>
    <w:rsid w:val="009F6F58"/>
    <w:rsid w:val="009F78BE"/>
    <w:rsid w:val="00A01059"/>
    <w:rsid w:val="00A04059"/>
    <w:rsid w:val="00A0486C"/>
    <w:rsid w:val="00A04D72"/>
    <w:rsid w:val="00A0564B"/>
    <w:rsid w:val="00A07262"/>
    <w:rsid w:val="00A124B9"/>
    <w:rsid w:val="00A15E17"/>
    <w:rsid w:val="00A2070C"/>
    <w:rsid w:val="00A20906"/>
    <w:rsid w:val="00A23427"/>
    <w:rsid w:val="00A23FA5"/>
    <w:rsid w:val="00A24ED4"/>
    <w:rsid w:val="00A27868"/>
    <w:rsid w:val="00A30E2B"/>
    <w:rsid w:val="00A31075"/>
    <w:rsid w:val="00A33CFB"/>
    <w:rsid w:val="00A4052B"/>
    <w:rsid w:val="00A40FCD"/>
    <w:rsid w:val="00A4124E"/>
    <w:rsid w:val="00A41A38"/>
    <w:rsid w:val="00A4290E"/>
    <w:rsid w:val="00A459C5"/>
    <w:rsid w:val="00A46961"/>
    <w:rsid w:val="00A50319"/>
    <w:rsid w:val="00A527D6"/>
    <w:rsid w:val="00A54E42"/>
    <w:rsid w:val="00A57334"/>
    <w:rsid w:val="00A57D9D"/>
    <w:rsid w:val="00A608E9"/>
    <w:rsid w:val="00A60A53"/>
    <w:rsid w:val="00A60B46"/>
    <w:rsid w:val="00A6456F"/>
    <w:rsid w:val="00A6555A"/>
    <w:rsid w:val="00A6637A"/>
    <w:rsid w:val="00A70EE7"/>
    <w:rsid w:val="00A7277A"/>
    <w:rsid w:val="00A74677"/>
    <w:rsid w:val="00A76092"/>
    <w:rsid w:val="00A76508"/>
    <w:rsid w:val="00A8279C"/>
    <w:rsid w:val="00A82F9E"/>
    <w:rsid w:val="00A831AF"/>
    <w:rsid w:val="00A84637"/>
    <w:rsid w:val="00A850AD"/>
    <w:rsid w:val="00A86340"/>
    <w:rsid w:val="00A91C6B"/>
    <w:rsid w:val="00A95DEF"/>
    <w:rsid w:val="00AA1D71"/>
    <w:rsid w:val="00AA2BB2"/>
    <w:rsid w:val="00AA3A0C"/>
    <w:rsid w:val="00AA3D49"/>
    <w:rsid w:val="00AA5385"/>
    <w:rsid w:val="00AA60AD"/>
    <w:rsid w:val="00AA79BE"/>
    <w:rsid w:val="00AA7A35"/>
    <w:rsid w:val="00AA7BD3"/>
    <w:rsid w:val="00AB16C5"/>
    <w:rsid w:val="00AB2416"/>
    <w:rsid w:val="00AB280F"/>
    <w:rsid w:val="00AB32AD"/>
    <w:rsid w:val="00AB3D40"/>
    <w:rsid w:val="00AC0F5F"/>
    <w:rsid w:val="00AC19B2"/>
    <w:rsid w:val="00AC2AF2"/>
    <w:rsid w:val="00AC33BD"/>
    <w:rsid w:val="00AC38DA"/>
    <w:rsid w:val="00AC3967"/>
    <w:rsid w:val="00AC3C12"/>
    <w:rsid w:val="00AC3E06"/>
    <w:rsid w:val="00AC4615"/>
    <w:rsid w:val="00AC7F29"/>
    <w:rsid w:val="00AD0757"/>
    <w:rsid w:val="00AD4E00"/>
    <w:rsid w:val="00AD57AF"/>
    <w:rsid w:val="00AD5EC1"/>
    <w:rsid w:val="00AD5EF3"/>
    <w:rsid w:val="00AD5FB4"/>
    <w:rsid w:val="00AD67F6"/>
    <w:rsid w:val="00AE0340"/>
    <w:rsid w:val="00AE1AD6"/>
    <w:rsid w:val="00AE31D9"/>
    <w:rsid w:val="00AE4B18"/>
    <w:rsid w:val="00AE4E9F"/>
    <w:rsid w:val="00AE6C98"/>
    <w:rsid w:val="00AE7BBC"/>
    <w:rsid w:val="00AF08FB"/>
    <w:rsid w:val="00AF13E8"/>
    <w:rsid w:val="00AF1409"/>
    <w:rsid w:val="00AF1C73"/>
    <w:rsid w:val="00AF6A4B"/>
    <w:rsid w:val="00B01AE1"/>
    <w:rsid w:val="00B02DF3"/>
    <w:rsid w:val="00B04C52"/>
    <w:rsid w:val="00B04F3A"/>
    <w:rsid w:val="00B06D46"/>
    <w:rsid w:val="00B07571"/>
    <w:rsid w:val="00B11310"/>
    <w:rsid w:val="00B11C37"/>
    <w:rsid w:val="00B11FF6"/>
    <w:rsid w:val="00B1237D"/>
    <w:rsid w:val="00B12861"/>
    <w:rsid w:val="00B12E32"/>
    <w:rsid w:val="00B14D70"/>
    <w:rsid w:val="00B15C3D"/>
    <w:rsid w:val="00B2245C"/>
    <w:rsid w:val="00B23DCC"/>
    <w:rsid w:val="00B252E4"/>
    <w:rsid w:val="00B25499"/>
    <w:rsid w:val="00B277F9"/>
    <w:rsid w:val="00B301D6"/>
    <w:rsid w:val="00B30871"/>
    <w:rsid w:val="00B33CEF"/>
    <w:rsid w:val="00B40006"/>
    <w:rsid w:val="00B41172"/>
    <w:rsid w:val="00B418C1"/>
    <w:rsid w:val="00B41D40"/>
    <w:rsid w:val="00B41EE6"/>
    <w:rsid w:val="00B42D01"/>
    <w:rsid w:val="00B43AB0"/>
    <w:rsid w:val="00B46304"/>
    <w:rsid w:val="00B47B9C"/>
    <w:rsid w:val="00B501B0"/>
    <w:rsid w:val="00B50BA8"/>
    <w:rsid w:val="00B50E6B"/>
    <w:rsid w:val="00B50F30"/>
    <w:rsid w:val="00B53489"/>
    <w:rsid w:val="00B5498F"/>
    <w:rsid w:val="00B54BCC"/>
    <w:rsid w:val="00B56917"/>
    <w:rsid w:val="00B57FE8"/>
    <w:rsid w:val="00B6370D"/>
    <w:rsid w:val="00B64F8B"/>
    <w:rsid w:val="00B6521E"/>
    <w:rsid w:val="00B65BF4"/>
    <w:rsid w:val="00B747B7"/>
    <w:rsid w:val="00B74C54"/>
    <w:rsid w:val="00B75566"/>
    <w:rsid w:val="00B76BE0"/>
    <w:rsid w:val="00B76FA3"/>
    <w:rsid w:val="00B77DB4"/>
    <w:rsid w:val="00B80CD0"/>
    <w:rsid w:val="00B81351"/>
    <w:rsid w:val="00B831A5"/>
    <w:rsid w:val="00B87CA6"/>
    <w:rsid w:val="00B904E5"/>
    <w:rsid w:val="00B90552"/>
    <w:rsid w:val="00B90846"/>
    <w:rsid w:val="00B93CFA"/>
    <w:rsid w:val="00B96A6E"/>
    <w:rsid w:val="00BA2E9E"/>
    <w:rsid w:val="00BA4C06"/>
    <w:rsid w:val="00BA4C4D"/>
    <w:rsid w:val="00BA53A8"/>
    <w:rsid w:val="00BA6AEC"/>
    <w:rsid w:val="00BA7147"/>
    <w:rsid w:val="00BA7C5D"/>
    <w:rsid w:val="00BB0FE9"/>
    <w:rsid w:val="00BB15D8"/>
    <w:rsid w:val="00BB414E"/>
    <w:rsid w:val="00BB5252"/>
    <w:rsid w:val="00BB5588"/>
    <w:rsid w:val="00BB6341"/>
    <w:rsid w:val="00BB7198"/>
    <w:rsid w:val="00BB7540"/>
    <w:rsid w:val="00BC0130"/>
    <w:rsid w:val="00BC01B1"/>
    <w:rsid w:val="00BC089B"/>
    <w:rsid w:val="00BC233B"/>
    <w:rsid w:val="00BC716C"/>
    <w:rsid w:val="00BD08FB"/>
    <w:rsid w:val="00BD14CD"/>
    <w:rsid w:val="00BD1A60"/>
    <w:rsid w:val="00BD35A1"/>
    <w:rsid w:val="00BD3A40"/>
    <w:rsid w:val="00BE0BC6"/>
    <w:rsid w:val="00BE1E94"/>
    <w:rsid w:val="00BE20A8"/>
    <w:rsid w:val="00BE21EA"/>
    <w:rsid w:val="00BE2B55"/>
    <w:rsid w:val="00BE398E"/>
    <w:rsid w:val="00BE4EEE"/>
    <w:rsid w:val="00BF5EAA"/>
    <w:rsid w:val="00BF6B3B"/>
    <w:rsid w:val="00BF7295"/>
    <w:rsid w:val="00BF7DF5"/>
    <w:rsid w:val="00BF7F7A"/>
    <w:rsid w:val="00C030C2"/>
    <w:rsid w:val="00C03A7C"/>
    <w:rsid w:val="00C06BD3"/>
    <w:rsid w:val="00C073FF"/>
    <w:rsid w:val="00C07A9D"/>
    <w:rsid w:val="00C10DF2"/>
    <w:rsid w:val="00C10FA5"/>
    <w:rsid w:val="00C13E25"/>
    <w:rsid w:val="00C15E84"/>
    <w:rsid w:val="00C160C5"/>
    <w:rsid w:val="00C1676F"/>
    <w:rsid w:val="00C17861"/>
    <w:rsid w:val="00C22F20"/>
    <w:rsid w:val="00C2405B"/>
    <w:rsid w:val="00C24D08"/>
    <w:rsid w:val="00C2504C"/>
    <w:rsid w:val="00C25D64"/>
    <w:rsid w:val="00C26E36"/>
    <w:rsid w:val="00C312F1"/>
    <w:rsid w:val="00C328D3"/>
    <w:rsid w:val="00C33DA9"/>
    <w:rsid w:val="00C35132"/>
    <w:rsid w:val="00C36AC1"/>
    <w:rsid w:val="00C40F84"/>
    <w:rsid w:val="00C4555B"/>
    <w:rsid w:val="00C472A9"/>
    <w:rsid w:val="00C50697"/>
    <w:rsid w:val="00C56422"/>
    <w:rsid w:val="00C5690D"/>
    <w:rsid w:val="00C57583"/>
    <w:rsid w:val="00C6087C"/>
    <w:rsid w:val="00C6113E"/>
    <w:rsid w:val="00C611CC"/>
    <w:rsid w:val="00C617B0"/>
    <w:rsid w:val="00C62C26"/>
    <w:rsid w:val="00C66445"/>
    <w:rsid w:val="00C67880"/>
    <w:rsid w:val="00C70694"/>
    <w:rsid w:val="00C73976"/>
    <w:rsid w:val="00C762B3"/>
    <w:rsid w:val="00C830AF"/>
    <w:rsid w:val="00C8379C"/>
    <w:rsid w:val="00C83DB7"/>
    <w:rsid w:val="00C83FA0"/>
    <w:rsid w:val="00C85200"/>
    <w:rsid w:val="00C94122"/>
    <w:rsid w:val="00C9728F"/>
    <w:rsid w:val="00CA1BE9"/>
    <w:rsid w:val="00CA23DF"/>
    <w:rsid w:val="00CA3BB9"/>
    <w:rsid w:val="00CA422E"/>
    <w:rsid w:val="00CA4E0C"/>
    <w:rsid w:val="00CA619B"/>
    <w:rsid w:val="00CB0F41"/>
    <w:rsid w:val="00CB1362"/>
    <w:rsid w:val="00CB22C2"/>
    <w:rsid w:val="00CB3F6F"/>
    <w:rsid w:val="00CB4DDC"/>
    <w:rsid w:val="00CB5A0A"/>
    <w:rsid w:val="00CB6B56"/>
    <w:rsid w:val="00CB78EA"/>
    <w:rsid w:val="00CB7F8E"/>
    <w:rsid w:val="00CC177F"/>
    <w:rsid w:val="00CC219A"/>
    <w:rsid w:val="00CC3D67"/>
    <w:rsid w:val="00CC494F"/>
    <w:rsid w:val="00CC4E92"/>
    <w:rsid w:val="00CC77A0"/>
    <w:rsid w:val="00CC7BFC"/>
    <w:rsid w:val="00CC7DB8"/>
    <w:rsid w:val="00CD086D"/>
    <w:rsid w:val="00CD0D91"/>
    <w:rsid w:val="00CD3F17"/>
    <w:rsid w:val="00CD5349"/>
    <w:rsid w:val="00CD79B4"/>
    <w:rsid w:val="00CE1441"/>
    <w:rsid w:val="00CE1962"/>
    <w:rsid w:val="00CE4B5D"/>
    <w:rsid w:val="00CE562C"/>
    <w:rsid w:val="00CE5E68"/>
    <w:rsid w:val="00CE61C7"/>
    <w:rsid w:val="00CE7545"/>
    <w:rsid w:val="00D01EE9"/>
    <w:rsid w:val="00D02A37"/>
    <w:rsid w:val="00D030C4"/>
    <w:rsid w:val="00D03A9F"/>
    <w:rsid w:val="00D03AD8"/>
    <w:rsid w:val="00D0641B"/>
    <w:rsid w:val="00D07629"/>
    <w:rsid w:val="00D10CDB"/>
    <w:rsid w:val="00D1215A"/>
    <w:rsid w:val="00D12BD3"/>
    <w:rsid w:val="00D1355F"/>
    <w:rsid w:val="00D15E17"/>
    <w:rsid w:val="00D1628B"/>
    <w:rsid w:val="00D174B2"/>
    <w:rsid w:val="00D17A82"/>
    <w:rsid w:val="00D20474"/>
    <w:rsid w:val="00D2154F"/>
    <w:rsid w:val="00D2239E"/>
    <w:rsid w:val="00D25530"/>
    <w:rsid w:val="00D25953"/>
    <w:rsid w:val="00D27811"/>
    <w:rsid w:val="00D3360E"/>
    <w:rsid w:val="00D3663B"/>
    <w:rsid w:val="00D378C5"/>
    <w:rsid w:val="00D41684"/>
    <w:rsid w:val="00D43382"/>
    <w:rsid w:val="00D47D1A"/>
    <w:rsid w:val="00D508FE"/>
    <w:rsid w:val="00D51F83"/>
    <w:rsid w:val="00D53BB9"/>
    <w:rsid w:val="00D53ED3"/>
    <w:rsid w:val="00D55FCD"/>
    <w:rsid w:val="00D578DB"/>
    <w:rsid w:val="00D57E3D"/>
    <w:rsid w:val="00D63CDB"/>
    <w:rsid w:val="00D642BF"/>
    <w:rsid w:val="00D70764"/>
    <w:rsid w:val="00D71D57"/>
    <w:rsid w:val="00D72061"/>
    <w:rsid w:val="00D74D9A"/>
    <w:rsid w:val="00D7552E"/>
    <w:rsid w:val="00D75CC3"/>
    <w:rsid w:val="00D75F9E"/>
    <w:rsid w:val="00D76ADD"/>
    <w:rsid w:val="00D76D2F"/>
    <w:rsid w:val="00D76F7B"/>
    <w:rsid w:val="00D774B9"/>
    <w:rsid w:val="00D80A38"/>
    <w:rsid w:val="00D81239"/>
    <w:rsid w:val="00D81B83"/>
    <w:rsid w:val="00D81FF0"/>
    <w:rsid w:val="00D82BD1"/>
    <w:rsid w:val="00D838F2"/>
    <w:rsid w:val="00D83CB2"/>
    <w:rsid w:val="00D84158"/>
    <w:rsid w:val="00D84E20"/>
    <w:rsid w:val="00D852E5"/>
    <w:rsid w:val="00D92F81"/>
    <w:rsid w:val="00D96D80"/>
    <w:rsid w:val="00D97303"/>
    <w:rsid w:val="00DA1644"/>
    <w:rsid w:val="00DB3930"/>
    <w:rsid w:val="00DB5DF1"/>
    <w:rsid w:val="00DB67C1"/>
    <w:rsid w:val="00DB7CB7"/>
    <w:rsid w:val="00DC46F9"/>
    <w:rsid w:val="00DD0380"/>
    <w:rsid w:val="00DD053F"/>
    <w:rsid w:val="00DD1706"/>
    <w:rsid w:val="00DD19A8"/>
    <w:rsid w:val="00DD3BC0"/>
    <w:rsid w:val="00DD440D"/>
    <w:rsid w:val="00DD45EE"/>
    <w:rsid w:val="00DD66C5"/>
    <w:rsid w:val="00DD67BB"/>
    <w:rsid w:val="00DD7781"/>
    <w:rsid w:val="00DD794C"/>
    <w:rsid w:val="00DE21A8"/>
    <w:rsid w:val="00DE3DC0"/>
    <w:rsid w:val="00DE4023"/>
    <w:rsid w:val="00DE763C"/>
    <w:rsid w:val="00DF01F7"/>
    <w:rsid w:val="00DF04B8"/>
    <w:rsid w:val="00DF087B"/>
    <w:rsid w:val="00DF1BE7"/>
    <w:rsid w:val="00DF2FFB"/>
    <w:rsid w:val="00DF33B2"/>
    <w:rsid w:val="00DF6754"/>
    <w:rsid w:val="00E00881"/>
    <w:rsid w:val="00E012B5"/>
    <w:rsid w:val="00E0363A"/>
    <w:rsid w:val="00E0405B"/>
    <w:rsid w:val="00E10A39"/>
    <w:rsid w:val="00E111FA"/>
    <w:rsid w:val="00E14978"/>
    <w:rsid w:val="00E15368"/>
    <w:rsid w:val="00E15D02"/>
    <w:rsid w:val="00E16633"/>
    <w:rsid w:val="00E17006"/>
    <w:rsid w:val="00E17991"/>
    <w:rsid w:val="00E17BBD"/>
    <w:rsid w:val="00E220ED"/>
    <w:rsid w:val="00E22F1D"/>
    <w:rsid w:val="00E23B71"/>
    <w:rsid w:val="00E23BB8"/>
    <w:rsid w:val="00E241CD"/>
    <w:rsid w:val="00E247B9"/>
    <w:rsid w:val="00E24940"/>
    <w:rsid w:val="00E24D3A"/>
    <w:rsid w:val="00E32D8E"/>
    <w:rsid w:val="00E347EE"/>
    <w:rsid w:val="00E34929"/>
    <w:rsid w:val="00E356BD"/>
    <w:rsid w:val="00E35FE6"/>
    <w:rsid w:val="00E42BD1"/>
    <w:rsid w:val="00E43F38"/>
    <w:rsid w:val="00E4407F"/>
    <w:rsid w:val="00E44F62"/>
    <w:rsid w:val="00E44F73"/>
    <w:rsid w:val="00E46B87"/>
    <w:rsid w:val="00E47760"/>
    <w:rsid w:val="00E47AA6"/>
    <w:rsid w:val="00E51618"/>
    <w:rsid w:val="00E550C5"/>
    <w:rsid w:val="00E55A7F"/>
    <w:rsid w:val="00E56DE2"/>
    <w:rsid w:val="00E60993"/>
    <w:rsid w:val="00E63C8F"/>
    <w:rsid w:val="00E7009D"/>
    <w:rsid w:val="00E70DD2"/>
    <w:rsid w:val="00E711C2"/>
    <w:rsid w:val="00E76B9D"/>
    <w:rsid w:val="00E8315C"/>
    <w:rsid w:val="00E832A7"/>
    <w:rsid w:val="00E84138"/>
    <w:rsid w:val="00E8681C"/>
    <w:rsid w:val="00E86B14"/>
    <w:rsid w:val="00E905E6"/>
    <w:rsid w:val="00E90E93"/>
    <w:rsid w:val="00E9295F"/>
    <w:rsid w:val="00E933B5"/>
    <w:rsid w:val="00E95B19"/>
    <w:rsid w:val="00E96AF6"/>
    <w:rsid w:val="00EA1CF8"/>
    <w:rsid w:val="00EA289D"/>
    <w:rsid w:val="00EA5362"/>
    <w:rsid w:val="00EA638E"/>
    <w:rsid w:val="00EA6B1D"/>
    <w:rsid w:val="00EB25DF"/>
    <w:rsid w:val="00EB2F6E"/>
    <w:rsid w:val="00EB4978"/>
    <w:rsid w:val="00EB4E00"/>
    <w:rsid w:val="00EB62E1"/>
    <w:rsid w:val="00EB67F4"/>
    <w:rsid w:val="00EC1BE3"/>
    <w:rsid w:val="00EC2D96"/>
    <w:rsid w:val="00EC41F0"/>
    <w:rsid w:val="00EC48D8"/>
    <w:rsid w:val="00EC4EE4"/>
    <w:rsid w:val="00ED28A1"/>
    <w:rsid w:val="00ED4836"/>
    <w:rsid w:val="00ED6716"/>
    <w:rsid w:val="00ED6FB2"/>
    <w:rsid w:val="00ED7EE8"/>
    <w:rsid w:val="00EE1954"/>
    <w:rsid w:val="00EE1C41"/>
    <w:rsid w:val="00EE3281"/>
    <w:rsid w:val="00EE4758"/>
    <w:rsid w:val="00EE507B"/>
    <w:rsid w:val="00EE7596"/>
    <w:rsid w:val="00EF264E"/>
    <w:rsid w:val="00EF5522"/>
    <w:rsid w:val="00EF722F"/>
    <w:rsid w:val="00EF7C64"/>
    <w:rsid w:val="00EF7CCE"/>
    <w:rsid w:val="00F04AE6"/>
    <w:rsid w:val="00F05B7F"/>
    <w:rsid w:val="00F0769C"/>
    <w:rsid w:val="00F07F35"/>
    <w:rsid w:val="00F1300C"/>
    <w:rsid w:val="00F13E56"/>
    <w:rsid w:val="00F17C5C"/>
    <w:rsid w:val="00F204A1"/>
    <w:rsid w:val="00F2096B"/>
    <w:rsid w:val="00F209CB"/>
    <w:rsid w:val="00F25602"/>
    <w:rsid w:val="00F2709D"/>
    <w:rsid w:val="00F270F5"/>
    <w:rsid w:val="00F32C91"/>
    <w:rsid w:val="00F333D8"/>
    <w:rsid w:val="00F33824"/>
    <w:rsid w:val="00F373F5"/>
    <w:rsid w:val="00F41084"/>
    <w:rsid w:val="00F42C4F"/>
    <w:rsid w:val="00F42FF0"/>
    <w:rsid w:val="00F433E3"/>
    <w:rsid w:val="00F452B9"/>
    <w:rsid w:val="00F54B45"/>
    <w:rsid w:val="00F57104"/>
    <w:rsid w:val="00F57C2C"/>
    <w:rsid w:val="00F57D86"/>
    <w:rsid w:val="00F61DA0"/>
    <w:rsid w:val="00F62DB8"/>
    <w:rsid w:val="00F636C4"/>
    <w:rsid w:val="00F63A4D"/>
    <w:rsid w:val="00F66677"/>
    <w:rsid w:val="00F66D4D"/>
    <w:rsid w:val="00F66EF7"/>
    <w:rsid w:val="00F676EF"/>
    <w:rsid w:val="00F701C6"/>
    <w:rsid w:val="00F70CC2"/>
    <w:rsid w:val="00F70D95"/>
    <w:rsid w:val="00F71157"/>
    <w:rsid w:val="00F71669"/>
    <w:rsid w:val="00F7738B"/>
    <w:rsid w:val="00F77F9E"/>
    <w:rsid w:val="00F81889"/>
    <w:rsid w:val="00F8239D"/>
    <w:rsid w:val="00F84738"/>
    <w:rsid w:val="00F85158"/>
    <w:rsid w:val="00F851E6"/>
    <w:rsid w:val="00F864AE"/>
    <w:rsid w:val="00F86BA3"/>
    <w:rsid w:val="00F87986"/>
    <w:rsid w:val="00F91E83"/>
    <w:rsid w:val="00F93DBF"/>
    <w:rsid w:val="00F94A42"/>
    <w:rsid w:val="00F95E8C"/>
    <w:rsid w:val="00F96352"/>
    <w:rsid w:val="00F9670D"/>
    <w:rsid w:val="00F96744"/>
    <w:rsid w:val="00F96F2D"/>
    <w:rsid w:val="00F9799F"/>
    <w:rsid w:val="00FA085E"/>
    <w:rsid w:val="00FA27E6"/>
    <w:rsid w:val="00FA2D8B"/>
    <w:rsid w:val="00FA54AF"/>
    <w:rsid w:val="00FA5825"/>
    <w:rsid w:val="00FB22EC"/>
    <w:rsid w:val="00FB4405"/>
    <w:rsid w:val="00FB66C5"/>
    <w:rsid w:val="00FB6B62"/>
    <w:rsid w:val="00FB7BAD"/>
    <w:rsid w:val="00FC0B8A"/>
    <w:rsid w:val="00FC1744"/>
    <w:rsid w:val="00FC55C0"/>
    <w:rsid w:val="00FC569E"/>
    <w:rsid w:val="00FC5BBC"/>
    <w:rsid w:val="00FC6175"/>
    <w:rsid w:val="00FC66A1"/>
    <w:rsid w:val="00FC7AEA"/>
    <w:rsid w:val="00FD1280"/>
    <w:rsid w:val="00FD213E"/>
    <w:rsid w:val="00FD3894"/>
    <w:rsid w:val="00FD3CB7"/>
    <w:rsid w:val="00FD3E6F"/>
    <w:rsid w:val="00FD453E"/>
    <w:rsid w:val="00FD5C50"/>
    <w:rsid w:val="00FD6060"/>
    <w:rsid w:val="00FD6776"/>
    <w:rsid w:val="00FE17F8"/>
    <w:rsid w:val="00FE2486"/>
    <w:rsid w:val="00FE27BF"/>
    <w:rsid w:val="00FE5D7B"/>
    <w:rsid w:val="00FF096E"/>
    <w:rsid w:val="00FF2489"/>
    <w:rsid w:val="00FF62E2"/>
    <w:rsid w:val="00FF7DD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A535A"/>
  <w15:docId w15:val="{633559F7-4DEF-4F41-921F-220F731DD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0045"/>
    <w:pPr>
      <w:spacing w:after="0" w:line="360" w:lineRule="auto"/>
    </w:pPr>
    <w:rPr>
      <w:rFonts w:ascii="Times New Roman" w:hAnsi="Times New Roman"/>
    </w:rPr>
  </w:style>
  <w:style w:type="paragraph" w:styleId="Heading1">
    <w:name w:val="heading 1"/>
    <w:basedOn w:val="Normal"/>
    <w:next w:val="Normal"/>
    <w:link w:val="Heading1Char"/>
    <w:uiPriority w:val="9"/>
    <w:qFormat/>
    <w:rsid w:val="00F13E56"/>
    <w:pPr>
      <w:keepNext/>
      <w:keepLines/>
      <w:outlineLvl w:val="0"/>
    </w:pPr>
    <w:rPr>
      <w:rFonts w:eastAsiaTheme="majorEastAsia" w:cs="Times New Roman"/>
      <w:b/>
      <w:szCs w:val="32"/>
    </w:rPr>
  </w:style>
  <w:style w:type="paragraph" w:styleId="Heading2">
    <w:name w:val="heading 2"/>
    <w:basedOn w:val="Normal"/>
    <w:next w:val="Normal"/>
    <w:link w:val="Heading2Char"/>
    <w:uiPriority w:val="9"/>
    <w:unhideWhenUsed/>
    <w:qFormat/>
    <w:rsid w:val="00622C6B"/>
    <w:pPr>
      <w:keepNext/>
      <w:keepLines/>
      <w:outlineLvl w:val="1"/>
    </w:pPr>
    <w:rPr>
      <w:rFonts w:eastAsiaTheme="majorEastAsia" w:cs="Times New Roman"/>
      <w:b/>
      <w:szCs w:val="26"/>
    </w:rPr>
  </w:style>
  <w:style w:type="paragraph" w:styleId="Heading3">
    <w:name w:val="heading 3"/>
    <w:basedOn w:val="Normal"/>
    <w:next w:val="Normal"/>
    <w:link w:val="Heading3Char"/>
    <w:uiPriority w:val="9"/>
    <w:unhideWhenUsed/>
    <w:qFormat/>
    <w:rsid w:val="00716CC9"/>
    <w:pPr>
      <w:keepNext/>
      <w:keepLines/>
      <w:outlineLvl w:val="2"/>
    </w:pPr>
    <w:rPr>
      <w:rFonts w:eastAsiaTheme="majorEastAsia" w:cs="Times New Roman"/>
      <w:b/>
      <w:szCs w:val="24"/>
    </w:rPr>
  </w:style>
  <w:style w:type="paragraph" w:styleId="Heading4">
    <w:name w:val="heading 4"/>
    <w:basedOn w:val="Normal"/>
    <w:next w:val="Normal"/>
    <w:link w:val="Heading4Char"/>
    <w:uiPriority w:val="9"/>
    <w:unhideWhenUsed/>
    <w:qFormat/>
    <w:rsid w:val="009F5584"/>
    <w:pPr>
      <w:keepNext/>
      <w:keepLines/>
      <w:spacing w:before="40"/>
      <w:outlineLvl w:val="3"/>
    </w:pPr>
    <w:rPr>
      <w:rFonts w:eastAsiaTheme="majorEastAsia" w:cs="Times New Roman"/>
      <w:i/>
      <w:iCs/>
      <w:sz w:val="24"/>
      <w:szCs w:val="24"/>
    </w:rPr>
  </w:style>
  <w:style w:type="paragraph" w:styleId="Heading5">
    <w:name w:val="heading 5"/>
    <w:basedOn w:val="Normal"/>
    <w:next w:val="Normal"/>
    <w:link w:val="Heading5Char"/>
    <w:uiPriority w:val="9"/>
    <w:unhideWhenUsed/>
    <w:qFormat/>
    <w:rsid w:val="00B53489"/>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E56"/>
    <w:rPr>
      <w:rFonts w:ascii="Times New Roman" w:eastAsiaTheme="majorEastAsia" w:hAnsi="Times New Roman" w:cs="Times New Roman"/>
      <w:b/>
      <w:szCs w:val="32"/>
    </w:rPr>
  </w:style>
  <w:style w:type="character" w:customStyle="1" w:styleId="Heading2Char">
    <w:name w:val="Heading 2 Char"/>
    <w:basedOn w:val="DefaultParagraphFont"/>
    <w:link w:val="Heading2"/>
    <w:uiPriority w:val="9"/>
    <w:rsid w:val="00622C6B"/>
    <w:rPr>
      <w:rFonts w:ascii="Times New Roman" w:eastAsiaTheme="majorEastAsia" w:hAnsi="Times New Roman" w:cs="Times New Roman"/>
      <w:b/>
      <w:szCs w:val="26"/>
    </w:rPr>
  </w:style>
  <w:style w:type="character" w:customStyle="1" w:styleId="Heading3Char">
    <w:name w:val="Heading 3 Char"/>
    <w:basedOn w:val="DefaultParagraphFont"/>
    <w:link w:val="Heading3"/>
    <w:uiPriority w:val="9"/>
    <w:rsid w:val="00716CC9"/>
    <w:rPr>
      <w:rFonts w:ascii="Times New Roman" w:eastAsiaTheme="majorEastAsia" w:hAnsi="Times New Roman" w:cs="Times New Roman"/>
      <w:b/>
      <w:szCs w:val="24"/>
    </w:rPr>
  </w:style>
  <w:style w:type="character" w:customStyle="1" w:styleId="Heading4Char">
    <w:name w:val="Heading 4 Char"/>
    <w:basedOn w:val="DefaultParagraphFont"/>
    <w:link w:val="Heading4"/>
    <w:uiPriority w:val="9"/>
    <w:rsid w:val="009F5584"/>
    <w:rPr>
      <w:rFonts w:ascii="Times New Roman" w:eastAsiaTheme="majorEastAsia" w:hAnsi="Times New Roman" w:cs="Times New Roman"/>
      <w:i/>
      <w:iCs/>
      <w:sz w:val="24"/>
      <w:szCs w:val="24"/>
    </w:rPr>
  </w:style>
  <w:style w:type="character" w:customStyle="1" w:styleId="Heading5Char">
    <w:name w:val="Heading 5 Char"/>
    <w:basedOn w:val="DefaultParagraphFont"/>
    <w:link w:val="Heading5"/>
    <w:uiPriority w:val="9"/>
    <w:rsid w:val="00B53489"/>
    <w:rPr>
      <w:rFonts w:asciiTheme="majorHAnsi" w:eastAsiaTheme="majorEastAsia" w:hAnsiTheme="majorHAnsi" w:cstheme="majorBidi"/>
      <w:color w:val="1F4D78" w:themeColor="accent1" w:themeShade="7F"/>
    </w:rPr>
  </w:style>
  <w:style w:type="table" w:styleId="TableGrid">
    <w:name w:val="Table Grid"/>
    <w:basedOn w:val="TableNormal"/>
    <w:uiPriority w:val="59"/>
    <w:rsid w:val="003F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96D80"/>
    <w:pPr>
      <w:spacing w:line="240" w:lineRule="auto"/>
    </w:pPr>
    <w:rPr>
      <w:b/>
      <w:iCs/>
      <w:szCs w:val="18"/>
    </w:rPr>
  </w:style>
  <w:style w:type="character" w:styleId="CommentReference">
    <w:name w:val="annotation reference"/>
    <w:basedOn w:val="DefaultParagraphFont"/>
    <w:uiPriority w:val="99"/>
    <w:unhideWhenUsed/>
    <w:rsid w:val="000F0243"/>
    <w:rPr>
      <w:sz w:val="16"/>
      <w:szCs w:val="16"/>
    </w:rPr>
  </w:style>
  <w:style w:type="paragraph" w:styleId="CommentText">
    <w:name w:val="annotation text"/>
    <w:basedOn w:val="Normal"/>
    <w:link w:val="CommentTextChar"/>
    <w:uiPriority w:val="99"/>
    <w:unhideWhenUsed/>
    <w:rsid w:val="000F0243"/>
    <w:pPr>
      <w:spacing w:line="240" w:lineRule="auto"/>
    </w:pPr>
    <w:rPr>
      <w:sz w:val="20"/>
      <w:szCs w:val="20"/>
    </w:rPr>
  </w:style>
  <w:style w:type="character" w:customStyle="1" w:styleId="CommentTextChar">
    <w:name w:val="Comment Text Char"/>
    <w:basedOn w:val="DefaultParagraphFont"/>
    <w:link w:val="CommentText"/>
    <w:uiPriority w:val="99"/>
    <w:rsid w:val="000F0243"/>
    <w:rPr>
      <w:sz w:val="20"/>
      <w:szCs w:val="20"/>
    </w:rPr>
  </w:style>
  <w:style w:type="paragraph" w:styleId="CommentSubject">
    <w:name w:val="annotation subject"/>
    <w:basedOn w:val="CommentText"/>
    <w:next w:val="CommentText"/>
    <w:link w:val="CommentSubjectChar"/>
    <w:uiPriority w:val="99"/>
    <w:semiHidden/>
    <w:unhideWhenUsed/>
    <w:rsid w:val="000F0243"/>
    <w:rPr>
      <w:b/>
      <w:bCs/>
    </w:rPr>
  </w:style>
  <w:style w:type="character" w:customStyle="1" w:styleId="CommentSubjectChar">
    <w:name w:val="Comment Subject Char"/>
    <w:basedOn w:val="CommentTextChar"/>
    <w:link w:val="CommentSubject"/>
    <w:uiPriority w:val="99"/>
    <w:semiHidden/>
    <w:rsid w:val="000F0243"/>
    <w:rPr>
      <w:b/>
      <w:bCs/>
      <w:sz w:val="20"/>
      <w:szCs w:val="20"/>
    </w:rPr>
  </w:style>
  <w:style w:type="paragraph" w:styleId="BalloonText">
    <w:name w:val="Balloon Text"/>
    <w:basedOn w:val="Normal"/>
    <w:link w:val="BalloonTextChar"/>
    <w:uiPriority w:val="99"/>
    <w:semiHidden/>
    <w:unhideWhenUsed/>
    <w:rsid w:val="000F024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243"/>
    <w:rPr>
      <w:rFonts w:ascii="Segoe UI" w:hAnsi="Segoe UI" w:cs="Segoe UI"/>
      <w:sz w:val="18"/>
      <w:szCs w:val="18"/>
    </w:rPr>
  </w:style>
  <w:style w:type="paragraph" w:customStyle="1" w:styleId="EndNoteBibliographyTitle">
    <w:name w:val="EndNote Bibliography Title"/>
    <w:basedOn w:val="Normal"/>
    <w:link w:val="EndNoteBibliographyTitleChar"/>
    <w:rsid w:val="00FC5BBC"/>
    <w:pPr>
      <w:jc w:val="center"/>
    </w:pPr>
    <w:rPr>
      <w:rFonts w:cs="Times New Roman"/>
      <w:noProof/>
      <w:sz w:val="24"/>
      <w:lang w:val="en-US"/>
    </w:rPr>
  </w:style>
  <w:style w:type="character" w:customStyle="1" w:styleId="EndNoteBibliographyTitleChar">
    <w:name w:val="EndNote Bibliography Title Char"/>
    <w:basedOn w:val="DefaultParagraphFont"/>
    <w:link w:val="EndNoteBibliographyTitle"/>
    <w:rsid w:val="00FC5BBC"/>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FC5BBC"/>
    <w:pPr>
      <w:spacing w:line="240" w:lineRule="auto"/>
    </w:pPr>
    <w:rPr>
      <w:rFonts w:cs="Times New Roman"/>
      <w:noProof/>
      <w:sz w:val="24"/>
      <w:lang w:val="en-US"/>
    </w:rPr>
  </w:style>
  <w:style w:type="character" w:customStyle="1" w:styleId="EndNoteBibliographyChar">
    <w:name w:val="EndNote Bibliography Char"/>
    <w:basedOn w:val="DefaultParagraphFont"/>
    <w:link w:val="EndNoteBibliography"/>
    <w:rsid w:val="00FC5BBC"/>
    <w:rPr>
      <w:rFonts w:ascii="Times New Roman" w:hAnsi="Times New Roman" w:cs="Times New Roman"/>
      <w:noProof/>
      <w:sz w:val="24"/>
      <w:lang w:val="en-US"/>
    </w:rPr>
  </w:style>
  <w:style w:type="character" w:styleId="Hyperlink">
    <w:name w:val="Hyperlink"/>
    <w:basedOn w:val="DefaultParagraphFont"/>
    <w:uiPriority w:val="99"/>
    <w:unhideWhenUsed/>
    <w:rsid w:val="00000BF5"/>
    <w:rPr>
      <w:color w:val="0563C1" w:themeColor="hyperlink"/>
      <w:u w:val="single"/>
    </w:rPr>
  </w:style>
  <w:style w:type="paragraph" w:styleId="ListParagraph">
    <w:name w:val="List Paragraph"/>
    <w:basedOn w:val="Normal"/>
    <w:uiPriority w:val="34"/>
    <w:qFormat/>
    <w:rsid w:val="00FB4405"/>
    <w:pPr>
      <w:ind w:left="720"/>
      <w:contextualSpacing/>
    </w:pPr>
  </w:style>
  <w:style w:type="character" w:styleId="FollowedHyperlink">
    <w:name w:val="FollowedHyperlink"/>
    <w:basedOn w:val="DefaultParagraphFont"/>
    <w:uiPriority w:val="99"/>
    <w:semiHidden/>
    <w:unhideWhenUsed/>
    <w:rsid w:val="003519D5"/>
    <w:rPr>
      <w:color w:val="954F72" w:themeColor="followedHyperlink"/>
      <w:u w:val="single"/>
    </w:rPr>
  </w:style>
  <w:style w:type="table" w:customStyle="1" w:styleId="TableGrid1">
    <w:name w:val="Table Grid1"/>
    <w:basedOn w:val="TableNormal"/>
    <w:next w:val="TableGrid"/>
    <w:uiPriority w:val="39"/>
    <w:rsid w:val="00303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633C"/>
    <w:pPr>
      <w:tabs>
        <w:tab w:val="center" w:pos="4513"/>
        <w:tab w:val="right" w:pos="9026"/>
      </w:tabs>
      <w:spacing w:line="240" w:lineRule="auto"/>
    </w:pPr>
  </w:style>
  <w:style w:type="character" w:customStyle="1" w:styleId="HeaderChar">
    <w:name w:val="Header Char"/>
    <w:basedOn w:val="DefaultParagraphFont"/>
    <w:link w:val="Header"/>
    <w:uiPriority w:val="99"/>
    <w:rsid w:val="0009633C"/>
  </w:style>
  <w:style w:type="paragraph" w:styleId="Footer">
    <w:name w:val="footer"/>
    <w:basedOn w:val="Normal"/>
    <w:link w:val="FooterChar"/>
    <w:uiPriority w:val="99"/>
    <w:unhideWhenUsed/>
    <w:rsid w:val="0009633C"/>
    <w:pPr>
      <w:tabs>
        <w:tab w:val="center" w:pos="4513"/>
        <w:tab w:val="right" w:pos="9026"/>
      </w:tabs>
      <w:spacing w:line="240" w:lineRule="auto"/>
    </w:pPr>
  </w:style>
  <w:style w:type="character" w:customStyle="1" w:styleId="FooterChar">
    <w:name w:val="Footer Char"/>
    <w:basedOn w:val="DefaultParagraphFont"/>
    <w:link w:val="Footer"/>
    <w:uiPriority w:val="99"/>
    <w:rsid w:val="0009633C"/>
  </w:style>
  <w:style w:type="paragraph" w:customStyle="1" w:styleId="Default">
    <w:name w:val="Default"/>
    <w:link w:val="DefaultChar"/>
    <w:rsid w:val="0009633C"/>
    <w:pPr>
      <w:autoSpaceDE w:val="0"/>
      <w:autoSpaceDN w:val="0"/>
      <w:adjustRightInd w:val="0"/>
      <w:spacing w:after="0" w:line="360" w:lineRule="auto"/>
    </w:pPr>
    <w:rPr>
      <w:rFonts w:ascii="Times New Roman" w:eastAsia="Times New Roman" w:hAnsi="Times New Roman" w:cs="Arial"/>
      <w:i/>
      <w:color w:val="000000"/>
      <w:szCs w:val="24"/>
      <w:lang w:val="en-US"/>
    </w:rPr>
  </w:style>
  <w:style w:type="character" w:customStyle="1" w:styleId="DefaultChar">
    <w:name w:val="Default Char"/>
    <w:link w:val="Default"/>
    <w:rsid w:val="0009633C"/>
    <w:rPr>
      <w:rFonts w:ascii="Times New Roman" w:eastAsia="Times New Roman" w:hAnsi="Times New Roman" w:cs="Arial"/>
      <w:i/>
      <w:color w:val="000000"/>
      <w:szCs w:val="24"/>
      <w:lang w:val="en-US"/>
    </w:rPr>
  </w:style>
  <w:style w:type="table" w:customStyle="1" w:styleId="TableGrid2">
    <w:name w:val="Table Grid2"/>
    <w:basedOn w:val="TableNormal"/>
    <w:next w:val="TableGrid"/>
    <w:uiPriority w:val="59"/>
    <w:rsid w:val="00DB6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D1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1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D1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66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82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53489"/>
    <w:pPr>
      <w:spacing w:before="120" w:line="240" w:lineRule="auto"/>
    </w:pPr>
    <w:rPr>
      <w:rFonts w:ascii="Century Schoolbook" w:eastAsia="Times New Roman" w:hAnsi="Century Schoolbook" w:cs="Times New Roman"/>
      <w:sz w:val="24"/>
      <w:szCs w:val="24"/>
    </w:rPr>
  </w:style>
  <w:style w:type="character" w:customStyle="1" w:styleId="BodyTextChar">
    <w:name w:val="Body Text Char"/>
    <w:basedOn w:val="DefaultParagraphFont"/>
    <w:link w:val="BodyText"/>
    <w:rsid w:val="00B53489"/>
    <w:rPr>
      <w:rFonts w:ascii="Century Schoolbook" w:eastAsia="Times New Roman" w:hAnsi="Century Schoolbook" w:cs="Times New Roman"/>
      <w:sz w:val="24"/>
      <w:szCs w:val="24"/>
    </w:rPr>
  </w:style>
  <w:style w:type="character" w:customStyle="1" w:styleId="FootnoteTextChar">
    <w:name w:val="Footnote Text Char"/>
    <w:basedOn w:val="DefaultParagraphFont"/>
    <w:link w:val="FootnoteText"/>
    <w:uiPriority w:val="99"/>
    <w:semiHidden/>
    <w:rsid w:val="00B53489"/>
    <w:rPr>
      <w:rFonts w:ascii="Century Schoolbook" w:eastAsia="Times New Roman" w:hAnsi="Century Schoolbook" w:cs="Times New Roman"/>
      <w:sz w:val="20"/>
      <w:szCs w:val="20"/>
    </w:rPr>
  </w:style>
  <w:style w:type="paragraph" w:styleId="FootnoteText">
    <w:name w:val="footnote text"/>
    <w:basedOn w:val="Normal"/>
    <w:link w:val="FootnoteTextChar"/>
    <w:uiPriority w:val="99"/>
    <w:semiHidden/>
    <w:unhideWhenUsed/>
    <w:rsid w:val="00B53489"/>
    <w:pPr>
      <w:spacing w:line="240" w:lineRule="auto"/>
      <w:jc w:val="both"/>
    </w:pPr>
    <w:rPr>
      <w:rFonts w:ascii="Century Schoolbook" w:eastAsia="Times New Roman" w:hAnsi="Century Schoolbook" w:cs="Times New Roman"/>
      <w:sz w:val="20"/>
      <w:szCs w:val="20"/>
    </w:rPr>
  </w:style>
  <w:style w:type="paragraph" w:customStyle="1" w:styleId="FirstParagraph">
    <w:name w:val="First Paragraph"/>
    <w:basedOn w:val="BodyText"/>
    <w:next w:val="BodyText"/>
    <w:qFormat/>
    <w:rsid w:val="00B53489"/>
    <w:pPr>
      <w:spacing w:before="180" w:after="180"/>
    </w:pPr>
    <w:rPr>
      <w:rFonts w:asciiTheme="minorHAnsi" w:eastAsiaTheme="minorHAnsi" w:hAnsiTheme="minorHAnsi" w:cstheme="minorBidi"/>
      <w:lang w:val="en-US"/>
    </w:rPr>
  </w:style>
  <w:style w:type="paragraph" w:customStyle="1" w:styleId="Compact">
    <w:name w:val="Compact"/>
    <w:basedOn w:val="BodyText"/>
    <w:qFormat/>
    <w:rsid w:val="00B53489"/>
    <w:pPr>
      <w:spacing w:before="36" w:after="36"/>
    </w:pPr>
    <w:rPr>
      <w:rFonts w:asciiTheme="minorHAnsi" w:eastAsiaTheme="minorHAnsi" w:hAnsiTheme="minorHAnsi" w:cstheme="minorBidi"/>
      <w:lang w:val="en-US"/>
    </w:rPr>
  </w:style>
  <w:style w:type="paragraph" w:styleId="Title">
    <w:name w:val="Title"/>
    <w:basedOn w:val="Normal"/>
    <w:next w:val="BodyText"/>
    <w:link w:val="TitleChar"/>
    <w:qFormat/>
    <w:rsid w:val="00B53489"/>
    <w:pPr>
      <w:keepNext/>
      <w:keepLines/>
      <w:spacing w:before="480" w:after="240" w:line="240" w:lineRule="auto"/>
      <w:jc w:val="center"/>
    </w:pPr>
    <w:rPr>
      <w:rFonts w:asciiTheme="majorHAnsi" w:eastAsiaTheme="majorEastAsia" w:hAnsiTheme="majorHAnsi" w:cstheme="majorBidi"/>
      <w:b/>
      <w:bCs/>
      <w:color w:val="2C6EAB" w:themeColor="accent1" w:themeShade="B5"/>
      <w:sz w:val="36"/>
      <w:szCs w:val="36"/>
      <w:lang w:val="en-US"/>
    </w:rPr>
  </w:style>
  <w:style w:type="character" w:customStyle="1" w:styleId="TitleChar">
    <w:name w:val="Title Char"/>
    <w:basedOn w:val="DefaultParagraphFont"/>
    <w:link w:val="Title"/>
    <w:rsid w:val="00B53489"/>
    <w:rPr>
      <w:rFonts w:asciiTheme="majorHAnsi" w:eastAsiaTheme="majorEastAsia" w:hAnsiTheme="majorHAnsi" w:cstheme="majorBidi"/>
      <w:b/>
      <w:bCs/>
      <w:color w:val="2C6EAB" w:themeColor="accent1" w:themeShade="B5"/>
      <w:sz w:val="36"/>
      <w:szCs w:val="36"/>
      <w:lang w:val="en-US"/>
    </w:rPr>
  </w:style>
  <w:style w:type="paragraph" w:customStyle="1" w:styleId="Author">
    <w:name w:val="Author"/>
    <w:next w:val="BodyText"/>
    <w:qFormat/>
    <w:rsid w:val="00B53489"/>
    <w:pPr>
      <w:keepNext/>
      <w:keepLines/>
      <w:spacing w:after="200" w:line="240" w:lineRule="auto"/>
      <w:jc w:val="center"/>
    </w:pPr>
    <w:rPr>
      <w:sz w:val="24"/>
      <w:szCs w:val="24"/>
      <w:lang w:val="en-US"/>
    </w:rPr>
  </w:style>
  <w:style w:type="paragraph" w:styleId="Date">
    <w:name w:val="Date"/>
    <w:next w:val="BodyText"/>
    <w:link w:val="DateChar"/>
    <w:qFormat/>
    <w:rsid w:val="00B53489"/>
    <w:pPr>
      <w:keepNext/>
      <w:keepLines/>
      <w:spacing w:after="200" w:line="240" w:lineRule="auto"/>
      <w:jc w:val="center"/>
    </w:pPr>
    <w:rPr>
      <w:sz w:val="24"/>
      <w:szCs w:val="24"/>
      <w:lang w:val="en-US"/>
    </w:rPr>
  </w:style>
  <w:style w:type="character" w:customStyle="1" w:styleId="DateChar">
    <w:name w:val="Date Char"/>
    <w:basedOn w:val="DefaultParagraphFont"/>
    <w:link w:val="Date"/>
    <w:rsid w:val="00B53489"/>
    <w:rPr>
      <w:sz w:val="24"/>
      <w:szCs w:val="24"/>
      <w:lang w:val="en-US"/>
    </w:rPr>
  </w:style>
  <w:style w:type="character" w:customStyle="1" w:styleId="UnresolvedMention1">
    <w:name w:val="Unresolved Mention1"/>
    <w:basedOn w:val="DefaultParagraphFont"/>
    <w:uiPriority w:val="99"/>
    <w:semiHidden/>
    <w:unhideWhenUsed/>
    <w:rsid w:val="002030E7"/>
    <w:rPr>
      <w:color w:val="808080"/>
      <w:shd w:val="clear" w:color="auto" w:fill="E6E6E6"/>
    </w:rPr>
  </w:style>
  <w:style w:type="character" w:customStyle="1" w:styleId="UnresolvedMention2">
    <w:name w:val="Unresolved Mention2"/>
    <w:basedOn w:val="DefaultParagraphFont"/>
    <w:uiPriority w:val="99"/>
    <w:semiHidden/>
    <w:unhideWhenUsed/>
    <w:rsid w:val="002030E7"/>
    <w:rPr>
      <w:color w:val="808080"/>
      <w:shd w:val="clear" w:color="auto" w:fill="E6E6E6"/>
    </w:rPr>
  </w:style>
  <w:style w:type="character" w:styleId="FootnoteReference">
    <w:name w:val="footnote reference"/>
    <w:basedOn w:val="DefaultParagraphFont"/>
    <w:uiPriority w:val="99"/>
    <w:semiHidden/>
    <w:unhideWhenUsed/>
    <w:rsid w:val="002030E7"/>
    <w:rPr>
      <w:vertAlign w:val="superscript"/>
    </w:rPr>
  </w:style>
  <w:style w:type="character" w:customStyle="1" w:styleId="UnresolvedMention3">
    <w:name w:val="Unresolved Mention3"/>
    <w:basedOn w:val="DefaultParagraphFont"/>
    <w:uiPriority w:val="99"/>
    <w:semiHidden/>
    <w:unhideWhenUsed/>
    <w:rsid w:val="002030E7"/>
    <w:rPr>
      <w:color w:val="808080"/>
      <w:shd w:val="clear" w:color="auto" w:fill="E6E6E6"/>
    </w:rPr>
  </w:style>
  <w:style w:type="character" w:customStyle="1" w:styleId="UnresolvedMention4">
    <w:name w:val="Unresolved Mention4"/>
    <w:basedOn w:val="DefaultParagraphFont"/>
    <w:uiPriority w:val="99"/>
    <w:semiHidden/>
    <w:unhideWhenUsed/>
    <w:rsid w:val="002030E7"/>
    <w:rPr>
      <w:color w:val="808080"/>
      <w:shd w:val="clear" w:color="auto" w:fill="E6E6E6"/>
    </w:rPr>
  </w:style>
  <w:style w:type="character" w:customStyle="1" w:styleId="UnresolvedMention5">
    <w:name w:val="Unresolved Mention5"/>
    <w:basedOn w:val="DefaultParagraphFont"/>
    <w:uiPriority w:val="99"/>
    <w:semiHidden/>
    <w:unhideWhenUsed/>
    <w:rsid w:val="002030E7"/>
    <w:rPr>
      <w:color w:val="605E5C"/>
      <w:shd w:val="clear" w:color="auto" w:fill="E1DFDD"/>
    </w:rPr>
  </w:style>
  <w:style w:type="paragraph" w:styleId="TOC2">
    <w:name w:val="toc 2"/>
    <w:basedOn w:val="Normal"/>
    <w:next w:val="Normal"/>
    <w:autoRedefine/>
    <w:uiPriority w:val="39"/>
    <w:unhideWhenUsed/>
    <w:rsid w:val="00DD794C"/>
    <w:pPr>
      <w:tabs>
        <w:tab w:val="right" w:leader="dot" w:pos="9016"/>
      </w:tabs>
      <w:ind w:left="221"/>
    </w:pPr>
  </w:style>
  <w:style w:type="paragraph" w:styleId="TOC1">
    <w:name w:val="toc 1"/>
    <w:basedOn w:val="Normal"/>
    <w:next w:val="Normal"/>
    <w:autoRedefine/>
    <w:uiPriority w:val="39"/>
    <w:unhideWhenUsed/>
    <w:rsid w:val="00A41A38"/>
    <w:pPr>
      <w:tabs>
        <w:tab w:val="left" w:pos="284"/>
        <w:tab w:val="right" w:leader="dot" w:pos="9016"/>
      </w:tabs>
      <w:spacing w:after="100"/>
    </w:pPr>
  </w:style>
  <w:style w:type="paragraph" w:styleId="TableofFigures">
    <w:name w:val="table of figures"/>
    <w:basedOn w:val="Normal"/>
    <w:next w:val="Normal"/>
    <w:uiPriority w:val="99"/>
    <w:unhideWhenUsed/>
    <w:rsid w:val="00DD794C"/>
  </w:style>
  <w:style w:type="paragraph" w:styleId="Revision">
    <w:name w:val="Revision"/>
    <w:hidden/>
    <w:uiPriority w:val="99"/>
    <w:semiHidden/>
    <w:rsid w:val="001E0C2B"/>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3518">
      <w:bodyDiv w:val="1"/>
      <w:marLeft w:val="0"/>
      <w:marRight w:val="0"/>
      <w:marTop w:val="0"/>
      <w:marBottom w:val="0"/>
      <w:divBdr>
        <w:top w:val="none" w:sz="0" w:space="0" w:color="auto"/>
        <w:left w:val="none" w:sz="0" w:space="0" w:color="auto"/>
        <w:bottom w:val="none" w:sz="0" w:space="0" w:color="auto"/>
        <w:right w:val="none" w:sz="0" w:space="0" w:color="auto"/>
      </w:divBdr>
    </w:div>
    <w:div w:id="90130260">
      <w:bodyDiv w:val="1"/>
      <w:marLeft w:val="0"/>
      <w:marRight w:val="0"/>
      <w:marTop w:val="0"/>
      <w:marBottom w:val="0"/>
      <w:divBdr>
        <w:top w:val="none" w:sz="0" w:space="0" w:color="auto"/>
        <w:left w:val="none" w:sz="0" w:space="0" w:color="auto"/>
        <w:bottom w:val="none" w:sz="0" w:space="0" w:color="auto"/>
        <w:right w:val="none" w:sz="0" w:space="0" w:color="auto"/>
      </w:divBdr>
    </w:div>
    <w:div w:id="100880283">
      <w:bodyDiv w:val="1"/>
      <w:marLeft w:val="0"/>
      <w:marRight w:val="0"/>
      <w:marTop w:val="0"/>
      <w:marBottom w:val="0"/>
      <w:divBdr>
        <w:top w:val="none" w:sz="0" w:space="0" w:color="auto"/>
        <w:left w:val="none" w:sz="0" w:space="0" w:color="auto"/>
        <w:bottom w:val="none" w:sz="0" w:space="0" w:color="auto"/>
        <w:right w:val="none" w:sz="0" w:space="0" w:color="auto"/>
      </w:divBdr>
    </w:div>
    <w:div w:id="200822340">
      <w:bodyDiv w:val="1"/>
      <w:marLeft w:val="0"/>
      <w:marRight w:val="0"/>
      <w:marTop w:val="0"/>
      <w:marBottom w:val="0"/>
      <w:divBdr>
        <w:top w:val="none" w:sz="0" w:space="0" w:color="auto"/>
        <w:left w:val="none" w:sz="0" w:space="0" w:color="auto"/>
        <w:bottom w:val="none" w:sz="0" w:space="0" w:color="auto"/>
        <w:right w:val="none" w:sz="0" w:space="0" w:color="auto"/>
      </w:divBdr>
    </w:div>
    <w:div w:id="479420123">
      <w:bodyDiv w:val="1"/>
      <w:marLeft w:val="0"/>
      <w:marRight w:val="0"/>
      <w:marTop w:val="0"/>
      <w:marBottom w:val="0"/>
      <w:divBdr>
        <w:top w:val="none" w:sz="0" w:space="0" w:color="auto"/>
        <w:left w:val="none" w:sz="0" w:space="0" w:color="auto"/>
        <w:bottom w:val="none" w:sz="0" w:space="0" w:color="auto"/>
        <w:right w:val="none" w:sz="0" w:space="0" w:color="auto"/>
      </w:divBdr>
    </w:div>
    <w:div w:id="646908016">
      <w:bodyDiv w:val="1"/>
      <w:marLeft w:val="0"/>
      <w:marRight w:val="0"/>
      <w:marTop w:val="0"/>
      <w:marBottom w:val="0"/>
      <w:divBdr>
        <w:top w:val="none" w:sz="0" w:space="0" w:color="auto"/>
        <w:left w:val="none" w:sz="0" w:space="0" w:color="auto"/>
        <w:bottom w:val="none" w:sz="0" w:space="0" w:color="auto"/>
        <w:right w:val="none" w:sz="0" w:space="0" w:color="auto"/>
      </w:divBdr>
    </w:div>
    <w:div w:id="663356694">
      <w:bodyDiv w:val="1"/>
      <w:marLeft w:val="0"/>
      <w:marRight w:val="0"/>
      <w:marTop w:val="0"/>
      <w:marBottom w:val="0"/>
      <w:divBdr>
        <w:top w:val="none" w:sz="0" w:space="0" w:color="auto"/>
        <w:left w:val="none" w:sz="0" w:space="0" w:color="auto"/>
        <w:bottom w:val="none" w:sz="0" w:space="0" w:color="auto"/>
        <w:right w:val="none" w:sz="0" w:space="0" w:color="auto"/>
      </w:divBdr>
    </w:div>
    <w:div w:id="825364964">
      <w:bodyDiv w:val="1"/>
      <w:marLeft w:val="0"/>
      <w:marRight w:val="0"/>
      <w:marTop w:val="0"/>
      <w:marBottom w:val="0"/>
      <w:divBdr>
        <w:top w:val="none" w:sz="0" w:space="0" w:color="auto"/>
        <w:left w:val="none" w:sz="0" w:space="0" w:color="auto"/>
        <w:bottom w:val="none" w:sz="0" w:space="0" w:color="auto"/>
        <w:right w:val="none" w:sz="0" w:space="0" w:color="auto"/>
      </w:divBdr>
    </w:div>
    <w:div w:id="979459083">
      <w:bodyDiv w:val="1"/>
      <w:marLeft w:val="0"/>
      <w:marRight w:val="0"/>
      <w:marTop w:val="0"/>
      <w:marBottom w:val="0"/>
      <w:divBdr>
        <w:top w:val="none" w:sz="0" w:space="0" w:color="auto"/>
        <w:left w:val="none" w:sz="0" w:space="0" w:color="auto"/>
        <w:bottom w:val="none" w:sz="0" w:space="0" w:color="auto"/>
        <w:right w:val="none" w:sz="0" w:space="0" w:color="auto"/>
      </w:divBdr>
    </w:div>
    <w:div w:id="1143503766">
      <w:bodyDiv w:val="1"/>
      <w:marLeft w:val="0"/>
      <w:marRight w:val="0"/>
      <w:marTop w:val="0"/>
      <w:marBottom w:val="0"/>
      <w:divBdr>
        <w:top w:val="none" w:sz="0" w:space="0" w:color="auto"/>
        <w:left w:val="none" w:sz="0" w:space="0" w:color="auto"/>
        <w:bottom w:val="none" w:sz="0" w:space="0" w:color="auto"/>
        <w:right w:val="none" w:sz="0" w:space="0" w:color="auto"/>
      </w:divBdr>
    </w:div>
    <w:div w:id="1385907418">
      <w:bodyDiv w:val="1"/>
      <w:marLeft w:val="0"/>
      <w:marRight w:val="0"/>
      <w:marTop w:val="0"/>
      <w:marBottom w:val="0"/>
      <w:divBdr>
        <w:top w:val="none" w:sz="0" w:space="0" w:color="auto"/>
        <w:left w:val="none" w:sz="0" w:space="0" w:color="auto"/>
        <w:bottom w:val="none" w:sz="0" w:space="0" w:color="auto"/>
        <w:right w:val="none" w:sz="0" w:space="0" w:color="auto"/>
      </w:divBdr>
    </w:div>
    <w:div w:id="1412042953">
      <w:bodyDiv w:val="1"/>
      <w:marLeft w:val="0"/>
      <w:marRight w:val="0"/>
      <w:marTop w:val="0"/>
      <w:marBottom w:val="0"/>
      <w:divBdr>
        <w:top w:val="none" w:sz="0" w:space="0" w:color="auto"/>
        <w:left w:val="none" w:sz="0" w:space="0" w:color="auto"/>
        <w:bottom w:val="none" w:sz="0" w:space="0" w:color="auto"/>
        <w:right w:val="none" w:sz="0" w:space="0" w:color="auto"/>
      </w:divBdr>
    </w:div>
    <w:div w:id="1478650631">
      <w:bodyDiv w:val="1"/>
      <w:marLeft w:val="0"/>
      <w:marRight w:val="0"/>
      <w:marTop w:val="0"/>
      <w:marBottom w:val="0"/>
      <w:divBdr>
        <w:top w:val="none" w:sz="0" w:space="0" w:color="auto"/>
        <w:left w:val="none" w:sz="0" w:space="0" w:color="auto"/>
        <w:bottom w:val="none" w:sz="0" w:space="0" w:color="auto"/>
        <w:right w:val="none" w:sz="0" w:space="0" w:color="auto"/>
      </w:divBdr>
    </w:div>
    <w:div w:id="1613628213">
      <w:bodyDiv w:val="1"/>
      <w:marLeft w:val="0"/>
      <w:marRight w:val="0"/>
      <w:marTop w:val="0"/>
      <w:marBottom w:val="0"/>
      <w:divBdr>
        <w:top w:val="none" w:sz="0" w:space="0" w:color="auto"/>
        <w:left w:val="none" w:sz="0" w:space="0" w:color="auto"/>
        <w:bottom w:val="none" w:sz="0" w:space="0" w:color="auto"/>
        <w:right w:val="none" w:sz="0" w:space="0" w:color="auto"/>
      </w:divBdr>
    </w:div>
    <w:div w:id="1699815016">
      <w:bodyDiv w:val="1"/>
      <w:marLeft w:val="0"/>
      <w:marRight w:val="0"/>
      <w:marTop w:val="0"/>
      <w:marBottom w:val="0"/>
      <w:divBdr>
        <w:top w:val="none" w:sz="0" w:space="0" w:color="auto"/>
        <w:left w:val="none" w:sz="0" w:space="0" w:color="auto"/>
        <w:bottom w:val="none" w:sz="0" w:space="0" w:color="auto"/>
        <w:right w:val="none" w:sz="0" w:space="0" w:color="auto"/>
      </w:divBdr>
    </w:div>
    <w:div w:id="1752773922">
      <w:bodyDiv w:val="1"/>
      <w:marLeft w:val="0"/>
      <w:marRight w:val="0"/>
      <w:marTop w:val="0"/>
      <w:marBottom w:val="0"/>
      <w:divBdr>
        <w:top w:val="none" w:sz="0" w:space="0" w:color="auto"/>
        <w:left w:val="none" w:sz="0" w:space="0" w:color="auto"/>
        <w:bottom w:val="none" w:sz="0" w:space="0" w:color="auto"/>
        <w:right w:val="none" w:sz="0" w:space="0" w:color="auto"/>
      </w:divBdr>
    </w:div>
    <w:div w:id="1879465073">
      <w:bodyDiv w:val="1"/>
      <w:marLeft w:val="0"/>
      <w:marRight w:val="0"/>
      <w:marTop w:val="0"/>
      <w:marBottom w:val="0"/>
      <w:divBdr>
        <w:top w:val="none" w:sz="0" w:space="0" w:color="auto"/>
        <w:left w:val="none" w:sz="0" w:space="0" w:color="auto"/>
        <w:bottom w:val="none" w:sz="0" w:space="0" w:color="auto"/>
        <w:right w:val="none" w:sz="0" w:space="0" w:color="auto"/>
      </w:divBdr>
    </w:div>
    <w:div w:id="1916551572">
      <w:bodyDiv w:val="1"/>
      <w:marLeft w:val="0"/>
      <w:marRight w:val="0"/>
      <w:marTop w:val="0"/>
      <w:marBottom w:val="0"/>
      <w:divBdr>
        <w:top w:val="none" w:sz="0" w:space="0" w:color="auto"/>
        <w:left w:val="none" w:sz="0" w:space="0" w:color="auto"/>
        <w:bottom w:val="none" w:sz="0" w:space="0" w:color="auto"/>
        <w:right w:val="none" w:sz="0" w:space="0" w:color="auto"/>
      </w:divBdr>
    </w:div>
    <w:div w:id="1979066338">
      <w:bodyDiv w:val="1"/>
      <w:marLeft w:val="0"/>
      <w:marRight w:val="0"/>
      <w:marTop w:val="0"/>
      <w:marBottom w:val="0"/>
      <w:divBdr>
        <w:top w:val="none" w:sz="0" w:space="0" w:color="auto"/>
        <w:left w:val="none" w:sz="0" w:space="0" w:color="auto"/>
        <w:bottom w:val="none" w:sz="0" w:space="0" w:color="auto"/>
        <w:right w:val="none" w:sz="0" w:space="0" w:color="auto"/>
      </w:divBdr>
    </w:div>
    <w:div w:id="2021735371">
      <w:bodyDiv w:val="1"/>
      <w:marLeft w:val="0"/>
      <w:marRight w:val="0"/>
      <w:marTop w:val="0"/>
      <w:marBottom w:val="0"/>
      <w:divBdr>
        <w:top w:val="none" w:sz="0" w:space="0" w:color="auto"/>
        <w:left w:val="none" w:sz="0" w:space="0" w:color="auto"/>
        <w:bottom w:val="none" w:sz="0" w:space="0" w:color="auto"/>
        <w:right w:val="none" w:sz="0" w:space="0" w:color="auto"/>
      </w:divBdr>
    </w:div>
    <w:div w:id="2075929142">
      <w:bodyDiv w:val="1"/>
      <w:marLeft w:val="0"/>
      <w:marRight w:val="0"/>
      <w:marTop w:val="0"/>
      <w:marBottom w:val="0"/>
      <w:divBdr>
        <w:top w:val="none" w:sz="0" w:space="0" w:color="auto"/>
        <w:left w:val="none" w:sz="0" w:space="0" w:color="auto"/>
        <w:bottom w:val="none" w:sz="0" w:space="0" w:color="auto"/>
        <w:right w:val="none" w:sz="0" w:space="0" w:color="auto"/>
      </w:divBdr>
    </w:div>
    <w:div w:id="213674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app.box.com/s/hhhhg857fjpu2bnxhv6e/file/30140977007" TargetMode="External"/><Relationship Id="rId21" Type="http://schemas.openxmlformats.org/officeDocument/2006/relationships/image" Target="media/image9.png"/><Relationship Id="rId34" Type="http://schemas.openxmlformats.org/officeDocument/2006/relationships/hyperlink" Target="http://www.who.int/bloodproducts/tablestissueinfectivity.pdf" TargetMode="External"/><Relationship Id="rId42" Type="http://schemas.openxmlformats.org/officeDocument/2006/relationships/hyperlink" Target="https://publications.parliament.uk/pa/cm201415/cmselect/cmsctech/327/32706.htm" TargetMode="External"/><Relationship Id="rId47" Type="http://schemas.openxmlformats.org/officeDocument/2006/relationships/hyperlink" Target="https://doi.org/10.22024/UniKent/01.02/65559" TargetMode="External"/><Relationship Id="rId50" Type="http://schemas.openxmlformats.org/officeDocument/2006/relationships/hyperlink" Target="https://www.nice.org.uk/Media/Default/About/what-we-do/NICE-guidance/NICE-highly-specialised-technologies-guidance/HST-interim-methods-process-guide-may-17.pdf" TargetMode="External"/><Relationship Id="rId55"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yperlink" Target="https://www.cdc.gov/prions/cjd/occurrence-transmission.html" TargetMode="External"/><Relationship Id="rId54" Type="http://schemas.openxmlformats.org/officeDocument/2006/relationships/image" Target="media/image2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jd.ed.ac.uk/" TargetMode="External"/><Relationship Id="rId24" Type="http://schemas.openxmlformats.org/officeDocument/2006/relationships/image" Target="media/image12.png"/><Relationship Id="rId32" Type="http://schemas.openxmlformats.org/officeDocument/2006/relationships/hyperlink" Target="http://www.cjd.ed.ac.uk/" TargetMode="External"/><Relationship Id="rId37" Type="http://schemas.openxmlformats.org/officeDocument/2006/relationships/hyperlink" Target="https://www.nice.org.uk/guidance/ipg196/documents/ipg196-patient-safety-and-reduction-of-risk-of-transmission-of-creutzfeldtjakob-disease-cjd-via-interventional-procedures-guidance2" TargetMode="External"/><Relationship Id="rId40" Type="http://schemas.openxmlformats.org/officeDocument/2006/relationships/hyperlink" Target="http://www.eurocjd.ed.ac.uk/surveillance%20data%201.html" TargetMode="External"/><Relationship Id="rId45" Type="http://schemas.openxmlformats.org/officeDocument/2006/relationships/hyperlink" Target="https://www.nice.org.uk/article/pmg9/" TargetMode="External"/><Relationship Id="rId53" Type="http://schemas.openxmlformats.org/officeDocument/2006/relationships/image" Target="media/image21.jpeg"/><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hyperlink" Target="https://www.nice.org.uk/guidance/ipg196/documents/ipg196-patient-safety-and-reduction-of-risk-of-transmission-of-creutzfeldtjakob-disease-cjd-via-interventional-procedures-final-report2" TargetMode="External"/><Relationship Id="rId49" Type="http://schemas.openxmlformats.org/officeDocument/2006/relationships/hyperlink" Target="http://www.cjd.ed.ac.uk/sites/default/files/Report24.pdf" TargetMode="External"/><Relationship Id="rId57" Type="http://schemas.openxmlformats.org/officeDocument/2006/relationships/image" Target="media/image25.png"/><Relationship Id="rId61"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s://www.nice.org.uk/Guidance/IPG196" TargetMode="External"/><Relationship Id="rId52" Type="http://schemas.openxmlformats.org/officeDocument/2006/relationships/image" Target="media/image20.jpeg"/><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null)"/><Relationship Id="rId30" Type="http://schemas.openxmlformats.org/officeDocument/2006/relationships/image" Target="media/image17.png"/><Relationship Id="rId35" Type="http://schemas.openxmlformats.org/officeDocument/2006/relationships/hyperlink" Target="https://www.nice.org.uk/guidance/ipg196/documents/ipg196-patient-safety-and-reduction-of-risk-of-transmission-of-creutzfeldtjakob-disease-cjd-via-interventional-procedures-systematic-review2" TargetMode="External"/><Relationship Id="rId43" Type="http://schemas.openxmlformats.org/officeDocument/2006/relationships/hyperlink" Target="https://www.gov.uk/government/publications/guidance-from-the-acdp-tse-risk-management-subgroup-formerly-tse-working-group" TargetMode="External"/><Relationship Id="rId48" Type="http://schemas.openxmlformats.org/officeDocument/2006/relationships/hyperlink" Target="https://www.pssru.ac.uk/pub/uc/uc2014/full-with-covers.pdf" TargetMode="External"/><Relationship Id="rId56"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cjd.ed.ac.uk/sites/default/files/report25.pdf" TargetMode="External"/><Relationship Id="rId38" Type="http://schemas.openxmlformats.org/officeDocument/2006/relationships/hyperlink" Target="https://app.box.com/s/hhhhg857fjpu2bnxhv6e/file/91796156506" TargetMode="External"/><Relationship Id="rId46" Type="http://schemas.openxmlformats.org/officeDocument/2006/relationships/hyperlink" Target="https://www.ons.gov.uk/peoplepopulationandcommunity/birthsdeathsandmarriages/lifeexpectancies/datasets/nationallifetablesunitedkingdomreferencetables" TargetMode="External"/><Relationship Id="rId59"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m1lu\Google%20Drive\CJD%20Lesley\CJD_data_(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H:\CJD\Runs%20for%20IS%20June\Likelihoods%20with%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5020516801597"/>
          <c:y val="2.2837919688313391E-2"/>
          <c:w val="0.67260244538094704"/>
          <c:h val="0.81431073714538293"/>
        </c:manualLayout>
      </c:layout>
      <c:lineChart>
        <c:grouping val="standard"/>
        <c:varyColors val="0"/>
        <c:ser>
          <c:idx val="0"/>
          <c:order val="0"/>
          <c:tx>
            <c:v>Sporadic CJD</c:v>
          </c:tx>
          <c:spPr>
            <a:ln w="28575" cap="rnd">
              <a:solidFill>
                <a:schemeClr val="accent1"/>
              </a:solidFill>
              <a:round/>
            </a:ln>
            <a:effectLst/>
          </c:spPr>
          <c:marker>
            <c:symbol val="none"/>
          </c:marker>
          <c:cat>
            <c:numRef>
              <c:f>Sheet3!$C$29:$C$50</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Sheet3!$D$29:$D$50</c:f>
              <c:numCache>
                <c:formatCode>General</c:formatCode>
                <c:ptCount val="22"/>
                <c:pt idx="0">
                  <c:v>40</c:v>
                </c:pt>
                <c:pt idx="1">
                  <c:v>59</c:v>
                </c:pt>
                <c:pt idx="2">
                  <c:v>64</c:v>
                </c:pt>
                <c:pt idx="3">
                  <c:v>62</c:v>
                </c:pt>
                <c:pt idx="4">
                  <c:v>48</c:v>
                </c:pt>
                <c:pt idx="5">
                  <c:v>58</c:v>
                </c:pt>
                <c:pt idx="6">
                  <c:v>73</c:v>
                </c:pt>
                <c:pt idx="7">
                  <c:v>79</c:v>
                </c:pt>
                <c:pt idx="8">
                  <c:v>50</c:v>
                </c:pt>
                <c:pt idx="9">
                  <c:v>67</c:v>
                </c:pt>
                <c:pt idx="10">
                  <c:v>68</c:v>
                </c:pt>
                <c:pt idx="11">
                  <c:v>64</c:v>
                </c:pt>
                <c:pt idx="12">
                  <c:v>84</c:v>
                </c:pt>
                <c:pt idx="13">
                  <c:v>78</c:v>
                </c:pt>
                <c:pt idx="14">
                  <c:v>84</c:v>
                </c:pt>
                <c:pt idx="15">
                  <c:v>91</c:v>
                </c:pt>
                <c:pt idx="16">
                  <c:v>93</c:v>
                </c:pt>
                <c:pt idx="17">
                  <c:v>106</c:v>
                </c:pt>
                <c:pt idx="18">
                  <c:v>99</c:v>
                </c:pt>
                <c:pt idx="19">
                  <c:v>104</c:v>
                </c:pt>
                <c:pt idx="20">
                  <c:v>118</c:v>
                </c:pt>
                <c:pt idx="21">
                  <c:v>120</c:v>
                </c:pt>
              </c:numCache>
            </c:numRef>
          </c:val>
          <c:smooth val="0"/>
          <c:extLst>
            <c:ext xmlns:c16="http://schemas.microsoft.com/office/drawing/2014/chart" uri="{C3380CC4-5D6E-409C-BE32-E72D297353CC}">
              <c16:uniqueId val="{00000000-CFDD-40AC-A200-30933C6A6140}"/>
            </c:ext>
          </c:extLst>
        </c:ser>
        <c:ser>
          <c:idx val="1"/>
          <c:order val="1"/>
          <c:tx>
            <c:v>Iatrogenic CJD</c:v>
          </c:tx>
          <c:spPr>
            <a:ln w="28575" cap="rnd">
              <a:solidFill>
                <a:schemeClr val="accent2"/>
              </a:solidFill>
              <a:round/>
            </a:ln>
            <a:effectLst/>
          </c:spPr>
          <c:marker>
            <c:symbol val="none"/>
          </c:marker>
          <c:cat>
            <c:numRef>
              <c:f>Sheet3!$C$29:$C$50</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Sheet3!$E$29:$E$50</c:f>
              <c:numCache>
                <c:formatCode>General</c:formatCode>
                <c:ptCount val="22"/>
                <c:pt idx="0">
                  <c:v>4</c:v>
                </c:pt>
                <c:pt idx="1">
                  <c:v>6</c:v>
                </c:pt>
                <c:pt idx="2">
                  <c:v>3</c:v>
                </c:pt>
                <c:pt idx="3">
                  <c:v>6</c:v>
                </c:pt>
                <c:pt idx="4">
                  <c:v>1</c:v>
                </c:pt>
                <c:pt idx="5">
                  <c:v>4</c:v>
                </c:pt>
                <c:pt idx="6">
                  <c:v>0</c:v>
                </c:pt>
                <c:pt idx="7">
                  <c:v>5</c:v>
                </c:pt>
                <c:pt idx="8">
                  <c:v>2</c:v>
                </c:pt>
                <c:pt idx="9">
                  <c:v>4</c:v>
                </c:pt>
                <c:pt idx="10">
                  <c:v>1</c:v>
                </c:pt>
                <c:pt idx="11">
                  <c:v>2</c:v>
                </c:pt>
                <c:pt idx="12">
                  <c:v>5</c:v>
                </c:pt>
                <c:pt idx="13">
                  <c:v>2</c:v>
                </c:pt>
                <c:pt idx="14">
                  <c:v>3</c:v>
                </c:pt>
                <c:pt idx="15">
                  <c:v>4</c:v>
                </c:pt>
                <c:pt idx="16">
                  <c:v>5</c:v>
                </c:pt>
                <c:pt idx="17">
                  <c:v>2</c:v>
                </c:pt>
                <c:pt idx="18">
                  <c:v>3</c:v>
                </c:pt>
                <c:pt idx="19">
                  <c:v>0</c:v>
                </c:pt>
                <c:pt idx="20">
                  <c:v>1</c:v>
                </c:pt>
                <c:pt idx="21">
                  <c:v>0</c:v>
                </c:pt>
              </c:numCache>
            </c:numRef>
          </c:val>
          <c:smooth val="0"/>
          <c:extLst>
            <c:ext xmlns:c16="http://schemas.microsoft.com/office/drawing/2014/chart" uri="{C3380CC4-5D6E-409C-BE32-E72D297353CC}">
              <c16:uniqueId val="{00000001-CFDD-40AC-A200-30933C6A6140}"/>
            </c:ext>
          </c:extLst>
        </c:ser>
        <c:ser>
          <c:idx val="2"/>
          <c:order val="2"/>
          <c:tx>
            <c:v>Genetic CJD</c:v>
          </c:tx>
          <c:spPr>
            <a:ln w="28575" cap="rnd">
              <a:solidFill>
                <a:schemeClr val="accent3"/>
              </a:solidFill>
              <a:round/>
            </a:ln>
            <a:effectLst/>
          </c:spPr>
          <c:marker>
            <c:symbol val="none"/>
          </c:marker>
          <c:cat>
            <c:numRef>
              <c:f>Sheet3!$C$29:$C$50</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Sheet3!$F$29:$F$50</c:f>
              <c:numCache>
                <c:formatCode>General</c:formatCode>
                <c:ptCount val="22"/>
                <c:pt idx="0">
                  <c:v>6</c:v>
                </c:pt>
                <c:pt idx="1">
                  <c:v>6</c:v>
                </c:pt>
                <c:pt idx="2">
                  <c:v>5</c:v>
                </c:pt>
                <c:pt idx="3">
                  <c:v>2</c:v>
                </c:pt>
                <c:pt idx="4">
                  <c:v>3</c:v>
                </c:pt>
                <c:pt idx="5">
                  <c:v>6</c:v>
                </c:pt>
                <c:pt idx="6">
                  <c:v>5</c:v>
                </c:pt>
                <c:pt idx="7">
                  <c:v>6</c:v>
                </c:pt>
                <c:pt idx="8">
                  <c:v>6</c:v>
                </c:pt>
                <c:pt idx="9">
                  <c:v>13</c:v>
                </c:pt>
                <c:pt idx="10">
                  <c:v>9</c:v>
                </c:pt>
                <c:pt idx="11">
                  <c:v>11</c:v>
                </c:pt>
                <c:pt idx="12">
                  <c:v>6</c:v>
                </c:pt>
                <c:pt idx="13">
                  <c:v>8</c:v>
                </c:pt>
                <c:pt idx="14">
                  <c:v>6</c:v>
                </c:pt>
                <c:pt idx="15">
                  <c:v>14</c:v>
                </c:pt>
                <c:pt idx="16">
                  <c:v>11</c:v>
                </c:pt>
                <c:pt idx="17">
                  <c:v>8</c:v>
                </c:pt>
                <c:pt idx="18">
                  <c:v>11</c:v>
                </c:pt>
                <c:pt idx="19">
                  <c:v>4</c:v>
                </c:pt>
                <c:pt idx="20">
                  <c:v>6</c:v>
                </c:pt>
                <c:pt idx="21">
                  <c:v>12</c:v>
                </c:pt>
              </c:numCache>
            </c:numRef>
          </c:val>
          <c:smooth val="0"/>
          <c:extLst>
            <c:ext xmlns:c16="http://schemas.microsoft.com/office/drawing/2014/chart" uri="{C3380CC4-5D6E-409C-BE32-E72D297353CC}">
              <c16:uniqueId val="{00000002-CFDD-40AC-A200-30933C6A6140}"/>
            </c:ext>
          </c:extLst>
        </c:ser>
        <c:ser>
          <c:idx val="3"/>
          <c:order val="3"/>
          <c:tx>
            <c:v>Variant CJD</c:v>
          </c:tx>
          <c:spPr>
            <a:ln w="28575" cap="rnd">
              <a:solidFill>
                <a:schemeClr val="accent4"/>
              </a:solidFill>
              <a:round/>
            </a:ln>
            <a:effectLst/>
          </c:spPr>
          <c:marker>
            <c:symbol val="none"/>
          </c:marker>
          <c:cat>
            <c:numRef>
              <c:f>Sheet3!$C$29:$C$50</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Sheet3!$G$29:$G$50</c:f>
              <c:numCache>
                <c:formatCode>General</c:formatCode>
                <c:ptCount val="22"/>
                <c:pt idx="0">
                  <c:v>10</c:v>
                </c:pt>
                <c:pt idx="1">
                  <c:v>10</c:v>
                </c:pt>
                <c:pt idx="2">
                  <c:v>18</c:v>
                </c:pt>
                <c:pt idx="3">
                  <c:v>15</c:v>
                </c:pt>
                <c:pt idx="4">
                  <c:v>28</c:v>
                </c:pt>
                <c:pt idx="5">
                  <c:v>20</c:v>
                </c:pt>
                <c:pt idx="6">
                  <c:v>17</c:v>
                </c:pt>
                <c:pt idx="7">
                  <c:v>18</c:v>
                </c:pt>
                <c:pt idx="8">
                  <c:v>9</c:v>
                </c:pt>
                <c:pt idx="9">
                  <c:v>5</c:v>
                </c:pt>
                <c:pt idx="10">
                  <c:v>5</c:v>
                </c:pt>
                <c:pt idx="11">
                  <c:v>5</c:v>
                </c:pt>
                <c:pt idx="12">
                  <c:v>2</c:v>
                </c:pt>
                <c:pt idx="13">
                  <c:v>3</c:v>
                </c:pt>
                <c:pt idx="14">
                  <c:v>3</c:v>
                </c:pt>
                <c:pt idx="15">
                  <c:v>5</c:v>
                </c:pt>
                <c:pt idx="16">
                  <c:v>0</c:v>
                </c:pt>
                <c:pt idx="17">
                  <c:v>1</c:v>
                </c:pt>
                <c:pt idx="18">
                  <c:v>0</c:v>
                </c:pt>
                <c:pt idx="19">
                  <c:v>0</c:v>
                </c:pt>
                <c:pt idx="20">
                  <c:v>1</c:v>
                </c:pt>
                <c:pt idx="21">
                  <c:v>0</c:v>
                </c:pt>
              </c:numCache>
            </c:numRef>
          </c:val>
          <c:smooth val="0"/>
          <c:extLst>
            <c:ext xmlns:c16="http://schemas.microsoft.com/office/drawing/2014/chart" uri="{C3380CC4-5D6E-409C-BE32-E72D297353CC}">
              <c16:uniqueId val="{00000003-CFDD-40AC-A200-30933C6A6140}"/>
            </c:ext>
          </c:extLst>
        </c:ser>
        <c:dLbls>
          <c:showLegendKey val="0"/>
          <c:showVal val="0"/>
          <c:showCatName val="0"/>
          <c:showSerName val="0"/>
          <c:showPercent val="0"/>
          <c:showBubbleSize val="0"/>
        </c:dLbls>
        <c:smooth val="0"/>
        <c:axId val="32918144"/>
        <c:axId val="32920320"/>
      </c:lineChart>
      <c:catAx>
        <c:axId val="32918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20320"/>
        <c:crosses val="autoZero"/>
        <c:auto val="1"/>
        <c:lblAlgn val="ctr"/>
        <c:lblOffset val="100"/>
        <c:noMultiLvlLbl val="0"/>
      </c:catAx>
      <c:valAx>
        <c:axId val="32920320"/>
        <c:scaling>
          <c:orientation val="minMax"/>
          <c:max val="14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Deaths</a:t>
                </a:r>
                <a:r>
                  <a:rPr lang="en-GB" baseline="0"/>
                  <a:t> de</a:t>
                </a:r>
                <a:r>
                  <a:rPr lang="en-GB"/>
                  <a:t>finite</a:t>
                </a:r>
                <a:r>
                  <a:rPr lang="en-GB" baseline="0"/>
                  <a:t> or probable CJD </a:t>
                </a:r>
                <a:endParaRPr lang="en-GB"/>
              </a:p>
            </c:rich>
          </c:tx>
          <c:layout>
            <c:manualLayout>
              <c:xMode val="edge"/>
              <c:yMode val="edge"/>
              <c:x val="2.2007042253521125E-2"/>
              <c:y val="0.182726930443465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8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1"/>
          <c:order val="0"/>
          <c:tx>
            <c:v>P96 group not infectious</c:v>
          </c:tx>
          <c:spPr>
            <a:solidFill>
              <a:schemeClr val="tx1">
                <a:lumMod val="85000"/>
                <a:lumOff val="15000"/>
              </a:schemeClr>
            </a:solidFill>
            <a:ln>
              <a:noFill/>
            </a:ln>
            <a:effectLst/>
          </c:spPr>
          <c:val>
            <c:numRef>
              <c:f>'Likelihood 15 deaths'!$C$2:$C$252</c:f>
              <c:numCache>
                <c:formatCode>General</c:formatCode>
                <c:ptCount val="25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formatCode="0.00E+00">
                  <c:v>1</c:v>
                </c:pt>
                <c:pt idx="15" formatCode="0.00E+00">
                  <c:v>1</c:v>
                </c:pt>
                <c:pt idx="16" formatCode="0.00E+00">
                  <c:v>1</c:v>
                </c:pt>
                <c:pt idx="17" formatCode="0.00E+00">
                  <c:v>1</c:v>
                </c:pt>
                <c:pt idx="18" formatCode="0.00E+00">
                  <c:v>1</c:v>
                </c:pt>
                <c:pt idx="19" formatCode="0.00E+00">
                  <c:v>1</c:v>
                </c:pt>
                <c:pt idx="20" formatCode="0.00E+00">
                  <c:v>1</c:v>
                </c:pt>
                <c:pt idx="21" formatCode="0.00E+00">
                  <c:v>1</c:v>
                </c:pt>
                <c:pt idx="22" formatCode="0.00E+00">
                  <c:v>1</c:v>
                </c:pt>
                <c:pt idx="23" formatCode="0.00E+00">
                  <c:v>1</c:v>
                </c:pt>
                <c:pt idx="24" formatCode="0.00E+00">
                  <c:v>1</c:v>
                </c:pt>
                <c:pt idx="25" formatCode="0.00E+00">
                  <c:v>1</c:v>
                </c:pt>
                <c:pt idx="26" formatCode="0.00E+00">
                  <c:v>1</c:v>
                </c:pt>
                <c:pt idx="27" formatCode="0.00E+00">
                  <c:v>1</c:v>
                </c:pt>
                <c:pt idx="28" formatCode="0.00E+00">
                  <c:v>1</c:v>
                </c:pt>
                <c:pt idx="29" formatCode="0.00E+00">
                  <c:v>1</c:v>
                </c:pt>
                <c:pt idx="30">
                  <c:v>0.99971750026916795</c:v>
                </c:pt>
                <c:pt idx="31" formatCode="0.00E+00">
                  <c:v>0.99761555208821495</c:v>
                </c:pt>
                <c:pt idx="32">
                  <c:v>0.99745912064764897</c:v>
                </c:pt>
                <c:pt idx="33">
                  <c:v>0.99700118102786695</c:v>
                </c:pt>
                <c:pt idx="34" formatCode="0.00E+00">
                  <c:v>0.99685510895732798</c:v>
                </c:pt>
                <c:pt idx="35">
                  <c:v>0.99680674244707301</c:v>
                </c:pt>
                <c:pt idx="36" formatCode="0.00E+00">
                  <c:v>0.99679417892736499</c:v>
                </c:pt>
                <c:pt idx="37" formatCode="0.00E+00">
                  <c:v>0.99670910886518604</c:v>
                </c:pt>
                <c:pt idx="38">
                  <c:v>0.99670281802720095</c:v>
                </c:pt>
                <c:pt idx="39">
                  <c:v>0.99662472843794603</c:v>
                </c:pt>
                <c:pt idx="40">
                  <c:v>0.99661729956383704</c:v>
                </c:pt>
                <c:pt idx="41">
                  <c:v>0.99658540169232401</c:v>
                </c:pt>
                <c:pt idx="42">
                  <c:v>0.99305948939876898</c:v>
                </c:pt>
                <c:pt idx="43" formatCode="0.00E+00">
                  <c:v>0.99187204943823004</c:v>
                </c:pt>
                <c:pt idx="44">
                  <c:v>0.98406535799945605</c:v>
                </c:pt>
                <c:pt idx="45" formatCode="0.00E+00">
                  <c:v>0.98168136337942502</c:v>
                </c:pt>
                <c:pt idx="46" formatCode="0.00E+00">
                  <c:v>0.98131598194902403</c:v>
                </c:pt>
                <c:pt idx="47">
                  <c:v>0.981160646782261</c:v>
                </c:pt>
                <c:pt idx="48" formatCode="0.00E+00">
                  <c:v>0.98106739345775895</c:v>
                </c:pt>
                <c:pt idx="49">
                  <c:v>0.97978755650709703</c:v>
                </c:pt>
                <c:pt idx="50">
                  <c:v>0.979091012575657</c:v>
                </c:pt>
                <c:pt idx="51" formatCode="0.00E+00">
                  <c:v>0.97835722859502805</c:v>
                </c:pt>
                <c:pt idx="52">
                  <c:v>0.97709060826802396</c:v>
                </c:pt>
                <c:pt idx="53" formatCode="0.00E+00">
                  <c:v>0.96362933896409197</c:v>
                </c:pt>
                <c:pt idx="54">
                  <c:v>0.95290469685285595</c:v>
                </c:pt>
                <c:pt idx="55" formatCode="0.00E+00">
                  <c:v>0.950450598480165</c:v>
                </c:pt>
                <c:pt idx="56" formatCode="0.00E+00">
                  <c:v>0.95018104051825003</c:v>
                </c:pt>
                <c:pt idx="57">
                  <c:v>0.95013362080374297</c:v>
                </c:pt>
                <c:pt idx="58" formatCode="0.00E+00">
                  <c:v>0.94993299265115605</c:v>
                </c:pt>
                <c:pt idx="59">
                  <c:v>0.94962433199084995</c:v>
                </c:pt>
                <c:pt idx="60" formatCode="0.00E+00">
                  <c:v>0.94880292241956499</c:v>
                </c:pt>
                <c:pt idx="61">
                  <c:v>0.94838113709014804</c:v>
                </c:pt>
                <c:pt idx="62" formatCode="0.00E+00">
                  <c:v>0.94831386317880995</c:v>
                </c:pt>
                <c:pt idx="63" formatCode="0.00E+00">
                  <c:v>0.94562393680250201</c:v>
                </c:pt>
                <c:pt idx="64" formatCode="0.00E+00">
                  <c:v>0.94463994990175404</c:v>
                </c:pt>
                <c:pt idx="65" formatCode="0.00E+00">
                  <c:v>0.94109047870273599</c:v>
                </c:pt>
                <c:pt idx="66" formatCode="0.00E+00">
                  <c:v>0.94105317366200703</c:v>
                </c:pt>
                <c:pt idx="67">
                  <c:v>0.94101321589676301</c:v>
                </c:pt>
                <c:pt idx="68" formatCode="0.00E+00">
                  <c:v>0.93728063736674905</c:v>
                </c:pt>
                <c:pt idx="69">
                  <c:v>0.906815029899256</c:v>
                </c:pt>
                <c:pt idx="70" formatCode="0.00E+00">
                  <c:v>0.89618847421566505</c:v>
                </c:pt>
                <c:pt idx="71">
                  <c:v>0.89617223376370303</c:v>
                </c:pt>
                <c:pt idx="72" formatCode="0.00E+00">
                  <c:v>0.89605491852674402</c:v>
                </c:pt>
                <c:pt idx="73" formatCode="0.00E+00">
                  <c:v>0.89483275732762302</c:v>
                </c:pt>
                <c:pt idx="74" formatCode="0.00E+00">
                  <c:v>0.89453727697239105</c:v>
                </c:pt>
                <c:pt idx="75" formatCode="0.00E+00">
                  <c:v>0.89156761626040504</c:v>
                </c:pt>
                <c:pt idx="76">
                  <c:v>0.89148662285727398</c:v>
                </c:pt>
                <c:pt idx="77">
                  <c:v>0.89129598879126404</c:v>
                </c:pt>
                <c:pt idx="78">
                  <c:v>0.88739694594431295</c:v>
                </c:pt>
                <c:pt idx="79" formatCode="0.00E+00">
                  <c:v>0.88122603079706197</c:v>
                </c:pt>
                <c:pt idx="80">
                  <c:v>0.88062471828099498</c:v>
                </c:pt>
                <c:pt idx="81">
                  <c:v>0.88001036529142695</c:v>
                </c:pt>
                <c:pt idx="82" formatCode="0.00E+00">
                  <c:v>0.87853924976103503</c:v>
                </c:pt>
                <c:pt idx="83" formatCode="0.00E+00">
                  <c:v>0.87770986811186802</c:v>
                </c:pt>
                <c:pt idx="84">
                  <c:v>0.86188165611837997</c:v>
                </c:pt>
                <c:pt idx="85" formatCode="0.00E+00">
                  <c:v>0.85845716931560101</c:v>
                </c:pt>
                <c:pt idx="86">
                  <c:v>0.83616635112603399</c:v>
                </c:pt>
                <c:pt idx="87" formatCode="0.00E+00">
                  <c:v>0.83118609324762205</c:v>
                </c:pt>
                <c:pt idx="88" formatCode="0.00E+00">
                  <c:v>0.82645827422412599</c:v>
                </c:pt>
                <c:pt idx="89" formatCode="0.00E+00">
                  <c:v>0.81584472327802005</c:v>
                </c:pt>
                <c:pt idx="90">
                  <c:v>0.81364774405626505</c:v>
                </c:pt>
                <c:pt idx="91" formatCode="0.00E+00">
                  <c:v>0.81297833271674802</c:v>
                </c:pt>
                <c:pt idx="92">
                  <c:v>0.809824069617888</c:v>
                </c:pt>
                <c:pt idx="93" formatCode="0.00E+00">
                  <c:v>0.80618999553971704</c:v>
                </c:pt>
                <c:pt idx="94" formatCode="0.00E+00">
                  <c:v>0.80037850497484198</c:v>
                </c:pt>
                <c:pt idx="95">
                  <c:v>0.79684060137822699</c:v>
                </c:pt>
                <c:pt idx="96">
                  <c:v>0.79338464629220495</c:v>
                </c:pt>
                <c:pt idx="97" formatCode="0.00E+00">
                  <c:v>0.77960698157057495</c:v>
                </c:pt>
                <c:pt idx="98" formatCode="0.00E+00">
                  <c:v>0.778837521187003</c:v>
                </c:pt>
                <c:pt idx="99" formatCode="0.00E+00">
                  <c:v>0.77237039632815696</c:v>
                </c:pt>
                <c:pt idx="100">
                  <c:v>0.76138018880006098</c:v>
                </c:pt>
                <c:pt idx="101">
                  <c:v>0.75333589583444005</c:v>
                </c:pt>
                <c:pt idx="102">
                  <c:v>0.75240410150871995</c:v>
                </c:pt>
                <c:pt idx="103" formatCode="0.00E+00">
                  <c:v>0.74746409544380799</c:v>
                </c:pt>
                <c:pt idx="104" formatCode="0.00E+00">
                  <c:v>0.74208078353731399</c:v>
                </c:pt>
                <c:pt idx="105" formatCode="0.00E+00">
                  <c:v>0.73191478637450003</c:v>
                </c:pt>
                <c:pt idx="106" formatCode="0.00E+00">
                  <c:v>0.71982692645655</c:v>
                </c:pt>
                <c:pt idx="107">
                  <c:v>0.71394750760774495</c:v>
                </c:pt>
                <c:pt idx="108">
                  <c:v>0.69360025257969105</c:v>
                </c:pt>
                <c:pt idx="109" formatCode="0.00E+00">
                  <c:v>0.68762168856022898</c:v>
                </c:pt>
                <c:pt idx="110">
                  <c:v>0.68229008831428695</c:v>
                </c:pt>
                <c:pt idx="111" formatCode="0.00E+00">
                  <c:v>0.67997555677759502</c:v>
                </c:pt>
                <c:pt idx="112" formatCode="0.00E+00">
                  <c:v>0.67133578495811397</c:v>
                </c:pt>
                <c:pt idx="113" formatCode="0.00E+00">
                  <c:v>0.66338252195922998</c:v>
                </c:pt>
                <c:pt idx="114">
                  <c:v>0.66058201190667498</c:v>
                </c:pt>
                <c:pt idx="115" formatCode="0.00E+00">
                  <c:v>0.65572844565051103</c:v>
                </c:pt>
                <c:pt idx="116" formatCode="0.00E+00">
                  <c:v>0.64369694107273101</c:v>
                </c:pt>
                <c:pt idx="117" formatCode="0.00E+00">
                  <c:v>0.64150606437644997</c:v>
                </c:pt>
                <c:pt idx="118" formatCode="0.00E+00">
                  <c:v>0.63913063196061404</c:v>
                </c:pt>
                <c:pt idx="119">
                  <c:v>0.63092202753925897</c:v>
                </c:pt>
                <c:pt idx="120">
                  <c:v>0.61793891294715197</c:v>
                </c:pt>
                <c:pt idx="121">
                  <c:v>0.61778342324969904</c:v>
                </c:pt>
                <c:pt idx="122" formatCode="0.00E+00">
                  <c:v>0.61318902161540301</c:v>
                </c:pt>
                <c:pt idx="123" formatCode="0.00E+00">
                  <c:v>0.60681199122319496</c:v>
                </c:pt>
                <c:pt idx="124">
                  <c:v>0.60324036489691801</c:v>
                </c:pt>
                <c:pt idx="125">
                  <c:v>0.60033956169622404</c:v>
                </c:pt>
                <c:pt idx="126">
                  <c:v>0.58419464642410002</c:v>
                </c:pt>
                <c:pt idx="127" formatCode="0.00E+00">
                  <c:v>0.56502910827519004</c:v>
                </c:pt>
                <c:pt idx="128">
                  <c:v>0.55496696513269195</c:v>
                </c:pt>
                <c:pt idx="129" formatCode="0.00E+00">
                  <c:v>0.55480837732542598</c:v>
                </c:pt>
                <c:pt idx="130" formatCode="0.00E+00">
                  <c:v>0.55470553504917397</c:v>
                </c:pt>
                <c:pt idx="131" formatCode="0.00E+00">
                  <c:v>0.54721212474188197</c:v>
                </c:pt>
                <c:pt idx="132" formatCode="0.00E+00">
                  <c:v>0.54314830079037502</c:v>
                </c:pt>
                <c:pt idx="133">
                  <c:v>0.53488381099466797</c:v>
                </c:pt>
                <c:pt idx="134">
                  <c:v>0.52287632847797705</c:v>
                </c:pt>
                <c:pt idx="135" formatCode="0.00E+00">
                  <c:v>0.51034630063809505</c:v>
                </c:pt>
                <c:pt idx="136" formatCode="0.00E+00">
                  <c:v>0.50235620957259197</c:v>
                </c:pt>
                <c:pt idx="137">
                  <c:v>0.492739439948088</c:v>
                </c:pt>
                <c:pt idx="138" formatCode="0.00E+00">
                  <c:v>0.46784993001739</c:v>
                </c:pt>
                <c:pt idx="139">
                  <c:v>0.45810302514534201</c:v>
                </c:pt>
                <c:pt idx="140" formatCode="0.00E+00">
                  <c:v>0.45682502962181198</c:v>
                </c:pt>
                <c:pt idx="141" formatCode="0.00E+00">
                  <c:v>0.45262204506211201</c:v>
                </c:pt>
                <c:pt idx="142">
                  <c:v>0.45170805979603601</c:v>
                </c:pt>
                <c:pt idx="143" formatCode="0.00E+00">
                  <c:v>0.44723382682230001</c:v>
                </c:pt>
                <c:pt idx="144">
                  <c:v>0.43935028424450701</c:v>
                </c:pt>
                <c:pt idx="145">
                  <c:v>0.43334447212549598</c:v>
                </c:pt>
                <c:pt idx="146">
                  <c:v>0.42938962591566099</c:v>
                </c:pt>
                <c:pt idx="147" formatCode="0.00E+00">
                  <c:v>0.42573716828215002</c:v>
                </c:pt>
                <c:pt idx="148" formatCode="0.00E+00">
                  <c:v>0.41865723679213301</c:v>
                </c:pt>
                <c:pt idx="149">
                  <c:v>0.41844144198161598</c:v>
                </c:pt>
                <c:pt idx="150">
                  <c:v>0.41756421440680802</c:v>
                </c:pt>
                <c:pt idx="151">
                  <c:v>0.408838550148997</c:v>
                </c:pt>
                <c:pt idx="152" formatCode="0.00E+00">
                  <c:v>0.403199305110647</c:v>
                </c:pt>
                <c:pt idx="153">
                  <c:v>0.401866271260999</c:v>
                </c:pt>
                <c:pt idx="154">
                  <c:v>0.39227176684193399</c:v>
                </c:pt>
                <c:pt idx="155">
                  <c:v>0.39060464379434201</c:v>
                </c:pt>
                <c:pt idx="156">
                  <c:v>0.37086261655816799</c:v>
                </c:pt>
                <c:pt idx="157" formatCode="0.00E+00">
                  <c:v>0.36724770955775399</c:v>
                </c:pt>
                <c:pt idx="158">
                  <c:v>0.36432529919916501</c:v>
                </c:pt>
                <c:pt idx="159">
                  <c:v>0.36396704314929601</c:v>
                </c:pt>
                <c:pt idx="160" formatCode="0.00E+00">
                  <c:v>0.35666264102198703</c:v>
                </c:pt>
                <c:pt idx="161">
                  <c:v>0.343866357886283</c:v>
                </c:pt>
                <c:pt idx="162">
                  <c:v>0.34149994583330801</c:v>
                </c:pt>
                <c:pt idx="163">
                  <c:v>0.338931914949053</c:v>
                </c:pt>
                <c:pt idx="164">
                  <c:v>0.33709055819434203</c:v>
                </c:pt>
                <c:pt idx="165">
                  <c:v>0.33615589787690803</c:v>
                </c:pt>
                <c:pt idx="166" formatCode="0.00E+00">
                  <c:v>0.33613693805873102</c:v>
                </c:pt>
                <c:pt idx="167" formatCode="0.00E+00">
                  <c:v>0.32625187281567503</c:v>
                </c:pt>
                <c:pt idx="168" formatCode="0.00E+00">
                  <c:v>0.32292135835236002</c:v>
                </c:pt>
                <c:pt idx="169">
                  <c:v>0.320386395196888</c:v>
                </c:pt>
                <c:pt idx="170" formatCode="0.00E+00">
                  <c:v>0.30765412371794298</c:v>
                </c:pt>
                <c:pt idx="171">
                  <c:v>0.30185649254407498</c:v>
                </c:pt>
                <c:pt idx="172" formatCode="0.00E+00">
                  <c:v>0.301237438096355</c:v>
                </c:pt>
                <c:pt idx="173" formatCode="0.00E+00">
                  <c:v>0.29692970383787798</c:v>
                </c:pt>
                <c:pt idx="174">
                  <c:v>0.29449476276724901</c:v>
                </c:pt>
                <c:pt idx="175" formatCode="0.00E+00">
                  <c:v>0.28185044531203601</c:v>
                </c:pt>
                <c:pt idx="176">
                  <c:v>0.27347776567882598</c:v>
                </c:pt>
                <c:pt idx="177" formatCode="0.00E+00">
                  <c:v>0.240986359785759</c:v>
                </c:pt>
                <c:pt idx="178" formatCode="0.00E+00">
                  <c:v>0.237524633366719</c:v>
                </c:pt>
                <c:pt idx="179">
                  <c:v>0.231361353356655</c:v>
                </c:pt>
                <c:pt idx="180" formatCode="0.00E+00">
                  <c:v>0.22683189029116299</c:v>
                </c:pt>
                <c:pt idx="181" formatCode="0.00E+00">
                  <c:v>0.225070089878842</c:v>
                </c:pt>
                <c:pt idx="182">
                  <c:v>0.22026061974703301</c:v>
                </c:pt>
                <c:pt idx="183">
                  <c:v>0.21971958527525001</c:v>
                </c:pt>
                <c:pt idx="184" formatCode="0.00E+00">
                  <c:v>0.213202515448565</c:v>
                </c:pt>
                <c:pt idx="185" formatCode="0.00E+00">
                  <c:v>0.20737229911299901</c:v>
                </c:pt>
                <c:pt idx="186" formatCode="0.00E+00">
                  <c:v>0.19752773534465801</c:v>
                </c:pt>
                <c:pt idx="187">
                  <c:v>0.18776655948899301</c:v>
                </c:pt>
                <c:pt idx="188">
                  <c:v>0.182681508847271</c:v>
                </c:pt>
                <c:pt idx="189" formatCode="0.00E+00">
                  <c:v>0.173449730593041</c:v>
                </c:pt>
                <c:pt idx="190" formatCode="0.00E+00">
                  <c:v>0.16601828750119699</c:v>
                </c:pt>
                <c:pt idx="191" formatCode="0.00E+00">
                  <c:v>0.164062704736123</c:v>
                </c:pt>
                <c:pt idx="192">
                  <c:v>0.14887642175249199</c:v>
                </c:pt>
                <c:pt idx="193">
                  <c:v>0.14686907021690601</c:v>
                </c:pt>
                <c:pt idx="194" formatCode="0.00E+00">
                  <c:v>0.145873198853748</c:v>
                </c:pt>
                <c:pt idx="195">
                  <c:v>0.143899422845889</c:v>
                </c:pt>
                <c:pt idx="196">
                  <c:v>0.14135328486354301</c:v>
                </c:pt>
                <c:pt idx="197">
                  <c:v>0.14058638172163401</c:v>
                </c:pt>
                <c:pt idx="198">
                  <c:v>0.139080175693438</c:v>
                </c:pt>
                <c:pt idx="199" formatCode="0.00E+00">
                  <c:v>0.13334135279314599</c:v>
                </c:pt>
                <c:pt idx="200">
                  <c:v>0.128271280572787</c:v>
                </c:pt>
                <c:pt idx="201" formatCode="0.00E+00">
                  <c:v>0.12652019603505399</c:v>
                </c:pt>
                <c:pt idx="202">
                  <c:v>0.12465809415929401</c:v>
                </c:pt>
                <c:pt idx="203" formatCode="0.00E+00">
                  <c:v>0.123779087627873</c:v>
                </c:pt>
                <c:pt idx="204">
                  <c:v>0.11356285512291001</c:v>
                </c:pt>
                <c:pt idx="205">
                  <c:v>0.109529527661708</c:v>
                </c:pt>
                <c:pt idx="206">
                  <c:v>0.107117011910651</c:v>
                </c:pt>
                <c:pt idx="207" formatCode="0.00E+00">
                  <c:v>0.105989048679044</c:v>
                </c:pt>
                <c:pt idx="208">
                  <c:v>0.105864803139487</c:v>
                </c:pt>
                <c:pt idx="209">
                  <c:v>0.104885322045617</c:v>
                </c:pt>
                <c:pt idx="210">
                  <c:v>9.74550364816619E-2</c:v>
                </c:pt>
                <c:pt idx="211">
                  <c:v>9.0885026970663599E-2</c:v>
                </c:pt>
                <c:pt idx="212" formatCode="0.00E+00">
                  <c:v>8.7773320525610904E-2</c:v>
                </c:pt>
                <c:pt idx="213" formatCode="0.00E+00">
                  <c:v>8.3675078199366495E-2</c:v>
                </c:pt>
                <c:pt idx="214">
                  <c:v>8.2295349283082006E-2</c:v>
                </c:pt>
                <c:pt idx="215">
                  <c:v>8.1976428878945906E-2</c:v>
                </c:pt>
                <c:pt idx="216" formatCode="0.00E+00">
                  <c:v>8.1622041579506296E-2</c:v>
                </c:pt>
                <c:pt idx="217" formatCode="0.00E+00">
                  <c:v>8.0847793832752396E-2</c:v>
                </c:pt>
                <c:pt idx="218">
                  <c:v>7.6794192475780204E-2</c:v>
                </c:pt>
                <c:pt idx="219">
                  <c:v>7.5785260551833503E-2</c:v>
                </c:pt>
                <c:pt idx="220" formatCode="0.00E+00">
                  <c:v>7.0059681896656803E-2</c:v>
                </c:pt>
                <c:pt idx="221">
                  <c:v>6.6306425593697094E-2</c:v>
                </c:pt>
                <c:pt idx="222" formatCode="0.00E+00">
                  <c:v>6.5478424574136301E-2</c:v>
                </c:pt>
                <c:pt idx="223">
                  <c:v>6.4605626116006606E-2</c:v>
                </c:pt>
                <c:pt idx="224" formatCode="0.00E+00">
                  <c:v>6.2325359848465101E-2</c:v>
                </c:pt>
                <c:pt idx="225">
                  <c:v>6.1611503081802299E-2</c:v>
                </c:pt>
                <c:pt idx="226" formatCode="0.00E+00">
                  <c:v>5.9160190037320502E-2</c:v>
                </c:pt>
                <c:pt idx="227" formatCode="0.00E+00">
                  <c:v>5.7414642517808E-2</c:v>
                </c:pt>
                <c:pt idx="228" formatCode="0.00E+00">
                  <c:v>5.5408264725747197E-2</c:v>
                </c:pt>
                <c:pt idx="229" formatCode="0.00E+00">
                  <c:v>5.3309961896940102E-2</c:v>
                </c:pt>
                <c:pt idx="230" formatCode="0.00E+00">
                  <c:v>5.2187982980350399E-2</c:v>
                </c:pt>
                <c:pt idx="231" formatCode="0.00E+00">
                  <c:v>5.0179585587836702E-2</c:v>
                </c:pt>
                <c:pt idx="232" formatCode="0.00E+00">
                  <c:v>4.8070025089375898E-2</c:v>
                </c:pt>
                <c:pt idx="233">
                  <c:v>4.6986169796841899E-2</c:v>
                </c:pt>
                <c:pt idx="234">
                  <c:v>4.6001547304294003E-2</c:v>
                </c:pt>
                <c:pt idx="235">
                  <c:v>4.4326058227274E-2</c:v>
                </c:pt>
                <c:pt idx="236" formatCode="0.00E+00">
                  <c:v>4.26235452484586E-2</c:v>
                </c:pt>
                <c:pt idx="237">
                  <c:v>4.0010964719872602E-2</c:v>
                </c:pt>
                <c:pt idx="238">
                  <c:v>3.9526436247524097E-2</c:v>
                </c:pt>
                <c:pt idx="239" formatCode="0.00E+00">
                  <c:v>3.8794469865187697E-2</c:v>
                </c:pt>
                <c:pt idx="240">
                  <c:v>3.8222823866790601E-2</c:v>
                </c:pt>
                <c:pt idx="241">
                  <c:v>3.5075686407059797E-2</c:v>
                </c:pt>
                <c:pt idx="242" formatCode="0.00E+00">
                  <c:v>3.2497392260042703E-2</c:v>
                </c:pt>
                <c:pt idx="243">
                  <c:v>3.10032491594622E-2</c:v>
                </c:pt>
                <c:pt idx="244">
                  <c:v>2.9000124162066099E-2</c:v>
                </c:pt>
                <c:pt idx="245">
                  <c:v>2.77656222400889E-2</c:v>
                </c:pt>
                <c:pt idx="246" formatCode="0.00E+00">
                  <c:v>2.7636654189911399E-2</c:v>
                </c:pt>
                <c:pt idx="247">
                  <c:v>2.7506128236045001E-2</c:v>
                </c:pt>
                <c:pt idx="248">
                  <c:v>2.7106522987265801E-2</c:v>
                </c:pt>
                <c:pt idx="249" formatCode="0.00E+00">
                  <c:v>2.4947273501947701E-2</c:v>
                </c:pt>
                <c:pt idx="250">
                  <c:v>2.3595115070908199E-2</c:v>
                </c:pt>
              </c:numCache>
            </c:numRef>
          </c:val>
          <c:extLst>
            <c:ext xmlns:c16="http://schemas.microsoft.com/office/drawing/2014/chart" uri="{C3380CC4-5D6E-409C-BE32-E72D297353CC}">
              <c16:uniqueId val="{00000000-DC93-4CDB-B3FE-C4D775DB5BE1}"/>
            </c:ext>
          </c:extLst>
        </c:ser>
        <c:dLbls>
          <c:showLegendKey val="0"/>
          <c:showVal val="0"/>
          <c:showCatName val="0"/>
          <c:showSerName val="0"/>
          <c:showPercent val="0"/>
          <c:showBubbleSize val="0"/>
        </c:dLbls>
        <c:axId val="36820096"/>
        <c:axId val="36822016"/>
      </c:areaChart>
      <c:barChart>
        <c:barDir val="col"/>
        <c:grouping val="clustered"/>
        <c:varyColors val="0"/>
        <c:ser>
          <c:idx val="0"/>
          <c:order val="1"/>
          <c:tx>
            <c:v>P96 group infectious</c:v>
          </c:tx>
          <c:spPr>
            <a:solidFill>
              <a:schemeClr val="accent2">
                <a:lumMod val="40000"/>
                <a:lumOff val="60000"/>
              </a:schemeClr>
            </a:solidFill>
            <a:ln>
              <a:noFill/>
            </a:ln>
            <a:effectLst/>
          </c:spPr>
          <c:invertIfNegative val="0"/>
          <c:val>
            <c:numRef>
              <c:f>'Likelihood 15 deaths'!$B$2:$B$252</c:f>
              <c:numCache>
                <c:formatCode>General</c:formatCode>
                <c:ptCount val="25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0.99983675008428996</c:v>
                </c:pt>
                <c:pt idx="29">
                  <c:v>0.99831009315522501</c:v>
                </c:pt>
                <c:pt idx="30">
                  <c:v>0.99750822688409702</c:v>
                </c:pt>
                <c:pt idx="31">
                  <c:v>0.99750668021225997</c:v>
                </c:pt>
                <c:pt idx="32">
                  <c:v>0.99702761696595998</c:v>
                </c:pt>
                <c:pt idx="33">
                  <c:v>0.99690381442024401</c:v>
                </c:pt>
                <c:pt idx="34">
                  <c:v>0.99670371186430795</c:v>
                </c:pt>
                <c:pt idx="35">
                  <c:v>0.99664204079076102</c:v>
                </c:pt>
                <c:pt idx="36">
                  <c:v>0.99647298357057901</c:v>
                </c:pt>
                <c:pt idx="37">
                  <c:v>0.996371701226196</c:v>
                </c:pt>
                <c:pt idx="38">
                  <c:v>0.99636822934147296</c:v>
                </c:pt>
                <c:pt idx="39">
                  <c:v>0.99587207208454398</c:v>
                </c:pt>
                <c:pt idx="40">
                  <c:v>0.98425561605262302</c:v>
                </c:pt>
                <c:pt idx="41">
                  <c:v>0.98418691166142902</c:v>
                </c:pt>
                <c:pt idx="42">
                  <c:v>0.98176581535532303</c:v>
                </c:pt>
                <c:pt idx="43">
                  <c:v>0.98147366984998496</c:v>
                </c:pt>
                <c:pt idx="44">
                  <c:v>0.97900552521761597</c:v>
                </c:pt>
                <c:pt idx="45">
                  <c:v>0.97797269004574505</c:v>
                </c:pt>
                <c:pt idx="46">
                  <c:v>0.97589553254414296</c:v>
                </c:pt>
                <c:pt idx="47">
                  <c:v>0.97277745546960104</c:v>
                </c:pt>
                <c:pt idx="48">
                  <c:v>0.96998364403062398</c:v>
                </c:pt>
                <c:pt idx="49">
                  <c:v>0.96587607932117903</c:v>
                </c:pt>
                <c:pt idx="50">
                  <c:v>0.96550352168412101</c:v>
                </c:pt>
                <c:pt idx="51">
                  <c:v>0.96490205844783805</c:v>
                </c:pt>
                <c:pt idx="52">
                  <c:v>0.95853626974700701</c:v>
                </c:pt>
                <c:pt idx="53">
                  <c:v>0.95326365414220704</c:v>
                </c:pt>
                <c:pt idx="54">
                  <c:v>0.95065906937582401</c:v>
                </c:pt>
                <c:pt idx="55">
                  <c:v>0.95020874233265995</c:v>
                </c:pt>
                <c:pt idx="56">
                  <c:v>0.950153577439246</c:v>
                </c:pt>
                <c:pt idx="57">
                  <c:v>0.94963082768415297</c:v>
                </c:pt>
                <c:pt idx="58">
                  <c:v>0.94948992199256299</c:v>
                </c:pt>
                <c:pt idx="59">
                  <c:v>0.94818015382792997</c:v>
                </c:pt>
                <c:pt idx="60">
                  <c:v>0.94490533570370905</c:v>
                </c:pt>
                <c:pt idx="61">
                  <c:v>0.941926131656174</c:v>
                </c:pt>
                <c:pt idx="62">
                  <c:v>0.93769084127381097</c:v>
                </c:pt>
                <c:pt idx="63">
                  <c:v>0.93602697882476305</c:v>
                </c:pt>
                <c:pt idx="64">
                  <c:v>0.93292925389546999</c:v>
                </c:pt>
                <c:pt idx="65">
                  <c:v>0.93098869342978796</c:v>
                </c:pt>
                <c:pt idx="66">
                  <c:v>0.92704702539644601</c:v>
                </c:pt>
                <c:pt idx="67">
                  <c:v>0.92667964231864097</c:v>
                </c:pt>
                <c:pt idx="68">
                  <c:v>0.90521332540273003</c:v>
                </c:pt>
                <c:pt idx="69">
                  <c:v>0.90014306230473595</c:v>
                </c:pt>
                <c:pt idx="70">
                  <c:v>0.89593394727563003</c:v>
                </c:pt>
                <c:pt idx="71">
                  <c:v>0.89515802646913301</c:v>
                </c:pt>
                <c:pt idx="72">
                  <c:v>0.89399451341179703</c:v>
                </c:pt>
                <c:pt idx="73">
                  <c:v>0.89349765115520596</c:v>
                </c:pt>
                <c:pt idx="74">
                  <c:v>0.89322989596692504</c:v>
                </c:pt>
                <c:pt idx="75">
                  <c:v>0.88182276651740099</c:v>
                </c:pt>
                <c:pt idx="76">
                  <c:v>0.87797686132778896</c:v>
                </c:pt>
                <c:pt idx="77">
                  <c:v>0.87796549117310796</c:v>
                </c:pt>
                <c:pt idx="78">
                  <c:v>0.87222431827009705</c:v>
                </c:pt>
                <c:pt idx="79">
                  <c:v>0.87208736360833405</c:v>
                </c:pt>
                <c:pt idx="80">
                  <c:v>0.87147158995916996</c:v>
                </c:pt>
                <c:pt idx="81">
                  <c:v>0.86327379886651101</c:v>
                </c:pt>
                <c:pt idx="82">
                  <c:v>0.86138624217844395</c:v>
                </c:pt>
                <c:pt idx="83">
                  <c:v>0.85574334634150795</c:v>
                </c:pt>
                <c:pt idx="84">
                  <c:v>0.85287777656835795</c:v>
                </c:pt>
                <c:pt idx="85">
                  <c:v>0.83593707888484703</c:v>
                </c:pt>
                <c:pt idx="86">
                  <c:v>0.83197763289849702</c:v>
                </c:pt>
                <c:pt idx="87">
                  <c:v>0.82595623961674702</c:v>
                </c:pt>
                <c:pt idx="88">
                  <c:v>0.82336740922137497</c:v>
                </c:pt>
                <c:pt idx="89">
                  <c:v>0.81915511410904296</c:v>
                </c:pt>
                <c:pt idx="90">
                  <c:v>0.81823700922725895</c:v>
                </c:pt>
                <c:pt idx="91">
                  <c:v>0.81236970340181602</c:v>
                </c:pt>
                <c:pt idx="92">
                  <c:v>0.80823126535433398</c:v>
                </c:pt>
                <c:pt idx="93">
                  <c:v>0.80712345505119598</c:v>
                </c:pt>
                <c:pt idx="94">
                  <c:v>0.80538975367283405</c:v>
                </c:pt>
                <c:pt idx="95">
                  <c:v>0.80140387481172104</c:v>
                </c:pt>
                <c:pt idx="96">
                  <c:v>0.79444662892992901</c:v>
                </c:pt>
                <c:pt idx="97">
                  <c:v>0.76050177863067403</c:v>
                </c:pt>
                <c:pt idx="98">
                  <c:v>0.75753307119366897</c:v>
                </c:pt>
                <c:pt idx="99">
                  <c:v>0.75220406952532703</c:v>
                </c:pt>
                <c:pt idx="100">
                  <c:v>0.751725194526222</c:v>
                </c:pt>
                <c:pt idx="101">
                  <c:v>0.74911444965505403</c:v>
                </c:pt>
                <c:pt idx="102">
                  <c:v>0.74584856991220705</c:v>
                </c:pt>
                <c:pt idx="103">
                  <c:v>0.73086906765034398</c:v>
                </c:pt>
                <c:pt idx="104">
                  <c:v>0.72086363567970202</c:v>
                </c:pt>
                <c:pt idx="105">
                  <c:v>0.708600318863426</c:v>
                </c:pt>
                <c:pt idx="106">
                  <c:v>0.70422577038296696</c:v>
                </c:pt>
                <c:pt idx="107">
                  <c:v>0.699014609863989</c:v>
                </c:pt>
                <c:pt idx="108">
                  <c:v>0.69054051381897397</c:v>
                </c:pt>
                <c:pt idx="109">
                  <c:v>0.67285708753158902</c:v>
                </c:pt>
                <c:pt idx="110">
                  <c:v>0.66564497942521095</c:v>
                </c:pt>
                <c:pt idx="111">
                  <c:v>0.65979060978928905</c:v>
                </c:pt>
                <c:pt idx="112">
                  <c:v>0.65956292757689605</c:v>
                </c:pt>
                <c:pt idx="113">
                  <c:v>0.65187061462054796</c:v>
                </c:pt>
                <c:pt idx="114">
                  <c:v>0.64372514498238398</c:v>
                </c:pt>
                <c:pt idx="115">
                  <c:v>0.63239684281348496</c:v>
                </c:pt>
                <c:pt idx="116">
                  <c:v>0.61481364989144205</c:v>
                </c:pt>
                <c:pt idx="117">
                  <c:v>0.60582805561750896</c:v>
                </c:pt>
                <c:pt idx="118">
                  <c:v>0.59484346279480904</c:v>
                </c:pt>
                <c:pt idx="119">
                  <c:v>0.59143004270620203</c:v>
                </c:pt>
                <c:pt idx="120">
                  <c:v>0.57397144758068297</c:v>
                </c:pt>
                <c:pt idx="121">
                  <c:v>0.55540059475306303</c:v>
                </c:pt>
                <c:pt idx="122">
                  <c:v>0.55222114654021204</c:v>
                </c:pt>
                <c:pt idx="123">
                  <c:v>0.55212372200488502</c:v>
                </c:pt>
                <c:pt idx="124">
                  <c:v>0.54948023048976902</c:v>
                </c:pt>
                <c:pt idx="125">
                  <c:v>0.54911925984976995</c:v>
                </c:pt>
                <c:pt idx="126">
                  <c:v>0.540736973713559</c:v>
                </c:pt>
                <c:pt idx="127">
                  <c:v>0.52294400021901499</c:v>
                </c:pt>
                <c:pt idx="128">
                  <c:v>0.51755769252488604</c:v>
                </c:pt>
                <c:pt idx="129">
                  <c:v>0.50604831303430997</c:v>
                </c:pt>
                <c:pt idx="130">
                  <c:v>0.49072878394404401</c:v>
                </c:pt>
                <c:pt idx="131">
                  <c:v>0.48920549639455302</c:v>
                </c:pt>
                <c:pt idx="132">
                  <c:v>0.48761606400074098</c:v>
                </c:pt>
                <c:pt idx="133">
                  <c:v>0.48401426459970498</c:v>
                </c:pt>
                <c:pt idx="134">
                  <c:v>0.46480306369642099</c:v>
                </c:pt>
                <c:pt idx="135">
                  <c:v>0.46119565408385599</c:v>
                </c:pt>
                <c:pt idx="136">
                  <c:v>0.45800838844035202</c:v>
                </c:pt>
                <c:pt idx="137">
                  <c:v>0.45501402312940598</c:v>
                </c:pt>
                <c:pt idx="138">
                  <c:v>0.454245398102673</c:v>
                </c:pt>
                <c:pt idx="139">
                  <c:v>0.453108846875309</c:v>
                </c:pt>
                <c:pt idx="140">
                  <c:v>0.443171480970318</c:v>
                </c:pt>
                <c:pt idx="141">
                  <c:v>0.433520011032549</c:v>
                </c:pt>
                <c:pt idx="142">
                  <c:v>0.42924524912482498</c:v>
                </c:pt>
                <c:pt idx="143">
                  <c:v>0.40844291643140201</c:v>
                </c:pt>
                <c:pt idx="144">
                  <c:v>0.40730989825710401</c:v>
                </c:pt>
                <c:pt idx="145">
                  <c:v>0.39531874001699002</c:v>
                </c:pt>
                <c:pt idx="146">
                  <c:v>0.39226378641246001</c:v>
                </c:pt>
                <c:pt idx="147">
                  <c:v>0.38964670763454201</c:v>
                </c:pt>
                <c:pt idx="148">
                  <c:v>0.36950747789835398</c:v>
                </c:pt>
                <c:pt idx="149">
                  <c:v>0.368658250830526</c:v>
                </c:pt>
                <c:pt idx="150">
                  <c:v>0.36714727047356299</c:v>
                </c:pt>
                <c:pt idx="151">
                  <c:v>0.36608546060407199</c:v>
                </c:pt>
                <c:pt idx="152">
                  <c:v>0.35846243237784298</c:v>
                </c:pt>
                <c:pt idx="153">
                  <c:v>0.35605881745128598</c:v>
                </c:pt>
                <c:pt idx="154">
                  <c:v>0.34064251255956701</c:v>
                </c:pt>
                <c:pt idx="155">
                  <c:v>0.33955613594288703</c:v>
                </c:pt>
                <c:pt idx="156">
                  <c:v>0.33447753450561402</c:v>
                </c:pt>
                <c:pt idx="157">
                  <c:v>0.32994667831798702</c:v>
                </c:pt>
                <c:pt idx="158">
                  <c:v>0.31282905943094202</c:v>
                </c:pt>
                <c:pt idx="159">
                  <c:v>0.297471089722673</c:v>
                </c:pt>
                <c:pt idx="160">
                  <c:v>0.29014733408439503</c:v>
                </c:pt>
                <c:pt idx="161">
                  <c:v>0.28988275448677497</c:v>
                </c:pt>
                <c:pt idx="162">
                  <c:v>0.28379173459254797</c:v>
                </c:pt>
                <c:pt idx="163">
                  <c:v>0.27553532137340397</c:v>
                </c:pt>
                <c:pt idx="164">
                  <c:v>0.27532169602983703</c:v>
                </c:pt>
                <c:pt idx="165">
                  <c:v>0.27212404496634801</c:v>
                </c:pt>
                <c:pt idx="166">
                  <c:v>0.25392004810734797</c:v>
                </c:pt>
                <c:pt idx="167">
                  <c:v>0.25284761277551199</c:v>
                </c:pt>
                <c:pt idx="168">
                  <c:v>0.25021667900283101</c:v>
                </c:pt>
                <c:pt idx="169">
                  <c:v>0.24815747648868799</c:v>
                </c:pt>
                <c:pt idx="170">
                  <c:v>0.23572262330407501</c:v>
                </c:pt>
                <c:pt idx="171">
                  <c:v>0.23504093752316599</c:v>
                </c:pt>
                <c:pt idx="172">
                  <c:v>0.21417265982036099</c:v>
                </c:pt>
                <c:pt idx="173">
                  <c:v>0.208742093677558</c:v>
                </c:pt>
                <c:pt idx="174">
                  <c:v>0.206128486710878</c:v>
                </c:pt>
                <c:pt idx="175">
                  <c:v>0.19645102849101201</c:v>
                </c:pt>
                <c:pt idx="176">
                  <c:v>0.189911603059884</c:v>
                </c:pt>
                <c:pt idx="177">
                  <c:v>0.185945571049564</c:v>
                </c:pt>
                <c:pt idx="178">
                  <c:v>0.184085040295102</c:v>
                </c:pt>
                <c:pt idx="179">
                  <c:v>0.182584414768173</c:v>
                </c:pt>
                <c:pt idx="180">
                  <c:v>0.18157672245756301</c:v>
                </c:pt>
                <c:pt idx="181">
                  <c:v>0.17863692633591599</c:v>
                </c:pt>
                <c:pt idx="182">
                  <c:v>0.16750195344565999</c:v>
                </c:pt>
                <c:pt idx="183">
                  <c:v>0.159033616167918</c:v>
                </c:pt>
                <c:pt idx="184">
                  <c:v>0.15309992513131901</c:v>
                </c:pt>
                <c:pt idx="185">
                  <c:v>0.148903415194273</c:v>
                </c:pt>
                <c:pt idx="186">
                  <c:v>0.14770237844787901</c:v>
                </c:pt>
                <c:pt idx="187">
                  <c:v>0.143730989849468</c:v>
                </c:pt>
                <c:pt idx="188">
                  <c:v>0.13824751486421499</c:v>
                </c:pt>
                <c:pt idx="189">
                  <c:v>0.135443888932407</c:v>
                </c:pt>
                <c:pt idx="190">
                  <c:v>0.13359126868027699</c:v>
                </c:pt>
                <c:pt idx="191">
                  <c:v>0.131527487747644</c:v>
                </c:pt>
                <c:pt idx="192">
                  <c:v>0.12950214557297901</c:v>
                </c:pt>
                <c:pt idx="193">
                  <c:v>0.12701323346188501</c:v>
                </c:pt>
                <c:pt idx="194">
                  <c:v>0.12593438984091401</c:v>
                </c:pt>
                <c:pt idx="195">
                  <c:v>0.125539808277076</c:v>
                </c:pt>
                <c:pt idx="196">
                  <c:v>0.124308765877819</c:v>
                </c:pt>
                <c:pt idx="197">
                  <c:v>0.11936560215149999</c:v>
                </c:pt>
                <c:pt idx="198">
                  <c:v>0.11831027794478</c:v>
                </c:pt>
                <c:pt idx="199">
                  <c:v>0.114737571079461</c:v>
                </c:pt>
                <c:pt idx="200">
                  <c:v>0.110724493804413</c:v>
                </c:pt>
                <c:pt idx="201">
                  <c:v>0.10115385835284001</c:v>
                </c:pt>
                <c:pt idx="202">
                  <c:v>0.100010543787499</c:v>
                </c:pt>
                <c:pt idx="203">
                  <c:v>8.9952523315804195E-2</c:v>
                </c:pt>
                <c:pt idx="204">
                  <c:v>8.97423107157682E-2</c:v>
                </c:pt>
                <c:pt idx="205" formatCode="0.00E+00">
                  <c:v>8.9506653606728798E-2</c:v>
                </c:pt>
                <c:pt idx="206">
                  <c:v>8.6282164321448696E-2</c:v>
                </c:pt>
                <c:pt idx="207">
                  <c:v>8.1530237864065602E-2</c:v>
                </c:pt>
                <c:pt idx="208">
                  <c:v>7.7706843112836099E-2</c:v>
                </c:pt>
                <c:pt idx="209">
                  <c:v>7.6739648238980607E-2</c:v>
                </c:pt>
                <c:pt idx="210">
                  <c:v>7.6626021432848093E-2</c:v>
                </c:pt>
                <c:pt idx="211" formatCode="0.00E+00">
                  <c:v>7.4099445556355406E-2</c:v>
                </c:pt>
                <c:pt idx="212">
                  <c:v>7.2397344644963293E-2</c:v>
                </c:pt>
                <c:pt idx="213">
                  <c:v>7.2205241845185494E-2</c:v>
                </c:pt>
                <c:pt idx="214">
                  <c:v>7.1643371537356004E-2</c:v>
                </c:pt>
                <c:pt idx="215">
                  <c:v>6.9636242905610699E-2</c:v>
                </c:pt>
                <c:pt idx="216">
                  <c:v>6.6805654164779599E-2</c:v>
                </c:pt>
                <c:pt idx="217" formatCode="0.00E+00">
                  <c:v>6.5420818015641799E-2</c:v>
                </c:pt>
                <c:pt idx="218">
                  <c:v>6.5216234212244401E-2</c:v>
                </c:pt>
                <c:pt idx="219">
                  <c:v>6.0791615999922402E-2</c:v>
                </c:pt>
                <c:pt idx="220">
                  <c:v>6.0722188006728003E-2</c:v>
                </c:pt>
                <c:pt idx="221">
                  <c:v>6.0140524021558998E-2</c:v>
                </c:pt>
                <c:pt idx="222">
                  <c:v>5.85327882846398E-2</c:v>
                </c:pt>
                <c:pt idx="223">
                  <c:v>5.6747728594803898E-2</c:v>
                </c:pt>
                <c:pt idx="224" formatCode="0.00E+00">
                  <c:v>5.6251734723459103E-2</c:v>
                </c:pt>
                <c:pt idx="225">
                  <c:v>5.2844157833216901E-2</c:v>
                </c:pt>
                <c:pt idx="226">
                  <c:v>4.80076584578586E-2</c:v>
                </c:pt>
                <c:pt idx="227" formatCode="0.00E+00">
                  <c:v>4.3944193680604302E-2</c:v>
                </c:pt>
                <c:pt idx="228">
                  <c:v>4.2852834827250399E-2</c:v>
                </c:pt>
                <c:pt idx="229">
                  <c:v>4.2757468655380201E-2</c:v>
                </c:pt>
                <c:pt idx="230">
                  <c:v>4.2246574497920401E-2</c:v>
                </c:pt>
                <c:pt idx="231">
                  <c:v>4.1972106449424403E-2</c:v>
                </c:pt>
                <c:pt idx="232">
                  <c:v>4.1221176733966303E-2</c:v>
                </c:pt>
                <c:pt idx="233">
                  <c:v>3.9865476802284701E-2</c:v>
                </c:pt>
                <c:pt idx="234">
                  <c:v>3.8352288626788501E-2</c:v>
                </c:pt>
                <c:pt idx="235" formatCode="0.00E+00">
                  <c:v>3.8027492567516398E-2</c:v>
                </c:pt>
                <c:pt idx="236">
                  <c:v>3.6071334807470497E-2</c:v>
                </c:pt>
                <c:pt idx="237" formatCode="0.00E+00">
                  <c:v>3.6063645248482198E-2</c:v>
                </c:pt>
                <c:pt idx="238">
                  <c:v>3.5752699525790799E-2</c:v>
                </c:pt>
                <c:pt idx="239">
                  <c:v>3.5339442028876497E-2</c:v>
                </c:pt>
                <c:pt idx="240">
                  <c:v>3.5229045036053903E-2</c:v>
                </c:pt>
                <c:pt idx="241" formatCode="0.00E+00">
                  <c:v>3.51196316229722E-2</c:v>
                </c:pt>
                <c:pt idx="242">
                  <c:v>3.3832071736787997E-2</c:v>
                </c:pt>
                <c:pt idx="243">
                  <c:v>3.10003957333858E-2</c:v>
                </c:pt>
                <c:pt idx="244">
                  <c:v>2.73577632929854E-2</c:v>
                </c:pt>
                <c:pt idx="245">
                  <c:v>2.4545695160012201E-2</c:v>
                </c:pt>
                <c:pt idx="246">
                  <c:v>2.1743287954912399E-2</c:v>
                </c:pt>
                <c:pt idx="247">
                  <c:v>2.15644885638866E-2</c:v>
                </c:pt>
                <c:pt idx="248" formatCode="0.00E+00">
                  <c:v>2.15578021949826E-2</c:v>
                </c:pt>
                <c:pt idx="249">
                  <c:v>1.9902355627632502E-2</c:v>
                </c:pt>
                <c:pt idx="250">
                  <c:v>1.97336034154026E-2</c:v>
                </c:pt>
              </c:numCache>
            </c:numRef>
          </c:val>
          <c:extLst>
            <c:ext xmlns:c16="http://schemas.microsoft.com/office/drawing/2014/chart" uri="{C3380CC4-5D6E-409C-BE32-E72D297353CC}">
              <c16:uniqueId val="{00000001-DC93-4CDB-B3FE-C4D775DB5BE1}"/>
            </c:ext>
          </c:extLst>
        </c:ser>
        <c:dLbls>
          <c:showLegendKey val="0"/>
          <c:showVal val="0"/>
          <c:showCatName val="0"/>
          <c:showSerName val="0"/>
          <c:showPercent val="0"/>
          <c:showBubbleSize val="0"/>
        </c:dLbls>
        <c:gapWidth val="0"/>
        <c:axId val="36820096"/>
        <c:axId val="36822016"/>
      </c:barChart>
      <c:catAx>
        <c:axId val="36820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Ranked PSA (curtailed at 251 of 509)</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22016"/>
        <c:crosses val="autoZero"/>
        <c:auto val="1"/>
        <c:lblAlgn val="ctr"/>
        <c:lblOffset val="100"/>
        <c:noMultiLvlLbl val="0"/>
      </c:catAx>
      <c:valAx>
        <c:axId val="368220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Likelihood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2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0F40F-547B-4D0A-9D38-19477C909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104260</Words>
  <Characters>594283</Characters>
  <Application>Microsoft Office Word</Application>
  <DocSecurity>0</DocSecurity>
  <Lines>4952</Lines>
  <Paragraphs>1394</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697149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Uttley</dc:creator>
  <cp:keywords/>
  <dc:description/>
  <cp:lastModifiedBy>Matt Stevenson</cp:lastModifiedBy>
  <cp:revision>2</cp:revision>
  <cp:lastPrinted>2018-03-15T09:56:00Z</cp:lastPrinted>
  <dcterms:created xsi:type="dcterms:W3CDTF">2018-09-19T08:46:00Z</dcterms:created>
  <dcterms:modified xsi:type="dcterms:W3CDTF">2018-09-19T08:46:00Z</dcterms:modified>
</cp:coreProperties>
</file>