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0E" w:rsidRDefault="004B180E" w:rsidP="00927850">
      <w:pPr>
        <w:pStyle w:val="Title"/>
        <w:spacing w:before="0"/>
      </w:pPr>
      <w:bookmarkStart w:id="0" w:name="_GoBack"/>
      <w:bookmarkEnd w:id="0"/>
      <w:r>
        <w:t xml:space="preserve">NATIONAL INSTITUTE FOR HEALTH AND </w:t>
      </w:r>
      <w:r w:rsidR="00554A1D">
        <w:rPr>
          <w:lang w:val="en-GB"/>
        </w:rPr>
        <w:t>CARE</w:t>
      </w:r>
      <w:r>
        <w:t xml:space="preserve"> EXCELLENCE</w:t>
      </w:r>
    </w:p>
    <w:p w:rsidR="00B2228D" w:rsidRDefault="00B2228D" w:rsidP="003178AE">
      <w:pPr>
        <w:pStyle w:val="Heading1"/>
        <w:spacing w:before="0" w:after="240"/>
        <w:jc w:val="center"/>
        <w:rPr>
          <w:lang w:val="en-GB"/>
        </w:rPr>
      </w:pPr>
      <w:r>
        <w:rPr>
          <w:lang w:val="en-GB"/>
        </w:rPr>
        <w:t>Centre for Health Technology Evaluation</w:t>
      </w:r>
    </w:p>
    <w:p w:rsidR="004B180E" w:rsidRPr="00B2228D" w:rsidRDefault="00B2228D" w:rsidP="00927850">
      <w:pPr>
        <w:pStyle w:val="Title"/>
        <w:spacing w:before="0"/>
        <w:rPr>
          <w:lang w:val="en-GB"/>
        </w:rPr>
      </w:pPr>
      <w:r>
        <w:rPr>
          <w:lang w:val="en-GB"/>
        </w:rPr>
        <w:t xml:space="preserve">Report for </w:t>
      </w:r>
      <w:r w:rsidRPr="001007A0">
        <w:t>G</w:t>
      </w:r>
      <w:r>
        <w:rPr>
          <w:lang w:val="en-GB"/>
        </w:rPr>
        <w:t>uidance</w:t>
      </w:r>
      <w:r w:rsidRPr="001007A0">
        <w:t xml:space="preserve"> </w:t>
      </w:r>
      <w:r>
        <w:rPr>
          <w:lang w:val="en-GB"/>
        </w:rPr>
        <w:t>Executive</w:t>
      </w:r>
    </w:p>
    <w:p w:rsidR="004B180E" w:rsidRPr="00457B96" w:rsidRDefault="004B180E" w:rsidP="00927850">
      <w:pPr>
        <w:pStyle w:val="Heading1"/>
        <w:keepNext w:val="0"/>
        <w:spacing w:before="0" w:after="240"/>
      </w:pPr>
      <w:r>
        <w:t xml:space="preserve">Review of </w:t>
      </w:r>
      <w:r w:rsidR="009F4628">
        <w:rPr>
          <w:lang w:val="en-GB"/>
        </w:rPr>
        <w:t>MTG</w:t>
      </w:r>
      <w:r w:rsidR="008A37B7">
        <w:rPr>
          <w:lang w:val="en-GB"/>
        </w:rPr>
        <w:t>6</w:t>
      </w:r>
      <w:r w:rsidR="00B2228D">
        <w:rPr>
          <w:lang w:val="en-GB"/>
        </w:rPr>
        <w:t>:</w:t>
      </w:r>
      <w:r w:rsidR="008526D1" w:rsidRPr="008526D1">
        <w:t xml:space="preserve"> </w:t>
      </w:r>
      <w:r w:rsidR="00041430" w:rsidRPr="00041430">
        <w:t xml:space="preserve">Ambulight PDT for the treatment of non-melanoma skin cancer </w:t>
      </w:r>
    </w:p>
    <w:p w:rsidR="004B180E" w:rsidRPr="001007A0" w:rsidRDefault="004B180E" w:rsidP="005A5DB9">
      <w:pPr>
        <w:autoSpaceDE w:val="0"/>
        <w:autoSpaceDN w:val="0"/>
        <w:adjustRightInd w:val="0"/>
        <w:spacing w:before="240" w:line="276" w:lineRule="auto"/>
        <w:rPr>
          <w:lang w:val="en-US"/>
        </w:rPr>
      </w:pPr>
      <w:r w:rsidRPr="001007A0">
        <w:rPr>
          <w:lang w:val="en-US"/>
        </w:rPr>
        <w:t xml:space="preserve">This guidance was issued in </w:t>
      </w:r>
      <w:r w:rsidR="006E23C1">
        <w:rPr>
          <w:lang w:val="en-US"/>
        </w:rPr>
        <w:t>July</w:t>
      </w:r>
      <w:r w:rsidR="008526D1">
        <w:rPr>
          <w:lang w:val="en-US"/>
        </w:rPr>
        <w:t xml:space="preserve"> 2011</w:t>
      </w:r>
      <w:r w:rsidR="00B2228D">
        <w:rPr>
          <w:lang w:val="en-US"/>
        </w:rPr>
        <w:t>.</w:t>
      </w:r>
    </w:p>
    <w:p w:rsidR="00602AF6" w:rsidRDefault="004B180E" w:rsidP="005A5DB9">
      <w:pPr>
        <w:autoSpaceDE w:val="0"/>
        <w:autoSpaceDN w:val="0"/>
        <w:adjustRightInd w:val="0"/>
        <w:spacing w:before="240" w:line="276" w:lineRule="auto"/>
        <w:rPr>
          <w:lang w:val="en-US"/>
        </w:rPr>
      </w:pPr>
      <w:r w:rsidRPr="001007A0">
        <w:rPr>
          <w:lang w:val="en-US"/>
        </w:rPr>
        <w:t xml:space="preserve">The review </w:t>
      </w:r>
      <w:r w:rsidR="00C1705E" w:rsidRPr="00C1705E">
        <w:rPr>
          <w:lang w:val="en-US"/>
        </w:rPr>
        <w:t xml:space="preserve">proposal is planned to be published for consultation </w:t>
      </w:r>
      <w:r w:rsidR="00C1705E">
        <w:rPr>
          <w:lang w:val="en-US"/>
        </w:rPr>
        <w:t>in</w:t>
      </w:r>
      <w:bookmarkStart w:id="1" w:name="Text2"/>
      <w:r w:rsidR="006243A2">
        <w:rPr>
          <w:lang w:val="en-US"/>
        </w:rPr>
        <w:t xml:space="preserve"> </w:t>
      </w:r>
      <w:r w:rsidR="006E23C1">
        <w:rPr>
          <w:lang w:val="en-US"/>
        </w:rPr>
        <w:t>October</w:t>
      </w:r>
      <w:r w:rsidR="008526D1">
        <w:rPr>
          <w:lang w:val="en-US"/>
        </w:rPr>
        <w:t xml:space="preserve"> 2016</w:t>
      </w:r>
      <w:bookmarkEnd w:id="1"/>
      <w:r w:rsidR="00B2228D">
        <w:rPr>
          <w:lang w:val="en-US"/>
        </w:rPr>
        <w:t>.</w:t>
      </w:r>
    </w:p>
    <w:p w:rsidR="00537651" w:rsidRDefault="00537651" w:rsidP="005A5DB9">
      <w:pPr>
        <w:autoSpaceDE w:val="0"/>
        <w:autoSpaceDN w:val="0"/>
        <w:adjustRightInd w:val="0"/>
        <w:spacing w:before="240" w:line="276" w:lineRule="auto"/>
        <w:rPr>
          <w:lang w:val="en-US"/>
        </w:rPr>
      </w:pPr>
      <w:r>
        <w:rPr>
          <w:lang w:val="en-US"/>
        </w:rPr>
        <w:t>NICE proposes an update of</w:t>
      </w:r>
      <w:r w:rsidRPr="00537651">
        <w:rPr>
          <w:lang w:val="en-US"/>
        </w:rPr>
        <w:t xml:space="preserve"> published guidance if the evidence base or clinical environment has changed to an extent that is likely to have a material effect on the recommenda</w:t>
      </w:r>
      <w:r>
        <w:rPr>
          <w:lang w:val="en-US"/>
        </w:rPr>
        <w:t>tions in the existing guidance.</w:t>
      </w:r>
      <w:r w:rsidRPr="00537651">
        <w:rPr>
          <w:lang w:val="en-US"/>
        </w:rPr>
        <w:t xml:space="preserve"> Other factors such as the introduction of new technologies relevant to the guidance topic, or newer versions of technologies included in the guidance, will be considered relevant in the review process, but will not in individual cases always be sufficient cause to update existing guidance.  </w:t>
      </w:r>
    </w:p>
    <w:p w:rsidR="00BA7D8F" w:rsidRPr="00942AA1" w:rsidRDefault="00BA7D8F" w:rsidP="00927850">
      <w:pPr>
        <w:pStyle w:val="Numberedheading"/>
        <w:keepNext w:val="0"/>
      </w:pPr>
      <w:r w:rsidRPr="00BA7D8F">
        <w:t>Recommendation</w:t>
      </w:r>
      <w:r>
        <w:t xml:space="preserve"> </w:t>
      </w:r>
    </w:p>
    <w:p w:rsidR="0058171E" w:rsidRDefault="00DE458E" w:rsidP="00903E07">
      <w:pPr>
        <w:spacing w:before="240" w:line="276" w:lineRule="auto"/>
        <w:rPr>
          <w:bCs/>
        </w:rPr>
      </w:pPr>
      <w:r>
        <w:t>I</w:t>
      </w:r>
      <w:r w:rsidR="006E23C1">
        <w:t xml:space="preserve">t is recommended to defer </w:t>
      </w:r>
      <w:r w:rsidR="00405CF9">
        <w:t xml:space="preserve">the </w:t>
      </w:r>
      <w:r w:rsidR="006E23C1">
        <w:t xml:space="preserve">review </w:t>
      </w:r>
      <w:r w:rsidR="00AD140C">
        <w:t>until April 2017</w:t>
      </w:r>
    </w:p>
    <w:p w:rsidR="00493B39" w:rsidRPr="00FA58FB" w:rsidRDefault="00DA547B" w:rsidP="00927850">
      <w:pPr>
        <w:pStyle w:val="Numberedheading"/>
        <w:keepNext w:val="0"/>
        <w:rPr>
          <w:lang w:val="en-US"/>
        </w:rPr>
      </w:pPr>
      <w:r>
        <w:t xml:space="preserve">Original </w:t>
      </w:r>
      <w:r w:rsidR="00545DDA">
        <w:rPr>
          <w:lang w:val="en-GB"/>
        </w:rPr>
        <w:t>objective of guidance</w:t>
      </w:r>
    </w:p>
    <w:p w:rsidR="00475341" w:rsidRDefault="00A07923" w:rsidP="005A5DB9">
      <w:pPr>
        <w:spacing w:before="240" w:line="276" w:lineRule="auto"/>
      </w:pPr>
      <w:r>
        <w:t xml:space="preserve">To </w:t>
      </w:r>
      <w:r w:rsidR="00756C4A">
        <w:t>evaluate</w:t>
      </w:r>
      <w:r>
        <w:t xml:space="preserve"> the </w:t>
      </w:r>
      <w:r w:rsidR="00756C4A">
        <w:t>case for adoption</w:t>
      </w:r>
      <w:r>
        <w:t xml:space="preserve"> of </w:t>
      </w:r>
      <w:r w:rsidR="002106E6" w:rsidRPr="002106E6">
        <w:t xml:space="preserve">the </w:t>
      </w:r>
      <w:r w:rsidR="006E23C1">
        <w:t>Ambulight</w:t>
      </w:r>
      <w:r w:rsidR="002106E6" w:rsidRPr="002106E6">
        <w:t xml:space="preserve"> system</w:t>
      </w:r>
      <w:r w:rsidRPr="002106E6">
        <w:t xml:space="preserve"> </w:t>
      </w:r>
      <w:r>
        <w:t xml:space="preserve">for </w:t>
      </w:r>
      <w:r w:rsidR="006E23C1">
        <w:t>treating non-melanoma skin cancer</w:t>
      </w:r>
      <w:r>
        <w:t>.</w:t>
      </w:r>
    </w:p>
    <w:p w:rsidR="00DA547B" w:rsidRPr="00A07923" w:rsidRDefault="00DA547B" w:rsidP="00927850">
      <w:pPr>
        <w:pStyle w:val="Numberedheading"/>
        <w:keepNext w:val="0"/>
      </w:pPr>
      <w:r>
        <w:t>Current guidance</w:t>
      </w:r>
    </w:p>
    <w:p w:rsidR="008526D1" w:rsidRPr="008526D1" w:rsidRDefault="006E23C1" w:rsidP="006E23C1">
      <w:pPr>
        <w:pStyle w:val="Numberedlevel2text"/>
        <w:numPr>
          <w:ilvl w:val="0"/>
          <w:numId w:val="0"/>
        </w:numPr>
        <w:ind w:left="1134" w:hanging="1134"/>
        <w:rPr>
          <w:b/>
        </w:rPr>
      </w:pPr>
      <w:r>
        <w:t>1.1</w:t>
      </w:r>
      <w:r>
        <w:tab/>
      </w:r>
      <w:r w:rsidRPr="00FA7D7A">
        <w:t xml:space="preserve">Ambulight PDT offers a means of delivering photodynamic therapy (PDT) for patients with small non-melanoma skin cancers in an ambulatory care setting, including patients’ homes, and its use may be associated with less pain than conventional PDT. However, the case for routine use of Ambulight PDT in achieving a more efficient service is not supported by the evidence submitted by the manufacturer. </w:t>
      </w:r>
      <w:r w:rsidRPr="008E0962">
        <w:t xml:space="preserve">The quantity of clinical evidence on its use is limited and </w:t>
      </w:r>
      <w:r>
        <w:t>t</w:t>
      </w:r>
      <w:r w:rsidRPr="00FA7D7A">
        <w:t>he cost consequences of adoption, when compared with conventional PDT, ranged from a saving (per patient) of £195 to a cost increase of £536.</w:t>
      </w:r>
      <w:r>
        <w:t xml:space="preserve"> </w:t>
      </w:r>
      <w:r w:rsidRPr="00FA7D7A">
        <w:t xml:space="preserve">NHS organisations should take this into account, alongside other features of the technology, </w:t>
      </w:r>
      <w:r>
        <w:t>when</w:t>
      </w:r>
      <w:r w:rsidRPr="00FA7D7A">
        <w:t xml:space="preserve"> considering </w:t>
      </w:r>
      <w:r w:rsidRPr="0010004F">
        <w:t>whether</w:t>
      </w:r>
      <w:r w:rsidRPr="00FA7D7A">
        <w:t xml:space="preserve"> to use Ambulight PDT.</w:t>
      </w:r>
    </w:p>
    <w:p w:rsidR="00DC4041" w:rsidRPr="00DC4041" w:rsidRDefault="004B180E" w:rsidP="005A5DB9">
      <w:pPr>
        <w:pStyle w:val="Numberedheading"/>
        <w:keepNext w:val="0"/>
      </w:pPr>
      <w:r>
        <w:lastRenderedPageBreak/>
        <w:t>Rationale</w:t>
      </w:r>
    </w:p>
    <w:p w:rsidR="00013985" w:rsidRPr="00E15CF1" w:rsidRDefault="00E51CDD" w:rsidP="00903E07">
      <w:pPr>
        <w:pStyle w:val="Numberedheading"/>
        <w:keepNext w:val="0"/>
        <w:numPr>
          <w:ilvl w:val="0"/>
          <w:numId w:val="0"/>
        </w:numPr>
        <w:spacing w:before="240" w:after="240" w:line="276" w:lineRule="auto"/>
        <w:rPr>
          <w:b w:val="0"/>
          <w:lang w:val="en-GB"/>
        </w:rPr>
      </w:pPr>
      <w:r w:rsidRPr="00E51CDD">
        <w:rPr>
          <w:b w:val="0"/>
        </w:rPr>
        <w:t>There ha</w:t>
      </w:r>
      <w:r w:rsidR="008127EF">
        <w:rPr>
          <w:b w:val="0"/>
          <w:lang w:val="en-GB"/>
        </w:rPr>
        <w:t>ve</w:t>
      </w:r>
      <w:r w:rsidRPr="00E51CDD">
        <w:rPr>
          <w:b w:val="0"/>
        </w:rPr>
        <w:t xml:space="preserve"> been no </w:t>
      </w:r>
      <w:r w:rsidR="0042358B">
        <w:rPr>
          <w:b w:val="0"/>
          <w:lang w:val="en-GB"/>
        </w:rPr>
        <w:t xml:space="preserve">significant </w:t>
      </w:r>
      <w:r w:rsidR="00DE458E">
        <w:rPr>
          <w:b w:val="0"/>
          <w:lang w:val="en-GB"/>
        </w:rPr>
        <w:t xml:space="preserve">changes to </w:t>
      </w:r>
      <w:r w:rsidR="00033475">
        <w:rPr>
          <w:b w:val="0"/>
          <w:lang w:val="en-GB"/>
        </w:rPr>
        <w:t xml:space="preserve">the technology or to </w:t>
      </w:r>
      <w:r w:rsidR="00DE458E">
        <w:rPr>
          <w:b w:val="0"/>
          <w:lang w:val="en-GB"/>
        </w:rPr>
        <w:t xml:space="preserve">the care pathway </w:t>
      </w:r>
      <w:r w:rsidR="00033475">
        <w:rPr>
          <w:b w:val="0"/>
          <w:lang w:val="en-GB"/>
        </w:rPr>
        <w:t>and u</w:t>
      </w:r>
      <w:r w:rsidR="00D632A9">
        <w:rPr>
          <w:b w:val="0"/>
          <w:lang w:val="en-GB"/>
        </w:rPr>
        <w:t xml:space="preserve">pdated cost modelling does not significantly reduce the uncertainty concerning adoption </w:t>
      </w:r>
      <w:r w:rsidR="00033475">
        <w:rPr>
          <w:b w:val="0"/>
          <w:lang w:val="en-GB"/>
        </w:rPr>
        <w:t xml:space="preserve">described </w:t>
      </w:r>
      <w:r w:rsidR="00D632A9">
        <w:rPr>
          <w:b w:val="0"/>
          <w:lang w:val="en-GB"/>
        </w:rPr>
        <w:t xml:space="preserve">in the original recommendation. </w:t>
      </w:r>
      <w:r w:rsidR="00033475">
        <w:rPr>
          <w:b w:val="0"/>
          <w:lang w:val="en-GB"/>
        </w:rPr>
        <w:t>Although there has been no new evidence published which is likely to materially affect the recommendations, deferring the review would allow an upcoming study to be included</w:t>
      </w:r>
      <w:r w:rsidR="00392BC2">
        <w:rPr>
          <w:b w:val="0"/>
          <w:lang w:val="en-GB"/>
        </w:rPr>
        <w:t xml:space="preserve"> (</w:t>
      </w:r>
      <w:r w:rsidR="00903E07">
        <w:rPr>
          <w:b w:val="0"/>
          <w:lang w:val="en-GB"/>
        </w:rPr>
        <w:t>see section 6.5</w:t>
      </w:r>
      <w:r w:rsidR="00392BC2">
        <w:rPr>
          <w:b w:val="0"/>
          <w:lang w:val="en-GB"/>
        </w:rPr>
        <w:t xml:space="preserve"> for details)</w:t>
      </w:r>
      <w:r w:rsidR="00033475">
        <w:rPr>
          <w:b w:val="0"/>
          <w:lang w:val="en-GB"/>
        </w:rPr>
        <w:t>.</w:t>
      </w:r>
      <w:r w:rsidR="00DD57D1">
        <w:rPr>
          <w:b w:val="0"/>
          <w:lang w:val="en-GB"/>
        </w:rPr>
        <w:t xml:space="preserve"> </w:t>
      </w:r>
    </w:p>
    <w:p w:rsidR="00FD0A3E" w:rsidRDefault="00361E32" w:rsidP="00927850">
      <w:pPr>
        <w:pStyle w:val="Numberedheading"/>
        <w:keepNext w:val="0"/>
      </w:pPr>
      <w:r>
        <w:t>Implications for other guidance producing programmes</w:t>
      </w:r>
      <w:r w:rsidR="00511B9E">
        <w:t xml:space="preserve"> </w:t>
      </w:r>
    </w:p>
    <w:p w:rsidR="00FD0A3E" w:rsidRDefault="0043037A" w:rsidP="005A5DB9">
      <w:pPr>
        <w:spacing w:before="240" w:line="276" w:lineRule="auto"/>
      </w:pPr>
      <w:bookmarkStart w:id="2" w:name="Text25"/>
      <w:r>
        <w:t xml:space="preserve">No </w:t>
      </w:r>
      <w:r w:rsidR="00126675">
        <w:t>confl</w:t>
      </w:r>
      <w:r w:rsidR="00874BE2">
        <w:t>i</w:t>
      </w:r>
      <w:r w:rsidR="00126675">
        <w:t>cts or overlaps with ongoing or published appraisals or guidance</w:t>
      </w:r>
      <w:r w:rsidR="00903E07">
        <w:t>,</w:t>
      </w:r>
      <w:r w:rsidR="00126675">
        <w:t xml:space="preserve"> was identified</w:t>
      </w:r>
      <w:r w:rsidR="00363310">
        <w:t>.</w:t>
      </w:r>
      <w:bookmarkEnd w:id="2"/>
      <w:r w:rsidR="00511B9E" w:rsidRPr="002B38CE">
        <w:t xml:space="preserve"> </w:t>
      </w:r>
    </w:p>
    <w:p w:rsidR="00FA58FB" w:rsidRPr="0056596D" w:rsidRDefault="00081BF9" w:rsidP="00927850">
      <w:pPr>
        <w:pStyle w:val="Numberedheading"/>
        <w:keepNext w:val="0"/>
      </w:pPr>
      <w:r w:rsidRPr="00602AF6">
        <w:t>New</w:t>
      </w:r>
      <w:r w:rsidRPr="0056596D">
        <w:t xml:space="preserve"> evidence</w:t>
      </w:r>
      <w:r w:rsidR="00B1359B">
        <w:rPr>
          <w:lang w:val="en-GB"/>
        </w:rPr>
        <w:t xml:space="preserve"> </w:t>
      </w:r>
    </w:p>
    <w:p w:rsidR="009858FD" w:rsidRPr="003D10CA" w:rsidRDefault="00256F0A" w:rsidP="00256F0A">
      <w:pPr>
        <w:pStyle w:val="Heading2"/>
        <w:rPr>
          <w:lang w:val="en-GB"/>
        </w:rPr>
      </w:pPr>
      <w:r>
        <w:rPr>
          <w:lang w:val="en-GB"/>
        </w:rPr>
        <w:t xml:space="preserve">6.1 </w:t>
      </w:r>
      <w:r w:rsidR="009858FD">
        <w:t>T</w:t>
      </w:r>
      <w:r w:rsidR="00BC3E45">
        <w:t>echnolog</w:t>
      </w:r>
      <w:r w:rsidR="00472574">
        <w:rPr>
          <w:lang w:val="en-GB"/>
        </w:rPr>
        <w:t>y availability and changes</w:t>
      </w:r>
    </w:p>
    <w:p w:rsidR="0051771D" w:rsidRDefault="0051771D" w:rsidP="005A5DB9">
      <w:pPr>
        <w:spacing w:before="240" w:line="276" w:lineRule="auto"/>
      </w:pPr>
      <w:r>
        <w:t xml:space="preserve">The technology is still available </w:t>
      </w:r>
      <w:r w:rsidR="00E4090B">
        <w:t>to</w:t>
      </w:r>
      <w:r>
        <w:t xml:space="preserve"> the NHS, through a UK distributor Spirit Healthcare. There has been a minor modification to the technology since the production of the guidance, in that the controller element can now be re-used whereas previously it was single-use. The company has confirmed that technical functions remain the same, and the new device is covered by the same CE mark. The device name has changed from Ambulight PDT to Ambulight Multi PDT. The cost of the device is £500, with an additional cost of £50 for consumables compared to a</w:t>
      </w:r>
      <w:r w:rsidR="00FC70D7">
        <w:t xml:space="preserve"> cost in the </w:t>
      </w:r>
      <w:r>
        <w:t>range of £180 to £250 quoted in the original guidance</w:t>
      </w:r>
      <w:r w:rsidR="00FC70D7">
        <w:t xml:space="preserve"> for the single-use device</w:t>
      </w:r>
      <w:r>
        <w:t xml:space="preserve">. However due to </w:t>
      </w:r>
      <w:r w:rsidR="00E4090B">
        <w:t xml:space="preserve">the increase </w:t>
      </w:r>
      <w:r>
        <w:t xml:space="preserve">in component </w:t>
      </w:r>
      <w:r w:rsidR="00E4090B">
        <w:t xml:space="preserve">lifespan, </w:t>
      </w:r>
      <w:r>
        <w:t>the per patient treatment cost is lower, £10</w:t>
      </w:r>
      <w:r w:rsidR="00E4090B">
        <w:t>2</w:t>
      </w:r>
      <w:r>
        <w:t xml:space="preserve"> compared to £400 previously</w:t>
      </w:r>
    </w:p>
    <w:p w:rsidR="009858FD" w:rsidRDefault="00256F0A" w:rsidP="00256F0A">
      <w:pPr>
        <w:pStyle w:val="Heading2"/>
      </w:pPr>
      <w:bookmarkStart w:id="3" w:name="Text3"/>
      <w:r>
        <w:rPr>
          <w:lang w:val="en-GB"/>
        </w:rPr>
        <w:t xml:space="preserve">6.2 </w:t>
      </w:r>
      <w:r w:rsidR="00B1359B">
        <w:rPr>
          <w:lang w:val="en-GB"/>
        </w:rPr>
        <w:t>C</w:t>
      </w:r>
      <w:r w:rsidR="009858FD">
        <w:rPr>
          <w:lang w:val="en-GB"/>
        </w:rPr>
        <w:t>linical practice</w:t>
      </w:r>
    </w:p>
    <w:p w:rsidR="008A37B7" w:rsidRDefault="008A37B7" w:rsidP="00903E07">
      <w:pPr>
        <w:pStyle w:val="Numberedheading"/>
        <w:keepNext w:val="0"/>
        <w:numPr>
          <w:ilvl w:val="0"/>
          <w:numId w:val="0"/>
        </w:numPr>
        <w:spacing w:before="240" w:after="240" w:line="276" w:lineRule="auto"/>
        <w:rPr>
          <w:b w:val="0"/>
          <w:lang w:val="en-GB"/>
        </w:rPr>
      </w:pPr>
      <w:r>
        <w:rPr>
          <w:b w:val="0"/>
          <w:lang w:val="en-GB"/>
        </w:rPr>
        <w:t xml:space="preserve">The current management section of </w:t>
      </w:r>
      <w:r w:rsidR="00E4090B">
        <w:rPr>
          <w:b w:val="0"/>
          <w:lang w:val="en-GB"/>
        </w:rPr>
        <w:t>MTG6</w:t>
      </w:r>
      <w:r>
        <w:rPr>
          <w:b w:val="0"/>
          <w:lang w:val="en-GB"/>
        </w:rPr>
        <w:t xml:space="preserve"> states that the care pathway for ‘the management of </w:t>
      </w:r>
      <w:r w:rsidRPr="00AE0D64">
        <w:rPr>
          <w:b w:val="0"/>
          <w:lang w:val="en-GB"/>
        </w:rPr>
        <w:t>non-melanoma skin cancer in secondary care (specifically those lesions intended for treatment with Ambulight PDT) varies substantially</w:t>
      </w:r>
      <w:r>
        <w:rPr>
          <w:b w:val="0"/>
          <w:lang w:val="en-GB"/>
        </w:rPr>
        <w:t xml:space="preserve">.’ It cites a number of comparators including no treatment, </w:t>
      </w:r>
      <w:r w:rsidRPr="00706B09">
        <w:rPr>
          <w:b w:val="0"/>
          <w:lang w:val="en-GB"/>
        </w:rPr>
        <w:t>standard hospital-based PDT, topical chemotherapy, topical immunomodulators, surgical exc</w:t>
      </w:r>
      <w:r>
        <w:rPr>
          <w:b w:val="0"/>
          <w:lang w:val="en-GB"/>
        </w:rPr>
        <w:t>ision, curettage, cryotherapy, and</w:t>
      </w:r>
      <w:r w:rsidRPr="00706B09">
        <w:rPr>
          <w:b w:val="0"/>
          <w:lang w:val="en-GB"/>
        </w:rPr>
        <w:t xml:space="preserve"> radiotherapy</w:t>
      </w:r>
      <w:r>
        <w:rPr>
          <w:b w:val="0"/>
          <w:lang w:val="en-GB"/>
        </w:rPr>
        <w:t xml:space="preserve">. </w:t>
      </w:r>
      <w:r w:rsidR="00092AB3">
        <w:rPr>
          <w:b w:val="0"/>
          <w:lang w:val="en-GB"/>
        </w:rPr>
        <w:t xml:space="preserve">There is no NICE guideline on </w:t>
      </w:r>
      <w:r w:rsidR="00874BE2">
        <w:rPr>
          <w:b w:val="0"/>
          <w:lang w:val="en-GB"/>
        </w:rPr>
        <w:t xml:space="preserve">the treatment of </w:t>
      </w:r>
      <w:r w:rsidR="00092AB3">
        <w:rPr>
          <w:b w:val="0"/>
          <w:lang w:val="en-GB"/>
        </w:rPr>
        <w:t>non-melanoma skin cancer</w:t>
      </w:r>
    </w:p>
    <w:p w:rsidR="00874BE2" w:rsidRPr="00636380" w:rsidRDefault="00874BE2" w:rsidP="00903E07">
      <w:pPr>
        <w:autoSpaceDE w:val="0"/>
        <w:autoSpaceDN w:val="0"/>
        <w:adjustRightInd w:val="0"/>
        <w:spacing w:before="240" w:line="276" w:lineRule="auto"/>
      </w:pPr>
      <w:r w:rsidRPr="00636380">
        <w:rPr>
          <w:color w:val="282828"/>
          <w:lang w:eastAsia="en-GB"/>
        </w:rPr>
        <w:t xml:space="preserve">NICE's guideline on the recognition and referral of </w:t>
      </w:r>
      <w:hyperlink r:id="rId9" w:history="1">
        <w:r w:rsidRPr="00636380">
          <w:rPr>
            <w:rStyle w:val="Hyperlink"/>
            <w:lang w:eastAsia="en-GB"/>
          </w:rPr>
          <w:t>suspected cancer</w:t>
        </w:r>
      </w:hyperlink>
      <w:r w:rsidR="00AD140C" w:rsidRPr="00636380">
        <w:rPr>
          <w:color w:val="282828"/>
          <w:lang w:eastAsia="en-GB"/>
        </w:rPr>
        <w:t xml:space="preserve"> </w:t>
      </w:r>
      <w:r w:rsidRPr="00636380">
        <w:rPr>
          <w:color w:val="282828"/>
          <w:lang w:eastAsia="en-GB"/>
        </w:rPr>
        <w:t>(2015) includes a 7-point checklist that helps clinicians decide whether a person</w:t>
      </w:r>
      <w:r w:rsidR="00903E07" w:rsidRPr="00636380">
        <w:rPr>
          <w:color w:val="282828"/>
          <w:lang w:eastAsia="en-GB"/>
        </w:rPr>
        <w:t xml:space="preserve"> </w:t>
      </w:r>
      <w:r w:rsidRPr="00636380">
        <w:rPr>
          <w:color w:val="282828"/>
          <w:lang w:eastAsia="en-GB"/>
        </w:rPr>
        <w:t>should be urgently referred to a specialist for an appointment under the 2-week</w:t>
      </w:r>
      <w:r w:rsidR="00903E07" w:rsidRPr="00636380">
        <w:rPr>
          <w:lang w:eastAsia="en-GB"/>
        </w:rPr>
        <w:t xml:space="preserve"> </w:t>
      </w:r>
      <w:r w:rsidRPr="00636380">
        <w:rPr>
          <w:lang w:eastAsia="en-GB"/>
        </w:rPr>
        <w:t>rule, (where urgent referrals to a specialist should be seen within 2 weeks).</w:t>
      </w:r>
      <w:r w:rsidR="00AD140C" w:rsidRPr="00636380">
        <w:rPr>
          <w:lang w:eastAsia="en-GB"/>
        </w:rPr>
        <w:t xml:space="preserve"> The guideline recommends that a person with suspected non-melanoma skin cancer presenting in primary care should be referred for specialist opinion either under the 2-week rule (squamous cell </w:t>
      </w:r>
      <w:r w:rsidR="00AD140C" w:rsidRPr="00636380">
        <w:rPr>
          <w:lang w:eastAsia="en-GB"/>
        </w:rPr>
        <w:lastRenderedPageBreak/>
        <w:t>carcinoma) or as a routine referral. All people</w:t>
      </w:r>
      <w:r w:rsidR="00903E07" w:rsidRPr="00636380">
        <w:rPr>
          <w:lang w:eastAsia="en-GB"/>
        </w:rPr>
        <w:t xml:space="preserve"> </w:t>
      </w:r>
      <w:r w:rsidR="00AD140C" w:rsidRPr="00636380">
        <w:rPr>
          <w:lang w:eastAsia="en-GB"/>
        </w:rPr>
        <w:t>who present in primary care with a possible cutaneous squamous cell carcinoma</w:t>
      </w:r>
      <w:r w:rsidR="00903E07" w:rsidRPr="00636380">
        <w:rPr>
          <w:lang w:eastAsia="en-GB"/>
        </w:rPr>
        <w:t xml:space="preserve"> </w:t>
      </w:r>
      <w:r w:rsidR="00AD140C" w:rsidRPr="00636380">
        <w:rPr>
          <w:lang w:eastAsia="en-GB"/>
        </w:rPr>
        <w:t>should be referred urgently under the 2-week rule to a skin specialist, as in the</w:t>
      </w:r>
      <w:r w:rsidR="00903E07" w:rsidRPr="00636380">
        <w:rPr>
          <w:lang w:eastAsia="en-GB"/>
        </w:rPr>
        <w:t xml:space="preserve"> </w:t>
      </w:r>
      <w:r w:rsidR="00AD140C" w:rsidRPr="00636380">
        <w:rPr>
          <w:lang w:eastAsia="en-GB"/>
        </w:rPr>
        <w:t xml:space="preserve">case of suspected melanoma. Basal cell carcinoma should be referred as a routine </w:t>
      </w:r>
      <w:r w:rsidR="00636380" w:rsidRPr="00636380">
        <w:rPr>
          <w:lang w:eastAsia="en-GB"/>
        </w:rPr>
        <w:t>referral;</w:t>
      </w:r>
      <w:r w:rsidR="00AD140C" w:rsidRPr="00636380">
        <w:rPr>
          <w:lang w:eastAsia="en-GB"/>
        </w:rPr>
        <w:t xml:space="preserve"> however low-risk basal cell carcinoma can be managed in a</w:t>
      </w:r>
      <w:r w:rsidR="00636380" w:rsidRPr="00636380">
        <w:rPr>
          <w:lang w:eastAsia="en-GB"/>
        </w:rPr>
        <w:t xml:space="preserve"> </w:t>
      </w:r>
      <w:r w:rsidR="00AD140C" w:rsidRPr="00636380">
        <w:rPr>
          <w:lang w:eastAsia="en-GB"/>
        </w:rPr>
        <w:t>community setting by a suitably qualified level 1 practitioner (GP).</w:t>
      </w:r>
    </w:p>
    <w:p w:rsidR="008A37B7" w:rsidRDefault="008A37B7" w:rsidP="00636380">
      <w:pPr>
        <w:pStyle w:val="Heading2"/>
        <w:spacing w:before="240" w:after="240" w:line="276" w:lineRule="auto"/>
        <w:rPr>
          <w:b w:val="0"/>
          <w:bCs w:val="0"/>
          <w:lang w:val="en-GB"/>
        </w:rPr>
      </w:pPr>
      <w:r>
        <w:rPr>
          <w:b w:val="0"/>
          <w:lang w:val="en-GB"/>
        </w:rPr>
        <w:t xml:space="preserve">Ambulight is currently cited within the </w:t>
      </w:r>
      <w:r w:rsidRPr="008476CE">
        <w:rPr>
          <w:b w:val="0"/>
          <w:lang w:val="en-GB"/>
        </w:rPr>
        <w:t xml:space="preserve">NICE </w:t>
      </w:r>
      <w:r>
        <w:rPr>
          <w:b w:val="0"/>
          <w:lang w:val="en-GB"/>
        </w:rPr>
        <w:t xml:space="preserve">treatment </w:t>
      </w:r>
      <w:r w:rsidRPr="008476CE">
        <w:rPr>
          <w:b w:val="0"/>
          <w:lang w:val="en-GB"/>
        </w:rPr>
        <w:t>pathway</w:t>
      </w:r>
      <w:r>
        <w:rPr>
          <w:b w:val="0"/>
          <w:lang w:val="en-GB"/>
        </w:rPr>
        <w:t xml:space="preserve">: </w:t>
      </w:r>
      <w:hyperlink r:id="rId10" w:history="1">
        <w:r w:rsidRPr="00420DC2">
          <w:rPr>
            <w:rStyle w:val="Hyperlink"/>
            <w:b w:val="0"/>
            <w:lang w:val="en-US"/>
          </w:rPr>
          <w:t>skin cancer overview</w:t>
        </w:r>
      </w:hyperlink>
      <w:r w:rsidRPr="00A3744E">
        <w:rPr>
          <w:b w:val="0"/>
          <w:lang w:val="en-US"/>
        </w:rPr>
        <w:t xml:space="preserve"> </w:t>
      </w:r>
      <w:r w:rsidRPr="009274B5">
        <w:rPr>
          <w:b w:val="0"/>
          <w:lang w:val="en-US"/>
        </w:rPr>
        <w:t>(</w:t>
      </w:r>
      <w:hyperlink r:id="rId11" w:anchor="content=view-node:nodes-basal-cell-carcinoma" w:history="1">
        <w:r w:rsidRPr="009274B5">
          <w:rPr>
            <w:rStyle w:val="Hyperlink"/>
            <w:b w:val="0"/>
            <w:lang w:val="en-US"/>
          </w:rPr>
          <w:t>basal cell carcinoma</w:t>
        </w:r>
      </w:hyperlink>
      <w:r w:rsidRPr="009274B5">
        <w:rPr>
          <w:b w:val="0"/>
          <w:lang w:val="en-US"/>
        </w:rPr>
        <w:t xml:space="preserve"> and </w:t>
      </w:r>
      <w:hyperlink r:id="rId12" w:anchor="content=view-node:nodes-squamous-cell-carcinoma" w:history="1">
        <w:r w:rsidRPr="009274B5">
          <w:rPr>
            <w:rStyle w:val="Hyperlink"/>
            <w:b w:val="0"/>
            <w:lang w:val="en-US"/>
          </w:rPr>
          <w:t>squamous cell carcinoma</w:t>
        </w:r>
      </w:hyperlink>
      <w:r w:rsidRPr="009274B5">
        <w:rPr>
          <w:b w:val="0"/>
          <w:lang w:val="en-US"/>
        </w:rPr>
        <w:t>)</w:t>
      </w:r>
      <w:r>
        <w:rPr>
          <w:b w:val="0"/>
          <w:lang w:val="en-US"/>
        </w:rPr>
        <w:t xml:space="preserve">. </w:t>
      </w:r>
      <w:r w:rsidR="00092AB3">
        <w:rPr>
          <w:b w:val="0"/>
          <w:lang w:val="en-US"/>
        </w:rPr>
        <w:t>R</w:t>
      </w:r>
      <w:r>
        <w:rPr>
          <w:b w:val="0"/>
          <w:lang w:val="en-US"/>
        </w:rPr>
        <w:t>esponses</w:t>
      </w:r>
      <w:r w:rsidR="00092AB3">
        <w:rPr>
          <w:b w:val="0"/>
          <w:lang w:val="en-US"/>
        </w:rPr>
        <w:t xml:space="preserve"> from 2 experts</w:t>
      </w:r>
      <w:r>
        <w:rPr>
          <w:b w:val="0"/>
          <w:lang w:val="en-US"/>
        </w:rPr>
        <w:t xml:space="preserve"> have indicated that there have been no significant changes to the treatment pathway since the publication of the guidance.</w:t>
      </w:r>
    </w:p>
    <w:p w:rsidR="00C35B50" w:rsidRDefault="00C35B50" w:rsidP="00C35B50">
      <w:pPr>
        <w:pStyle w:val="Heading2"/>
      </w:pPr>
      <w:r>
        <w:rPr>
          <w:lang w:val="en-GB"/>
        </w:rPr>
        <w:t xml:space="preserve">6.4 </w:t>
      </w:r>
      <w:r>
        <w:t>New studies</w:t>
      </w:r>
    </w:p>
    <w:p w:rsidR="00E338DC" w:rsidRPr="00010374" w:rsidRDefault="00C0144F" w:rsidP="00E338DC">
      <w:pPr>
        <w:spacing w:before="240" w:line="276" w:lineRule="auto"/>
      </w:pPr>
      <w:r>
        <w:t xml:space="preserve">One published paper and </w:t>
      </w:r>
      <w:r w:rsidR="00E338DC">
        <w:t>3</w:t>
      </w:r>
      <w:r w:rsidR="00E338DC" w:rsidRPr="00010374">
        <w:t xml:space="preserve"> conference </w:t>
      </w:r>
      <w:r w:rsidR="00392BC2" w:rsidRPr="00010374">
        <w:t xml:space="preserve">abstracts </w:t>
      </w:r>
      <w:r w:rsidR="00392BC2">
        <w:t>were</w:t>
      </w:r>
      <w:r w:rsidR="00E338DC" w:rsidRPr="00010374">
        <w:t xml:space="preserve"> identified in searches for new evidence since the guidance</w:t>
      </w:r>
      <w:r w:rsidR="002C433D">
        <w:t xml:space="preserve"> was published</w:t>
      </w:r>
      <w:r w:rsidR="00E338DC" w:rsidRPr="00010374">
        <w:t>.</w:t>
      </w:r>
    </w:p>
    <w:p w:rsidR="00C0144F" w:rsidRDefault="00C0144F" w:rsidP="00C0144F">
      <w:pPr>
        <w:spacing w:before="240" w:line="276" w:lineRule="auto"/>
      </w:pPr>
      <w:r w:rsidRPr="008525EA">
        <w:t>Ibbotson (2012)</w:t>
      </w:r>
      <w:r>
        <w:t xml:space="preserve"> is a observational study involving 53 patients with 61 lesions (30 superficial basal cell carcinoma, 30 Bowen’s disease, 1 actinic keratosis). All patients received 1 cycle of Ambulight PDT treatment, 18 received an additional (second) cycle with Ambulight, and 23 received Ambulight and conventional PDT (Aktilite) on separate lesions.  The principal endpoint was patient elicited pain scores using a 0 to 10 rating scale. </w:t>
      </w:r>
      <w:r w:rsidR="002C433D">
        <w:t>The o</w:t>
      </w:r>
      <w:r>
        <w:t xml:space="preserve">verall median pain score </w:t>
      </w:r>
      <w:r w:rsidR="002C433D">
        <w:t xml:space="preserve">was </w:t>
      </w:r>
      <w:r>
        <w:t xml:space="preserve">2 for the first treatment, and 4 for </w:t>
      </w:r>
      <w:r w:rsidR="002C433D">
        <w:t xml:space="preserve">the </w:t>
      </w:r>
      <w:r>
        <w:t>second treatment. In the patients who received Ambulight and conventional PDT, the median pain score was 1 and 5 respectively. In the same patients, when asked to state their preferred treatment, 16 stated Ambulight, 2 conventional PDT, and 1 stated no preference. There were no adverse events in the study population.</w:t>
      </w:r>
    </w:p>
    <w:p w:rsidR="00E338DC" w:rsidRDefault="00E338DC" w:rsidP="00E338DC">
      <w:pPr>
        <w:spacing w:before="240" w:line="276" w:lineRule="auto"/>
      </w:pPr>
      <w:r w:rsidRPr="00010374">
        <w:t>Freeman (2012)</w:t>
      </w:r>
      <w:r>
        <w:t xml:space="preserve"> is a short commentary on the benefit</w:t>
      </w:r>
      <w:r w:rsidR="00C0144F">
        <w:t>s of</w:t>
      </w:r>
      <w:r>
        <w:t xml:space="preserve"> home use Ambulight PDT compared to conventional </w:t>
      </w:r>
      <w:r w:rsidR="00C0144F">
        <w:t xml:space="preserve">PDT </w:t>
      </w:r>
      <w:r>
        <w:t>in terms of convenience, and comfort (lower fluence)</w:t>
      </w:r>
    </w:p>
    <w:p w:rsidR="00E338DC" w:rsidRDefault="00E338DC" w:rsidP="00E338DC">
      <w:pPr>
        <w:spacing w:before="240" w:line="276" w:lineRule="auto"/>
      </w:pPr>
      <w:r w:rsidRPr="008C084E">
        <w:t>Ibbotson (2013)</w:t>
      </w:r>
      <w:r>
        <w:t xml:space="preserve"> is a short commentary on developments in topical PDT treatment which makes a brief reference to encouraging early results from Ambulight, but provides no details on them.</w:t>
      </w:r>
    </w:p>
    <w:p w:rsidR="00E338DC" w:rsidRDefault="00E338DC" w:rsidP="00E338DC">
      <w:pPr>
        <w:spacing w:before="240" w:line="276" w:lineRule="auto"/>
      </w:pPr>
      <w:r w:rsidRPr="00347C0C">
        <w:t>Johnston (2015)</w:t>
      </w:r>
      <w:r>
        <w:t xml:space="preserve"> reports on a study involving 4 patients which compares Ambulight to traditional photodynamic therapy (Aktilite PDT unit). The authors state that Ambulight demonstrates similar effectiveness as traditional PDT in the treatment of non-melanoma skin cancer and skin dysplasia, that it is better tolerated by the patient, more convenient and a cheaper treatment option.  However they provide no results to substantiate these statements.</w:t>
      </w:r>
    </w:p>
    <w:p w:rsidR="00636380" w:rsidRDefault="00636380" w:rsidP="00636380">
      <w:pPr>
        <w:pStyle w:val="Heading2"/>
        <w:rPr>
          <w:lang w:val="en-GB"/>
        </w:rPr>
      </w:pPr>
      <w:r>
        <w:rPr>
          <w:lang w:val="en-GB"/>
        </w:rPr>
        <w:lastRenderedPageBreak/>
        <w:t>6.5 Ongoing studies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tblCellMar>
        <w:tblLook w:val="04A0" w:firstRow="1" w:lastRow="0" w:firstColumn="1" w:lastColumn="0" w:noHBand="0" w:noVBand="1"/>
      </w:tblPr>
      <w:tblGrid>
        <w:gridCol w:w="3795"/>
        <w:gridCol w:w="5447"/>
      </w:tblGrid>
      <w:tr w:rsidR="00961855" w:rsidTr="00D74F5C">
        <w:tc>
          <w:tcPr>
            <w:tcW w:w="5000" w:type="pct"/>
            <w:gridSpan w:val="2"/>
            <w:shd w:val="clear" w:color="auto" w:fill="auto"/>
          </w:tcPr>
          <w:p w:rsidR="00961855" w:rsidRDefault="00961855" w:rsidP="00D74F5C">
            <w:pPr>
              <w:pStyle w:val="Tabletext"/>
            </w:pPr>
            <w:r>
              <w:rPr>
                <w:b/>
                <w:bCs/>
              </w:rPr>
              <w:t>Unpublished study details</w:t>
            </w:r>
          </w:p>
        </w:tc>
      </w:tr>
      <w:tr w:rsidR="00961855" w:rsidRPr="00017722" w:rsidTr="00D74F5C">
        <w:tc>
          <w:tcPr>
            <w:tcW w:w="2053" w:type="pct"/>
            <w:shd w:val="clear" w:color="auto" w:fill="auto"/>
          </w:tcPr>
          <w:p w:rsidR="00961855" w:rsidRPr="00692B47" w:rsidRDefault="00961855" w:rsidP="00D74F5C">
            <w:pPr>
              <w:pStyle w:val="Tabletext"/>
              <w:rPr>
                <w:b/>
                <w:bCs/>
              </w:rPr>
            </w:pPr>
            <w:r w:rsidRPr="00692B47">
              <w:rPr>
                <w:b/>
                <w:bCs/>
              </w:rPr>
              <w:t xml:space="preserve">Study details </w:t>
            </w:r>
          </w:p>
        </w:tc>
        <w:tc>
          <w:tcPr>
            <w:tcW w:w="2947" w:type="pct"/>
            <w:shd w:val="clear" w:color="auto" w:fill="auto"/>
          </w:tcPr>
          <w:p w:rsidR="00961855" w:rsidRPr="00017722" w:rsidRDefault="00961855" w:rsidP="00D74F5C">
            <w:pPr>
              <w:pStyle w:val="Tabletext"/>
            </w:pPr>
            <w:r w:rsidRPr="00017722">
              <w:t>NCT02872909</w:t>
            </w:r>
          </w:p>
          <w:p w:rsidR="00961855" w:rsidRPr="00017722" w:rsidRDefault="00961855" w:rsidP="00D74F5C">
            <w:pPr>
              <w:pStyle w:val="Tabletext"/>
            </w:pPr>
            <w:r w:rsidRPr="00017722">
              <w:t>A randomised assessor-blinded comparison of low irradiance and conventional irradiance PDT for superficial non-melanoma skin cancer</w:t>
            </w:r>
          </w:p>
          <w:p w:rsidR="00961855" w:rsidRPr="00017722" w:rsidRDefault="00961855" w:rsidP="00D74F5C">
            <w:pPr>
              <w:pStyle w:val="Tabletext"/>
            </w:pPr>
            <w:r w:rsidRPr="00017722">
              <w:t>SH Ibbotson, J Ferguson, RS Dawe</w:t>
            </w:r>
          </w:p>
        </w:tc>
      </w:tr>
      <w:tr w:rsidR="00961855" w:rsidRPr="00017722" w:rsidTr="00D74F5C">
        <w:tc>
          <w:tcPr>
            <w:tcW w:w="2053" w:type="pct"/>
            <w:shd w:val="clear" w:color="auto" w:fill="auto"/>
          </w:tcPr>
          <w:p w:rsidR="00961855" w:rsidRPr="00692B47" w:rsidRDefault="00961855" w:rsidP="00D74F5C">
            <w:pPr>
              <w:pStyle w:val="Tabletext"/>
              <w:rPr>
                <w:b/>
                <w:bCs/>
              </w:rPr>
            </w:pPr>
            <w:r w:rsidRPr="00692B47">
              <w:rPr>
                <w:b/>
                <w:bCs/>
              </w:rPr>
              <w:t xml:space="preserve">Design </w:t>
            </w:r>
          </w:p>
        </w:tc>
        <w:tc>
          <w:tcPr>
            <w:tcW w:w="2947" w:type="pct"/>
            <w:shd w:val="clear" w:color="auto" w:fill="auto"/>
          </w:tcPr>
          <w:p w:rsidR="00961855" w:rsidRPr="00017722" w:rsidRDefault="00961855" w:rsidP="00D74F5C">
            <w:pPr>
              <w:pStyle w:val="Tabletext"/>
            </w:pPr>
            <w:r w:rsidRPr="00017722">
              <w:t xml:space="preserve">Randomised assessor blinded comparison between low irradiance and conventional irradiance PDT </w:t>
            </w:r>
          </w:p>
        </w:tc>
      </w:tr>
      <w:tr w:rsidR="00961855" w:rsidRPr="00017722" w:rsidTr="00D74F5C">
        <w:tc>
          <w:tcPr>
            <w:tcW w:w="2053" w:type="pct"/>
            <w:shd w:val="clear" w:color="auto" w:fill="auto"/>
          </w:tcPr>
          <w:p w:rsidR="00961855" w:rsidRPr="00692B47" w:rsidRDefault="00961855" w:rsidP="00D74F5C">
            <w:pPr>
              <w:pStyle w:val="Tabletext"/>
              <w:rPr>
                <w:b/>
                <w:bCs/>
              </w:rPr>
            </w:pPr>
            <w:r w:rsidRPr="00692B47">
              <w:rPr>
                <w:b/>
                <w:bCs/>
              </w:rPr>
              <w:t xml:space="preserve">Assigned interventions </w:t>
            </w:r>
          </w:p>
        </w:tc>
        <w:tc>
          <w:tcPr>
            <w:tcW w:w="2947" w:type="pct"/>
            <w:shd w:val="clear" w:color="auto" w:fill="auto"/>
          </w:tcPr>
          <w:p w:rsidR="00961855" w:rsidRPr="00017722" w:rsidRDefault="00961855" w:rsidP="00D74F5C">
            <w:pPr>
              <w:pStyle w:val="Tabletext"/>
            </w:pPr>
            <w:r w:rsidRPr="00017722">
              <w:t xml:space="preserve">Up to 4 treatments (2 cycles) of low irradiance (or comparator of conventional) PDT </w:t>
            </w:r>
          </w:p>
        </w:tc>
      </w:tr>
      <w:tr w:rsidR="00961855" w:rsidTr="00D74F5C">
        <w:tc>
          <w:tcPr>
            <w:tcW w:w="2053" w:type="pct"/>
            <w:shd w:val="clear" w:color="auto" w:fill="auto"/>
          </w:tcPr>
          <w:p w:rsidR="00961855" w:rsidRPr="00692B47" w:rsidRDefault="00961855" w:rsidP="00D74F5C">
            <w:pPr>
              <w:pStyle w:val="Tabletext"/>
              <w:rPr>
                <w:b/>
                <w:bCs/>
              </w:rPr>
            </w:pPr>
            <w:r w:rsidRPr="00692B47">
              <w:rPr>
                <w:b/>
                <w:bCs/>
              </w:rPr>
              <w:t>Participants</w:t>
            </w:r>
          </w:p>
          <w:p w:rsidR="00961855" w:rsidRPr="00692B47" w:rsidRDefault="00961855" w:rsidP="00D74F5C">
            <w:pPr>
              <w:pStyle w:val="Tabletext"/>
              <w:rPr>
                <w:bCs/>
              </w:rPr>
            </w:pPr>
          </w:p>
        </w:tc>
        <w:tc>
          <w:tcPr>
            <w:tcW w:w="2947" w:type="pct"/>
            <w:shd w:val="clear" w:color="auto" w:fill="auto"/>
          </w:tcPr>
          <w:p w:rsidR="00961855" w:rsidRDefault="00961855" w:rsidP="00D74F5C">
            <w:pPr>
              <w:pStyle w:val="Tabletext"/>
            </w:pPr>
            <w:r>
              <w:t>50 patients with superficial basal cell carcinoma or Bowen’s disease</w:t>
            </w:r>
          </w:p>
        </w:tc>
      </w:tr>
      <w:tr w:rsidR="00961855" w:rsidTr="00D74F5C">
        <w:tc>
          <w:tcPr>
            <w:tcW w:w="2053" w:type="pct"/>
            <w:shd w:val="clear" w:color="auto" w:fill="auto"/>
          </w:tcPr>
          <w:p w:rsidR="00961855" w:rsidRPr="00692B47" w:rsidRDefault="00961855" w:rsidP="00D74F5C">
            <w:pPr>
              <w:pStyle w:val="Tabletext"/>
              <w:rPr>
                <w:b/>
                <w:bCs/>
              </w:rPr>
            </w:pPr>
            <w:r w:rsidRPr="00692B47">
              <w:rPr>
                <w:b/>
                <w:bCs/>
              </w:rPr>
              <w:t>Follow-up period</w:t>
            </w:r>
          </w:p>
        </w:tc>
        <w:tc>
          <w:tcPr>
            <w:tcW w:w="2947" w:type="pct"/>
            <w:shd w:val="clear" w:color="auto" w:fill="auto"/>
          </w:tcPr>
          <w:p w:rsidR="00961855" w:rsidRDefault="00961855" w:rsidP="00D74F5C">
            <w:pPr>
              <w:pStyle w:val="Tabletext"/>
            </w:pPr>
            <w:r>
              <w:t>One year</w:t>
            </w:r>
          </w:p>
        </w:tc>
      </w:tr>
      <w:tr w:rsidR="00961855" w:rsidTr="00D74F5C">
        <w:tc>
          <w:tcPr>
            <w:tcW w:w="2053" w:type="pct"/>
            <w:shd w:val="clear" w:color="auto" w:fill="auto"/>
          </w:tcPr>
          <w:p w:rsidR="00961855" w:rsidRDefault="00961855" w:rsidP="00D74F5C">
            <w:pPr>
              <w:pStyle w:val="Tabletext"/>
              <w:rPr>
                <w:b/>
                <w:bCs/>
              </w:rPr>
            </w:pPr>
            <w:r w:rsidRPr="00692B47">
              <w:rPr>
                <w:b/>
                <w:bCs/>
              </w:rPr>
              <w:t>Primary outcome</w:t>
            </w:r>
            <w:r>
              <w:rPr>
                <w:b/>
                <w:bCs/>
              </w:rPr>
              <w:t xml:space="preserve"> </w:t>
            </w:r>
          </w:p>
        </w:tc>
        <w:tc>
          <w:tcPr>
            <w:tcW w:w="2947" w:type="pct"/>
            <w:shd w:val="clear" w:color="auto" w:fill="auto"/>
          </w:tcPr>
          <w:p w:rsidR="00961855" w:rsidRDefault="00961855" w:rsidP="00D74F5C">
            <w:pPr>
              <w:pStyle w:val="Tabletext"/>
            </w:pPr>
            <w:r>
              <w:t>Pain of treatment</w:t>
            </w:r>
          </w:p>
        </w:tc>
      </w:tr>
      <w:tr w:rsidR="00961855" w:rsidTr="00D74F5C">
        <w:tc>
          <w:tcPr>
            <w:tcW w:w="2053" w:type="pct"/>
            <w:shd w:val="clear" w:color="auto" w:fill="auto"/>
          </w:tcPr>
          <w:p w:rsidR="00961855" w:rsidRDefault="00961855" w:rsidP="00D74F5C">
            <w:pPr>
              <w:pStyle w:val="Tabletext"/>
              <w:rPr>
                <w:b/>
                <w:bCs/>
              </w:rPr>
            </w:pPr>
            <w:r w:rsidRPr="00692B47">
              <w:rPr>
                <w:b/>
                <w:bCs/>
              </w:rPr>
              <w:t>Secondary outcome</w:t>
            </w:r>
            <w:r>
              <w:rPr>
                <w:b/>
                <w:bCs/>
              </w:rPr>
              <w:t xml:space="preserve">(s) </w:t>
            </w:r>
          </w:p>
        </w:tc>
        <w:tc>
          <w:tcPr>
            <w:tcW w:w="2947" w:type="pct"/>
            <w:shd w:val="clear" w:color="auto" w:fill="auto"/>
          </w:tcPr>
          <w:p w:rsidR="00961855" w:rsidRDefault="00961855" w:rsidP="00D74F5C">
            <w:pPr>
              <w:pStyle w:val="Tabletext"/>
            </w:pPr>
            <w:r>
              <w:t>Phototoxicity</w:t>
            </w:r>
          </w:p>
          <w:p w:rsidR="00961855" w:rsidRDefault="00961855" w:rsidP="00D74F5C">
            <w:pPr>
              <w:pStyle w:val="Tabletext"/>
            </w:pPr>
            <w:r>
              <w:t>Patient evaluation</w:t>
            </w:r>
          </w:p>
          <w:p w:rsidR="00961855" w:rsidRDefault="00961855" w:rsidP="00D74F5C">
            <w:pPr>
              <w:pStyle w:val="Tabletext"/>
            </w:pPr>
            <w:r>
              <w:t>Efficacy</w:t>
            </w:r>
          </w:p>
        </w:tc>
      </w:tr>
      <w:tr w:rsidR="00961855" w:rsidTr="00D74F5C">
        <w:tc>
          <w:tcPr>
            <w:tcW w:w="2053" w:type="pct"/>
            <w:shd w:val="clear" w:color="auto" w:fill="auto"/>
          </w:tcPr>
          <w:p w:rsidR="00961855" w:rsidRPr="00692B47" w:rsidRDefault="00961855" w:rsidP="00D74F5C">
            <w:pPr>
              <w:pStyle w:val="Tabletext"/>
              <w:rPr>
                <w:bCs/>
              </w:rPr>
            </w:pPr>
            <w:r w:rsidRPr="00692B47">
              <w:rPr>
                <w:b/>
                <w:bCs/>
              </w:rPr>
              <w:t>Key results – efficacy</w:t>
            </w:r>
            <w:r>
              <w:rPr>
                <w:b/>
                <w:bCs/>
              </w:rPr>
              <w:t xml:space="preserve"> </w:t>
            </w:r>
          </w:p>
        </w:tc>
        <w:tc>
          <w:tcPr>
            <w:tcW w:w="2947" w:type="pct"/>
            <w:shd w:val="clear" w:color="auto" w:fill="auto"/>
          </w:tcPr>
          <w:p w:rsidR="00961855" w:rsidRDefault="00961855" w:rsidP="00D74F5C">
            <w:pPr>
              <w:pStyle w:val="Tabletext"/>
            </w:pPr>
            <w:r>
              <w:t>Pending</w:t>
            </w:r>
          </w:p>
        </w:tc>
      </w:tr>
      <w:tr w:rsidR="00961855" w:rsidTr="00D74F5C">
        <w:tc>
          <w:tcPr>
            <w:tcW w:w="2053" w:type="pct"/>
            <w:shd w:val="clear" w:color="auto" w:fill="auto"/>
          </w:tcPr>
          <w:p w:rsidR="00961855" w:rsidRDefault="00961855" w:rsidP="00D74F5C">
            <w:pPr>
              <w:pStyle w:val="Tabletext"/>
              <w:rPr>
                <w:b/>
                <w:bCs/>
              </w:rPr>
            </w:pPr>
            <w:r w:rsidRPr="00692B47">
              <w:rPr>
                <w:b/>
                <w:bCs/>
              </w:rPr>
              <w:t>Key results – safety</w:t>
            </w:r>
            <w:r>
              <w:rPr>
                <w:bCs/>
              </w:rPr>
              <w:t xml:space="preserve"> </w:t>
            </w:r>
          </w:p>
        </w:tc>
        <w:tc>
          <w:tcPr>
            <w:tcW w:w="2947" w:type="pct"/>
            <w:shd w:val="clear" w:color="auto" w:fill="auto"/>
          </w:tcPr>
          <w:p w:rsidR="00961855" w:rsidRDefault="00961855" w:rsidP="00D74F5C">
            <w:pPr>
              <w:pStyle w:val="Tabletext"/>
            </w:pPr>
            <w:r>
              <w:t>Pending – no significant issues from trial to date and now in follow up</w:t>
            </w:r>
          </w:p>
        </w:tc>
      </w:tr>
      <w:tr w:rsidR="00961855" w:rsidTr="00D74F5C">
        <w:tc>
          <w:tcPr>
            <w:tcW w:w="2053" w:type="pct"/>
            <w:shd w:val="clear" w:color="auto" w:fill="auto"/>
          </w:tcPr>
          <w:p w:rsidR="00961855" w:rsidRDefault="00961855" w:rsidP="00D74F5C">
            <w:pPr>
              <w:pStyle w:val="Tabletext"/>
              <w:rPr>
                <w:b/>
                <w:bCs/>
              </w:rPr>
            </w:pPr>
            <w:r w:rsidRPr="004607A4">
              <w:rPr>
                <w:b/>
                <w:bCs/>
              </w:rPr>
              <w:t>Information source</w:t>
            </w:r>
            <w:r>
              <w:rPr>
                <w:bCs/>
              </w:rPr>
              <w:t xml:space="preserve"> </w:t>
            </w:r>
          </w:p>
        </w:tc>
        <w:tc>
          <w:tcPr>
            <w:tcW w:w="2947" w:type="pct"/>
            <w:shd w:val="clear" w:color="auto" w:fill="auto"/>
          </w:tcPr>
          <w:p w:rsidR="00961855" w:rsidRDefault="00BC1E5D" w:rsidP="00D74F5C">
            <w:pPr>
              <w:pStyle w:val="Tabletext"/>
            </w:pPr>
            <w:hyperlink r:id="rId13" w:history="1">
              <w:r w:rsidR="00961855" w:rsidRPr="00A474EE">
                <w:rPr>
                  <w:rStyle w:val="Hyperlink"/>
                </w:rPr>
                <w:t>https://clinicaltrials.gov/ct2/show/NCT02872909</w:t>
              </w:r>
            </w:hyperlink>
            <w:r w:rsidR="00961855">
              <w:t xml:space="preserve"> </w:t>
            </w:r>
          </w:p>
        </w:tc>
      </w:tr>
      <w:tr w:rsidR="00961855" w:rsidTr="00D74F5C">
        <w:tc>
          <w:tcPr>
            <w:tcW w:w="2053" w:type="pct"/>
            <w:shd w:val="clear" w:color="auto" w:fill="auto"/>
          </w:tcPr>
          <w:p w:rsidR="00961855" w:rsidRDefault="00961855" w:rsidP="00D74F5C">
            <w:pPr>
              <w:pStyle w:val="Tabletext"/>
              <w:rPr>
                <w:bCs/>
              </w:rPr>
            </w:pPr>
            <w:r>
              <w:rPr>
                <w:bCs/>
              </w:rPr>
              <w:t>Any other comments</w:t>
            </w:r>
          </w:p>
        </w:tc>
        <w:tc>
          <w:tcPr>
            <w:tcW w:w="2947" w:type="pct"/>
            <w:shd w:val="clear" w:color="auto" w:fill="auto"/>
          </w:tcPr>
          <w:p w:rsidR="00961855" w:rsidRDefault="00961855" w:rsidP="00D74F5C">
            <w:pPr>
              <w:pStyle w:val="Tabletext"/>
            </w:pPr>
            <w:r>
              <w:t>Last patient follow-up visit will be complete by end of 2016, data analysis will begin thereafter</w:t>
            </w:r>
          </w:p>
        </w:tc>
      </w:tr>
    </w:tbl>
    <w:p w:rsidR="00961855" w:rsidRPr="00961855" w:rsidRDefault="00961855" w:rsidP="00961855"/>
    <w:p w:rsidR="009858FD" w:rsidRDefault="00B1359B" w:rsidP="00256F0A">
      <w:pPr>
        <w:pStyle w:val="Numberedheading"/>
      </w:pPr>
      <w:r>
        <w:t>Summary of new evidence and implications for review</w:t>
      </w:r>
    </w:p>
    <w:p w:rsidR="00C367D2" w:rsidRDefault="00D325B5" w:rsidP="005A5DB9">
      <w:pPr>
        <w:spacing w:before="240" w:line="276" w:lineRule="auto"/>
        <w:rPr>
          <w:highlight w:val="lightGray"/>
        </w:rPr>
      </w:pPr>
      <w:r>
        <w:t xml:space="preserve">The additional evidence is limited in </w:t>
      </w:r>
      <w:r w:rsidR="002C433D">
        <w:t>terms of the</w:t>
      </w:r>
      <w:r>
        <w:t xml:space="preserve"> number</w:t>
      </w:r>
      <w:r w:rsidR="002C433D">
        <w:t xml:space="preserve"> of studies</w:t>
      </w:r>
      <w:r>
        <w:t xml:space="preserve">, </w:t>
      </w:r>
      <w:r w:rsidR="002C433D">
        <w:t xml:space="preserve">the </w:t>
      </w:r>
      <w:r>
        <w:t>methodology</w:t>
      </w:r>
      <w:r w:rsidR="002C433D">
        <w:t xml:space="preserve"> used</w:t>
      </w:r>
      <w:r>
        <w:t xml:space="preserve"> and </w:t>
      </w:r>
      <w:r w:rsidR="002C433D">
        <w:t xml:space="preserve">the </w:t>
      </w:r>
      <w:r>
        <w:t xml:space="preserve">outcomes reported. It is </w:t>
      </w:r>
      <w:r w:rsidR="00C0144F">
        <w:t xml:space="preserve">unlikely to lead to a </w:t>
      </w:r>
      <w:r>
        <w:t xml:space="preserve">change </w:t>
      </w:r>
      <w:r w:rsidR="002C433D">
        <w:t xml:space="preserve">in </w:t>
      </w:r>
      <w:r>
        <w:t>the current recommendation.</w:t>
      </w:r>
    </w:p>
    <w:bookmarkEnd w:id="3"/>
    <w:p w:rsidR="00081BF9" w:rsidRDefault="00081BF9" w:rsidP="00927850">
      <w:pPr>
        <w:pStyle w:val="Numberedheading"/>
        <w:keepNext w:val="0"/>
      </w:pPr>
      <w:r w:rsidRPr="00C80C8C">
        <w:t>Equality issues</w:t>
      </w:r>
      <w:r>
        <w:t xml:space="preserve"> </w:t>
      </w:r>
    </w:p>
    <w:p w:rsidR="00CD354B" w:rsidRPr="00CD354B" w:rsidRDefault="00CD354B" w:rsidP="00927850">
      <w:pPr>
        <w:pStyle w:val="Heading2"/>
        <w:keepNext w:val="0"/>
        <w:rPr>
          <w:rFonts w:cs="Arial"/>
          <w:b w:val="0"/>
          <w:iCs w:val="0"/>
          <w:noProof/>
          <w:szCs w:val="24"/>
          <w:lang w:val="en-GB"/>
        </w:rPr>
      </w:pPr>
      <w:bookmarkStart w:id="4" w:name="Text14"/>
      <w:r w:rsidRPr="00CD354B">
        <w:rPr>
          <w:b w:val="0"/>
          <w:bCs w:val="0"/>
        </w:rPr>
        <w:t>No equality issues were raised in the original guidance</w:t>
      </w:r>
      <w:bookmarkEnd w:id="4"/>
    </w:p>
    <w:p w:rsidR="00081BF9" w:rsidRPr="009A2635" w:rsidRDefault="00081BF9" w:rsidP="00927850">
      <w:pPr>
        <w:pStyle w:val="Heading2"/>
        <w:keepNext w:val="0"/>
      </w:pPr>
      <w:r w:rsidRPr="00965DA2">
        <w:t>GE paper sign off:</w:t>
      </w:r>
      <w:r>
        <w:t xml:space="preserve"> </w:t>
      </w:r>
      <w:bookmarkStart w:id="5" w:name="Text10"/>
      <w:r w:rsidR="00CA556C" w:rsidRPr="001B2A01">
        <w:rPr>
          <w:b w:val="0"/>
        </w:rPr>
        <w:fldChar w:fldCharType="begin">
          <w:ffData>
            <w:name w:val="Text10"/>
            <w:enabled/>
            <w:calcOnExit w:val="0"/>
            <w:textInput>
              <w:default w:val="[name, Associate Director, date]"/>
            </w:textInput>
          </w:ffData>
        </w:fldChar>
      </w:r>
      <w:r w:rsidR="00C80C8C" w:rsidRPr="001B2A01">
        <w:rPr>
          <w:b w:val="0"/>
        </w:rPr>
        <w:instrText xml:space="preserve"> FORMTEXT </w:instrText>
      </w:r>
      <w:r w:rsidR="00CA556C" w:rsidRPr="001B2A01">
        <w:rPr>
          <w:b w:val="0"/>
        </w:rPr>
      </w:r>
      <w:r w:rsidR="00CA556C" w:rsidRPr="001B2A01">
        <w:rPr>
          <w:b w:val="0"/>
        </w:rPr>
        <w:fldChar w:fldCharType="separate"/>
      </w:r>
      <w:r w:rsidR="00C80C8C" w:rsidRPr="001B2A01">
        <w:rPr>
          <w:b w:val="0"/>
          <w:noProof/>
        </w:rPr>
        <w:t>[</w:t>
      </w:r>
      <w:r w:rsidR="00C0144F" w:rsidRPr="001B2A01">
        <w:rPr>
          <w:b w:val="0"/>
          <w:noProof/>
          <w:lang w:val="en-GB"/>
        </w:rPr>
        <w:t>Mark Campbell, 30 August 2016</w:t>
      </w:r>
      <w:r w:rsidR="00C80C8C" w:rsidRPr="001B2A01">
        <w:rPr>
          <w:b w:val="0"/>
          <w:noProof/>
        </w:rPr>
        <w:t>]</w:t>
      </w:r>
      <w:r w:rsidR="00CA556C" w:rsidRPr="001B2A01">
        <w:rPr>
          <w:b w:val="0"/>
        </w:rPr>
        <w:fldChar w:fldCharType="end"/>
      </w:r>
      <w:bookmarkEnd w:id="5"/>
    </w:p>
    <w:p w:rsidR="00081BF9" w:rsidRPr="00802F74" w:rsidRDefault="00081BF9" w:rsidP="00927850">
      <w:pPr>
        <w:pStyle w:val="Heading2"/>
        <w:keepNext w:val="0"/>
      </w:pPr>
      <w:r w:rsidRPr="00C87B00">
        <w:t>Contributors to this paper:</w:t>
      </w:r>
      <w:r>
        <w:t xml:space="preserve"> </w:t>
      </w:r>
    </w:p>
    <w:p w:rsidR="00081BF9" w:rsidRDefault="00081BF9" w:rsidP="00927850">
      <w:pPr>
        <w:tabs>
          <w:tab w:val="left" w:pos="2835"/>
        </w:tabs>
      </w:pPr>
      <w:r>
        <w:t>Technical Lead:</w:t>
      </w:r>
      <w:r w:rsidR="00FA0B3F">
        <w:tab/>
      </w:r>
      <w:r w:rsidR="002F2A85">
        <w:t xml:space="preserve">Neil Hewitt </w:t>
      </w:r>
    </w:p>
    <w:p w:rsidR="00081BF9" w:rsidRDefault="00081BF9" w:rsidP="00927850">
      <w:pPr>
        <w:tabs>
          <w:tab w:val="left" w:pos="2835"/>
        </w:tabs>
      </w:pPr>
      <w:r>
        <w:t>Technical A</w:t>
      </w:r>
      <w:r w:rsidR="00221E91">
        <w:t>nalyst (Evaluation)</w:t>
      </w:r>
      <w:r>
        <w:t>:</w:t>
      </w:r>
      <w:r w:rsidR="00FA0B3F">
        <w:tab/>
      </w:r>
      <w:r w:rsidR="00636FC0">
        <w:rPr>
          <w:noProof/>
        </w:rPr>
        <w:t>Paul Dimmock</w:t>
      </w:r>
      <w:r w:rsidR="00924E23">
        <w:t xml:space="preserve"> </w:t>
      </w:r>
    </w:p>
    <w:p w:rsidR="00081BF9" w:rsidRDefault="00081BF9" w:rsidP="00927850">
      <w:pPr>
        <w:tabs>
          <w:tab w:val="left" w:pos="2835"/>
        </w:tabs>
      </w:pPr>
      <w:r>
        <w:t>Project Manager:</w:t>
      </w:r>
      <w:r w:rsidR="00FA0B3F">
        <w:tab/>
      </w:r>
      <w:r w:rsidR="00BA5C5B">
        <w:t>Lee Dobson</w:t>
      </w:r>
    </w:p>
    <w:p w:rsidR="00EC4659" w:rsidRDefault="000147CF">
      <w:pPr>
        <w:spacing w:after="0"/>
        <w:rPr>
          <w:rFonts w:cs="Times New Roman"/>
          <w:b/>
          <w:bCs/>
          <w:iCs/>
          <w:szCs w:val="28"/>
        </w:rPr>
      </w:pPr>
      <w:r w:rsidRPr="004F0B20">
        <w:lastRenderedPageBreak/>
        <w:br w:type="page"/>
      </w:r>
    </w:p>
    <w:p w:rsidR="00D303E7" w:rsidRPr="00800DEF" w:rsidRDefault="00006C4A" w:rsidP="00800DEF">
      <w:pPr>
        <w:pStyle w:val="Heading2"/>
      </w:pPr>
      <w:r>
        <w:lastRenderedPageBreak/>
        <w:t>References</w:t>
      </w:r>
    </w:p>
    <w:p w:rsidR="00DC1AEF" w:rsidRPr="006B611E" w:rsidRDefault="00DC1AEF" w:rsidP="00DC1AEF">
      <w:pPr>
        <w:pStyle w:val="Paragraph"/>
        <w:numPr>
          <w:ilvl w:val="0"/>
          <w:numId w:val="0"/>
        </w:numPr>
        <w:spacing w:line="240" w:lineRule="auto"/>
      </w:pPr>
      <w:r w:rsidRPr="006B611E">
        <w:t xml:space="preserve">Freeman A, Freeman M (2012) </w:t>
      </w:r>
      <w:r w:rsidRPr="00636380">
        <w:rPr>
          <w:bCs/>
        </w:rPr>
        <w:t>Ambulight an organic led automated battery operated light source compared to the Actilight for Metvix PDT</w:t>
      </w:r>
      <w:r w:rsidRPr="006B611E">
        <w:t xml:space="preserve">. </w:t>
      </w:r>
      <w:r w:rsidRPr="006B611E">
        <w:rPr>
          <w:i/>
          <w:iCs/>
        </w:rPr>
        <w:t>Australasian Journal of Dermatology</w:t>
      </w:r>
      <w:r w:rsidRPr="006B611E">
        <w:t xml:space="preserve"> 53: 37-.</w:t>
      </w:r>
    </w:p>
    <w:p w:rsidR="00DC1AEF" w:rsidRPr="006B611E" w:rsidRDefault="00DC1AEF" w:rsidP="00DC1AEF">
      <w:pPr>
        <w:pStyle w:val="Paragraph"/>
        <w:numPr>
          <w:ilvl w:val="0"/>
          <w:numId w:val="0"/>
        </w:numPr>
        <w:spacing w:line="240" w:lineRule="auto"/>
      </w:pPr>
      <w:r w:rsidRPr="006B611E">
        <w:t xml:space="preserve">Ibbotson S (2013) </w:t>
      </w:r>
      <w:r w:rsidRPr="00636380">
        <w:rPr>
          <w:bCs/>
        </w:rPr>
        <w:t>Optimising the use of PDT in dermatology</w:t>
      </w:r>
      <w:r w:rsidRPr="006B611E">
        <w:t xml:space="preserve">. </w:t>
      </w:r>
      <w:r w:rsidRPr="006B611E">
        <w:rPr>
          <w:i/>
          <w:iCs/>
        </w:rPr>
        <w:t>Lasers in Medical Science</w:t>
      </w:r>
      <w:r w:rsidRPr="006B611E">
        <w:t xml:space="preserve"> 28 (5): 1219-1220.</w:t>
      </w:r>
    </w:p>
    <w:p w:rsidR="00DC1AEF" w:rsidRPr="006B611E" w:rsidRDefault="00DC1AEF" w:rsidP="00DC1AEF">
      <w:pPr>
        <w:pStyle w:val="Paragraph"/>
        <w:numPr>
          <w:ilvl w:val="0"/>
          <w:numId w:val="0"/>
        </w:numPr>
        <w:spacing w:line="240" w:lineRule="auto"/>
      </w:pPr>
      <w:r w:rsidRPr="006B611E">
        <w:t xml:space="preserve">Ibbotson SH, Ferguson J (2012) </w:t>
      </w:r>
      <w:r w:rsidRPr="00636380">
        <w:rPr>
          <w:bCs/>
        </w:rPr>
        <w:t>Ambulatory photodynamic therapy using low irradiance inorganic light-emitting diodes for the treatment of non-melanoma skin cancer: An open study</w:t>
      </w:r>
      <w:r w:rsidRPr="006B611E">
        <w:t xml:space="preserve">. </w:t>
      </w:r>
      <w:r w:rsidRPr="006B611E">
        <w:rPr>
          <w:i/>
          <w:iCs/>
        </w:rPr>
        <w:t>Photodermatology Photoimmunology and Photomedicine</w:t>
      </w:r>
      <w:r w:rsidRPr="006B611E">
        <w:t xml:space="preserve"> 28 (5): 235-239.</w:t>
      </w:r>
    </w:p>
    <w:p w:rsidR="00636FC0" w:rsidRPr="006B611E" w:rsidRDefault="00DC1AEF" w:rsidP="00DC1AEF">
      <w:pPr>
        <w:rPr>
          <w:color w:val="FF0000"/>
        </w:rPr>
      </w:pPr>
      <w:r w:rsidRPr="006B611E">
        <w:t xml:space="preserve">Johnston J, Lun K, Bond A et al. (2015) </w:t>
      </w:r>
      <w:r w:rsidRPr="00636380">
        <w:rPr>
          <w:bCs/>
        </w:rPr>
        <w:t>Ambulatory photodynamic therapy</w:t>
      </w:r>
      <w:r w:rsidRPr="006B611E">
        <w:t xml:space="preserve">. </w:t>
      </w:r>
      <w:r w:rsidRPr="006B611E">
        <w:rPr>
          <w:i/>
          <w:iCs/>
        </w:rPr>
        <w:t>Australasian Journal of Dermatology</w:t>
      </w:r>
      <w:r w:rsidRPr="006B611E">
        <w:t xml:space="preserve"> 56: 43-.</w:t>
      </w:r>
    </w:p>
    <w:p w:rsidR="00392BC2" w:rsidRPr="00392BC2" w:rsidRDefault="00392BC2" w:rsidP="00392BC2">
      <w:pPr>
        <w:pStyle w:val="Heading2"/>
        <w:rPr>
          <w:b w:val="0"/>
          <w:bCs w:val="0"/>
          <w:color w:val="FF0000"/>
          <w:lang w:val="en-GB"/>
        </w:rPr>
      </w:pPr>
    </w:p>
    <w:p w:rsidR="009858FD" w:rsidRDefault="009858FD" w:rsidP="002B38CE">
      <w:pPr>
        <w:pStyle w:val="Heading1"/>
      </w:pPr>
    </w:p>
    <w:sectPr w:rsidR="009858FD" w:rsidSect="00081BF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32" w:rsidRDefault="00551232" w:rsidP="00446BEE">
      <w:r>
        <w:separator/>
      </w:r>
    </w:p>
  </w:endnote>
  <w:endnote w:type="continuationSeparator" w:id="0">
    <w:p w:rsidR="00551232" w:rsidRDefault="0055123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3616D4" w:rsidP="00C80C8C">
    <w:pPr>
      <w:pStyle w:val="Footer"/>
      <w:spacing w:before="240"/>
    </w:pPr>
    <w:r w:rsidRPr="003616D4">
      <w:t>M</w:t>
    </w:r>
    <w:r>
      <w:t xml:space="preserve">TG Review Proposal for MTG </w:t>
    </w:r>
    <w:r w:rsidR="00D325B5">
      <w:rPr>
        <w:lang w:val="en-GB"/>
      </w:rPr>
      <w:t>6</w:t>
    </w:r>
    <w:r w:rsidR="00A74673">
      <w:tab/>
    </w:r>
    <w:r w:rsidR="008875A8">
      <w:fldChar w:fldCharType="begin"/>
    </w:r>
    <w:r w:rsidR="008875A8">
      <w:instrText xml:space="preserve"> PAGE </w:instrText>
    </w:r>
    <w:r w:rsidR="008875A8">
      <w:fldChar w:fldCharType="separate"/>
    </w:r>
    <w:r w:rsidR="00BC1E5D">
      <w:rPr>
        <w:noProof/>
      </w:rPr>
      <w:t>6</w:t>
    </w:r>
    <w:r w:rsidR="008875A8">
      <w:rPr>
        <w:noProof/>
      </w:rPr>
      <w:fldChar w:fldCharType="end"/>
    </w:r>
    <w:r w:rsidR="00A74673">
      <w:t xml:space="preserve"> of </w:t>
    </w:r>
    <w:r w:rsidR="006B611E">
      <w:fldChar w:fldCharType="begin"/>
    </w:r>
    <w:r w:rsidR="006B611E">
      <w:instrText xml:space="preserve"> NUMPAGES  </w:instrText>
    </w:r>
    <w:r w:rsidR="006B611E">
      <w:fldChar w:fldCharType="separate"/>
    </w:r>
    <w:r w:rsidR="00BC1E5D">
      <w:rPr>
        <w:noProof/>
      </w:rPr>
      <w:t>6</w:t>
    </w:r>
    <w:r w:rsidR="006B611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32" w:rsidRDefault="00551232" w:rsidP="00446BEE">
      <w:r>
        <w:separator/>
      </w:r>
    </w:p>
  </w:footnote>
  <w:footnote w:type="continuationSeparator" w:id="0">
    <w:p w:rsidR="00551232" w:rsidRDefault="0055123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02C216"/>
    <w:lvl w:ilvl="0">
      <w:start w:val="1"/>
      <w:numFmt w:val="decimal"/>
      <w:lvlText w:val="%1."/>
      <w:lvlJc w:val="left"/>
      <w:pPr>
        <w:tabs>
          <w:tab w:val="num" w:pos="1492"/>
        </w:tabs>
        <w:ind w:left="1492" w:hanging="360"/>
      </w:pPr>
    </w:lvl>
  </w:abstractNum>
  <w:abstractNum w:abstractNumId="1">
    <w:nsid w:val="FFFFFF7D"/>
    <w:multiLevelType w:val="singleLevel"/>
    <w:tmpl w:val="6068EF1C"/>
    <w:lvl w:ilvl="0">
      <w:start w:val="1"/>
      <w:numFmt w:val="decimal"/>
      <w:lvlText w:val="%1."/>
      <w:lvlJc w:val="left"/>
      <w:pPr>
        <w:tabs>
          <w:tab w:val="num" w:pos="1209"/>
        </w:tabs>
        <w:ind w:left="1209" w:hanging="360"/>
      </w:pPr>
    </w:lvl>
  </w:abstractNum>
  <w:abstractNum w:abstractNumId="2">
    <w:nsid w:val="FFFFFF7E"/>
    <w:multiLevelType w:val="singleLevel"/>
    <w:tmpl w:val="4BDA76F0"/>
    <w:lvl w:ilvl="0">
      <w:start w:val="1"/>
      <w:numFmt w:val="decimal"/>
      <w:lvlText w:val="%1."/>
      <w:lvlJc w:val="left"/>
      <w:pPr>
        <w:tabs>
          <w:tab w:val="num" w:pos="926"/>
        </w:tabs>
        <w:ind w:left="926" w:hanging="360"/>
      </w:pPr>
    </w:lvl>
  </w:abstractNum>
  <w:abstractNum w:abstractNumId="3">
    <w:nsid w:val="FFFFFF7F"/>
    <w:multiLevelType w:val="singleLevel"/>
    <w:tmpl w:val="4C54C3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602F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C45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00B2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988B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8B142"/>
    <w:lvl w:ilvl="0">
      <w:start w:val="1"/>
      <w:numFmt w:val="decimal"/>
      <w:lvlText w:val="%1."/>
      <w:lvlJc w:val="left"/>
      <w:pPr>
        <w:tabs>
          <w:tab w:val="num" w:pos="360"/>
        </w:tabs>
        <w:ind w:left="360" w:hanging="360"/>
      </w:pPr>
    </w:lvl>
  </w:abstractNum>
  <w:abstractNum w:abstractNumId="9">
    <w:nsid w:val="FFFFFF89"/>
    <w:multiLevelType w:val="singleLevel"/>
    <w:tmpl w:val="19E0F632"/>
    <w:lvl w:ilvl="0">
      <w:start w:val="1"/>
      <w:numFmt w:val="bullet"/>
      <w:lvlText w:val=""/>
      <w:lvlJc w:val="left"/>
      <w:pPr>
        <w:tabs>
          <w:tab w:val="num" w:pos="360"/>
        </w:tabs>
        <w:ind w:left="360" w:hanging="360"/>
      </w:pPr>
      <w:rPr>
        <w:rFonts w:ascii="Symbol" w:hAnsi="Symbol" w:hint="default"/>
      </w:rPr>
    </w:lvl>
  </w:abstractNum>
  <w:abstractNum w:abstractNumId="10">
    <w:nsid w:val="1A1C665F"/>
    <w:multiLevelType w:val="hybridMultilevel"/>
    <w:tmpl w:val="3AF4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DA509F5"/>
    <w:multiLevelType w:val="hybridMultilevel"/>
    <w:tmpl w:val="77B829F6"/>
    <w:lvl w:ilvl="0" w:tplc="AD285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CC3584"/>
    <w:multiLevelType w:val="multilevel"/>
    <w:tmpl w:val="88DCEB1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b w:val="0"/>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nsid w:val="53761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8C95F72"/>
    <w:multiLevelType w:val="hybridMultilevel"/>
    <w:tmpl w:val="D2DA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F81A3E"/>
    <w:multiLevelType w:val="hybridMultilevel"/>
    <w:tmpl w:val="6F847C5E"/>
    <w:lvl w:ilvl="0" w:tplc="E19A6854">
      <w:start w:val="1"/>
      <w:numFmt w:val="lowerRoman"/>
      <w:lvlText w:val="%1."/>
      <w:lvlJc w:val="right"/>
      <w:pPr>
        <w:tabs>
          <w:tab w:val="num" w:pos="720"/>
        </w:tabs>
        <w:ind w:left="720" w:hanging="180"/>
      </w:pPr>
      <w:rPr>
        <w:rFonts w:hint="default"/>
      </w:rPr>
    </w:lvl>
    <w:lvl w:ilvl="1" w:tplc="98382206">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D2B0F29"/>
    <w:multiLevelType w:val="hybridMultilevel"/>
    <w:tmpl w:val="723E3656"/>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D3048B"/>
    <w:multiLevelType w:val="hybridMultilevel"/>
    <w:tmpl w:val="00F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343A7B"/>
    <w:multiLevelType w:val="hybridMultilevel"/>
    <w:tmpl w:val="5072B69E"/>
    <w:lvl w:ilvl="0" w:tplc="606C6D50">
      <w:start w:val="1"/>
      <w:numFmt w:val="decimal"/>
      <w:pStyle w:val="Numberedheading"/>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8"/>
  </w:num>
  <w:num w:numId="21">
    <w:abstractNumId w:val="19"/>
  </w:num>
  <w:num w:numId="22">
    <w:abstractNumId w:val="17"/>
  </w:num>
  <w:num w:numId="23">
    <w:abstractNumId w:val="15"/>
  </w:num>
  <w:num w:numId="24">
    <w:abstractNumId w:val="10"/>
  </w:num>
  <w:num w:numId="25">
    <w:abstractNumId w:val="14"/>
  </w:num>
  <w:num w:numId="26">
    <w:abstractNumId w:val="21"/>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32"/>
    <w:rsid w:val="00006C4A"/>
    <w:rsid w:val="00013985"/>
    <w:rsid w:val="000147CF"/>
    <w:rsid w:val="00017666"/>
    <w:rsid w:val="00024D0A"/>
    <w:rsid w:val="00033475"/>
    <w:rsid w:val="00041430"/>
    <w:rsid w:val="0004252C"/>
    <w:rsid w:val="00052499"/>
    <w:rsid w:val="000656B4"/>
    <w:rsid w:val="00065D87"/>
    <w:rsid w:val="00070065"/>
    <w:rsid w:val="00076E01"/>
    <w:rsid w:val="00077DB2"/>
    <w:rsid w:val="00081BF9"/>
    <w:rsid w:val="0009291F"/>
    <w:rsid w:val="00092AB3"/>
    <w:rsid w:val="000B1162"/>
    <w:rsid w:val="000B24B8"/>
    <w:rsid w:val="000B5939"/>
    <w:rsid w:val="000C4E5D"/>
    <w:rsid w:val="000D064A"/>
    <w:rsid w:val="000E3105"/>
    <w:rsid w:val="000E499F"/>
    <w:rsid w:val="000F1143"/>
    <w:rsid w:val="00101733"/>
    <w:rsid w:val="001134E7"/>
    <w:rsid w:val="00126675"/>
    <w:rsid w:val="0013004F"/>
    <w:rsid w:val="00134FDA"/>
    <w:rsid w:val="00137E6E"/>
    <w:rsid w:val="00144034"/>
    <w:rsid w:val="00145410"/>
    <w:rsid w:val="00147FA6"/>
    <w:rsid w:val="00157C22"/>
    <w:rsid w:val="0017169E"/>
    <w:rsid w:val="00171EFD"/>
    <w:rsid w:val="00177290"/>
    <w:rsid w:val="001810B8"/>
    <w:rsid w:val="0018189E"/>
    <w:rsid w:val="0018584D"/>
    <w:rsid w:val="00195DA4"/>
    <w:rsid w:val="001A23E4"/>
    <w:rsid w:val="001A7DDF"/>
    <w:rsid w:val="001B18CF"/>
    <w:rsid w:val="001B2A01"/>
    <w:rsid w:val="001B2FE2"/>
    <w:rsid w:val="001B64DA"/>
    <w:rsid w:val="001B65B3"/>
    <w:rsid w:val="001C27D3"/>
    <w:rsid w:val="001D1C08"/>
    <w:rsid w:val="001D232E"/>
    <w:rsid w:val="001D5764"/>
    <w:rsid w:val="001E6015"/>
    <w:rsid w:val="002106E6"/>
    <w:rsid w:val="0021083D"/>
    <w:rsid w:val="0021463A"/>
    <w:rsid w:val="00214A5F"/>
    <w:rsid w:val="00221E91"/>
    <w:rsid w:val="00223A93"/>
    <w:rsid w:val="002365E4"/>
    <w:rsid w:val="002408EA"/>
    <w:rsid w:val="00256F0A"/>
    <w:rsid w:val="002575B4"/>
    <w:rsid w:val="00270605"/>
    <w:rsid w:val="00270FBC"/>
    <w:rsid w:val="00283D5A"/>
    <w:rsid w:val="00285A5B"/>
    <w:rsid w:val="00295C21"/>
    <w:rsid w:val="002974CB"/>
    <w:rsid w:val="002A44E9"/>
    <w:rsid w:val="002A6474"/>
    <w:rsid w:val="002B38CE"/>
    <w:rsid w:val="002C1A7E"/>
    <w:rsid w:val="002C4054"/>
    <w:rsid w:val="002C433D"/>
    <w:rsid w:val="002D09E7"/>
    <w:rsid w:val="002D1913"/>
    <w:rsid w:val="002D5680"/>
    <w:rsid w:val="002D6B1C"/>
    <w:rsid w:val="002E3F5C"/>
    <w:rsid w:val="002F07FC"/>
    <w:rsid w:val="002F2A85"/>
    <w:rsid w:val="002F2EEF"/>
    <w:rsid w:val="002F6202"/>
    <w:rsid w:val="00311ED0"/>
    <w:rsid w:val="003178AE"/>
    <w:rsid w:val="00350754"/>
    <w:rsid w:val="003616D4"/>
    <w:rsid w:val="00361E32"/>
    <w:rsid w:val="00363310"/>
    <w:rsid w:val="00363768"/>
    <w:rsid w:val="00367EAA"/>
    <w:rsid w:val="003722FA"/>
    <w:rsid w:val="00377277"/>
    <w:rsid w:val="00392BC2"/>
    <w:rsid w:val="003A7293"/>
    <w:rsid w:val="003B1C33"/>
    <w:rsid w:val="003B4291"/>
    <w:rsid w:val="003B4F08"/>
    <w:rsid w:val="003C7AAF"/>
    <w:rsid w:val="003D10CA"/>
    <w:rsid w:val="003D1DF7"/>
    <w:rsid w:val="003D546C"/>
    <w:rsid w:val="003D6B66"/>
    <w:rsid w:val="003D6B95"/>
    <w:rsid w:val="003E12B1"/>
    <w:rsid w:val="003F2EC0"/>
    <w:rsid w:val="003F3095"/>
    <w:rsid w:val="003F6CE1"/>
    <w:rsid w:val="00405CF9"/>
    <w:rsid w:val="004075B6"/>
    <w:rsid w:val="00407AF6"/>
    <w:rsid w:val="00410B9E"/>
    <w:rsid w:val="00411B85"/>
    <w:rsid w:val="00415038"/>
    <w:rsid w:val="00420952"/>
    <w:rsid w:val="0042358B"/>
    <w:rsid w:val="00424EEB"/>
    <w:rsid w:val="0042692A"/>
    <w:rsid w:val="0043037A"/>
    <w:rsid w:val="00440DD4"/>
    <w:rsid w:val="00446BEE"/>
    <w:rsid w:val="00457B96"/>
    <w:rsid w:val="00460217"/>
    <w:rsid w:val="00461D4A"/>
    <w:rsid w:val="004714BC"/>
    <w:rsid w:val="00472574"/>
    <w:rsid w:val="00475341"/>
    <w:rsid w:val="004826E7"/>
    <w:rsid w:val="0049129E"/>
    <w:rsid w:val="00493B39"/>
    <w:rsid w:val="004B180E"/>
    <w:rsid w:val="004B6652"/>
    <w:rsid w:val="004C4CA9"/>
    <w:rsid w:val="004D7902"/>
    <w:rsid w:val="004E0DEB"/>
    <w:rsid w:val="004F0B20"/>
    <w:rsid w:val="004F2BF2"/>
    <w:rsid w:val="004F5416"/>
    <w:rsid w:val="005023E5"/>
    <w:rsid w:val="005025A1"/>
    <w:rsid w:val="00502C4B"/>
    <w:rsid w:val="005069EB"/>
    <w:rsid w:val="00510B85"/>
    <w:rsid w:val="00511B9E"/>
    <w:rsid w:val="0051771D"/>
    <w:rsid w:val="00537651"/>
    <w:rsid w:val="0054017F"/>
    <w:rsid w:val="0054337A"/>
    <w:rsid w:val="0054491D"/>
    <w:rsid w:val="00544F68"/>
    <w:rsid w:val="00545DDA"/>
    <w:rsid w:val="00551232"/>
    <w:rsid w:val="00554A1D"/>
    <w:rsid w:val="00563767"/>
    <w:rsid w:val="0056596D"/>
    <w:rsid w:val="00565D19"/>
    <w:rsid w:val="005742F4"/>
    <w:rsid w:val="00574BA9"/>
    <w:rsid w:val="0058171E"/>
    <w:rsid w:val="00587E2B"/>
    <w:rsid w:val="00593444"/>
    <w:rsid w:val="005A1F41"/>
    <w:rsid w:val="005A5DB9"/>
    <w:rsid w:val="005C55E5"/>
    <w:rsid w:val="005D2114"/>
    <w:rsid w:val="005E1359"/>
    <w:rsid w:val="005F1426"/>
    <w:rsid w:val="005F4FEA"/>
    <w:rsid w:val="00602AF6"/>
    <w:rsid w:val="00606107"/>
    <w:rsid w:val="00615825"/>
    <w:rsid w:val="006243A2"/>
    <w:rsid w:val="00625EE7"/>
    <w:rsid w:val="00630528"/>
    <w:rsid w:val="00636380"/>
    <w:rsid w:val="00636FC0"/>
    <w:rsid w:val="0063757B"/>
    <w:rsid w:val="00671256"/>
    <w:rsid w:val="00674196"/>
    <w:rsid w:val="006809B5"/>
    <w:rsid w:val="006921E1"/>
    <w:rsid w:val="00697953"/>
    <w:rsid w:val="006A336B"/>
    <w:rsid w:val="006A4C2C"/>
    <w:rsid w:val="006A7C75"/>
    <w:rsid w:val="006B611E"/>
    <w:rsid w:val="006B66D0"/>
    <w:rsid w:val="006C11B4"/>
    <w:rsid w:val="006D033B"/>
    <w:rsid w:val="006D55A6"/>
    <w:rsid w:val="006E23C1"/>
    <w:rsid w:val="006E63D0"/>
    <w:rsid w:val="00707BD3"/>
    <w:rsid w:val="00711B65"/>
    <w:rsid w:val="007141AB"/>
    <w:rsid w:val="0071763D"/>
    <w:rsid w:val="00725CF1"/>
    <w:rsid w:val="007312ED"/>
    <w:rsid w:val="00736348"/>
    <w:rsid w:val="00741393"/>
    <w:rsid w:val="007416C3"/>
    <w:rsid w:val="007418BF"/>
    <w:rsid w:val="00756C4A"/>
    <w:rsid w:val="007615A0"/>
    <w:rsid w:val="0076215E"/>
    <w:rsid w:val="00770B9A"/>
    <w:rsid w:val="00776C8F"/>
    <w:rsid w:val="00777A7A"/>
    <w:rsid w:val="007846AB"/>
    <w:rsid w:val="00785ECB"/>
    <w:rsid w:val="007A3DE1"/>
    <w:rsid w:val="007C3022"/>
    <w:rsid w:val="007C5320"/>
    <w:rsid w:val="007E22B8"/>
    <w:rsid w:val="007E438F"/>
    <w:rsid w:val="007E7C2A"/>
    <w:rsid w:val="007F45F4"/>
    <w:rsid w:val="007F6914"/>
    <w:rsid w:val="00800DEF"/>
    <w:rsid w:val="00802F74"/>
    <w:rsid w:val="00810C03"/>
    <w:rsid w:val="008127EF"/>
    <w:rsid w:val="00821529"/>
    <w:rsid w:val="00824C23"/>
    <w:rsid w:val="00830F75"/>
    <w:rsid w:val="00845357"/>
    <w:rsid w:val="008526D1"/>
    <w:rsid w:val="00871FEF"/>
    <w:rsid w:val="00874BE2"/>
    <w:rsid w:val="00882F1A"/>
    <w:rsid w:val="008875A8"/>
    <w:rsid w:val="0089115D"/>
    <w:rsid w:val="008918B3"/>
    <w:rsid w:val="008959CF"/>
    <w:rsid w:val="008A1E7A"/>
    <w:rsid w:val="008A37B7"/>
    <w:rsid w:val="008A5555"/>
    <w:rsid w:val="008C4246"/>
    <w:rsid w:val="008D0226"/>
    <w:rsid w:val="008D325E"/>
    <w:rsid w:val="008E0065"/>
    <w:rsid w:val="008E664D"/>
    <w:rsid w:val="008F157E"/>
    <w:rsid w:val="008F43A3"/>
    <w:rsid w:val="00903E07"/>
    <w:rsid w:val="009138E1"/>
    <w:rsid w:val="0092401F"/>
    <w:rsid w:val="00924E23"/>
    <w:rsid w:val="00925F15"/>
    <w:rsid w:val="00927850"/>
    <w:rsid w:val="00931D34"/>
    <w:rsid w:val="00934166"/>
    <w:rsid w:val="00942AA1"/>
    <w:rsid w:val="00951CE2"/>
    <w:rsid w:val="009603B9"/>
    <w:rsid w:val="00961855"/>
    <w:rsid w:val="00974F72"/>
    <w:rsid w:val="0098424A"/>
    <w:rsid w:val="009858FD"/>
    <w:rsid w:val="00995A8D"/>
    <w:rsid w:val="00996881"/>
    <w:rsid w:val="009A2635"/>
    <w:rsid w:val="009B1828"/>
    <w:rsid w:val="009D28CF"/>
    <w:rsid w:val="009D3C37"/>
    <w:rsid w:val="009D3DFE"/>
    <w:rsid w:val="009E1ABB"/>
    <w:rsid w:val="009E2430"/>
    <w:rsid w:val="009E680B"/>
    <w:rsid w:val="009F0623"/>
    <w:rsid w:val="009F4628"/>
    <w:rsid w:val="009F5502"/>
    <w:rsid w:val="009F7239"/>
    <w:rsid w:val="00A03536"/>
    <w:rsid w:val="00A03EFD"/>
    <w:rsid w:val="00A053E1"/>
    <w:rsid w:val="00A07923"/>
    <w:rsid w:val="00A10F80"/>
    <w:rsid w:val="00A12289"/>
    <w:rsid w:val="00A15A1F"/>
    <w:rsid w:val="00A23B2E"/>
    <w:rsid w:val="00A24BE8"/>
    <w:rsid w:val="00A25F36"/>
    <w:rsid w:val="00A27753"/>
    <w:rsid w:val="00A327CE"/>
    <w:rsid w:val="00A3325A"/>
    <w:rsid w:val="00A41399"/>
    <w:rsid w:val="00A46165"/>
    <w:rsid w:val="00A46305"/>
    <w:rsid w:val="00A707C3"/>
    <w:rsid w:val="00A7191E"/>
    <w:rsid w:val="00A74673"/>
    <w:rsid w:val="00A753B8"/>
    <w:rsid w:val="00A756BB"/>
    <w:rsid w:val="00A80668"/>
    <w:rsid w:val="00A861F5"/>
    <w:rsid w:val="00A97EF1"/>
    <w:rsid w:val="00AA2B6D"/>
    <w:rsid w:val="00AA3E6D"/>
    <w:rsid w:val="00AB72DC"/>
    <w:rsid w:val="00AC3860"/>
    <w:rsid w:val="00AC40E7"/>
    <w:rsid w:val="00AC6EA8"/>
    <w:rsid w:val="00AD140C"/>
    <w:rsid w:val="00AE76B0"/>
    <w:rsid w:val="00AE7DC4"/>
    <w:rsid w:val="00AF108A"/>
    <w:rsid w:val="00B02E55"/>
    <w:rsid w:val="00B03E79"/>
    <w:rsid w:val="00B049F0"/>
    <w:rsid w:val="00B05BFE"/>
    <w:rsid w:val="00B11C4C"/>
    <w:rsid w:val="00B1359B"/>
    <w:rsid w:val="00B2228D"/>
    <w:rsid w:val="00B253F7"/>
    <w:rsid w:val="00B259D3"/>
    <w:rsid w:val="00B26B7A"/>
    <w:rsid w:val="00B2721B"/>
    <w:rsid w:val="00B51A60"/>
    <w:rsid w:val="00B564E5"/>
    <w:rsid w:val="00B60DF7"/>
    <w:rsid w:val="00B632D1"/>
    <w:rsid w:val="00B67EF6"/>
    <w:rsid w:val="00B7371D"/>
    <w:rsid w:val="00B8205D"/>
    <w:rsid w:val="00B94E99"/>
    <w:rsid w:val="00B9594A"/>
    <w:rsid w:val="00BA5C5B"/>
    <w:rsid w:val="00BA7D8F"/>
    <w:rsid w:val="00BB0E43"/>
    <w:rsid w:val="00BB19DE"/>
    <w:rsid w:val="00BC1E5D"/>
    <w:rsid w:val="00BC3E45"/>
    <w:rsid w:val="00BC6DEF"/>
    <w:rsid w:val="00BD3372"/>
    <w:rsid w:val="00BD4083"/>
    <w:rsid w:val="00BD4F8D"/>
    <w:rsid w:val="00BE5835"/>
    <w:rsid w:val="00BE67CC"/>
    <w:rsid w:val="00BF56F6"/>
    <w:rsid w:val="00BF7FE0"/>
    <w:rsid w:val="00C0144F"/>
    <w:rsid w:val="00C05518"/>
    <w:rsid w:val="00C1705E"/>
    <w:rsid w:val="00C17922"/>
    <w:rsid w:val="00C21130"/>
    <w:rsid w:val="00C2686C"/>
    <w:rsid w:val="00C342E5"/>
    <w:rsid w:val="00C35B50"/>
    <w:rsid w:val="00C367D2"/>
    <w:rsid w:val="00C4762D"/>
    <w:rsid w:val="00C47DDE"/>
    <w:rsid w:val="00C61D56"/>
    <w:rsid w:val="00C6604E"/>
    <w:rsid w:val="00C77EA2"/>
    <w:rsid w:val="00C802A6"/>
    <w:rsid w:val="00C80C8C"/>
    <w:rsid w:val="00C9333C"/>
    <w:rsid w:val="00C97FC6"/>
    <w:rsid w:val="00CA4909"/>
    <w:rsid w:val="00CA556C"/>
    <w:rsid w:val="00CB0E56"/>
    <w:rsid w:val="00CB7F99"/>
    <w:rsid w:val="00CC60E2"/>
    <w:rsid w:val="00CD354B"/>
    <w:rsid w:val="00CE4CF9"/>
    <w:rsid w:val="00CF3EEC"/>
    <w:rsid w:val="00CF58B7"/>
    <w:rsid w:val="00D13E2B"/>
    <w:rsid w:val="00D15F34"/>
    <w:rsid w:val="00D303E7"/>
    <w:rsid w:val="00D325B5"/>
    <w:rsid w:val="00D351C1"/>
    <w:rsid w:val="00D36E38"/>
    <w:rsid w:val="00D4147E"/>
    <w:rsid w:val="00D578C9"/>
    <w:rsid w:val="00D632A9"/>
    <w:rsid w:val="00D84960"/>
    <w:rsid w:val="00D854C6"/>
    <w:rsid w:val="00D86BF0"/>
    <w:rsid w:val="00D904A7"/>
    <w:rsid w:val="00D95C78"/>
    <w:rsid w:val="00DA3F0F"/>
    <w:rsid w:val="00DA5082"/>
    <w:rsid w:val="00DA547B"/>
    <w:rsid w:val="00DB42B2"/>
    <w:rsid w:val="00DC1AEF"/>
    <w:rsid w:val="00DC4041"/>
    <w:rsid w:val="00DD57D1"/>
    <w:rsid w:val="00DD6AC4"/>
    <w:rsid w:val="00DE2C8D"/>
    <w:rsid w:val="00DE458E"/>
    <w:rsid w:val="00E01790"/>
    <w:rsid w:val="00E071D9"/>
    <w:rsid w:val="00E15CF1"/>
    <w:rsid w:val="00E20298"/>
    <w:rsid w:val="00E2231C"/>
    <w:rsid w:val="00E25DAD"/>
    <w:rsid w:val="00E336B6"/>
    <w:rsid w:val="00E338DC"/>
    <w:rsid w:val="00E4090B"/>
    <w:rsid w:val="00E446F8"/>
    <w:rsid w:val="00E51920"/>
    <w:rsid w:val="00E51CDD"/>
    <w:rsid w:val="00E53692"/>
    <w:rsid w:val="00E565DB"/>
    <w:rsid w:val="00E56D17"/>
    <w:rsid w:val="00E64120"/>
    <w:rsid w:val="00E7047A"/>
    <w:rsid w:val="00E94224"/>
    <w:rsid w:val="00EA20F5"/>
    <w:rsid w:val="00EA53E3"/>
    <w:rsid w:val="00EA58D3"/>
    <w:rsid w:val="00EC4659"/>
    <w:rsid w:val="00EC496A"/>
    <w:rsid w:val="00EC4A38"/>
    <w:rsid w:val="00ED25DC"/>
    <w:rsid w:val="00EE0652"/>
    <w:rsid w:val="00EF5FBC"/>
    <w:rsid w:val="00EF6BCB"/>
    <w:rsid w:val="00EF73D8"/>
    <w:rsid w:val="00F03E83"/>
    <w:rsid w:val="00F04F4F"/>
    <w:rsid w:val="00F055F1"/>
    <w:rsid w:val="00F228CA"/>
    <w:rsid w:val="00F252A1"/>
    <w:rsid w:val="00F41CC6"/>
    <w:rsid w:val="00F70D04"/>
    <w:rsid w:val="00F858CA"/>
    <w:rsid w:val="00F86483"/>
    <w:rsid w:val="00F957CF"/>
    <w:rsid w:val="00FA0B3F"/>
    <w:rsid w:val="00FA1B95"/>
    <w:rsid w:val="00FA3C45"/>
    <w:rsid w:val="00FA48A4"/>
    <w:rsid w:val="00FA58FB"/>
    <w:rsid w:val="00FC10ED"/>
    <w:rsid w:val="00FC1ACF"/>
    <w:rsid w:val="00FC2D11"/>
    <w:rsid w:val="00FC3A5B"/>
    <w:rsid w:val="00FC475A"/>
    <w:rsid w:val="00FC6230"/>
    <w:rsid w:val="00FC70D7"/>
    <w:rsid w:val="00FD0A3E"/>
    <w:rsid w:val="00FD1CF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uiPriority w:val="99"/>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ind w:left="397" w:hanging="397"/>
    </w:pPr>
  </w:style>
  <w:style w:type="character" w:customStyle="1" w:styleId="NumberedheadingChar">
    <w:name w:val="Numbered heading Char"/>
    <w:link w:val="Numberedheading"/>
    <w:rsid w:val="00510B85"/>
    <w:rPr>
      <w:rFonts w:ascii="Arial" w:hAnsi="Arial" w:cs="Arial"/>
      <w:b/>
      <w:bCs/>
      <w:iCs/>
      <w:sz w:val="24"/>
      <w:szCs w:val="28"/>
      <w:lang w:eastAsia="en-US"/>
    </w:rPr>
  </w:style>
  <w:style w:type="paragraph" w:styleId="ListNumber2">
    <w:name w:val="List Number 2"/>
    <w:basedOn w:val="Normal"/>
    <w:semiHidden/>
    <w:rsid w:val="00BC3E45"/>
    <w:pPr>
      <w:numPr>
        <w:numId w:val="14"/>
      </w:numPr>
      <w:contextualSpacing/>
    </w:pPr>
  </w:style>
  <w:style w:type="paragraph" w:customStyle="1" w:styleId="Numberedheading1">
    <w:name w:val="Numbered heading 1"/>
    <w:basedOn w:val="Heading1"/>
    <w:next w:val="Normal"/>
    <w:rsid w:val="008526D1"/>
    <w:pPr>
      <w:numPr>
        <w:numId w:val="27"/>
      </w:numPr>
      <w:tabs>
        <w:tab w:val="clear" w:pos="1134"/>
        <w:tab w:val="num" w:pos="360"/>
      </w:tabs>
      <w:spacing w:line="360" w:lineRule="auto"/>
      <w:ind w:left="0" w:firstLine="0"/>
    </w:pPr>
    <w:rPr>
      <w:b w:val="0"/>
      <w:bCs w:val="0"/>
      <w:sz w:val="32"/>
      <w:szCs w:val="24"/>
      <w:lang w:val="en-US" w:eastAsia="en-US"/>
    </w:rPr>
  </w:style>
  <w:style w:type="paragraph" w:customStyle="1" w:styleId="Numberedheading2">
    <w:name w:val="Numbered heading 2"/>
    <w:basedOn w:val="Heading2"/>
    <w:next w:val="Normal"/>
    <w:rsid w:val="008526D1"/>
    <w:pPr>
      <w:numPr>
        <w:ilvl w:val="1"/>
        <w:numId w:val="27"/>
      </w:numPr>
      <w:spacing w:before="240" w:after="60" w:line="360" w:lineRule="auto"/>
    </w:pPr>
    <w:rPr>
      <w:b w:val="0"/>
      <w:bCs w:val="0"/>
      <w:iCs w:val="0"/>
      <w:sz w:val="28"/>
      <w:lang w:val="en-US"/>
    </w:rPr>
  </w:style>
  <w:style w:type="paragraph" w:customStyle="1" w:styleId="Numberedheading3">
    <w:name w:val="Numbered heading 3"/>
    <w:basedOn w:val="Heading3"/>
    <w:next w:val="Normal"/>
    <w:rsid w:val="008526D1"/>
    <w:pPr>
      <w:numPr>
        <w:ilvl w:val="2"/>
        <w:numId w:val="27"/>
      </w:numPr>
      <w:tabs>
        <w:tab w:val="clear" w:pos="1134"/>
        <w:tab w:val="num" w:pos="360"/>
      </w:tabs>
      <w:spacing w:after="60" w:line="360" w:lineRule="auto"/>
      <w:ind w:left="0" w:firstLine="0"/>
    </w:pPr>
    <w:rPr>
      <w:rFonts w:cs="Arial"/>
      <w:b/>
      <w:i w:val="0"/>
      <w:sz w:val="26"/>
      <w:szCs w:val="24"/>
      <w:lang w:val="en-GB"/>
    </w:rPr>
  </w:style>
  <w:style w:type="paragraph" w:customStyle="1" w:styleId="Numberedlevel4text">
    <w:name w:val="Numbered level 4 text"/>
    <w:basedOn w:val="Normal"/>
    <w:next w:val="Normal"/>
    <w:rsid w:val="008526D1"/>
    <w:pPr>
      <w:numPr>
        <w:ilvl w:val="3"/>
        <w:numId w:val="27"/>
      </w:numPr>
      <w:spacing w:line="360" w:lineRule="auto"/>
    </w:pPr>
    <w:rPr>
      <w:rFonts w:cs="Times New Roman"/>
      <w:lang w:val="en-US"/>
    </w:rPr>
  </w:style>
  <w:style w:type="paragraph" w:customStyle="1" w:styleId="Numberedlevel2text">
    <w:name w:val="Numbered level 2 text"/>
    <w:basedOn w:val="Numberedheading2"/>
    <w:link w:val="Numberedlevel2textChar"/>
    <w:rsid w:val="008526D1"/>
    <w:pPr>
      <w:keepNext w:val="0"/>
      <w:spacing w:before="0" w:after="240"/>
      <w:outlineLvl w:val="9"/>
    </w:pPr>
    <w:rPr>
      <w:rFonts w:cs="Arial"/>
      <w:sz w:val="24"/>
    </w:rPr>
  </w:style>
  <w:style w:type="character" w:customStyle="1" w:styleId="Numberedlevel2textChar">
    <w:name w:val="Numbered level 2 text Char"/>
    <w:link w:val="Numberedlevel2text"/>
    <w:rsid w:val="008526D1"/>
    <w:rPr>
      <w:rFonts w:ascii="Arial" w:hAnsi="Arial" w:cs="Arial"/>
      <w:sz w:val="24"/>
      <w:szCs w:val="28"/>
      <w:lang w:val="en-US" w:eastAsia="en-US"/>
    </w:rPr>
  </w:style>
  <w:style w:type="character" w:styleId="FollowedHyperlink">
    <w:name w:val="FollowedHyperlink"/>
    <w:basedOn w:val="DefaultParagraphFont"/>
    <w:semiHidden/>
    <w:rsid w:val="00E7047A"/>
    <w:rPr>
      <w:color w:val="800080" w:themeColor="followedHyperlink"/>
      <w:u w:val="single"/>
    </w:rPr>
  </w:style>
  <w:style w:type="paragraph" w:customStyle="1" w:styleId="Tabletext">
    <w:name w:val="Table text"/>
    <w:basedOn w:val="Normal"/>
    <w:link w:val="TabletextChar"/>
    <w:autoRedefine/>
    <w:qFormat/>
    <w:rsid w:val="00392BC2"/>
    <w:pPr>
      <w:keepNext/>
      <w:spacing w:after="60"/>
    </w:pPr>
    <w:rPr>
      <w:rFonts w:cs="Times New Roman"/>
      <w:sz w:val="22"/>
    </w:rPr>
  </w:style>
  <w:style w:type="character" w:customStyle="1" w:styleId="TabletextChar">
    <w:name w:val="Table text Char"/>
    <w:link w:val="Tabletext"/>
    <w:rsid w:val="00392BC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uiPriority w:val="99"/>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ind w:left="397" w:hanging="397"/>
    </w:pPr>
  </w:style>
  <w:style w:type="character" w:customStyle="1" w:styleId="NumberedheadingChar">
    <w:name w:val="Numbered heading Char"/>
    <w:link w:val="Numberedheading"/>
    <w:rsid w:val="00510B85"/>
    <w:rPr>
      <w:rFonts w:ascii="Arial" w:hAnsi="Arial" w:cs="Arial"/>
      <w:b/>
      <w:bCs/>
      <w:iCs/>
      <w:sz w:val="24"/>
      <w:szCs w:val="28"/>
      <w:lang w:eastAsia="en-US"/>
    </w:rPr>
  </w:style>
  <w:style w:type="paragraph" w:styleId="ListNumber2">
    <w:name w:val="List Number 2"/>
    <w:basedOn w:val="Normal"/>
    <w:semiHidden/>
    <w:rsid w:val="00BC3E45"/>
    <w:pPr>
      <w:numPr>
        <w:numId w:val="14"/>
      </w:numPr>
      <w:contextualSpacing/>
    </w:pPr>
  </w:style>
  <w:style w:type="paragraph" w:customStyle="1" w:styleId="Numberedheading1">
    <w:name w:val="Numbered heading 1"/>
    <w:basedOn w:val="Heading1"/>
    <w:next w:val="Normal"/>
    <w:rsid w:val="008526D1"/>
    <w:pPr>
      <w:numPr>
        <w:numId w:val="27"/>
      </w:numPr>
      <w:tabs>
        <w:tab w:val="clear" w:pos="1134"/>
        <w:tab w:val="num" w:pos="360"/>
      </w:tabs>
      <w:spacing w:line="360" w:lineRule="auto"/>
      <w:ind w:left="0" w:firstLine="0"/>
    </w:pPr>
    <w:rPr>
      <w:b w:val="0"/>
      <w:bCs w:val="0"/>
      <w:sz w:val="32"/>
      <w:szCs w:val="24"/>
      <w:lang w:val="en-US" w:eastAsia="en-US"/>
    </w:rPr>
  </w:style>
  <w:style w:type="paragraph" w:customStyle="1" w:styleId="Numberedheading2">
    <w:name w:val="Numbered heading 2"/>
    <w:basedOn w:val="Heading2"/>
    <w:next w:val="Normal"/>
    <w:rsid w:val="008526D1"/>
    <w:pPr>
      <w:numPr>
        <w:ilvl w:val="1"/>
        <w:numId w:val="27"/>
      </w:numPr>
      <w:spacing w:before="240" w:after="60" w:line="360" w:lineRule="auto"/>
    </w:pPr>
    <w:rPr>
      <w:b w:val="0"/>
      <w:bCs w:val="0"/>
      <w:iCs w:val="0"/>
      <w:sz w:val="28"/>
      <w:lang w:val="en-US"/>
    </w:rPr>
  </w:style>
  <w:style w:type="paragraph" w:customStyle="1" w:styleId="Numberedheading3">
    <w:name w:val="Numbered heading 3"/>
    <w:basedOn w:val="Heading3"/>
    <w:next w:val="Normal"/>
    <w:rsid w:val="008526D1"/>
    <w:pPr>
      <w:numPr>
        <w:ilvl w:val="2"/>
        <w:numId w:val="27"/>
      </w:numPr>
      <w:tabs>
        <w:tab w:val="clear" w:pos="1134"/>
        <w:tab w:val="num" w:pos="360"/>
      </w:tabs>
      <w:spacing w:after="60" w:line="360" w:lineRule="auto"/>
      <w:ind w:left="0" w:firstLine="0"/>
    </w:pPr>
    <w:rPr>
      <w:rFonts w:cs="Arial"/>
      <w:b/>
      <w:i w:val="0"/>
      <w:sz w:val="26"/>
      <w:szCs w:val="24"/>
      <w:lang w:val="en-GB"/>
    </w:rPr>
  </w:style>
  <w:style w:type="paragraph" w:customStyle="1" w:styleId="Numberedlevel4text">
    <w:name w:val="Numbered level 4 text"/>
    <w:basedOn w:val="Normal"/>
    <w:next w:val="Normal"/>
    <w:rsid w:val="008526D1"/>
    <w:pPr>
      <w:numPr>
        <w:ilvl w:val="3"/>
        <w:numId w:val="27"/>
      </w:numPr>
      <w:spacing w:line="360" w:lineRule="auto"/>
    </w:pPr>
    <w:rPr>
      <w:rFonts w:cs="Times New Roman"/>
      <w:lang w:val="en-US"/>
    </w:rPr>
  </w:style>
  <w:style w:type="paragraph" w:customStyle="1" w:styleId="Numberedlevel2text">
    <w:name w:val="Numbered level 2 text"/>
    <w:basedOn w:val="Numberedheading2"/>
    <w:link w:val="Numberedlevel2textChar"/>
    <w:rsid w:val="008526D1"/>
    <w:pPr>
      <w:keepNext w:val="0"/>
      <w:spacing w:before="0" w:after="240"/>
      <w:outlineLvl w:val="9"/>
    </w:pPr>
    <w:rPr>
      <w:rFonts w:cs="Arial"/>
      <w:sz w:val="24"/>
    </w:rPr>
  </w:style>
  <w:style w:type="character" w:customStyle="1" w:styleId="Numberedlevel2textChar">
    <w:name w:val="Numbered level 2 text Char"/>
    <w:link w:val="Numberedlevel2text"/>
    <w:rsid w:val="008526D1"/>
    <w:rPr>
      <w:rFonts w:ascii="Arial" w:hAnsi="Arial" w:cs="Arial"/>
      <w:sz w:val="24"/>
      <w:szCs w:val="28"/>
      <w:lang w:val="en-US" w:eastAsia="en-US"/>
    </w:rPr>
  </w:style>
  <w:style w:type="character" w:styleId="FollowedHyperlink">
    <w:name w:val="FollowedHyperlink"/>
    <w:basedOn w:val="DefaultParagraphFont"/>
    <w:semiHidden/>
    <w:rsid w:val="00E7047A"/>
    <w:rPr>
      <w:color w:val="800080" w:themeColor="followedHyperlink"/>
      <w:u w:val="single"/>
    </w:rPr>
  </w:style>
  <w:style w:type="paragraph" w:customStyle="1" w:styleId="Tabletext">
    <w:name w:val="Table text"/>
    <w:basedOn w:val="Normal"/>
    <w:link w:val="TabletextChar"/>
    <w:autoRedefine/>
    <w:qFormat/>
    <w:rsid w:val="00392BC2"/>
    <w:pPr>
      <w:keepNext/>
      <w:spacing w:after="60"/>
    </w:pPr>
    <w:rPr>
      <w:rFonts w:cs="Times New Roman"/>
      <w:sz w:val="22"/>
    </w:rPr>
  </w:style>
  <w:style w:type="character" w:customStyle="1" w:styleId="TabletextChar">
    <w:name w:val="Table text Char"/>
    <w:link w:val="Tabletext"/>
    <w:rsid w:val="00392BC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inicaltrials.gov/ct2/show/NCT0287290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thways.nice.org.uk/pathways/skin-cancer/skin-cancer-ove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pathways/skin-cancer/skin-cancer-overvie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athways.nice.org.uk/pathways/skin-cancer" TargetMode="External"/><Relationship Id="rId4" Type="http://schemas.microsoft.com/office/2007/relationships/stylesWithEffects" Target="stylesWithEffects.xml"/><Relationship Id="rId9" Type="http://schemas.openxmlformats.org/officeDocument/2006/relationships/hyperlink" Target="https://www.nice.org.uk/guidance/ng12/resources/suspected-cancer-recognition-and-referral-18372680716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EAD9-9D6C-460B-8F6D-E9509B82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418F7739</Template>
  <TotalTime>0</TotalTime>
  <Pages>6</Pages>
  <Words>1332</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9342</CharactersWithSpaces>
  <SharedDoc>false</SharedDoc>
  <HLinks>
    <vt:vector size="6" baseType="variant">
      <vt:variant>
        <vt:i4>524359</vt:i4>
      </vt:variant>
      <vt:variant>
        <vt:i4>21</vt:i4>
      </vt:variant>
      <vt:variant>
        <vt:i4>0</vt:i4>
      </vt:variant>
      <vt:variant>
        <vt:i4>5</vt:i4>
      </vt:variant>
      <vt:variant>
        <vt:lpwstr>D:\Documents and Settings\SRobinson\Local Settings\Temporary Internet Files\0 - Renal_urinary\85 - Renal transplantation - immuno-suppressive regimens\Submissions\Invitations\Appendix A - Final scope.doc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Joanne Heaney</cp:lastModifiedBy>
  <cp:revision>2</cp:revision>
  <cp:lastPrinted>2015-10-19T14:06:00Z</cp:lastPrinted>
  <dcterms:created xsi:type="dcterms:W3CDTF">2016-09-08T08:51:00Z</dcterms:created>
  <dcterms:modified xsi:type="dcterms:W3CDTF">2016-09-08T08:51:00Z</dcterms:modified>
</cp:coreProperties>
</file>