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2FC71A53"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r w:rsidR="002D44C8">
              <w:rPr>
                <w:rFonts w:cs="Arial"/>
                <w:bCs/>
              </w:rPr>
              <w:t xml:space="preserve"> </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281C116F" w:rsidR="008A35D9" w:rsidRDefault="008A35D9" w:rsidP="008A35D9">
            <w:pPr>
              <w:pStyle w:val="Paragraphnonumbers"/>
              <w:numPr>
                <w:ilvl w:val="0"/>
                <w:numId w:val="7"/>
              </w:numPr>
              <w:spacing w:after="0"/>
            </w:pPr>
            <w:r>
              <w:t xml:space="preserve">The recommendations in this guideline were </w:t>
            </w:r>
            <w:r w:rsidR="002D44C8">
              <w:t xml:space="preserve">largely </w:t>
            </w:r>
            <w:r>
              <w:t xml:space="preserve">developed before the coronavirus pandemic. Please tell us if there are any </w:t>
            </w:r>
            <w:proofErr w:type="gramStart"/>
            <w:r>
              <w:t>particular issues</w:t>
            </w:r>
            <w:proofErr w:type="gramEnd"/>
            <w:r>
              <w:t xml:space="preserve"> relating to COVID-19 that we should take into account when finalising the guideline for publication.</w:t>
            </w:r>
          </w:p>
          <w:p w14:paraId="10A0E9BB" w14:textId="77777777" w:rsidR="00892251" w:rsidRDefault="00892251" w:rsidP="008F724D">
            <w:pPr>
              <w:shd w:val="clear" w:color="auto" w:fill="FFFFFF"/>
              <w:spacing w:line="276" w:lineRule="auto"/>
              <w:rPr>
                <w:sz w:val="24"/>
                <w:szCs w:val="24"/>
              </w:rPr>
            </w:pPr>
          </w:p>
          <w:p w14:paraId="016EECC6" w14:textId="25AA4835"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 xml:space="preserve">(if you are responding as an individual rather than a registered </w:t>
            </w:r>
            <w:proofErr w:type="gramStart"/>
            <w:r w:rsidRPr="00C979F9">
              <w:rPr>
                <w:rFonts w:cs="Arial"/>
                <w:b w:val="0"/>
                <w:szCs w:val="22"/>
              </w:rPr>
              <w:t>stakeholder</w:t>
            </w:r>
            <w:proofErr w:type="gramEnd"/>
            <w:r w:rsidRPr="00C979F9">
              <w:rPr>
                <w:rFonts w:cs="Arial"/>
                <w:b w:val="0"/>
                <w:szCs w:val="22"/>
              </w:rPr>
              <w:t xml:space="preserve"> please leave blank):</w:t>
            </w:r>
          </w:p>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 xml:space="preserve">Please disclose any past or current, </w:t>
            </w:r>
            <w:proofErr w:type="gramStart"/>
            <w:r w:rsidRPr="00C979F9">
              <w:rPr>
                <w:rFonts w:cs="Arial"/>
                <w:b w:val="0"/>
                <w:szCs w:val="22"/>
              </w:rPr>
              <w:t>direct</w:t>
            </w:r>
            <w:proofErr w:type="gramEnd"/>
            <w:r w:rsidRPr="00C979F9">
              <w:rPr>
                <w:rFonts w:cs="Arial"/>
                <w:b w:val="0"/>
                <w:szCs w:val="22"/>
              </w:rPr>
              <w:t xml:space="preserve">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lastRenderedPageBreak/>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lastRenderedPageBreak/>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lastRenderedPageBreak/>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lastRenderedPageBreak/>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lastRenderedPageBreak/>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lastRenderedPageBreak/>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lastRenderedPageBreak/>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654C57D8" w:rsidR="00A75B8B" w:rsidRDefault="00344D98" w:rsidP="00FC2698">
      <w:pPr>
        <w:rPr>
          <w:sz w:val="16"/>
          <w:szCs w:val="16"/>
        </w:rPr>
      </w:pPr>
      <w:r>
        <w:rPr>
          <w:sz w:val="16"/>
          <w:szCs w:val="16"/>
        </w:rPr>
        <w:t>Insert extra rows as needed</w:t>
      </w:r>
    </w:p>
    <w:p w14:paraId="3CD2EAE9" w14:textId="77777777" w:rsidR="00892251" w:rsidRDefault="00892251" w:rsidP="00FC2698">
      <w:pPr>
        <w:rPr>
          <w:sz w:val="16"/>
          <w:szCs w:val="16"/>
        </w:rPr>
      </w:pP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w:t>
            </w:r>
            <w:proofErr w:type="gramStart"/>
            <w:r w:rsidRPr="000C30A4">
              <w:rPr>
                <w:rFonts w:cs="Arial"/>
                <w:sz w:val="24"/>
                <w:szCs w:val="24"/>
              </w:rPr>
              <w:t>letters</w:t>
            </w:r>
            <w:proofErr w:type="gramEnd"/>
            <w:r w:rsidRPr="000C30A4">
              <w:rPr>
                <w:rFonts w:cs="Arial"/>
                <w:sz w:val="24"/>
                <w:szCs w:val="24"/>
              </w:rPr>
              <w:t xml:space="preserve">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lastRenderedPageBreak/>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w:t>
            </w:r>
            <w:proofErr w:type="gramStart"/>
            <w:r w:rsidRPr="0075128C">
              <w:rPr>
                <w:rFonts w:cs="Arial"/>
                <w:bCs/>
              </w:rPr>
              <w:t>officers</w:t>
            </w:r>
            <w:proofErr w:type="gramEnd"/>
            <w:r w:rsidRPr="0075128C">
              <w:rPr>
                <w:rFonts w:cs="Arial"/>
                <w:bCs/>
              </w:rPr>
              <w:t xml:space="preserve">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10EA8480" w:rsidR="00EE6C88" w:rsidRDefault="00EE6C88" w:rsidP="00EE6C88">
    <w:pPr>
      <w:rPr>
        <w:b/>
      </w:rPr>
    </w:pPr>
    <w:r>
      <w:rPr>
        <w:szCs w:val="22"/>
      </w:rPr>
      <w:t>Please return to:</w:t>
    </w:r>
    <w:r>
      <w:t xml:space="preserve"> </w:t>
    </w:r>
    <w:r w:rsidR="00892251">
      <w:t>epupdate@nice.org.uk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3EF82406" w:rsidR="007968D4" w:rsidRPr="008039AA" w:rsidRDefault="00892251" w:rsidP="003F6C97">
    <w:pPr>
      <w:pStyle w:val="Heading3"/>
      <w:jc w:val="left"/>
      <w:rPr>
        <w:bCs w:val="0"/>
        <w:sz w:val="28"/>
        <w:szCs w:val="28"/>
      </w:rPr>
    </w:pPr>
    <w:r>
      <w:t>Ectopic pregnancy and miscarriage: diagnosis and initial management</w:t>
    </w:r>
    <w:r w:rsidR="003F6C97">
      <w:rPr>
        <w:bCs w:val="0"/>
        <w:sz w:val="28"/>
        <w:szCs w:val="28"/>
      </w:rPr>
      <w:tab/>
    </w:r>
    <w:r w:rsidR="003F6C97">
      <w:rPr>
        <w:bCs w:val="0"/>
        <w:sz w:val="28"/>
        <w:szCs w:val="28"/>
      </w:rPr>
      <w:tab/>
    </w:r>
    <w:r w:rsidRPr="00E53E36">
      <w:rPr>
        <w:noProof/>
        <w:lang w:eastAsia="en-GB"/>
      </w:rPr>
      <w:drawing>
        <wp:inline distT="0" distB="0" distL="0" distR="0" wp14:anchorId="034CA86B" wp14:editId="2EE5BFB4">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49381B94" w:rsidR="007968D4"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892251">
      <w:t xml:space="preserve"> 5pm</w:t>
    </w:r>
    <w:r w:rsidR="001E1D2C">
      <w:t xml:space="preserve"> </w:t>
    </w:r>
    <w:r w:rsidR="00FA4108">
      <w:rPr>
        <w:bCs w:val="0"/>
      </w:rPr>
      <w:t>on</w:t>
    </w:r>
    <w:r w:rsidR="00892251">
      <w:rPr>
        <w:bCs w:val="0"/>
      </w:rPr>
      <w:t xml:space="preserve"> 17 August 2021</w:t>
    </w:r>
    <w:r w:rsidR="00FA4108">
      <w:rPr>
        <w:bCs w:val="0"/>
      </w:rPr>
      <w:t xml:space="preserve"> </w:t>
    </w:r>
    <w:r w:rsidR="00892251">
      <w:rPr>
        <w:bCs w:val="0"/>
      </w:rPr>
      <w:tab/>
    </w:r>
    <w:r w:rsidR="00892251">
      <w:rPr>
        <w:bCs w:val="0"/>
      </w:rPr>
      <w:tab/>
    </w:r>
    <w:r w:rsidR="007334BB" w:rsidRPr="00F506DC">
      <w:rPr>
        <w:bCs w:val="0"/>
      </w:rPr>
      <w:t>email:</w:t>
    </w:r>
    <w:r w:rsidR="007334BB" w:rsidRPr="00F506DC">
      <w:rPr>
        <w:b w:val="0"/>
        <w:bCs w:val="0"/>
      </w:rPr>
      <w:t xml:space="preserve"> </w:t>
    </w:r>
    <w:hyperlink r:id="rId2" w:history="1">
      <w:r w:rsidR="00892251" w:rsidRPr="00032C14">
        <w:rPr>
          <w:rStyle w:val="Hyperlink"/>
          <w:b w:val="0"/>
          <w:bCs w:val="0"/>
        </w:rPr>
        <w:t>epupdate@nice.org.uk</w:t>
      </w:r>
    </w:hyperlink>
  </w:p>
  <w:p w14:paraId="410D22FE" w14:textId="77777777" w:rsidR="00892251" w:rsidRPr="00892251" w:rsidRDefault="00892251" w:rsidP="00892251"/>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92251"/>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p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875</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5820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Jill Peacock</cp:lastModifiedBy>
  <cp:revision>2</cp:revision>
  <cp:lastPrinted>2005-11-01T09:30:00Z</cp:lastPrinted>
  <dcterms:created xsi:type="dcterms:W3CDTF">2021-07-13T12:54:00Z</dcterms:created>
  <dcterms:modified xsi:type="dcterms:W3CDTF">2021-07-13T12:54:00Z</dcterms:modified>
</cp:coreProperties>
</file>