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778"/>
        <w:gridCol w:w="1166"/>
        <w:gridCol w:w="2106"/>
        <w:gridCol w:w="2106"/>
        <w:gridCol w:w="2268"/>
        <w:gridCol w:w="2262"/>
        <w:gridCol w:w="2262"/>
      </w:tblGrid>
      <w:tr w:rsidR="004F3D82" w14:paraId="1542A917" w14:textId="79CB3F1F" w:rsidTr="00E907C3">
        <w:trPr>
          <w:trHeight w:val="2259"/>
        </w:trPr>
        <w:tc>
          <w:tcPr>
            <w:tcW w:w="637" w:type="pct"/>
          </w:tcPr>
          <w:p w14:paraId="78C3697E" w14:textId="77777777" w:rsidR="004F3D82" w:rsidRPr="00AB4A5E" w:rsidRDefault="004F3D82" w:rsidP="004F3D82">
            <w:pPr>
              <w:rPr>
                <w:b/>
                <w:bCs/>
              </w:rPr>
            </w:pPr>
          </w:p>
        </w:tc>
        <w:tc>
          <w:tcPr>
            <w:tcW w:w="418" w:type="pct"/>
          </w:tcPr>
          <w:p w14:paraId="37676A40" w14:textId="503ABF22" w:rsidR="004F3D82" w:rsidRPr="00C56769" w:rsidRDefault="004F3D82" w:rsidP="004F3D82">
            <w:pPr>
              <w:rPr>
                <w:b/>
                <w:bCs/>
              </w:rPr>
            </w:pPr>
            <w:r w:rsidRPr="00C56769">
              <w:rPr>
                <w:b/>
                <w:bCs/>
              </w:rPr>
              <w:t>Source</w:t>
            </w:r>
          </w:p>
        </w:tc>
        <w:tc>
          <w:tcPr>
            <w:tcW w:w="755" w:type="pct"/>
          </w:tcPr>
          <w:p w14:paraId="661CBC6E" w14:textId="77777777" w:rsidR="004F3D82" w:rsidRPr="00C56769" w:rsidRDefault="004F3D82" w:rsidP="004F3D82">
            <w:pPr>
              <w:rPr>
                <w:b/>
                <w:bCs/>
              </w:rPr>
            </w:pPr>
            <w:r w:rsidRPr="00C56769">
              <w:rPr>
                <w:b/>
                <w:bCs/>
              </w:rPr>
              <w:t>NG29 – Intravenous fluid therapy in children and young people in hospital</w:t>
            </w:r>
          </w:p>
          <w:p w14:paraId="7775C83C" w14:textId="77777777" w:rsidR="004F3D82" w:rsidRPr="00C56769" w:rsidRDefault="004F3D82" w:rsidP="004F3D82">
            <w:pPr>
              <w:rPr>
                <w:b/>
                <w:bCs/>
              </w:rPr>
            </w:pPr>
            <w:r w:rsidRPr="00C56769">
              <w:rPr>
                <w:b/>
                <w:bCs/>
              </w:rPr>
              <w:t xml:space="preserve">&amp; </w:t>
            </w:r>
          </w:p>
          <w:p w14:paraId="4ADBDE10" w14:textId="7C8FA4CC" w:rsidR="004F3D82" w:rsidRPr="00C56769" w:rsidRDefault="004F3D82" w:rsidP="004F3D82">
            <w:pPr>
              <w:rPr>
                <w:b/>
                <w:bCs/>
              </w:rPr>
            </w:pPr>
            <w:r w:rsidRPr="00C56769">
              <w:rPr>
                <w:b/>
                <w:bCs/>
              </w:rPr>
              <w:t>NG51- Sepsis</w:t>
            </w:r>
          </w:p>
        </w:tc>
        <w:tc>
          <w:tcPr>
            <w:tcW w:w="755" w:type="pct"/>
          </w:tcPr>
          <w:p w14:paraId="37C79BA3" w14:textId="09B7FDDA" w:rsidR="004F3D82" w:rsidRPr="00C56769" w:rsidRDefault="004F3D82" w:rsidP="004F3D82">
            <w:pPr>
              <w:rPr>
                <w:b/>
                <w:bCs/>
              </w:rPr>
            </w:pPr>
            <w:r w:rsidRPr="00C56769">
              <w:rPr>
                <w:b/>
                <w:bCs/>
              </w:rPr>
              <w:t>NG143 – Fever in under 5’s</w:t>
            </w:r>
          </w:p>
        </w:tc>
        <w:tc>
          <w:tcPr>
            <w:tcW w:w="813" w:type="pct"/>
          </w:tcPr>
          <w:p w14:paraId="7FAA9DEB" w14:textId="30052AAD" w:rsidR="004F3D82" w:rsidRPr="00C56769" w:rsidRDefault="004F3D82" w:rsidP="004F3D82">
            <w:pPr>
              <w:rPr>
                <w:b/>
                <w:bCs/>
              </w:rPr>
            </w:pPr>
            <w:r w:rsidRPr="00C56769">
              <w:rPr>
                <w:b/>
                <w:bCs/>
              </w:rPr>
              <w:t>CG84 – Diarrhoea and vomiting caused by gastroenteritis in under 5’s</w:t>
            </w:r>
          </w:p>
        </w:tc>
        <w:tc>
          <w:tcPr>
            <w:tcW w:w="811" w:type="pct"/>
          </w:tcPr>
          <w:p w14:paraId="4F793B2E" w14:textId="3FAA8720" w:rsidR="004F3D82" w:rsidRPr="00C56769" w:rsidRDefault="004F3D82" w:rsidP="004F3D82">
            <w:pPr>
              <w:rPr>
                <w:b/>
                <w:bCs/>
              </w:rPr>
            </w:pPr>
            <w:r w:rsidRPr="00C56769">
              <w:rPr>
                <w:b/>
                <w:bCs/>
              </w:rPr>
              <w:t>CG102 – Meningitis and meningococcal septicaemia in under 16’s</w:t>
            </w:r>
          </w:p>
        </w:tc>
        <w:tc>
          <w:tcPr>
            <w:tcW w:w="811" w:type="pct"/>
            <w:tcBorders>
              <w:top w:val="single" w:sz="4" w:space="0" w:color="auto"/>
              <w:left w:val="single" w:sz="4" w:space="0" w:color="auto"/>
              <w:bottom w:val="single" w:sz="4" w:space="0" w:color="auto"/>
              <w:right w:val="single" w:sz="4" w:space="0" w:color="auto"/>
            </w:tcBorders>
          </w:tcPr>
          <w:p w14:paraId="05417BE1" w14:textId="69C34AD9" w:rsidR="004F3D82" w:rsidRPr="00C56769" w:rsidRDefault="004F3D82" w:rsidP="004F3D82">
            <w:pPr>
              <w:rPr>
                <w:b/>
                <w:bCs/>
              </w:rPr>
            </w:pPr>
            <w:r>
              <w:rPr>
                <w:b/>
                <w:bCs/>
              </w:rPr>
              <w:t xml:space="preserve">NG18 – Diabetes in children </w:t>
            </w:r>
          </w:p>
        </w:tc>
      </w:tr>
      <w:tr w:rsidR="004F3D82" w14:paraId="3215E82E" w14:textId="3C3A24B4" w:rsidTr="00E907C3">
        <w:trPr>
          <w:trHeight w:val="2014"/>
        </w:trPr>
        <w:tc>
          <w:tcPr>
            <w:tcW w:w="637" w:type="pct"/>
          </w:tcPr>
          <w:p w14:paraId="1E30B5CB" w14:textId="1AA57A25" w:rsidR="004F3D82" w:rsidRPr="00AB4A5E" w:rsidRDefault="004F3D82" w:rsidP="004F3D82">
            <w:pPr>
              <w:rPr>
                <w:b/>
                <w:bCs/>
              </w:rPr>
            </w:pPr>
            <w:r w:rsidRPr="00AB4A5E">
              <w:rPr>
                <w:b/>
                <w:bCs/>
              </w:rPr>
              <w:t>Population</w:t>
            </w:r>
          </w:p>
        </w:tc>
        <w:tc>
          <w:tcPr>
            <w:tcW w:w="418" w:type="pct"/>
          </w:tcPr>
          <w:p w14:paraId="395D8AFB" w14:textId="6411D1AB" w:rsidR="004F3D82" w:rsidRDefault="004F3D82" w:rsidP="004F3D82"/>
        </w:tc>
        <w:tc>
          <w:tcPr>
            <w:tcW w:w="755" w:type="pct"/>
          </w:tcPr>
          <w:p w14:paraId="6ED8E61B" w14:textId="2DB221D1" w:rsidR="004F3D82" w:rsidRDefault="004F3D82" w:rsidP="004F3D82">
            <w:r>
              <w:t>Children and young people who need fluid resuscitation</w:t>
            </w:r>
          </w:p>
        </w:tc>
        <w:tc>
          <w:tcPr>
            <w:tcW w:w="755" w:type="pct"/>
          </w:tcPr>
          <w:p w14:paraId="0A3DA2E6" w14:textId="7050291A" w:rsidR="004F3D82" w:rsidRDefault="004F3D82" w:rsidP="004F3D82">
            <w:r>
              <w:t>Under 5’s with fever and shock</w:t>
            </w:r>
          </w:p>
        </w:tc>
        <w:tc>
          <w:tcPr>
            <w:tcW w:w="813" w:type="pct"/>
          </w:tcPr>
          <w:p w14:paraId="799EFA2A" w14:textId="38083C5B" w:rsidR="004F3D82" w:rsidRDefault="004F3D82" w:rsidP="004F3D82">
            <w:r>
              <w:t>Under 5’s with confirmed or suspected shock</w:t>
            </w:r>
          </w:p>
        </w:tc>
        <w:tc>
          <w:tcPr>
            <w:tcW w:w="811" w:type="pct"/>
          </w:tcPr>
          <w:p w14:paraId="62F00854" w14:textId="4D7C6D3D" w:rsidR="004F3D82" w:rsidRDefault="004F3D82" w:rsidP="004F3D82">
            <w:r>
              <w:t>Under 16’s with meningococcal septicaemia and signs of shock</w:t>
            </w:r>
          </w:p>
        </w:tc>
        <w:tc>
          <w:tcPr>
            <w:tcW w:w="811" w:type="pct"/>
            <w:tcBorders>
              <w:top w:val="single" w:sz="4" w:space="0" w:color="auto"/>
              <w:left w:val="single" w:sz="4" w:space="0" w:color="auto"/>
              <w:bottom w:val="single" w:sz="4" w:space="0" w:color="auto"/>
              <w:right w:val="single" w:sz="4" w:space="0" w:color="auto"/>
            </w:tcBorders>
          </w:tcPr>
          <w:p w14:paraId="1D9EEF8D" w14:textId="041B49D1" w:rsidR="004F3D82" w:rsidRDefault="004F3D82" w:rsidP="004F3D82">
            <w:r>
              <w:t>Children and young people with diabetic ketoacidosis and shock</w:t>
            </w:r>
          </w:p>
        </w:tc>
      </w:tr>
      <w:tr w:rsidR="004F3D82" w14:paraId="6A014C76" w14:textId="7558A5BF" w:rsidTr="00E907C3">
        <w:trPr>
          <w:trHeight w:val="281"/>
        </w:trPr>
        <w:tc>
          <w:tcPr>
            <w:tcW w:w="637" w:type="pct"/>
            <w:vMerge w:val="restart"/>
          </w:tcPr>
          <w:p w14:paraId="1840D977" w14:textId="26CC6310" w:rsidR="004F3D82" w:rsidRPr="00AB4A5E" w:rsidRDefault="004F3D82" w:rsidP="004F3D82">
            <w:pPr>
              <w:rPr>
                <w:b/>
                <w:bCs/>
              </w:rPr>
            </w:pPr>
            <w:r w:rsidRPr="00AB4A5E">
              <w:rPr>
                <w:b/>
                <w:bCs/>
              </w:rPr>
              <w:t>Initial fluid bolus</w:t>
            </w:r>
          </w:p>
        </w:tc>
        <w:tc>
          <w:tcPr>
            <w:tcW w:w="418" w:type="pct"/>
          </w:tcPr>
          <w:p w14:paraId="0D790727" w14:textId="317DAC7F" w:rsidR="004F3D82" w:rsidRPr="00AB4A5E" w:rsidRDefault="004F3D82" w:rsidP="004F3D82">
            <w:pPr>
              <w:rPr>
                <w:i/>
                <w:iCs/>
              </w:rPr>
            </w:pPr>
            <w:r w:rsidRPr="00AB4A5E">
              <w:rPr>
                <w:i/>
                <w:iCs/>
              </w:rPr>
              <w:t>How much</w:t>
            </w:r>
          </w:p>
        </w:tc>
        <w:tc>
          <w:tcPr>
            <w:tcW w:w="755" w:type="pct"/>
          </w:tcPr>
          <w:p w14:paraId="3821E4E1" w14:textId="25C82492" w:rsidR="004F3D82" w:rsidRDefault="004F3D82" w:rsidP="004F3D82">
            <w:r>
              <w:t>20 ml/kg bolus</w:t>
            </w:r>
          </w:p>
        </w:tc>
        <w:tc>
          <w:tcPr>
            <w:tcW w:w="755" w:type="pct"/>
          </w:tcPr>
          <w:p w14:paraId="5A1719B4" w14:textId="661498B5" w:rsidR="004F3D82" w:rsidRDefault="004F3D82" w:rsidP="004F3D82">
            <w:r>
              <w:t>20 ml/kg bolus</w:t>
            </w:r>
          </w:p>
        </w:tc>
        <w:tc>
          <w:tcPr>
            <w:tcW w:w="813" w:type="pct"/>
          </w:tcPr>
          <w:p w14:paraId="4342060D" w14:textId="735ABED7" w:rsidR="004F3D82" w:rsidRDefault="004F3D82" w:rsidP="004F3D82">
            <w:r>
              <w:t>20 ml/kg bolus</w:t>
            </w:r>
          </w:p>
        </w:tc>
        <w:tc>
          <w:tcPr>
            <w:tcW w:w="811" w:type="pct"/>
          </w:tcPr>
          <w:p w14:paraId="56EEFDA2" w14:textId="7F789B30" w:rsidR="004F3D82" w:rsidRDefault="004F3D82" w:rsidP="004F3D82">
            <w:r>
              <w:t>20 ml/kg bolus</w:t>
            </w:r>
          </w:p>
        </w:tc>
        <w:tc>
          <w:tcPr>
            <w:tcW w:w="811" w:type="pct"/>
            <w:tcBorders>
              <w:top w:val="single" w:sz="4" w:space="0" w:color="auto"/>
              <w:left w:val="single" w:sz="4" w:space="0" w:color="auto"/>
              <w:bottom w:val="single" w:sz="4" w:space="0" w:color="auto"/>
              <w:right w:val="single" w:sz="4" w:space="0" w:color="auto"/>
            </w:tcBorders>
          </w:tcPr>
          <w:p w14:paraId="64DB930F" w14:textId="08F67AAA" w:rsidR="004F3D82" w:rsidRDefault="004F3D82" w:rsidP="004F3D82">
            <w:r>
              <w:t xml:space="preserve">20 ml/kg bolus </w:t>
            </w:r>
          </w:p>
        </w:tc>
      </w:tr>
      <w:tr w:rsidR="004F3D82" w14:paraId="2F92D266" w14:textId="56A59E42" w:rsidTr="00E907C3">
        <w:trPr>
          <w:trHeight w:val="280"/>
        </w:trPr>
        <w:tc>
          <w:tcPr>
            <w:tcW w:w="637" w:type="pct"/>
            <w:vMerge/>
          </w:tcPr>
          <w:p w14:paraId="7B54B4D1" w14:textId="77777777" w:rsidR="004F3D82" w:rsidRPr="00AB4A5E" w:rsidRDefault="004F3D82" w:rsidP="004F3D82">
            <w:pPr>
              <w:rPr>
                <w:b/>
                <w:bCs/>
              </w:rPr>
            </w:pPr>
          </w:p>
        </w:tc>
        <w:tc>
          <w:tcPr>
            <w:tcW w:w="418" w:type="pct"/>
          </w:tcPr>
          <w:p w14:paraId="7BA9A9E9" w14:textId="0823CADA" w:rsidR="004F3D82" w:rsidRPr="00AB4A5E" w:rsidRDefault="004F3D82" w:rsidP="004F3D82">
            <w:pPr>
              <w:rPr>
                <w:i/>
                <w:iCs/>
              </w:rPr>
            </w:pPr>
            <w:r w:rsidRPr="00AB4A5E">
              <w:rPr>
                <w:i/>
                <w:iCs/>
              </w:rPr>
              <w:t>Of what</w:t>
            </w:r>
          </w:p>
        </w:tc>
        <w:tc>
          <w:tcPr>
            <w:tcW w:w="755" w:type="pct"/>
          </w:tcPr>
          <w:p w14:paraId="1522775E" w14:textId="0A2FC01F" w:rsidR="004F3D82" w:rsidRDefault="004F3D82" w:rsidP="004F3D82">
            <w:r>
              <w:t>Glucose free crystalloids that contain sodium in the range of 131-154 mmol/litre</w:t>
            </w:r>
          </w:p>
        </w:tc>
        <w:tc>
          <w:tcPr>
            <w:tcW w:w="755" w:type="pct"/>
          </w:tcPr>
          <w:p w14:paraId="0A547DAF" w14:textId="2A39036F" w:rsidR="004F3D82" w:rsidRDefault="004F3D82" w:rsidP="004F3D82">
            <w:r>
              <w:t>0.9% sodium chloride</w:t>
            </w:r>
          </w:p>
        </w:tc>
        <w:tc>
          <w:tcPr>
            <w:tcW w:w="813" w:type="pct"/>
          </w:tcPr>
          <w:p w14:paraId="66666110" w14:textId="4887C902" w:rsidR="004F3D82" w:rsidRDefault="004F3D82" w:rsidP="004F3D82">
            <w:r>
              <w:t>0.9% sodium chloride</w:t>
            </w:r>
          </w:p>
        </w:tc>
        <w:tc>
          <w:tcPr>
            <w:tcW w:w="811" w:type="pct"/>
          </w:tcPr>
          <w:p w14:paraId="00A68F63" w14:textId="2A0FD281" w:rsidR="004F3D82" w:rsidRDefault="004F3D82" w:rsidP="004F3D82">
            <w:r>
              <w:t>0.9% sodium chloride</w:t>
            </w:r>
          </w:p>
        </w:tc>
        <w:tc>
          <w:tcPr>
            <w:tcW w:w="811" w:type="pct"/>
            <w:tcBorders>
              <w:top w:val="single" w:sz="4" w:space="0" w:color="auto"/>
              <w:left w:val="single" w:sz="4" w:space="0" w:color="auto"/>
              <w:bottom w:val="single" w:sz="4" w:space="0" w:color="auto"/>
              <w:right w:val="single" w:sz="4" w:space="0" w:color="auto"/>
            </w:tcBorders>
          </w:tcPr>
          <w:p w14:paraId="2AB534D3" w14:textId="57DBC695" w:rsidR="004F3D82" w:rsidRDefault="004F3D82" w:rsidP="004F3D82">
            <w:r>
              <w:t>0.9% sodium chloride</w:t>
            </w:r>
          </w:p>
        </w:tc>
      </w:tr>
      <w:tr w:rsidR="004F3D82" w14:paraId="288F033F" w14:textId="04B85D3F" w:rsidTr="00E907C3">
        <w:trPr>
          <w:trHeight w:val="280"/>
        </w:trPr>
        <w:tc>
          <w:tcPr>
            <w:tcW w:w="637" w:type="pct"/>
            <w:vMerge/>
          </w:tcPr>
          <w:p w14:paraId="2E9E6481" w14:textId="77777777" w:rsidR="004F3D82" w:rsidRPr="00AB4A5E" w:rsidRDefault="004F3D82" w:rsidP="004F3D82">
            <w:pPr>
              <w:rPr>
                <w:b/>
                <w:bCs/>
              </w:rPr>
            </w:pPr>
          </w:p>
        </w:tc>
        <w:tc>
          <w:tcPr>
            <w:tcW w:w="418" w:type="pct"/>
          </w:tcPr>
          <w:p w14:paraId="0D826D5A" w14:textId="2CF9315C" w:rsidR="004F3D82" w:rsidRPr="00AB4A5E" w:rsidRDefault="004F3D82" w:rsidP="004F3D82">
            <w:pPr>
              <w:rPr>
                <w:i/>
                <w:iCs/>
              </w:rPr>
            </w:pPr>
            <w:r w:rsidRPr="00AB4A5E">
              <w:rPr>
                <w:i/>
                <w:iCs/>
              </w:rPr>
              <w:t>How quickly</w:t>
            </w:r>
          </w:p>
        </w:tc>
        <w:tc>
          <w:tcPr>
            <w:tcW w:w="755" w:type="pct"/>
          </w:tcPr>
          <w:p w14:paraId="427A8A75" w14:textId="64EA18E3" w:rsidR="004F3D82" w:rsidRDefault="004F3D82" w:rsidP="004F3D82">
            <w:r>
              <w:t>Over 10 minutes</w:t>
            </w:r>
          </w:p>
        </w:tc>
        <w:tc>
          <w:tcPr>
            <w:tcW w:w="755" w:type="pct"/>
          </w:tcPr>
          <w:p w14:paraId="0FB42D5E" w14:textId="4FDDE76C" w:rsidR="004F3D82" w:rsidRDefault="004F3D82" w:rsidP="004F3D82">
            <w:r>
              <w:t>Immediately</w:t>
            </w:r>
          </w:p>
        </w:tc>
        <w:tc>
          <w:tcPr>
            <w:tcW w:w="813" w:type="pct"/>
          </w:tcPr>
          <w:p w14:paraId="0E3D1F55" w14:textId="6443963F" w:rsidR="004F3D82" w:rsidRDefault="004F3D82" w:rsidP="004F3D82">
            <w:r>
              <w:t>Rapid infusion</w:t>
            </w:r>
          </w:p>
        </w:tc>
        <w:tc>
          <w:tcPr>
            <w:tcW w:w="811" w:type="pct"/>
          </w:tcPr>
          <w:p w14:paraId="59E7AB7C" w14:textId="4B519D56" w:rsidR="004F3D82" w:rsidRDefault="004F3D82" w:rsidP="004F3D82">
            <w:r>
              <w:t>Immediately</w:t>
            </w:r>
          </w:p>
        </w:tc>
        <w:tc>
          <w:tcPr>
            <w:tcW w:w="811" w:type="pct"/>
            <w:tcBorders>
              <w:top w:val="single" w:sz="4" w:space="0" w:color="auto"/>
              <w:left w:val="single" w:sz="4" w:space="0" w:color="auto"/>
              <w:bottom w:val="single" w:sz="4" w:space="0" w:color="auto"/>
              <w:right w:val="single" w:sz="4" w:space="0" w:color="auto"/>
            </w:tcBorders>
          </w:tcPr>
          <w:p w14:paraId="2FDDDE27" w14:textId="255E17B3" w:rsidR="004F3D82" w:rsidRDefault="004F3D82" w:rsidP="004F3D82">
            <w:r>
              <w:t>As soon as possible</w:t>
            </w:r>
          </w:p>
        </w:tc>
      </w:tr>
      <w:tr w:rsidR="004F3D82" w14:paraId="69B1B591" w14:textId="6DA054B5" w:rsidTr="00E907C3">
        <w:trPr>
          <w:trHeight w:val="671"/>
        </w:trPr>
        <w:tc>
          <w:tcPr>
            <w:tcW w:w="637" w:type="pct"/>
          </w:tcPr>
          <w:p w14:paraId="4F77BB76" w14:textId="6D68FBCC" w:rsidR="004F3D82" w:rsidRPr="00AB4A5E" w:rsidRDefault="004F3D82" w:rsidP="004F3D82">
            <w:pPr>
              <w:rPr>
                <w:b/>
                <w:bCs/>
              </w:rPr>
            </w:pPr>
            <w:r w:rsidRPr="00AB4A5E">
              <w:rPr>
                <w:b/>
                <w:bCs/>
              </w:rPr>
              <w:t>Next clinical steps</w:t>
            </w:r>
          </w:p>
        </w:tc>
        <w:tc>
          <w:tcPr>
            <w:tcW w:w="418" w:type="pct"/>
          </w:tcPr>
          <w:p w14:paraId="4EDF435A" w14:textId="0AE35D1C" w:rsidR="004F3D82" w:rsidRDefault="004F3D82" w:rsidP="004F3D82"/>
        </w:tc>
        <w:tc>
          <w:tcPr>
            <w:tcW w:w="755" w:type="pct"/>
          </w:tcPr>
          <w:p w14:paraId="194C042F" w14:textId="77777777" w:rsidR="004F3D82" w:rsidRDefault="004F3D82" w:rsidP="004F3D82"/>
        </w:tc>
        <w:tc>
          <w:tcPr>
            <w:tcW w:w="755" w:type="pct"/>
          </w:tcPr>
          <w:p w14:paraId="1BAC2D45" w14:textId="251375F3" w:rsidR="004F3D82" w:rsidRDefault="004F3D82" w:rsidP="004F3D82">
            <w:r>
              <w:t>Active monitoring, further fluid boluses as necessary.</w:t>
            </w:r>
          </w:p>
        </w:tc>
        <w:tc>
          <w:tcPr>
            <w:tcW w:w="813" w:type="pct"/>
          </w:tcPr>
          <w:p w14:paraId="37517E11" w14:textId="627ECBF9" w:rsidR="004F3D82" w:rsidRDefault="004F3D82" w:rsidP="004F3D82">
            <w:r>
              <w:t>If child remains shocked: a further rapid infusion of 20 ml/kg 0.9% saline.</w:t>
            </w:r>
          </w:p>
        </w:tc>
        <w:tc>
          <w:tcPr>
            <w:tcW w:w="811" w:type="pct"/>
          </w:tcPr>
          <w:p w14:paraId="2972E117" w14:textId="508FB60B" w:rsidR="004F3D82" w:rsidRPr="00037098" w:rsidRDefault="004F3D82" w:rsidP="004F3D82">
            <w:pPr>
              <w:rPr>
                <w:rStyle w:val="NICEnormalChar1"/>
                <w:rFonts w:asciiTheme="minorHAnsi" w:eastAsiaTheme="minorHAnsi" w:hAnsiTheme="minorHAnsi" w:cstheme="minorHAnsi"/>
                <w:sz w:val="22"/>
                <w:szCs w:val="22"/>
                <w:lang w:val="en-GB"/>
              </w:rPr>
            </w:pPr>
            <w:r w:rsidRPr="00037098">
              <w:rPr>
                <w:rStyle w:val="Strong"/>
                <w:rFonts w:cstheme="minorHAnsi"/>
                <w:b w:val="0"/>
                <w:bCs w:val="0"/>
              </w:rPr>
              <w:t>If signs of shock persist a second bolus of 20</w:t>
            </w:r>
            <w:r>
              <w:rPr>
                <w:rStyle w:val="Strong"/>
                <w:rFonts w:cstheme="minorHAnsi"/>
                <w:b w:val="0"/>
                <w:bCs w:val="0"/>
              </w:rPr>
              <w:t> </w:t>
            </w:r>
            <w:r w:rsidRPr="00037098">
              <w:rPr>
                <w:rStyle w:val="Strong"/>
                <w:rFonts w:cstheme="minorHAnsi"/>
                <w:b w:val="0"/>
                <w:bCs w:val="0"/>
              </w:rPr>
              <w:t>ml/kg 0</w:t>
            </w:r>
            <w:r>
              <w:rPr>
                <w:rStyle w:val="Strong"/>
                <w:rFonts w:cstheme="minorHAnsi"/>
                <w:b w:val="0"/>
                <w:bCs w:val="0"/>
              </w:rPr>
              <w:t>.</w:t>
            </w:r>
            <w:r w:rsidRPr="00037098">
              <w:rPr>
                <w:rStyle w:val="Strong"/>
                <w:rFonts w:cstheme="minorHAnsi"/>
                <w:b w:val="0"/>
                <w:bCs w:val="0"/>
              </w:rPr>
              <w:t xml:space="preserve">9% sodium chloride or 4.5% human </w:t>
            </w:r>
            <w:r w:rsidRPr="00037098">
              <w:rPr>
                <w:rStyle w:val="NICEnormalChar1"/>
                <w:rFonts w:asciiTheme="minorHAnsi" w:eastAsiaTheme="minorHAnsi" w:hAnsiTheme="minorHAnsi" w:cstheme="minorHAnsi"/>
                <w:sz w:val="22"/>
                <w:szCs w:val="22"/>
                <w:lang w:val="en-GB"/>
              </w:rPr>
              <w:t xml:space="preserve">albumin over 5-10 minutes. If the signs of shock </w:t>
            </w:r>
            <w:proofErr w:type="gramStart"/>
            <w:r w:rsidRPr="00037098">
              <w:rPr>
                <w:rStyle w:val="NICEnormalChar1"/>
                <w:rFonts w:asciiTheme="minorHAnsi" w:eastAsiaTheme="minorHAnsi" w:hAnsiTheme="minorHAnsi" w:cstheme="minorHAnsi"/>
                <w:sz w:val="22"/>
                <w:szCs w:val="22"/>
                <w:lang w:val="en-GB"/>
              </w:rPr>
              <w:t>still persist</w:t>
            </w:r>
            <w:proofErr w:type="gramEnd"/>
            <w:r w:rsidRPr="00037098">
              <w:rPr>
                <w:rStyle w:val="NICEnormalChar1"/>
                <w:rFonts w:asciiTheme="minorHAnsi" w:eastAsiaTheme="minorHAnsi" w:hAnsiTheme="minorHAnsi" w:cstheme="minorHAnsi"/>
                <w:sz w:val="22"/>
                <w:szCs w:val="22"/>
                <w:lang w:val="en-GB"/>
              </w:rPr>
              <w:t xml:space="preserve"> after the first 40</w:t>
            </w:r>
            <w:r>
              <w:rPr>
                <w:rStyle w:val="NICEnormalChar1"/>
                <w:rFonts w:asciiTheme="minorHAnsi" w:eastAsiaTheme="minorHAnsi" w:hAnsiTheme="minorHAnsi" w:cstheme="minorHAnsi"/>
                <w:sz w:val="22"/>
                <w:szCs w:val="22"/>
                <w:lang w:val="en-GB"/>
              </w:rPr>
              <w:t> </w:t>
            </w:r>
            <w:r w:rsidRPr="00037098">
              <w:rPr>
                <w:rStyle w:val="NICEnormalChar1"/>
                <w:rFonts w:asciiTheme="minorHAnsi" w:eastAsiaTheme="minorHAnsi" w:hAnsiTheme="minorHAnsi" w:cstheme="minorHAnsi"/>
                <w:sz w:val="22"/>
                <w:szCs w:val="22"/>
                <w:lang w:val="en-GB"/>
              </w:rPr>
              <w:t xml:space="preserve">ml/kg, a third bolus </w:t>
            </w:r>
            <w:r w:rsidRPr="00037098">
              <w:rPr>
                <w:rStyle w:val="NICEnormalChar1"/>
                <w:rFonts w:asciiTheme="minorHAnsi" w:eastAsiaTheme="minorHAnsi" w:hAnsiTheme="minorHAnsi" w:cstheme="minorHAnsi"/>
                <w:sz w:val="22"/>
                <w:szCs w:val="22"/>
                <w:lang w:val="en-GB"/>
              </w:rPr>
              <w:lastRenderedPageBreak/>
              <w:t>of 20</w:t>
            </w:r>
            <w:r>
              <w:rPr>
                <w:rStyle w:val="NICEnormalChar1"/>
                <w:rFonts w:asciiTheme="minorHAnsi" w:eastAsiaTheme="minorHAnsi" w:hAnsiTheme="minorHAnsi" w:cstheme="minorHAnsi"/>
                <w:sz w:val="22"/>
                <w:szCs w:val="22"/>
                <w:lang w:val="en-GB"/>
              </w:rPr>
              <w:t> </w:t>
            </w:r>
            <w:r w:rsidRPr="00037098">
              <w:rPr>
                <w:rStyle w:val="NICEnormalChar1"/>
                <w:rFonts w:asciiTheme="minorHAnsi" w:eastAsiaTheme="minorHAnsi" w:hAnsiTheme="minorHAnsi" w:cstheme="minorHAnsi"/>
                <w:sz w:val="22"/>
                <w:szCs w:val="22"/>
                <w:lang w:val="en-GB"/>
              </w:rPr>
              <w:t>ml/kg 0</w:t>
            </w:r>
            <w:r w:rsidRPr="00037098">
              <w:rPr>
                <w:rStyle w:val="NICEnormalChar1"/>
                <w:rFonts w:asciiTheme="minorHAnsi" w:eastAsiaTheme="minorHAnsi" w:hAnsiTheme="minorHAnsi" w:cstheme="minorHAnsi"/>
                <w:sz w:val="22"/>
                <w:szCs w:val="22"/>
              </w:rPr>
              <w:t>.</w:t>
            </w:r>
            <w:r w:rsidRPr="00037098">
              <w:rPr>
                <w:rStyle w:val="NICEnormalChar1"/>
                <w:rFonts w:asciiTheme="minorHAnsi" w:eastAsiaTheme="minorHAnsi" w:hAnsiTheme="minorHAnsi" w:cstheme="minorHAnsi"/>
                <w:sz w:val="22"/>
                <w:szCs w:val="22"/>
                <w:lang w:val="en-GB"/>
              </w:rPr>
              <w:t>9% sodium chloride or 4.5% human albumin over 5-10 minutes is recommended</w:t>
            </w:r>
            <w:r>
              <w:rPr>
                <w:rStyle w:val="NICEnormalChar1"/>
                <w:rFonts w:asciiTheme="minorHAnsi" w:eastAsiaTheme="minorHAnsi" w:hAnsiTheme="minorHAnsi" w:cstheme="minorHAnsi"/>
                <w:sz w:val="22"/>
                <w:szCs w:val="22"/>
                <w:lang w:val="en-GB"/>
              </w:rPr>
              <w:t>.</w:t>
            </w:r>
          </w:p>
          <w:p w14:paraId="4C5E2F63" w14:textId="30D283E0" w:rsidR="004F3D82" w:rsidRPr="00037098" w:rsidRDefault="004F3D82" w:rsidP="004F3D82">
            <w:pPr>
              <w:rPr>
                <w:rFonts w:cstheme="minorHAnsi"/>
                <w:b/>
                <w:bCs/>
              </w:rPr>
            </w:pPr>
          </w:p>
        </w:tc>
        <w:tc>
          <w:tcPr>
            <w:tcW w:w="811" w:type="pct"/>
            <w:tcBorders>
              <w:top w:val="single" w:sz="4" w:space="0" w:color="auto"/>
              <w:left w:val="single" w:sz="4" w:space="0" w:color="auto"/>
              <w:bottom w:val="single" w:sz="4" w:space="0" w:color="auto"/>
              <w:right w:val="single" w:sz="4" w:space="0" w:color="auto"/>
            </w:tcBorders>
          </w:tcPr>
          <w:p w14:paraId="25BFF224" w14:textId="77777777" w:rsidR="004F3D82" w:rsidRDefault="004F3D82" w:rsidP="004F3D82">
            <w:pPr>
              <w:rPr>
                <w:rFonts w:ascii="Lato" w:hAnsi="Lato"/>
                <w:color w:val="0E0E0E"/>
                <w:shd w:val="clear" w:color="auto" w:fill="FAFAFB"/>
              </w:rPr>
            </w:pPr>
            <w:r>
              <w:lastRenderedPageBreak/>
              <w:t>When calculating the total fluid requirement, do not subtract this fluid bolus from the total fluid deficit.</w:t>
            </w:r>
          </w:p>
          <w:p w14:paraId="3ADE9C17" w14:textId="77777777" w:rsidR="004F3D82" w:rsidRPr="00037098" w:rsidRDefault="004F3D82" w:rsidP="004F3D82">
            <w:pPr>
              <w:rPr>
                <w:rStyle w:val="Strong"/>
                <w:rFonts w:cstheme="minorHAnsi"/>
                <w:b w:val="0"/>
                <w:bCs w:val="0"/>
              </w:rPr>
            </w:pPr>
          </w:p>
        </w:tc>
      </w:tr>
      <w:tr w:rsidR="004F3D82" w14:paraId="38E7F5E2" w14:textId="0916ED69" w:rsidTr="00E907C3">
        <w:trPr>
          <w:trHeight w:val="671"/>
        </w:trPr>
        <w:tc>
          <w:tcPr>
            <w:tcW w:w="637" w:type="pct"/>
          </w:tcPr>
          <w:p w14:paraId="4B9FF683" w14:textId="163ACE3A" w:rsidR="004F3D82" w:rsidRPr="00AB4A5E" w:rsidRDefault="004F3D82" w:rsidP="004F3D82">
            <w:pPr>
              <w:rPr>
                <w:b/>
                <w:bCs/>
              </w:rPr>
            </w:pPr>
            <w:r w:rsidRPr="00AB4A5E">
              <w:rPr>
                <w:b/>
                <w:bCs/>
              </w:rPr>
              <w:t>Other clinical considerations</w:t>
            </w:r>
          </w:p>
        </w:tc>
        <w:tc>
          <w:tcPr>
            <w:tcW w:w="418" w:type="pct"/>
          </w:tcPr>
          <w:p w14:paraId="618F677F" w14:textId="3F5F71DD" w:rsidR="004F3D82" w:rsidRDefault="004F3D82" w:rsidP="004F3D82"/>
        </w:tc>
        <w:tc>
          <w:tcPr>
            <w:tcW w:w="755" w:type="pct"/>
          </w:tcPr>
          <w:p w14:paraId="59F3BC90" w14:textId="77777777" w:rsidR="004F3D82" w:rsidRDefault="004F3D82" w:rsidP="004F3D82"/>
        </w:tc>
        <w:tc>
          <w:tcPr>
            <w:tcW w:w="755" w:type="pct"/>
          </w:tcPr>
          <w:p w14:paraId="05006B47" w14:textId="0B9AFC6B" w:rsidR="004F3D82" w:rsidRDefault="004F3D82" w:rsidP="004F3D82"/>
        </w:tc>
        <w:tc>
          <w:tcPr>
            <w:tcW w:w="813" w:type="pct"/>
          </w:tcPr>
          <w:p w14:paraId="7C2037D7" w14:textId="689085DE" w:rsidR="004F3D82" w:rsidRDefault="004F3D82" w:rsidP="004F3D82">
            <w:r>
              <w:t>Consider causes of shock other than dehydration</w:t>
            </w:r>
          </w:p>
        </w:tc>
        <w:tc>
          <w:tcPr>
            <w:tcW w:w="811" w:type="pct"/>
          </w:tcPr>
          <w:p w14:paraId="7B0B2405" w14:textId="523B679B" w:rsidR="004F3D82" w:rsidRPr="00037098" w:rsidRDefault="004F3D82" w:rsidP="004F3D82">
            <w:pPr>
              <w:rPr>
                <w:rFonts w:cstheme="minorHAnsi"/>
              </w:rPr>
            </w:pPr>
            <w:r w:rsidRPr="00037098">
              <w:rPr>
                <w:rFonts w:cstheme="minorHAnsi"/>
              </w:rPr>
              <w:t xml:space="preserve">Further steps could include: </w:t>
            </w:r>
            <w:r w:rsidRPr="00037098">
              <w:rPr>
                <w:rStyle w:val="NICEnormalChar1"/>
                <w:rFonts w:asciiTheme="minorHAnsi" w:eastAsiaTheme="minorHAnsi" w:hAnsiTheme="minorHAnsi" w:cstheme="minorHAnsi"/>
                <w:sz w:val="22"/>
                <w:szCs w:val="22"/>
                <w:lang w:val="en-GB"/>
              </w:rPr>
              <w:t>call</w:t>
            </w:r>
            <w:r>
              <w:rPr>
                <w:rStyle w:val="NICEnormalChar1"/>
                <w:rFonts w:asciiTheme="minorHAnsi" w:eastAsiaTheme="minorHAnsi" w:hAnsiTheme="minorHAnsi" w:cstheme="minorHAnsi"/>
                <w:sz w:val="22"/>
                <w:szCs w:val="22"/>
                <w:lang w:val="en-GB"/>
              </w:rPr>
              <w:t>ing</w:t>
            </w:r>
            <w:r w:rsidRPr="00037098">
              <w:rPr>
                <w:rStyle w:val="NICEnormalChar1"/>
                <w:rFonts w:asciiTheme="minorHAnsi" w:eastAsiaTheme="minorHAnsi" w:hAnsiTheme="minorHAnsi" w:cstheme="minorHAnsi"/>
                <w:sz w:val="22"/>
                <w:szCs w:val="22"/>
                <w:lang w:val="en-GB"/>
              </w:rPr>
              <w:t xml:space="preserve"> for anaesthetic assistance for urgent tracheal intubation and mechanical ventilation; start</w:t>
            </w:r>
            <w:r>
              <w:rPr>
                <w:rStyle w:val="NICEnormalChar1"/>
                <w:rFonts w:asciiTheme="minorHAnsi" w:eastAsiaTheme="minorHAnsi" w:hAnsiTheme="minorHAnsi" w:cstheme="minorHAnsi"/>
                <w:sz w:val="22"/>
                <w:szCs w:val="22"/>
                <w:lang w:val="en-GB"/>
              </w:rPr>
              <w:t>ing</w:t>
            </w:r>
            <w:r w:rsidRPr="00037098">
              <w:rPr>
                <w:rStyle w:val="NICEnormalChar1"/>
                <w:rFonts w:asciiTheme="minorHAnsi" w:eastAsiaTheme="minorHAnsi" w:hAnsiTheme="minorHAnsi" w:cstheme="minorHAnsi"/>
                <w:sz w:val="22"/>
                <w:szCs w:val="22"/>
                <w:lang w:val="en-GB"/>
              </w:rPr>
              <w:t xml:space="preserve"> treatment with vasoactive drugs; be</w:t>
            </w:r>
            <w:r>
              <w:rPr>
                <w:rStyle w:val="NICEnormalChar1"/>
                <w:rFonts w:asciiTheme="minorHAnsi" w:eastAsiaTheme="minorHAnsi" w:hAnsiTheme="minorHAnsi" w:cstheme="minorHAnsi"/>
                <w:sz w:val="22"/>
                <w:szCs w:val="22"/>
                <w:lang w:val="en-GB"/>
              </w:rPr>
              <w:t>ing</w:t>
            </w:r>
            <w:r w:rsidRPr="00037098">
              <w:rPr>
                <w:rStyle w:val="NICEnormalChar1"/>
                <w:rFonts w:asciiTheme="minorHAnsi" w:eastAsiaTheme="minorHAnsi" w:hAnsiTheme="minorHAnsi" w:cstheme="minorHAnsi"/>
                <w:sz w:val="22"/>
                <w:szCs w:val="22"/>
                <w:lang w:val="en-GB"/>
              </w:rPr>
              <w:t xml:space="preserve"> aware that some children and young people may require large volumes of fluid over a short period of time to restore their circulating volume; consider</w:t>
            </w:r>
            <w:r>
              <w:rPr>
                <w:rStyle w:val="NICEnormalChar1"/>
                <w:rFonts w:asciiTheme="minorHAnsi" w:eastAsiaTheme="minorHAnsi" w:hAnsiTheme="minorHAnsi" w:cstheme="minorHAnsi"/>
                <w:sz w:val="22"/>
                <w:szCs w:val="22"/>
                <w:lang w:val="en-GB"/>
              </w:rPr>
              <w:t>ing</w:t>
            </w:r>
            <w:r w:rsidRPr="00037098">
              <w:rPr>
                <w:rStyle w:val="NICEnormalChar1"/>
                <w:rFonts w:asciiTheme="minorHAnsi" w:eastAsiaTheme="minorHAnsi" w:hAnsiTheme="minorHAnsi" w:cstheme="minorHAnsi"/>
                <w:sz w:val="22"/>
                <w:szCs w:val="22"/>
                <w:lang w:val="en-GB"/>
              </w:rPr>
              <w:t xml:space="preserve"> giving further fluid boluses at 20 ml/kg of intravenous or intraosseous sodium chloride 0.9% or human albumin 4.5% solution over 5–10 minutes based on clinical signs and </w:t>
            </w:r>
            <w:r w:rsidRPr="00037098">
              <w:rPr>
                <w:rStyle w:val="NICEnormalChar1"/>
                <w:rFonts w:asciiTheme="minorHAnsi" w:eastAsiaTheme="minorHAnsi" w:hAnsiTheme="minorHAnsi" w:cstheme="minorHAnsi"/>
                <w:sz w:val="22"/>
                <w:szCs w:val="22"/>
                <w:lang w:val="en-GB"/>
              </w:rPr>
              <w:lastRenderedPageBreak/>
              <w:t>appropriate laboratory investigations including urea and electrolytes.</w:t>
            </w:r>
          </w:p>
        </w:tc>
        <w:tc>
          <w:tcPr>
            <w:tcW w:w="811" w:type="pct"/>
            <w:tcBorders>
              <w:top w:val="single" w:sz="4" w:space="0" w:color="auto"/>
              <w:left w:val="single" w:sz="4" w:space="0" w:color="auto"/>
              <w:bottom w:val="single" w:sz="4" w:space="0" w:color="auto"/>
              <w:right w:val="single" w:sz="4" w:space="0" w:color="auto"/>
            </w:tcBorders>
          </w:tcPr>
          <w:p w14:paraId="4F9E7A75" w14:textId="2DA019F3" w:rsidR="004F3D82" w:rsidRPr="00037098" w:rsidRDefault="004F3D82" w:rsidP="004F3D82">
            <w:pPr>
              <w:rPr>
                <w:rFonts w:cstheme="minorHAnsi"/>
              </w:rPr>
            </w:pPr>
            <w:r>
              <w:lastRenderedPageBreak/>
              <w:t>Recommendations were also made to highlight that shock is rare in children and young people with DKA, and that typical symptoms of shock can overlap with symptoms of DKA.</w:t>
            </w:r>
          </w:p>
        </w:tc>
      </w:tr>
      <w:tr w:rsidR="004F3D82" w14:paraId="6B82D54A" w14:textId="0DCCC5E1" w:rsidTr="00E907C3">
        <w:trPr>
          <w:trHeight w:val="328"/>
        </w:trPr>
        <w:tc>
          <w:tcPr>
            <w:tcW w:w="637" w:type="pct"/>
          </w:tcPr>
          <w:p w14:paraId="69613343" w14:textId="351BA509" w:rsidR="004F3D82" w:rsidRPr="00AB4A5E" w:rsidRDefault="004F3D82" w:rsidP="004F3D82">
            <w:pPr>
              <w:rPr>
                <w:b/>
                <w:bCs/>
              </w:rPr>
            </w:pPr>
            <w:r w:rsidRPr="00AB4A5E">
              <w:rPr>
                <w:b/>
                <w:bCs/>
              </w:rPr>
              <w:t>Evidence</w:t>
            </w:r>
          </w:p>
        </w:tc>
        <w:tc>
          <w:tcPr>
            <w:tcW w:w="418" w:type="pct"/>
          </w:tcPr>
          <w:p w14:paraId="50F88FE5" w14:textId="77777777" w:rsidR="004F3D82" w:rsidRDefault="004F3D82" w:rsidP="004F3D82"/>
        </w:tc>
        <w:tc>
          <w:tcPr>
            <w:tcW w:w="755" w:type="pct"/>
          </w:tcPr>
          <w:p w14:paraId="03C99C14" w14:textId="77777777" w:rsidR="004F3D82" w:rsidRDefault="004F3D82" w:rsidP="004F3D82">
            <w:r>
              <w:t xml:space="preserve">NG29: Searches were conducted for systematic reviews, RCTs and cohort studies in children. The GDG did not consider that evidence in an adult population was relevant as the optimum rate of fluid administration is likely to differ for children and adults as the fluid requirements for children are higher. No relevant clinical studies comparing sodium chloride at different rates were identified. Children with shock need immediate restoration of intravascular blood volume. It is current practice to administer 20 ml/kg </w:t>
            </w:r>
            <w:r>
              <w:lastRenderedPageBreak/>
              <w:t>over less than 10 minutes. No evidence was identified to change current practice. The GDG felt it important to reassess the circulation following completion of the fluid bolus and administer further fluids if indicated.</w:t>
            </w:r>
          </w:p>
          <w:p w14:paraId="6875560C" w14:textId="77777777" w:rsidR="004F3D82" w:rsidRDefault="004F3D82" w:rsidP="004F3D82"/>
          <w:p w14:paraId="69D6B30B" w14:textId="7872FFB2" w:rsidR="004F3D82" w:rsidRDefault="004F3D82" w:rsidP="004F3D82">
            <w:r>
              <w:t>NG51: In the case of children the GDG agreed that they had not found any evidence to change the recommendations made by the IV fluids in children guideline which had included children with sepsis.</w:t>
            </w:r>
          </w:p>
        </w:tc>
        <w:tc>
          <w:tcPr>
            <w:tcW w:w="755" w:type="pct"/>
          </w:tcPr>
          <w:p w14:paraId="401A586B" w14:textId="446AD8CC" w:rsidR="004F3D82" w:rsidRDefault="004F3D82" w:rsidP="004F3D82">
            <w:r>
              <w:lastRenderedPageBreak/>
              <w:t xml:space="preserve">One case-control study found that too little fluid therapy versus “adequate” fluid therapy was significantly associated with death. No information was given in the guideline about the volume of “adequate” therapy given. A retrospective cohort study found that fluid boluses and early use of </w:t>
            </w:r>
            <w:proofErr w:type="spellStart"/>
            <w:r>
              <w:t>ionotropes</w:t>
            </w:r>
            <w:proofErr w:type="spellEnd"/>
            <w:r>
              <w:t xml:space="preserve"> resulted in shock reversal and increased survival. There was no information on the volume of fluid boluses given.</w:t>
            </w:r>
          </w:p>
        </w:tc>
        <w:tc>
          <w:tcPr>
            <w:tcW w:w="813" w:type="pct"/>
          </w:tcPr>
          <w:p w14:paraId="4DBEC6DB" w14:textId="5CB0CB34" w:rsidR="004F3D82" w:rsidRDefault="004F3D82" w:rsidP="004F3D82">
            <w:bookmarkStart w:id="0" w:name="_Hlk102990621"/>
            <w:r>
              <w:t>There was no definitive evidence on the optimum IV fluid regimen for the management of hypovolaemic shock in the dehydrated child with gastroenteritis. However, there was widespread consensus that whatever the cause of shock, a bolus of IV fluid should immediately be given.</w:t>
            </w:r>
            <w:bookmarkEnd w:id="0"/>
          </w:p>
        </w:tc>
        <w:tc>
          <w:tcPr>
            <w:tcW w:w="811" w:type="pct"/>
          </w:tcPr>
          <w:p w14:paraId="2ADF8C10" w14:textId="342C2544" w:rsidR="004F3D82" w:rsidRDefault="004F3D82" w:rsidP="004F3D82">
            <w:r>
              <w:t>None identified</w:t>
            </w:r>
          </w:p>
        </w:tc>
        <w:tc>
          <w:tcPr>
            <w:tcW w:w="811" w:type="pct"/>
            <w:tcBorders>
              <w:top w:val="single" w:sz="4" w:space="0" w:color="auto"/>
              <w:left w:val="single" w:sz="4" w:space="0" w:color="auto"/>
              <w:bottom w:val="single" w:sz="4" w:space="0" w:color="auto"/>
              <w:right w:val="single" w:sz="4" w:space="0" w:color="auto"/>
            </w:tcBorders>
          </w:tcPr>
          <w:p w14:paraId="03D00762" w14:textId="130D3770" w:rsidR="004F3D82" w:rsidRDefault="004F3D82" w:rsidP="004F3D82">
            <w:r>
              <w:t xml:space="preserve">A combined search was conducted to identify studies which explored route of fluid administration for rehydration, type of fluids (including additives) that should be used for rehydration and the rate and volume these fluids should be administered. </w:t>
            </w:r>
            <w:r w:rsidR="00824664">
              <w:t>No studies were identified that looked at the volume of IV fluid boluses for children with both DKA and shock.</w:t>
            </w:r>
          </w:p>
        </w:tc>
      </w:tr>
      <w:tr w:rsidR="004F3D82" w14:paraId="483907A4" w14:textId="5EB7E862" w:rsidTr="00E907C3">
        <w:trPr>
          <w:trHeight w:val="671"/>
        </w:trPr>
        <w:tc>
          <w:tcPr>
            <w:tcW w:w="637" w:type="pct"/>
          </w:tcPr>
          <w:p w14:paraId="6CC46BBE" w14:textId="1DB63205" w:rsidR="004F3D82" w:rsidRPr="00AB4A5E" w:rsidRDefault="004F3D82" w:rsidP="004F3D82">
            <w:pPr>
              <w:rPr>
                <w:b/>
                <w:bCs/>
              </w:rPr>
            </w:pPr>
            <w:bookmarkStart w:id="1" w:name="_Hlk102990525"/>
            <w:r w:rsidRPr="00AB4A5E">
              <w:rPr>
                <w:b/>
                <w:bCs/>
              </w:rPr>
              <w:lastRenderedPageBreak/>
              <w:t>Committee discussion</w:t>
            </w:r>
          </w:p>
        </w:tc>
        <w:tc>
          <w:tcPr>
            <w:tcW w:w="418" w:type="pct"/>
          </w:tcPr>
          <w:p w14:paraId="46663A54" w14:textId="77777777" w:rsidR="004F3D82" w:rsidRDefault="004F3D82" w:rsidP="004F3D82"/>
        </w:tc>
        <w:tc>
          <w:tcPr>
            <w:tcW w:w="755" w:type="pct"/>
          </w:tcPr>
          <w:p w14:paraId="272662F5" w14:textId="77777777" w:rsidR="004F3D82" w:rsidRDefault="004F3D82" w:rsidP="004F3D82">
            <w:r>
              <w:t xml:space="preserve">NG29: The GDG acknowledged that the FEAST evidence challenges whether boluses should be used for resuscitation in resource-limited settings for children </w:t>
            </w:r>
            <w:r>
              <w:lastRenderedPageBreak/>
              <w:t>with shock who did not have hypotension. However, the guideline concluded that although this was an important finding, the situation was not directly applicable to the UK clinical setting.</w:t>
            </w:r>
          </w:p>
          <w:p w14:paraId="06AF2B85" w14:textId="77777777" w:rsidR="004F3D82" w:rsidRDefault="004F3D82" w:rsidP="004F3D82"/>
          <w:p w14:paraId="092550FB" w14:textId="77777777" w:rsidR="004F3D82" w:rsidRDefault="004F3D82" w:rsidP="004F3D82">
            <w:r>
              <w:t>NG51: The GDG discussed the FEAST study. The FEAST study did not fit the study population defined in the protocol for this review but had been widely discussed in the paediatric sepsis community. The study was excluded from formal review because the study population consisted of children with severe febrile illness or respiratory distress rather than sepsis.</w:t>
            </w:r>
          </w:p>
          <w:p w14:paraId="77A0617B" w14:textId="77777777" w:rsidR="004F3D82" w:rsidRDefault="004F3D82" w:rsidP="004F3D82">
            <w:r>
              <w:lastRenderedPageBreak/>
              <w:t xml:space="preserve">Only 16% of the study population had a working diagnosis of septicaemia. </w:t>
            </w:r>
          </w:p>
          <w:p w14:paraId="42F863E4" w14:textId="77777777" w:rsidR="004F3D82" w:rsidRDefault="004F3D82" w:rsidP="004F3D82"/>
        </w:tc>
        <w:tc>
          <w:tcPr>
            <w:tcW w:w="755" w:type="pct"/>
          </w:tcPr>
          <w:p w14:paraId="118DC0B3" w14:textId="2EE3DF8D" w:rsidR="004F3D82" w:rsidRDefault="004F3D82" w:rsidP="004F3D82">
            <w:r>
              <w:lastRenderedPageBreak/>
              <w:t xml:space="preserve">The GDG concluded that children with fever and signs of circulatory insufficiency have reduced mortality when given intravenous fluid resuscitation. They </w:t>
            </w:r>
            <w:r>
              <w:lastRenderedPageBreak/>
              <w:t>stated that current practice would be to give a bolus of 20 ml/kg.</w:t>
            </w:r>
          </w:p>
          <w:p w14:paraId="40D99A0A" w14:textId="77777777" w:rsidR="004F3D82" w:rsidRDefault="004F3D82" w:rsidP="004F3D82"/>
        </w:tc>
        <w:tc>
          <w:tcPr>
            <w:tcW w:w="813" w:type="pct"/>
          </w:tcPr>
          <w:p w14:paraId="76F743D3" w14:textId="71176A04" w:rsidR="004F3D82" w:rsidRDefault="004F3D82" w:rsidP="004F3D82">
            <w:bookmarkStart w:id="2" w:name="_Hlk102990599"/>
            <w:r>
              <w:lastRenderedPageBreak/>
              <w:t>No discussion of the different volumes for initial boluses in fluid therapy. Discussion centred on the optimal fluid composition.</w:t>
            </w:r>
            <w:bookmarkEnd w:id="2"/>
          </w:p>
        </w:tc>
        <w:tc>
          <w:tcPr>
            <w:tcW w:w="811" w:type="pct"/>
          </w:tcPr>
          <w:p w14:paraId="06F1FFD3" w14:textId="489114CB" w:rsidR="004F3D82" w:rsidRDefault="004F3D82" w:rsidP="004F3D82">
            <w:r>
              <w:t>No discussion of the different volumes for initial boluses in fluid therapy. Discussion centred on the optimal fluid composition.</w:t>
            </w:r>
          </w:p>
        </w:tc>
        <w:tc>
          <w:tcPr>
            <w:tcW w:w="811" w:type="pct"/>
            <w:tcBorders>
              <w:top w:val="single" w:sz="4" w:space="0" w:color="auto"/>
              <w:left w:val="single" w:sz="4" w:space="0" w:color="auto"/>
              <w:bottom w:val="single" w:sz="4" w:space="0" w:color="auto"/>
              <w:right w:val="single" w:sz="4" w:space="0" w:color="auto"/>
            </w:tcBorders>
          </w:tcPr>
          <w:p w14:paraId="0847ABE4" w14:textId="77777777" w:rsidR="004F3D82" w:rsidRDefault="004F3D82" w:rsidP="004F3D82">
            <w:r>
              <w:t xml:space="preserve">The committee noted that while shock is a rare occurrence in children and young people with DKA, it can occur, and such patients require more fluid boluses to improve tissue </w:t>
            </w:r>
            <w:r>
              <w:lastRenderedPageBreak/>
              <w:t xml:space="preserve">perfusion. Furthermore, the committee highlighted that restricting initial fluid boluses can result in less fluids being administered over the 48-hour period. The committee stated that this may be problematic as recent hypothesis and data suggests that brain injury may result from cerebral hypoperfusion and the effects of reperfusion and neuro-inflammation that occurs during episodes of DKA. The committee highlighted that the 2015 recommendations could have been made with the risk of cerebral oedema in mind as the previous hypothesis stated that rapid administration of IV fluids reduces serum osmolality </w:t>
            </w:r>
            <w:r>
              <w:lastRenderedPageBreak/>
              <w:t>which results in brain swelling. Based on their clinical judgment and the RCT evidence identified in the review, particularly the PECARN FLUID trial, the committee recommended that in children and young people with DKA who have signs of shock, an initial intravenous bolus of 20 ml/kg 0.9% sodium chloride should be given as soon as possible.</w:t>
            </w:r>
          </w:p>
          <w:p w14:paraId="505AD0C4" w14:textId="0957B652" w:rsidR="004F3D82" w:rsidRDefault="004F3D82" w:rsidP="004F3D82">
            <w:r>
              <w:t xml:space="preserve">The committee used their expertise to recommend that the aim should be to replace the fluid deficit evenly over the first 48 hours, but in critically ill children and young people, the fluid regimen should be discussed early with the senior paediatrician or paediatric intensivist (or both), because the risk of cerebral </w:t>
            </w:r>
            <w:r>
              <w:lastRenderedPageBreak/>
              <w:t>oedema is higher. The committee further noted that it is crucial that treatment is not delayed due to the risk of cerebral oedema.</w:t>
            </w:r>
          </w:p>
        </w:tc>
      </w:tr>
      <w:bookmarkEnd w:id="1"/>
      <w:tr w:rsidR="004F3D82" w14:paraId="29F0D3C5" w14:textId="4707CEE3" w:rsidTr="004F3D82">
        <w:trPr>
          <w:trHeight w:val="328"/>
        </w:trPr>
        <w:tc>
          <w:tcPr>
            <w:tcW w:w="637" w:type="pct"/>
          </w:tcPr>
          <w:p w14:paraId="11EC64BB" w14:textId="77777777" w:rsidR="004F3D82" w:rsidRPr="00AB4A5E" w:rsidRDefault="004F3D82" w:rsidP="004F3D82">
            <w:pPr>
              <w:rPr>
                <w:b/>
                <w:bCs/>
              </w:rPr>
            </w:pPr>
          </w:p>
        </w:tc>
        <w:tc>
          <w:tcPr>
            <w:tcW w:w="418" w:type="pct"/>
          </w:tcPr>
          <w:p w14:paraId="34E10EC2" w14:textId="77777777" w:rsidR="004F3D82" w:rsidRDefault="004F3D82" w:rsidP="004F3D82"/>
        </w:tc>
        <w:tc>
          <w:tcPr>
            <w:tcW w:w="755" w:type="pct"/>
          </w:tcPr>
          <w:p w14:paraId="49F814E5" w14:textId="77777777" w:rsidR="004F3D82" w:rsidRDefault="004F3D82" w:rsidP="004F3D82"/>
        </w:tc>
        <w:tc>
          <w:tcPr>
            <w:tcW w:w="755" w:type="pct"/>
          </w:tcPr>
          <w:p w14:paraId="50B90B59" w14:textId="6E7E85C2" w:rsidR="004F3D82" w:rsidRDefault="004F3D82" w:rsidP="004F3D82"/>
        </w:tc>
        <w:tc>
          <w:tcPr>
            <w:tcW w:w="813" w:type="pct"/>
          </w:tcPr>
          <w:p w14:paraId="65F52A4C" w14:textId="77777777" w:rsidR="004F3D82" w:rsidRDefault="004F3D82" w:rsidP="004F3D82"/>
        </w:tc>
        <w:tc>
          <w:tcPr>
            <w:tcW w:w="811" w:type="pct"/>
          </w:tcPr>
          <w:p w14:paraId="0964A511" w14:textId="77777777" w:rsidR="004F3D82" w:rsidRDefault="004F3D82" w:rsidP="004F3D82"/>
        </w:tc>
        <w:tc>
          <w:tcPr>
            <w:tcW w:w="811" w:type="pct"/>
          </w:tcPr>
          <w:p w14:paraId="1198B295" w14:textId="77777777" w:rsidR="004F3D82" w:rsidRDefault="004F3D82" w:rsidP="004F3D82"/>
        </w:tc>
      </w:tr>
    </w:tbl>
    <w:p w14:paraId="2919E932" w14:textId="77777777" w:rsidR="00E833C5" w:rsidRDefault="00E833C5"/>
    <w:sectPr w:rsidR="00E833C5" w:rsidSect="00C5676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BA"/>
    <w:rsid w:val="0000350E"/>
    <w:rsid w:val="00034B91"/>
    <w:rsid w:val="00037098"/>
    <w:rsid w:val="00056D7F"/>
    <w:rsid w:val="001418D4"/>
    <w:rsid w:val="00141C88"/>
    <w:rsid w:val="001525E4"/>
    <w:rsid w:val="001A4C57"/>
    <w:rsid w:val="001B3A22"/>
    <w:rsid w:val="002B4389"/>
    <w:rsid w:val="00374067"/>
    <w:rsid w:val="003C4385"/>
    <w:rsid w:val="004437D6"/>
    <w:rsid w:val="0047539E"/>
    <w:rsid w:val="004A124A"/>
    <w:rsid w:val="004E38E6"/>
    <w:rsid w:val="004F3D82"/>
    <w:rsid w:val="005951B7"/>
    <w:rsid w:val="00633BCB"/>
    <w:rsid w:val="00657407"/>
    <w:rsid w:val="006911C1"/>
    <w:rsid w:val="007B37AD"/>
    <w:rsid w:val="00824664"/>
    <w:rsid w:val="008318BD"/>
    <w:rsid w:val="00A33A9B"/>
    <w:rsid w:val="00A62BC8"/>
    <w:rsid w:val="00AB4A5E"/>
    <w:rsid w:val="00AE7F4F"/>
    <w:rsid w:val="00AF5E9A"/>
    <w:rsid w:val="00B00E2E"/>
    <w:rsid w:val="00C004D9"/>
    <w:rsid w:val="00C56769"/>
    <w:rsid w:val="00CA1841"/>
    <w:rsid w:val="00CE0D44"/>
    <w:rsid w:val="00DA1061"/>
    <w:rsid w:val="00DB785B"/>
    <w:rsid w:val="00DC1DF1"/>
    <w:rsid w:val="00E6119F"/>
    <w:rsid w:val="00E80048"/>
    <w:rsid w:val="00E833C5"/>
    <w:rsid w:val="00E97A00"/>
    <w:rsid w:val="00EA13D1"/>
    <w:rsid w:val="00F47F09"/>
    <w:rsid w:val="00FA320B"/>
    <w:rsid w:val="00FD5DA5"/>
    <w:rsid w:val="00FF4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1E22"/>
  <w15:chartTrackingRefBased/>
  <w15:docId w15:val="{0054E23A-CA66-4ED0-BFD3-E2496EFF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1"/>
    <w:rsid w:val="00037098"/>
    <w:pPr>
      <w:spacing w:after="240" w:line="360" w:lineRule="auto"/>
    </w:pPr>
    <w:rPr>
      <w:rFonts w:ascii="Arial" w:eastAsia="Times New Roman" w:hAnsi="Arial" w:cs="Times New Roman"/>
      <w:sz w:val="24"/>
      <w:szCs w:val="24"/>
      <w:lang w:val="en-US"/>
    </w:rPr>
  </w:style>
  <w:style w:type="character" w:customStyle="1" w:styleId="NICEnormalChar1">
    <w:name w:val="NICE normal Char1"/>
    <w:basedOn w:val="DefaultParagraphFont"/>
    <w:link w:val="NICEnormal"/>
    <w:rsid w:val="00037098"/>
    <w:rPr>
      <w:rFonts w:ascii="Arial" w:eastAsia="Times New Roman" w:hAnsi="Arial" w:cs="Times New Roman"/>
      <w:sz w:val="24"/>
      <w:szCs w:val="24"/>
      <w:lang w:val="en-US"/>
    </w:rPr>
  </w:style>
  <w:style w:type="character" w:styleId="Strong">
    <w:name w:val="Strong"/>
    <w:basedOn w:val="DefaultParagraphFont"/>
    <w:uiPriority w:val="22"/>
    <w:qFormat/>
    <w:rsid w:val="00037098"/>
    <w:rPr>
      <w:b/>
      <w:bCs/>
    </w:rPr>
  </w:style>
  <w:style w:type="character" w:styleId="CommentReference">
    <w:name w:val="annotation reference"/>
    <w:basedOn w:val="DefaultParagraphFont"/>
    <w:uiPriority w:val="99"/>
    <w:semiHidden/>
    <w:unhideWhenUsed/>
    <w:rsid w:val="00A33A9B"/>
    <w:rPr>
      <w:sz w:val="16"/>
      <w:szCs w:val="16"/>
    </w:rPr>
  </w:style>
  <w:style w:type="paragraph" w:styleId="CommentText">
    <w:name w:val="annotation text"/>
    <w:basedOn w:val="Normal"/>
    <w:link w:val="CommentTextChar"/>
    <w:uiPriority w:val="99"/>
    <w:unhideWhenUsed/>
    <w:rsid w:val="00A33A9B"/>
    <w:pPr>
      <w:spacing w:line="240" w:lineRule="auto"/>
    </w:pPr>
    <w:rPr>
      <w:sz w:val="20"/>
      <w:szCs w:val="20"/>
    </w:rPr>
  </w:style>
  <w:style w:type="character" w:customStyle="1" w:styleId="CommentTextChar">
    <w:name w:val="Comment Text Char"/>
    <w:basedOn w:val="DefaultParagraphFont"/>
    <w:link w:val="CommentText"/>
    <w:uiPriority w:val="99"/>
    <w:rsid w:val="00A33A9B"/>
    <w:rPr>
      <w:sz w:val="20"/>
      <w:szCs w:val="20"/>
    </w:rPr>
  </w:style>
  <w:style w:type="paragraph" w:styleId="CommentSubject">
    <w:name w:val="annotation subject"/>
    <w:basedOn w:val="CommentText"/>
    <w:next w:val="CommentText"/>
    <w:link w:val="CommentSubjectChar"/>
    <w:uiPriority w:val="99"/>
    <w:semiHidden/>
    <w:unhideWhenUsed/>
    <w:rsid w:val="00A33A9B"/>
    <w:rPr>
      <w:b/>
      <w:bCs/>
    </w:rPr>
  </w:style>
  <w:style w:type="character" w:customStyle="1" w:styleId="CommentSubjectChar">
    <w:name w:val="Comment Subject Char"/>
    <w:basedOn w:val="CommentTextChar"/>
    <w:link w:val="CommentSubject"/>
    <w:uiPriority w:val="99"/>
    <w:semiHidden/>
    <w:rsid w:val="00A33A9B"/>
    <w:rPr>
      <w:b/>
      <w:bCs/>
      <w:sz w:val="20"/>
      <w:szCs w:val="20"/>
    </w:rPr>
  </w:style>
  <w:style w:type="character" w:styleId="Hyperlink">
    <w:name w:val="Hyperlink"/>
    <w:basedOn w:val="DefaultParagraphFont"/>
    <w:uiPriority w:val="99"/>
    <w:unhideWhenUsed/>
    <w:rsid w:val="00A33A9B"/>
    <w:rPr>
      <w:color w:val="0563C1" w:themeColor="hyperlink"/>
      <w:u w:val="single"/>
    </w:rPr>
  </w:style>
  <w:style w:type="character" w:styleId="UnresolvedMention">
    <w:name w:val="Unresolved Mention"/>
    <w:basedOn w:val="DefaultParagraphFont"/>
    <w:uiPriority w:val="99"/>
    <w:semiHidden/>
    <w:unhideWhenUsed/>
    <w:rsid w:val="00A33A9B"/>
    <w:rPr>
      <w:color w:val="605E5C"/>
      <w:shd w:val="clear" w:color="auto" w:fill="E1DFDD"/>
    </w:rPr>
  </w:style>
  <w:style w:type="paragraph" w:styleId="Revision">
    <w:name w:val="Revision"/>
    <w:hidden/>
    <w:uiPriority w:val="99"/>
    <w:semiHidden/>
    <w:rsid w:val="001B3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35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Sarika Paul</dc:creator>
  <cp:keywords/>
  <dc:description/>
  <cp:lastModifiedBy>Sarika Paul</cp:lastModifiedBy>
  <cp:revision>3</cp:revision>
  <dcterms:created xsi:type="dcterms:W3CDTF">2022-07-28T16:00:00Z</dcterms:created>
  <dcterms:modified xsi:type="dcterms:W3CDTF">2022-07-28T16:00:00Z</dcterms:modified>
</cp:coreProperties>
</file>