
<file path=[Content_Types].xml><?xml version="1.0" encoding="utf-8"?>
<Types xmlns="http://schemas.openxmlformats.org/package/2006/content-types"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3e1d57da7554107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11" w:rsidRDefault="0014081F" w:rsidP="0024176B">
      <w:pPr>
        <w:pStyle w:val="Heading1"/>
        <w:numPr>
          <w:ilvl w:val="0"/>
          <w:numId w:val="0"/>
        </w:numPr>
      </w:pPr>
      <w:bookmarkStart w:id="0" w:name="_Toc444271238"/>
      <w:r>
        <w:t>Appendix R</w:t>
      </w:r>
      <w:r w:rsidR="0024176B" w:rsidRPr="0024176B">
        <w:t xml:space="preserve">: </w:t>
      </w:r>
      <w:bookmarkEnd w:id="0"/>
      <w:r w:rsidR="002B3D17">
        <w:t>Health econ</w:t>
      </w:r>
      <w:r w:rsidR="002B3D17" w:rsidRPr="002B3D17">
        <w:t>o</w:t>
      </w:r>
      <w:r w:rsidR="0065441D">
        <w:t>m</w:t>
      </w:r>
      <w:r w:rsidR="002B3D17" w:rsidRPr="002B3D17">
        <w:t>ic evidence –</w:t>
      </w:r>
      <w:r w:rsidR="00251281">
        <w:t xml:space="preserve"> </w:t>
      </w:r>
      <w:bookmarkStart w:id="1" w:name="_GoBack"/>
      <w:bookmarkEnd w:id="1"/>
      <w:r w:rsidR="002B3D17" w:rsidRPr="002B3D17">
        <w:t xml:space="preserve">evidence </w:t>
      </w:r>
      <w:r w:rsidR="001C782C">
        <w:t>tables</w:t>
      </w:r>
    </w:p>
    <w:p w:rsidR="003604F6" w:rsidRDefault="00F84FAE" w:rsidP="00F84FAE">
      <w:pPr>
        <w:pStyle w:val="SubHeadUnnumbered"/>
        <w:rPr>
          <w:noProof/>
        </w:rPr>
      </w:pPr>
      <w:r>
        <w:rPr>
          <w:rFonts w:eastAsiaTheme="minorEastAsia"/>
          <w:noProof/>
          <w:lang w:eastAsia="en-GB"/>
        </w:rPr>
        <w:fldChar w:fldCharType="begin"/>
      </w:r>
      <w:r>
        <w:instrText xml:space="preserve"> TOC \o "2-3" \h \z \t "Heading 1,1,~SecHeadNonToc,1,~AppSubHead,1,~AppLevel4Head,1" </w:instrText>
      </w:r>
      <w:r>
        <w:rPr>
          <w:rFonts w:eastAsiaTheme="minorEastAsia"/>
          <w:noProof/>
          <w:lang w:eastAsia="en-GB"/>
        </w:rPr>
        <w:fldChar w:fldCharType="separate"/>
      </w:r>
    </w:p>
    <w:p w:rsidR="003604F6" w:rsidRDefault="003604F6">
      <w:pPr>
        <w:pStyle w:val="TOC1"/>
        <w:rPr>
          <w:b w:val="0"/>
        </w:rPr>
      </w:pPr>
      <w:hyperlink w:anchor="_Toc444271239" w:history="1">
        <w:r w:rsidRPr="00C771B3">
          <w:rPr>
            <w:rStyle w:val="Hyperlink"/>
            <w:rFonts w:asciiTheme="majorHAnsi" w:hAnsiTheme="majorHAnsi" w:cstheme="majorHAnsi"/>
          </w:rPr>
          <w:t>R.1</w:t>
        </w:r>
        <w:r>
          <w:rPr>
            <w:b w:val="0"/>
          </w:rPr>
          <w:tab/>
        </w:r>
        <w:r w:rsidRPr="00C771B3">
          <w:rPr>
            <w:rStyle w:val="Hyperlink"/>
          </w:rPr>
          <w:t>Psychological and psychosocial interventions to prevent, treat and manage mental health problems in people with learning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_Toc444271239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604F6" w:rsidRDefault="003604F6">
      <w:pPr>
        <w:pStyle w:val="TOC1"/>
        <w:rPr>
          <w:b w:val="0"/>
        </w:rPr>
      </w:pPr>
      <w:hyperlink w:anchor="_Toc444271240" w:history="1">
        <w:r w:rsidRPr="00C771B3">
          <w:rPr>
            <w:rStyle w:val="Hyperlink"/>
            <w:rFonts w:asciiTheme="majorHAnsi" w:hAnsiTheme="majorHAnsi" w:cstheme="majorHAnsi"/>
          </w:rPr>
          <w:t>R.2</w:t>
        </w:r>
        <w:r>
          <w:rPr>
            <w:b w:val="0"/>
          </w:rPr>
          <w:tab/>
        </w:r>
        <w:r w:rsidRPr="00C771B3">
          <w:rPr>
            <w:rStyle w:val="Hyperlink"/>
          </w:rPr>
          <w:t>Other interventions to prevent, treat and manage mental health problems in people with learning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_Toc444271240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84FAE" w:rsidRDefault="00F84FAE" w:rsidP="00F84FAE">
      <w:pPr>
        <w:pStyle w:val="NoSpacing"/>
      </w:pPr>
      <w:r>
        <w:fldChar w:fldCharType="end"/>
      </w:r>
    </w:p>
    <w:p w:rsidR="00F84FAE" w:rsidRDefault="00F84FAE" w:rsidP="00F84FAE">
      <w:pPr>
        <w:pStyle w:val="SubHeadUnnumbered"/>
      </w:pPr>
      <w:r>
        <w:t>Abbreviations</w:t>
      </w:r>
    </w:p>
    <w:p w:rsidR="00EC0664" w:rsidRDefault="00EC0664" w:rsidP="00F84FAE">
      <w:pPr>
        <w:pStyle w:val="NoSpacing"/>
      </w:pPr>
      <w:r>
        <w:t>A&amp;E</w:t>
      </w:r>
      <w:r>
        <w:tab/>
      </w:r>
      <w:r>
        <w:tab/>
        <w:t>accident and emergency</w:t>
      </w:r>
    </w:p>
    <w:p w:rsidR="005573F4" w:rsidRDefault="005573F4" w:rsidP="00F84FAE">
      <w:pPr>
        <w:pStyle w:val="NoSpacing"/>
      </w:pPr>
      <w:r w:rsidRPr="005573F4">
        <w:t>BAI-Y</w:t>
      </w:r>
      <w:r>
        <w:tab/>
      </w:r>
      <w:r>
        <w:tab/>
        <w:t>Beck Anxiety Inventory-Youth</w:t>
      </w:r>
    </w:p>
    <w:p w:rsidR="005573F4" w:rsidRDefault="005573F4" w:rsidP="00F84FAE">
      <w:pPr>
        <w:pStyle w:val="NoSpacing"/>
      </w:pPr>
      <w:r w:rsidRPr="005573F4">
        <w:t>BDI-Y</w:t>
      </w:r>
      <w:r>
        <w:tab/>
      </w:r>
      <w:r>
        <w:tab/>
        <w:t>Beck Depression Inventory-Youth</w:t>
      </w:r>
    </w:p>
    <w:p w:rsidR="00A45D27" w:rsidRDefault="00A45D27" w:rsidP="00F84FAE">
      <w:pPr>
        <w:pStyle w:val="NoSpacing"/>
      </w:pPr>
      <w:r>
        <w:t>CBLD</w:t>
      </w:r>
      <w:r>
        <w:tab/>
      </w:r>
      <w:r>
        <w:tab/>
        <w:t>challenging behaviour and learning disabilities</w:t>
      </w:r>
    </w:p>
    <w:p w:rsidR="00F84FAE" w:rsidRPr="00EC0664" w:rsidRDefault="00F84FAE" w:rsidP="00F84FAE">
      <w:pPr>
        <w:pStyle w:val="NoSpacing"/>
      </w:pPr>
      <w:r w:rsidRPr="00EC0664">
        <w:t>CBT</w:t>
      </w:r>
      <w:r w:rsidRPr="00EC0664">
        <w:tab/>
      </w:r>
      <w:r w:rsidRPr="00EC0664">
        <w:tab/>
        <w:t>cognitive behavioural therapy</w:t>
      </w:r>
    </w:p>
    <w:p w:rsidR="00F84FAE" w:rsidRPr="00EC0664" w:rsidRDefault="00F84FAE" w:rsidP="00F84FAE">
      <w:pPr>
        <w:pStyle w:val="NoSpacing"/>
      </w:pPr>
      <w:r w:rsidRPr="00EC0664">
        <w:t>CI</w:t>
      </w:r>
      <w:r w:rsidRPr="00EC0664">
        <w:tab/>
      </w:r>
      <w:r w:rsidRPr="00EC0664">
        <w:tab/>
        <w:t>confidence interval</w:t>
      </w:r>
    </w:p>
    <w:p w:rsidR="00F84FAE" w:rsidRPr="00EC0664" w:rsidRDefault="00F84FAE" w:rsidP="00F84FAE">
      <w:pPr>
        <w:pStyle w:val="NoSpacing"/>
      </w:pPr>
      <w:r w:rsidRPr="00EC0664">
        <w:t>GP</w:t>
      </w:r>
      <w:r w:rsidRPr="00EC0664">
        <w:tab/>
      </w:r>
      <w:r w:rsidRPr="00EC0664">
        <w:tab/>
        <w:t>general practitioner</w:t>
      </w:r>
    </w:p>
    <w:p w:rsidR="00F84FAE" w:rsidRPr="005573F4" w:rsidRDefault="00F84FAE" w:rsidP="00F84FAE">
      <w:pPr>
        <w:pStyle w:val="NoSpacing"/>
      </w:pPr>
      <w:r w:rsidRPr="005573F4">
        <w:t xml:space="preserve">HCI </w:t>
      </w:r>
      <w:r w:rsidRPr="005573F4">
        <w:tab/>
      </w:r>
      <w:r w:rsidRPr="005573F4">
        <w:tab/>
        <w:t xml:space="preserve">health-check intervention </w:t>
      </w:r>
    </w:p>
    <w:p w:rsidR="000C5038" w:rsidRPr="005573F4" w:rsidRDefault="000C5038" w:rsidP="00F84FAE">
      <w:pPr>
        <w:pStyle w:val="NoSpacing"/>
      </w:pPr>
      <w:r w:rsidRPr="005573F4">
        <w:t>HD</w:t>
      </w:r>
      <w:r w:rsidRPr="005573F4">
        <w:tab/>
      </w:r>
      <w:r w:rsidRPr="005573F4">
        <w:tab/>
        <w:t>health diary</w:t>
      </w:r>
    </w:p>
    <w:p w:rsidR="00F84FAE" w:rsidRPr="005573F4" w:rsidRDefault="005573F4" w:rsidP="00F84FAE">
      <w:pPr>
        <w:pStyle w:val="NoSpacing"/>
      </w:pPr>
      <w:r w:rsidRPr="005573F4">
        <w:t>N</w:t>
      </w:r>
      <w:r w:rsidRPr="005573F4">
        <w:tab/>
      </w:r>
      <w:r w:rsidRPr="005573F4">
        <w:tab/>
      </w:r>
      <w:r w:rsidR="00EC0664" w:rsidRPr="005573F4">
        <w:t>number of participants</w:t>
      </w:r>
    </w:p>
    <w:p w:rsidR="00F84FAE" w:rsidRPr="00EC0664" w:rsidRDefault="00F84FAE" w:rsidP="00F84FAE">
      <w:pPr>
        <w:pStyle w:val="NoSpacing"/>
      </w:pPr>
      <w:r w:rsidRPr="005573F4">
        <w:t>NHS</w:t>
      </w:r>
      <w:r w:rsidRPr="005573F4">
        <w:tab/>
      </w:r>
      <w:r w:rsidRPr="005573F4">
        <w:tab/>
        <w:t>National</w:t>
      </w:r>
      <w:r w:rsidRPr="00EC0664">
        <w:t xml:space="preserve"> Health Service</w:t>
      </w:r>
    </w:p>
    <w:p w:rsidR="005573F4" w:rsidRDefault="005573F4" w:rsidP="00F84FAE">
      <w:pPr>
        <w:pStyle w:val="NoSpacing"/>
      </w:pPr>
      <w:r>
        <w:t>PSA</w:t>
      </w:r>
      <w:r>
        <w:tab/>
      </w:r>
      <w:r>
        <w:tab/>
        <w:t>probabilistic sensitivity analysis</w:t>
      </w:r>
    </w:p>
    <w:p w:rsidR="00796828" w:rsidRDefault="00796828" w:rsidP="00F84FAE">
      <w:pPr>
        <w:pStyle w:val="NoSpacing"/>
      </w:pPr>
      <w:r>
        <w:t>PT</w:t>
      </w:r>
      <w:r>
        <w:tab/>
      </w:r>
      <w:r>
        <w:tab/>
        <w:t>parent training</w:t>
      </w:r>
    </w:p>
    <w:p w:rsidR="005573F4" w:rsidRDefault="005573F4" w:rsidP="00F84FAE">
      <w:pPr>
        <w:pStyle w:val="NoSpacing"/>
      </w:pPr>
      <w:r>
        <w:t>QALY</w:t>
      </w:r>
      <w:r>
        <w:tab/>
      </w:r>
      <w:r>
        <w:tab/>
        <w:t>quality-adjusted life year</w:t>
      </w:r>
    </w:p>
    <w:p w:rsidR="00F84FAE" w:rsidRPr="00EC0664" w:rsidRDefault="00F84FAE" w:rsidP="00F84FAE">
      <w:pPr>
        <w:pStyle w:val="NoSpacing"/>
      </w:pPr>
      <w:r w:rsidRPr="00EC0664">
        <w:t>RCT</w:t>
      </w:r>
      <w:r w:rsidRPr="00EC0664">
        <w:tab/>
      </w:r>
      <w:r w:rsidRPr="00EC0664">
        <w:tab/>
        <w:t>randomised controlled trial</w:t>
      </w:r>
    </w:p>
    <w:p w:rsidR="00F84FAE" w:rsidRPr="00EC0664" w:rsidRDefault="00F84FAE" w:rsidP="00F84FAE">
      <w:pPr>
        <w:pStyle w:val="NoSpacing"/>
      </w:pPr>
      <w:r w:rsidRPr="00EC0664">
        <w:t>SD</w:t>
      </w:r>
      <w:r w:rsidRPr="00EC0664">
        <w:tab/>
      </w:r>
      <w:r w:rsidRPr="00EC0664">
        <w:tab/>
        <w:t>standard deviation</w:t>
      </w:r>
    </w:p>
    <w:p w:rsidR="00796828" w:rsidRDefault="00F84FAE" w:rsidP="006D398E">
      <w:pPr>
        <w:pStyle w:val="NoSpacing"/>
      </w:pPr>
      <w:r w:rsidRPr="006D398E">
        <w:t>TAU</w:t>
      </w:r>
      <w:r w:rsidRPr="006D398E">
        <w:tab/>
      </w:r>
      <w:r w:rsidRPr="006D398E">
        <w:tab/>
        <w:t>treatment as usual</w:t>
      </w:r>
    </w:p>
    <w:p w:rsidR="00F84FAE" w:rsidRPr="006D398E" w:rsidRDefault="00796828" w:rsidP="006D398E">
      <w:pPr>
        <w:pStyle w:val="NoSpacing"/>
      </w:pPr>
      <w:r>
        <w:t>WL</w:t>
      </w:r>
      <w:r>
        <w:tab/>
      </w:r>
      <w:r>
        <w:tab/>
        <w:t>wait list</w:t>
      </w:r>
      <w:r w:rsidR="00F84FAE">
        <w:br w:type="page"/>
      </w:r>
    </w:p>
    <w:p w:rsidR="00C32121" w:rsidRDefault="00970FAD" w:rsidP="0014081F">
      <w:pPr>
        <w:pStyle w:val="AppSubHead"/>
      </w:pPr>
      <w:bookmarkStart w:id="2" w:name="_Toc444271239"/>
      <w:r w:rsidRPr="00970FAD">
        <w:lastRenderedPageBreak/>
        <w:t>Psychological and psychosocial interventions to prevent, treat and manage mental health problems in people with learning disabilities</w:t>
      </w:r>
      <w:bookmarkEnd w:id="2"/>
    </w:p>
    <w:p w:rsidR="00C32121" w:rsidRDefault="00C32121" w:rsidP="00962125">
      <w:pPr>
        <w:pStyle w:val="AppMinorSubHead"/>
      </w:pPr>
      <w:r w:rsidRPr="008D2919">
        <w:t>Psycho</w:t>
      </w:r>
      <w:r w:rsidR="00970FAD">
        <w:t>logical</w:t>
      </w:r>
      <w:r w:rsidRPr="008D2919">
        <w:t xml:space="preserve"> interventions</w:t>
      </w:r>
      <w:r w:rsidR="00962125" w:rsidRPr="00962125">
        <w:t xml:space="preserve"> aimed at reducing and managing mental health problems in people with learning disabilities</w:t>
      </w:r>
      <w:r w:rsidRPr="008D2919">
        <w:t xml:space="preserve"> </w:t>
      </w:r>
      <w:r w:rsidR="009401CF">
        <w:t>- reference to included studies</w:t>
      </w:r>
    </w:p>
    <w:p w:rsidR="009401CF" w:rsidRDefault="009401CF" w:rsidP="00C32121">
      <w:pPr>
        <w:spacing w:before="0"/>
      </w:pPr>
    </w:p>
    <w:p w:rsidR="009401CF" w:rsidRDefault="009401CF" w:rsidP="009401CF">
      <w:pPr>
        <w:pStyle w:val="ListParagraph"/>
        <w:numPr>
          <w:ilvl w:val="0"/>
          <w:numId w:val="19"/>
        </w:numPr>
        <w:spacing w:before="0"/>
        <w:ind w:left="284" w:hanging="284"/>
      </w:pPr>
      <w:r w:rsidRPr="009401CF">
        <w:t>NICE guideline. Challenging behaviour and learning disabilities: Prevention and interventions for people with learning disabilities wh</w:t>
      </w:r>
      <w:r>
        <w:t>ose behaviour challenges (2015)</w:t>
      </w:r>
    </w:p>
    <w:p w:rsidR="00C32121" w:rsidRDefault="00C32121" w:rsidP="009401CF">
      <w:pPr>
        <w:pStyle w:val="ListParagraph"/>
        <w:numPr>
          <w:ilvl w:val="0"/>
          <w:numId w:val="19"/>
        </w:numPr>
        <w:spacing w:before="0"/>
        <w:ind w:left="284" w:hanging="284"/>
      </w:pPr>
      <w:proofErr w:type="spellStart"/>
      <w:r w:rsidRPr="0014081F">
        <w:rPr>
          <w:lang w:val="fr-FR"/>
        </w:rPr>
        <w:t>Hassiotis</w:t>
      </w:r>
      <w:proofErr w:type="spellEnd"/>
      <w:r w:rsidRPr="0014081F">
        <w:rPr>
          <w:lang w:val="fr-FR"/>
        </w:rPr>
        <w:t xml:space="preserve"> A, </w:t>
      </w:r>
      <w:proofErr w:type="spellStart"/>
      <w:r w:rsidRPr="0014081F">
        <w:rPr>
          <w:lang w:val="fr-FR"/>
        </w:rPr>
        <w:t>Serfaty</w:t>
      </w:r>
      <w:proofErr w:type="spellEnd"/>
      <w:r w:rsidRPr="0014081F">
        <w:rPr>
          <w:lang w:val="fr-FR"/>
        </w:rPr>
        <w:t xml:space="preserve"> M, Azam K, </w:t>
      </w:r>
      <w:r w:rsidR="00970FAD" w:rsidRPr="0014081F">
        <w:rPr>
          <w:lang w:val="fr-FR"/>
        </w:rPr>
        <w:t>et al.</w:t>
      </w:r>
      <w:r w:rsidRPr="0014081F">
        <w:rPr>
          <w:lang w:val="fr-FR"/>
        </w:rPr>
        <w:t xml:space="preserve"> </w:t>
      </w:r>
      <w:r w:rsidRPr="001D5114">
        <w:t>(2013) Manualised Individual Cognitive Behavioural Therapy for mood disorders in people with mild to moderate intellectual disability: A feasibility randomised controlled trial. Journal of Affective Disorders 151</w:t>
      </w:r>
      <w:r>
        <w:t>,</w:t>
      </w:r>
      <w:r w:rsidRPr="001D5114">
        <w:t xml:space="preserve"> 186-195.</w:t>
      </w:r>
    </w:p>
    <w:p w:rsidR="00774179" w:rsidRDefault="00774179">
      <w:pPr>
        <w:spacing w:before="0" w:after="100"/>
        <w:ind w:left="1304" w:hanging="567"/>
        <w:rPr>
          <w:rFonts w:cstheme="minorHAnsi"/>
        </w:rPr>
      </w:pPr>
      <w:r>
        <w:rPr>
          <w:rFonts w:cstheme="minorHAnsi"/>
        </w:rPr>
        <w:br w:type="page"/>
      </w:r>
    </w:p>
    <w:p w:rsidR="00970FAD" w:rsidRDefault="00970FAD" w:rsidP="00C32121">
      <w:pPr>
        <w:spacing w:before="0"/>
        <w:rPr>
          <w:rFonts w:cstheme="minorHAnsi"/>
        </w:rPr>
      </w:pPr>
    </w:p>
    <w:tbl>
      <w:tblPr>
        <w:tblW w:w="14057" w:type="dxa"/>
        <w:tblInd w:w="108" w:type="dxa"/>
        <w:tblBorders>
          <w:top w:val="single" w:sz="6" w:space="0" w:color="FFFFFF"/>
          <w:bottom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665"/>
        <w:gridCol w:w="1771"/>
        <w:gridCol w:w="2835"/>
        <w:gridCol w:w="3686"/>
        <w:gridCol w:w="2050"/>
        <w:gridCol w:w="2050"/>
      </w:tblGrid>
      <w:tr w:rsidR="00774179" w:rsidRPr="0024176B" w:rsidTr="00CE476C">
        <w:trPr>
          <w:tblHeader/>
        </w:trPr>
        <w:tc>
          <w:tcPr>
            <w:tcW w:w="1665" w:type="dxa"/>
            <w:shd w:val="clear" w:color="auto" w:fill="FDC74E"/>
            <w:vAlign w:val="bottom"/>
          </w:tcPr>
          <w:p w:rsidR="00774179" w:rsidRPr="0024176B" w:rsidRDefault="00774179" w:rsidP="00CB361C">
            <w:pPr>
              <w:pStyle w:val="TableHeadingLeft"/>
            </w:pPr>
            <w:r w:rsidRPr="0024176B">
              <w:t>Study</w:t>
            </w:r>
          </w:p>
          <w:p w:rsidR="00774179" w:rsidRPr="0024176B" w:rsidRDefault="00774179" w:rsidP="00CB361C">
            <w:pPr>
              <w:pStyle w:val="TableHeadingLeft"/>
            </w:pPr>
            <w:r w:rsidRPr="0024176B">
              <w:t>Country</w:t>
            </w:r>
          </w:p>
          <w:p w:rsidR="00774179" w:rsidRPr="0024176B" w:rsidRDefault="00774179" w:rsidP="00CB361C">
            <w:pPr>
              <w:pStyle w:val="TableHeadingLeft"/>
            </w:pPr>
            <w:r w:rsidRPr="0024176B">
              <w:t>Study type</w:t>
            </w:r>
          </w:p>
        </w:tc>
        <w:tc>
          <w:tcPr>
            <w:tcW w:w="1771" w:type="dxa"/>
            <w:shd w:val="clear" w:color="auto" w:fill="FDC74E"/>
            <w:vAlign w:val="bottom"/>
          </w:tcPr>
          <w:p w:rsidR="00774179" w:rsidRPr="0024176B" w:rsidRDefault="00774179" w:rsidP="00CB361C">
            <w:pPr>
              <w:pStyle w:val="TableHeadingLeft"/>
            </w:pPr>
            <w:r w:rsidRPr="0024176B">
              <w:t>Intervention details</w:t>
            </w:r>
          </w:p>
        </w:tc>
        <w:tc>
          <w:tcPr>
            <w:tcW w:w="2835" w:type="dxa"/>
            <w:shd w:val="clear" w:color="auto" w:fill="FDC74E"/>
            <w:vAlign w:val="bottom"/>
          </w:tcPr>
          <w:p w:rsidR="00774179" w:rsidRPr="0024176B" w:rsidRDefault="00774179" w:rsidP="00CB361C">
            <w:pPr>
              <w:pStyle w:val="TableHeadingLeft"/>
            </w:pPr>
            <w:r w:rsidRPr="0024176B">
              <w:t>Study population</w:t>
            </w:r>
          </w:p>
          <w:p w:rsidR="00774179" w:rsidRPr="0024176B" w:rsidRDefault="00774179" w:rsidP="00CB361C">
            <w:pPr>
              <w:pStyle w:val="TableHeadingLeft"/>
            </w:pPr>
            <w:r w:rsidRPr="0024176B">
              <w:t>Study design</w:t>
            </w:r>
          </w:p>
          <w:p w:rsidR="00774179" w:rsidRPr="0024176B" w:rsidRDefault="00774179" w:rsidP="00CB361C">
            <w:pPr>
              <w:pStyle w:val="TableHeadingLeft"/>
            </w:pPr>
            <w:r w:rsidRPr="0024176B">
              <w:t>Data sources</w:t>
            </w:r>
          </w:p>
        </w:tc>
        <w:tc>
          <w:tcPr>
            <w:tcW w:w="3686" w:type="dxa"/>
            <w:shd w:val="clear" w:color="auto" w:fill="FDC74E"/>
            <w:vAlign w:val="bottom"/>
          </w:tcPr>
          <w:p w:rsidR="00774179" w:rsidRPr="0024176B" w:rsidRDefault="00774179" w:rsidP="00CB361C">
            <w:pPr>
              <w:pStyle w:val="TableHeadingLeft"/>
            </w:pPr>
            <w:r w:rsidRPr="0024176B">
              <w:t>Costs: description and values</w:t>
            </w:r>
          </w:p>
          <w:p w:rsidR="00774179" w:rsidRPr="0024176B" w:rsidRDefault="00774179" w:rsidP="00CB361C">
            <w:pPr>
              <w:pStyle w:val="TableHeadingLeft"/>
            </w:pPr>
            <w:r w:rsidRPr="0024176B">
              <w:t>Outcomes: description and values</w:t>
            </w:r>
          </w:p>
        </w:tc>
        <w:tc>
          <w:tcPr>
            <w:tcW w:w="2050" w:type="dxa"/>
            <w:shd w:val="clear" w:color="auto" w:fill="FDC74E"/>
            <w:vAlign w:val="bottom"/>
          </w:tcPr>
          <w:p w:rsidR="00774179" w:rsidRPr="0024176B" w:rsidRDefault="00774179" w:rsidP="00CB361C">
            <w:pPr>
              <w:pStyle w:val="TableHeadingLeft"/>
            </w:pPr>
            <w:r w:rsidRPr="0024176B">
              <w:t>Results: Cost-effectiveness</w:t>
            </w:r>
          </w:p>
        </w:tc>
        <w:tc>
          <w:tcPr>
            <w:tcW w:w="2050" w:type="dxa"/>
            <w:shd w:val="clear" w:color="auto" w:fill="FDC74E"/>
            <w:vAlign w:val="bottom"/>
          </w:tcPr>
          <w:p w:rsidR="00774179" w:rsidRPr="0024176B" w:rsidRDefault="00774179" w:rsidP="00CB361C">
            <w:pPr>
              <w:pStyle w:val="TableHeadingLeft"/>
            </w:pPr>
            <w:r w:rsidRPr="0024176B">
              <w:t>Comments</w:t>
            </w:r>
          </w:p>
          <w:p w:rsidR="00774179" w:rsidRPr="0024176B" w:rsidRDefault="00774179" w:rsidP="00CB361C">
            <w:pPr>
              <w:pStyle w:val="TableHeadingLeft"/>
            </w:pPr>
          </w:p>
        </w:tc>
      </w:tr>
      <w:tr w:rsidR="00774179" w:rsidRPr="0024176B" w:rsidTr="00CE476C">
        <w:tc>
          <w:tcPr>
            <w:tcW w:w="1665" w:type="dxa"/>
            <w:shd w:val="clear" w:color="auto" w:fill="E6E6E6"/>
          </w:tcPr>
          <w:p w:rsidR="00774179" w:rsidRPr="00796828" w:rsidRDefault="00774179" w:rsidP="00CB361C">
            <w:pPr>
              <w:pStyle w:val="TableTextLeft"/>
            </w:pPr>
            <w:r w:rsidRPr="00796828">
              <w:t>NICE CBLD guideline, 2015</w:t>
            </w:r>
          </w:p>
          <w:p w:rsidR="00774179" w:rsidRPr="00796828" w:rsidRDefault="00774179" w:rsidP="00CB361C">
            <w:pPr>
              <w:pStyle w:val="TableTextLeft"/>
            </w:pPr>
          </w:p>
          <w:p w:rsidR="00774179" w:rsidRPr="00796828" w:rsidRDefault="00774179" w:rsidP="00CB361C">
            <w:pPr>
              <w:pStyle w:val="TableTextLeft"/>
            </w:pPr>
            <w:r w:rsidRPr="00796828">
              <w:t>UK</w:t>
            </w:r>
          </w:p>
          <w:p w:rsidR="00774179" w:rsidRPr="00796828" w:rsidRDefault="00774179" w:rsidP="00CB361C">
            <w:pPr>
              <w:pStyle w:val="TableTextLeft"/>
            </w:pPr>
          </w:p>
          <w:p w:rsidR="00774179" w:rsidRPr="00796828" w:rsidRDefault="00774179" w:rsidP="00CB361C">
            <w:pPr>
              <w:pStyle w:val="TableTextLeft"/>
            </w:pPr>
            <w:r w:rsidRPr="00796828">
              <w:t>Cost-utility analysis</w:t>
            </w:r>
          </w:p>
        </w:tc>
        <w:tc>
          <w:tcPr>
            <w:tcW w:w="1771" w:type="dxa"/>
            <w:shd w:val="clear" w:color="auto" w:fill="E6E6E6"/>
          </w:tcPr>
          <w:p w:rsidR="00774179" w:rsidRPr="00796828" w:rsidRDefault="00774179" w:rsidP="00CB361C">
            <w:pPr>
              <w:pStyle w:val="TableTextLeft"/>
              <w:rPr>
                <w:u w:val="single"/>
              </w:rPr>
            </w:pPr>
            <w:r w:rsidRPr="00796828">
              <w:rPr>
                <w:u w:val="single"/>
              </w:rPr>
              <w:t>Interventions:</w:t>
            </w:r>
          </w:p>
          <w:p w:rsidR="00774179" w:rsidRPr="00796828" w:rsidRDefault="00774179" w:rsidP="00CB361C">
            <w:pPr>
              <w:pStyle w:val="TableTextLeft"/>
            </w:pPr>
          </w:p>
          <w:p w:rsidR="00774179" w:rsidRPr="00796828" w:rsidRDefault="00774179" w:rsidP="00CB361C">
            <w:pPr>
              <w:pStyle w:val="TableTextLeft"/>
            </w:pPr>
            <w:r w:rsidRPr="00796828">
              <w:t>Parent training (PT)</w:t>
            </w:r>
          </w:p>
          <w:p w:rsidR="00774179" w:rsidRPr="00796828" w:rsidRDefault="00774179" w:rsidP="00CB361C">
            <w:pPr>
              <w:pStyle w:val="TableTextLeft"/>
            </w:pPr>
          </w:p>
          <w:p w:rsidR="00774179" w:rsidRPr="00796828" w:rsidRDefault="00774179" w:rsidP="00CB361C">
            <w:pPr>
              <w:pStyle w:val="TableTextLeft"/>
            </w:pPr>
            <w:r w:rsidRPr="00796828">
              <w:t>Wait list (WL)</w:t>
            </w:r>
          </w:p>
        </w:tc>
        <w:tc>
          <w:tcPr>
            <w:tcW w:w="2835" w:type="dxa"/>
            <w:shd w:val="clear" w:color="auto" w:fill="E6E6E6"/>
          </w:tcPr>
          <w:p w:rsidR="00774179" w:rsidRPr="00ED45DD" w:rsidRDefault="00774179" w:rsidP="00CB361C">
            <w:pPr>
              <w:pStyle w:val="TableTextLeft"/>
            </w:pPr>
            <w:r w:rsidRPr="00ED45DD">
              <w:t>Children and young people with learning disabilities and behaviour that challenges</w:t>
            </w:r>
          </w:p>
          <w:p w:rsidR="00774179" w:rsidRPr="00ED45DD" w:rsidRDefault="00774179" w:rsidP="00CB361C">
            <w:pPr>
              <w:pStyle w:val="TableTextLeft"/>
            </w:pPr>
            <w:r w:rsidRPr="00ED45DD">
              <w:t xml:space="preserve"> </w:t>
            </w:r>
          </w:p>
          <w:p w:rsidR="00774179" w:rsidRPr="00ED45DD" w:rsidRDefault="00774179" w:rsidP="00CB361C">
            <w:pPr>
              <w:pStyle w:val="TableTextLeft"/>
            </w:pPr>
            <w:r w:rsidRPr="00ED45DD">
              <w:t>Decision-analytic modelling</w:t>
            </w:r>
          </w:p>
          <w:p w:rsidR="00774179" w:rsidRPr="00ED45DD" w:rsidRDefault="00774179" w:rsidP="00CB361C">
            <w:pPr>
              <w:pStyle w:val="TableTextLeft"/>
            </w:pPr>
          </w:p>
          <w:p w:rsidR="00774179" w:rsidRPr="00ED45DD" w:rsidRDefault="00774179" w:rsidP="00CB361C">
            <w:pPr>
              <w:pStyle w:val="TableTextLeft"/>
            </w:pPr>
            <w:r w:rsidRPr="00ED45DD">
              <w:rPr>
                <w:u w:val="single"/>
              </w:rPr>
              <w:t>Source of clinical effectiveness data:</w:t>
            </w:r>
            <w:r w:rsidRPr="00ED45DD">
              <w:t xml:space="preserve"> CBLD guideline meta-analysis</w:t>
            </w:r>
          </w:p>
          <w:p w:rsidR="00774179" w:rsidRPr="00ED45DD" w:rsidRDefault="00774179" w:rsidP="00CB361C">
            <w:pPr>
              <w:pStyle w:val="TableTextLeft"/>
            </w:pPr>
          </w:p>
          <w:p w:rsidR="00774179" w:rsidRPr="00ED45DD" w:rsidRDefault="00774179" w:rsidP="00CB361C">
            <w:pPr>
              <w:pStyle w:val="TableTextLeft"/>
            </w:pPr>
            <w:r w:rsidRPr="00ED45DD">
              <w:rPr>
                <w:u w:val="single"/>
              </w:rPr>
              <w:t>Source of resource use data:</w:t>
            </w:r>
            <w:r w:rsidRPr="00ED45DD">
              <w:t xml:space="preserve"> RCT-reported data &amp; assumptions</w:t>
            </w:r>
          </w:p>
          <w:p w:rsidR="00774179" w:rsidRPr="00ED45DD" w:rsidRDefault="00774179" w:rsidP="00CB361C">
            <w:pPr>
              <w:pStyle w:val="TableTextLeft"/>
            </w:pPr>
          </w:p>
          <w:p w:rsidR="00774179" w:rsidRPr="00ED45DD" w:rsidRDefault="00774179" w:rsidP="00CB361C">
            <w:pPr>
              <w:pStyle w:val="TableTextLeft"/>
            </w:pPr>
            <w:r w:rsidRPr="00ED45DD">
              <w:rPr>
                <w:u w:val="single"/>
              </w:rPr>
              <w:t>Source of unit costs:</w:t>
            </w:r>
            <w:r w:rsidRPr="00ED45DD">
              <w:t xml:space="preserve"> national unit costs</w:t>
            </w:r>
          </w:p>
        </w:tc>
        <w:tc>
          <w:tcPr>
            <w:tcW w:w="3686" w:type="dxa"/>
            <w:shd w:val="clear" w:color="auto" w:fill="E6E6E6"/>
          </w:tcPr>
          <w:p w:rsidR="00774179" w:rsidRPr="00ED45DD" w:rsidRDefault="00774179" w:rsidP="00CB361C">
            <w:pPr>
              <w:pStyle w:val="TableTextLeft"/>
            </w:pPr>
            <w:r w:rsidRPr="00ED45DD">
              <w:rPr>
                <w:u w:val="single"/>
              </w:rPr>
              <w:t>Costs:</w:t>
            </w:r>
            <w:r w:rsidR="00ED45DD" w:rsidRPr="00ED45DD">
              <w:t xml:space="preserve"> intervention (PT)</w:t>
            </w:r>
          </w:p>
          <w:p w:rsidR="00A45D27" w:rsidRPr="00ED45DD" w:rsidRDefault="00A45D27" w:rsidP="00CB361C">
            <w:pPr>
              <w:pStyle w:val="TableTextLeft"/>
              <w:rPr>
                <w:u w:val="single"/>
              </w:rPr>
            </w:pPr>
          </w:p>
          <w:p w:rsidR="00774179" w:rsidRPr="00ED45DD" w:rsidRDefault="00ED45DD" w:rsidP="00CB361C">
            <w:pPr>
              <w:pStyle w:val="TableTextLeft"/>
              <w:rPr>
                <w:u w:val="single"/>
              </w:rPr>
            </w:pPr>
            <w:r w:rsidRPr="00ED45DD">
              <w:rPr>
                <w:u w:val="single"/>
              </w:rPr>
              <w:t>Total cost</w:t>
            </w:r>
            <w:r w:rsidR="00774179" w:rsidRPr="00ED45DD">
              <w:rPr>
                <w:u w:val="single"/>
              </w:rPr>
              <w:t xml:space="preserve"> per </w:t>
            </w:r>
            <w:r w:rsidRPr="00ED45DD">
              <w:rPr>
                <w:u w:val="single"/>
              </w:rPr>
              <w:t>100 families</w:t>
            </w:r>
            <w:r w:rsidR="00774179" w:rsidRPr="00ED45DD">
              <w:rPr>
                <w:u w:val="single"/>
              </w:rPr>
              <w:t>:</w:t>
            </w:r>
          </w:p>
          <w:p w:rsidR="00ED45DD" w:rsidRPr="00ED45DD" w:rsidRDefault="00ED45DD" w:rsidP="00CB361C">
            <w:pPr>
              <w:pStyle w:val="TableTextLeft"/>
            </w:pPr>
            <w:r w:rsidRPr="00ED45DD">
              <w:t>PT: £36,219</w:t>
            </w:r>
          </w:p>
          <w:p w:rsidR="00ED45DD" w:rsidRPr="00ED45DD" w:rsidRDefault="00ED45DD" w:rsidP="00CB361C">
            <w:pPr>
              <w:pStyle w:val="TableTextLeft"/>
              <w:rPr>
                <w:u w:val="single"/>
              </w:rPr>
            </w:pPr>
            <w:r w:rsidRPr="00ED45DD">
              <w:t>WL: £0</w:t>
            </w:r>
          </w:p>
          <w:p w:rsidR="00774179" w:rsidRPr="00ED45DD" w:rsidRDefault="00774179" w:rsidP="00ED45DD">
            <w:pPr>
              <w:pStyle w:val="TableTextLeft"/>
            </w:pPr>
            <w:r w:rsidRPr="00ED45DD">
              <w:t xml:space="preserve">Cost difference: </w:t>
            </w:r>
            <w:r w:rsidR="00ED45DD" w:rsidRPr="00ED45DD">
              <w:t>£36,219</w:t>
            </w:r>
            <w:r w:rsidR="00ED45DD" w:rsidRPr="00ED45DD">
              <w:tab/>
            </w:r>
          </w:p>
          <w:p w:rsidR="00774179" w:rsidRPr="00ED45DD" w:rsidRDefault="00774179" w:rsidP="00CB361C">
            <w:pPr>
              <w:pStyle w:val="TableTextLeft"/>
            </w:pPr>
          </w:p>
          <w:p w:rsidR="00774179" w:rsidRPr="00ED45DD" w:rsidRDefault="00774179" w:rsidP="00CB361C">
            <w:pPr>
              <w:pStyle w:val="TableTextLeft"/>
            </w:pPr>
            <w:r w:rsidRPr="00ED45DD">
              <w:rPr>
                <w:u w:val="single"/>
              </w:rPr>
              <w:t>Primary measure of outcome:</w:t>
            </w:r>
            <w:r w:rsidRPr="00ED45DD">
              <w:t xml:space="preserve"> </w:t>
            </w:r>
            <w:r w:rsidR="00ED45DD" w:rsidRPr="00ED45DD">
              <w:t>QALY</w:t>
            </w:r>
          </w:p>
          <w:p w:rsidR="00ED45DD" w:rsidRPr="00ED45DD" w:rsidRDefault="00ED45DD" w:rsidP="00CB361C">
            <w:pPr>
              <w:pStyle w:val="TableTextLeft"/>
            </w:pPr>
          </w:p>
          <w:p w:rsidR="00774179" w:rsidRPr="00ED45DD" w:rsidRDefault="00774179" w:rsidP="00CB361C">
            <w:pPr>
              <w:pStyle w:val="TableTextLeft"/>
              <w:rPr>
                <w:u w:val="single"/>
              </w:rPr>
            </w:pPr>
            <w:r w:rsidRPr="00ED45DD">
              <w:rPr>
                <w:u w:val="single"/>
              </w:rPr>
              <w:t xml:space="preserve">Mean </w:t>
            </w:r>
            <w:r w:rsidR="00ED45DD" w:rsidRPr="00ED45DD">
              <w:rPr>
                <w:u w:val="single"/>
              </w:rPr>
              <w:t>number of children and young people’s QALYs per 100 families:</w:t>
            </w:r>
          </w:p>
          <w:p w:rsidR="00ED45DD" w:rsidRPr="00ED45DD" w:rsidRDefault="00ED45DD" w:rsidP="00ED45DD">
            <w:pPr>
              <w:pStyle w:val="TableTextLeft"/>
            </w:pPr>
            <w:r w:rsidRPr="00ED45DD">
              <w:t>PT: 79.28</w:t>
            </w:r>
          </w:p>
          <w:p w:rsidR="00ED45DD" w:rsidRPr="00ED45DD" w:rsidRDefault="00ED45DD" w:rsidP="00ED45DD">
            <w:pPr>
              <w:pStyle w:val="TableTextLeft"/>
            </w:pPr>
            <w:r w:rsidRPr="00ED45DD">
              <w:t>WL: 77.94</w:t>
            </w:r>
          </w:p>
          <w:p w:rsidR="00ED45DD" w:rsidRPr="00ED45DD" w:rsidRDefault="00ED45DD" w:rsidP="00ED45DD">
            <w:pPr>
              <w:pStyle w:val="TableTextLeft"/>
            </w:pPr>
            <w:r w:rsidRPr="00ED45DD">
              <w:t>Difference in QALYs: 1.33</w:t>
            </w:r>
          </w:p>
          <w:p w:rsidR="00774179" w:rsidRPr="00ED45DD" w:rsidRDefault="00774179" w:rsidP="00CB361C">
            <w:pPr>
              <w:pStyle w:val="TableTextLeft"/>
            </w:pPr>
          </w:p>
        </w:tc>
        <w:tc>
          <w:tcPr>
            <w:tcW w:w="2050" w:type="dxa"/>
            <w:shd w:val="clear" w:color="auto" w:fill="E6E6E6"/>
          </w:tcPr>
          <w:p w:rsidR="00ED45DD" w:rsidRDefault="00ED45DD" w:rsidP="00ED45DD">
            <w:pPr>
              <w:pStyle w:val="TableTextLeft"/>
            </w:pPr>
            <w:r w:rsidRPr="00ED45DD">
              <w:t>ICER PT vs. WL: £27,148/QALY</w:t>
            </w:r>
          </w:p>
          <w:p w:rsidR="00ED45DD" w:rsidRDefault="00ED45DD" w:rsidP="00ED45DD">
            <w:pPr>
              <w:pStyle w:val="TableTextLeft"/>
            </w:pPr>
          </w:p>
          <w:p w:rsidR="00ED45DD" w:rsidRDefault="00ED45DD" w:rsidP="00ED45DD">
            <w:pPr>
              <w:pStyle w:val="TableTextLeft"/>
            </w:pPr>
            <w:r>
              <w:t>Probability of PT being cost-effective at £20,000 and £30,000/QALY: 0.43 and 0.52, respectively</w:t>
            </w:r>
          </w:p>
          <w:p w:rsidR="00ED45DD" w:rsidRDefault="00455F8F" w:rsidP="00ED45DD">
            <w:pPr>
              <w:pStyle w:val="TableTextLeft"/>
            </w:pPr>
            <w:r>
              <w:t xml:space="preserve">One-way sensitivity analysis: </w:t>
            </w:r>
            <w:r w:rsidR="00ED45DD">
              <w:t xml:space="preserve">Reducing relapse for parent training:  </w:t>
            </w:r>
            <w:r>
              <w:t xml:space="preserve">ICER </w:t>
            </w:r>
            <w:r w:rsidR="00ED45DD">
              <w:t xml:space="preserve">£23,767/QALY </w:t>
            </w:r>
          </w:p>
          <w:p w:rsidR="00ED45DD" w:rsidRDefault="00ED45DD" w:rsidP="00ED45DD">
            <w:pPr>
              <w:pStyle w:val="TableTextLeft"/>
            </w:pPr>
            <w:r>
              <w:t xml:space="preserve">Severe challenging behaviour at baseline: </w:t>
            </w:r>
          </w:p>
          <w:p w:rsidR="00ED45DD" w:rsidRPr="00ED45DD" w:rsidRDefault="00455F8F" w:rsidP="00ED45DD">
            <w:pPr>
              <w:pStyle w:val="TableTextLeft"/>
            </w:pPr>
            <w:r>
              <w:t xml:space="preserve">ICER </w:t>
            </w:r>
            <w:r w:rsidR="00ED45DD">
              <w:t>£14,805/QALY</w:t>
            </w:r>
          </w:p>
          <w:p w:rsidR="00774179" w:rsidRPr="00ED45DD" w:rsidRDefault="00ED45DD" w:rsidP="00ED45DD">
            <w:pPr>
              <w:pStyle w:val="TableTextLeft"/>
            </w:pPr>
            <w:r w:rsidRPr="00ED45DD">
              <w:tab/>
            </w:r>
          </w:p>
        </w:tc>
        <w:tc>
          <w:tcPr>
            <w:tcW w:w="2050" w:type="dxa"/>
            <w:shd w:val="clear" w:color="auto" w:fill="E6E6E6"/>
          </w:tcPr>
          <w:p w:rsidR="00774179" w:rsidRPr="00ED45DD" w:rsidRDefault="00774179" w:rsidP="00CB361C">
            <w:pPr>
              <w:pStyle w:val="TableTextLeft"/>
            </w:pPr>
            <w:r w:rsidRPr="00ED45DD">
              <w:rPr>
                <w:u w:val="single"/>
              </w:rPr>
              <w:t>Perspective</w:t>
            </w:r>
            <w:r w:rsidRPr="00ED45DD">
              <w:t xml:space="preserve">: NHS and </w:t>
            </w:r>
            <w:r w:rsidR="00ED45DD" w:rsidRPr="00ED45DD">
              <w:t>PSS</w:t>
            </w:r>
            <w:r w:rsidRPr="00ED45DD">
              <w:t xml:space="preserve"> </w:t>
            </w:r>
          </w:p>
          <w:p w:rsidR="00774179" w:rsidRPr="00ED45DD" w:rsidRDefault="00774179" w:rsidP="00CB361C">
            <w:pPr>
              <w:pStyle w:val="TableTextLeft"/>
            </w:pPr>
            <w:r w:rsidRPr="00ED45DD">
              <w:rPr>
                <w:u w:val="single"/>
              </w:rPr>
              <w:t>Currency</w:t>
            </w:r>
            <w:r w:rsidRPr="00ED45DD">
              <w:t>: GB£</w:t>
            </w:r>
          </w:p>
          <w:p w:rsidR="00774179" w:rsidRPr="00ED45DD" w:rsidRDefault="00774179" w:rsidP="00CB361C">
            <w:pPr>
              <w:pStyle w:val="TableTextLeft"/>
            </w:pPr>
            <w:r w:rsidRPr="00ED45DD">
              <w:rPr>
                <w:u w:val="single"/>
              </w:rPr>
              <w:t>Cost year</w:t>
            </w:r>
            <w:r w:rsidR="00ED45DD" w:rsidRPr="00ED45DD">
              <w:t>: 2013</w:t>
            </w:r>
          </w:p>
          <w:p w:rsidR="00774179" w:rsidRPr="00ED45DD" w:rsidRDefault="00774179" w:rsidP="00CB361C">
            <w:pPr>
              <w:pStyle w:val="TableTextLeft"/>
            </w:pPr>
            <w:r w:rsidRPr="00ED45DD">
              <w:rPr>
                <w:u w:val="single"/>
              </w:rPr>
              <w:t>Time horizon</w:t>
            </w:r>
            <w:r w:rsidR="00ED45DD" w:rsidRPr="00ED45DD">
              <w:t xml:space="preserve">: </w:t>
            </w:r>
            <w:r w:rsidRPr="00ED45DD">
              <w:t>6</w:t>
            </w:r>
            <w:r w:rsidR="00ED45DD" w:rsidRPr="00ED45DD">
              <w:t>1</w:t>
            </w:r>
            <w:r w:rsidRPr="00ED45DD">
              <w:t xml:space="preserve"> weeks </w:t>
            </w:r>
          </w:p>
          <w:p w:rsidR="00774179" w:rsidRPr="00ED45DD" w:rsidRDefault="00774179" w:rsidP="00CB361C">
            <w:pPr>
              <w:pStyle w:val="TableTextLeft"/>
            </w:pPr>
            <w:r w:rsidRPr="00ED45DD">
              <w:rPr>
                <w:u w:val="single"/>
              </w:rPr>
              <w:t>Discounting</w:t>
            </w:r>
            <w:r w:rsidRPr="00ED45DD">
              <w:t>: not needed</w:t>
            </w:r>
          </w:p>
          <w:p w:rsidR="00774179" w:rsidRPr="00ED45DD" w:rsidRDefault="00774179" w:rsidP="00CB361C">
            <w:pPr>
              <w:pStyle w:val="TableTextLeft"/>
            </w:pPr>
            <w:r w:rsidRPr="00ED45DD">
              <w:rPr>
                <w:u w:val="single"/>
              </w:rPr>
              <w:t>Applicability</w:t>
            </w:r>
            <w:r w:rsidRPr="00ED45DD">
              <w:t>: partially applicable</w:t>
            </w:r>
          </w:p>
          <w:p w:rsidR="00774179" w:rsidRPr="00ED45DD" w:rsidRDefault="00774179" w:rsidP="00CB361C">
            <w:pPr>
              <w:pStyle w:val="TableTextLeft"/>
            </w:pPr>
            <w:r w:rsidRPr="00ED45DD">
              <w:rPr>
                <w:u w:val="single"/>
              </w:rPr>
              <w:t>Quality</w:t>
            </w:r>
            <w:r w:rsidRPr="00ED45DD">
              <w:t xml:space="preserve">: </w:t>
            </w:r>
            <w:r w:rsidR="00ED45DD" w:rsidRPr="00ED45DD">
              <w:t>potentially serious</w:t>
            </w:r>
            <w:r w:rsidRPr="00ED45DD">
              <w:t xml:space="preserve"> limitations</w:t>
            </w:r>
          </w:p>
          <w:p w:rsidR="00774179" w:rsidRPr="00ED45DD" w:rsidRDefault="00774179" w:rsidP="00CB361C">
            <w:pPr>
              <w:pStyle w:val="TableTextLeft"/>
            </w:pPr>
          </w:p>
        </w:tc>
      </w:tr>
    </w:tbl>
    <w:p w:rsidR="00774179" w:rsidRDefault="00774179" w:rsidP="00C32121">
      <w:pPr>
        <w:spacing w:before="0"/>
        <w:rPr>
          <w:rFonts w:cstheme="minorHAnsi"/>
        </w:rPr>
      </w:pPr>
    </w:p>
    <w:p w:rsidR="00774179" w:rsidRDefault="00774179">
      <w:pPr>
        <w:spacing w:before="0" w:after="100"/>
        <w:ind w:left="1304" w:hanging="567"/>
        <w:rPr>
          <w:rFonts w:cstheme="minorHAnsi"/>
        </w:rPr>
      </w:pPr>
      <w:r>
        <w:rPr>
          <w:rFonts w:cstheme="minorHAnsi"/>
        </w:rPr>
        <w:br w:type="page"/>
      </w:r>
    </w:p>
    <w:p w:rsidR="00774179" w:rsidRDefault="00774179" w:rsidP="00C32121">
      <w:pPr>
        <w:spacing w:before="0"/>
        <w:rPr>
          <w:rFonts w:cstheme="minorHAnsi"/>
        </w:rPr>
      </w:pPr>
    </w:p>
    <w:p w:rsidR="00774179" w:rsidRDefault="00774179" w:rsidP="00C32121">
      <w:pPr>
        <w:spacing w:before="0"/>
        <w:rPr>
          <w:rFonts w:cstheme="minorHAnsi"/>
        </w:rPr>
      </w:pPr>
    </w:p>
    <w:tbl>
      <w:tblPr>
        <w:tblW w:w="14448" w:type="dxa"/>
        <w:tblInd w:w="108" w:type="dxa"/>
        <w:tblBorders>
          <w:top w:val="single" w:sz="6" w:space="0" w:color="FFFFFF"/>
          <w:bottom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665"/>
        <w:gridCol w:w="1771"/>
        <w:gridCol w:w="2268"/>
        <w:gridCol w:w="4612"/>
        <w:gridCol w:w="1843"/>
        <w:gridCol w:w="2289"/>
      </w:tblGrid>
      <w:tr w:rsidR="00774179" w:rsidRPr="0024176B" w:rsidTr="00CB361C">
        <w:trPr>
          <w:tblHeader/>
        </w:trPr>
        <w:tc>
          <w:tcPr>
            <w:tcW w:w="1665" w:type="dxa"/>
            <w:shd w:val="clear" w:color="auto" w:fill="FDC74E"/>
            <w:vAlign w:val="bottom"/>
          </w:tcPr>
          <w:p w:rsidR="00774179" w:rsidRPr="0024176B" w:rsidRDefault="00774179" w:rsidP="00CB361C">
            <w:pPr>
              <w:pStyle w:val="TableHeadingLeft"/>
            </w:pPr>
            <w:r w:rsidRPr="0024176B">
              <w:t>Study</w:t>
            </w:r>
          </w:p>
          <w:p w:rsidR="00774179" w:rsidRPr="0024176B" w:rsidRDefault="00774179" w:rsidP="00CB361C">
            <w:pPr>
              <w:pStyle w:val="TableHeadingLeft"/>
            </w:pPr>
            <w:r w:rsidRPr="0024176B">
              <w:t>Country</w:t>
            </w:r>
          </w:p>
          <w:p w:rsidR="00774179" w:rsidRPr="0024176B" w:rsidRDefault="00774179" w:rsidP="00CB361C">
            <w:pPr>
              <w:pStyle w:val="TableHeadingLeft"/>
            </w:pPr>
            <w:r w:rsidRPr="0024176B">
              <w:t>Study type</w:t>
            </w:r>
          </w:p>
        </w:tc>
        <w:tc>
          <w:tcPr>
            <w:tcW w:w="1771" w:type="dxa"/>
            <w:shd w:val="clear" w:color="auto" w:fill="FDC74E"/>
            <w:vAlign w:val="bottom"/>
          </w:tcPr>
          <w:p w:rsidR="00774179" w:rsidRPr="0024176B" w:rsidRDefault="00774179" w:rsidP="00CB361C">
            <w:pPr>
              <w:pStyle w:val="TableHeadingLeft"/>
            </w:pPr>
            <w:r w:rsidRPr="0024176B">
              <w:t>Intervention details</w:t>
            </w:r>
          </w:p>
        </w:tc>
        <w:tc>
          <w:tcPr>
            <w:tcW w:w="2268" w:type="dxa"/>
            <w:shd w:val="clear" w:color="auto" w:fill="FDC74E"/>
            <w:vAlign w:val="bottom"/>
          </w:tcPr>
          <w:p w:rsidR="00774179" w:rsidRPr="0024176B" w:rsidRDefault="00774179" w:rsidP="00CB361C">
            <w:pPr>
              <w:pStyle w:val="TableHeadingLeft"/>
            </w:pPr>
            <w:r w:rsidRPr="0024176B">
              <w:t>Study population</w:t>
            </w:r>
          </w:p>
          <w:p w:rsidR="00774179" w:rsidRPr="0024176B" w:rsidRDefault="00774179" w:rsidP="00CB361C">
            <w:pPr>
              <w:pStyle w:val="TableHeadingLeft"/>
            </w:pPr>
            <w:r w:rsidRPr="0024176B">
              <w:t>Study design</w:t>
            </w:r>
          </w:p>
          <w:p w:rsidR="00774179" w:rsidRPr="0024176B" w:rsidRDefault="00774179" w:rsidP="00CB361C">
            <w:pPr>
              <w:pStyle w:val="TableHeadingLeft"/>
            </w:pPr>
            <w:r w:rsidRPr="0024176B">
              <w:t>Data sources</w:t>
            </w:r>
          </w:p>
        </w:tc>
        <w:tc>
          <w:tcPr>
            <w:tcW w:w="4612" w:type="dxa"/>
            <w:shd w:val="clear" w:color="auto" w:fill="FDC74E"/>
            <w:vAlign w:val="bottom"/>
          </w:tcPr>
          <w:p w:rsidR="00774179" w:rsidRPr="0024176B" w:rsidRDefault="00774179" w:rsidP="00CB361C">
            <w:pPr>
              <w:pStyle w:val="TableHeadingLeft"/>
            </w:pPr>
            <w:r w:rsidRPr="0024176B">
              <w:t>Costs: description and values</w:t>
            </w:r>
          </w:p>
          <w:p w:rsidR="00774179" w:rsidRPr="0024176B" w:rsidRDefault="00774179" w:rsidP="00CB361C">
            <w:pPr>
              <w:pStyle w:val="TableHeadingLeft"/>
            </w:pPr>
            <w:r w:rsidRPr="0024176B">
              <w:t>Outcomes: description and values</w:t>
            </w:r>
          </w:p>
        </w:tc>
        <w:tc>
          <w:tcPr>
            <w:tcW w:w="1843" w:type="dxa"/>
            <w:shd w:val="clear" w:color="auto" w:fill="FDC74E"/>
            <w:vAlign w:val="bottom"/>
          </w:tcPr>
          <w:p w:rsidR="00774179" w:rsidRPr="0024176B" w:rsidRDefault="00774179" w:rsidP="00CB361C">
            <w:pPr>
              <w:pStyle w:val="TableHeadingLeft"/>
            </w:pPr>
            <w:r w:rsidRPr="0024176B">
              <w:t>Results: Cost-effectiveness</w:t>
            </w:r>
          </w:p>
        </w:tc>
        <w:tc>
          <w:tcPr>
            <w:tcW w:w="2289" w:type="dxa"/>
            <w:shd w:val="clear" w:color="auto" w:fill="FDC74E"/>
            <w:vAlign w:val="bottom"/>
          </w:tcPr>
          <w:p w:rsidR="00774179" w:rsidRPr="0024176B" w:rsidRDefault="00774179" w:rsidP="00CB361C">
            <w:pPr>
              <w:pStyle w:val="TableHeadingLeft"/>
            </w:pPr>
            <w:r w:rsidRPr="0024176B">
              <w:t>Comments</w:t>
            </w:r>
          </w:p>
          <w:p w:rsidR="00774179" w:rsidRPr="0024176B" w:rsidRDefault="00774179" w:rsidP="00CB361C">
            <w:pPr>
              <w:pStyle w:val="TableHeadingLeft"/>
            </w:pPr>
          </w:p>
        </w:tc>
      </w:tr>
      <w:tr w:rsidR="00774179" w:rsidRPr="0024176B" w:rsidTr="00CB361C">
        <w:tc>
          <w:tcPr>
            <w:tcW w:w="1665" w:type="dxa"/>
            <w:shd w:val="clear" w:color="auto" w:fill="E6E6E6"/>
          </w:tcPr>
          <w:p w:rsidR="00774179" w:rsidRPr="00BB435F" w:rsidRDefault="00774179" w:rsidP="00CB361C">
            <w:pPr>
              <w:pStyle w:val="TableTextLeft"/>
            </w:pPr>
            <w:proofErr w:type="spellStart"/>
            <w:r w:rsidRPr="00BB435F">
              <w:t>Hassiotis</w:t>
            </w:r>
            <w:proofErr w:type="spellEnd"/>
            <w:r w:rsidRPr="00BB435F">
              <w:t xml:space="preserve"> </w:t>
            </w:r>
            <w:r w:rsidRPr="00BB435F">
              <w:rPr>
                <w:i/>
              </w:rPr>
              <w:t>et al.</w:t>
            </w:r>
            <w:r w:rsidRPr="00BB435F">
              <w:t>, 2013</w:t>
            </w:r>
          </w:p>
          <w:p w:rsidR="00774179" w:rsidRPr="00BB435F" w:rsidRDefault="00774179" w:rsidP="00CB361C">
            <w:pPr>
              <w:pStyle w:val="TableTextLeft"/>
            </w:pPr>
          </w:p>
          <w:p w:rsidR="00774179" w:rsidRPr="00BB435F" w:rsidRDefault="00774179" w:rsidP="00CB361C">
            <w:pPr>
              <w:pStyle w:val="TableTextLeft"/>
            </w:pPr>
            <w:r w:rsidRPr="00BB435F">
              <w:t>UK</w:t>
            </w:r>
          </w:p>
          <w:p w:rsidR="00774179" w:rsidRPr="00BB435F" w:rsidRDefault="00774179" w:rsidP="00CB361C">
            <w:pPr>
              <w:pStyle w:val="TableTextLeft"/>
            </w:pPr>
          </w:p>
          <w:p w:rsidR="00774179" w:rsidRPr="00BB435F" w:rsidRDefault="00774179" w:rsidP="00CB361C">
            <w:pPr>
              <w:pStyle w:val="TableTextLeft"/>
            </w:pPr>
            <w:r w:rsidRPr="00BB435F">
              <w:t>Cost effectiveness analysis</w:t>
            </w:r>
          </w:p>
        </w:tc>
        <w:tc>
          <w:tcPr>
            <w:tcW w:w="1771" w:type="dxa"/>
            <w:shd w:val="clear" w:color="auto" w:fill="E6E6E6"/>
          </w:tcPr>
          <w:p w:rsidR="00774179" w:rsidRPr="00BB435F" w:rsidRDefault="00774179" w:rsidP="00CB361C">
            <w:pPr>
              <w:pStyle w:val="TableTextLeft"/>
              <w:rPr>
                <w:u w:val="single"/>
              </w:rPr>
            </w:pPr>
            <w:r w:rsidRPr="00BB435F">
              <w:rPr>
                <w:u w:val="single"/>
              </w:rPr>
              <w:t>Interventions:</w:t>
            </w:r>
          </w:p>
          <w:p w:rsidR="00774179" w:rsidRPr="00BB435F" w:rsidRDefault="00774179" w:rsidP="00CB361C">
            <w:pPr>
              <w:pStyle w:val="TableTextLeft"/>
            </w:pPr>
          </w:p>
          <w:p w:rsidR="00774179" w:rsidRPr="00BB435F" w:rsidRDefault="00774179" w:rsidP="00CB361C">
            <w:pPr>
              <w:pStyle w:val="TableTextLeft"/>
            </w:pPr>
            <w:r w:rsidRPr="00BB435F">
              <w:t>Manualised individual cognitive behavioural therapy (CBT) consisting of 16 weekly 1hour sessions in addition to treatment as usual</w:t>
            </w:r>
          </w:p>
          <w:p w:rsidR="00774179" w:rsidRPr="00BB435F" w:rsidRDefault="00774179" w:rsidP="00CB361C">
            <w:pPr>
              <w:pStyle w:val="TableTextLeft"/>
            </w:pPr>
          </w:p>
          <w:p w:rsidR="00774179" w:rsidRPr="00BB435F" w:rsidRDefault="00774179" w:rsidP="00CB361C">
            <w:pPr>
              <w:pStyle w:val="TableTextLeft"/>
            </w:pPr>
            <w:r>
              <w:t>Treatment as usual</w:t>
            </w:r>
            <w:r w:rsidRPr="00BB435F">
              <w:t xml:space="preserve"> (TAU)</w:t>
            </w:r>
          </w:p>
        </w:tc>
        <w:tc>
          <w:tcPr>
            <w:tcW w:w="2268" w:type="dxa"/>
            <w:shd w:val="clear" w:color="auto" w:fill="E6E6E6"/>
          </w:tcPr>
          <w:p w:rsidR="00774179" w:rsidRPr="00BB435F" w:rsidRDefault="00774179" w:rsidP="00CB361C">
            <w:pPr>
              <w:pStyle w:val="TableTextLeft"/>
            </w:pPr>
            <w:r w:rsidRPr="00BB435F">
              <w:t xml:space="preserve">Adults with mild to moderate learning disability experiencing a mood disorder or symptoms of depression and /or anxiety </w:t>
            </w:r>
          </w:p>
          <w:p w:rsidR="00774179" w:rsidRPr="00BB435F" w:rsidRDefault="00774179" w:rsidP="00CB361C">
            <w:pPr>
              <w:pStyle w:val="TableTextLeft"/>
            </w:pPr>
            <w:r w:rsidRPr="00BB435F">
              <w:t xml:space="preserve"> </w:t>
            </w:r>
          </w:p>
          <w:p w:rsidR="00774179" w:rsidRPr="00BB435F" w:rsidRDefault="00774179" w:rsidP="00CB361C">
            <w:pPr>
              <w:pStyle w:val="TableTextLeft"/>
            </w:pPr>
            <w:proofErr w:type="spellStart"/>
            <w:r w:rsidRPr="00BB435F">
              <w:t>RCT</w:t>
            </w:r>
            <w:proofErr w:type="spellEnd"/>
            <w:r w:rsidR="00D500E1">
              <w:t xml:space="preserve"> (</w:t>
            </w:r>
            <w:proofErr w:type="spellStart"/>
            <w:r w:rsidR="00D500E1">
              <w:t>Hassiotis</w:t>
            </w:r>
            <w:proofErr w:type="spellEnd"/>
            <w:r w:rsidR="00D500E1">
              <w:t xml:space="preserve"> 2013)</w:t>
            </w:r>
          </w:p>
          <w:p w:rsidR="00774179" w:rsidRPr="00BB435F" w:rsidRDefault="00774179" w:rsidP="00CB361C">
            <w:pPr>
              <w:pStyle w:val="TableTextLeft"/>
            </w:pPr>
          </w:p>
          <w:p w:rsidR="00774179" w:rsidRPr="00BB435F" w:rsidRDefault="00774179" w:rsidP="00CB361C">
            <w:pPr>
              <w:pStyle w:val="TableTextLeft"/>
            </w:pPr>
            <w:r w:rsidRPr="00BB435F">
              <w:rPr>
                <w:u w:val="single"/>
              </w:rPr>
              <w:t>Source of clinical effectiveness data:</w:t>
            </w:r>
            <w:r w:rsidRPr="00BB435F">
              <w:t xml:space="preserve"> RCT (N=32)</w:t>
            </w:r>
          </w:p>
          <w:p w:rsidR="00774179" w:rsidRPr="00BB435F" w:rsidRDefault="00774179" w:rsidP="00CB361C">
            <w:pPr>
              <w:pStyle w:val="TableTextLeft"/>
            </w:pPr>
          </w:p>
          <w:p w:rsidR="00774179" w:rsidRPr="00BB435F" w:rsidRDefault="00774179" w:rsidP="00CB361C">
            <w:pPr>
              <w:pStyle w:val="TableTextLeft"/>
            </w:pPr>
            <w:r w:rsidRPr="00BB435F">
              <w:rPr>
                <w:u w:val="single"/>
              </w:rPr>
              <w:t>Source of resource use data:</w:t>
            </w:r>
            <w:r w:rsidRPr="00BB435F">
              <w:t xml:space="preserve"> RCT (N=32)</w:t>
            </w:r>
          </w:p>
          <w:p w:rsidR="00774179" w:rsidRPr="00BB435F" w:rsidRDefault="00774179" w:rsidP="00CB361C">
            <w:pPr>
              <w:pStyle w:val="TableTextLeft"/>
            </w:pPr>
          </w:p>
          <w:p w:rsidR="00774179" w:rsidRPr="00BB435F" w:rsidRDefault="00774179" w:rsidP="00CB361C">
            <w:pPr>
              <w:pStyle w:val="TableTextLeft"/>
            </w:pPr>
            <w:r w:rsidRPr="00BB435F">
              <w:rPr>
                <w:u w:val="single"/>
              </w:rPr>
              <w:t>Source of unit costs:</w:t>
            </w:r>
            <w:r w:rsidRPr="00BB435F">
              <w:t xml:space="preserve"> national unit costs</w:t>
            </w:r>
          </w:p>
        </w:tc>
        <w:tc>
          <w:tcPr>
            <w:tcW w:w="4612" w:type="dxa"/>
            <w:shd w:val="clear" w:color="auto" w:fill="E6E6E6"/>
          </w:tcPr>
          <w:p w:rsidR="00774179" w:rsidRPr="00BB435F" w:rsidRDefault="00774179" w:rsidP="00CB361C">
            <w:pPr>
              <w:pStyle w:val="TableTextLeft"/>
            </w:pPr>
            <w:r w:rsidRPr="00BB435F">
              <w:rPr>
                <w:u w:val="single"/>
              </w:rPr>
              <w:t>Costs:</w:t>
            </w:r>
            <w:r w:rsidRPr="00BB435F">
              <w:t xml:space="preserve"> intervention (CBT), inpatient and outpatient care, emergency visits, community care, day care, paid care.</w:t>
            </w:r>
          </w:p>
          <w:p w:rsidR="00774179" w:rsidRPr="00970FAD" w:rsidRDefault="00774179" w:rsidP="00CB361C">
            <w:pPr>
              <w:pStyle w:val="TableTextLeft"/>
              <w:rPr>
                <w:u w:val="single"/>
              </w:rPr>
            </w:pPr>
            <w:r w:rsidRPr="00970FAD">
              <w:rPr>
                <w:u w:val="single"/>
              </w:rPr>
              <w:t>Total cost (SD) per person:</w:t>
            </w:r>
          </w:p>
          <w:p w:rsidR="00774179" w:rsidRPr="00BB435F" w:rsidRDefault="00774179" w:rsidP="00CB361C">
            <w:pPr>
              <w:pStyle w:val="TableTextLeft"/>
            </w:pPr>
            <w:r w:rsidRPr="00BB435F">
              <w:t>Before treatment:</w:t>
            </w:r>
          </w:p>
          <w:p w:rsidR="00774179" w:rsidRPr="00BB435F" w:rsidRDefault="00774179" w:rsidP="00CB361C">
            <w:pPr>
              <w:pStyle w:val="TableTextLeft"/>
            </w:pPr>
            <w:r w:rsidRPr="00BB435F">
              <w:t>CBT: £4,551 (£7,568)</w:t>
            </w:r>
            <w:r>
              <w:t xml:space="preserve">; </w:t>
            </w:r>
            <w:r w:rsidRPr="00BB435F">
              <w:t xml:space="preserve">TAU: £2,420 </w:t>
            </w:r>
            <w:r w:rsidRPr="00BB435F">
              <w:rPr>
                <w:lang w:eastAsia="en-GB"/>
              </w:rPr>
              <w:t>(£6,289)</w:t>
            </w:r>
          </w:p>
          <w:p w:rsidR="00774179" w:rsidRPr="00BB435F" w:rsidRDefault="00774179" w:rsidP="00CB361C">
            <w:pPr>
              <w:pStyle w:val="TableTextLeft"/>
            </w:pPr>
            <w:r w:rsidRPr="00BB435F">
              <w:t>Cost difference: £2,131</w:t>
            </w:r>
          </w:p>
          <w:p w:rsidR="00774179" w:rsidRPr="00BB435F" w:rsidRDefault="00774179" w:rsidP="00CB361C">
            <w:pPr>
              <w:pStyle w:val="TableTextLeft"/>
            </w:pPr>
            <w:r w:rsidRPr="00BB435F">
              <w:t>After treatment:</w:t>
            </w:r>
          </w:p>
          <w:p w:rsidR="00774179" w:rsidRPr="00BB435F" w:rsidRDefault="00774179" w:rsidP="00CB361C">
            <w:pPr>
              <w:pStyle w:val="TableTextLeft"/>
            </w:pPr>
            <w:r w:rsidRPr="00BB435F">
              <w:t>CBT:</w:t>
            </w:r>
            <w:r w:rsidRPr="00BB435F">
              <w:rPr>
                <w:lang w:eastAsia="en-GB"/>
              </w:rPr>
              <w:t xml:space="preserve"> </w:t>
            </w:r>
            <w:r w:rsidRPr="00BB435F">
              <w:t>£7,327 (£8,007)</w:t>
            </w:r>
            <w:r>
              <w:t xml:space="preserve">; </w:t>
            </w:r>
            <w:r w:rsidRPr="00BB435F">
              <w:t xml:space="preserve">TAU: £1,677 </w:t>
            </w:r>
            <w:r w:rsidRPr="00BB435F">
              <w:rPr>
                <w:lang w:eastAsia="en-GB"/>
              </w:rPr>
              <w:t>(£2</w:t>
            </w:r>
            <w:r>
              <w:rPr>
                <w:lang w:eastAsia="en-GB"/>
              </w:rPr>
              <w:t>,</w:t>
            </w:r>
            <w:r w:rsidRPr="00BB435F">
              <w:rPr>
                <w:lang w:eastAsia="en-GB"/>
              </w:rPr>
              <w:t>415)</w:t>
            </w:r>
          </w:p>
          <w:p w:rsidR="00774179" w:rsidRPr="00BB435F" w:rsidRDefault="00774179" w:rsidP="00CB361C">
            <w:pPr>
              <w:pStyle w:val="TableTextLeft"/>
            </w:pPr>
            <w:r w:rsidRPr="00BB435F">
              <w:t>Cost difference: £5,650</w:t>
            </w:r>
          </w:p>
          <w:p w:rsidR="00774179" w:rsidRPr="00BB435F" w:rsidRDefault="00774179" w:rsidP="00CB361C">
            <w:pPr>
              <w:pStyle w:val="TableTextLeft"/>
            </w:pPr>
          </w:p>
          <w:p w:rsidR="00774179" w:rsidRPr="00BB435F" w:rsidRDefault="00774179" w:rsidP="00CB361C">
            <w:pPr>
              <w:pStyle w:val="TableTextLeft"/>
            </w:pPr>
            <w:r w:rsidRPr="00BB435F">
              <w:rPr>
                <w:u w:val="single"/>
              </w:rPr>
              <w:t>Primary measure of outcome:</w:t>
            </w:r>
            <w:r w:rsidRPr="00BB435F">
              <w:t xml:space="preserve"> mean change in the Beck Depr</w:t>
            </w:r>
            <w:r w:rsidR="00D500E1">
              <w:t xml:space="preserve">ession Inventory-Youth (BDI-Y) </w:t>
            </w:r>
            <w:r w:rsidRPr="00BB435F">
              <w:t>and the Beck Anxiety Inventory-Y</w:t>
            </w:r>
            <w:r w:rsidR="00D500E1">
              <w:t xml:space="preserve">outh (BAI-Y) </w:t>
            </w:r>
            <w:r w:rsidRPr="00BB435F">
              <w:t>score from baseline to endpoint</w:t>
            </w:r>
          </w:p>
          <w:p w:rsidR="00774179" w:rsidRPr="00970FAD" w:rsidRDefault="00774179" w:rsidP="00CB361C">
            <w:pPr>
              <w:pStyle w:val="TableTextLeft"/>
              <w:rPr>
                <w:u w:val="single"/>
              </w:rPr>
            </w:pPr>
            <w:r w:rsidRPr="00970FAD">
              <w:rPr>
                <w:u w:val="single"/>
              </w:rPr>
              <w:t>Mean change (95%CI)</w:t>
            </w:r>
          </w:p>
          <w:p w:rsidR="00774179" w:rsidRPr="00BB435F" w:rsidRDefault="00774179" w:rsidP="00CB361C">
            <w:pPr>
              <w:pStyle w:val="TableTextLeft"/>
            </w:pPr>
            <w:r w:rsidRPr="00BB435F">
              <w:t>BDI-Y score: 0.10 (-8.56 to 8.76) favouring CBT</w:t>
            </w:r>
          </w:p>
          <w:p w:rsidR="00774179" w:rsidRPr="00BB435F" w:rsidRDefault="00774179" w:rsidP="00CB361C">
            <w:pPr>
              <w:pStyle w:val="TableTextLeft"/>
            </w:pPr>
            <w:r w:rsidRPr="00BB435F">
              <w:t>BAI-Y score: 2.42 (-5.27 to 10.12) favouring TAU</w:t>
            </w:r>
          </w:p>
        </w:tc>
        <w:tc>
          <w:tcPr>
            <w:tcW w:w="1843" w:type="dxa"/>
            <w:shd w:val="clear" w:color="auto" w:fill="E6E6E6"/>
          </w:tcPr>
          <w:p w:rsidR="00774179" w:rsidRPr="00BB435F" w:rsidRDefault="00774179" w:rsidP="00CB361C">
            <w:pPr>
              <w:pStyle w:val="TableTextLeft"/>
            </w:pPr>
            <w:r w:rsidRPr="00BB435F">
              <w:t>Unclear due to small number of participants &amp; high uncertainty in the results</w:t>
            </w:r>
          </w:p>
          <w:p w:rsidR="00774179" w:rsidRPr="00BB435F" w:rsidRDefault="00774179" w:rsidP="00CB361C">
            <w:pPr>
              <w:pStyle w:val="TableTextLeft"/>
            </w:pPr>
          </w:p>
        </w:tc>
        <w:tc>
          <w:tcPr>
            <w:tcW w:w="2289" w:type="dxa"/>
            <w:shd w:val="clear" w:color="auto" w:fill="E6E6E6"/>
          </w:tcPr>
          <w:p w:rsidR="00774179" w:rsidRPr="00BB435F" w:rsidRDefault="00774179" w:rsidP="00CB361C">
            <w:pPr>
              <w:pStyle w:val="TableTextLeft"/>
            </w:pPr>
            <w:r w:rsidRPr="00BB435F">
              <w:rPr>
                <w:u w:val="single"/>
              </w:rPr>
              <w:t>Perspective</w:t>
            </w:r>
            <w:r w:rsidRPr="00BB435F">
              <w:t xml:space="preserve">: </w:t>
            </w:r>
            <w:r>
              <w:t>NHS</w:t>
            </w:r>
            <w:r w:rsidRPr="00BB435F">
              <w:t xml:space="preserve"> and social care </w:t>
            </w:r>
          </w:p>
          <w:p w:rsidR="00774179" w:rsidRPr="00BB435F" w:rsidRDefault="00774179" w:rsidP="00CB361C">
            <w:pPr>
              <w:pStyle w:val="TableTextLeft"/>
            </w:pPr>
            <w:r w:rsidRPr="00BB435F">
              <w:rPr>
                <w:u w:val="single"/>
              </w:rPr>
              <w:t>Currency</w:t>
            </w:r>
            <w:r w:rsidRPr="00BB435F">
              <w:t>: GB£</w:t>
            </w:r>
          </w:p>
          <w:p w:rsidR="00774179" w:rsidRPr="00BB435F" w:rsidRDefault="00774179" w:rsidP="00CB361C">
            <w:pPr>
              <w:pStyle w:val="TableTextLeft"/>
            </w:pPr>
            <w:r w:rsidRPr="00BB435F">
              <w:rPr>
                <w:u w:val="single"/>
              </w:rPr>
              <w:t>Cost year</w:t>
            </w:r>
            <w:r w:rsidRPr="00BB435F">
              <w:t>: 2009/10</w:t>
            </w:r>
          </w:p>
          <w:p w:rsidR="00774179" w:rsidRPr="00BB435F" w:rsidRDefault="00774179" w:rsidP="00CB361C">
            <w:pPr>
              <w:pStyle w:val="TableTextLeft"/>
            </w:pPr>
            <w:r w:rsidRPr="00BB435F">
              <w:rPr>
                <w:u w:val="single"/>
              </w:rPr>
              <w:t>Time horizon</w:t>
            </w:r>
            <w:r w:rsidRPr="00BB435F">
              <w:t xml:space="preserve">: 16 weeks </w:t>
            </w:r>
          </w:p>
          <w:p w:rsidR="00774179" w:rsidRPr="00BB435F" w:rsidRDefault="00774179" w:rsidP="00CB361C">
            <w:pPr>
              <w:pStyle w:val="TableTextLeft"/>
            </w:pPr>
            <w:r w:rsidRPr="00BB435F">
              <w:rPr>
                <w:u w:val="single"/>
              </w:rPr>
              <w:t>Discounting</w:t>
            </w:r>
            <w:r w:rsidRPr="00BB435F">
              <w:t>: not needed</w:t>
            </w:r>
          </w:p>
          <w:p w:rsidR="00774179" w:rsidRPr="00BB435F" w:rsidRDefault="00774179" w:rsidP="00CB361C">
            <w:pPr>
              <w:pStyle w:val="TableTextLeft"/>
            </w:pPr>
            <w:r w:rsidRPr="00BB435F">
              <w:rPr>
                <w:u w:val="single"/>
              </w:rPr>
              <w:t>Applicability</w:t>
            </w:r>
            <w:r w:rsidRPr="00BB435F">
              <w:t>: partially applicable</w:t>
            </w:r>
          </w:p>
          <w:p w:rsidR="00774179" w:rsidRPr="00BB435F" w:rsidRDefault="00774179" w:rsidP="00CB361C">
            <w:pPr>
              <w:pStyle w:val="TableTextLeft"/>
            </w:pPr>
            <w:r w:rsidRPr="00BB435F">
              <w:rPr>
                <w:u w:val="single"/>
              </w:rPr>
              <w:t>Quality</w:t>
            </w:r>
            <w:r w:rsidRPr="00BB435F">
              <w:t>: very serious limitations</w:t>
            </w:r>
          </w:p>
          <w:p w:rsidR="00774179" w:rsidRPr="00BB435F" w:rsidRDefault="00774179" w:rsidP="00CB361C">
            <w:pPr>
              <w:pStyle w:val="TableTextLeft"/>
            </w:pPr>
          </w:p>
        </w:tc>
      </w:tr>
    </w:tbl>
    <w:p w:rsidR="00774179" w:rsidRDefault="00774179" w:rsidP="00C32121">
      <w:pPr>
        <w:spacing w:before="0"/>
        <w:rPr>
          <w:rFonts w:cstheme="minorHAnsi"/>
        </w:rPr>
      </w:pPr>
    </w:p>
    <w:p w:rsidR="00774179" w:rsidRDefault="00774179" w:rsidP="00C32121">
      <w:pPr>
        <w:spacing w:before="0"/>
        <w:rPr>
          <w:rFonts w:cstheme="minorHAnsi"/>
        </w:rPr>
      </w:pPr>
    </w:p>
    <w:p w:rsidR="00774179" w:rsidRPr="00BB435F" w:rsidRDefault="00774179" w:rsidP="00C32121">
      <w:pPr>
        <w:spacing w:before="0"/>
        <w:rPr>
          <w:rFonts w:cstheme="minorHAnsi"/>
        </w:rPr>
      </w:pPr>
    </w:p>
    <w:p w:rsidR="008D2919" w:rsidRPr="00962125" w:rsidRDefault="00962125" w:rsidP="00962125">
      <w:pPr>
        <w:pStyle w:val="AppSubHead"/>
      </w:pPr>
      <w:r>
        <w:br w:type="page"/>
      </w:r>
      <w:bookmarkStart w:id="3" w:name="_Toc444271240"/>
      <w:r w:rsidR="00970FAD" w:rsidRPr="00970FAD">
        <w:t>Other interventions to prevent, treat and manage mental health problems in people with learning disabilities</w:t>
      </w:r>
      <w:bookmarkEnd w:id="3"/>
    </w:p>
    <w:p w:rsidR="008D2919" w:rsidRPr="008D2919" w:rsidRDefault="00970FAD" w:rsidP="00962125">
      <w:pPr>
        <w:pStyle w:val="AppMinorSubHead"/>
      </w:pPr>
      <w:r>
        <w:t>Annual h</w:t>
      </w:r>
      <w:r w:rsidR="00E73946">
        <w:t xml:space="preserve">ealth </w:t>
      </w:r>
      <w:r>
        <w:t>checks</w:t>
      </w:r>
      <w:r w:rsidR="00E73946" w:rsidRPr="00E73946">
        <w:t xml:space="preserve"> </w:t>
      </w:r>
      <w:r w:rsidR="00962125" w:rsidRPr="00962125">
        <w:t xml:space="preserve">aimed at preventing mental health problems in people with learning disabilities </w:t>
      </w:r>
      <w:r w:rsidR="00E73946">
        <w:t>- r</w:t>
      </w:r>
      <w:r w:rsidR="008D2919" w:rsidRPr="008D2919">
        <w:t>eferences to included studies</w:t>
      </w:r>
    </w:p>
    <w:p w:rsidR="00E73946" w:rsidRDefault="00E73946" w:rsidP="00E73946">
      <w:pPr>
        <w:numPr>
          <w:ilvl w:val="0"/>
          <w:numId w:val="11"/>
        </w:numPr>
        <w:spacing w:before="0"/>
        <w:rPr>
          <w:rFonts w:cstheme="minorHAnsi"/>
        </w:rPr>
      </w:pPr>
      <w:r w:rsidRPr="00E73946">
        <w:rPr>
          <w:rFonts w:cstheme="minorHAnsi"/>
        </w:rPr>
        <w:t xml:space="preserve">Cooper S-A, Morrison J, Allan LM, </w:t>
      </w:r>
      <w:proofErr w:type="spellStart"/>
      <w:r w:rsidRPr="00E73946">
        <w:rPr>
          <w:rFonts w:cstheme="minorHAnsi"/>
        </w:rPr>
        <w:t>McConnachie</w:t>
      </w:r>
      <w:proofErr w:type="spellEnd"/>
      <w:r w:rsidRPr="00E73946">
        <w:rPr>
          <w:rFonts w:cstheme="minorHAnsi"/>
        </w:rPr>
        <w:t xml:space="preserve"> A, </w:t>
      </w:r>
      <w:proofErr w:type="spellStart"/>
      <w:r w:rsidRPr="00E73946">
        <w:rPr>
          <w:rFonts w:cstheme="minorHAnsi"/>
        </w:rPr>
        <w:t>Greenlaw</w:t>
      </w:r>
      <w:proofErr w:type="spellEnd"/>
      <w:r w:rsidRPr="00E73946">
        <w:rPr>
          <w:rFonts w:cstheme="minorHAnsi"/>
        </w:rPr>
        <w:t xml:space="preserve"> N, Melville CA, </w:t>
      </w:r>
      <w:proofErr w:type="spellStart"/>
      <w:r w:rsidRPr="00E73946">
        <w:rPr>
          <w:rFonts w:cstheme="minorHAnsi"/>
        </w:rPr>
        <w:t>Baltzer</w:t>
      </w:r>
      <w:proofErr w:type="spellEnd"/>
      <w:r w:rsidRPr="00E73946">
        <w:rPr>
          <w:rFonts w:cstheme="minorHAnsi"/>
        </w:rPr>
        <w:t xml:space="preserve"> MC, McArthur LA, </w:t>
      </w:r>
      <w:proofErr w:type="spellStart"/>
      <w:r w:rsidRPr="00E73946">
        <w:rPr>
          <w:rFonts w:cstheme="minorHAnsi"/>
        </w:rPr>
        <w:t>Lammie</w:t>
      </w:r>
      <w:proofErr w:type="spellEnd"/>
      <w:r w:rsidRPr="00E73946">
        <w:rPr>
          <w:rFonts w:cstheme="minorHAnsi"/>
        </w:rPr>
        <w:t xml:space="preserve"> C, Martin G, Grieve EAD, </w:t>
      </w:r>
      <w:proofErr w:type="gramStart"/>
      <w:r w:rsidRPr="00E73946">
        <w:rPr>
          <w:rFonts w:cstheme="minorHAnsi"/>
        </w:rPr>
        <w:t>Fenwick</w:t>
      </w:r>
      <w:proofErr w:type="gramEnd"/>
      <w:r w:rsidRPr="00E73946">
        <w:rPr>
          <w:rFonts w:cstheme="minorHAnsi"/>
        </w:rPr>
        <w:t xml:space="preserve"> E (2014) Practice nurse health checks for adults with intellectual disabilities: a cluster-design, randomised controlled trial. The Lancet Psychiatry, 1(7), 511–521. </w:t>
      </w:r>
    </w:p>
    <w:p w:rsidR="00FF6FA6" w:rsidRPr="00E73946" w:rsidRDefault="00FF6FA6" w:rsidP="00FF6FA6">
      <w:pPr>
        <w:spacing w:before="0"/>
        <w:ind w:left="720"/>
        <w:rPr>
          <w:rFonts w:cstheme="minorHAnsi"/>
        </w:rPr>
      </w:pPr>
    </w:p>
    <w:p w:rsidR="00E73946" w:rsidRPr="00E73946" w:rsidRDefault="00E73946" w:rsidP="00E73946">
      <w:pPr>
        <w:numPr>
          <w:ilvl w:val="0"/>
          <w:numId w:val="11"/>
        </w:numPr>
        <w:spacing w:before="0"/>
        <w:rPr>
          <w:rFonts w:cstheme="minorHAnsi"/>
        </w:rPr>
      </w:pPr>
      <w:r w:rsidRPr="00E73946">
        <w:rPr>
          <w:rFonts w:cstheme="minorHAnsi"/>
        </w:rPr>
        <w:t>Gordon LG, Holden L, Ware RS, Taylor MT, Lennox NG (2012) Comprehensive health assessments for adults with intellectual disability living in the community - weighing up the costs and benefits. Australian Family Physician 41(12), 969-972.</w:t>
      </w:r>
    </w:p>
    <w:p w:rsidR="00E73946" w:rsidRPr="00E73946" w:rsidRDefault="00E73946" w:rsidP="00E73946">
      <w:pPr>
        <w:ind w:left="720"/>
        <w:rPr>
          <w:rFonts w:cstheme="minorHAnsi"/>
        </w:rPr>
      </w:pPr>
      <w:r w:rsidRPr="00E73946">
        <w:rPr>
          <w:rFonts w:cstheme="minorHAnsi"/>
        </w:rPr>
        <w:t>AND</w:t>
      </w:r>
    </w:p>
    <w:p w:rsidR="00E73946" w:rsidRPr="00E73946" w:rsidRDefault="00E73946" w:rsidP="00E73946">
      <w:pPr>
        <w:ind w:left="720"/>
        <w:rPr>
          <w:rFonts w:cstheme="minorHAnsi"/>
        </w:rPr>
      </w:pPr>
      <w:r w:rsidRPr="00E73946">
        <w:rPr>
          <w:rFonts w:cstheme="minorHAnsi"/>
        </w:rPr>
        <w:t>Lennox N, Bain C, Rey-Conde T, Taylor M, Boyle FM, Purdie DM, Ware RS (2010) Cluster randomized-control trial of interventions to improve health for adults with intellectual disability who live in private dwellings. Journal of Applied Research in Intellectual Disabilities, 23(4), 303–11.</w:t>
      </w:r>
    </w:p>
    <w:p w:rsidR="00FF6FA6" w:rsidRDefault="00FF6FA6" w:rsidP="00FF6FA6">
      <w:pPr>
        <w:spacing w:before="0"/>
        <w:ind w:left="720"/>
        <w:rPr>
          <w:rFonts w:cstheme="minorHAnsi"/>
        </w:rPr>
      </w:pPr>
    </w:p>
    <w:p w:rsidR="00E73946" w:rsidRPr="00E73946" w:rsidRDefault="00E73946" w:rsidP="00E73946">
      <w:pPr>
        <w:numPr>
          <w:ilvl w:val="0"/>
          <w:numId w:val="11"/>
        </w:numPr>
        <w:spacing w:before="0"/>
        <w:rPr>
          <w:rFonts w:cstheme="minorHAnsi"/>
        </w:rPr>
      </w:pPr>
      <w:r w:rsidRPr="00E73946">
        <w:rPr>
          <w:rFonts w:cstheme="minorHAnsi"/>
        </w:rPr>
        <w:t>Romeo R, Knapp M, Morrison J, Melville C, Allan L, Finlayson J, Cooper SA (2009) Cost estimation of a health-check intervention for adults with intellectual disabilities in the UK. Journal of Intellectual Disability Research, 53(5), 426-39.</w:t>
      </w:r>
    </w:p>
    <w:p w:rsidR="00E73946" w:rsidRPr="00E73946" w:rsidRDefault="00E73946" w:rsidP="00E73946">
      <w:pPr>
        <w:ind w:left="720"/>
        <w:rPr>
          <w:rFonts w:cstheme="minorHAnsi"/>
        </w:rPr>
      </w:pPr>
      <w:r w:rsidRPr="00E73946">
        <w:rPr>
          <w:rFonts w:cstheme="minorHAnsi"/>
        </w:rPr>
        <w:t>AND</w:t>
      </w:r>
    </w:p>
    <w:p w:rsidR="008D2919" w:rsidRPr="00E73946" w:rsidRDefault="00E73946" w:rsidP="00E73946">
      <w:pPr>
        <w:ind w:left="720"/>
        <w:rPr>
          <w:rFonts w:cstheme="minorHAnsi"/>
        </w:rPr>
      </w:pPr>
      <w:r w:rsidRPr="00E73946">
        <w:rPr>
          <w:rFonts w:cstheme="minorHAnsi"/>
        </w:rPr>
        <w:t>Cooper SA, Morrison J, Melville C, Finlayson J, Allan L, Martin G, Robinson N (2006) Improving the health of people with intellectual disabilities: outcomes of a health screening programme after 1 year. Journal of Intellectual Disability Res</w:t>
      </w:r>
      <w:r>
        <w:rPr>
          <w:rFonts w:cstheme="minorHAnsi"/>
        </w:rPr>
        <w:t>earch, 50(Pt 9), 667-77.</w:t>
      </w:r>
    </w:p>
    <w:p w:rsidR="008D2919" w:rsidRPr="008D2919" w:rsidRDefault="008D2919" w:rsidP="008D2919"/>
    <w:p w:rsidR="008D2919" w:rsidRPr="008D2919" w:rsidRDefault="008D2919" w:rsidP="008D2919">
      <w:r w:rsidRPr="008D2919">
        <w:br w:type="page"/>
      </w:r>
    </w:p>
    <w:tbl>
      <w:tblPr>
        <w:tblW w:w="14321" w:type="dxa"/>
        <w:tblInd w:w="108" w:type="dxa"/>
        <w:tblBorders>
          <w:top w:val="single" w:sz="6" w:space="0" w:color="FFFFFF"/>
          <w:bottom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811"/>
        <w:gridCol w:w="1662"/>
        <w:gridCol w:w="2629"/>
        <w:gridCol w:w="3713"/>
        <w:gridCol w:w="2268"/>
        <w:gridCol w:w="2238"/>
      </w:tblGrid>
      <w:tr w:rsidR="0024176B" w:rsidRPr="0024176B" w:rsidTr="00E73946">
        <w:trPr>
          <w:tblHeader/>
        </w:trPr>
        <w:tc>
          <w:tcPr>
            <w:tcW w:w="1811" w:type="dxa"/>
            <w:shd w:val="clear" w:color="auto" w:fill="FDC74E"/>
            <w:vAlign w:val="bottom"/>
          </w:tcPr>
          <w:p w:rsidR="008D2919" w:rsidRPr="0024176B" w:rsidRDefault="008D2919" w:rsidP="0024176B">
            <w:pPr>
              <w:pStyle w:val="TableHeadingLeft"/>
            </w:pPr>
            <w:r w:rsidRPr="0024176B">
              <w:t>Study</w:t>
            </w:r>
          </w:p>
          <w:p w:rsidR="008D2919" w:rsidRPr="0024176B" w:rsidRDefault="008D2919" w:rsidP="0024176B">
            <w:pPr>
              <w:pStyle w:val="TableHeadingLeft"/>
            </w:pPr>
            <w:r w:rsidRPr="0024176B">
              <w:t>Country</w:t>
            </w:r>
          </w:p>
          <w:p w:rsidR="008D2919" w:rsidRPr="0024176B" w:rsidRDefault="008D2919" w:rsidP="0024176B">
            <w:pPr>
              <w:pStyle w:val="TableHeadingLeft"/>
            </w:pPr>
            <w:r w:rsidRPr="0024176B">
              <w:t>Study type</w:t>
            </w:r>
          </w:p>
        </w:tc>
        <w:tc>
          <w:tcPr>
            <w:tcW w:w="1662" w:type="dxa"/>
            <w:shd w:val="clear" w:color="auto" w:fill="FDC74E"/>
            <w:vAlign w:val="bottom"/>
          </w:tcPr>
          <w:p w:rsidR="008D2919" w:rsidRPr="0024176B" w:rsidRDefault="008D2919" w:rsidP="0024176B">
            <w:pPr>
              <w:pStyle w:val="TableHeadingLeft"/>
            </w:pPr>
            <w:r w:rsidRPr="0024176B">
              <w:t>Intervention details</w:t>
            </w:r>
          </w:p>
        </w:tc>
        <w:tc>
          <w:tcPr>
            <w:tcW w:w="2629" w:type="dxa"/>
            <w:shd w:val="clear" w:color="auto" w:fill="FDC74E"/>
            <w:vAlign w:val="bottom"/>
          </w:tcPr>
          <w:p w:rsidR="008D2919" w:rsidRPr="0024176B" w:rsidRDefault="008D2919" w:rsidP="0024176B">
            <w:pPr>
              <w:pStyle w:val="TableHeadingLeft"/>
            </w:pPr>
            <w:r w:rsidRPr="0024176B">
              <w:t>Study population</w:t>
            </w:r>
          </w:p>
          <w:p w:rsidR="008D2919" w:rsidRPr="0024176B" w:rsidRDefault="008D2919" w:rsidP="0024176B">
            <w:pPr>
              <w:pStyle w:val="TableHeadingLeft"/>
            </w:pPr>
            <w:r w:rsidRPr="0024176B">
              <w:t>Study design</w:t>
            </w:r>
          </w:p>
          <w:p w:rsidR="008D2919" w:rsidRPr="0024176B" w:rsidRDefault="008D2919" w:rsidP="0024176B">
            <w:pPr>
              <w:pStyle w:val="TableHeadingLeft"/>
            </w:pPr>
            <w:r w:rsidRPr="0024176B">
              <w:t>Data sources</w:t>
            </w:r>
          </w:p>
        </w:tc>
        <w:tc>
          <w:tcPr>
            <w:tcW w:w="3713" w:type="dxa"/>
            <w:shd w:val="clear" w:color="auto" w:fill="FDC74E"/>
            <w:vAlign w:val="bottom"/>
          </w:tcPr>
          <w:p w:rsidR="008D2919" w:rsidRPr="0024176B" w:rsidRDefault="008D2919" w:rsidP="0024176B">
            <w:pPr>
              <w:pStyle w:val="TableHeadingLeft"/>
            </w:pPr>
            <w:r w:rsidRPr="0024176B">
              <w:t>Costs: description and values</w:t>
            </w:r>
          </w:p>
          <w:p w:rsidR="008D2919" w:rsidRPr="0024176B" w:rsidRDefault="008D2919" w:rsidP="0024176B">
            <w:pPr>
              <w:pStyle w:val="TableHeadingLeft"/>
            </w:pPr>
            <w:r w:rsidRPr="0024176B">
              <w:t>Outcomes: description and values</w:t>
            </w:r>
          </w:p>
        </w:tc>
        <w:tc>
          <w:tcPr>
            <w:tcW w:w="2268" w:type="dxa"/>
            <w:shd w:val="clear" w:color="auto" w:fill="FDC74E"/>
            <w:vAlign w:val="bottom"/>
          </w:tcPr>
          <w:p w:rsidR="008D2919" w:rsidRPr="0024176B" w:rsidRDefault="008D2919" w:rsidP="0024176B">
            <w:pPr>
              <w:pStyle w:val="TableHeadingLeft"/>
            </w:pPr>
            <w:r w:rsidRPr="0024176B">
              <w:t>Results: Cost-effectiveness</w:t>
            </w:r>
          </w:p>
        </w:tc>
        <w:tc>
          <w:tcPr>
            <w:tcW w:w="2238" w:type="dxa"/>
            <w:shd w:val="clear" w:color="auto" w:fill="FDC74E"/>
            <w:vAlign w:val="bottom"/>
          </w:tcPr>
          <w:p w:rsidR="008D2919" w:rsidRPr="0024176B" w:rsidRDefault="008D2919" w:rsidP="0024176B">
            <w:pPr>
              <w:pStyle w:val="TableHeadingLeft"/>
            </w:pPr>
            <w:r w:rsidRPr="0024176B">
              <w:t>Comments</w:t>
            </w:r>
          </w:p>
          <w:p w:rsidR="008D2919" w:rsidRPr="0024176B" w:rsidRDefault="008D2919" w:rsidP="0024176B">
            <w:pPr>
              <w:pStyle w:val="TableHeadingLeft"/>
            </w:pPr>
          </w:p>
        </w:tc>
      </w:tr>
      <w:tr w:rsidR="0024176B" w:rsidRPr="0024176B" w:rsidTr="00E73946">
        <w:tc>
          <w:tcPr>
            <w:tcW w:w="1811" w:type="dxa"/>
            <w:shd w:val="clear" w:color="auto" w:fill="E6E6E6"/>
          </w:tcPr>
          <w:p w:rsidR="00E73946" w:rsidRDefault="00E73946" w:rsidP="00970FAD">
            <w:pPr>
              <w:pStyle w:val="TableTextLeft"/>
            </w:pPr>
            <w:r>
              <w:t xml:space="preserve">Cooper  </w:t>
            </w:r>
            <w:r w:rsidRPr="00E73946">
              <w:rPr>
                <w:i/>
              </w:rPr>
              <w:t>et al.</w:t>
            </w:r>
            <w:r>
              <w:t>, 2014</w:t>
            </w:r>
          </w:p>
          <w:p w:rsidR="00E73946" w:rsidRDefault="00E73946" w:rsidP="00970FAD">
            <w:pPr>
              <w:pStyle w:val="TableTextLeft"/>
            </w:pPr>
          </w:p>
          <w:p w:rsidR="00E73946" w:rsidRDefault="00E73946" w:rsidP="00970FAD">
            <w:pPr>
              <w:pStyle w:val="TableTextLeft"/>
            </w:pPr>
            <w:r>
              <w:t>UK</w:t>
            </w:r>
          </w:p>
          <w:p w:rsidR="00E73946" w:rsidRDefault="00E73946" w:rsidP="00970FAD">
            <w:pPr>
              <w:pStyle w:val="TableTextLeft"/>
            </w:pPr>
          </w:p>
          <w:p w:rsidR="008D2919" w:rsidRPr="0024176B" w:rsidRDefault="00E73946" w:rsidP="00970FAD">
            <w:pPr>
              <w:pStyle w:val="TableTextLeft"/>
            </w:pPr>
            <w:r>
              <w:t>Cost-utility analysis</w:t>
            </w:r>
          </w:p>
        </w:tc>
        <w:tc>
          <w:tcPr>
            <w:tcW w:w="1662" w:type="dxa"/>
            <w:shd w:val="clear" w:color="auto" w:fill="E6E6E6"/>
          </w:tcPr>
          <w:p w:rsidR="00E73946" w:rsidRPr="00E73946" w:rsidRDefault="00E73946" w:rsidP="00970FAD">
            <w:pPr>
              <w:pStyle w:val="TableTextLeft"/>
              <w:rPr>
                <w:u w:val="single"/>
              </w:rPr>
            </w:pPr>
            <w:r w:rsidRPr="00E73946">
              <w:rPr>
                <w:u w:val="single"/>
              </w:rPr>
              <w:t>Interventions:</w:t>
            </w:r>
          </w:p>
          <w:p w:rsidR="00E73946" w:rsidRDefault="00E73946" w:rsidP="00970FAD">
            <w:pPr>
              <w:pStyle w:val="TableTextLeft"/>
            </w:pPr>
          </w:p>
          <w:p w:rsidR="00E73946" w:rsidRDefault="00E73946" w:rsidP="00970FAD">
            <w:pPr>
              <w:pStyle w:val="TableTextLeft"/>
            </w:pPr>
            <w:r>
              <w:t>Health check intervention (HCI) designed especially for people with learning disabilities delivered by a practice nurse; health</w:t>
            </w:r>
          </w:p>
          <w:p w:rsidR="00E73946" w:rsidRDefault="00E73946" w:rsidP="00970FAD">
            <w:pPr>
              <w:pStyle w:val="TableTextLeft"/>
            </w:pPr>
            <w:proofErr w:type="gramStart"/>
            <w:r>
              <w:t>questionnaires</w:t>
            </w:r>
            <w:proofErr w:type="gramEnd"/>
            <w:r>
              <w:t xml:space="preserve"> for carers completed in advance of the health check.</w:t>
            </w:r>
          </w:p>
          <w:p w:rsidR="00E73946" w:rsidRDefault="00E73946" w:rsidP="00970FAD">
            <w:pPr>
              <w:pStyle w:val="TableTextLeft"/>
            </w:pPr>
          </w:p>
          <w:p w:rsidR="008D2919" w:rsidRPr="0024176B" w:rsidRDefault="003C0BD3" w:rsidP="003C0BD3">
            <w:pPr>
              <w:pStyle w:val="TableTextLeft"/>
            </w:pPr>
            <w:r>
              <w:t>Treatment as usual</w:t>
            </w:r>
            <w:r w:rsidR="00E73946">
              <w:t xml:space="preserve"> (</w:t>
            </w:r>
            <w:r>
              <w:t>TAU</w:t>
            </w:r>
            <w:r w:rsidR="00E73946">
              <w:t>)</w:t>
            </w:r>
          </w:p>
        </w:tc>
        <w:tc>
          <w:tcPr>
            <w:tcW w:w="2629" w:type="dxa"/>
            <w:shd w:val="clear" w:color="auto" w:fill="E6E6E6"/>
          </w:tcPr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</w:rPr>
              <w:t>Adults with learning disability registered with primary care services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</w:rPr>
              <w:t>Cluster-design, single-blind RCT</w:t>
            </w:r>
            <w:r w:rsidR="008E3EE7">
              <w:rPr>
                <w:rFonts w:cstheme="minorHAnsi"/>
                <w:szCs w:val="20"/>
              </w:rPr>
              <w:t xml:space="preserve"> (Cooper 2014)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  <w:u w:val="single"/>
              </w:rPr>
              <w:t>Source of effectiveness &amp; resource use data:</w:t>
            </w:r>
            <w:r w:rsidRPr="00E73946">
              <w:rPr>
                <w:rFonts w:cstheme="minorHAnsi"/>
                <w:szCs w:val="20"/>
              </w:rPr>
              <w:t xml:space="preserve"> RCT (N=152)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</w:p>
          <w:p w:rsidR="008D2919" w:rsidRPr="0024176B" w:rsidRDefault="00E73946" w:rsidP="00970FAD">
            <w:pPr>
              <w:pStyle w:val="TableTextLeft"/>
            </w:pPr>
            <w:r w:rsidRPr="00E73946">
              <w:rPr>
                <w:rFonts w:cstheme="minorHAnsi"/>
                <w:szCs w:val="20"/>
                <w:u w:val="single"/>
              </w:rPr>
              <w:t>Source of unit costs:</w:t>
            </w:r>
            <w:r w:rsidRPr="00E73946">
              <w:rPr>
                <w:rFonts w:cstheme="minorHAnsi"/>
                <w:szCs w:val="20"/>
              </w:rPr>
              <w:t xml:space="preserve"> national sources</w:t>
            </w:r>
          </w:p>
        </w:tc>
        <w:tc>
          <w:tcPr>
            <w:tcW w:w="3713" w:type="dxa"/>
            <w:shd w:val="clear" w:color="auto" w:fill="E6E6E6"/>
          </w:tcPr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  <w:u w:val="single"/>
              </w:rPr>
              <w:t>Costs:</w:t>
            </w:r>
            <w:r w:rsidRPr="00E73946">
              <w:rPr>
                <w:rFonts w:cstheme="minorHAnsi"/>
                <w:szCs w:val="20"/>
              </w:rPr>
              <w:t xml:space="preserve"> intervention (staff time), primary care, drug acquisition, emergency visits or calls; no screening or home visit checks were costed because these were assumed to be individual occurrences, with the standard being a health check by a nurse in the GP surgery; no secondary care costs were included (apart from A&amp;E)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  <w:u w:val="single"/>
              </w:rPr>
            </w:pPr>
            <w:r w:rsidRPr="00E73946">
              <w:rPr>
                <w:rFonts w:cstheme="minorHAnsi"/>
                <w:szCs w:val="20"/>
                <w:u w:val="single"/>
              </w:rPr>
              <w:t>Total cost (SD) per person (change from baseline):</w:t>
            </w:r>
          </w:p>
          <w:p w:rsidR="00E73946" w:rsidRPr="00E73946" w:rsidRDefault="00704803" w:rsidP="00970FAD">
            <w:pPr>
              <w:pStyle w:val="TableTextLef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HCI: -£71</w:t>
            </w:r>
            <w:r w:rsidR="003C0BD3">
              <w:rPr>
                <w:rFonts w:cstheme="minorHAnsi"/>
                <w:szCs w:val="20"/>
              </w:rPr>
              <w:t>; TAU</w:t>
            </w:r>
            <w:r>
              <w:rPr>
                <w:rFonts w:cstheme="minorHAnsi"/>
                <w:szCs w:val="20"/>
              </w:rPr>
              <w:t>: -£2</w:t>
            </w:r>
            <w:r w:rsidR="00E73946" w:rsidRPr="00E73946">
              <w:rPr>
                <w:rFonts w:cstheme="minorHAnsi"/>
                <w:szCs w:val="20"/>
              </w:rPr>
              <w:t xml:space="preserve">1 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</w:rPr>
              <w:t>Bootstrapp</w:t>
            </w:r>
            <w:r w:rsidR="008D7A6D">
              <w:rPr>
                <w:rFonts w:cstheme="minorHAnsi"/>
                <w:szCs w:val="20"/>
              </w:rPr>
              <w:t>ed cost difference: -£51 (95%CI</w:t>
            </w:r>
            <w:r w:rsidRPr="00E73946">
              <w:rPr>
                <w:rFonts w:cstheme="minorHAnsi"/>
                <w:szCs w:val="20"/>
              </w:rPr>
              <w:t xml:space="preserve"> -£362 to £434)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  <w:u w:val="single"/>
              </w:rPr>
              <w:t>Measures of outcome of economic analysis:</w:t>
            </w:r>
            <w:r w:rsidRPr="00E73946">
              <w:rPr>
                <w:rFonts w:cstheme="minorHAnsi"/>
                <w:szCs w:val="20"/>
              </w:rPr>
              <w:t xml:space="preserve"> QALYs estimated using EQ-5D and SF-6D, participant or carer-rated; EQ-5D rating used in PSA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</w:rPr>
              <w:t>Mean number of QALY change (area under the curve compared with baseline) per person: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  <w:u w:val="single"/>
              </w:rPr>
            </w:pPr>
            <w:r w:rsidRPr="00E73946">
              <w:rPr>
                <w:rFonts w:cstheme="minorHAnsi"/>
                <w:szCs w:val="20"/>
                <w:u w:val="single"/>
              </w:rPr>
              <w:t>Based on EQ-5D</w:t>
            </w:r>
          </w:p>
          <w:p w:rsidR="00E73946" w:rsidRPr="00E73946" w:rsidRDefault="003C0BD3" w:rsidP="00970FAD">
            <w:pPr>
              <w:pStyle w:val="TableTextLef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HCI 0.0306, TAU</w:t>
            </w:r>
            <w:r w:rsidR="00E73946" w:rsidRPr="00E73946">
              <w:rPr>
                <w:rFonts w:cstheme="minorHAnsi"/>
                <w:szCs w:val="20"/>
              </w:rPr>
              <w:t xml:space="preserve"> -0.0021;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</w:rPr>
              <w:t>Bootstrapped treatment effect: 0.11 (95% CI 0.02 to 0.19); p=0.015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  <w:u w:val="single"/>
              </w:rPr>
            </w:pPr>
            <w:r w:rsidRPr="00E73946">
              <w:rPr>
                <w:rFonts w:cstheme="minorHAnsi"/>
                <w:szCs w:val="20"/>
                <w:u w:val="single"/>
              </w:rPr>
              <w:t>Based on SF-6D</w:t>
            </w:r>
          </w:p>
          <w:p w:rsidR="00E73946" w:rsidRPr="00E73946" w:rsidRDefault="003C0BD3" w:rsidP="00970FAD">
            <w:pPr>
              <w:pStyle w:val="TableTextLef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HCI 0.06, TAU</w:t>
            </w:r>
            <w:r w:rsidR="00E73946" w:rsidRPr="00E73946">
              <w:rPr>
                <w:rFonts w:cstheme="minorHAnsi"/>
                <w:szCs w:val="20"/>
              </w:rPr>
              <w:t xml:space="preserve"> 0.02;</w:t>
            </w:r>
          </w:p>
          <w:p w:rsidR="008D2919" w:rsidRPr="0024176B" w:rsidRDefault="00E73946" w:rsidP="00970FAD">
            <w:pPr>
              <w:pStyle w:val="TableTextLeft"/>
            </w:pPr>
            <w:r w:rsidRPr="00E73946">
              <w:rPr>
                <w:rFonts w:cstheme="minorHAnsi"/>
                <w:szCs w:val="20"/>
              </w:rPr>
              <w:t>Bootstrapped treatment effect: 0.02 (95% CI -0.03 to 0.07); p=0.354</w:t>
            </w:r>
          </w:p>
        </w:tc>
        <w:tc>
          <w:tcPr>
            <w:tcW w:w="2268" w:type="dxa"/>
            <w:shd w:val="clear" w:color="auto" w:fill="E6E6E6"/>
          </w:tcPr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</w:rPr>
              <w:t>HCI was dominant (better outcome at lower cost)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</w:rPr>
              <w:t>PSA: t</w:t>
            </w:r>
            <w:r w:rsidR="005573F4">
              <w:rPr>
                <w:rFonts w:cstheme="minorHAnsi"/>
                <w:szCs w:val="20"/>
              </w:rPr>
              <w:t>he probability that HCI is cost-</w:t>
            </w:r>
            <w:r w:rsidRPr="00E73946">
              <w:rPr>
                <w:rFonts w:cstheme="minorHAnsi"/>
                <w:szCs w:val="20"/>
              </w:rPr>
              <w:t xml:space="preserve">effective is between 0.6 and 0.8 irrespective of the cost-effectiveness threshold. 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</w:rPr>
              <w:t>Threshold analysis:  the intervention cost needs to rise from £51</w:t>
            </w:r>
            <w:r>
              <w:rPr>
                <w:rFonts w:cstheme="minorHAnsi"/>
                <w:szCs w:val="20"/>
              </w:rPr>
              <w:t xml:space="preserve"> (estimate in base-case analysis) </w:t>
            </w:r>
            <w:r w:rsidRPr="00E73946">
              <w:rPr>
                <w:rFonts w:cstheme="minorHAnsi"/>
                <w:szCs w:val="20"/>
              </w:rPr>
              <w:t>to £95 per person b</w:t>
            </w:r>
            <w:r w:rsidR="000C5038">
              <w:rPr>
                <w:rFonts w:cstheme="minorHAnsi"/>
                <w:szCs w:val="20"/>
              </w:rPr>
              <w:t>efore HCI no longer dominates TAU</w:t>
            </w:r>
            <w:r w:rsidRPr="00E73946">
              <w:rPr>
                <w:rFonts w:cstheme="minorHAnsi"/>
                <w:szCs w:val="20"/>
              </w:rPr>
              <w:t>.</w:t>
            </w:r>
          </w:p>
          <w:p w:rsidR="008D2919" w:rsidRPr="0024176B" w:rsidRDefault="008D2919" w:rsidP="00970FAD">
            <w:pPr>
              <w:pStyle w:val="TableTextLeft"/>
            </w:pPr>
          </w:p>
        </w:tc>
        <w:tc>
          <w:tcPr>
            <w:tcW w:w="2238" w:type="dxa"/>
            <w:shd w:val="clear" w:color="auto" w:fill="E6E6E6"/>
          </w:tcPr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  <w:u w:val="single"/>
              </w:rPr>
              <w:t>Perspective:</w:t>
            </w:r>
            <w:r w:rsidRPr="00E73946">
              <w:rPr>
                <w:rFonts w:cstheme="minorHAnsi"/>
                <w:szCs w:val="20"/>
              </w:rPr>
              <w:t xml:space="preserve"> NHS 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  <w:u w:val="single"/>
              </w:rPr>
              <w:t>Currency:</w:t>
            </w:r>
            <w:r w:rsidRPr="00E73946">
              <w:rPr>
                <w:rFonts w:cstheme="minorHAnsi"/>
                <w:szCs w:val="20"/>
              </w:rPr>
              <w:t xml:space="preserve"> GB£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  <w:u w:val="single"/>
              </w:rPr>
              <w:t>Cost year:</w:t>
            </w:r>
            <w:r w:rsidRPr="00E73946">
              <w:rPr>
                <w:rFonts w:cstheme="minorHAnsi"/>
                <w:szCs w:val="20"/>
              </w:rPr>
              <w:t xml:space="preserve"> 2011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  <w:u w:val="single"/>
              </w:rPr>
              <w:t>Time horizon:</w:t>
            </w:r>
            <w:r w:rsidRPr="00E73946">
              <w:rPr>
                <w:rFonts w:cstheme="minorHAnsi"/>
                <w:szCs w:val="20"/>
              </w:rPr>
              <w:t xml:space="preserve"> 9 months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  <w:u w:val="single"/>
              </w:rPr>
              <w:t>Discounting:</w:t>
            </w:r>
            <w:r w:rsidRPr="00E73946">
              <w:rPr>
                <w:rFonts w:cstheme="minorHAnsi"/>
                <w:szCs w:val="20"/>
              </w:rPr>
              <w:t xml:space="preserve"> not needed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  <w:u w:val="single"/>
              </w:rPr>
              <w:t>Applicability:</w:t>
            </w:r>
            <w:r w:rsidRPr="00E73946">
              <w:rPr>
                <w:rFonts w:cstheme="minorHAnsi"/>
                <w:szCs w:val="20"/>
              </w:rPr>
              <w:t xml:space="preserve"> directly applicable</w:t>
            </w:r>
          </w:p>
          <w:p w:rsidR="00E73946" w:rsidRPr="00E73946" w:rsidRDefault="00E73946" w:rsidP="00970FAD">
            <w:pPr>
              <w:pStyle w:val="TableTextLeft"/>
              <w:rPr>
                <w:rFonts w:cstheme="minorHAnsi"/>
                <w:szCs w:val="20"/>
              </w:rPr>
            </w:pPr>
            <w:r w:rsidRPr="00E73946">
              <w:rPr>
                <w:rFonts w:cstheme="minorHAnsi"/>
                <w:szCs w:val="20"/>
                <w:u w:val="single"/>
              </w:rPr>
              <w:t>Quality:</w:t>
            </w:r>
            <w:r w:rsidRPr="00E73946">
              <w:rPr>
                <w:rFonts w:cstheme="minorHAnsi"/>
                <w:szCs w:val="20"/>
              </w:rPr>
              <w:t xml:space="preserve"> potentially serious limitations</w:t>
            </w:r>
          </w:p>
          <w:p w:rsidR="008D2919" w:rsidRPr="0024176B" w:rsidRDefault="008D2919" w:rsidP="00970FAD">
            <w:pPr>
              <w:pStyle w:val="TableTextLeft"/>
            </w:pPr>
          </w:p>
        </w:tc>
      </w:tr>
    </w:tbl>
    <w:p w:rsidR="008D2919" w:rsidRPr="008D2919" w:rsidRDefault="008D2919" w:rsidP="008D2919">
      <w:pPr>
        <w:rPr>
          <w:b/>
        </w:rPr>
      </w:pPr>
    </w:p>
    <w:tbl>
      <w:tblPr>
        <w:tblW w:w="14286" w:type="dxa"/>
        <w:tblInd w:w="108" w:type="dxa"/>
        <w:tblBorders>
          <w:top w:val="single" w:sz="6" w:space="0" w:color="FFFFFF"/>
          <w:bottom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452"/>
        <w:gridCol w:w="1701"/>
        <w:gridCol w:w="1842"/>
        <w:gridCol w:w="5387"/>
        <w:gridCol w:w="1596"/>
        <w:gridCol w:w="2308"/>
      </w:tblGrid>
      <w:tr w:rsidR="0024176B" w:rsidRPr="0024176B" w:rsidTr="003C46DD">
        <w:trPr>
          <w:tblHeader/>
        </w:trPr>
        <w:tc>
          <w:tcPr>
            <w:tcW w:w="1452" w:type="dxa"/>
            <w:shd w:val="clear" w:color="auto" w:fill="FDC74E"/>
            <w:vAlign w:val="bottom"/>
          </w:tcPr>
          <w:p w:rsidR="008D2919" w:rsidRPr="0024176B" w:rsidRDefault="008D2919" w:rsidP="0024176B">
            <w:pPr>
              <w:pStyle w:val="TableHeadingLeft"/>
            </w:pPr>
            <w:r w:rsidRPr="0024176B">
              <w:t>Study</w:t>
            </w:r>
          </w:p>
          <w:p w:rsidR="008D2919" w:rsidRPr="0024176B" w:rsidRDefault="008D2919" w:rsidP="0024176B">
            <w:pPr>
              <w:pStyle w:val="TableHeadingLeft"/>
            </w:pPr>
            <w:r w:rsidRPr="0024176B">
              <w:t>Country</w:t>
            </w:r>
          </w:p>
          <w:p w:rsidR="008D2919" w:rsidRPr="0024176B" w:rsidRDefault="008D2919" w:rsidP="0024176B">
            <w:pPr>
              <w:pStyle w:val="TableHeadingLeft"/>
            </w:pPr>
            <w:r w:rsidRPr="0024176B">
              <w:t>Study type</w:t>
            </w:r>
          </w:p>
        </w:tc>
        <w:tc>
          <w:tcPr>
            <w:tcW w:w="1701" w:type="dxa"/>
            <w:shd w:val="clear" w:color="auto" w:fill="FDC74E"/>
            <w:vAlign w:val="bottom"/>
          </w:tcPr>
          <w:p w:rsidR="008D2919" w:rsidRPr="0024176B" w:rsidRDefault="008D2919" w:rsidP="0024176B">
            <w:pPr>
              <w:pStyle w:val="TableHeadingLeft"/>
            </w:pPr>
            <w:r w:rsidRPr="0024176B">
              <w:t>Intervention details</w:t>
            </w:r>
          </w:p>
        </w:tc>
        <w:tc>
          <w:tcPr>
            <w:tcW w:w="1842" w:type="dxa"/>
            <w:shd w:val="clear" w:color="auto" w:fill="FDC74E"/>
            <w:vAlign w:val="bottom"/>
          </w:tcPr>
          <w:p w:rsidR="008D2919" w:rsidRPr="0024176B" w:rsidRDefault="008D2919" w:rsidP="0024176B">
            <w:pPr>
              <w:pStyle w:val="TableHeadingLeft"/>
            </w:pPr>
            <w:r w:rsidRPr="0024176B">
              <w:t>Study population</w:t>
            </w:r>
          </w:p>
          <w:p w:rsidR="008D2919" w:rsidRPr="0024176B" w:rsidRDefault="008D2919" w:rsidP="0024176B">
            <w:pPr>
              <w:pStyle w:val="TableHeadingLeft"/>
            </w:pPr>
            <w:r w:rsidRPr="0024176B">
              <w:t>Study design</w:t>
            </w:r>
          </w:p>
          <w:p w:rsidR="008D2919" w:rsidRPr="0024176B" w:rsidRDefault="008D2919" w:rsidP="0024176B">
            <w:pPr>
              <w:pStyle w:val="TableHeadingLeft"/>
            </w:pPr>
            <w:r w:rsidRPr="0024176B">
              <w:t>Data sources</w:t>
            </w:r>
          </w:p>
        </w:tc>
        <w:tc>
          <w:tcPr>
            <w:tcW w:w="5387" w:type="dxa"/>
            <w:shd w:val="clear" w:color="auto" w:fill="FDC74E"/>
            <w:vAlign w:val="bottom"/>
          </w:tcPr>
          <w:p w:rsidR="008D2919" w:rsidRPr="0024176B" w:rsidRDefault="008D2919" w:rsidP="0024176B">
            <w:pPr>
              <w:pStyle w:val="TableHeadingLeft"/>
            </w:pPr>
            <w:r w:rsidRPr="0024176B">
              <w:t>Costs: description and values</w:t>
            </w:r>
          </w:p>
          <w:p w:rsidR="008D2919" w:rsidRPr="0024176B" w:rsidRDefault="008D2919" w:rsidP="0024176B">
            <w:pPr>
              <w:pStyle w:val="TableHeadingLeft"/>
            </w:pPr>
            <w:r w:rsidRPr="0024176B">
              <w:t>Outcomes: description and values</w:t>
            </w:r>
          </w:p>
        </w:tc>
        <w:tc>
          <w:tcPr>
            <w:tcW w:w="1596" w:type="dxa"/>
            <w:shd w:val="clear" w:color="auto" w:fill="FDC74E"/>
            <w:vAlign w:val="bottom"/>
          </w:tcPr>
          <w:p w:rsidR="008D2919" w:rsidRPr="0024176B" w:rsidRDefault="008D2919" w:rsidP="0024176B">
            <w:pPr>
              <w:pStyle w:val="TableHeadingLeft"/>
            </w:pPr>
            <w:r w:rsidRPr="0024176B">
              <w:t>Results: Cost-effectiveness</w:t>
            </w:r>
          </w:p>
        </w:tc>
        <w:tc>
          <w:tcPr>
            <w:tcW w:w="2308" w:type="dxa"/>
            <w:shd w:val="clear" w:color="auto" w:fill="FDC74E"/>
            <w:vAlign w:val="bottom"/>
          </w:tcPr>
          <w:p w:rsidR="008D2919" w:rsidRPr="0024176B" w:rsidRDefault="008D2919" w:rsidP="0024176B">
            <w:pPr>
              <w:pStyle w:val="TableHeadingLeft"/>
            </w:pPr>
            <w:r w:rsidRPr="0024176B">
              <w:t>Comments</w:t>
            </w:r>
          </w:p>
          <w:p w:rsidR="008D2919" w:rsidRPr="0024176B" w:rsidRDefault="008D2919" w:rsidP="0024176B">
            <w:pPr>
              <w:pStyle w:val="TableHeadingLeft"/>
            </w:pPr>
          </w:p>
        </w:tc>
      </w:tr>
      <w:tr w:rsidR="0024176B" w:rsidRPr="0024176B" w:rsidTr="003C46DD">
        <w:tc>
          <w:tcPr>
            <w:tcW w:w="1452" w:type="dxa"/>
            <w:shd w:val="clear" w:color="auto" w:fill="E6E6E6"/>
          </w:tcPr>
          <w:p w:rsidR="003C46DD" w:rsidRPr="003C46DD" w:rsidRDefault="003C46DD" w:rsidP="00970FAD">
            <w:pPr>
              <w:pStyle w:val="TableTextLeft"/>
            </w:pPr>
            <w:r w:rsidRPr="003C46DD">
              <w:t xml:space="preserve">Gordon  </w:t>
            </w:r>
            <w:r w:rsidRPr="003C46DD">
              <w:rPr>
                <w:i/>
              </w:rPr>
              <w:t>et al.</w:t>
            </w:r>
            <w:r w:rsidRPr="003C46DD">
              <w:t>, 2012</w:t>
            </w:r>
          </w:p>
          <w:p w:rsidR="003C46DD" w:rsidRPr="003C46DD" w:rsidRDefault="003C46DD" w:rsidP="00970FAD">
            <w:pPr>
              <w:pStyle w:val="TableTextLeft"/>
            </w:pPr>
          </w:p>
          <w:p w:rsidR="003C46DD" w:rsidRPr="003C46DD" w:rsidRDefault="003C46DD" w:rsidP="00970FAD">
            <w:pPr>
              <w:pStyle w:val="TableTextLeft"/>
            </w:pPr>
            <w:r w:rsidRPr="003C46DD">
              <w:t>Australia</w:t>
            </w:r>
          </w:p>
          <w:p w:rsidR="003C46DD" w:rsidRPr="003C46DD" w:rsidRDefault="003C46DD" w:rsidP="00970FAD">
            <w:pPr>
              <w:pStyle w:val="TableTextLeft"/>
            </w:pPr>
          </w:p>
          <w:p w:rsidR="008D2919" w:rsidRPr="003C46DD" w:rsidRDefault="003C46DD" w:rsidP="00970FAD">
            <w:pPr>
              <w:pStyle w:val="TableTextLeft"/>
            </w:pPr>
            <w:r w:rsidRPr="003C46DD">
              <w:t>Cost-consequence analysis</w:t>
            </w:r>
          </w:p>
        </w:tc>
        <w:tc>
          <w:tcPr>
            <w:tcW w:w="1701" w:type="dxa"/>
            <w:shd w:val="clear" w:color="auto" w:fill="E6E6E6"/>
          </w:tcPr>
          <w:p w:rsidR="003C46DD" w:rsidRPr="003C46DD" w:rsidRDefault="003C46DD" w:rsidP="00970FAD">
            <w:pPr>
              <w:pStyle w:val="TableTextLeft"/>
              <w:rPr>
                <w:u w:val="single"/>
              </w:rPr>
            </w:pPr>
            <w:r w:rsidRPr="003C46DD">
              <w:rPr>
                <w:u w:val="single"/>
              </w:rPr>
              <w:t>Interventions:</w:t>
            </w:r>
          </w:p>
          <w:p w:rsidR="003C46DD" w:rsidRPr="003C46DD" w:rsidRDefault="003C46DD" w:rsidP="00970FAD">
            <w:pPr>
              <w:pStyle w:val="TableTextLeft"/>
            </w:pPr>
          </w:p>
          <w:p w:rsidR="003C46DD" w:rsidRPr="003C46DD" w:rsidRDefault="003C46DD" w:rsidP="00970FAD">
            <w:pPr>
              <w:pStyle w:val="TableTextLeft"/>
            </w:pPr>
            <w:r w:rsidRPr="003C46DD">
              <w:t xml:space="preserve">One-off health </w:t>
            </w:r>
            <w:r w:rsidR="00EC0664">
              <w:t>check intervention</w:t>
            </w:r>
            <w:r w:rsidRPr="003C46DD">
              <w:t>, comprising a booklet in which the carer provides a detailed medical history, the GP reviews the history, performs the health assessment and develops an action plan in consultation with the service user and carer (H</w:t>
            </w:r>
            <w:r w:rsidR="00EC0664">
              <w:t>CI</w:t>
            </w:r>
            <w:r w:rsidRPr="003C46DD">
              <w:t>)</w:t>
            </w:r>
          </w:p>
          <w:p w:rsidR="003C46DD" w:rsidRPr="003C46DD" w:rsidRDefault="003C46DD" w:rsidP="00970FAD">
            <w:pPr>
              <w:pStyle w:val="TableTextLeft"/>
            </w:pPr>
          </w:p>
          <w:p w:rsidR="008D2919" w:rsidRPr="003C46DD" w:rsidRDefault="003C46DD" w:rsidP="00970FAD">
            <w:pPr>
              <w:pStyle w:val="TableTextLeft"/>
            </w:pPr>
            <w:r w:rsidRPr="003C46DD">
              <w:t>Health diary designed for ongoing use (HD)</w:t>
            </w:r>
          </w:p>
        </w:tc>
        <w:tc>
          <w:tcPr>
            <w:tcW w:w="1842" w:type="dxa"/>
            <w:shd w:val="clear" w:color="auto" w:fill="E6E6E6"/>
          </w:tcPr>
          <w:p w:rsidR="003C46DD" w:rsidRPr="003C46DD" w:rsidRDefault="003C46DD" w:rsidP="00970FAD">
            <w:pPr>
              <w:pStyle w:val="TableTextLeft"/>
            </w:pPr>
            <w:r w:rsidRPr="003C46DD">
              <w:t>Adults with learning disability living in the community</w:t>
            </w:r>
          </w:p>
          <w:p w:rsidR="003C46DD" w:rsidRPr="003C46DD" w:rsidRDefault="003C46DD" w:rsidP="00970FAD">
            <w:pPr>
              <w:pStyle w:val="TableTextLeft"/>
            </w:pPr>
          </w:p>
          <w:p w:rsidR="003C46DD" w:rsidRPr="003C46DD" w:rsidRDefault="003C46DD" w:rsidP="00970FAD">
            <w:pPr>
              <w:pStyle w:val="TableTextLeft"/>
            </w:pPr>
            <w:r w:rsidRPr="003C46DD">
              <w:t>Cluster-design RCT</w:t>
            </w:r>
            <w:r w:rsidR="00BA6327">
              <w:t xml:space="preserve"> (Lennox 2010)</w:t>
            </w:r>
          </w:p>
          <w:p w:rsidR="003C46DD" w:rsidRPr="003C46DD" w:rsidRDefault="003C46DD" w:rsidP="00970FAD">
            <w:pPr>
              <w:pStyle w:val="TableTextLeft"/>
            </w:pPr>
          </w:p>
          <w:p w:rsidR="003C46DD" w:rsidRPr="003C46DD" w:rsidRDefault="003C46DD" w:rsidP="00970FAD">
            <w:pPr>
              <w:pStyle w:val="TableTextLeft"/>
            </w:pPr>
            <w:r w:rsidRPr="003C46DD">
              <w:rPr>
                <w:u w:val="single"/>
              </w:rPr>
              <w:t>Source of effectiveness &amp; resource use data:</w:t>
            </w:r>
            <w:r w:rsidRPr="003C46DD">
              <w:t xml:space="preserve"> RCT (N=242)</w:t>
            </w:r>
          </w:p>
          <w:p w:rsidR="003C46DD" w:rsidRPr="003C46DD" w:rsidRDefault="003C46DD" w:rsidP="00970FAD">
            <w:pPr>
              <w:pStyle w:val="TableTextLeft"/>
            </w:pPr>
          </w:p>
          <w:p w:rsidR="008D2919" w:rsidRPr="003C46DD" w:rsidRDefault="003C46DD" w:rsidP="00970FAD">
            <w:pPr>
              <w:pStyle w:val="TableTextLeft"/>
            </w:pPr>
            <w:r w:rsidRPr="003C46DD">
              <w:rPr>
                <w:u w:val="single"/>
              </w:rPr>
              <w:t>Source of unit costs:</w:t>
            </w:r>
            <w:r w:rsidRPr="003C46DD">
              <w:t xml:space="preserve"> national sources</w:t>
            </w:r>
          </w:p>
        </w:tc>
        <w:tc>
          <w:tcPr>
            <w:tcW w:w="5387" w:type="dxa"/>
            <w:shd w:val="clear" w:color="auto" w:fill="E6E6E6"/>
          </w:tcPr>
          <w:p w:rsidR="003C46DD" w:rsidRPr="003C46DD" w:rsidRDefault="003C46DD" w:rsidP="00970FAD">
            <w:pPr>
              <w:pStyle w:val="TableTextLeft"/>
            </w:pPr>
            <w:r w:rsidRPr="003C46DD">
              <w:rPr>
                <w:u w:val="single"/>
              </w:rPr>
              <w:t>Costs:</w:t>
            </w:r>
            <w:r w:rsidRPr="003C46DD">
              <w:t xml:space="preserve">  consultations, procedures, medication and vaccines that were claimed on the Medicare Benefits Schedule (MBS) and the Pharmaceutical Benefits Scheme (PBS); medications and vaccines not claimed as well as secondary care costs were not measured</w:t>
            </w:r>
          </w:p>
          <w:p w:rsidR="003C46DD" w:rsidRPr="003C46DD" w:rsidRDefault="003C46DD" w:rsidP="00970FAD">
            <w:pPr>
              <w:pStyle w:val="TableTextLeft"/>
            </w:pPr>
          </w:p>
          <w:p w:rsidR="003C46DD" w:rsidRPr="003C46DD" w:rsidRDefault="003C46DD" w:rsidP="00970FAD">
            <w:pPr>
              <w:pStyle w:val="TableTextLeft"/>
              <w:rPr>
                <w:u w:val="single"/>
              </w:rPr>
            </w:pPr>
            <w:r w:rsidRPr="003C46DD">
              <w:rPr>
                <w:u w:val="single"/>
              </w:rPr>
              <w:t>Total mean  cost per person:</w:t>
            </w:r>
          </w:p>
          <w:p w:rsidR="003C46DD" w:rsidRPr="0014081F" w:rsidRDefault="003C46DD" w:rsidP="00970FAD">
            <w:pPr>
              <w:pStyle w:val="TableTextLeft"/>
              <w:rPr>
                <w:lang w:val="fr-FR"/>
              </w:rPr>
            </w:pPr>
            <w:r w:rsidRPr="0014081F">
              <w:rPr>
                <w:lang w:val="fr-FR"/>
              </w:rPr>
              <w:t>H</w:t>
            </w:r>
            <w:r w:rsidR="00EC0664" w:rsidRPr="0014081F">
              <w:rPr>
                <w:lang w:val="fr-FR"/>
              </w:rPr>
              <w:t>CI</w:t>
            </w:r>
            <w:r w:rsidRPr="0014081F">
              <w:rPr>
                <w:lang w:val="fr-FR"/>
              </w:rPr>
              <w:t>: $4523 (95% CI: $3521 to $5525)</w:t>
            </w:r>
          </w:p>
          <w:p w:rsidR="003C46DD" w:rsidRPr="0014081F" w:rsidRDefault="003C46DD" w:rsidP="00970FAD">
            <w:pPr>
              <w:pStyle w:val="TableTextLeft"/>
              <w:rPr>
                <w:lang w:val="fr-FR"/>
              </w:rPr>
            </w:pPr>
            <w:r w:rsidRPr="0014081F">
              <w:rPr>
                <w:lang w:val="fr-FR"/>
              </w:rPr>
              <w:t>HD: $4466 (95% CI: $3283 to $5649)</w:t>
            </w:r>
          </w:p>
          <w:p w:rsidR="003C46DD" w:rsidRPr="003C46DD" w:rsidRDefault="003C46DD" w:rsidP="00970FAD">
            <w:pPr>
              <w:pStyle w:val="TableTextLeft"/>
            </w:pPr>
            <w:r w:rsidRPr="003C46DD">
              <w:t>[difference not statistically significant]</w:t>
            </w:r>
          </w:p>
          <w:p w:rsidR="003C46DD" w:rsidRPr="003C46DD" w:rsidRDefault="003C46DD" w:rsidP="00970FAD">
            <w:pPr>
              <w:pStyle w:val="TableTextLeft"/>
            </w:pPr>
          </w:p>
          <w:p w:rsidR="003C46DD" w:rsidRPr="003C46DD" w:rsidRDefault="003C46DD" w:rsidP="00970FAD">
            <w:pPr>
              <w:pStyle w:val="TableTextLeft"/>
            </w:pPr>
            <w:r w:rsidRPr="003C46DD">
              <w:rPr>
                <w:u w:val="single"/>
              </w:rPr>
              <w:t>Measures of outcome:</w:t>
            </w:r>
            <w:r w:rsidRPr="003C46DD">
              <w:t xml:space="preserve">  number of vision and hearing tests performed, immunisation rates for hepatitis A and</w:t>
            </w:r>
            <w:r w:rsidR="00144850">
              <w:t xml:space="preserve"> p</w:t>
            </w:r>
            <w:r w:rsidRPr="003C46DD">
              <w:t>neumococcus, number of weight measurements</w:t>
            </w:r>
          </w:p>
          <w:p w:rsidR="003C46DD" w:rsidRPr="003C46DD" w:rsidRDefault="003C46DD" w:rsidP="00970FAD">
            <w:pPr>
              <w:pStyle w:val="TableTextLeft"/>
            </w:pPr>
          </w:p>
          <w:p w:rsidR="003C46DD" w:rsidRPr="003C46DD" w:rsidRDefault="005573F4" w:rsidP="00970FAD">
            <w:pPr>
              <w:pStyle w:val="TableTextLeft"/>
              <w:rPr>
                <w:u w:val="single"/>
              </w:rPr>
            </w:pPr>
            <w:r>
              <w:rPr>
                <w:u w:val="single"/>
              </w:rPr>
              <w:t>Odds Ratios (95% CIs) between HCI</w:t>
            </w:r>
            <w:r w:rsidR="003C46DD" w:rsidRPr="003C46DD">
              <w:rPr>
                <w:u w:val="single"/>
              </w:rPr>
              <w:t xml:space="preserve"> and HD:</w:t>
            </w:r>
          </w:p>
          <w:p w:rsidR="003C46DD" w:rsidRPr="003C46DD" w:rsidRDefault="003C46DD" w:rsidP="00970FAD">
            <w:pPr>
              <w:pStyle w:val="TableTextLeft"/>
            </w:pPr>
            <w:r w:rsidRPr="003C46DD">
              <w:t>number of vision tests: 3.4 (1.4 to 8.3)</w:t>
            </w:r>
          </w:p>
          <w:p w:rsidR="003C46DD" w:rsidRPr="00D80318" w:rsidRDefault="003C46DD" w:rsidP="00970FAD">
            <w:pPr>
              <w:pStyle w:val="TableTextLeft"/>
            </w:pPr>
            <w:r w:rsidRPr="00D80318">
              <w:t>number of hearing tests: 4.5 (1.9 to 10.7)</w:t>
            </w:r>
          </w:p>
          <w:p w:rsidR="003C46DD" w:rsidRPr="00D80318" w:rsidRDefault="003C46DD" w:rsidP="00970FAD">
            <w:pPr>
              <w:pStyle w:val="TableTextLeft"/>
            </w:pPr>
            <w:r w:rsidRPr="00D80318">
              <w:t>immunisation rates for hepatitis A: 5.4 (1.8 to 16.3)</w:t>
            </w:r>
          </w:p>
          <w:p w:rsidR="00D80318" w:rsidRPr="00D80318" w:rsidRDefault="003C46DD" w:rsidP="00970FAD">
            <w:pPr>
              <w:pStyle w:val="TableTextLeft"/>
            </w:pPr>
            <w:r w:rsidRPr="00D80318">
              <w:t>immunisation rates for pneumococcus: 7.4 (1.5 to 37.1)</w:t>
            </w:r>
          </w:p>
          <w:p w:rsidR="008D2919" w:rsidRPr="00D80318" w:rsidRDefault="003C46DD" w:rsidP="00970FAD">
            <w:pPr>
              <w:pStyle w:val="TableTextLeft"/>
            </w:pPr>
            <w:r w:rsidRPr="00D80318">
              <w:t>number o</w:t>
            </w:r>
            <w:r w:rsidR="000226BB">
              <w:t xml:space="preserve">f weight measurements: 3.1 (1.5 to </w:t>
            </w:r>
            <w:r w:rsidRPr="00D80318">
              <w:t>6.4)</w:t>
            </w:r>
          </w:p>
        </w:tc>
        <w:tc>
          <w:tcPr>
            <w:tcW w:w="1596" w:type="dxa"/>
            <w:shd w:val="clear" w:color="auto" w:fill="E6E6E6"/>
          </w:tcPr>
          <w:p w:rsidR="003C46DD" w:rsidRPr="003C46DD" w:rsidRDefault="003C46DD" w:rsidP="00970FAD">
            <w:pPr>
              <w:pStyle w:val="TableTextLeft"/>
            </w:pPr>
            <w:r w:rsidRPr="003C46DD">
              <w:t>H</w:t>
            </w:r>
            <w:r w:rsidR="00EC0664">
              <w:t>CI</w:t>
            </w:r>
            <w:r w:rsidRPr="003C46DD">
              <w:t xml:space="preserve"> was dominant (better outcomes at similar cost)</w:t>
            </w:r>
          </w:p>
          <w:p w:rsidR="008D2919" w:rsidRPr="003C46DD" w:rsidRDefault="008D2919" w:rsidP="00970FAD">
            <w:pPr>
              <w:pStyle w:val="TableTextLeft"/>
            </w:pPr>
          </w:p>
        </w:tc>
        <w:tc>
          <w:tcPr>
            <w:tcW w:w="2308" w:type="dxa"/>
            <w:shd w:val="clear" w:color="auto" w:fill="E6E6E6"/>
          </w:tcPr>
          <w:p w:rsidR="003C46DD" w:rsidRPr="003C46DD" w:rsidRDefault="003C46DD" w:rsidP="00970FAD">
            <w:pPr>
              <w:pStyle w:val="TableTextLeft"/>
            </w:pPr>
            <w:r w:rsidRPr="003C46DD">
              <w:rPr>
                <w:u w:val="single"/>
              </w:rPr>
              <w:t>Perspective</w:t>
            </w:r>
            <w:r w:rsidRPr="003C46DD">
              <w:t>: public healthcare system (Medicare Australia)</w:t>
            </w:r>
          </w:p>
          <w:p w:rsidR="003C46DD" w:rsidRPr="003C46DD" w:rsidRDefault="003C46DD" w:rsidP="00970FAD">
            <w:pPr>
              <w:pStyle w:val="TableTextLeft"/>
            </w:pPr>
            <w:r w:rsidRPr="003C46DD">
              <w:rPr>
                <w:u w:val="single"/>
              </w:rPr>
              <w:t>Currency</w:t>
            </w:r>
            <w:r w:rsidRPr="003C46DD">
              <w:t xml:space="preserve">: </w:t>
            </w:r>
            <w:proofErr w:type="spellStart"/>
            <w:r w:rsidRPr="003C46DD">
              <w:t>Aus</w:t>
            </w:r>
            <w:proofErr w:type="spellEnd"/>
            <w:r w:rsidRPr="003C46DD">
              <w:t>$</w:t>
            </w:r>
          </w:p>
          <w:p w:rsidR="003C46DD" w:rsidRPr="003C46DD" w:rsidRDefault="003C46DD" w:rsidP="00970FAD">
            <w:pPr>
              <w:pStyle w:val="TableTextLeft"/>
            </w:pPr>
            <w:r w:rsidRPr="003C46DD">
              <w:rPr>
                <w:u w:val="single"/>
              </w:rPr>
              <w:t>Cost year</w:t>
            </w:r>
            <w:r w:rsidRPr="003C46DD">
              <w:t>: 2011</w:t>
            </w:r>
          </w:p>
          <w:p w:rsidR="003C46DD" w:rsidRPr="003C46DD" w:rsidRDefault="003C46DD" w:rsidP="00970FAD">
            <w:pPr>
              <w:pStyle w:val="TableTextLeft"/>
            </w:pPr>
            <w:r w:rsidRPr="003C46DD">
              <w:rPr>
                <w:u w:val="single"/>
              </w:rPr>
              <w:t>Time horizon</w:t>
            </w:r>
            <w:r w:rsidRPr="003C46DD">
              <w:t>: 12 months</w:t>
            </w:r>
          </w:p>
          <w:p w:rsidR="003C46DD" w:rsidRPr="003C46DD" w:rsidRDefault="003C46DD" w:rsidP="00970FAD">
            <w:pPr>
              <w:pStyle w:val="TableTextLeft"/>
            </w:pPr>
            <w:r w:rsidRPr="003C46DD">
              <w:rPr>
                <w:u w:val="single"/>
              </w:rPr>
              <w:t>Discounting</w:t>
            </w:r>
            <w:r w:rsidRPr="003C46DD">
              <w:t>: not needed</w:t>
            </w:r>
          </w:p>
          <w:p w:rsidR="003C46DD" w:rsidRPr="003C46DD" w:rsidRDefault="003C46DD" w:rsidP="00970FAD">
            <w:pPr>
              <w:pStyle w:val="TableTextLeft"/>
            </w:pPr>
            <w:r w:rsidRPr="003C46DD">
              <w:rPr>
                <w:u w:val="single"/>
              </w:rPr>
              <w:t>Applicability</w:t>
            </w:r>
            <w:r w:rsidRPr="003C46DD">
              <w:t>: partially applicable</w:t>
            </w:r>
          </w:p>
          <w:p w:rsidR="003C46DD" w:rsidRPr="003C46DD" w:rsidRDefault="003C46DD" w:rsidP="00970FAD">
            <w:pPr>
              <w:pStyle w:val="TableTextLeft"/>
            </w:pPr>
            <w:r w:rsidRPr="003C46DD">
              <w:rPr>
                <w:u w:val="single"/>
              </w:rPr>
              <w:t>Quality</w:t>
            </w:r>
            <w:r w:rsidRPr="003C46DD">
              <w:t>: potentially serious limitations</w:t>
            </w:r>
          </w:p>
          <w:p w:rsidR="008D2919" w:rsidRPr="003C46DD" w:rsidRDefault="008D2919" w:rsidP="00970FAD">
            <w:pPr>
              <w:pStyle w:val="TableTextLeft"/>
            </w:pPr>
          </w:p>
        </w:tc>
      </w:tr>
    </w:tbl>
    <w:p w:rsidR="008D2919" w:rsidRPr="008D2919" w:rsidRDefault="008D2919" w:rsidP="008D2919">
      <w:pPr>
        <w:rPr>
          <w:b/>
        </w:rPr>
      </w:pPr>
    </w:p>
    <w:p w:rsidR="008D2919" w:rsidRDefault="008D2919" w:rsidP="008D2919">
      <w:pPr>
        <w:rPr>
          <w:b/>
        </w:rPr>
      </w:pPr>
    </w:p>
    <w:p w:rsidR="00F30B41" w:rsidRDefault="00F30B41" w:rsidP="008D2919">
      <w:pPr>
        <w:rPr>
          <w:b/>
        </w:rPr>
      </w:pPr>
    </w:p>
    <w:tbl>
      <w:tblPr>
        <w:tblW w:w="14351" w:type="dxa"/>
        <w:tblInd w:w="108" w:type="dxa"/>
        <w:tblBorders>
          <w:top w:val="single" w:sz="6" w:space="0" w:color="FFFFFF"/>
          <w:bottom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452"/>
        <w:gridCol w:w="1984"/>
        <w:gridCol w:w="1843"/>
        <w:gridCol w:w="5812"/>
        <w:gridCol w:w="1559"/>
        <w:gridCol w:w="1701"/>
      </w:tblGrid>
      <w:tr w:rsidR="00F30B41" w:rsidRPr="0024176B" w:rsidTr="00970FAD">
        <w:trPr>
          <w:tblHeader/>
        </w:trPr>
        <w:tc>
          <w:tcPr>
            <w:tcW w:w="1452" w:type="dxa"/>
            <w:shd w:val="clear" w:color="auto" w:fill="FDC74E"/>
            <w:vAlign w:val="bottom"/>
          </w:tcPr>
          <w:p w:rsidR="00F30B41" w:rsidRPr="0024176B" w:rsidRDefault="00F30B41" w:rsidP="00F30B41">
            <w:pPr>
              <w:pStyle w:val="TableHeadingLeft"/>
              <w:widowControl w:val="0"/>
            </w:pPr>
            <w:r w:rsidRPr="0024176B">
              <w:t>Study</w:t>
            </w:r>
          </w:p>
          <w:p w:rsidR="00F30B41" w:rsidRPr="0024176B" w:rsidRDefault="00F30B41" w:rsidP="00F30B41">
            <w:pPr>
              <w:pStyle w:val="TableHeadingLeft"/>
              <w:widowControl w:val="0"/>
            </w:pPr>
            <w:r w:rsidRPr="0024176B">
              <w:t>Country</w:t>
            </w:r>
          </w:p>
          <w:p w:rsidR="00F30B41" w:rsidRPr="0024176B" w:rsidRDefault="00F30B41" w:rsidP="00F30B41">
            <w:pPr>
              <w:pStyle w:val="TableHeadingLeft"/>
              <w:widowControl w:val="0"/>
            </w:pPr>
            <w:r w:rsidRPr="0024176B">
              <w:t>Study type</w:t>
            </w:r>
          </w:p>
        </w:tc>
        <w:tc>
          <w:tcPr>
            <w:tcW w:w="1984" w:type="dxa"/>
            <w:shd w:val="clear" w:color="auto" w:fill="FDC74E"/>
            <w:vAlign w:val="bottom"/>
          </w:tcPr>
          <w:p w:rsidR="00F30B41" w:rsidRPr="0024176B" w:rsidRDefault="00F30B41" w:rsidP="00F30B41">
            <w:pPr>
              <w:pStyle w:val="TableHeadingLeft"/>
              <w:widowControl w:val="0"/>
            </w:pPr>
            <w:r w:rsidRPr="0024176B">
              <w:t>Intervention details</w:t>
            </w:r>
          </w:p>
        </w:tc>
        <w:tc>
          <w:tcPr>
            <w:tcW w:w="1843" w:type="dxa"/>
            <w:shd w:val="clear" w:color="auto" w:fill="FDC74E"/>
            <w:vAlign w:val="bottom"/>
          </w:tcPr>
          <w:p w:rsidR="00F30B41" w:rsidRPr="0024176B" w:rsidRDefault="00F30B41" w:rsidP="00F30B41">
            <w:pPr>
              <w:pStyle w:val="TableHeadingLeft"/>
              <w:widowControl w:val="0"/>
            </w:pPr>
            <w:r w:rsidRPr="0024176B">
              <w:t>Study population</w:t>
            </w:r>
          </w:p>
          <w:p w:rsidR="00F30B41" w:rsidRPr="0024176B" w:rsidRDefault="00F30B41" w:rsidP="00F30B41">
            <w:pPr>
              <w:pStyle w:val="TableHeadingLeft"/>
              <w:widowControl w:val="0"/>
            </w:pPr>
            <w:r w:rsidRPr="0024176B">
              <w:t>Study design</w:t>
            </w:r>
          </w:p>
          <w:p w:rsidR="00F30B41" w:rsidRPr="0024176B" w:rsidRDefault="00F30B41" w:rsidP="00F30B41">
            <w:pPr>
              <w:pStyle w:val="TableHeadingLeft"/>
              <w:widowControl w:val="0"/>
            </w:pPr>
            <w:r w:rsidRPr="0024176B">
              <w:t>Data sources</w:t>
            </w:r>
          </w:p>
        </w:tc>
        <w:tc>
          <w:tcPr>
            <w:tcW w:w="5812" w:type="dxa"/>
            <w:shd w:val="clear" w:color="auto" w:fill="FDC74E"/>
            <w:vAlign w:val="bottom"/>
          </w:tcPr>
          <w:p w:rsidR="00F30B41" w:rsidRPr="0024176B" w:rsidRDefault="00F30B41" w:rsidP="00F30B41">
            <w:pPr>
              <w:pStyle w:val="TableHeadingLeft"/>
              <w:widowControl w:val="0"/>
            </w:pPr>
            <w:r w:rsidRPr="0024176B">
              <w:t>Costs: description and values</w:t>
            </w:r>
          </w:p>
          <w:p w:rsidR="00F30B41" w:rsidRPr="0024176B" w:rsidRDefault="00F30B41" w:rsidP="00F30B41">
            <w:pPr>
              <w:pStyle w:val="TableHeadingLeft"/>
              <w:widowControl w:val="0"/>
            </w:pPr>
            <w:r w:rsidRPr="0024176B">
              <w:t>Outcomes: description and values</w:t>
            </w:r>
          </w:p>
        </w:tc>
        <w:tc>
          <w:tcPr>
            <w:tcW w:w="1559" w:type="dxa"/>
            <w:shd w:val="clear" w:color="auto" w:fill="FDC74E"/>
            <w:vAlign w:val="bottom"/>
          </w:tcPr>
          <w:p w:rsidR="00F30B41" w:rsidRPr="0024176B" w:rsidRDefault="00F30B41" w:rsidP="00F30B41">
            <w:pPr>
              <w:pStyle w:val="TableHeadingLeft"/>
              <w:widowControl w:val="0"/>
            </w:pPr>
            <w:r w:rsidRPr="0024176B">
              <w:t>Results: Cost-effectiveness</w:t>
            </w:r>
          </w:p>
        </w:tc>
        <w:tc>
          <w:tcPr>
            <w:tcW w:w="1701" w:type="dxa"/>
            <w:shd w:val="clear" w:color="auto" w:fill="FDC74E"/>
            <w:vAlign w:val="bottom"/>
          </w:tcPr>
          <w:p w:rsidR="00F30B41" w:rsidRPr="0024176B" w:rsidRDefault="00F30B41" w:rsidP="00F30B41">
            <w:pPr>
              <w:pStyle w:val="TableHeadingLeft"/>
              <w:widowControl w:val="0"/>
            </w:pPr>
            <w:r w:rsidRPr="0024176B">
              <w:t>Comments</w:t>
            </w:r>
          </w:p>
          <w:p w:rsidR="00F30B41" w:rsidRPr="0024176B" w:rsidRDefault="00F30B41" w:rsidP="00F30B41">
            <w:pPr>
              <w:pStyle w:val="TableHeadingLeft"/>
              <w:widowControl w:val="0"/>
            </w:pPr>
          </w:p>
        </w:tc>
      </w:tr>
      <w:tr w:rsidR="00F30B41" w:rsidRPr="0024176B" w:rsidTr="00970FAD">
        <w:tc>
          <w:tcPr>
            <w:tcW w:w="1452" w:type="dxa"/>
            <w:shd w:val="clear" w:color="auto" w:fill="E6E6E6"/>
          </w:tcPr>
          <w:p w:rsidR="00F30B41" w:rsidRPr="00F30B41" w:rsidRDefault="00F30B41" w:rsidP="00970FAD">
            <w:pPr>
              <w:pStyle w:val="TableTextLeft"/>
            </w:pPr>
            <w:r w:rsidRPr="00F30B41">
              <w:t xml:space="preserve">Romeo  </w:t>
            </w:r>
            <w:r w:rsidRPr="00F30B41">
              <w:rPr>
                <w:i/>
              </w:rPr>
              <w:t>et al.</w:t>
            </w:r>
            <w:r w:rsidRPr="00F30B41">
              <w:t>, 2009</w:t>
            </w:r>
          </w:p>
          <w:p w:rsidR="00F30B41" w:rsidRPr="00F30B41" w:rsidRDefault="00F30B41" w:rsidP="00970FAD">
            <w:pPr>
              <w:pStyle w:val="TableTextLeft"/>
            </w:pPr>
          </w:p>
          <w:p w:rsidR="00F30B41" w:rsidRPr="00F30B41" w:rsidRDefault="00F30B41" w:rsidP="00970FAD">
            <w:pPr>
              <w:pStyle w:val="TableTextLeft"/>
            </w:pPr>
            <w:r w:rsidRPr="00F30B41">
              <w:t>UK</w:t>
            </w:r>
          </w:p>
          <w:p w:rsidR="00F30B41" w:rsidRPr="00F30B41" w:rsidRDefault="00F30B41" w:rsidP="00970FAD">
            <w:pPr>
              <w:pStyle w:val="TableTextLeft"/>
            </w:pPr>
          </w:p>
          <w:p w:rsidR="00F30B41" w:rsidRPr="00F30B41" w:rsidRDefault="00F30B41" w:rsidP="00970FAD">
            <w:pPr>
              <w:pStyle w:val="TableTextLeft"/>
            </w:pPr>
            <w:r w:rsidRPr="00F30B41">
              <w:t>Cost consequence analysis</w:t>
            </w:r>
          </w:p>
        </w:tc>
        <w:tc>
          <w:tcPr>
            <w:tcW w:w="1984" w:type="dxa"/>
            <w:shd w:val="clear" w:color="auto" w:fill="E6E6E6"/>
          </w:tcPr>
          <w:p w:rsidR="00F30B41" w:rsidRPr="00F30B41" w:rsidRDefault="00F30B41" w:rsidP="00970FAD">
            <w:pPr>
              <w:pStyle w:val="TableTextLeft"/>
              <w:rPr>
                <w:u w:val="single"/>
              </w:rPr>
            </w:pPr>
            <w:r w:rsidRPr="00F30B41">
              <w:rPr>
                <w:u w:val="single"/>
              </w:rPr>
              <w:t>Interventions:</w:t>
            </w:r>
          </w:p>
          <w:p w:rsidR="00F30B41" w:rsidRPr="00F30B41" w:rsidRDefault="00F30B41" w:rsidP="00970FAD">
            <w:pPr>
              <w:pStyle w:val="TableTextLeft"/>
            </w:pPr>
          </w:p>
          <w:p w:rsidR="00F30B41" w:rsidRPr="00F30B41" w:rsidRDefault="00F30B41" w:rsidP="00970FAD">
            <w:pPr>
              <w:pStyle w:val="TableTextLeft"/>
            </w:pPr>
            <w:r w:rsidRPr="00F30B41">
              <w:t>Health-check intervention  (HCI) comprising a review o</w:t>
            </w:r>
            <w:r>
              <w:t>f participants’ GP records by</w:t>
            </w:r>
            <w:r w:rsidRPr="00F30B41">
              <w:t xml:space="preserve"> experienced nurse; assessment of participants’ general physical &amp; mental health, development &amp; problem behaviours, selected physical examination </w:t>
            </w:r>
            <w:r>
              <w:t>and</w:t>
            </w:r>
            <w:r w:rsidRPr="00F30B41">
              <w:t xml:space="preserve"> blood tests; discussion of the results with a GP; preparing a report of findings and recommendations to the participants’ GP; referral algorithms</w:t>
            </w:r>
          </w:p>
          <w:p w:rsidR="00F30B41" w:rsidRPr="00F30B41" w:rsidRDefault="00F30B41" w:rsidP="00970FAD">
            <w:pPr>
              <w:pStyle w:val="TableTextLeft"/>
            </w:pPr>
            <w:r w:rsidRPr="00F30B41">
              <w:t>to intellectual disabilities services</w:t>
            </w:r>
          </w:p>
          <w:p w:rsidR="00F30B41" w:rsidRPr="00F30B41" w:rsidRDefault="00F30B41" w:rsidP="00970FAD">
            <w:pPr>
              <w:pStyle w:val="TableTextLeft"/>
            </w:pPr>
          </w:p>
          <w:p w:rsidR="00F30B41" w:rsidRPr="00F30B41" w:rsidRDefault="000C5038" w:rsidP="000C5038">
            <w:pPr>
              <w:pStyle w:val="TableTextLeft"/>
            </w:pPr>
            <w:r>
              <w:t>Treatment as usual</w:t>
            </w:r>
            <w:r w:rsidR="00F30B41" w:rsidRPr="00F30B41">
              <w:t xml:space="preserve"> (</w:t>
            </w:r>
            <w:r>
              <w:t>TAU</w:t>
            </w:r>
            <w:r w:rsidR="00F30B41" w:rsidRPr="00F30B41">
              <w:t>)</w:t>
            </w:r>
          </w:p>
        </w:tc>
        <w:tc>
          <w:tcPr>
            <w:tcW w:w="1843" w:type="dxa"/>
            <w:shd w:val="clear" w:color="auto" w:fill="E6E6E6"/>
          </w:tcPr>
          <w:p w:rsidR="00F30B41" w:rsidRPr="00F30B41" w:rsidRDefault="00F30B41" w:rsidP="00970FAD">
            <w:pPr>
              <w:pStyle w:val="TableTextLeft"/>
            </w:pPr>
            <w:r w:rsidRPr="00F30B41">
              <w:t>Adults with learning disability registered with primary care services</w:t>
            </w:r>
          </w:p>
          <w:p w:rsidR="00F30B41" w:rsidRPr="00F30B41" w:rsidRDefault="00F30B41" w:rsidP="00970FAD">
            <w:pPr>
              <w:pStyle w:val="TableTextLeft"/>
            </w:pPr>
          </w:p>
          <w:p w:rsidR="00F30B41" w:rsidRPr="00F30B41" w:rsidRDefault="00F30B41" w:rsidP="00970FAD">
            <w:pPr>
              <w:pStyle w:val="TableTextLeft"/>
            </w:pPr>
            <w:r w:rsidRPr="00F30B41">
              <w:t>Cohort study with matched controls</w:t>
            </w:r>
          </w:p>
          <w:p w:rsidR="00F30B41" w:rsidRPr="00F30B41" w:rsidRDefault="00F30B41" w:rsidP="00970FAD">
            <w:pPr>
              <w:pStyle w:val="TableTextLeft"/>
            </w:pPr>
          </w:p>
          <w:p w:rsidR="00F30B41" w:rsidRPr="00F30B41" w:rsidRDefault="00F30B41" w:rsidP="00970FAD">
            <w:pPr>
              <w:pStyle w:val="TableTextLeft"/>
            </w:pPr>
            <w:r w:rsidRPr="00F30B41">
              <w:rPr>
                <w:u w:val="single"/>
              </w:rPr>
              <w:t>Source of effectiveness &amp; resource use data:</w:t>
            </w:r>
            <w:r w:rsidRPr="00F30B41">
              <w:t xml:space="preserve"> cohort study with matched controls (Cooper et al., 2006; N=100)</w:t>
            </w:r>
          </w:p>
          <w:p w:rsidR="00F30B41" w:rsidRPr="00F30B41" w:rsidRDefault="00F30B41" w:rsidP="00970FAD">
            <w:pPr>
              <w:pStyle w:val="TableTextLeft"/>
            </w:pPr>
          </w:p>
          <w:p w:rsidR="00F30B41" w:rsidRPr="00F30B41" w:rsidRDefault="00F30B41" w:rsidP="00970FAD">
            <w:pPr>
              <w:pStyle w:val="TableTextLeft"/>
            </w:pPr>
            <w:r w:rsidRPr="00F30B41">
              <w:rPr>
                <w:u w:val="single"/>
              </w:rPr>
              <w:t>Source of unit costs:</w:t>
            </w:r>
            <w:r w:rsidRPr="00F30B41">
              <w:t xml:space="preserve"> national sources &amp; further estimates</w:t>
            </w:r>
          </w:p>
        </w:tc>
        <w:tc>
          <w:tcPr>
            <w:tcW w:w="5812" w:type="dxa"/>
            <w:shd w:val="clear" w:color="auto" w:fill="E6E6E6"/>
          </w:tcPr>
          <w:p w:rsidR="00F30B41" w:rsidRPr="00F30B41" w:rsidRDefault="00F30B41" w:rsidP="00970FAD">
            <w:pPr>
              <w:pStyle w:val="TableTextLeft"/>
            </w:pPr>
            <w:r w:rsidRPr="00F30B41">
              <w:rPr>
                <w:u w:val="single"/>
              </w:rPr>
              <w:t>Costs:</w:t>
            </w:r>
            <w:r w:rsidRPr="00F30B41">
              <w:t xml:space="preserve"> intervention (equipment &amp; staff time), primary, inpatient, outpatient &amp; specialist intellectual disability services, other healthcare services, daytime activities (unsupported &amp; supported paid employment, voluntary work, adult education classes, day centres and additional support), respite care, aids and adaptations, paid and unpaid care.</w:t>
            </w:r>
          </w:p>
          <w:p w:rsidR="00F30B41" w:rsidRPr="00F30B41" w:rsidRDefault="00F30B41" w:rsidP="00970FAD">
            <w:pPr>
              <w:pStyle w:val="TableTextLeft"/>
            </w:pPr>
          </w:p>
          <w:p w:rsidR="00F30B41" w:rsidRPr="00F30B41" w:rsidRDefault="00F30B41" w:rsidP="00970FAD">
            <w:pPr>
              <w:pStyle w:val="TableTextLeft"/>
            </w:pPr>
            <w:r w:rsidRPr="00F30B41">
              <w:rPr>
                <w:u w:val="single"/>
              </w:rPr>
              <w:t>Total cost of intervention per person:</w:t>
            </w:r>
            <w:r w:rsidRPr="00F30B41">
              <w:t xml:space="preserve"> £82</w:t>
            </w:r>
          </w:p>
          <w:p w:rsidR="00F30B41" w:rsidRPr="00F30B41" w:rsidRDefault="00F30B41" w:rsidP="00970FAD">
            <w:pPr>
              <w:pStyle w:val="TableTextLeft"/>
            </w:pPr>
          </w:p>
          <w:p w:rsidR="00F30B41" w:rsidRPr="00F30B41" w:rsidRDefault="00F30B41" w:rsidP="00970FAD">
            <w:pPr>
              <w:pStyle w:val="TableTextLeft"/>
              <w:rPr>
                <w:u w:val="single"/>
              </w:rPr>
            </w:pPr>
            <w:r w:rsidRPr="00F30B41">
              <w:rPr>
                <w:u w:val="single"/>
              </w:rPr>
              <w:t>Total mean service cost (SD) per person:</w:t>
            </w:r>
          </w:p>
          <w:p w:rsidR="00F30B41" w:rsidRPr="00F30B41" w:rsidRDefault="000C5038" w:rsidP="00970FAD">
            <w:pPr>
              <w:pStyle w:val="TableTextLeft"/>
            </w:pPr>
            <w:r>
              <w:t>HCI: £9,412 (£6,899); TAU</w:t>
            </w:r>
            <w:r w:rsidR="00F30B41" w:rsidRPr="00F30B41">
              <w:t xml:space="preserve">: £10,091 (£7,775) </w:t>
            </w:r>
          </w:p>
          <w:p w:rsidR="00F30B41" w:rsidRPr="00F30B41" w:rsidRDefault="00F30B41" w:rsidP="00970FAD">
            <w:pPr>
              <w:pStyle w:val="TableTextLeft"/>
            </w:pPr>
            <w:r w:rsidRPr="00F30B41">
              <w:t>Bootstrapped cost difference: -£679 (95%CI  -£3,429 to £2,292)</w:t>
            </w:r>
          </w:p>
          <w:p w:rsidR="00F30B41" w:rsidRPr="00F30B41" w:rsidRDefault="00F30B41" w:rsidP="00970FAD">
            <w:pPr>
              <w:pStyle w:val="TableTextLeft"/>
            </w:pPr>
          </w:p>
          <w:p w:rsidR="00F30B41" w:rsidRPr="00F30B41" w:rsidRDefault="00F30B41" w:rsidP="00970FAD">
            <w:pPr>
              <w:pStyle w:val="TableTextLeft"/>
              <w:rPr>
                <w:u w:val="single"/>
              </w:rPr>
            </w:pPr>
            <w:r w:rsidRPr="00F30B41">
              <w:rPr>
                <w:u w:val="single"/>
              </w:rPr>
              <w:t>Total mean carer support cost (SD) per person:</w:t>
            </w:r>
          </w:p>
          <w:p w:rsidR="00F30B41" w:rsidRPr="00F30B41" w:rsidRDefault="000C5038" w:rsidP="00970FAD">
            <w:pPr>
              <w:pStyle w:val="TableTextLeft"/>
            </w:pPr>
            <w:r>
              <w:t>HCI: £40,673 (£27,978); TAU</w:t>
            </w:r>
            <w:r w:rsidR="00F30B41" w:rsidRPr="00F30B41">
              <w:t xml:space="preserve">: £62,766 (£44,320) </w:t>
            </w:r>
          </w:p>
          <w:p w:rsidR="00F30B41" w:rsidRPr="00F30B41" w:rsidRDefault="00F30B41" w:rsidP="00970FAD">
            <w:pPr>
              <w:pStyle w:val="TableTextLeft"/>
            </w:pPr>
            <w:r w:rsidRPr="00F30B41">
              <w:t>Bootstrapped cost difference: -£22,093 (95%CI  -£35,394 to -£7,571)</w:t>
            </w:r>
          </w:p>
          <w:p w:rsidR="00F30B41" w:rsidRPr="00F30B41" w:rsidRDefault="00F30B41" w:rsidP="00970FAD">
            <w:pPr>
              <w:pStyle w:val="TableTextLeft"/>
            </w:pPr>
          </w:p>
          <w:p w:rsidR="00F30B41" w:rsidRPr="00F30B41" w:rsidRDefault="00F30B41" w:rsidP="00970FAD">
            <w:pPr>
              <w:pStyle w:val="TableTextLeft"/>
              <w:rPr>
                <w:u w:val="single"/>
              </w:rPr>
            </w:pPr>
            <w:r w:rsidRPr="00F30B41">
              <w:rPr>
                <w:u w:val="single"/>
              </w:rPr>
              <w:t>Total cost (SD) per person:</w:t>
            </w:r>
          </w:p>
          <w:p w:rsidR="00F30B41" w:rsidRPr="00F30B41" w:rsidRDefault="000C5038" w:rsidP="00970FAD">
            <w:pPr>
              <w:pStyle w:val="TableTextLeft"/>
            </w:pPr>
            <w:r>
              <w:t>HCI: £50,085 (£30,824); TAU</w:t>
            </w:r>
            <w:r w:rsidR="00F30B41" w:rsidRPr="00F30B41">
              <w:t xml:space="preserve">: £72,857 (£48,679) </w:t>
            </w:r>
          </w:p>
          <w:p w:rsidR="00F30B41" w:rsidRPr="00F30B41" w:rsidRDefault="00F30B41" w:rsidP="00970FAD">
            <w:pPr>
              <w:pStyle w:val="TableTextLeft"/>
            </w:pPr>
            <w:r w:rsidRPr="00F30B41">
              <w:t>Bootstrapped cost difference: -£22,772 (95%CI  -£37,569 to -£6,400)</w:t>
            </w:r>
          </w:p>
          <w:p w:rsidR="00F30B41" w:rsidRPr="00F30B41" w:rsidRDefault="00F30B41" w:rsidP="00970FAD">
            <w:pPr>
              <w:pStyle w:val="TableTextLeft"/>
            </w:pPr>
          </w:p>
          <w:p w:rsidR="00F30B41" w:rsidRPr="00F30B41" w:rsidRDefault="00F30B41" w:rsidP="00970FAD">
            <w:pPr>
              <w:pStyle w:val="TableTextLeft"/>
            </w:pPr>
            <w:r w:rsidRPr="00F30B41">
              <w:rPr>
                <w:u w:val="single"/>
              </w:rPr>
              <w:t>Measures of outcome:</w:t>
            </w:r>
            <w:r w:rsidRPr="00F30B41">
              <w:t xml:space="preserve"> levels of health need detection, met new health needs, met health promotion and monitoring needs</w:t>
            </w:r>
          </w:p>
          <w:p w:rsidR="00F30B41" w:rsidRPr="00F30B41" w:rsidRDefault="00F30B41" w:rsidP="00970FAD">
            <w:pPr>
              <w:pStyle w:val="TableTextLeft"/>
            </w:pPr>
          </w:p>
          <w:p w:rsidR="00F30B41" w:rsidRPr="00F30B41" w:rsidRDefault="00F30B41" w:rsidP="00970FAD">
            <w:pPr>
              <w:pStyle w:val="TableTextLeft"/>
            </w:pPr>
            <w:r w:rsidRPr="00F30B41">
              <w:t>Mean number of new health needs per person:</w:t>
            </w:r>
          </w:p>
          <w:p w:rsidR="00F30B41" w:rsidRPr="00F30B41" w:rsidRDefault="000C5038" w:rsidP="00970FAD">
            <w:pPr>
              <w:pStyle w:val="TableTextLeft"/>
            </w:pPr>
            <w:r>
              <w:t>HCI 4.80, TAU</w:t>
            </w:r>
            <w:r w:rsidR="00F30B41" w:rsidRPr="00F30B41">
              <w:t xml:space="preserve"> 2.26, p&lt;0.001 </w:t>
            </w:r>
          </w:p>
          <w:p w:rsidR="00F30B41" w:rsidRPr="00F30B41" w:rsidRDefault="00F30B41" w:rsidP="00970FAD">
            <w:pPr>
              <w:pStyle w:val="TableTextLeft"/>
            </w:pPr>
          </w:p>
          <w:p w:rsidR="00F30B41" w:rsidRPr="00F30B41" w:rsidRDefault="00F30B41" w:rsidP="00970FAD">
            <w:pPr>
              <w:pStyle w:val="TableTextLeft"/>
            </w:pPr>
            <w:r w:rsidRPr="00F30B41">
              <w:t>Mean number of met new health needs per person:</w:t>
            </w:r>
          </w:p>
          <w:p w:rsidR="00F30B41" w:rsidRPr="00F30B41" w:rsidRDefault="000C5038" w:rsidP="00970FAD">
            <w:pPr>
              <w:pStyle w:val="TableTextLeft"/>
            </w:pPr>
            <w:r>
              <w:t>HCI 3.56, TAU</w:t>
            </w:r>
            <w:r w:rsidR="00F30B41" w:rsidRPr="00F30B41">
              <w:t xml:space="preserve"> 2.26, p&lt;0.001 </w:t>
            </w:r>
          </w:p>
          <w:p w:rsidR="00F30B41" w:rsidRPr="00F30B41" w:rsidRDefault="00F30B41" w:rsidP="00970FAD">
            <w:pPr>
              <w:pStyle w:val="TableTextLeft"/>
            </w:pPr>
          </w:p>
          <w:p w:rsidR="00F30B41" w:rsidRPr="00F30B41" w:rsidRDefault="00F30B41" w:rsidP="00970FAD">
            <w:pPr>
              <w:pStyle w:val="TableTextLeft"/>
            </w:pPr>
            <w:r w:rsidRPr="00F30B41">
              <w:t>Level of met health promotion needs &amp; health monitoring needs greater for HCI (p&lt; 0.001 and p=0.039, respectively)</w:t>
            </w:r>
          </w:p>
        </w:tc>
        <w:tc>
          <w:tcPr>
            <w:tcW w:w="1559" w:type="dxa"/>
            <w:shd w:val="clear" w:color="auto" w:fill="E6E6E6"/>
          </w:tcPr>
          <w:p w:rsidR="00F30B41" w:rsidRPr="00F30B41" w:rsidRDefault="00F30B41" w:rsidP="00970FAD">
            <w:pPr>
              <w:pStyle w:val="TableTextLeft"/>
            </w:pPr>
            <w:r w:rsidRPr="00F30B41">
              <w:t>HCI was dominant (better outcomes at lower cost)</w:t>
            </w:r>
          </w:p>
          <w:p w:rsidR="00F30B41" w:rsidRPr="00F30B41" w:rsidRDefault="00F30B41" w:rsidP="00970FAD">
            <w:pPr>
              <w:pStyle w:val="TableTextLeft"/>
            </w:pPr>
          </w:p>
        </w:tc>
        <w:tc>
          <w:tcPr>
            <w:tcW w:w="1701" w:type="dxa"/>
            <w:shd w:val="clear" w:color="auto" w:fill="E6E6E6"/>
          </w:tcPr>
          <w:p w:rsidR="00F30B41" w:rsidRPr="00F30B41" w:rsidRDefault="00F30B41" w:rsidP="00970FAD">
            <w:pPr>
              <w:pStyle w:val="TableTextLeft"/>
            </w:pPr>
            <w:r w:rsidRPr="00BB435F">
              <w:rPr>
                <w:u w:val="single"/>
              </w:rPr>
              <w:t>Perspective</w:t>
            </w:r>
            <w:r w:rsidRPr="00F30B41">
              <w:t xml:space="preserve">: societal (services and care support) </w:t>
            </w:r>
          </w:p>
          <w:p w:rsidR="00F30B41" w:rsidRPr="00F30B41" w:rsidRDefault="00F30B41" w:rsidP="00970FAD">
            <w:pPr>
              <w:pStyle w:val="TableTextLeft"/>
            </w:pPr>
            <w:r w:rsidRPr="00BB435F">
              <w:rPr>
                <w:u w:val="single"/>
              </w:rPr>
              <w:t>Currency</w:t>
            </w:r>
            <w:r w:rsidRPr="00F30B41">
              <w:t>: GB£</w:t>
            </w:r>
          </w:p>
          <w:p w:rsidR="00F30B41" w:rsidRPr="00F30B41" w:rsidRDefault="00F30B41" w:rsidP="00970FAD">
            <w:pPr>
              <w:pStyle w:val="TableTextLeft"/>
            </w:pPr>
            <w:r w:rsidRPr="00F30B41">
              <w:t>Cost year: 2003</w:t>
            </w:r>
          </w:p>
          <w:p w:rsidR="00F30B41" w:rsidRPr="00F30B41" w:rsidRDefault="00F30B41" w:rsidP="00970FAD">
            <w:pPr>
              <w:pStyle w:val="TableTextLeft"/>
            </w:pPr>
            <w:r w:rsidRPr="00BB435F">
              <w:rPr>
                <w:u w:val="single"/>
              </w:rPr>
              <w:t>Time horizon</w:t>
            </w:r>
            <w:r w:rsidRPr="00F30B41">
              <w:t>: 12 months</w:t>
            </w:r>
          </w:p>
          <w:p w:rsidR="00F30B41" w:rsidRPr="00F30B41" w:rsidRDefault="00F30B41" w:rsidP="00970FAD">
            <w:pPr>
              <w:pStyle w:val="TableTextLeft"/>
            </w:pPr>
            <w:r w:rsidRPr="00BB435F">
              <w:rPr>
                <w:u w:val="single"/>
              </w:rPr>
              <w:t>Discounting</w:t>
            </w:r>
            <w:r w:rsidRPr="00F30B41">
              <w:t>: not needed</w:t>
            </w:r>
          </w:p>
          <w:p w:rsidR="00F30B41" w:rsidRPr="00F30B41" w:rsidRDefault="00F30B41" w:rsidP="00970FAD">
            <w:pPr>
              <w:pStyle w:val="TableTextLeft"/>
            </w:pPr>
            <w:r w:rsidRPr="00F30B41">
              <w:t>Participants matched with controls for age,</w:t>
            </w:r>
          </w:p>
          <w:p w:rsidR="00F30B41" w:rsidRPr="00F30B41" w:rsidRDefault="00F30B41" w:rsidP="00970FAD">
            <w:pPr>
              <w:pStyle w:val="TableTextLeft"/>
            </w:pPr>
            <w:r w:rsidRPr="00F30B41">
              <w:t>gender and level of learning disability</w:t>
            </w:r>
          </w:p>
          <w:p w:rsidR="00F30B41" w:rsidRPr="00F30B41" w:rsidRDefault="00F30B41" w:rsidP="00970FAD">
            <w:pPr>
              <w:pStyle w:val="TableTextLeft"/>
            </w:pPr>
            <w:r w:rsidRPr="00F30B41">
              <w:t>Costs collected prospectively for intervention group and retrospectively for control group</w:t>
            </w:r>
          </w:p>
          <w:p w:rsidR="00F30B41" w:rsidRPr="00F30B41" w:rsidRDefault="00F30B41" w:rsidP="00970FAD">
            <w:pPr>
              <w:pStyle w:val="TableTextLeft"/>
            </w:pPr>
            <w:r w:rsidRPr="00BB435F">
              <w:rPr>
                <w:u w:val="single"/>
              </w:rPr>
              <w:t>Applicability</w:t>
            </w:r>
            <w:r w:rsidR="000226BB">
              <w:t>: partially</w:t>
            </w:r>
            <w:r w:rsidRPr="00F30B41">
              <w:t xml:space="preserve"> applicable</w:t>
            </w:r>
          </w:p>
          <w:p w:rsidR="00F30B41" w:rsidRPr="00F30B41" w:rsidRDefault="00F30B41" w:rsidP="00970FAD">
            <w:pPr>
              <w:pStyle w:val="TableTextLeft"/>
            </w:pPr>
            <w:r w:rsidRPr="00BB435F">
              <w:rPr>
                <w:u w:val="single"/>
              </w:rPr>
              <w:t>Quality</w:t>
            </w:r>
            <w:r w:rsidRPr="00F30B41">
              <w:t>: potentially serious limitations</w:t>
            </w:r>
          </w:p>
          <w:p w:rsidR="00F30B41" w:rsidRPr="00F30B41" w:rsidRDefault="00F30B41" w:rsidP="00970FAD">
            <w:pPr>
              <w:pStyle w:val="TableTextLeft"/>
            </w:pPr>
          </w:p>
        </w:tc>
      </w:tr>
    </w:tbl>
    <w:p w:rsidR="00741120" w:rsidRDefault="00BE5E27" w:rsidP="00C32121">
      <w:pPr>
        <w:pStyle w:val="AppSubHead"/>
        <w:numPr>
          <w:ilvl w:val="0"/>
          <w:numId w:val="0"/>
        </w:numPr>
      </w:pPr>
      <w:r>
        <w:t xml:space="preserve"> </w:t>
      </w:r>
    </w:p>
    <w:sectPr w:rsidR="00741120" w:rsidSect="008D2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pgSz w:w="16838" w:h="11906" w:orient="landscape"/>
      <w:pgMar w:top="1985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E1" w:rsidRDefault="00E029E1" w:rsidP="00D23DC7">
      <w:pPr>
        <w:spacing w:before="0"/>
      </w:pPr>
      <w:r>
        <w:separator/>
      </w:r>
    </w:p>
  </w:endnote>
  <w:endnote w:type="continuationSeparator" w:id="0">
    <w:p w:rsidR="00E029E1" w:rsidRDefault="00E029E1" w:rsidP="00D23D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81" w:rsidRDefault="002512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1" w:rightFromText="181" w:vertAnchor="page" w:horzAnchor="margin" w:tblpY="1610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86"/>
    </w:tblGrid>
    <w:tr w:rsidR="00196734" w:rsidTr="006025FC">
      <w:tc>
        <w:tcPr>
          <w:tcW w:w="5000" w:type="pct"/>
        </w:tcPr>
        <w:p w:rsidR="00196734" w:rsidRDefault="00196734" w:rsidP="005E46FA">
          <w:pPr>
            <w:pStyle w:val="Foo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 ~Copyright </w:instrText>
          </w:r>
          <w:r>
            <w:fldChar w:fldCharType="separate"/>
          </w:r>
          <w:r w:rsidR="0025128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= “Error*” “” “</w:instrText>
          </w:r>
          <w:fldSimple w:instr=" STYLEREF  ~Copyright ">
            <w:r>
              <w:rPr>
                <w:noProof/>
              </w:rPr>
              <w:instrText>opyright</w:instrText>
            </w:r>
          </w:fldSimple>
          <w:r>
            <w:instrText xml:space="preserve"> </w:instrText>
          </w:r>
          <w:r>
            <w:fldChar w:fldCharType="end"/>
          </w:r>
        </w:p>
      </w:tc>
    </w:tr>
  </w:tbl>
  <w:tbl>
    <w:tblPr>
      <w:tblStyle w:val="TableGrid"/>
      <w:tblpPr w:leftFromText="181" w:rightFromText="181" w:vertAnchor="page" w:horzAnchor="margin" w:tblpXSpec="center" w:tblpY="15877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196734" w:rsidTr="00FD5E59">
      <w:tc>
        <w:tcPr>
          <w:tcW w:w="567" w:type="dxa"/>
        </w:tcPr>
        <w:p w:rsidR="00196734" w:rsidRDefault="00196734" w:rsidP="00FD5E59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51281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</w:tc>
    </w:tr>
  </w:tbl>
  <w:p w:rsidR="00196734" w:rsidRDefault="00196734" w:rsidP="00FD5E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81" w:rsidRDefault="00251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E1" w:rsidRDefault="00E029E1" w:rsidP="00D23DC7">
      <w:pPr>
        <w:spacing w:before="0"/>
      </w:pPr>
      <w:r>
        <w:separator/>
      </w:r>
    </w:p>
  </w:footnote>
  <w:footnote w:type="continuationSeparator" w:id="0">
    <w:p w:rsidR="00E029E1" w:rsidRDefault="00E029E1" w:rsidP="00D23D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81" w:rsidRDefault="002512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1" w:rightFromText="181" w:vertAnchor="page" w:horzAnchor="margin" w:tblpY="568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86"/>
    </w:tblGrid>
    <w:tr w:rsidR="00196734" w:rsidTr="00F074F4">
      <w:tc>
        <w:tcPr>
          <w:tcW w:w="5000" w:type="pct"/>
        </w:tcPr>
        <w:p w:rsidR="00196734" w:rsidRDefault="003604F6" w:rsidP="003604F6">
          <w:pPr>
            <w:pStyle w:val="Header"/>
          </w:pPr>
          <w:r>
            <w:t>Mental health problems in people with learning disabilities</w:t>
          </w:r>
          <w:r w:rsidR="00196734">
            <w:fldChar w:fldCharType="begin"/>
          </w:r>
          <w:r w:rsidR="00196734">
            <w:instrText xml:space="preserve"> IF </w:instrText>
          </w:r>
          <w:r w:rsidR="00196734">
            <w:fldChar w:fldCharType="begin"/>
          </w:r>
          <w:r w:rsidR="00196734">
            <w:instrText xml:space="preserve"> STYLEREF  ~HeaderText </w:instrText>
          </w:r>
          <w:r w:rsidR="00196734">
            <w:fldChar w:fldCharType="separate"/>
          </w:r>
          <w:r w:rsidR="00251281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196734">
            <w:fldChar w:fldCharType="end"/>
          </w:r>
          <w:r w:rsidR="00196734">
            <w:instrText xml:space="preserve"> = “Error*” “” “</w:instrText>
          </w:r>
          <w:fldSimple w:instr=" STYLEREF  ~HeaderText ">
            <w:r w:rsidR="00196734">
              <w:rPr>
                <w:noProof/>
              </w:rPr>
              <w:instrText>Header text</w:instrText>
            </w:r>
          </w:fldSimple>
          <w:r w:rsidR="00196734">
            <w:instrText>”</w:instrText>
          </w:r>
          <w:r w:rsidR="00196734">
            <w:fldChar w:fldCharType="end"/>
          </w:r>
        </w:p>
      </w:tc>
    </w:tr>
    <w:tr w:rsidR="00196734" w:rsidTr="00F074F4">
      <w:tc>
        <w:tcPr>
          <w:tcW w:w="5000" w:type="pct"/>
          <w:tcBorders>
            <w:bottom w:val="single" w:sz="8" w:space="0" w:color="7F7F7F" w:themeColor="text1" w:themeTint="80"/>
          </w:tcBorders>
        </w:tcPr>
        <w:p w:rsidR="00196734" w:rsidRDefault="00196734" w:rsidP="00542860">
          <w:pPr>
            <w:pStyle w:val="HeaderSmall"/>
            <w:framePr w:hSpace="0" w:wrap="auto" w:vAnchor="margin" w:hAnchor="text" w:yAlign="inline"/>
            <w:suppressOverlap w:val="0"/>
          </w:pPr>
          <w:r>
            <w:fldChar w:fldCharType="begin"/>
          </w:r>
          <w:r>
            <w:instrText xml:space="preserve"> STYLEREF  "Heading 1,~SectionHeading" </w:instrText>
          </w:r>
          <w:r>
            <w:fldChar w:fldCharType="separate"/>
          </w:r>
          <w:r w:rsidR="00251281">
            <w:t>Appendix R: Health economic evidence – evidence tables</w:t>
          </w:r>
          <w:r>
            <w:fldChar w:fldCharType="end"/>
          </w:r>
        </w:p>
      </w:tc>
    </w:tr>
  </w:tbl>
  <w:p w:rsidR="00196734" w:rsidRDefault="001967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81" w:rsidRDefault="002512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188"/>
    <w:multiLevelType w:val="multilevel"/>
    <w:tmpl w:val="CB9488C8"/>
    <w:lvl w:ilvl="0">
      <w:start w:val="1"/>
      <w:numFmt w:val="decimal"/>
      <w:pStyle w:val="RecomHead1"/>
      <w:isLgl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RecomHead2"/>
      <w:isLgl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RecomHead3"/>
      <w:isLgl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bullet"/>
      <w:pStyle w:val="Recom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RecomSubBullet"/>
      <w:lvlText w:val=""/>
      <w:lvlJc w:val="left"/>
      <w:pPr>
        <w:ind w:left="2268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7F5024A"/>
    <w:multiLevelType w:val="hybridMultilevel"/>
    <w:tmpl w:val="E042F3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97A0B"/>
    <w:multiLevelType w:val="hybridMultilevel"/>
    <w:tmpl w:val="A8AE9B6E"/>
    <w:lvl w:ilvl="0" w:tplc="6576FC82">
      <w:start w:val="1"/>
      <w:numFmt w:val="bullet"/>
      <w:pStyle w:val="Recommendation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w w:val="130"/>
        <w:sz w:val="16"/>
        <w:szCs w:val="16"/>
      </w:rPr>
    </w:lvl>
    <w:lvl w:ilvl="1" w:tplc="BD144222">
      <w:start w:val="1"/>
      <w:numFmt w:val="bullet"/>
      <w:lvlText w:val="•"/>
      <w:lvlJc w:val="left"/>
      <w:pPr>
        <w:ind w:left="547" w:hanging="360"/>
      </w:pPr>
      <w:rPr>
        <w:rFonts w:hint="default"/>
      </w:rPr>
    </w:lvl>
    <w:lvl w:ilvl="2" w:tplc="836095C8">
      <w:start w:val="1"/>
      <w:numFmt w:val="bullet"/>
      <w:lvlText w:val="•"/>
      <w:lvlJc w:val="left"/>
      <w:pPr>
        <w:ind w:left="733" w:hanging="360"/>
      </w:pPr>
      <w:rPr>
        <w:rFonts w:hint="default"/>
      </w:rPr>
    </w:lvl>
    <w:lvl w:ilvl="3" w:tplc="C2222FA0">
      <w:start w:val="1"/>
      <w:numFmt w:val="bullet"/>
      <w:lvlText w:val="•"/>
      <w:lvlJc w:val="left"/>
      <w:pPr>
        <w:ind w:left="920" w:hanging="360"/>
      </w:pPr>
      <w:rPr>
        <w:rFonts w:hint="default"/>
      </w:rPr>
    </w:lvl>
    <w:lvl w:ilvl="4" w:tplc="974479AA">
      <w:start w:val="1"/>
      <w:numFmt w:val="bullet"/>
      <w:lvlText w:val="•"/>
      <w:lvlJc w:val="left"/>
      <w:pPr>
        <w:ind w:left="1106" w:hanging="360"/>
      </w:pPr>
      <w:rPr>
        <w:rFonts w:hint="default"/>
      </w:rPr>
    </w:lvl>
    <w:lvl w:ilvl="5" w:tplc="EDB4B0A4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6" w:tplc="03AE9662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7" w:tplc="C50A8E6E">
      <w:start w:val="1"/>
      <w:numFmt w:val="bullet"/>
      <w:lvlText w:val="•"/>
      <w:lvlJc w:val="left"/>
      <w:pPr>
        <w:ind w:left="1666" w:hanging="360"/>
      </w:pPr>
      <w:rPr>
        <w:rFonts w:hint="default"/>
      </w:rPr>
    </w:lvl>
    <w:lvl w:ilvl="8" w:tplc="A160476E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</w:abstractNum>
  <w:abstractNum w:abstractNumId="3">
    <w:nsid w:val="0B846C96"/>
    <w:multiLevelType w:val="multilevel"/>
    <w:tmpl w:val="E87EDD76"/>
    <w:lvl w:ilvl="0">
      <w:start w:val="1"/>
      <w:numFmt w:val="decimal"/>
      <w:pStyle w:val="ResearchRecomHead1"/>
      <w:isLgl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ResearchRecomHead2"/>
      <w:isLgl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ResearchRecomHead3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bullet"/>
      <w:pStyle w:val="ResearchRecom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ResearchRecomSubBullet"/>
      <w:lvlText w:val=""/>
      <w:lvlJc w:val="left"/>
      <w:pPr>
        <w:ind w:left="2268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23061C"/>
    <w:multiLevelType w:val="hybridMultilevel"/>
    <w:tmpl w:val="FD10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4489C"/>
    <w:multiLevelType w:val="multilevel"/>
    <w:tmpl w:val="F9A60756"/>
    <w:lvl w:ilvl="0">
      <w:start w:val="1"/>
      <w:numFmt w:val="upperLetter"/>
      <w:lvlRestart w:val="0"/>
      <w:pStyle w:val="AppHead"/>
      <w:lvlText w:val="Appendix %1:"/>
      <w:lvlJc w:val="left"/>
      <w:pPr>
        <w:tabs>
          <w:tab w:val="num" w:pos="283"/>
        </w:tabs>
        <w:ind w:left="0" w:firstLine="0"/>
      </w:pPr>
      <w:rPr>
        <w:rFonts w:asciiTheme="majorHAnsi" w:hAnsiTheme="majorHAnsi" w:cstheme="majorHAnsi" w:hint="default"/>
        <w:b/>
        <w:color w:val="000000"/>
        <w:sz w:val="44"/>
      </w:rPr>
    </w:lvl>
    <w:lvl w:ilvl="1">
      <w:start w:val="1"/>
      <w:numFmt w:val="decimal"/>
      <w:pStyle w:val="AppSubHead"/>
      <w:lvlText w:val="R.%2"/>
      <w:lvlJc w:val="right"/>
      <w:pPr>
        <w:tabs>
          <w:tab w:val="num" w:pos="0"/>
        </w:tabs>
        <w:ind w:left="0" w:hanging="284"/>
      </w:pPr>
      <w:rPr>
        <w:rFonts w:asciiTheme="majorHAnsi" w:hAnsiTheme="majorHAnsi" w:cstheme="majorHAnsi" w:hint="default"/>
        <w:b/>
        <w:color w:val="000000"/>
        <w:sz w:val="32"/>
      </w:rPr>
    </w:lvl>
    <w:lvl w:ilvl="2">
      <w:start w:val="1"/>
      <w:numFmt w:val="decimal"/>
      <w:pStyle w:val="AppMinorSubHead"/>
      <w:lvlText w:val="R.%2.%3"/>
      <w:lvlJc w:val="right"/>
      <w:pPr>
        <w:tabs>
          <w:tab w:val="num" w:pos="0"/>
        </w:tabs>
        <w:ind w:left="0" w:hanging="284"/>
      </w:pPr>
      <w:rPr>
        <w:rFonts w:asciiTheme="majorHAnsi" w:hAnsiTheme="majorHAnsi" w:cstheme="majorHAnsi" w:hint="default"/>
        <w:b/>
        <w:color w:val="000000"/>
        <w:sz w:val="24"/>
      </w:rPr>
    </w:lvl>
    <w:lvl w:ilvl="3">
      <w:start w:val="1"/>
      <w:numFmt w:val="decimal"/>
      <w:pStyle w:val="AppLevel4Head"/>
      <w:lvlText w:val="R.%2.%3.%4"/>
      <w:lvlJc w:val="right"/>
      <w:pPr>
        <w:tabs>
          <w:tab w:val="num" w:pos="0"/>
        </w:tabs>
        <w:ind w:left="0" w:hanging="284"/>
      </w:pPr>
      <w:rPr>
        <w:rFonts w:asciiTheme="majorHAnsi" w:hAnsiTheme="majorHAnsi" w:cstheme="majorHAnsi" w:hint="default"/>
        <w:b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3958148F"/>
    <w:multiLevelType w:val="hybridMultilevel"/>
    <w:tmpl w:val="EB76C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E2DCC"/>
    <w:multiLevelType w:val="hybridMultilevel"/>
    <w:tmpl w:val="6972D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744BE"/>
    <w:multiLevelType w:val="multilevel"/>
    <w:tmpl w:val="56B60502"/>
    <w:lvl w:ilvl="0">
      <w:start w:val="1"/>
      <w:numFmt w:val="bullet"/>
      <w:pStyle w:val="Bullet1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567"/>
        </w:tabs>
        <w:ind w:left="567" w:hanging="283"/>
      </w:pPr>
      <w:rPr>
        <w:rFonts w:ascii="Courier New" w:eastAsia="Dotum" w:hAnsi="Courier New" w:cs="Courier New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851"/>
        </w:tabs>
        <w:ind w:left="851" w:hanging="284"/>
      </w:pPr>
      <w:rPr>
        <w:rFonts w:ascii="(none)" w:hAnsi="(none)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9">
    <w:nsid w:val="4D237427"/>
    <w:multiLevelType w:val="multilevel"/>
    <w:tmpl w:val="C0B8F566"/>
    <w:styleLink w:val="TableNoteList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8346E4"/>
    <w:multiLevelType w:val="hybridMultilevel"/>
    <w:tmpl w:val="BD723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C3786"/>
    <w:multiLevelType w:val="hybridMultilevel"/>
    <w:tmpl w:val="57086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079C8"/>
    <w:multiLevelType w:val="multilevel"/>
    <w:tmpl w:val="6CAC6F78"/>
    <w:lvl w:ilvl="0">
      <w:start w:val="1"/>
      <w:numFmt w:val="decimal"/>
      <w:lvlRestart w:val="0"/>
      <w:pStyle w:val="Heading1"/>
      <w:isLgl/>
      <w:lvlText w:val="%1"/>
      <w:lvlJc w:val="right"/>
      <w:pPr>
        <w:tabs>
          <w:tab w:val="num" w:pos="0"/>
        </w:tabs>
        <w:ind w:left="283" w:hanging="567"/>
      </w:pPr>
      <w:rPr>
        <w:rFonts w:asciiTheme="majorHAnsi" w:hAnsiTheme="majorHAnsi" w:cstheme="majorHAnsi" w:hint="default"/>
        <w:b/>
        <w:color w:val="000000"/>
        <w:sz w:val="44"/>
      </w:rPr>
    </w:lvl>
    <w:lvl w:ilvl="1">
      <w:start w:val="1"/>
      <w:numFmt w:val="decimal"/>
      <w:pStyle w:val="Heading2"/>
      <w:isLgl/>
      <w:lvlText w:val="%1.%2"/>
      <w:lvlJc w:val="right"/>
      <w:pPr>
        <w:tabs>
          <w:tab w:val="num" w:pos="0"/>
        </w:tabs>
        <w:ind w:left="0" w:hanging="283"/>
      </w:pPr>
      <w:rPr>
        <w:rFonts w:asciiTheme="majorHAnsi" w:hAnsiTheme="majorHAnsi" w:cstheme="majorHAnsi" w:hint="default"/>
        <w:b/>
        <w:color w:val="000000"/>
        <w:sz w:val="32"/>
      </w:rPr>
    </w:lvl>
    <w:lvl w:ilvl="2">
      <w:start w:val="1"/>
      <w:numFmt w:val="decimal"/>
      <w:pStyle w:val="Heading3"/>
      <w:isLgl/>
      <w:lvlText w:val="%1.%2.%3"/>
      <w:lvlJc w:val="right"/>
      <w:pPr>
        <w:tabs>
          <w:tab w:val="num" w:pos="0"/>
        </w:tabs>
        <w:ind w:left="0" w:hanging="283"/>
      </w:pPr>
      <w:rPr>
        <w:rFonts w:asciiTheme="majorHAnsi" w:hAnsiTheme="majorHAnsi" w:cstheme="majorHAnsi" w:hint="default"/>
        <w:b/>
        <w:color w:val="000000"/>
        <w:sz w:val="24"/>
      </w:rPr>
    </w:lvl>
    <w:lvl w:ilvl="3">
      <w:start w:val="1"/>
      <w:numFmt w:val="decimal"/>
      <w:pStyle w:val="Heading4"/>
      <w:isLgl/>
      <w:lvlText w:val="%1.%2.%3.%4"/>
      <w:lvlJc w:val="right"/>
      <w:pPr>
        <w:tabs>
          <w:tab w:val="num" w:pos="0"/>
        </w:tabs>
        <w:ind w:left="0" w:hanging="284"/>
      </w:pPr>
      <w:rPr>
        <w:rFonts w:asciiTheme="majorHAnsi" w:hAnsiTheme="majorHAnsi" w:cstheme="majorHAnsi" w:hint="default"/>
        <w:b/>
        <w:color w:val="000000"/>
        <w:sz w:val="22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6EE3444F"/>
    <w:multiLevelType w:val="multilevel"/>
    <w:tmpl w:val="A04284C4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cs="Courier New" w:hint="default"/>
        <w:sz w:val="18"/>
        <w:szCs w:val="18"/>
      </w:rPr>
    </w:lvl>
    <w:lvl w:ilvl="2">
      <w:start w:val="1"/>
      <w:numFmt w:val="bullet"/>
      <w:pStyle w:val="TableBullet3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14">
    <w:nsid w:val="6F1D7D5F"/>
    <w:multiLevelType w:val="multilevel"/>
    <w:tmpl w:val="83A49586"/>
    <w:lvl w:ilvl="0">
      <w:start w:val="1"/>
      <w:numFmt w:val="lowerLetter"/>
      <w:lvlRestart w:val="0"/>
      <w:pStyle w:val="TableNoteNum"/>
      <w:lvlText w:val="(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5E05FB2"/>
    <w:multiLevelType w:val="multilevel"/>
    <w:tmpl w:val="76120552"/>
    <w:lvl w:ilvl="0">
      <w:start w:val="1"/>
      <w:numFmt w:val="bullet"/>
      <w:pStyle w:val="GDG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808080" w:themeColor="background1" w:themeShade="80"/>
      </w:rPr>
    </w:lvl>
    <w:lvl w:ilvl="1">
      <w:start w:val="1"/>
      <w:numFmt w:val="none"/>
      <w:pStyle w:val="GDGBullet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1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16">
    <w:nsid w:val="75F74727"/>
    <w:multiLevelType w:val="hybridMultilevel"/>
    <w:tmpl w:val="D14A8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A3518"/>
    <w:multiLevelType w:val="multilevel"/>
    <w:tmpl w:val="F2EABB14"/>
    <w:lvl w:ilvl="0">
      <w:start w:val="1"/>
      <w:numFmt w:val="decimal"/>
      <w:pStyle w:val="NumBullet1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>
    <w:nsid w:val="7CB32F03"/>
    <w:multiLevelType w:val="hybridMultilevel"/>
    <w:tmpl w:val="0E1CAE68"/>
    <w:lvl w:ilvl="0" w:tplc="48CC4FD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5"/>
    <w:lvlOverride w:ilvl="0">
      <w:lvl w:ilvl="0">
        <w:start w:val="1"/>
        <w:numFmt w:val="bullet"/>
        <w:pStyle w:val="GDGBullet"/>
        <w:lvlText w:val=""/>
        <w:lvlJc w:val="left"/>
        <w:pPr>
          <w:tabs>
            <w:tab w:val="num" w:pos="0"/>
          </w:tabs>
          <w:ind w:left="284" w:hanging="284"/>
        </w:pPr>
        <w:rPr>
          <w:rFonts w:ascii="Symbol" w:hAnsi="Symbol" w:hint="default"/>
          <w:color w:val="808080" w:themeColor="background1" w:themeShade="80"/>
        </w:rPr>
      </w:lvl>
    </w:lvlOverride>
    <w:lvlOverride w:ilvl="1">
      <w:lvl w:ilvl="1">
        <w:start w:val="1"/>
        <w:numFmt w:val="bullet"/>
        <w:pStyle w:val="GDGBullet2"/>
        <w:lvlText w:val="-"/>
        <w:lvlJc w:val="left"/>
        <w:pPr>
          <w:tabs>
            <w:tab w:val="num" w:pos="454"/>
          </w:tabs>
          <w:ind w:left="454" w:hanging="170"/>
        </w:pPr>
        <w:rPr>
          <w:rFonts w:ascii="Arial" w:hAnsi="Arial" w:hint="default"/>
        </w:rPr>
      </w:lvl>
    </w:lvlOverride>
    <w:lvlOverride w:ilvl="2">
      <w:lvl w:ilvl="2">
        <w:start w:val="1"/>
        <w:numFmt w:val="none"/>
        <w:lvlRestart w:val="1"/>
        <w:lvlText w:val=""/>
        <w:lvlJc w:val="left"/>
        <w:pPr>
          <w:tabs>
            <w:tab w:val="num" w:pos="-31680"/>
          </w:tabs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1"/>
        <w:lvlText w:val=""/>
        <w:lvlJc w:val="left"/>
        <w:pPr>
          <w:tabs>
            <w:tab w:val="num" w:pos="-31680"/>
          </w:tabs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1"/>
        <w:lvlText w:val=""/>
        <w:lvlJc w:val="left"/>
        <w:pPr>
          <w:tabs>
            <w:tab w:val="num" w:pos="0"/>
          </w:tabs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1"/>
        <w:lvlText w:val=""/>
        <w:lvlJc w:val="left"/>
        <w:pPr>
          <w:tabs>
            <w:tab w:val="num" w:pos="0"/>
          </w:tabs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tabs>
            <w:tab w:val="num" w:pos="0"/>
          </w:tabs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lvlText w:val=""/>
        <w:lvlJc w:val="left"/>
        <w:pPr>
          <w:tabs>
            <w:tab w:val="num" w:pos="0"/>
          </w:tabs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0"/>
          </w:tabs>
          <w:ind w:left="-32767" w:firstLine="0"/>
        </w:pPr>
        <w:rPr>
          <w:rFonts w:hint="default"/>
        </w:rPr>
      </w:lvl>
    </w:lvlOverride>
  </w:num>
  <w:num w:numId="5">
    <w:abstractNumId w:val="17"/>
  </w:num>
  <w:num w:numId="6">
    <w:abstractNumId w:val="13"/>
  </w:num>
  <w:num w:numId="7">
    <w:abstractNumId w:val="14"/>
  </w:num>
  <w:num w:numId="8">
    <w:abstractNumId w:val="12"/>
  </w:num>
  <w:num w:numId="9">
    <w:abstractNumId w:val="0"/>
  </w:num>
  <w:num w:numId="10">
    <w:abstractNumId w:val="3"/>
  </w:num>
  <w:num w:numId="11">
    <w:abstractNumId w:val="18"/>
  </w:num>
  <w:num w:numId="12">
    <w:abstractNumId w:val="7"/>
  </w:num>
  <w:num w:numId="13">
    <w:abstractNumId w:val="2"/>
  </w:num>
  <w:num w:numId="14">
    <w:abstractNumId w:val="11"/>
  </w:num>
  <w:num w:numId="15">
    <w:abstractNumId w:val="4"/>
  </w:num>
  <w:num w:numId="16">
    <w:abstractNumId w:val="16"/>
  </w:num>
  <w:num w:numId="17">
    <w:abstractNumId w:val="10"/>
  </w:num>
  <w:num w:numId="18">
    <w:abstractNumId w:val="6"/>
  </w:num>
  <w:num w:numId="1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edit="trackedChanges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6145">
      <o:colormru v:ext="edit" colors="#91b3c5,#ffd09b,#ffd0b9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19"/>
    <w:rsid w:val="00000B32"/>
    <w:rsid w:val="000017BE"/>
    <w:rsid w:val="000068B7"/>
    <w:rsid w:val="00007006"/>
    <w:rsid w:val="00010A51"/>
    <w:rsid w:val="00011B2B"/>
    <w:rsid w:val="00012105"/>
    <w:rsid w:val="000129B3"/>
    <w:rsid w:val="0001631E"/>
    <w:rsid w:val="000226BB"/>
    <w:rsid w:val="00024063"/>
    <w:rsid w:val="00027486"/>
    <w:rsid w:val="00027844"/>
    <w:rsid w:val="00032EA4"/>
    <w:rsid w:val="0003343C"/>
    <w:rsid w:val="00033D25"/>
    <w:rsid w:val="000369AB"/>
    <w:rsid w:val="00040724"/>
    <w:rsid w:val="000426FB"/>
    <w:rsid w:val="00044CA7"/>
    <w:rsid w:val="000453E4"/>
    <w:rsid w:val="00045A73"/>
    <w:rsid w:val="00047374"/>
    <w:rsid w:val="00050CE1"/>
    <w:rsid w:val="00052C86"/>
    <w:rsid w:val="0006081F"/>
    <w:rsid w:val="00061054"/>
    <w:rsid w:val="00061775"/>
    <w:rsid w:val="00063F64"/>
    <w:rsid w:val="00066705"/>
    <w:rsid w:val="000703A0"/>
    <w:rsid w:val="0007246F"/>
    <w:rsid w:val="00077BE5"/>
    <w:rsid w:val="000801AC"/>
    <w:rsid w:val="0008185B"/>
    <w:rsid w:val="00082871"/>
    <w:rsid w:val="00082F78"/>
    <w:rsid w:val="00084C31"/>
    <w:rsid w:val="00085EE6"/>
    <w:rsid w:val="00086448"/>
    <w:rsid w:val="00086C21"/>
    <w:rsid w:val="00087333"/>
    <w:rsid w:val="000879F9"/>
    <w:rsid w:val="00090DC9"/>
    <w:rsid w:val="00091A7E"/>
    <w:rsid w:val="00091CAB"/>
    <w:rsid w:val="00097775"/>
    <w:rsid w:val="000A0EB1"/>
    <w:rsid w:val="000A2A16"/>
    <w:rsid w:val="000A3C98"/>
    <w:rsid w:val="000A3E9B"/>
    <w:rsid w:val="000A5375"/>
    <w:rsid w:val="000A78AE"/>
    <w:rsid w:val="000A7E92"/>
    <w:rsid w:val="000B04E7"/>
    <w:rsid w:val="000B308F"/>
    <w:rsid w:val="000B4DCB"/>
    <w:rsid w:val="000B53B0"/>
    <w:rsid w:val="000C0ADA"/>
    <w:rsid w:val="000C25A5"/>
    <w:rsid w:val="000C26C4"/>
    <w:rsid w:val="000C2C6E"/>
    <w:rsid w:val="000C5038"/>
    <w:rsid w:val="000C6266"/>
    <w:rsid w:val="000C74CA"/>
    <w:rsid w:val="000C7B1C"/>
    <w:rsid w:val="000D1426"/>
    <w:rsid w:val="000D27AC"/>
    <w:rsid w:val="000D2D3A"/>
    <w:rsid w:val="000D3897"/>
    <w:rsid w:val="000D3987"/>
    <w:rsid w:val="000D3A6C"/>
    <w:rsid w:val="000D3CE8"/>
    <w:rsid w:val="000D6FD5"/>
    <w:rsid w:val="000E0159"/>
    <w:rsid w:val="000E3A64"/>
    <w:rsid w:val="000E4B64"/>
    <w:rsid w:val="000E4F0D"/>
    <w:rsid w:val="000E670F"/>
    <w:rsid w:val="000E6E9B"/>
    <w:rsid w:val="000F247A"/>
    <w:rsid w:val="0010262E"/>
    <w:rsid w:val="0010263E"/>
    <w:rsid w:val="00103C5E"/>
    <w:rsid w:val="00110AD1"/>
    <w:rsid w:val="00110D95"/>
    <w:rsid w:val="001116FC"/>
    <w:rsid w:val="001126DB"/>
    <w:rsid w:val="001148D1"/>
    <w:rsid w:val="001153F7"/>
    <w:rsid w:val="001157F0"/>
    <w:rsid w:val="00116B95"/>
    <w:rsid w:val="001207BF"/>
    <w:rsid w:val="00125D6C"/>
    <w:rsid w:val="00125EC2"/>
    <w:rsid w:val="00126ACB"/>
    <w:rsid w:val="00130269"/>
    <w:rsid w:val="0013351A"/>
    <w:rsid w:val="00133636"/>
    <w:rsid w:val="00137523"/>
    <w:rsid w:val="00140057"/>
    <w:rsid w:val="00140436"/>
    <w:rsid w:val="0014081F"/>
    <w:rsid w:val="00144850"/>
    <w:rsid w:val="00145CE3"/>
    <w:rsid w:val="001464DE"/>
    <w:rsid w:val="00146DB0"/>
    <w:rsid w:val="00147591"/>
    <w:rsid w:val="0015009C"/>
    <w:rsid w:val="001516F5"/>
    <w:rsid w:val="00151E68"/>
    <w:rsid w:val="0015393D"/>
    <w:rsid w:val="00160719"/>
    <w:rsid w:val="00161AFA"/>
    <w:rsid w:val="001623FC"/>
    <w:rsid w:val="0016416C"/>
    <w:rsid w:val="00164315"/>
    <w:rsid w:val="001647E1"/>
    <w:rsid w:val="001661B8"/>
    <w:rsid w:val="001715D4"/>
    <w:rsid w:val="001727F3"/>
    <w:rsid w:val="00172A56"/>
    <w:rsid w:val="001745DB"/>
    <w:rsid w:val="00175F26"/>
    <w:rsid w:val="00180948"/>
    <w:rsid w:val="00181DEA"/>
    <w:rsid w:val="00182A59"/>
    <w:rsid w:val="001844DD"/>
    <w:rsid w:val="00185C69"/>
    <w:rsid w:val="00186B35"/>
    <w:rsid w:val="00191296"/>
    <w:rsid w:val="001960CD"/>
    <w:rsid w:val="00196734"/>
    <w:rsid w:val="001A3E09"/>
    <w:rsid w:val="001A6929"/>
    <w:rsid w:val="001A7F5B"/>
    <w:rsid w:val="001B075D"/>
    <w:rsid w:val="001B0C0D"/>
    <w:rsid w:val="001B1F98"/>
    <w:rsid w:val="001B2E25"/>
    <w:rsid w:val="001B38DD"/>
    <w:rsid w:val="001B4312"/>
    <w:rsid w:val="001C1A94"/>
    <w:rsid w:val="001C2A39"/>
    <w:rsid w:val="001C2E70"/>
    <w:rsid w:val="001C3BAA"/>
    <w:rsid w:val="001C5E8F"/>
    <w:rsid w:val="001C782C"/>
    <w:rsid w:val="001D362F"/>
    <w:rsid w:val="001D3B9E"/>
    <w:rsid w:val="001D4211"/>
    <w:rsid w:val="001D4CF5"/>
    <w:rsid w:val="001D6262"/>
    <w:rsid w:val="001E1D2E"/>
    <w:rsid w:val="001E2357"/>
    <w:rsid w:val="001E317D"/>
    <w:rsid w:val="001E5185"/>
    <w:rsid w:val="001E5FB8"/>
    <w:rsid w:val="001F2529"/>
    <w:rsid w:val="001F3C91"/>
    <w:rsid w:val="001F4AC0"/>
    <w:rsid w:val="001F6F2D"/>
    <w:rsid w:val="00202E58"/>
    <w:rsid w:val="002038A2"/>
    <w:rsid w:val="00205CD2"/>
    <w:rsid w:val="00206668"/>
    <w:rsid w:val="0020700E"/>
    <w:rsid w:val="002134BB"/>
    <w:rsid w:val="00216582"/>
    <w:rsid w:val="00223138"/>
    <w:rsid w:val="00224D14"/>
    <w:rsid w:val="002257A8"/>
    <w:rsid w:val="0022594A"/>
    <w:rsid w:val="00225AF8"/>
    <w:rsid w:val="00225C5B"/>
    <w:rsid w:val="00225D80"/>
    <w:rsid w:val="00227173"/>
    <w:rsid w:val="00230C3E"/>
    <w:rsid w:val="0023269C"/>
    <w:rsid w:val="002339C9"/>
    <w:rsid w:val="00233F4B"/>
    <w:rsid w:val="00235B63"/>
    <w:rsid w:val="0024176B"/>
    <w:rsid w:val="0024252F"/>
    <w:rsid w:val="00247956"/>
    <w:rsid w:val="002508DD"/>
    <w:rsid w:val="00251281"/>
    <w:rsid w:val="00252481"/>
    <w:rsid w:val="0025276E"/>
    <w:rsid w:val="00252F82"/>
    <w:rsid w:val="00255543"/>
    <w:rsid w:val="00267D6B"/>
    <w:rsid w:val="00270ABB"/>
    <w:rsid w:val="002721EE"/>
    <w:rsid w:val="00273CBA"/>
    <w:rsid w:val="00276037"/>
    <w:rsid w:val="0028071C"/>
    <w:rsid w:val="00280DF5"/>
    <w:rsid w:val="002811E1"/>
    <w:rsid w:val="0028132B"/>
    <w:rsid w:val="00281BA6"/>
    <w:rsid w:val="002836D1"/>
    <w:rsid w:val="00283C10"/>
    <w:rsid w:val="0028608E"/>
    <w:rsid w:val="00286B1D"/>
    <w:rsid w:val="00291978"/>
    <w:rsid w:val="00291BDF"/>
    <w:rsid w:val="00291E28"/>
    <w:rsid w:val="002938E1"/>
    <w:rsid w:val="00294223"/>
    <w:rsid w:val="0029488B"/>
    <w:rsid w:val="00296CD6"/>
    <w:rsid w:val="002A29CD"/>
    <w:rsid w:val="002A39E0"/>
    <w:rsid w:val="002A55C2"/>
    <w:rsid w:val="002A63B2"/>
    <w:rsid w:val="002A7195"/>
    <w:rsid w:val="002B0B6E"/>
    <w:rsid w:val="002B1ED2"/>
    <w:rsid w:val="002B33F0"/>
    <w:rsid w:val="002B3D17"/>
    <w:rsid w:val="002B49D3"/>
    <w:rsid w:val="002B6FC6"/>
    <w:rsid w:val="002B78E2"/>
    <w:rsid w:val="002B7EB1"/>
    <w:rsid w:val="002C2052"/>
    <w:rsid w:val="002C20DF"/>
    <w:rsid w:val="002C3265"/>
    <w:rsid w:val="002C7E33"/>
    <w:rsid w:val="002D05B8"/>
    <w:rsid w:val="002D0F72"/>
    <w:rsid w:val="002D1F99"/>
    <w:rsid w:val="002D45A2"/>
    <w:rsid w:val="002D51D2"/>
    <w:rsid w:val="002D5520"/>
    <w:rsid w:val="002E6319"/>
    <w:rsid w:val="002F1162"/>
    <w:rsid w:val="002F4D4F"/>
    <w:rsid w:val="002F5BAC"/>
    <w:rsid w:val="002F5D17"/>
    <w:rsid w:val="002F6276"/>
    <w:rsid w:val="002F7923"/>
    <w:rsid w:val="003002AD"/>
    <w:rsid w:val="003005A8"/>
    <w:rsid w:val="00304622"/>
    <w:rsid w:val="003075AD"/>
    <w:rsid w:val="003109D4"/>
    <w:rsid w:val="003118D9"/>
    <w:rsid w:val="003136CB"/>
    <w:rsid w:val="00316EAA"/>
    <w:rsid w:val="00317C57"/>
    <w:rsid w:val="00321506"/>
    <w:rsid w:val="00324DA0"/>
    <w:rsid w:val="00326255"/>
    <w:rsid w:val="0032763B"/>
    <w:rsid w:val="003309AF"/>
    <w:rsid w:val="003339DA"/>
    <w:rsid w:val="00340275"/>
    <w:rsid w:val="00341C9E"/>
    <w:rsid w:val="0034355D"/>
    <w:rsid w:val="003463EA"/>
    <w:rsid w:val="003476B5"/>
    <w:rsid w:val="00351065"/>
    <w:rsid w:val="0035205E"/>
    <w:rsid w:val="003526A9"/>
    <w:rsid w:val="00352E66"/>
    <w:rsid w:val="00354594"/>
    <w:rsid w:val="0035636C"/>
    <w:rsid w:val="00356421"/>
    <w:rsid w:val="003604F6"/>
    <w:rsid w:val="0036066B"/>
    <w:rsid w:val="003627B3"/>
    <w:rsid w:val="003658EB"/>
    <w:rsid w:val="00367271"/>
    <w:rsid w:val="00372B0C"/>
    <w:rsid w:val="00375E7C"/>
    <w:rsid w:val="00380EB7"/>
    <w:rsid w:val="00381515"/>
    <w:rsid w:val="00382252"/>
    <w:rsid w:val="0038422B"/>
    <w:rsid w:val="00384E57"/>
    <w:rsid w:val="003851D1"/>
    <w:rsid w:val="003877DC"/>
    <w:rsid w:val="00387CF9"/>
    <w:rsid w:val="003921F7"/>
    <w:rsid w:val="003933AC"/>
    <w:rsid w:val="00393BFB"/>
    <w:rsid w:val="0039465F"/>
    <w:rsid w:val="00395FD6"/>
    <w:rsid w:val="00396E22"/>
    <w:rsid w:val="003A1C9B"/>
    <w:rsid w:val="003A46E7"/>
    <w:rsid w:val="003A51E4"/>
    <w:rsid w:val="003A542D"/>
    <w:rsid w:val="003A59B2"/>
    <w:rsid w:val="003B26DD"/>
    <w:rsid w:val="003B6067"/>
    <w:rsid w:val="003B7417"/>
    <w:rsid w:val="003C0BD3"/>
    <w:rsid w:val="003C0D63"/>
    <w:rsid w:val="003C1880"/>
    <w:rsid w:val="003C18B3"/>
    <w:rsid w:val="003C1BD8"/>
    <w:rsid w:val="003C46DD"/>
    <w:rsid w:val="003C6FDE"/>
    <w:rsid w:val="003C78E8"/>
    <w:rsid w:val="003D31B9"/>
    <w:rsid w:val="003D3875"/>
    <w:rsid w:val="003D4F06"/>
    <w:rsid w:val="003F1086"/>
    <w:rsid w:val="003F2BB7"/>
    <w:rsid w:val="003F6330"/>
    <w:rsid w:val="003F6A96"/>
    <w:rsid w:val="003F78C6"/>
    <w:rsid w:val="004014DA"/>
    <w:rsid w:val="004027C1"/>
    <w:rsid w:val="00404538"/>
    <w:rsid w:val="0040699A"/>
    <w:rsid w:val="00407345"/>
    <w:rsid w:val="00407525"/>
    <w:rsid w:val="00410152"/>
    <w:rsid w:val="00410CB9"/>
    <w:rsid w:val="00411F15"/>
    <w:rsid w:val="00413DE2"/>
    <w:rsid w:val="00414A3E"/>
    <w:rsid w:val="00416274"/>
    <w:rsid w:val="00416623"/>
    <w:rsid w:val="0042575F"/>
    <w:rsid w:val="00427C6F"/>
    <w:rsid w:val="0043463E"/>
    <w:rsid w:val="00442508"/>
    <w:rsid w:val="0044340F"/>
    <w:rsid w:val="00443BF6"/>
    <w:rsid w:val="00443EF4"/>
    <w:rsid w:val="00451B05"/>
    <w:rsid w:val="004522EA"/>
    <w:rsid w:val="00452C8B"/>
    <w:rsid w:val="00455F8F"/>
    <w:rsid w:val="0046029C"/>
    <w:rsid w:val="004610A1"/>
    <w:rsid w:val="004621AA"/>
    <w:rsid w:val="004629B0"/>
    <w:rsid w:val="00464C08"/>
    <w:rsid w:val="00465B80"/>
    <w:rsid w:val="0047296D"/>
    <w:rsid w:val="00473240"/>
    <w:rsid w:val="004745DF"/>
    <w:rsid w:val="00476DAF"/>
    <w:rsid w:val="00476DC4"/>
    <w:rsid w:val="004808B5"/>
    <w:rsid w:val="00481903"/>
    <w:rsid w:val="00483454"/>
    <w:rsid w:val="00490ED8"/>
    <w:rsid w:val="00491237"/>
    <w:rsid w:val="004927BE"/>
    <w:rsid w:val="00492FF2"/>
    <w:rsid w:val="0049494A"/>
    <w:rsid w:val="00495620"/>
    <w:rsid w:val="00496858"/>
    <w:rsid w:val="00496D9A"/>
    <w:rsid w:val="004A21A9"/>
    <w:rsid w:val="004A36FA"/>
    <w:rsid w:val="004A7AEC"/>
    <w:rsid w:val="004B001B"/>
    <w:rsid w:val="004B1ED1"/>
    <w:rsid w:val="004B2C55"/>
    <w:rsid w:val="004B46AF"/>
    <w:rsid w:val="004B4F86"/>
    <w:rsid w:val="004C1080"/>
    <w:rsid w:val="004C17E2"/>
    <w:rsid w:val="004C2FB4"/>
    <w:rsid w:val="004C3D80"/>
    <w:rsid w:val="004C4464"/>
    <w:rsid w:val="004D0937"/>
    <w:rsid w:val="004D21D9"/>
    <w:rsid w:val="004D22D9"/>
    <w:rsid w:val="004D4011"/>
    <w:rsid w:val="004D59DB"/>
    <w:rsid w:val="004E25CA"/>
    <w:rsid w:val="004E6184"/>
    <w:rsid w:val="004E6685"/>
    <w:rsid w:val="004E7EAF"/>
    <w:rsid w:val="004F11F5"/>
    <w:rsid w:val="004F27E2"/>
    <w:rsid w:val="004F7CE7"/>
    <w:rsid w:val="00504991"/>
    <w:rsid w:val="00505ED8"/>
    <w:rsid w:val="00507F57"/>
    <w:rsid w:val="005110BB"/>
    <w:rsid w:val="005123DE"/>
    <w:rsid w:val="005138C1"/>
    <w:rsid w:val="00517BF4"/>
    <w:rsid w:val="00520BD8"/>
    <w:rsid w:val="0052173F"/>
    <w:rsid w:val="00522DF2"/>
    <w:rsid w:val="00526794"/>
    <w:rsid w:val="00527310"/>
    <w:rsid w:val="00530684"/>
    <w:rsid w:val="005315F4"/>
    <w:rsid w:val="00532062"/>
    <w:rsid w:val="00532C3D"/>
    <w:rsid w:val="00533EE9"/>
    <w:rsid w:val="0053709D"/>
    <w:rsid w:val="005416AC"/>
    <w:rsid w:val="00542860"/>
    <w:rsid w:val="00542E6E"/>
    <w:rsid w:val="005516D3"/>
    <w:rsid w:val="0055702F"/>
    <w:rsid w:val="005573F4"/>
    <w:rsid w:val="00561189"/>
    <w:rsid w:val="005613E0"/>
    <w:rsid w:val="00561A8F"/>
    <w:rsid w:val="00561C60"/>
    <w:rsid w:val="00561ED7"/>
    <w:rsid w:val="00563891"/>
    <w:rsid w:val="00564415"/>
    <w:rsid w:val="00565F3F"/>
    <w:rsid w:val="0056715A"/>
    <w:rsid w:val="00567F07"/>
    <w:rsid w:val="00570245"/>
    <w:rsid w:val="00571223"/>
    <w:rsid w:val="005721C7"/>
    <w:rsid w:val="00572CCD"/>
    <w:rsid w:val="0057703E"/>
    <w:rsid w:val="00583D09"/>
    <w:rsid w:val="00583EF5"/>
    <w:rsid w:val="00584140"/>
    <w:rsid w:val="005848DF"/>
    <w:rsid w:val="00584C12"/>
    <w:rsid w:val="0059512F"/>
    <w:rsid w:val="00596434"/>
    <w:rsid w:val="00596779"/>
    <w:rsid w:val="00596DF0"/>
    <w:rsid w:val="005A1FBC"/>
    <w:rsid w:val="005A5979"/>
    <w:rsid w:val="005A64DC"/>
    <w:rsid w:val="005A7426"/>
    <w:rsid w:val="005B0DC3"/>
    <w:rsid w:val="005B4F8C"/>
    <w:rsid w:val="005B79B9"/>
    <w:rsid w:val="005C1790"/>
    <w:rsid w:val="005C2A03"/>
    <w:rsid w:val="005C3736"/>
    <w:rsid w:val="005C69B9"/>
    <w:rsid w:val="005C6DD1"/>
    <w:rsid w:val="005C74DD"/>
    <w:rsid w:val="005C760D"/>
    <w:rsid w:val="005D0587"/>
    <w:rsid w:val="005D5D6E"/>
    <w:rsid w:val="005D71C0"/>
    <w:rsid w:val="005E1E79"/>
    <w:rsid w:val="005E3F8C"/>
    <w:rsid w:val="005E46FA"/>
    <w:rsid w:val="005E5099"/>
    <w:rsid w:val="005E71FA"/>
    <w:rsid w:val="005E7EDE"/>
    <w:rsid w:val="005F311C"/>
    <w:rsid w:val="005F3768"/>
    <w:rsid w:val="005F39D4"/>
    <w:rsid w:val="005F7FB7"/>
    <w:rsid w:val="006025FC"/>
    <w:rsid w:val="00604D77"/>
    <w:rsid w:val="00606B3D"/>
    <w:rsid w:val="00610157"/>
    <w:rsid w:val="006110DB"/>
    <w:rsid w:val="00612974"/>
    <w:rsid w:val="00612CE2"/>
    <w:rsid w:val="0061472C"/>
    <w:rsid w:val="00615484"/>
    <w:rsid w:val="00622288"/>
    <w:rsid w:val="00622726"/>
    <w:rsid w:val="00622FF7"/>
    <w:rsid w:val="0062603E"/>
    <w:rsid w:val="00634910"/>
    <w:rsid w:val="006353A2"/>
    <w:rsid w:val="0063670D"/>
    <w:rsid w:val="00637D2E"/>
    <w:rsid w:val="006401B6"/>
    <w:rsid w:val="00641D3A"/>
    <w:rsid w:val="006442D4"/>
    <w:rsid w:val="00644786"/>
    <w:rsid w:val="006452FC"/>
    <w:rsid w:val="00646C96"/>
    <w:rsid w:val="00647AA6"/>
    <w:rsid w:val="006505D0"/>
    <w:rsid w:val="00652ED1"/>
    <w:rsid w:val="0065441D"/>
    <w:rsid w:val="00655763"/>
    <w:rsid w:val="00657DD1"/>
    <w:rsid w:val="00661356"/>
    <w:rsid w:val="00661475"/>
    <w:rsid w:val="00661842"/>
    <w:rsid w:val="00662B87"/>
    <w:rsid w:val="00666CCE"/>
    <w:rsid w:val="006672C8"/>
    <w:rsid w:val="00672ECE"/>
    <w:rsid w:val="006739E3"/>
    <w:rsid w:val="006761FE"/>
    <w:rsid w:val="00677EEC"/>
    <w:rsid w:val="00681451"/>
    <w:rsid w:val="0068327E"/>
    <w:rsid w:val="0068396F"/>
    <w:rsid w:val="00683AF4"/>
    <w:rsid w:val="00687F21"/>
    <w:rsid w:val="006917BF"/>
    <w:rsid w:val="006933C0"/>
    <w:rsid w:val="00693CFA"/>
    <w:rsid w:val="00696E06"/>
    <w:rsid w:val="006970C2"/>
    <w:rsid w:val="006A06EE"/>
    <w:rsid w:val="006A0AA7"/>
    <w:rsid w:val="006A2E7A"/>
    <w:rsid w:val="006A3B9E"/>
    <w:rsid w:val="006A58A3"/>
    <w:rsid w:val="006B0534"/>
    <w:rsid w:val="006B23C9"/>
    <w:rsid w:val="006B552F"/>
    <w:rsid w:val="006B71BF"/>
    <w:rsid w:val="006C0666"/>
    <w:rsid w:val="006C0A7B"/>
    <w:rsid w:val="006C19ED"/>
    <w:rsid w:val="006C38A0"/>
    <w:rsid w:val="006C4348"/>
    <w:rsid w:val="006C6AF9"/>
    <w:rsid w:val="006D12CE"/>
    <w:rsid w:val="006D2D52"/>
    <w:rsid w:val="006D398E"/>
    <w:rsid w:val="006D3FDE"/>
    <w:rsid w:val="006D43DD"/>
    <w:rsid w:val="006D47BE"/>
    <w:rsid w:val="006D49E2"/>
    <w:rsid w:val="006E0D46"/>
    <w:rsid w:val="006E19A9"/>
    <w:rsid w:val="006E2AD0"/>
    <w:rsid w:val="006E73AF"/>
    <w:rsid w:val="006F20DE"/>
    <w:rsid w:val="006F23A6"/>
    <w:rsid w:val="006F2A0F"/>
    <w:rsid w:val="006F481A"/>
    <w:rsid w:val="006F5345"/>
    <w:rsid w:val="006F5ED4"/>
    <w:rsid w:val="00701951"/>
    <w:rsid w:val="007026AA"/>
    <w:rsid w:val="0070373C"/>
    <w:rsid w:val="007046DB"/>
    <w:rsid w:val="00704803"/>
    <w:rsid w:val="00704AAA"/>
    <w:rsid w:val="00707DEB"/>
    <w:rsid w:val="0071024B"/>
    <w:rsid w:val="007151B1"/>
    <w:rsid w:val="00716FAD"/>
    <w:rsid w:val="007214A5"/>
    <w:rsid w:val="00723406"/>
    <w:rsid w:val="007267D0"/>
    <w:rsid w:val="007275B5"/>
    <w:rsid w:val="00727B40"/>
    <w:rsid w:val="00727C48"/>
    <w:rsid w:val="00730BEC"/>
    <w:rsid w:val="00731335"/>
    <w:rsid w:val="007316EC"/>
    <w:rsid w:val="00734157"/>
    <w:rsid w:val="00741120"/>
    <w:rsid w:val="00745152"/>
    <w:rsid w:val="00745EBC"/>
    <w:rsid w:val="00746C21"/>
    <w:rsid w:val="00750938"/>
    <w:rsid w:val="0075169D"/>
    <w:rsid w:val="00752033"/>
    <w:rsid w:val="00754431"/>
    <w:rsid w:val="0076160F"/>
    <w:rsid w:val="007618BC"/>
    <w:rsid w:val="00761E80"/>
    <w:rsid w:val="007624A1"/>
    <w:rsid w:val="00763345"/>
    <w:rsid w:val="00763854"/>
    <w:rsid w:val="00763F44"/>
    <w:rsid w:val="007658B4"/>
    <w:rsid w:val="00766562"/>
    <w:rsid w:val="007669A2"/>
    <w:rsid w:val="0077288F"/>
    <w:rsid w:val="00772E9D"/>
    <w:rsid w:val="00773A34"/>
    <w:rsid w:val="00773A65"/>
    <w:rsid w:val="00773B24"/>
    <w:rsid w:val="00774179"/>
    <w:rsid w:val="00776106"/>
    <w:rsid w:val="007770D2"/>
    <w:rsid w:val="00777DAB"/>
    <w:rsid w:val="00781136"/>
    <w:rsid w:val="00781E88"/>
    <w:rsid w:val="0078298D"/>
    <w:rsid w:val="00783D80"/>
    <w:rsid w:val="00784164"/>
    <w:rsid w:val="00787832"/>
    <w:rsid w:val="007903EB"/>
    <w:rsid w:val="00790C51"/>
    <w:rsid w:val="00792207"/>
    <w:rsid w:val="00794284"/>
    <w:rsid w:val="007964B3"/>
    <w:rsid w:val="00796654"/>
    <w:rsid w:val="00796828"/>
    <w:rsid w:val="007A41F3"/>
    <w:rsid w:val="007A73BF"/>
    <w:rsid w:val="007A772C"/>
    <w:rsid w:val="007B1306"/>
    <w:rsid w:val="007B1C56"/>
    <w:rsid w:val="007B46F6"/>
    <w:rsid w:val="007B52A8"/>
    <w:rsid w:val="007C0592"/>
    <w:rsid w:val="007C3780"/>
    <w:rsid w:val="007C3985"/>
    <w:rsid w:val="007C3B88"/>
    <w:rsid w:val="007C4882"/>
    <w:rsid w:val="007C5F39"/>
    <w:rsid w:val="007C6150"/>
    <w:rsid w:val="007C6FF0"/>
    <w:rsid w:val="007D1860"/>
    <w:rsid w:val="007D26C8"/>
    <w:rsid w:val="007D4D96"/>
    <w:rsid w:val="007D5CAA"/>
    <w:rsid w:val="007D66C9"/>
    <w:rsid w:val="007D77F4"/>
    <w:rsid w:val="007D790A"/>
    <w:rsid w:val="007D7E44"/>
    <w:rsid w:val="007E033B"/>
    <w:rsid w:val="007E172C"/>
    <w:rsid w:val="007E5498"/>
    <w:rsid w:val="007E6EF0"/>
    <w:rsid w:val="007E6F0E"/>
    <w:rsid w:val="007F0C9A"/>
    <w:rsid w:val="007F2AE8"/>
    <w:rsid w:val="007F43B3"/>
    <w:rsid w:val="007F5171"/>
    <w:rsid w:val="007F6E68"/>
    <w:rsid w:val="007F7586"/>
    <w:rsid w:val="00800AB0"/>
    <w:rsid w:val="00801B06"/>
    <w:rsid w:val="008044FC"/>
    <w:rsid w:val="00804B80"/>
    <w:rsid w:val="00804B8C"/>
    <w:rsid w:val="00810143"/>
    <w:rsid w:val="0081072A"/>
    <w:rsid w:val="008118E6"/>
    <w:rsid w:val="00813FA2"/>
    <w:rsid w:val="00815905"/>
    <w:rsid w:val="00817A14"/>
    <w:rsid w:val="00820139"/>
    <w:rsid w:val="00821A78"/>
    <w:rsid w:val="00822426"/>
    <w:rsid w:val="0082452E"/>
    <w:rsid w:val="00824FE3"/>
    <w:rsid w:val="0082728E"/>
    <w:rsid w:val="00827E35"/>
    <w:rsid w:val="008362D3"/>
    <w:rsid w:val="00837F27"/>
    <w:rsid w:val="00840489"/>
    <w:rsid w:val="00842534"/>
    <w:rsid w:val="008425F2"/>
    <w:rsid w:val="0084291F"/>
    <w:rsid w:val="00844BF0"/>
    <w:rsid w:val="00850C33"/>
    <w:rsid w:val="008520DE"/>
    <w:rsid w:val="00853FF2"/>
    <w:rsid w:val="008541CF"/>
    <w:rsid w:val="0085507B"/>
    <w:rsid w:val="00855249"/>
    <w:rsid w:val="0085554F"/>
    <w:rsid w:val="00856A4E"/>
    <w:rsid w:val="00857044"/>
    <w:rsid w:val="00857B69"/>
    <w:rsid w:val="00861449"/>
    <w:rsid w:val="00865CFF"/>
    <w:rsid w:val="008663D5"/>
    <w:rsid w:val="008711BA"/>
    <w:rsid w:val="008711D5"/>
    <w:rsid w:val="0087320E"/>
    <w:rsid w:val="008734F3"/>
    <w:rsid w:val="0087798B"/>
    <w:rsid w:val="00880A42"/>
    <w:rsid w:val="008839BE"/>
    <w:rsid w:val="00884FD1"/>
    <w:rsid w:val="00885F30"/>
    <w:rsid w:val="00886423"/>
    <w:rsid w:val="00887C3A"/>
    <w:rsid w:val="00890310"/>
    <w:rsid w:val="008903F7"/>
    <w:rsid w:val="00891193"/>
    <w:rsid w:val="00892E43"/>
    <w:rsid w:val="00892E92"/>
    <w:rsid w:val="00893B65"/>
    <w:rsid w:val="0089510D"/>
    <w:rsid w:val="00895AFB"/>
    <w:rsid w:val="008973CE"/>
    <w:rsid w:val="008977A3"/>
    <w:rsid w:val="008A1EEB"/>
    <w:rsid w:val="008A3B93"/>
    <w:rsid w:val="008A3D03"/>
    <w:rsid w:val="008A4ED4"/>
    <w:rsid w:val="008A5FFC"/>
    <w:rsid w:val="008A70E1"/>
    <w:rsid w:val="008A7449"/>
    <w:rsid w:val="008B031C"/>
    <w:rsid w:val="008B2027"/>
    <w:rsid w:val="008B4F23"/>
    <w:rsid w:val="008C03CE"/>
    <w:rsid w:val="008C1AF5"/>
    <w:rsid w:val="008C2911"/>
    <w:rsid w:val="008C68B1"/>
    <w:rsid w:val="008D2919"/>
    <w:rsid w:val="008D2B15"/>
    <w:rsid w:val="008D411E"/>
    <w:rsid w:val="008D43FD"/>
    <w:rsid w:val="008D51CC"/>
    <w:rsid w:val="008D6913"/>
    <w:rsid w:val="008D7A6D"/>
    <w:rsid w:val="008D7B2E"/>
    <w:rsid w:val="008E3000"/>
    <w:rsid w:val="008E3EE7"/>
    <w:rsid w:val="008E3F43"/>
    <w:rsid w:val="008E74F1"/>
    <w:rsid w:val="008E7F69"/>
    <w:rsid w:val="008F058D"/>
    <w:rsid w:val="008F0E44"/>
    <w:rsid w:val="008F2F0D"/>
    <w:rsid w:val="008F3B41"/>
    <w:rsid w:val="008F45DA"/>
    <w:rsid w:val="008F4A7B"/>
    <w:rsid w:val="008F7B28"/>
    <w:rsid w:val="00903500"/>
    <w:rsid w:val="00904064"/>
    <w:rsid w:val="00905E44"/>
    <w:rsid w:val="00906B83"/>
    <w:rsid w:val="00911F6B"/>
    <w:rsid w:val="00912A0C"/>
    <w:rsid w:val="00913015"/>
    <w:rsid w:val="00913B6F"/>
    <w:rsid w:val="00914A0E"/>
    <w:rsid w:val="00914BC8"/>
    <w:rsid w:val="0091605C"/>
    <w:rsid w:val="00920F9C"/>
    <w:rsid w:val="00922F28"/>
    <w:rsid w:val="00924A15"/>
    <w:rsid w:val="0092561F"/>
    <w:rsid w:val="00925A03"/>
    <w:rsid w:val="009304DB"/>
    <w:rsid w:val="00931D67"/>
    <w:rsid w:val="00933F5C"/>
    <w:rsid w:val="009352A0"/>
    <w:rsid w:val="009359F4"/>
    <w:rsid w:val="0093705E"/>
    <w:rsid w:val="009375FD"/>
    <w:rsid w:val="009401CF"/>
    <w:rsid w:val="00941C22"/>
    <w:rsid w:val="00943232"/>
    <w:rsid w:val="00944D74"/>
    <w:rsid w:val="00946B68"/>
    <w:rsid w:val="00950035"/>
    <w:rsid w:val="00950B30"/>
    <w:rsid w:val="00951811"/>
    <w:rsid w:val="00951849"/>
    <w:rsid w:val="00953FB6"/>
    <w:rsid w:val="00954348"/>
    <w:rsid w:val="009604E3"/>
    <w:rsid w:val="00961064"/>
    <w:rsid w:val="00962125"/>
    <w:rsid w:val="0096330E"/>
    <w:rsid w:val="0096368A"/>
    <w:rsid w:val="009674C0"/>
    <w:rsid w:val="009675A8"/>
    <w:rsid w:val="00970FAD"/>
    <w:rsid w:val="00970FD0"/>
    <w:rsid w:val="00973DC8"/>
    <w:rsid w:val="009761D4"/>
    <w:rsid w:val="0097719F"/>
    <w:rsid w:val="00982667"/>
    <w:rsid w:val="009833F5"/>
    <w:rsid w:val="009839B8"/>
    <w:rsid w:val="00984228"/>
    <w:rsid w:val="00985AC2"/>
    <w:rsid w:val="00985D4E"/>
    <w:rsid w:val="00991DA6"/>
    <w:rsid w:val="009930C0"/>
    <w:rsid w:val="00996AFB"/>
    <w:rsid w:val="00996ECC"/>
    <w:rsid w:val="009971D9"/>
    <w:rsid w:val="009A0534"/>
    <w:rsid w:val="009A15C7"/>
    <w:rsid w:val="009A3972"/>
    <w:rsid w:val="009A3D49"/>
    <w:rsid w:val="009A450D"/>
    <w:rsid w:val="009A5A9B"/>
    <w:rsid w:val="009A5BA8"/>
    <w:rsid w:val="009B28F1"/>
    <w:rsid w:val="009B3819"/>
    <w:rsid w:val="009B4EB7"/>
    <w:rsid w:val="009B5A20"/>
    <w:rsid w:val="009B5B7E"/>
    <w:rsid w:val="009B72E8"/>
    <w:rsid w:val="009C1C7C"/>
    <w:rsid w:val="009C58F4"/>
    <w:rsid w:val="009C781A"/>
    <w:rsid w:val="009D0776"/>
    <w:rsid w:val="009D0D58"/>
    <w:rsid w:val="009D41D1"/>
    <w:rsid w:val="009D661E"/>
    <w:rsid w:val="009D6FBD"/>
    <w:rsid w:val="009E063C"/>
    <w:rsid w:val="009E2963"/>
    <w:rsid w:val="009E6287"/>
    <w:rsid w:val="009E63C3"/>
    <w:rsid w:val="009E7938"/>
    <w:rsid w:val="009F188E"/>
    <w:rsid w:val="009F2073"/>
    <w:rsid w:val="009F531E"/>
    <w:rsid w:val="00A01D80"/>
    <w:rsid w:val="00A02716"/>
    <w:rsid w:val="00A02F18"/>
    <w:rsid w:val="00A0540F"/>
    <w:rsid w:val="00A071D7"/>
    <w:rsid w:val="00A10044"/>
    <w:rsid w:val="00A12C33"/>
    <w:rsid w:val="00A12CF3"/>
    <w:rsid w:val="00A136E1"/>
    <w:rsid w:val="00A141FB"/>
    <w:rsid w:val="00A14991"/>
    <w:rsid w:val="00A171CA"/>
    <w:rsid w:val="00A21624"/>
    <w:rsid w:val="00A228F0"/>
    <w:rsid w:val="00A23727"/>
    <w:rsid w:val="00A25DFC"/>
    <w:rsid w:val="00A266D3"/>
    <w:rsid w:val="00A27AD2"/>
    <w:rsid w:val="00A30F0F"/>
    <w:rsid w:val="00A31144"/>
    <w:rsid w:val="00A3472C"/>
    <w:rsid w:val="00A35F2F"/>
    <w:rsid w:val="00A363D1"/>
    <w:rsid w:val="00A40DC6"/>
    <w:rsid w:val="00A418B4"/>
    <w:rsid w:val="00A43EA4"/>
    <w:rsid w:val="00A44B3B"/>
    <w:rsid w:val="00A45475"/>
    <w:rsid w:val="00A45D27"/>
    <w:rsid w:val="00A51A54"/>
    <w:rsid w:val="00A527FC"/>
    <w:rsid w:val="00A544A3"/>
    <w:rsid w:val="00A55E67"/>
    <w:rsid w:val="00A61AB6"/>
    <w:rsid w:val="00A64428"/>
    <w:rsid w:val="00A6460C"/>
    <w:rsid w:val="00A66E9D"/>
    <w:rsid w:val="00A6767C"/>
    <w:rsid w:val="00A726C1"/>
    <w:rsid w:val="00A75163"/>
    <w:rsid w:val="00A765BB"/>
    <w:rsid w:val="00A77972"/>
    <w:rsid w:val="00A77C5A"/>
    <w:rsid w:val="00A81646"/>
    <w:rsid w:val="00A8456C"/>
    <w:rsid w:val="00A854B5"/>
    <w:rsid w:val="00A87FF1"/>
    <w:rsid w:val="00A90502"/>
    <w:rsid w:val="00A90B87"/>
    <w:rsid w:val="00A9512C"/>
    <w:rsid w:val="00A95835"/>
    <w:rsid w:val="00A964B0"/>
    <w:rsid w:val="00AA0578"/>
    <w:rsid w:val="00AA6252"/>
    <w:rsid w:val="00AA65B9"/>
    <w:rsid w:val="00AB06DC"/>
    <w:rsid w:val="00AB13C2"/>
    <w:rsid w:val="00AB4B79"/>
    <w:rsid w:val="00AB6ECC"/>
    <w:rsid w:val="00AB6F37"/>
    <w:rsid w:val="00AC0552"/>
    <w:rsid w:val="00AC3587"/>
    <w:rsid w:val="00AC70BE"/>
    <w:rsid w:val="00AC7210"/>
    <w:rsid w:val="00AC7639"/>
    <w:rsid w:val="00AD3D39"/>
    <w:rsid w:val="00AD403D"/>
    <w:rsid w:val="00AD465C"/>
    <w:rsid w:val="00AD492E"/>
    <w:rsid w:val="00AD4FE7"/>
    <w:rsid w:val="00AD784D"/>
    <w:rsid w:val="00AE2A14"/>
    <w:rsid w:val="00AE4992"/>
    <w:rsid w:val="00AF1431"/>
    <w:rsid w:val="00AF1C67"/>
    <w:rsid w:val="00AF243B"/>
    <w:rsid w:val="00AF54F8"/>
    <w:rsid w:val="00AF77DF"/>
    <w:rsid w:val="00B01C78"/>
    <w:rsid w:val="00B03186"/>
    <w:rsid w:val="00B05073"/>
    <w:rsid w:val="00B10F84"/>
    <w:rsid w:val="00B12218"/>
    <w:rsid w:val="00B143ED"/>
    <w:rsid w:val="00B20708"/>
    <w:rsid w:val="00B2113B"/>
    <w:rsid w:val="00B215B6"/>
    <w:rsid w:val="00B21C0A"/>
    <w:rsid w:val="00B24DAB"/>
    <w:rsid w:val="00B267C6"/>
    <w:rsid w:val="00B34E0E"/>
    <w:rsid w:val="00B3612C"/>
    <w:rsid w:val="00B4043F"/>
    <w:rsid w:val="00B428FD"/>
    <w:rsid w:val="00B44EAE"/>
    <w:rsid w:val="00B45453"/>
    <w:rsid w:val="00B47DBA"/>
    <w:rsid w:val="00B47EC2"/>
    <w:rsid w:val="00B555AD"/>
    <w:rsid w:val="00B55FC3"/>
    <w:rsid w:val="00B632B9"/>
    <w:rsid w:val="00B641DF"/>
    <w:rsid w:val="00B6733E"/>
    <w:rsid w:val="00B704E9"/>
    <w:rsid w:val="00B709B4"/>
    <w:rsid w:val="00B70E90"/>
    <w:rsid w:val="00B72310"/>
    <w:rsid w:val="00B72B85"/>
    <w:rsid w:val="00B73E67"/>
    <w:rsid w:val="00B74C5D"/>
    <w:rsid w:val="00B82146"/>
    <w:rsid w:val="00B908F4"/>
    <w:rsid w:val="00B90BD7"/>
    <w:rsid w:val="00B92C65"/>
    <w:rsid w:val="00B934E7"/>
    <w:rsid w:val="00B96528"/>
    <w:rsid w:val="00B970C8"/>
    <w:rsid w:val="00B97936"/>
    <w:rsid w:val="00B97EE6"/>
    <w:rsid w:val="00BA01D0"/>
    <w:rsid w:val="00BA3515"/>
    <w:rsid w:val="00BA4AE5"/>
    <w:rsid w:val="00BA6327"/>
    <w:rsid w:val="00BA6884"/>
    <w:rsid w:val="00BB2DFE"/>
    <w:rsid w:val="00BB435F"/>
    <w:rsid w:val="00BB6046"/>
    <w:rsid w:val="00BB670D"/>
    <w:rsid w:val="00BB7D89"/>
    <w:rsid w:val="00BC00C9"/>
    <w:rsid w:val="00BC17C8"/>
    <w:rsid w:val="00BC58E1"/>
    <w:rsid w:val="00BC6378"/>
    <w:rsid w:val="00BC6B63"/>
    <w:rsid w:val="00BD032F"/>
    <w:rsid w:val="00BD38C0"/>
    <w:rsid w:val="00BD41B7"/>
    <w:rsid w:val="00BD4884"/>
    <w:rsid w:val="00BD6AF7"/>
    <w:rsid w:val="00BE3D9D"/>
    <w:rsid w:val="00BE55D4"/>
    <w:rsid w:val="00BE58EB"/>
    <w:rsid w:val="00BE5E27"/>
    <w:rsid w:val="00BE671A"/>
    <w:rsid w:val="00BE6920"/>
    <w:rsid w:val="00BE6D10"/>
    <w:rsid w:val="00BE7B01"/>
    <w:rsid w:val="00BE7C01"/>
    <w:rsid w:val="00BE7C11"/>
    <w:rsid w:val="00BF357F"/>
    <w:rsid w:val="00BF53C3"/>
    <w:rsid w:val="00BF6B67"/>
    <w:rsid w:val="00C041C6"/>
    <w:rsid w:val="00C04406"/>
    <w:rsid w:val="00C05D70"/>
    <w:rsid w:val="00C06E45"/>
    <w:rsid w:val="00C06E65"/>
    <w:rsid w:val="00C12430"/>
    <w:rsid w:val="00C1500D"/>
    <w:rsid w:val="00C17177"/>
    <w:rsid w:val="00C20807"/>
    <w:rsid w:val="00C22A0C"/>
    <w:rsid w:val="00C24DE2"/>
    <w:rsid w:val="00C26FCA"/>
    <w:rsid w:val="00C27497"/>
    <w:rsid w:val="00C32121"/>
    <w:rsid w:val="00C33B11"/>
    <w:rsid w:val="00C343B1"/>
    <w:rsid w:val="00C36D05"/>
    <w:rsid w:val="00C378A2"/>
    <w:rsid w:val="00C37DA6"/>
    <w:rsid w:val="00C403CC"/>
    <w:rsid w:val="00C464A6"/>
    <w:rsid w:val="00C4754E"/>
    <w:rsid w:val="00C52414"/>
    <w:rsid w:val="00C525F6"/>
    <w:rsid w:val="00C52A20"/>
    <w:rsid w:val="00C5384C"/>
    <w:rsid w:val="00C54242"/>
    <w:rsid w:val="00C5445B"/>
    <w:rsid w:val="00C57249"/>
    <w:rsid w:val="00C62764"/>
    <w:rsid w:val="00C62D08"/>
    <w:rsid w:val="00C654E9"/>
    <w:rsid w:val="00C65C5E"/>
    <w:rsid w:val="00C66D54"/>
    <w:rsid w:val="00C6725F"/>
    <w:rsid w:val="00C77886"/>
    <w:rsid w:val="00C82F3B"/>
    <w:rsid w:val="00C82FC3"/>
    <w:rsid w:val="00C8395D"/>
    <w:rsid w:val="00C839C3"/>
    <w:rsid w:val="00C858E4"/>
    <w:rsid w:val="00C85D04"/>
    <w:rsid w:val="00C85F74"/>
    <w:rsid w:val="00C86703"/>
    <w:rsid w:val="00C8697D"/>
    <w:rsid w:val="00C92A18"/>
    <w:rsid w:val="00C93E79"/>
    <w:rsid w:val="00C9561B"/>
    <w:rsid w:val="00C958AE"/>
    <w:rsid w:val="00CA0238"/>
    <w:rsid w:val="00CA0AA8"/>
    <w:rsid w:val="00CA1231"/>
    <w:rsid w:val="00CA558E"/>
    <w:rsid w:val="00CB0AC1"/>
    <w:rsid w:val="00CB17BE"/>
    <w:rsid w:val="00CB43C6"/>
    <w:rsid w:val="00CB6E34"/>
    <w:rsid w:val="00CB6E73"/>
    <w:rsid w:val="00CB6EFE"/>
    <w:rsid w:val="00CC3E50"/>
    <w:rsid w:val="00CC484D"/>
    <w:rsid w:val="00CC64DE"/>
    <w:rsid w:val="00CC754E"/>
    <w:rsid w:val="00CD246C"/>
    <w:rsid w:val="00CD5DFB"/>
    <w:rsid w:val="00CD76A0"/>
    <w:rsid w:val="00CE0EC2"/>
    <w:rsid w:val="00CE3334"/>
    <w:rsid w:val="00CE476C"/>
    <w:rsid w:val="00CE5664"/>
    <w:rsid w:val="00CE6875"/>
    <w:rsid w:val="00CE7357"/>
    <w:rsid w:val="00CF1955"/>
    <w:rsid w:val="00CF2D79"/>
    <w:rsid w:val="00CF3448"/>
    <w:rsid w:val="00CF4A96"/>
    <w:rsid w:val="00CF5B6C"/>
    <w:rsid w:val="00CF648A"/>
    <w:rsid w:val="00D009EE"/>
    <w:rsid w:val="00D010D4"/>
    <w:rsid w:val="00D016B5"/>
    <w:rsid w:val="00D01C9B"/>
    <w:rsid w:val="00D0530D"/>
    <w:rsid w:val="00D05EEF"/>
    <w:rsid w:val="00D11377"/>
    <w:rsid w:val="00D117BE"/>
    <w:rsid w:val="00D12167"/>
    <w:rsid w:val="00D122D5"/>
    <w:rsid w:val="00D156C2"/>
    <w:rsid w:val="00D2031C"/>
    <w:rsid w:val="00D22BAA"/>
    <w:rsid w:val="00D230B6"/>
    <w:rsid w:val="00D23DC7"/>
    <w:rsid w:val="00D24630"/>
    <w:rsid w:val="00D256A8"/>
    <w:rsid w:val="00D306F7"/>
    <w:rsid w:val="00D31809"/>
    <w:rsid w:val="00D335AA"/>
    <w:rsid w:val="00D3383B"/>
    <w:rsid w:val="00D3667B"/>
    <w:rsid w:val="00D36C76"/>
    <w:rsid w:val="00D4050E"/>
    <w:rsid w:val="00D40D2A"/>
    <w:rsid w:val="00D41427"/>
    <w:rsid w:val="00D4243C"/>
    <w:rsid w:val="00D436E4"/>
    <w:rsid w:val="00D44058"/>
    <w:rsid w:val="00D444E0"/>
    <w:rsid w:val="00D47385"/>
    <w:rsid w:val="00D50004"/>
    <w:rsid w:val="00D500E1"/>
    <w:rsid w:val="00D53F4C"/>
    <w:rsid w:val="00D54795"/>
    <w:rsid w:val="00D55023"/>
    <w:rsid w:val="00D56C48"/>
    <w:rsid w:val="00D60C3B"/>
    <w:rsid w:val="00D629B6"/>
    <w:rsid w:val="00D62D74"/>
    <w:rsid w:val="00D6378C"/>
    <w:rsid w:val="00D64779"/>
    <w:rsid w:val="00D6790B"/>
    <w:rsid w:val="00D70CA9"/>
    <w:rsid w:val="00D71A00"/>
    <w:rsid w:val="00D71F1B"/>
    <w:rsid w:val="00D80318"/>
    <w:rsid w:val="00D8042F"/>
    <w:rsid w:val="00D80D58"/>
    <w:rsid w:val="00D82AA5"/>
    <w:rsid w:val="00D834F0"/>
    <w:rsid w:val="00D85832"/>
    <w:rsid w:val="00D86A95"/>
    <w:rsid w:val="00D91683"/>
    <w:rsid w:val="00D92452"/>
    <w:rsid w:val="00D93E3D"/>
    <w:rsid w:val="00D96807"/>
    <w:rsid w:val="00DA064B"/>
    <w:rsid w:val="00DA6DB1"/>
    <w:rsid w:val="00DA7A1C"/>
    <w:rsid w:val="00DB1D75"/>
    <w:rsid w:val="00DB3436"/>
    <w:rsid w:val="00DB35B0"/>
    <w:rsid w:val="00DB38B8"/>
    <w:rsid w:val="00DB4275"/>
    <w:rsid w:val="00DB5A7C"/>
    <w:rsid w:val="00DC207D"/>
    <w:rsid w:val="00DC2D34"/>
    <w:rsid w:val="00DC2D3E"/>
    <w:rsid w:val="00DC4960"/>
    <w:rsid w:val="00DC4B54"/>
    <w:rsid w:val="00DC5959"/>
    <w:rsid w:val="00DC63B8"/>
    <w:rsid w:val="00DD10C5"/>
    <w:rsid w:val="00DD2860"/>
    <w:rsid w:val="00DD37EB"/>
    <w:rsid w:val="00DD5D73"/>
    <w:rsid w:val="00DD5D96"/>
    <w:rsid w:val="00DD6BE0"/>
    <w:rsid w:val="00DE10A3"/>
    <w:rsid w:val="00DE3208"/>
    <w:rsid w:val="00DE5186"/>
    <w:rsid w:val="00DE57CE"/>
    <w:rsid w:val="00DF5318"/>
    <w:rsid w:val="00DF623B"/>
    <w:rsid w:val="00DF79F3"/>
    <w:rsid w:val="00E005F5"/>
    <w:rsid w:val="00E029E1"/>
    <w:rsid w:val="00E03911"/>
    <w:rsid w:val="00E043CB"/>
    <w:rsid w:val="00E04C91"/>
    <w:rsid w:val="00E0570A"/>
    <w:rsid w:val="00E07E49"/>
    <w:rsid w:val="00E116A7"/>
    <w:rsid w:val="00E123DD"/>
    <w:rsid w:val="00E1561C"/>
    <w:rsid w:val="00E21008"/>
    <w:rsid w:val="00E211BC"/>
    <w:rsid w:val="00E21801"/>
    <w:rsid w:val="00E242DC"/>
    <w:rsid w:val="00E26059"/>
    <w:rsid w:val="00E269FF"/>
    <w:rsid w:val="00E26FE0"/>
    <w:rsid w:val="00E30773"/>
    <w:rsid w:val="00E3135A"/>
    <w:rsid w:val="00E33C11"/>
    <w:rsid w:val="00E34A3D"/>
    <w:rsid w:val="00E35059"/>
    <w:rsid w:val="00E358F6"/>
    <w:rsid w:val="00E37DAC"/>
    <w:rsid w:val="00E4068B"/>
    <w:rsid w:val="00E41BE2"/>
    <w:rsid w:val="00E42864"/>
    <w:rsid w:val="00E460BC"/>
    <w:rsid w:val="00E465A3"/>
    <w:rsid w:val="00E475D5"/>
    <w:rsid w:val="00E47693"/>
    <w:rsid w:val="00E47AE8"/>
    <w:rsid w:val="00E506F4"/>
    <w:rsid w:val="00E51D72"/>
    <w:rsid w:val="00E52C5A"/>
    <w:rsid w:val="00E53C7C"/>
    <w:rsid w:val="00E566AD"/>
    <w:rsid w:val="00E6192C"/>
    <w:rsid w:val="00E65282"/>
    <w:rsid w:val="00E655AF"/>
    <w:rsid w:val="00E71276"/>
    <w:rsid w:val="00E71449"/>
    <w:rsid w:val="00E73946"/>
    <w:rsid w:val="00E76EA3"/>
    <w:rsid w:val="00E819DA"/>
    <w:rsid w:val="00E83212"/>
    <w:rsid w:val="00E845D3"/>
    <w:rsid w:val="00E8512C"/>
    <w:rsid w:val="00E85850"/>
    <w:rsid w:val="00E867EA"/>
    <w:rsid w:val="00E9200E"/>
    <w:rsid w:val="00E92DFE"/>
    <w:rsid w:val="00E94171"/>
    <w:rsid w:val="00E96AFA"/>
    <w:rsid w:val="00E9754E"/>
    <w:rsid w:val="00E97CB4"/>
    <w:rsid w:val="00E97ED9"/>
    <w:rsid w:val="00EA3194"/>
    <w:rsid w:val="00EA3806"/>
    <w:rsid w:val="00EA39D5"/>
    <w:rsid w:val="00EA3E04"/>
    <w:rsid w:val="00EA6675"/>
    <w:rsid w:val="00EB22EA"/>
    <w:rsid w:val="00EB4AD1"/>
    <w:rsid w:val="00EB53DA"/>
    <w:rsid w:val="00EC025A"/>
    <w:rsid w:val="00EC0664"/>
    <w:rsid w:val="00EC522D"/>
    <w:rsid w:val="00EC713C"/>
    <w:rsid w:val="00ED0A65"/>
    <w:rsid w:val="00ED1885"/>
    <w:rsid w:val="00ED38F7"/>
    <w:rsid w:val="00ED3EF8"/>
    <w:rsid w:val="00ED45DD"/>
    <w:rsid w:val="00ED530B"/>
    <w:rsid w:val="00ED67CD"/>
    <w:rsid w:val="00EE1B53"/>
    <w:rsid w:val="00EE29C2"/>
    <w:rsid w:val="00EE3CE4"/>
    <w:rsid w:val="00EE3FBF"/>
    <w:rsid w:val="00EF1DFE"/>
    <w:rsid w:val="00EF2A42"/>
    <w:rsid w:val="00EF3901"/>
    <w:rsid w:val="00EF67BA"/>
    <w:rsid w:val="00EF6BE3"/>
    <w:rsid w:val="00F02117"/>
    <w:rsid w:val="00F03186"/>
    <w:rsid w:val="00F0473A"/>
    <w:rsid w:val="00F05B1C"/>
    <w:rsid w:val="00F074F4"/>
    <w:rsid w:val="00F0792F"/>
    <w:rsid w:val="00F10AC5"/>
    <w:rsid w:val="00F1198A"/>
    <w:rsid w:val="00F11BD8"/>
    <w:rsid w:val="00F14432"/>
    <w:rsid w:val="00F14EBA"/>
    <w:rsid w:val="00F14EFA"/>
    <w:rsid w:val="00F1627C"/>
    <w:rsid w:val="00F16BAB"/>
    <w:rsid w:val="00F179CA"/>
    <w:rsid w:val="00F2161D"/>
    <w:rsid w:val="00F24F14"/>
    <w:rsid w:val="00F30A83"/>
    <w:rsid w:val="00F30B41"/>
    <w:rsid w:val="00F318FA"/>
    <w:rsid w:val="00F346BC"/>
    <w:rsid w:val="00F34700"/>
    <w:rsid w:val="00F34898"/>
    <w:rsid w:val="00F369FE"/>
    <w:rsid w:val="00F37773"/>
    <w:rsid w:val="00F37810"/>
    <w:rsid w:val="00F40E85"/>
    <w:rsid w:val="00F41A05"/>
    <w:rsid w:val="00F421E7"/>
    <w:rsid w:val="00F43E75"/>
    <w:rsid w:val="00F458AE"/>
    <w:rsid w:val="00F51BA7"/>
    <w:rsid w:val="00F547CD"/>
    <w:rsid w:val="00F5490C"/>
    <w:rsid w:val="00F568A1"/>
    <w:rsid w:val="00F62226"/>
    <w:rsid w:val="00F64096"/>
    <w:rsid w:val="00F648AF"/>
    <w:rsid w:val="00F65F0B"/>
    <w:rsid w:val="00F66F67"/>
    <w:rsid w:val="00F700BA"/>
    <w:rsid w:val="00F72884"/>
    <w:rsid w:val="00F742E1"/>
    <w:rsid w:val="00F7488A"/>
    <w:rsid w:val="00F760C7"/>
    <w:rsid w:val="00F76190"/>
    <w:rsid w:val="00F766D2"/>
    <w:rsid w:val="00F82B7F"/>
    <w:rsid w:val="00F8395D"/>
    <w:rsid w:val="00F8494A"/>
    <w:rsid w:val="00F84FAE"/>
    <w:rsid w:val="00F854AC"/>
    <w:rsid w:val="00F85B90"/>
    <w:rsid w:val="00F85F19"/>
    <w:rsid w:val="00F90FB5"/>
    <w:rsid w:val="00F92333"/>
    <w:rsid w:val="00F93F17"/>
    <w:rsid w:val="00F95E7C"/>
    <w:rsid w:val="00F96720"/>
    <w:rsid w:val="00F967FE"/>
    <w:rsid w:val="00F96B53"/>
    <w:rsid w:val="00FA0626"/>
    <w:rsid w:val="00FA06CE"/>
    <w:rsid w:val="00FA08B1"/>
    <w:rsid w:val="00FA0D02"/>
    <w:rsid w:val="00FA1A26"/>
    <w:rsid w:val="00FA256B"/>
    <w:rsid w:val="00FA4A62"/>
    <w:rsid w:val="00FB3DC1"/>
    <w:rsid w:val="00FB50AC"/>
    <w:rsid w:val="00FD069C"/>
    <w:rsid w:val="00FD4597"/>
    <w:rsid w:val="00FD581E"/>
    <w:rsid w:val="00FD5A9D"/>
    <w:rsid w:val="00FD5AF6"/>
    <w:rsid w:val="00FD5D3A"/>
    <w:rsid w:val="00FD5E59"/>
    <w:rsid w:val="00FD69ED"/>
    <w:rsid w:val="00FD7ADF"/>
    <w:rsid w:val="00FD7E16"/>
    <w:rsid w:val="00FE65D9"/>
    <w:rsid w:val="00FE6FF6"/>
    <w:rsid w:val="00FE730A"/>
    <w:rsid w:val="00FF24FE"/>
    <w:rsid w:val="00FF39D6"/>
    <w:rsid w:val="00FF6FA6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91b3c5,#ffd09b,#ffd0b9"/>
    </o:shapedefaults>
    <o:shapelayout v:ext="edit">
      <o:idmap v:ext="edit" data="1"/>
    </o:shapelayout>
  </w:shapeDefaults>
  <w:decimalSymbol w:val="."/>
  <w:listSeparator w:val=","/>
  <w15:docId w15:val="{ABA718C6-E585-4895-9C8A-E98722F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/>
        <w:ind w:left="1304" w:hanging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~BodyText"/>
    <w:qFormat/>
    <w:rsid w:val="001647E1"/>
    <w:pPr>
      <w:spacing w:before="180" w:after="0"/>
      <w:ind w:left="0" w:firstLine="0"/>
    </w:p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1647E1"/>
    <w:pPr>
      <w:numPr>
        <w:numId w:val="8"/>
      </w:numPr>
    </w:pPr>
    <w:rPr>
      <w:rFonts w:asciiTheme="majorHAnsi" w:hAnsiTheme="majorHAnsi" w:cs="Calibri"/>
      <w:color w:val="000000"/>
    </w:rPr>
  </w:style>
  <w:style w:type="paragraph" w:styleId="Heading2">
    <w:name w:val="heading 2"/>
    <w:aliases w:val="~SubHeading"/>
    <w:basedOn w:val="Heading1"/>
    <w:next w:val="Normal"/>
    <w:link w:val="Heading2Char"/>
    <w:uiPriority w:val="9"/>
    <w:unhideWhenUsed/>
    <w:qFormat/>
    <w:rsid w:val="001647E1"/>
    <w:pPr>
      <w:pageBreakBefore w:val="0"/>
      <w:numPr>
        <w:ilvl w:val="1"/>
      </w:numPr>
      <w:spacing w:before="300" w:after="0"/>
      <w:outlineLvl w:val="1"/>
    </w:pPr>
    <w:rPr>
      <w:sz w:val="32"/>
    </w:rPr>
  </w:style>
  <w:style w:type="paragraph" w:styleId="Heading3">
    <w:name w:val="heading 3"/>
    <w:aliases w:val="~MinorSubHeading"/>
    <w:basedOn w:val="Heading2"/>
    <w:next w:val="Normal"/>
    <w:link w:val="Heading3Char"/>
    <w:uiPriority w:val="9"/>
    <w:unhideWhenUsed/>
    <w:qFormat/>
    <w:rsid w:val="001647E1"/>
    <w:pPr>
      <w:numPr>
        <w:ilvl w:val="2"/>
      </w:numPr>
      <w:outlineLvl w:val="2"/>
    </w:pPr>
    <w:rPr>
      <w:sz w:val="24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unhideWhenUsed/>
    <w:qFormat/>
    <w:rsid w:val="001647E1"/>
    <w:pPr>
      <w:numPr>
        <w:ilvl w:val="3"/>
      </w:numPr>
      <w:outlineLvl w:val="3"/>
    </w:pPr>
    <w:rPr>
      <w:sz w:val="22"/>
    </w:rPr>
  </w:style>
  <w:style w:type="paragraph" w:styleId="Heading5">
    <w:name w:val="heading 5"/>
    <w:aliases w:val="~Level5Heading"/>
    <w:basedOn w:val="Heading4"/>
    <w:next w:val="Normal"/>
    <w:link w:val="Heading5Char"/>
    <w:uiPriority w:val="9"/>
    <w:unhideWhenUsed/>
    <w:qFormat/>
    <w:rsid w:val="001647E1"/>
    <w:pPr>
      <w:keepLines/>
      <w:numPr>
        <w:ilvl w:val="4"/>
      </w:numPr>
      <w:spacing w:before="20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647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647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647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647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HeadNonToc">
    <w:name w:val="~SecHeadNonToc"/>
    <w:basedOn w:val="NoSpacing"/>
    <w:next w:val="Normal"/>
    <w:qFormat/>
    <w:rsid w:val="001647E1"/>
    <w:pPr>
      <w:keepNext/>
      <w:pageBreakBefore/>
      <w:spacing w:after="120"/>
      <w:outlineLvl w:val="0"/>
    </w:pPr>
    <w:rPr>
      <w:b/>
      <w:sz w:val="44"/>
    </w:rPr>
  </w:style>
  <w:style w:type="paragraph" w:styleId="NoSpacing">
    <w:name w:val="No Spacing"/>
    <w:aliases w:val="~BaseStyle"/>
    <w:basedOn w:val="Normal"/>
    <w:link w:val="NoSpacingChar"/>
    <w:qFormat/>
    <w:rsid w:val="001647E1"/>
    <w:pPr>
      <w:spacing w:before="0"/>
    </w:pPr>
  </w:style>
  <w:style w:type="character" w:customStyle="1" w:styleId="NoSpacingChar">
    <w:name w:val="No Spacing Char"/>
    <w:aliases w:val="~BaseStyle Char"/>
    <w:basedOn w:val="DefaultParagraphFont"/>
    <w:link w:val="NoSpacing"/>
    <w:rsid w:val="001647E1"/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1647E1"/>
    <w:rPr>
      <w:rFonts w:asciiTheme="majorHAnsi" w:hAnsiTheme="majorHAnsi" w:cs="Calibri"/>
      <w:b/>
      <w:color w:val="000000"/>
      <w:sz w:val="44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1647E1"/>
    <w:rPr>
      <w:rFonts w:asciiTheme="majorHAnsi" w:hAnsiTheme="majorHAnsi" w:cs="Calibri"/>
      <w:b/>
      <w:color w:val="000000"/>
      <w:sz w:val="32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rsid w:val="001647E1"/>
    <w:rPr>
      <w:rFonts w:asciiTheme="majorHAnsi" w:hAnsiTheme="majorHAnsi" w:cs="Calibri"/>
      <w:b/>
      <w:color w:val="000000"/>
      <w:sz w:val="24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9"/>
    <w:rsid w:val="001647E1"/>
    <w:rPr>
      <w:rFonts w:asciiTheme="majorHAnsi" w:hAnsiTheme="majorHAnsi" w:cs="Calibri"/>
      <w:b/>
      <w:color w:val="000000"/>
    </w:rPr>
  </w:style>
  <w:style w:type="character" w:customStyle="1" w:styleId="Heading5Char">
    <w:name w:val="Heading 5 Char"/>
    <w:aliases w:val="~Level5Heading Char"/>
    <w:basedOn w:val="DefaultParagraphFont"/>
    <w:link w:val="Heading5"/>
    <w:uiPriority w:val="9"/>
    <w:rsid w:val="001647E1"/>
    <w:rPr>
      <w:rFonts w:asciiTheme="majorHAnsi" w:eastAsiaTheme="majorEastAsia" w:hAnsiTheme="majorHAnsi" w:cstheme="majorBidi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7E1"/>
    <w:rPr>
      <w:rFonts w:asciiTheme="majorHAnsi" w:eastAsiaTheme="majorEastAsia" w:hAnsiTheme="majorHAnsi" w:cstheme="majorBidi"/>
      <w:i/>
      <w:iCs/>
      <w:color w:val="00284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7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7E1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7E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noteText">
    <w:name w:val="footnote text"/>
    <w:aliases w:val="~FootnoteText"/>
    <w:basedOn w:val="NoSpacing"/>
    <w:link w:val="FootnoteTextChar"/>
    <w:rsid w:val="001647E1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rsid w:val="001647E1"/>
    <w:rPr>
      <w:sz w:val="18"/>
      <w:szCs w:val="20"/>
    </w:rPr>
  </w:style>
  <w:style w:type="character" w:styleId="FootnoteReference">
    <w:name w:val="footnote reference"/>
    <w:basedOn w:val="DefaultParagraphFont"/>
    <w:rsid w:val="001647E1"/>
    <w:rPr>
      <w:rFonts w:asciiTheme="minorHAnsi" w:hAnsiTheme="minorHAnsi"/>
      <w:vertAlign w:val="superscript"/>
    </w:rPr>
  </w:style>
  <w:style w:type="table" w:styleId="TableGrid">
    <w:name w:val="Table Grid"/>
    <w:basedOn w:val="TableNormal"/>
    <w:uiPriority w:val="59"/>
    <w:rsid w:val="001647E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semiHidden/>
    <w:rsid w:val="001647E1"/>
    <w:pPr>
      <w:ind w:left="720"/>
      <w:contextualSpacing/>
    </w:pPr>
  </w:style>
  <w:style w:type="paragraph" w:customStyle="1" w:styleId="Bullet1">
    <w:name w:val="~Bullet1"/>
    <w:basedOn w:val="Normal"/>
    <w:qFormat/>
    <w:rsid w:val="001647E1"/>
    <w:pPr>
      <w:numPr>
        <w:numId w:val="3"/>
      </w:numPr>
      <w:tabs>
        <w:tab w:val="left" w:pos="284"/>
      </w:tabs>
      <w:spacing w:before="60" w:after="60"/>
    </w:pPr>
    <w:rPr>
      <w:rFonts w:eastAsia="Calibri" w:cs="Arial"/>
      <w:szCs w:val="20"/>
    </w:rPr>
  </w:style>
  <w:style w:type="paragraph" w:customStyle="1" w:styleId="Bullet2">
    <w:name w:val="~Bullet2"/>
    <w:basedOn w:val="Bullet1"/>
    <w:qFormat/>
    <w:rsid w:val="001647E1"/>
    <w:pPr>
      <w:numPr>
        <w:ilvl w:val="1"/>
      </w:numPr>
      <w:tabs>
        <w:tab w:val="clear" w:pos="284"/>
      </w:tabs>
    </w:pPr>
  </w:style>
  <w:style w:type="paragraph" w:customStyle="1" w:styleId="Bullet3">
    <w:name w:val="~Bullet3"/>
    <w:basedOn w:val="Bullet2"/>
    <w:qFormat/>
    <w:rsid w:val="001647E1"/>
    <w:pPr>
      <w:numPr>
        <w:ilvl w:val="2"/>
      </w:numPr>
    </w:pPr>
  </w:style>
  <w:style w:type="paragraph" w:customStyle="1" w:styleId="NumBullet1">
    <w:name w:val="~NumBullet1"/>
    <w:basedOn w:val="Bullet1"/>
    <w:qFormat/>
    <w:rsid w:val="001647E1"/>
    <w:pPr>
      <w:numPr>
        <w:numId w:val="5"/>
      </w:numPr>
    </w:pPr>
  </w:style>
  <w:style w:type="paragraph" w:customStyle="1" w:styleId="NumBullet2">
    <w:name w:val="~NumBullet2"/>
    <w:basedOn w:val="NumBullet1"/>
    <w:qFormat/>
    <w:rsid w:val="001647E1"/>
    <w:pPr>
      <w:numPr>
        <w:ilvl w:val="1"/>
      </w:numPr>
      <w:tabs>
        <w:tab w:val="clear" w:pos="284"/>
      </w:tabs>
    </w:pPr>
  </w:style>
  <w:style w:type="paragraph" w:customStyle="1" w:styleId="NumBullet3">
    <w:name w:val="~NumBullet3"/>
    <w:basedOn w:val="NumBullet2"/>
    <w:qFormat/>
    <w:rsid w:val="001647E1"/>
    <w:pPr>
      <w:numPr>
        <w:ilvl w:val="2"/>
      </w:numPr>
    </w:pPr>
  </w:style>
  <w:style w:type="paragraph" w:customStyle="1" w:styleId="BodyHeading">
    <w:name w:val="~BodyHeading"/>
    <w:basedOn w:val="Normal"/>
    <w:next w:val="Normal"/>
    <w:qFormat/>
    <w:rsid w:val="001647E1"/>
    <w:pPr>
      <w:keepNext/>
      <w:spacing w:before="300"/>
    </w:pPr>
    <w:rPr>
      <w:b/>
    </w:rPr>
  </w:style>
  <w:style w:type="paragraph" w:styleId="Caption">
    <w:name w:val="caption"/>
    <w:aliases w:val="~Caption"/>
    <w:basedOn w:val="BodyHeading"/>
    <w:next w:val="Normal"/>
    <w:link w:val="CaptionChar"/>
    <w:qFormat/>
    <w:rsid w:val="001647E1"/>
    <w:pPr>
      <w:tabs>
        <w:tab w:val="left" w:pos="993"/>
      </w:tabs>
      <w:ind w:left="993" w:hanging="993"/>
    </w:pPr>
    <w:rPr>
      <w:rFonts w:eastAsia="Calibri" w:cs="Arial"/>
      <w:szCs w:val="20"/>
    </w:rPr>
  </w:style>
  <w:style w:type="character" w:customStyle="1" w:styleId="CaptionChar">
    <w:name w:val="Caption Char"/>
    <w:aliases w:val="~Caption Char"/>
    <w:basedOn w:val="DefaultParagraphFont"/>
    <w:link w:val="Caption"/>
    <w:rsid w:val="001647E1"/>
    <w:rPr>
      <w:rFonts w:eastAsia="Calibri" w:cs="Arial"/>
      <w:b/>
      <w:szCs w:val="20"/>
    </w:rPr>
  </w:style>
  <w:style w:type="paragraph" w:customStyle="1" w:styleId="Source">
    <w:name w:val="~Source"/>
    <w:basedOn w:val="Normal"/>
    <w:next w:val="Normal"/>
    <w:qFormat/>
    <w:rsid w:val="001647E1"/>
    <w:pPr>
      <w:spacing w:before="60" w:after="120"/>
      <w:ind w:left="709" w:hanging="709"/>
    </w:pPr>
    <w:rPr>
      <w:rFonts w:eastAsia="Calibri" w:cs="Arial"/>
      <w:i/>
      <w:sz w:val="18"/>
      <w:szCs w:val="20"/>
    </w:rPr>
  </w:style>
  <w:style w:type="paragraph" w:customStyle="1" w:styleId="TableTextLeft">
    <w:name w:val="~TableTextLeft"/>
    <w:basedOn w:val="Normal"/>
    <w:qFormat/>
    <w:rsid w:val="001647E1"/>
    <w:pPr>
      <w:spacing w:before="40" w:after="20"/>
    </w:pPr>
    <w:rPr>
      <w:sz w:val="20"/>
    </w:rPr>
  </w:style>
  <w:style w:type="paragraph" w:customStyle="1" w:styleId="TableTextRight">
    <w:name w:val="~TableTextRight"/>
    <w:basedOn w:val="TableTextLeft"/>
    <w:qFormat/>
    <w:rsid w:val="001647E1"/>
    <w:pPr>
      <w:jc w:val="right"/>
    </w:pPr>
  </w:style>
  <w:style w:type="paragraph" w:customStyle="1" w:styleId="TableHeadingLeft">
    <w:name w:val="~TableHeadingLeft"/>
    <w:basedOn w:val="TableTextLeft"/>
    <w:qFormat/>
    <w:rsid w:val="001647E1"/>
    <w:rPr>
      <w:b/>
      <w:color w:val="000000" w:themeColor="text1"/>
      <w:szCs w:val="26"/>
    </w:rPr>
  </w:style>
  <w:style w:type="paragraph" w:customStyle="1" w:styleId="TableHeadingRight">
    <w:name w:val="~TableHeadingRight"/>
    <w:basedOn w:val="TableHeadingLeft"/>
    <w:qFormat/>
    <w:rsid w:val="001647E1"/>
    <w:pPr>
      <w:jc w:val="right"/>
    </w:pPr>
  </w:style>
  <w:style w:type="paragraph" w:customStyle="1" w:styleId="TableBullet">
    <w:name w:val="~TableBullet"/>
    <w:basedOn w:val="TableTextLeft"/>
    <w:qFormat/>
    <w:rsid w:val="001647E1"/>
    <w:pPr>
      <w:numPr>
        <w:numId w:val="6"/>
      </w:numPr>
      <w:tabs>
        <w:tab w:val="left" w:pos="340"/>
      </w:tabs>
    </w:pPr>
    <w:rPr>
      <w:rFonts w:eastAsia="Calibri" w:cs="Arial"/>
      <w:szCs w:val="20"/>
    </w:rPr>
  </w:style>
  <w:style w:type="paragraph" w:customStyle="1" w:styleId="DocType">
    <w:name w:val="~DocType"/>
    <w:basedOn w:val="NoSpacing"/>
    <w:semiHidden/>
    <w:rsid w:val="001647E1"/>
    <w:rPr>
      <w:i/>
      <w:color w:val="005288" w:themeColor="text2"/>
      <w:sz w:val="44"/>
    </w:rPr>
  </w:style>
  <w:style w:type="paragraph" w:customStyle="1" w:styleId="DocSubTitle">
    <w:name w:val="~DocSubTitle"/>
    <w:basedOn w:val="DocType"/>
    <w:semiHidden/>
    <w:rsid w:val="001647E1"/>
    <w:rPr>
      <w:b/>
      <w:i w:val="0"/>
    </w:rPr>
  </w:style>
  <w:style w:type="paragraph" w:customStyle="1" w:styleId="DocDate">
    <w:name w:val="~DocDate"/>
    <w:basedOn w:val="DocType"/>
    <w:semiHidden/>
    <w:rsid w:val="001647E1"/>
  </w:style>
  <w:style w:type="paragraph" w:styleId="TOCHeading">
    <w:name w:val="TOC Heading"/>
    <w:basedOn w:val="Heading1"/>
    <w:next w:val="Normal"/>
    <w:uiPriority w:val="39"/>
    <w:semiHidden/>
    <w:rsid w:val="001647E1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03D65" w:themeColor="accent1" w:themeShade="BF"/>
      <w:sz w:val="28"/>
      <w:szCs w:val="28"/>
      <w:lang w:val="en-US"/>
    </w:rPr>
  </w:style>
  <w:style w:type="paragraph" w:styleId="TOC2">
    <w:name w:val="toc 2"/>
    <w:basedOn w:val="TOC1"/>
    <w:next w:val="Normal"/>
    <w:uiPriority w:val="39"/>
    <w:semiHidden/>
    <w:rsid w:val="001647E1"/>
    <w:pPr>
      <w:tabs>
        <w:tab w:val="clear" w:pos="425"/>
        <w:tab w:val="left" w:pos="993"/>
      </w:tabs>
      <w:ind w:left="993" w:hanging="568"/>
    </w:pPr>
    <w:rPr>
      <w:b w:val="0"/>
    </w:rPr>
  </w:style>
  <w:style w:type="paragraph" w:styleId="TOC1">
    <w:name w:val="toc 1"/>
    <w:basedOn w:val="NoSpacing"/>
    <w:next w:val="Normal"/>
    <w:uiPriority w:val="39"/>
    <w:rsid w:val="001647E1"/>
    <w:pPr>
      <w:tabs>
        <w:tab w:val="left" w:pos="425"/>
        <w:tab w:val="right" w:leader="dot" w:pos="9043"/>
      </w:tabs>
      <w:spacing w:after="100"/>
      <w:ind w:left="425" w:right="423" w:hanging="425"/>
    </w:pPr>
    <w:rPr>
      <w:rFonts w:eastAsiaTheme="minorEastAsia"/>
      <w:b/>
      <w:noProof/>
      <w:lang w:eastAsia="en-GB"/>
    </w:rPr>
  </w:style>
  <w:style w:type="paragraph" w:styleId="TOC3">
    <w:name w:val="toc 3"/>
    <w:basedOn w:val="TOC2"/>
    <w:next w:val="Normal"/>
    <w:uiPriority w:val="39"/>
    <w:semiHidden/>
    <w:rsid w:val="001647E1"/>
    <w:pPr>
      <w:tabs>
        <w:tab w:val="clear" w:pos="993"/>
        <w:tab w:val="left" w:pos="1843"/>
      </w:tabs>
      <w:ind w:left="1701" w:right="425" w:hanging="709"/>
    </w:pPr>
  </w:style>
  <w:style w:type="paragraph" w:styleId="BalloonText">
    <w:name w:val="Balloon Text"/>
    <w:basedOn w:val="Normal"/>
    <w:link w:val="BalloonTextChar"/>
    <w:uiPriority w:val="99"/>
    <w:semiHidden/>
    <w:rsid w:val="00164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647E1"/>
    <w:rPr>
      <w:color w:val="auto"/>
      <w:u w:val="none"/>
    </w:rPr>
  </w:style>
  <w:style w:type="paragraph" w:customStyle="1" w:styleId="AppendixDivider">
    <w:name w:val="~AppendixDivider"/>
    <w:basedOn w:val="SecHeadNonToc"/>
    <w:next w:val="Normal"/>
    <w:qFormat/>
    <w:rsid w:val="001647E1"/>
  </w:style>
  <w:style w:type="paragraph" w:styleId="TOC4">
    <w:name w:val="toc 4"/>
    <w:basedOn w:val="TOC3"/>
    <w:next w:val="Normal"/>
    <w:uiPriority w:val="39"/>
    <w:semiHidden/>
    <w:rsid w:val="001647E1"/>
    <w:pPr>
      <w:tabs>
        <w:tab w:val="left" w:pos="2098"/>
      </w:tabs>
      <w:ind w:left="2098" w:hanging="794"/>
    </w:pPr>
  </w:style>
  <w:style w:type="paragraph" w:styleId="TOC5">
    <w:name w:val="toc 5"/>
    <w:basedOn w:val="TOC1"/>
    <w:next w:val="Normal"/>
    <w:uiPriority w:val="39"/>
    <w:semiHidden/>
    <w:rsid w:val="001647E1"/>
    <w:pPr>
      <w:tabs>
        <w:tab w:val="clear" w:pos="425"/>
      </w:tabs>
      <w:spacing w:before="240"/>
      <w:ind w:left="0" w:right="709" w:firstLine="0"/>
    </w:pPr>
  </w:style>
  <w:style w:type="paragraph" w:styleId="TOC6">
    <w:name w:val="toc 6"/>
    <w:basedOn w:val="TOC2"/>
    <w:next w:val="Normal"/>
    <w:uiPriority w:val="39"/>
    <w:rsid w:val="00027844"/>
    <w:pPr>
      <w:tabs>
        <w:tab w:val="clear" w:pos="993"/>
        <w:tab w:val="left" w:pos="1843"/>
      </w:tabs>
      <w:ind w:left="1843" w:right="425" w:hanging="1418"/>
    </w:pPr>
  </w:style>
  <w:style w:type="paragraph" w:styleId="Header">
    <w:name w:val="header"/>
    <w:aliases w:val="~Header"/>
    <w:basedOn w:val="NoSpacing"/>
    <w:link w:val="HeaderChar"/>
    <w:uiPriority w:val="99"/>
    <w:rsid w:val="001647E1"/>
    <w:pPr>
      <w:tabs>
        <w:tab w:val="center" w:pos="4513"/>
        <w:tab w:val="right" w:pos="9026"/>
      </w:tabs>
    </w:pPr>
    <w:rPr>
      <w:color w:val="7F7F7F" w:themeColor="text1" w:themeTint="80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1647E1"/>
    <w:rPr>
      <w:color w:val="7F7F7F" w:themeColor="text1" w:themeTint="80"/>
    </w:rPr>
  </w:style>
  <w:style w:type="paragraph" w:styleId="Footer">
    <w:name w:val="footer"/>
    <w:aliases w:val="~Footer"/>
    <w:basedOn w:val="NoSpacing"/>
    <w:link w:val="FooterChar"/>
    <w:uiPriority w:val="99"/>
    <w:rsid w:val="001647E1"/>
    <w:pPr>
      <w:tabs>
        <w:tab w:val="center" w:pos="4513"/>
        <w:tab w:val="right" w:pos="9026"/>
      </w:tabs>
    </w:pPr>
    <w:rPr>
      <w:color w:val="7F7F7F" w:themeColor="text1" w:themeTint="80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1647E1"/>
    <w:rPr>
      <w:color w:val="7F7F7F" w:themeColor="text1" w:themeTint="80"/>
    </w:rPr>
  </w:style>
  <w:style w:type="character" w:styleId="FollowedHyperlink">
    <w:name w:val="FollowedHyperlink"/>
    <w:basedOn w:val="DefaultParagraphFont"/>
    <w:uiPriority w:val="99"/>
    <w:semiHidden/>
    <w:rsid w:val="001647E1"/>
    <w:rPr>
      <w:color w:val="auto"/>
      <w:u w:val="none"/>
    </w:rPr>
  </w:style>
  <w:style w:type="paragraph" w:customStyle="1" w:styleId="SourceWide">
    <w:name w:val="~SourceWide"/>
    <w:basedOn w:val="Source"/>
    <w:next w:val="Normal"/>
    <w:qFormat/>
    <w:rsid w:val="001647E1"/>
    <w:pPr>
      <w:ind w:left="0"/>
    </w:pPr>
  </w:style>
  <w:style w:type="paragraph" w:customStyle="1" w:styleId="BodyTextNum">
    <w:name w:val="~BodyTextNum"/>
    <w:basedOn w:val="Normal"/>
    <w:semiHidden/>
    <w:qFormat/>
    <w:rsid w:val="001647E1"/>
    <w:pPr>
      <w:tabs>
        <w:tab w:val="left" w:pos="284"/>
      </w:tabs>
      <w:ind w:left="284" w:hanging="284"/>
    </w:pPr>
  </w:style>
  <w:style w:type="paragraph" w:customStyle="1" w:styleId="HeaderText">
    <w:name w:val="~HeaderText"/>
    <w:basedOn w:val="Header"/>
    <w:semiHidden/>
    <w:rsid w:val="001647E1"/>
    <w:pPr>
      <w:framePr w:hSpace="181" w:wrap="around" w:vAnchor="page" w:hAnchor="margin" w:y="568"/>
    </w:pPr>
  </w:style>
  <w:style w:type="paragraph" w:customStyle="1" w:styleId="SubHeadUnnumbered">
    <w:name w:val="~SubHeadUnnumbered"/>
    <w:basedOn w:val="SectionHeadUnnumbered"/>
    <w:next w:val="Normal"/>
    <w:qFormat/>
    <w:rsid w:val="001647E1"/>
    <w:pPr>
      <w:pageBreakBefore w:val="0"/>
      <w:spacing w:before="300"/>
      <w:outlineLvl w:val="9"/>
    </w:pPr>
    <w:rPr>
      <w:sz w:val="32"/>
    </w:rPr>
  </w:style>
  <w:style w:type="paragraph" w:customStyle="1" w:styleId="SectionHeadUnnumbered">
    <w:name w:val="~SectionHeadUnnumbered"/>
    <w:basedOn w:val="Normal"/>
    <w:next w:val="Normal"/>
    <w:qFormat/>
    <w:rsid w:val="001647E1"/>
    <w:pPr>
      <w:keepNext/>
      <w:pageBreakBefore/>
      <w:spacing w:after="120"/>
      <w:outlineLvl w:val="0"/>
    </w:pPr>
    <w:rPr>
      <w:b/>
      <w:sz w:val="44"/>
    </w:rPr>
  </w:style>
  <w:style w:type="paragraph" w:customStyle="1" w:styleId="DocTitle">
    <w:name w:val="~DocTitle"/>
    <w:basedOn w:val="DocType"/>
    <w:semiHidden/>
    <w:rsid w:val="001647E1"/>
    <w:rPr>
      <w:b/>
      <w:i w:val="0"/>
      <w:sz w:val="76"/>
    </w:rPr>
  </w:style>
  <w:style w:type="paragraph" w:customStyle="1" w:styleId="Draft">
    <w:name w:val="~Draft"/>
    <w:basedOn w:val="DocType"/>
    <w:semiHidden/>
    <w:rsid w:val="001647E1"/>
    <w:pPr>
      <w:jc w:val="right"/>
    </w:pPr>
    <w:rPr>
      <w:color w:val="C0504D" w:themeColor="accent2"/>
      <w:sz w:val="28"/>
    </w:rPr>
  </w:style>
  <w:style w:type="table" w:customStyle="1" w:styleId="TableStd">
    <w:name w:val="~TableStd"/>
    <w:basedOn w:val="TableNormal"/>
    <w:rsid w:val="001647E1"/>
    <w:pPr>
      <w:spacing w:after="0"/>
      <w:ind w:left="0" w:firstLine="0"/>
    </w:pPr>
    <w:rPr>
      <w:rFonts w:asciiTheme="majorHAnsi" w:eastAsia="Times New Roman" w:hAnsiTheme="majorHAnsi" w:cs="Times New Roman"/>
      <w:sz w:val="20"/>
      <w:szCs w:val="20"/>
      <w:lang w:eastAsia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background2"/>
    </w:tcPr>
    <w:tblStylePr w:type="firstRow"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B2B2B2" w:themeFill="accent3"/>
      </w:tcPr>
    </w:tblStylePr>
  </w:style>
  <w:style w:type="paragraph" w:customStyle="1" w:styleId="GraphicLeft">
    <w:name w:val="~GraphicLeft"/>
    <w:basedOn w:val="NoSpacing"/>
    <w:rsid w:val="001647E1"/>
  </w:style>
  <w:style w:type="paragraph" w:styleId="TOC7">
    <w:name w:val="toc 7"/>
    <w:basedOn w:val="TOC3"/>
    <w:next w:val="Normal"/>
    <w:uiPriority w:val="39"/>
    <w:rsid w:val="00375E7C"/>
    <w:pPr>
      <w:tabs>
        <w:tab w:val="clear" w:pos="1843"/>
        <w:tab w:val="left" w:pos="1418"/>
      </w:tabs>
      <w:ind w:left="1417" w:hanging="425"/>
    </w:pPr>
  </w:style>
  <w:style w:type="paragraph" w:styleId="TOC8">
    <w:name w:val="toc 8"/>
    <w:basedOn w:val="TOC7"/>
    <w:next w:val="Normal"/>
    <w:uiPriority w:val="39"/>
    <w:rsid w:val="00375E7C"/>
    <w:pPr>
      <w:tabs>
        <w:tab w:val="clear" w:pos="1418"/>
        <w:tab w:val="left" w:pos="2268"/>
      </w:tabs>
      <w:spacing w:before="60"/>
      <w:ind w:left="2268" w:hanging="567"/>
    </w:pPr>
  </w:style>
  <w:style w:type="paragraph" w:styleId="TOC9">
    <w:name w:val="toc 9"/>
    <w:basedOn w:val="Normal"/>
    <w:next w:val="Normal"/>
    <w:uiPriority w:val="39"/>
    <w:rsid w:val="00375E7C"/>
    <w:pPr>
      <w:tabs>
        <w:tab w:val="left" w:pos="2410"/>
      </w:tabs>
      <w:spacing w:after="100"/>
      <w:ind w:left="2410" w:hanging="709"/>
    </w:pPr>
  </w:style>
  <w:style w:type="paragraph" w:customStyle="1" w:styleId="TableTotalLeft">
    <w:name w:val="~TableTotalLeft"/>
    <w:basedOn w:val="TableTextLeft"/>
    <w:qFormat/>
    <w:rsid w:val="001647E1"/>
    <w:rPr>
      <w:b/>
    </w:rPr>
  </w:style>
  <w:style w:type="paragraph" w:customStyle="1" w:styleId="TableTotalRight">
    <w:name w:val="~TableTotalRight"/>
    <w:basedOn w:val="TableTotalLeft"/>
    <w:qFormat/>
    <w:rsid w:val="001647E1"/>
    <w:pPr>
      <w:framePr w:wrap="around" w:vAnchor="page" w:hAnchor="margin" w:y="1135"/>
      <w:suppressOverlap/>
      <w:jc w:val="right"/>
    </w:pPr>
  </w:style>
  <w:style w:type="paragraph" w:customStyle="1" w:styleId="TableTotalCentre">
    <w:name w:val="~TableTotalCentre"/>
    <w:basedOn w:val="TableTotalLeft"/>
    <w:qFormat/>
    <w:rsid w:val="001647E1"/>
    <w:pPr>
      <w:framePr w:wrap="around" w:vAnchor="page" w:hAnchor="margin" w:y="1135"/>
      <w:suppressOverlap/>
      <w:jc w:val="center"/>
    </w:pPr>
  </w:style>
  <w:style w:type="paragraph" w:customStyle="1" w:styleId="DocClient">
    <w:name w:val="~DocClient"/>
    <w:basedOn w:val="DocType"/>
    <w:semiHidden/>
    <w:rsid w:val="001647E1"/>
    <w:pPr>
      <w:jc w:val="right"/>
    </w:pPr>
    <w:rPr>
      <w:sz w:val="36"/>
    </w:rPr>
  </w:style>
  <w:style w:type="paragraph" w:customStyle="1" w:styleId="GraphicCentre">
    <w:name w:val="~GraphicCentre"/>
    <w:basedOn w:val="GraphicLeft"/>
    <w:qFormat/>
    <w:rsid w:val="001647E1"/>
    <w:pPr>
      <w:jc w:val="center"/>
    </w:pPr>
  </w:style>
  <w:style w:type="paragraph" w:customStyle="1" w:styleId="GraphicRight">
    <w:name w:val="~GraphicRight"/>
    <w:basedOn w:val="GraphicLeft"/>
    <w:qFormat/>
    <w:rsid w:val="001647E1"/>
    <w:pPr>
      <w:jc w:val="right"/>
    </w:pPr>
  </w:style>
  <w:style w:type="paragraph" w:customStyle="1" w:styleId="Spacer">
    <w:name w:val="~Spacer"/>
    <w:basedOn w:val="NoSpacing"/>
    <w:rsid w:val="001647E1"/>
    <w:pPr>
      <w:jc w:val="both"/>
    </w:pPr>
    <w:rPr>
      <w:sz w:val="2"/>
    </w:rPr>
  </w:style>
  <w:style w:type="paragraph" w:customStyle="1" w:styleId="TableHeadingCentre">
    <w:name w:val="~TableHeadingCentre"/>
    <w:basedOn w:val="TableHeadingLeft"/>
    <w:qFormat/>
    <w:rsid w:val="001647E1"/>
    <w:pPr>
      <w:jc w:val="center"/>
    </w:pPr>
  </w:style>
  <w:style w:type="paragraph" w:customStyle="1" w:styleId="TableTextCentre">
    <w:name w:val="~TableTextCentre"/>
    <w:basedOn w:val="TableTextLeft"/>
    <w:qFormat/>
    <w:rsid w:val="001647E1"/>
    <w:pPr>
      <w:jc w:val="center"/>
    </w:pPr>
  </w:style>
  <w:style w:type="paragraph" w:customStyle="1" w:styleId="DocDetail">
    <w:name w:val="~DocDetail"/>
    <w:basedOn w:val="DocType"/>
    <w:semiHidden/>
    <w:rsid w:val="001647E1"/>
    <w:rPr>
      <w:sz w:val="36"/>
    </w:rPr>
  </w:style>
  <w:style w:type="paragraph" w:customStyle="1" w:styleId="DocInfo">
    <w:name w:val="~DocInfo"/>
    <w:basedOn w:val="DocType"/>
    <w:semiHidden/>
    <w:rsid w:val="001647E1"/>
    <w:rPr>
      <w:i w:val="0"/>
      <w:color w:val="FFFFFF" w:themeColor="background1"/>
      <w:sz w:val="36"/>
    </w:rPr>
  </w:style>
  <w:style w:type="paragraph" w:customStyle="1" w:styleId="RecomHead1">
    <w:name w:val="~RecomHead1"/>
    <w:basedOn w:val="Normal"/>
    <w:qFormat/>
    <w:rsid w:val="00375E7C"/>
    <w:pPr>
      <w:numPr>
        <w:numId w:val="9"/>
      </w:numPr>
      <w:spacing w:before="300"/>
    </w:pPr>
    <w:rPr>
      <w:b/>
    </w:rPr>
  </w:style>
  <w:style w:type="paragraph" w:customStyle="1" w:styleId="ResearchRecomHead1">
    <w:name w:val="~ResearchRecomHead1"/>
    <w:basedOn w:val="Normal"/>
    <w:qFormat/>
    <w:rsid w:val="00375E7C"/>
    <w:pPr>
      <w:numPr>
        <w:numId w:val="10"/>
      </w:numPr>
      <w:spacing w:before="300"/>
    </w:pPr>
    <w:rPr>
      <w:b/>
    </w:rPr>
  </w:style>
  <w:style w:type="paragraph" w:customStyle="1" w:styleId="UpdateBox">
    <w:name w:val="~UpdateBox"/>
    <w:basedOn w:val="Normal"/>
    <w:qFormat/>
    <w:rsid w:val="001647E1"/>
    <w:pPr>
      <w:framePr w:wrap="notBeside" w:vAnchor="text" w:hAnchor="text" w:y="1"/>
      <w:spacing w:before="0" w:after="120"/>
      <w:jc w:val="center"/>
    </w:pPr>
    <w:rPr>
      <w:b/>
      <w:color w:val="F79646" w:themeColor="accent6"/>
      <w:sz w:val="24"/>
      <w:szCs w:val="24"/>
    </w:rPr>
  </w:style>
  <w:style w:type="character" w:styleId="HTMLCode">
    <w:name w:val="HTML Code"/>
    <w:basedOn w:val="DefaultParagraphFont"/>
    <w:uiPriority w:val="99"/>
    <w:semiHidden/>
    <w:rsid w:val="001647E1"/>
    <w:rPr>
      <w:rFonts w:ascii="Courier New" w:eastAsia="Times New Roman" w:hAnsi="Courier New" w:cs="Courier New"/>
      <w:sz w:val="20"/>
      <w:szCs w:val="20"/>
    </w:rPr>
  </w:style>
  <w:style w:type="paragraph" w:customStyle="1" w:styleId="Copyright">
    <w:name w:val="~Copyright"/>
    <w:basedOn w:val="Footer"/>
    <w:semiHidden/>
    <w:rsid w:val="001647E1"/>
    <w:rPr>
      <w:color w:val="000000" w:themeColor="text1"/>
    </w:rPr>
  </w:style>
  <w:style w:type="paragraph" w:styleId="Revision">
    <w:name w:val="Revision"/>
    <w:hidden/>
    <w:uiPriority w:val="99"/>
    <w:semiHidden/>
    <w:rsid w:val="001B2E25"/>
    <w:pPr>
      <w:spacing w:after="0"/>
      <w:ind w:left="0" w:firstLine="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164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47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7E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4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7E1"/>
    <w:rPr>
      <w:b/>
      <w:bCs/>
      <w:szCs w:val="20"/>
    </w:rPr>
  </w:style>
  <w:style w:type="paragraph" w:customStyle="1" w:styleId="TableNote">
    <w:name w:val="~TableNote"/>
    <w:basedOn w:val="Source"/>
    <w:next w:val="Normal"/>
    <w:qFormat/>
    <w:rsid w:val="001647E1"/>
    <w:pPr>
      <w:spacing w:before="0" w:after="0"/>
      <w:ind w:left="0" w:firstLine="0"/>
    </w:pPr>
  </w:style>
  <w:style w:type="paragraph" w:customStyle="1" w:styleId="TableNoteNum">
    <w:name w:val="~TableNoteNum"/>
    <w:basedOn w:val="TableNote"/>
    <w:qFormat/>
    <w:rsid w:val="001647E1"/>
    <w:pPr>
      <w:numPr>
        <w:numId w:val="7"/>
      </w:numPr>
    </w:pPr>
  </w:style>
  <w:style w:type="numbering" w:customStyle="1" w:styleId="TableNoteList">
    <w:name w:val="~TableNoteList"/>
    <w:uiPriority w:val="99"/>
    <w:rsid w:val="001647E1"/>
    <w:pPr>
      <w:numPr>
        <w:numId w:val="1"/>
      </w:numPr>
    </w:pPr>
  </w:style>
  <w:style w:type="paragraph" w:customStyle="1" w:styleId="RecomBullet">
    <w:name w:val="~RecomBullet"/>
    <w:basedOn w:val="Normal"/>
    <w:qFormat/>
    <w:rsid w:val="00375E7C"/>
    <w:pPr>
      <w:numPr>
        <w:ilvl w:val="3"/>
        <w:numId w:val="9"/>
      </w:numPr>
      <w:spacing w:before="60" w:after="60"/>
    </w:pPr>
  </w:style>
  <w:style w:type="paragraph" w:customStyle="1" w:styleId="ResearchRecomBullet">
    <w:name w:val="~ResearchRecomBullet"/>
    <w:basedOn w:val="Normal"/>
    <w:qFormat/>
    <w:rsid w:val="00375E7C"/>
    <w:pPr>
      <w:numPr>
        <w:ilvl w:val="3"/>
        <w:numId w:val="10"/>
      </w:numPr>
      <w:spacing w:before="60" w:after="60"/>
    </w:pPr>
  </w:style>
  <w:style w:type="paragraph" w:customStyle="1" w:styleId="AppHead">
    <w:name w:val="~AppHead"/>
    <w:basedOn w:val="AppendixDivider"/>
    <w:next w:val="Normal"/>
    <w:qFormat/>
    <w:rsid w:val="001647E1"/>
    <w:pPr>
      <w:pageBreakBefore w:val="0"/>
      <w:numPr>
        <w:numId w:val="2"/>
      </w:numPr>
      <w:tabs>
        <w:tab w:val="left" w:pos="2552"/>
      </w:tabs>
      <w:spacing w:before="300" w:after="0"/>
    </w:pPr>
  </w:style>
  <w:style w:type="paragraph" w:customStyle="1" w:styleId="AppSubHead">
    <w:name w:val="~AppSubHead"/>
    <w:basedOn w:val="AppHead"/>
    <w:next w:val="Normal"/>
    <w:qFormat/>
    <w:rsid w:val="001647E1"/>
    <w:pPr>
      <w:numPr>
        <w:ilvl w:val="1"/>
      </w:numPr>
      <w:tabs>
        <w:tab w:val="clear" w:pos="2552"/>
      </w:tabs>
    </w:pPr>
    <w:rPr>
      <w:sz w:val="32"/>
    </w:rPr>
  </w:style>
  <w:style w:type="paragraph" w:customStyle="1" w:styleId="AppMinorSubHead">
    <w:name w:val="~AppMinorSubHead"/>
    <w:basedOn w:val="AppSubHead"/>
    <w:next w:val="Normal"/>
    <w:qFormat/>
    <w:rsid w:val="001647E1"/>
    <w:pPr>
      <w:numPr>
        <w:ilvl w:val="2"/>
      </w:numPr>
    </w:pPr>
    <w:rPr>
      <w:sz w:val="24"/>
      <w:szCs w:val="24"/>
    </w:rPr>
  </w:style>
  <w:style w:type="paragraph" w:customStyle="1" w:styleId="AppLevel4Head">
    <w:name w:val="~AppLevel4Head"/>
    <w:basedOn w:val="AppMinorSubHead"/>
    <w:next w:val="Normal"/>
    <w:qFormat/>
    <w:rsid w:val="001647E1"/>
    <w:pPr>
      <w:numPr>
        <w:ilvl w:val="3"/>
      </w:numPr>
    </w:pPr>
    <w:rPr>
      <w:sz w:val="22"/>
      <w:szCs w:val="22"/>
    </w:rPr>
  </w:style>
  <w:style w:type="paragraph" w:customStyle="1" w:styleId="HeaderSmall">
    <w:name w:val="~HeaderSmall"/>
    <w:basedOn w:val="Header"/>
    <w:qFormat/>
    <w:rsid w:val="001647E1"/>
    <w:pPr>
      <w:framePr w:hSpace="181" w:wrap="around" w:vAnchor="page" w:hAnchor="margin" w:y="568"/>
      <w:suppressOverlap/>
    </w:pPr>
    <w:rPr>
      <w:noProof/>
      <w:sz w:val="20"/>
    </w:rPr>
  </w:style>
  <w:style w:type="paragraph" w:customStyle="1" w:styleId="DocOrganisation">
    <w:name w:val="~DocOrganisation"/>
    <w:basedOn w:val="DocType"/>
    <w:semiHidden/>
    <w:rsid w:val="001647E1"/>
    <w:pPr>
      <w:framePr w:wrap="around" w:vAnchor="page" w:hAnchor="margin" w:yAlign="top"/>
      <w:suppressOverlap/>
    </w:pPr>
    <w:rPr>
      <w:b/>
      <w:i w:val="0"/>
      <w:sz w:val="56"/>
      <w:lang w:val="de-DE"/>
    </w:rPr>
  </w:style>
  <w:style w:type="character" w:styleId="PlaceholderText">
    <w:name w:val="Placeholder Text"/>
    <w:basedOn w:val="DefaultParagraphFont"/>
    <w:uiPriority w:val="99"/>
    <w:semiHidden/>
    <w:rsid w:val="001647E1"/>
    <w:rPr>
      <w:color w:val="808080"/>
    </w:rPr>
  </w:style>
  <w:style w:type="character" w:styleId="LineNumber">
    <w:name w:val="line number"/>
    <w:basedOn w:val="DefaultParagraphFont"/>
    <w:uiPriority w:val="99"/>
    <w:semiHidden/>
    <w:rsid w:val="001647E1"/>
  </w:style>
  <w:style w:type="paragraph" w:customStyle="1" w:styleId="TableNoteGRADE">
    <w:name w:val="~TableNoteGRADE"/>
    <w:basedOn w:val="TableNote"/>
    <w:next w:val="Normal"/>
    <w:qFormat/>
    <w:rsid w:val="001647E1"/>
    <w:pPr>
      <w:ind w:left="709" w:hanging="709"/>
    </w:pPr>
  </w:style>
  <w:style w:type="paragraph" w:customStyle="1" w:styleId="TableBullet2">
    <w:name w:val="~TableBullet2"/>
    <w:basedOn w:val="TableBullet"/>
    <w:qFormat/>
    <w:rsid w:val="001647E1"/>
    <w:pPr>
      <w:numPr>
        <w:ilvl w:val="1"/>
      </w:numPr>
    </w:pPr>
  </w:style>
  <w:style w:type="paragraph" w:customStyle="1" w:styleId="TableBullet3">
    <w:name w:val="~TableBullet3"/>
    <w:basedOn w:val="TableBullet2"/>
    <w:qFormat/>
    <w:rsid w:val="001647E1"/>
    <w:pPr>
      <w:numPr>
        <w:ilvl w:val="2"/>
      </w:numPr>
    </w:pPr>
  </w:style>
  <w:style w:type="paragraph" w:customStyle="1" w:styleId="GDGNotes">
    <w:name w:val="~GDGNotes"/>
    <w:basedOn w:val="Normal"/>
    <w:qFormat/>
    <w:rsid w:val="001647E1"/>
    <w:rPr>
      <w:i/>
      <w:color w:val="808080" w:themeColor="background1" w:themeShade="80"/>
    </w:rPr>
  </w:style>
  <w:style w:type="paragraph" w:customStyle="1" w:styleId="GDGBullet">
    <w:name w:val="~GDGBullet"/>
    <w:basedOn w:val="GDGNotes"/>
    <w:qFormat/>
    <w:rsid w:val="001647E1"/>
    <w:pPr>
      <w:numPr>
        <w:numId w:val="4"/>
      </w:numPr>
      <w:spacing w:before="60" w:after="60"/>
    </w:pPr>
  </w:style>
  <w:style w:type="paragraph" w:customStyle="1" w:styleId="GDGBullet2">
    <w:name w:val="~GDGBullet2"/>
    <w:basedOn w:val="GDGBullet"/>
    <w:qFormat/>
    <w:rsid w:val="001647E1"/>
    <w:pPr>
      <w:numPr>
        <w:ilvl w:val="1"/>
      </w:numPr>
    </w:pPr>
  </w:style>
  <w:style w:type="paragraph" w:customStyle="1" w:styleId="RecomHead2">
    <w:name w:val="~RecomHead2"/>
    <w:basedOn w:val="RecomHead1"/>
    <w:qFormat/>
    <w:rsid w:val="00375E7C"/>
    <w:pPr>
      <w:numPr>
        <w:ilvl w:val="1"/>
      </w:numPr>
      <w:spacing w:before="120"/>
    </w:pPr>
  </w:style>
  <w:style w:type="paragraph" w:customStyle="1" w:styleId="RecomHead3">
    <w:name w:val="~RecomHead3"/>
    <w:basedOn w:val="RecomHead2"/>
    <w:qFormat/>
    <w:rsid w:val="00375E7C"/>
    <w:pPr>
      <w:numPr>
        <w:ilvl w:val="2"/>
      </w:numPr>
    </w:pPr>
    <w:rPr>
      <w:b w:val="0"/>
    </w:rPr>
  </w:style>
  <w:style w:type="paragraph" w:customStyle="1" w:styleId="RecomSubBullet">
    <w:name w:val="~RecomSubBullet"/>
    <w:basedOn w:val="RecomBullet"/>
    <w:qFormat/>
    <w:rsid w:val="00375E7C"/>
    <w:pPr>
      <w:numPr>
        <w:ilvl w:val="4"/>
      </w:numPr>
    </w:pPr>
  </w:style>
  <w:style w:type="paragraph" w:customStyle="1" w:styleId="ResearchRecomHead2">
    <w:name w:val="~ResearchRecomHead2"/>
    <w:basedOn w:val="ResearchRecomHead1"/>
    <w:next w:val="ResearchRecomHead3"/>
    <w:qFormat/>
    <w:rsid w:val="00375E7C"/>
    <w:pPr>
      <w:numPr>
        <w:ilvl w:val="1"/>
      </w:numPr>
      <w:spacing w:before="120"/>
    </w:pPr>
  </w:style>
  <w:style w:type="paragraph" w:customStyle="1" w:styleId="ResearchRecomHead3">
    <w:name w:val="~ResearchRecomHead3"/>
    <w:basedOn w:val="ResearchRecomHead2"/>
    <w:next w:val="RecomHead3"/>
    <w:qFormat/>
    <w:rsid w:val="00375E7C"/>
    <w:pPr>
      <w:numPr>
        <w:ilvl w:val="2"/>
      </w:numPr>
    </w:pPr>
    <w:rPr>
      <w:b w:val="0"/>
    </w:rPr>
  </w:style>
  <w:style w:type="paragraph" w:customStyle="1" w:styleId="ResearchRecomSubBullet">
    <w:name w:val="~ResearchRecomSubBullet"/>
    <w:basedOn w:val="ResearchRecomBullet"/>
    <w:qFormat/>
    <w:rsid w:val="00375E7C"/>
    <w:pPr>
      <w:numPr>
        <w:ilvl w:val="4"/>
      </w:numPr>
    </w:pPr>
  </w:style>
  <w:style w:type="paragraph" w:customStyle="1" w:styleId="RecommendationBullet">
    <w:name w:val="Recommendation Bullet"/>
    <w:basedOn w:val="Normal"/>
    <w:qFormat/>
    <w:rsid w:val="0082728E"/>
    <w:pPr>
      <w:numPr>
        <w:numId w:val="13"/>
      </w:numPr>
      <w:spacing w:before="0"/>
      <w:ind w:left="1852"/>
      <w:contextualSpacing/>
    </w:pPr>
    <w:rPr>
      <w:rFonts w:ascii="Book Antiqua" w:hAnsi="Book Antiqua"/>
      <w:sz w:val="24"/>
    </w:rPr>
  </w:style>
  <w:style w:type="paragraph" w:customStyle="1" w:styleId="Table">
    <w:name w:val="Table"/>
    <w:basedOn w:val="Normal"/>
    <w:link w:val="TableChar"/>
    <w:rsid w:val="00E73946"/>
    <w:pPr>
      <w:keepNext/>
      <w:spacing w:before="0"/>
      <w:outlineLvl w:val="0"/>
    </w:pPr>
    <w:rPr>
      <w:rFonts w:ascii="Book Antiqua" w:eastAsia="Times New Roman" w:hAnsi="Book Antiqua" w:cs="Times New Roman"/>
      <w:sz w:val="18"/>
      <w:szCs w:val="24"/>
    </w:rPr>
  </w:style>
  <w:style w:type="character" w:customStyle="1" w:styleId="TableChar">
    <w:name w:val="Table Char"/>
    <w:link w:val="Table"/>
    <w:rsid w:val="00E73946"/>
    <w:rPr>
      <w:rFonts w:ascii="Book Antiqua" w:eastAsia="Times New Roman" w:hAnsi="Book Antiqu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alaE.DRCP1\AppData\Roaming\Microsoft\Templates\CG%20Templates%20-%20CG%20Full%20Guideline%20Template%20(without%20title%20page).dotm" TargetMode="External"/></Relationships>
</file>

<file path=word/theme/theme1.xml><?xml version="1.0" encoding="utf-8"?>
<a:theme xmlns:a="http://schemas.openxmlformats.org/drawingml/2006/main" name="Office Theme">
  <a:themeElements>
    <a:clrScheme name="NICE">
      <a:dk1>
        <a:sysClr val="windowText" lastClr="000000"/>
      </a:dk1>
      <a:lt1>
        <a:sysClr val="window" lastClr="FFFFFF"/>
      </a:lt1>
      <a:dk2>
        <a:srgbClr val="005288"/>
      </a:dk2>
      <a:lt2>
        <a:srgbClr val="E6E6E6"/>
      </a:lt2>
      <a:accent1>
        <a:srgbClr val="005288"/>
      </a:accent1>
      <a:accent2>
        <a:srgbClr val="C0504D"/>
      </a:accent2>
      <a:accent3>
        <a:srgbClr val="B2B2B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OtherInserts" Type="http://schemas.openxmlformats.org/officeDocument/2006/relationships/image" Target="images/OtherInserts.png"/><Relationship Id="TableText" Type="http://schemas.openxmlformats.org/officeDocument/2006/relationships/image" Target="images/TableText.png"/><Relationship Id="Appendix" Type="http://schemas.openxmlformats.org/officeDocument/2006/relationships/image" Target="images/Appendix.png"/><Relationship Id="PasteSpecial" Type="http://schemas.openxmlformats.org/officeDocument/2006/relationships/image" Target="images/PasteSpecial.png"/><Relationship Id="TableInsert" Type="http://schemas.openxmlformats.org/officeDocument/2006/relationships/image" Target="images/TableInsert.png"/><Relationship Id="GraphicTools" Type="http://schemas.openxmlformats.org/officeDocument/2006/relationships/image" Target="images/GraphicTools.png"/><Relationship Id="BodyText" Type="http://schemas.openxmlformats.org/officeDocument/2006/relationships/image" Target="images/BodyText.png"/><Relationship Id="Bullet" Type="http://schemas.openxmlformats.org/officeDocument/2006/relationships/image" Target="images/Bullet.png"/><Relationship Id="TextStyles" Type="http://schemas.openxmlformats.org/officeDocument/2006/relationships/image" Target="images/TextStyles.png"/><Relationship Id="SmartPaste1" Type="http://schemas.openxmlformats.org/officeDocument/2006/relationships/image" Target="images/SmartPaste1.png"/><Relationship Id="TextTools" Type="http://schemas.openxmlformats.org/officeDocument/2006/relationships/image" Target="images/TextTools.png"/><Relationship Id="HeadingStyles1" Type="http://schemas.openxmlformats.org/officeDocument/2006/relationships/image" Target="images/HeadingStyles1.png"/><Relationship Id="TableMagic" Type="http://schemas.openxmlformats.org/officeDocument/2006/relationships/image" Target="images/TableMagic.png"/><Relationship Id="DocSetupForm" Type="http://schemas.openxmlformats.org/officeDocument/2006/relationships/image" Target="images/DocSetupForm.png"/><Relationship Id="TableFormat" Type="http://schemas.openxmlformats.org/officeDocument/2006/relationships/image" Target="images/TableFormat.png"/><Relationship Id="TableTools" Type="http://schemas.openxmlformats.org/officeDocument/2006/relationships/image" Target="images/TableTools.png"/><Relationship Id="TemplateOptions" Type="http://schemas.openxmlformats.org/officeDocument/2006/relationships/image" Target="images/TemplateOptions.png"/><Relationship Id="TableColours" Type="http://schemas.openxmlformats.org/officeDocument/2006/relationships/image" Target="images/TableColours.png"/></Relationships>
</file>

<file path=customUI/customUI.xml><?xml version="1.0" encoding="utf-8"?>
<customUI xmlns="http://schemas.microsoft.com/office/2006/01/customui">
  <ribbon startFromScratch="false">
    <tabs>
      <tab id="CTS_Tools" label="NICE Template Tools">
        <!--Start of Report Toobar group-->
        <!---->
        <!--<group id="DocSetup" label="Document Setup"> 
                        	<button 	id="DocumentSetup" 
						label="Set-Up Form" 
						image="DocSetupForm"  
                                   	size="large" 
						onAction="RibbonXOnAction" 
						tag="A_DocSetup" /> 
				</group>-->
        <!--End of Report Toobar group-->
        <!--Start of Text Toolbar group-->
        <group id="TextToolbar" label="Text Tools">
          <button id="btnUnformatText2" image="PasteSpecial" label="Paste Unformatted Text" onAction="RibbonXOnAction" tag="A_PasteSpecial"/>
          <button id="btnBodyText2" image="BodyText" label="Body Text" onAction="RibbonXOnAction" tag="A_BodyText"/>
          <button id="btnBullet1_2" image="Bullet" label="Main Bullet" onAction="RibbonXOnAction" tag="A_Bullet1"/>
          <separator id="TextToolbarSeparator1"/>
          <menu id="mnuPaste" image="SmartPaste1" size="large" label="Smart Paste">
            <button id="btnUnformatText1" image="PasteSpecial" label="Paste Unformatted Text" onAction="RibbonCTSOnAction" tag="A_PasteSpecial"/>
            <menuSeparator id="mnuPaste1"/>
            <button id="btnPaste1" label="Smart Paste" onAction="RibbonCTSOnAction" tag="A_SmartPasteTxtOnly"/>
            <!--<button 	id="btnPaste2" 
							label="Smart Paste (With Table Formatting)" 
							onAction="RibbonCTSOnAction" 
							tag="A_SmartPasteTxtandTables" />-->
          </menu>
          <menu id="mnuTxtTools" image="TextTools" size="large" label="Text Tools">
            <button id="btnUnformatText" label="Paste Unformatted Text" onAction="RibbonXOnAction" tag="A_PasteSpecial"/>
            <menuSeparator id="mnuTxtToolsSep1"/>
            <button id="btnRedParagraph" label="Reduce Paragraph Spacing" onAction="RibbonXOnAction" tag="A_RdcParaSpace"/>
            <button id="btnSftReturn" label="New Line (Shift-Return)" onAction="RibbonXOnAction" tag="A_SftReturn"/>
            <menuSeparator id="mnuTxtToolsSep2"/>
            <button id="btnInsFtnt" label="Insert Footnote" onAction="RibbonXOnAction" tag="A_FTnt"/>
            <menuSeparator id="mnuTxtToolsSep3"/>
            <button id="btnResetNum" label="Re-set Table Note numbering" onAction="RibbonXOnAction" tag="A_ReStartTableNote"/>
          </menu>
          <menu id="mnuRecomTxtStyles" image="TextStyles" size="large" label="Recommendation Styles">
            <menuSeparator id="mnuRecomTxtStylesSep1" title="Recommendation Styles"/>
            <button id="btnRecHead1" label="Recommendation Heading 1" onAction="RibbonXOnAction" tag="A_RecHead1"/>
            <button id="btnRecHead2" label="Recommendation Heading 2" onAction="RibbonXOnAction" tag="A_RecHead2"/>
            <button id="btnRecHead3" label="Recommendation Heading 3" onAction="RibbonXOnAction" tag="A_RecHead3"/>
            <button id="btnRecBullet" label="Recommendation Bullet" onAction="RibbonXOnAction" tag="A_RecBullet"/>
            <button id="btnRecSubBullet" label="Recommendation Sub Bullet" onAction="RibbonXOnAction" tag="A_RecSubBullet"/>
            <menuSeparator id="mnuRecomTxtStylesSep2" title="Research Recommendation Styles"/>
            <button id="btnResRecHead1" label="Research Recommendation Heading 1" onAction="RibbonXOnAction" tag="A_ResRecHead1"/>
            <button id="btnResRecHead2" label="Research Recommendation Heading 2" onAction="RibbonXOnAction" tag="A_ResRecHead2"/>
            <button id="btnResRecHead3" label="Research Recommendation Heading 3" onAction="RibbonXOnAction" tag="A_ResRecHead3"/>
            <button id="btnResRecBullet" label="Research Recommendation Bullet" onAction="RibbonXOnAction" tag="A_ResRecBullet"/>
            <button id="btnResRecSubBullet" label="Research Recommendation Sub Bullet" onAction="RibbonXOnAction" tag="A_ResRecSubBullet"/>
          </menu>
          <menu id="mnuTxtStyles" image="TextStyles" size="large" label="Text Styles">
            <button id="btnBodyText" label="Body Text" onAction="RibbonXOnAction" tag="A_BodyText"/>
            <!--						<button 	id="btnBodyTextNum" 
							label="Body Text (Numbered)" 
							onAction="RibbonXOnAction" 
							tag="A_BodyTextNum" /> 
						<menuSeparator id="mnuTxtStylesSep1"/>
						<button 	id="btnIntroText" 
							label="Introduction Text" 
							onAction="RibbonXOnAction" 
							tag="A_Intro" /> 
-->
            <menuSeparator id="mnuTxtStylesSep2" title="Bullet Options"/>
            <splitButton id="splitBtnBullets">
              <button id="btnBullets" label="Bullets"/>
              <menu id="mnuTxtBullets">
                <button id="btnBullet1" label="Main Bullet" onAction="RibbonXOnAction" tag="A_Bullet1"/>
                <button id="btnBullet2" label="Sub-Bullet" onAction="RibbonXOnAction" tag="A_Bullet2"/>
                <button id="btnBullet3" label="Minor Sub-Bullet" onAction="RibbonXOnAction" tag="A_Bullet3"/>
              </menu>
            </splitButton>
            <splitButton id="splitBtnNumBullets">
              <button id="btnNumBullets" label="Numbered Bullets"/>
              <menu id="mnuTxtNumBullets">
                <button id="btnNumBullet1" label="Main Number Bullet" onAction="RibbonXOnAction" tag="A_NumBullet1"/>
                <button id="btnNumBullet2" label="Sub-Number Bullet" onAction="RibbonXOnAction" tag="A_NumBullet2"/>
                <button id="btnNumBullet3" label="Minor Number Bullet" onAction="RibbonXOnAction" tag="A_NumBullet3"/>
              </menu>
            </splitButton>
            <menuSeparator id="mnuTxtStylesSepX" title="GDG Options"/>
            <button id="btnGDGnotes" label="GDG Notes" onAction="RibbonXOnAction" tag="A_GDG"/>
            <button id="btnGDGBullet1" label="GDG Bullet" onAction="RibbonXOnAction" tag="A_GDGBullet"/>
            <button id="btnGDGBullet2" label="GDG Sub-Bullet" onAction="RibbonXOnAction" tag="A_GDGBullet2"/>
            <!--						<menuSeparator id="mnuTxtStylesSep3" title="Key Message Options"/>
						<button 	id="btnInsKeyMsg" 
							label="Insert Key Message Placeholder" 
							onAction="RibbonXOnAction" 
							tag="A_KeyMsgInsert" /> 
						<button 	id="btnCpyTxtKeyMsg" 
							label="Copy text as new key message" 
							onAction="RibbonXOnAction" 
							tag="A_KeyMsgFromText" /> 
						<button 	id="btnKeymsgStyle" 
							label="Position as key message paragraph" 
							onAction="RibbonXOnAction" 
							tag="A_KeyMsgStyle" /> 	
-->
            <menuSeparator id="mnuTxtStylesSep4" title="Insert text placeholders"/>
            <button id="btnInsFigCap" label="Figure Caption" onAction="RibbonXOnAction" tag="A_InsFgCpt"/>
            <menuSeparator id="mnuTxtStylesSep5"/>
            <button id="btnInsTabCapStd" label="Table Caption" onAction="RibbonXOnAction" tag="A_InsTblCptStd"/>
            <!--						<button 	id="btnInsTabCapWide" 
							label="Full Page Table Caption" 
							onAction="RibbonXOnAction" 
							tag="A_InsTblCptWide" /> 
-->
            <menuSeparator id="mnuTxtStylesSep6"/>
            <button id="btnInsSourceStd" label="Source/Note" onAction="RibbonXOnAction" tag="A_InsSourceStd"/>
            <button id="btnInsTableNote" label="Plain Table Note" onAction="RibbonXOnAction" tag="A_InsTableNote"/>
            <button id="btnInsTableNoteGRADE" label="Table Note 'GRADE'" onAction="RibbonXOnAction" tag="A_InsTableNoteGRADE"/>
            <menuSeparator id="mnuTxtStylesSep7"/>
            <button id="btnInsTableNoteNum" label="Numbered Table Note (a)" onAction="RibbonXOnAction" tag="A_InsTableNoteNum"/>
            <button id="btnRestartTableNoteNum" label="Restart Table Note Numbering (a)" onAction="RibbonXOnAction" tag="A_RestartTableNote"/>
            <!--						<button 	id="btnInsSourceWide" 
							label="Full Page Source" 
							onAction="RibbonXOnAction" 
							tag="A_InsSourceWide" /> 
-->
            <menuSeparator id="mnuTxtStylesSep8" title="Insert Update Boxes"/>
            <button id="btnInsUpdateBox" label="Update Box at Cursor Position" onAction="RibbonXOnAction" tag="A_InsUpdateBox"/>
            <button id="btnInsUpdatePageBox" label="Update Box on Full Page" onAction="RibbonXOnAction" tag="A_InsUpdatePageBox"/>
            <menuSeparator id="mnuTxtStylesSep9"/>
            <button id="btnDelUpdateBox" label="Delete Update Box" onAction="RibbonXOnAction" tag="A_DelUpdateBox"/>
            <menuSeparator id="mnuTxtStylesSep10"/>
            <button id="btnAlignUpdateBox" label="Set Update Box to Top of the Page" onAction="RibbonXOnAction" tag="A_RealignUpdatePageBox"/>
          </menu>
          <menu id="mnuHeadStyles" image="HeadingStyles1" size="large" label="Heading Styles">
            <menuSeparator id="mnuHeadStylesSep1" title="Main Document Headings"/>
            <button id="btnSecHeading" label="Main Section Heading" onAction="RibbonXOnAction" tag="A_SecHead"/>
            <button id="btnSubHead" label="Sub-Heading" onAction="RibbonXOnAction" tag="A_SubHead"/>
            <button id="btnMinorSubHead" label="Minor Sub-Heading" onAction="RibbonXOnAction" tag="A_MinorSub"/>
            <button id="btnLevel4Head" label="Level 4 Heading" onAction="RibbonXOnAction" tag="A_Level4Head"/>
            <button id="btnLevel5Head" label="Level 5 Heading" onAction="RibbonXOnAction" tag="A_Level5Head"/>
            <button id="btnBodyTextHeading" label="Body Text Heading (un-numbered)" onAction="RibbonXOnAction" tag="A_BodyHead"/>
            <menuSeparator id="mnuHeadStylesSep3" title="Unnumbered Section Headings"/>
            <button id="btnSecHeadUnNumbered" label="Unnumbered Main Heading" onAction="RibbonXOnAction" tag="A_SecHeadUnNumbered"/>
            <button id="btnSubHeadUnNumbered" label="Unnumbered Sub-Heading" onAction="RibbonXOnAction" tag="A_SubHeadUnNumbered"/>
            <!--<menuSeparator id="mnuHeadStylesSep4" />
						<button 	id="btnSecNonToc" 
							label="Main Heading (non-ToC)" 
							onAction="RibbonXOnAction" 
							tag="A_SecHeadNonToc" /> -->
            <!--						<menuSeparator id="mnuHeadStylesSep5" title = "Summary Headings" />
						<button 	id="btnExeSumMainHead" 
							label="Executive Summary Main Heading" 
							onAction="RibbonXOnAction" 
							tag="A_ExecSumHead" /> 
						<button 	id="btnExeSumSubHead" 
							label="Executive Summary Sub Heading" 
							onAction="RibbonXOnAction" 
							tag="A_ExecSumSubHead" /> 
-->
          </menu>
        </group>
        <!--End of Text Toolbar group-->
        <!--Start of Table Toolbar group-->
        <group id="TableToolbar" label="Table Tools">
          <!--Start of Table Insert Menu-->
          <menu id="mnuNewTables" image="TableInsert" size="large" label="Insert Tables">
            <!--					<menuSeparator id="mnuTableInsertSep1"
							title="Tables"/>
-->
            <button id="btnTblInsDataTable" label="Standard Table" onAction="RibbonXOnAction" tag="A_TblDataStd"/>
            <!--						<button id="btnTblInsFullPgDataTable" 
							label="Full Page Data Table" 
							onAction="RibbonXOnAction" 
							tag="A_TblDataWide"/>
						<button id="btnTblInsMargDataTable" 
							label="Margin Data Table" 
							onAction="RibbonXOnAction" 
							tag="A_TblDataMar"/>
						<menuSeparator id="mnuTableInsertSep2"
							title="Text Tables"/>
-->
            <button id="btnTblInsTextTable" label="Standard Table With Bullets" onAction="RibbonXOnAction" tag="A_TblTextStd"/>
            <!--						<button id="btnTblInsFullPgTextTable" 	
							label="Full Page Text Table" 
							onAction="RibbonXOnAction" 
							tag="A_TblTextWide"/>
						<menuSeparator id="mnuTableInsertSep3"/>
						<button id="btnTblInsDblTextTable" 
							label="Side by Side Text Table" 
							onAction="RibbonXOnAction" 
							tag="A_TblTextDblStd"/>
						<button id="btnTblInsDblFullPgTextTable"
							label="Full Page Side by Side Text Table" 
							onAction="RibbonXOnAction" 
							tag="A_TblTextDblWide"/>
-->
          </menu>
          <!-- End of Table Insert Menu-->
          <!-- Start of Format Structure Toolbar section -->
          <menu id="mnuTableFormat" image="TableFormat" size="large" label="Format Table">
            <menuSeparator id="mnuTblFmtSep1"/>
            <!--						<splitButton 	id="splitBtnTblDes"> 
							<button 	id="btnTblDes" 
								label="Table Design"/> 
							<menu id="mnuTblDes">
								<button 	id="btnTblFillColLight" 
									label="Table Fill Dark" 
									onAction="RibbonXOnAction" 
									tag="A_TblColDark" />
								<button 	id="btnTblFillColRed" 
									label="Table Fill Light" 
									onAction="RibbonXOnAction" 
									tag="A_TblColLight" />
								<button 	id="btnTblFillNoCol" 
									label="No Fill Colour" 
									onAction="RibbonXOnAction" 
									tag="A_TblNoFill" />
							<menuSeparator id="mnuTblDesSep1"/>
								<button 	id="btnTblBor" 
									label="Apply Table Borders" 
									onAction="RibbonXOnAction" 
									tag="A_TblBor" />
								<button 	id="btnTblTotalRow" 
									label="Apply Total Row Format" 
									onAction="RibbonXOnAction" 
									tag="A_TblTotalRow" />
							</menu>
						</splitButton>
-->
            <splitButton id="splitBtnTblStrc">
              <button id="btnTblInsert" label="Insert"/>
              <menu id="mnuTblStrc">
                <button idMso="TableRowsInsertAboveWord"/>
                <button idMso="TableRowsInsertBelowWord"/>
                <button idMso="TableColumnsInsertLeft"/>
                <button idMso="TableColumnsInsertRight"/>
              </menu>
            </splitButton>
            <menu idMso="TableDeleteRowsAndColumnsMenuWord"/>
            <splitButton id="splitBtnCells">
              <button id="btnCells" label="Split/Merge"/>
              <menu id="mnuSplitMerge">
                <button idMso="SplitCells"/>
                <button idMso="MergeCells"/>
                <button idMso="TableRowsOrColumnsDistribute"/>
              </menu>
            </splitButton>
            <menuSeparator id="mnuTblFmtSep2"/>
            <button id="btnTblStdSize" label="Apply Std Table Size" onAction="RibbonXOnAction" tag="A_TblStdSize"/>
            <!--						<button id="btnTblFullPageSize" 
							label="Apply Full Page Table Size"				
							onAction="RibbonXOnAction" 
							tag="A_TblWideSize"/>
						<button id="btnTblMargSize" 
							label="Apply Margin Table Size"				
							onAction="RibbonXOnAction" 
							tag="A_TblMarSize"/>
					<menuSeparator id="mnuTblFmtSep3"/>
						<button id="btnTblDistColEqual" 
							label="Distribute Columns Evenly"				
							onAction="RibbonXOnAction" 
							tag="A_TblEqualCol" />
-->
            <menuSeparator id="mnuTblFmtSep4"/>
            <button id="btnTblBor" label="Apply Table Borders to Selected Cells" onAction="RibbonXOnAction" tag="A_TblBor"/>
            <menuSeparator id="mnuTblFmtSep5"/>
            <button id="btnTblHead" label="Apply Heading Format to this Row" onAction="RibbonXOnAction" tag="A_TblHeading"/>
          </menu>
          <!-- End of Format Structure Toolbar section -->
          <button id="TableFillColours" label="Apply Fill Colour to Selected Cells" image="TableColours" size="large" onAction="RibbonXOnAction" tag="A_TableFillColours"/>
          <!-- Start of Format Table Text Toolbar section -->
          <menu id="mnuTblTxtStyles" image="TableText" size="large" label="Format Table Text">
            <button id="btnTblHeadLeft" label="Table Heading Left" onAction="RibbonXOnAction" tag="A_TblTitleLeft"/>
            <button id="btnTblHeadRight" label="Table Heading Right" onAction="RibbonXOnAction" tag="A_TblTitleRight"/>
            <button id="btnTblHeadCentre" label="Table Heading Centre" onAction="RibbonXOnAction" tag="A_TblTitleCentre"/>
            <menuSeparator id="mnuTblTxtStylesSep1"/>
            <button id="btnTblTxtLeft" label="Table Text Left" onAction="RibbonXOnAction" tag="A_TblTextLeft"/>
            <button id="btnTblTxtRight" label="Table Text Right" onAction="RibbonXOnAction" tag="A_TblTextRight"/>
            <button id="btnTblTxtCentre" label="Table Text Centre" onAction="RibbonXOnAction" tag="A_TblTextCentre"/>
            <menuSeparator id="mnuTblTxtStylesSep2"/>
            <button id="btnTblTotalLeft" label="Table Total Left" onAction="RibbonXOnAction" tag="A_TblTotalLeft"/>
            <button id="btnTblTotalRight" label="Table Total Right" onAction="RibbonXOnAction" tag="A_TblTotalRight"/>
            <button id="btnTblTotalCentre" label="Table Total Centre" onAction="RibbonXOnAction" tag="A_TblTotalCentre"/>
            <menuSeparator id="mnuTblTxtStylesSep3"/>
            <button id="btnTblBullet" label="Table Bullet" onAction="RibbonXOnAction" tag="A_TblBullet"/>
            <button id="btnTblBullet2" label="Table Sub-Bullet" onAction="RibbonXOnAction" tag="A_TblBullet2"/>
            <button id="btnTblBullet3" label="Table Minor Sub-Bullet" onAction="RibbonXOnAction" tag="A_TblBullet3"/>
            <menuSeparator id="mnuTblTxtStylesSep4"/>
            <button id="btnCapTxtStyle" label="Caption Text Style" onAction="RibbonXOnAction" tag="A_CapStd"/>
            <!--						<button 	id="btnFullPgCapTxtStyle" 
							label="Full Page Caption Text Style" 
							onAction="RibbonXOnAction" 
							tag="A_CapWide" />
-->
            <menuSeparator id="mnuTblTxtStylesSep5"/>
            <button id="btnSourceTxtStyle" label="Source Text Style" onAction="RibbonXOnAction" tag="A_Source"/>
            <!--						<button 	id="btnFullPgSourceTxtStyle" 
							label="Full Page Source Text Style" 
							onAction="RibbonXOnAction" 
							tag="A_SourceWide" />
-->
          </menu>
          <!-- Start of Table Magic Menu -->
          <menu id="mnuTblMagic" image="TableMagic" size="large" label="Table Magic">
            <button id="btnTblMagicStd" label="Format Standard Table" onAction="RibbonXOnAction" tag="A_TblMgcStdData"/>
            <!--						<button id="btnTblMagicWide" 	
							label="Format Full Page Data Table" 
							onAction="RibbonXOnAction" 
							tag="A_TblMgcWideData"/>
						<button id="btnTblMagicMarginData" 
							label="Format Margin Data Table" 
							onAction="RibbonXOnAction" 
							tag="A_TblMgcMarginData"/>
						<button id="btnTblMagicCmpData"
 							label="Format Company Data Table" 
							onAction="RibbonXOnAction" 
							tag="A_TblMgcCompData"/>
-->
          </menu>
          <!-- End of Table Magic Menu -->
        </group>
        <!--End of Table Toolbar group-->
        <!--Start of Graphics Toolbar group-->
        <group id="GraphicsToolbar" label="Graphic Tools">
          <menu id="mnuGraphics" image="GraphicTools" size="large" label="Graphics">
            <menuSeparator id="mnuGraphicsSep1" title="Insert Graphic Frames"/>
            <button id="btnInsGph" label="Standard Graphic Frame" onAction="RibbonXOnAction" tag="A_GphcStd"/>
            <!--						<button id="btnInsGrpFullPg" 
							label="Full Page Graphic Frame"				
							onAction="RibbonXOnAction" 
							tag="A_GphcWide" />
-->
            <button id="btnInsGrpDbl" label="Side-by-Side Graphic Frame" onAction="RibbonXOnAction" tag="A_GphcDB"/>
            <menuSeparator id="mnuGraphicsSep1a"/>
            <button id="btnInsGrpMulti" label="Multiple Graphic Frames" onAction="RibbonXOnAction" tag="A_GphcMulti"/>
            <!--						<button id="btnInsGrpDblWide" 
							label="Side by Side Graphic Full Page"			
							onAction="RibbonXOnAction" 
							tag="A_GphcDBWide" />
-->
            <menuSeparator id="mnuGraphicsSep3" title="Insert Pictures"/>
            <button id="btnInsPicFile" label="Insert Picture from File" onAction="RibbonXOnAction" tag="A_InsPicFile"/>
            <button id="btnInsGphcClip" label="Insert Picture from Clipboard" onAction="RibbonXOnAction" tag="A_InsPicClip"/>
            <menuSeparator id="mnuGraphicsSep4"/>
            <button id="btnInsPicFromPPT" label="Insert Highlighted Graphic from PPT" onAction="RibbonXOnAction" tag="A_GphcPPT"/>
            <button id="btnInsGphcFromExcel" label="Insert Highlighted Graph from Excel" onAction="RibbonXOnAction" tag="A_GphcXL"/>
            <!--<menuSeparator id="mnuGraphicsSep5"/>
						<button id="btnInsLogo"
							label="Insert Logos on Title Page"
							onAction="RibbonXOnAction" 
							tag="A_LogoFormShow" />-->
            <!--					<menuSeparator id="mnuGraphicsSep5" title="Show/Hide Comment Balloons"/>
						<button id="btnShowComments" 
							label="Show Comments"		
							onAction="RibbonXOnAction" 
							tag="A_ComtsON" />
						<button id="btnHideComments" 
							label="Hide Comments"			
							onAction="RibbonXOnAction" 
							tag="A_ComtsOff" />
-->
          </menu>
        </group>
        <!--End of Graphic Toolbar group-->
        <!--Start of Other Inserts Toolbar group-->
        <group id="OtherInserts" label="Other Inserts">
          <menu id="mnuInserts" image="OtherInserts" size="large" label="Other Inserts">
            <button id="btnInsLandscape" label="Insert a Landscape Section" onAction="RibbonXOnAction" tag="A_InsLandscape"/>
            <button id="btnDelLandscape" label="Delete this entire Landscape Section" onAction="RibbonXOnAction" tag="A_DelLandscape"/>
            <menuSeparator id="mnuOther1a"/>
            <button id="btnInsPort" label="Insert a Portrait Section (within Landscape)" onAction="RibbonXOnAction" tag="A_InsPortInLands"/>
            <button id="btnDelPort" label="Delete this Portrait Section (out of Landscape)" onAction="RibbonXOnAction" tag="A_DelPortInLands"/>
            <menuSeparator id="mnuOther1" title="Insert Table of Recommendations"/>
            <button id="btnInsRecomToc" label="Table of Recommendations here" onAction="RibbonXOnAction" tag="A_InsRecomToc"/>
            <button id="InsResearchRecomToc" label="Table of Research Recommendations here" onAction="RibbonXOnAction" tag="A_InsResearchRecomToc"/>
          </menu>
          <!--					<menu id="mnuCVInserts" image="OtherInserts"
						size="large"
						label="CVs">
						<button id="btnInsCV" 
							label="Insert CV"					
							onAction="RibbonXOnAction" 
							tag="A_InsCV" />
					</menu>
-->
        </group>
        <!--End of Inserts Toolbar group-->
        <!--Start of Appendix Toolbar group-->
        <group id="Appendix" label="Appendix Tools">
          <menu id="mnuAppendix" image="Appendix" size="large" label="Appendix Options">
            <button id="btnInsApp" label="Insert Appendix" onAction="RibbonXOnAction" tag="A_InsApp"/>
            <menuSeparator id="mnuAppendixSep1"/>
            <button id="btnAppHead1" label="Next Appendix Heading" onAction="RibbonXOnAction" tag="A_AppHead"/>
            <button id="btnAppHead2" label="Appendix Sub Heading" onAction="RibbonXOnAction" tag="A_AppSubHead"/>
            <button id="btnAppHead3" label="Appendix Minor Sub Heading" onAction="RibbonXOnAction" tag="A_AppMinSubHead"/>
            <button id="btnAppHead4" label="Appendix Level 4 Heading" onAction="RibbonXOnAction" tag="A_AppLev4Head"/>
            <menuSeparator id="mnuAppendixSep2"/>
            <button id="btnAppdel" label="Delete Appendix Section" onAction="RibbonXOnAction" tag="A_DelApp"/>
          </menu>
        </group>
        <!--End of Appendix Toolbar group-->
        <!--Start of Template Toolbar group-->
        <group id="Template" label="Template Tools">
          <menu id="mnuTemplate" image="TemplateOptions" size="large" label="Template Options">
            <button id="btnUpdateToc" label="Update Fields" onAction="RibbonXOnAction" tag="A_TocFieldUpd"/>
            <menuSeparator id="mnuTemplateSep2"/>
            <button id="btnLineNumOn" label="Line Numbering On" onAction="RibbonXOnAction" tag="A_LineNumON"/>
            <button id="btnLineNumOff" label="Line Numbering Off" onAction="RibbonXOnAction" tag="A_LineNumOFF"/>
            <!--					<menuSeparator id="mnuTemplateSep3" title="Contents Page Options"/>
						<button id="btnDelCtnt" 
							label="Delete Table of Contents"				
							onAction="RibbonXOnAction" 
							tag="A_DelContent" />
						<button id="btnInsCtnt" 
							label="Re-Insert Table of Contents"				
							onAction="RibbonXOnAction" 
							tag="A_InsContent" />
-->
            <!--<menuSeparator id="mnuTemplateSep4" />
						<button id="btnCtnt1Level" 
							label="TOC with 1 Appendix Heading Level"		
							onAction="RibbonXOnAction" 
							tag="A_InsTocWith1AppLevel" />
						<button id="btnCtnt3Level" 
							label="TOC with 3 Appendix Heading Levels"		
							onAction="RibbonXOnAction" 
							tag="A_InsTocWith3AppLevel" />-->
            <!--					<menuSeparator id="mnuTemplateSep5" />
						<button id="btnInsToF" 
							label="Insert Table of Figures"		
							onAction="RibbonXOnAction" 
							tag="A_InsToF" />
						<button id="btnInsToT" 
							label="Insert Table of Tables"		
							onAction="RibbonXOnAction" 
							tag="A_InsToT" />
-->
          </menu>
          <button id="btnInfo" imageMso="Info" onAction="RibbonXOnAction" tag="A_About"/>
        </group>
        <!--End of Template Toolbar group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1CCF-93A7-4B7C-8FC2-16345657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 Templates - CG Full Guideline Template (without title page).dotm</Template>
  <TotalTime>1133</TotalTime>
  <Pages>9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 Guideline Template</vt:lpstr>
    </vt:vector>
  </TitlesOfParts>
  <Company>CTS Creative Template Solutions Ltd</Company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 Guideline Template</dc:title>
  <dc:creator>Katherine Leggett</dc:creator>
  <cp:lastModifiedBy>Nuala Ernest</cp:lastModifiedBy>
  <cp:revision>72</cp:revision>
  <cp:lastPrinted>2010-10-19T12:53:00Z</cp:lastPrinted>
  <dcterms:created xsi:type="dcterms:W3CDTF">2015-01-27T15:32:00Z</dcterms:created>
  <dcterms:modified xsi:type="dcterms:W3CDTF">2016-02-26T17:37:00Z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</vt:lpwstr>
  </property>
  <property fmtid="{D5CDD505-2E9C-101B-9397-08002B2CF9AE}" pid="3" name="Date">
    <vt:lpwstr>29 October 2014</vt:lpwstr>
  </property>
</Properties>
</file>