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69F948CA" w:rsidR="00EE6C88" w:rsidRDefault="00EE6C88" w:rsidP="00EE6C88">
    <w:pPr>
      <w:rPr>
        <w:b/>
      </w:rPr>
    </w:pPr>
    <w:r>
      <w:rPr>
        <w:szCs w:val="22"/>
      </w:rPr>
      <w:t>Please return to:</w:t>
    </w:r>
    <w:r w:rsidR="001F0AA1">
      <w:t xml:space="preserve"> </w:t>
    </w:r>
    <w:hyperlink r:id="rId1" w:history="1">
      <w:r w:rsidR="001F0AA1" w:rsidRPr="001B2DC9">
        <w:rPr>
          <w:rStyle w:val="Hyperlink"/>
        </w:rPr>
        <w:t>Oesophagealcancer@nice.org.uk</w:t>
      </w:r>
    </w:hyperlink>
    <w:r w:rsidR="001F0AA1">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6435BB0C" w:rsidR="007968D4" w:rsidRPr="008039AA" w:rsidRDefault="001F0AA1" w:rsidP="003F6C97">
    <w:pPr>
      <w:pStyle w:val="Heading3"/>
      <w:jc w:val="left"/>
      <w:rPr>
        <w:bCs w:val="0"/>
        <w:sz w:val="28"/>
        <w:szCs w:val="28"/>
      </w:rPr>
    </w:pPr>
    <w:r w:rsidRPr="001F0AA1">
      <w:rPr>
        <w:bCs w:val="0"/>
      </w:rPr>
      <w:t>Oesophago-gastric cancer: assessment and management in adults</w:t>
    </w:r>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7F50DCA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F0AA1">
      <w:t>5pm</w:t>
    </w:r>
    <w:r w:rsidR="004C7583">
      <w:t xml:space="preserve"> on </w:t>
    </w:r>
    <w:r w:rsidR="001F0AA1">
      <w:t>02/05/23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1F0AA1" w:rsidRPr="001B2DC9">
        <w:rPr>
          <w:rStyle w:val="Hyperlink"/>
          <w:b w:val="0"/>
          <w:bCs w:val="0"/>
        </w:rPr>
        <w:t>Oesophagealcancer@nice.org.uk</w:t>
      </w:r>
    </w:hyperlink>
    <w:r w:rsidR="001F0AA1">
      <w:rPr>
        <w:b w:val="0"/>
        <w:bCs w:val="0"/>
      </w:rPr>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1F0AA1"/>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esophagealcancer@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esophagealcancer@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2</cp:revision>
  <cp:lastPrinted>2005-11-01T09:30:00Z</cp:lastPrinted>
  <dcterms:created xsi:type="dcterms:W3CDTF">2023-04-14T10:40:00Z</dcterms:created>
  <dcterms:modified xsi:type="dcterms:W3CDTF">2023-04-14T10:40:00Z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