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A5B0" w14:textId="77777777" w:rsidR="005C4239" w:rsidRDefault="005C4239" w:rsidP="005C4239">
      <w:pPr>
        <w:pStyle w:val="Title"/>
      </w:pPr>
      <w:bookmarkStart w:id="0" w:name="Text1"/>
      <w:r>
        <w:t>NATIONAL INSTITUTE FOR HEALTH AND CARE EXCELLENCE</w:t>
      </w:r>
    </w:p>
    <w:p w14:paraId="18763C50" w14:textId="1E207C62" w:rsidR="002B7354" w:rsidRPr="000C37A0" w:rsidRDefault="00E3320F" w:rsidP="001D4AC0">
      <w:pPr>
        <w:pStyle w:val="Title1"/>
      </w:pPr>
      <w:r>
        <w:t>V</w:t>
      </w:r>
      <w:r w:rsidR="00E60EAF" w:rsidRPr="00E60EAF">
        <w:t xml:space="preserve">enous </w:t>
      </w:r>
      <w:r>
        <w:t>thromboembolism in adults</w:t>
      </w:r>
      <w:r w:rsidR="00E60EAF" w:rsidRPr="00E60EAF">
        <w:t xml:space="preserve"> (update)</w:t>
      </w:r>
      <w:bookmarkEnd w:id="0"/>
    </w:p>
    <w:p w14:paraId="0AF487B5" w14:textId="77777777" w:rsidR="009C399D" w:rsidRPr="000C37A0" w:rsidRDefault="002B7354" w:rsidP="001D4AC0">
      <w:pPr>
        <w:pStyle w:val="Title1"/>
      </w:pPr>
      <w:r w:rsidRPr="000C37A0">
        <w:t xml:space="preserve">NICE </w:t>
      </w:r>
      <w:r w:rsidR="009C399D" w:rsidRPr="000C37A0">
        <w:t>quality standard</w:t>
      </w:r>
    </w:p>
    <w:p w14:paraId="58C72B1E" w14:textId="10250496" w:rsidR="005E6E43" w:rsidRDefault="009C399D" w:rsidP="0092016E">
      <w:pPr>
        <w:pStyle w:val="Title2"/>
      </w:pPr>
      <w:r w:rsidRPr="000C37A0">
        <w:t>Draft for consultation</w:t>
      </w:r>
    </w:p>
    <w:p w14:paraId="772D9B72" w14:textId="77777777" w:rsidR="0092016E" w:rsidRDefault="0092016E" w:rsidP="0092016E">
      <w:pPr>
        <w:pStyle w:val="Title2"/>
      </w:pPr>
    </w:p>
    <w:tbl>
      <w:tblPr>
        <w:tblStyle w:val="PanelPrimary"/>
        <w:tblW w:w="0" w:type="auto"/>
        <w:tblLook w:val="0000" w:firstRow="0" w:lastRow="0" w:firstColumn="0" w:lastColumn="0" w:noHBand="0" w:noVBand="0"/>
        <w:tblDescription w:val="&#10;"/>
      </w:tblPr>
      <w:tblGrid>
        <w:gridCol w:w="8253"/>
      </w:tblGrid>
      <w:tr w:rsidR="00CB63FA" w14:paraId="6E59EB82" w14:textId="77777777" w:rsidTr="00E60EAF">
        <w:tc>
          <w:tcPr>
            <w:tcW w:w="8253" w:type="dxa"/>
          </w:tcPr>
          <w:p w14:paraId="11E6DB58" w14:textId="7EFFCF80" w:rsidR="00CB63FA" w:rsidRDefault="00CB63FA" w:rsidP="00CB63FA">
            <w:pPr>
              <w:pStyle w:val="NICEnormal"/>
            </w:pPr>
            <w:r w:rsidRPr="00E57EE0">
              <w:rPr>
                <w:b/>
              </w:rPr>
              <w:t>This quality standard covers</w:t>
            </w:r>
            <w:r>
              <w:t xml:space="preserve"> </w:t>
            </w:r>
            <w:r w:rsidR="00066F6D">
              <w:t xml:space="preserve">reducing the risk of </w:t>
            </w:r>
            <w:r w:rsidR="00015903">
              <w:t>venous thromboembolism</w:t>
            </w:r>
            <w:r w:rsidR="00066F6D">
              <w:t xml:space="preserve"> (VTE) in people aged 16 and over who are in hospital</w:t>
            </w:r>
            <w:r w:rsidR="009F52D0">
              <w:t>. It also covers</w:t>
            </w:r>
            <w:r w:rsidR="00066F6D">
              <w:t xml:space="preserve"> diagnosing and treating VTE in</w:t>
            </w:r>
            <w:r w:rsidR="009F52D0">
              <w:t xml:space="preserve"> all</w:t>
            </w:r>
            <w:r w:rsidR="00066F6D">
              <w:t xml:space="preserve"> people aged 18 and over.</w:t>
            </w:r>
            <w:r w:rsidR="00015903">
              <w:t xml:space="preserve"> </w:t>
            </w:r>
            <w:r>
              <w:t xml:space="preserve">It describes high-quality care in priority areas for improvement. </w:t>
            </w:r>
          </w:p>
          <w:p w14:paraId="607989D2" w14:textId="36C8636D" w:rsidR="00CB63FA" w:rsidRDefault="00CB63FA" w:rsidP="00CB63FA">
            <w:pPr>
              <w:pStyle w:val="NICEnormal"/>
            </w:pPr>
            <w:r>
              <w:rPr>
                <w:b/>
              </w:rPr>
              <w:t xml:space="preserve">It is for </w:t>
            </w:r>
            <w:r w:rsidRPr="00E57EE0">
              <w:t>c</w:t>
            </w:r>
            <w:r>
              <w:t>ommissioners, service providers, healthcare practitioners and the public.</w:t>
            </w:r>
          </w:p>
          <w:p w14:paraId="31A928BD" w14:textId="1F05843D" w:rsidR="00CB63FA" w:rsidRDefault="00CB63FA" w:rsidP="00CB63FA">
            <w:pPr>
              <w:pStyle w:val="NICEnormal"/>
              <w:rPr>
                <w:rStyle w:val="Hyperlink"/>
              </w:rPr>
            </w:pPr>
            <w:r w:rsidRPr="00965E85">
              <w:t xml:space="preserve">This </w:t>
            </w:r>
            <w:r>
              <w:t>quality standard</w:t>
            </w:r>
            <w:r w:rsidRPr="00965E85">
              <w:t xml:space="preserve"> will </w:t>
            </w:r>
            <w:r w:rsidR="00E60EAF">
              <w:t>replace</w:t>
            </w:r>
            <w:r w:rsidRPr="00965E85">
              <w:t xml:space="preserve"> </w:t>
            </w:r>
            <w:r>
              <w:t>the existing quality standard</w:t>
            </w:r>
            <w:r w:rsidR="00E60EAF">
              <w:t>s</w:t>
            </w:r>
            <w:r>
              <w:t xml:space="preserve"> on </w:t>
            </w:r>
            <w:bookmarkStart w:id="1" w:name="_Hlk55391234"/>
            <w:r w:rsidR="0092016E">
              <w:fldChar w:fldCharType="begin"/>
            </w:r>
            <w:r w:rsidR="0092016E">
              <w:instrText xml:space="preserve"> HYPERLINK "https://www.nice.org.uk/guidance/qs3" </w:instrText>
            </w:r>
            <w:r w:rsidR="0092016E">
              <w:fldChar w:fldCharType="separate"/>
            </w:r>
            <w:r w:rsidR="00E60EAF" w:rsidRPr="00E60EAF">
              <w:rPr>
                <w:rStyle w:val="Hyperlink"/>
              </w:rPr>
              <w:t>Venous thromboembolism in adults: reducing the risk in hospital</w:t>
            </w:r>
            <w:r w:rsidR="0092016E">
              <w:rPr>
                <w:rStyle w:val="Hyperlink"/>
              </w:rPr>
              <w:fldChar w:fldCharType="end"/>
            </w:r>
            <w:bookmarkEnd w:id="1"/>
            <w:r w:rsidR="00E60EAF">
              <w:t xml:space="preserve"> (published June 2010) and</w:t>
            </w:r>
            <w:r w:rsidRPr="00965E85">
              <w:t xml:space="preserve"> </w:t>
            </w:r>
            <w:hyperlink r:id="rId8" w:history="1">
              <w:r w:rsidR="00E60EAF" w:rsidRPr="00E60EAF">
                <w:rPr>
                  <w:rStyle w:val="Hyperlink"/>
                </w:rPr>
                <w:t>Venous thromboembolism in adults: diagnosis and management</w:t>
              </w:r>
            </w:hyperlink>
            <w:r w:rsidR="00E60EAF" w:rsidRPr="00E60EAF">
              <w:t xml:space="preserve"> </w:t>
            </w:r>
            <w:r w:rsidRPr="00965E85">
              <w:t xml:space="preserve">(published </w:t>
            </w:r>
            <w:r w:rsidR="00D94B78">
              <w:t>March 2013</w:t>
            </w:r>
            <w:r w:rsidRPr="00965E85">
              <w:t>).</w:t>
            </w:r>
            <w:r>
              <w:t xml:space="preserve"> For more information </w:t>
            </w:r>
            <w:r w:rsidRPr="00BA5F37">
              <w:t xml:space="preserve">see </w:t>
            </w:r>
            <w:hyperlink r:id="rId9" w:history="1">
              <w:r w:rsidRPr="000B11AC">
                <w:rPr>
                  <w:rStyle w:val="Hyperlink"/>
                </w:rPr>
                <w:t>update information</w:t>
              </w:r>
            </w:hyperlink>
          </w:p>
          <w:p w14:paraId="31AED694" w14:textId="59CDDF6C" w:rsidR="002B7837" w:rsidRDefault="002B7837" w:rsidP="00CB63FA">
            <w:pPr>
              <w:pStyle w:val="NICEnormal"/>
            </w:pPr>
            <w:r w:rsidRPr="002B7837">
              <w:t xml:space="preserve">We’ve produced </w:t>
            </w:r>
            <w:hyperlink r:id="rId10" w:history="1">
              <w:r w:rsidRPr="002B7837">
                <w:rPr>
                  <w:rStyle w:val="Hyperlink"/>
                </w:rPr>
                <w:t xml:space="preserve">new guidance on </w:t>
              </w:r>
              <w:r w:rsidRPr="002B7837">
                <w:rPr>
                  <w:rStyle w:val="Hyperlink"/>
                </w:rPr>
                <w:t>r</w:t>
              </w:r>
              <w:r w:rsidRPr="002B7837">
                <w:rPr>
                  <w:rStyle w:val="Hyperlink"/>
                </w:rPr>
                <w:t>educing the risk of venous thromboembolism in over 16s with COVID-19</w:t>
              </w:r>
            </w:hyperlink>
            <w:r w:rsidRPr="002B7837">
              <w:t>. This is relevant to statement</w:t>
            </w:r>
            <w:r>
              <w:t xml:space="preserve"> 1 </w:t>
            </w:r>
            <w:r w:rsidRPr="002B7837">
              <w:t>in this quality standard</w:t>
            </w:r>
            <w:r>
              <w:t>.</w:t>
            </w:r>
          </w:p>
          <w:p w14:paraId="3BA61AAB" w14:textId="1E0E2B4E" w:rsidR="00CB63FA" w:rsidRPr="00BB32FB" w:rsidRDefault="00CB63FA" w:rsidP="00D94B78">
            <w:pPr>
              <w:pStyle w:val="NICEnormal"/>
            </w:pPr>
            <w:r>
              <w:t>This is the draft quality standard for consultation (f</w:t>
            </w:r>
            <w:r w:rsidRPr="00684B03">
              <w:t xml:space="preserve">rom </w:t>
            </w:r>
            <w:r w:rsidR="00D94B78">
              <w:t xml:space="preserve">20 November </w:t>
            </w:r>
            <w:r w:rsidRPr="00684B03">
              <w:t xml:space="preserve">to </w:t>
            </w:r>
            <w:r w:rsidR="00D94B78">
              <w:t>18</w:t>
            </w:r>
            <w:r w:rsidR="009F52D0">
              <w:t> </w:t>
            </w:r>
            <w:r w:rsidR="00D94B78">
              <w:t>December 2020</w:t>
            </w:r>
            <w:r>
              <w:t xml:space="preserve">). The final quality standard is expected to publish in </w:t>
            </w:r>
            <w:r w:rsidR="00D94B78">
              <w:t>April 2021</w:t>
            </w:r>
            <w:r>
              <w:t>.</w:t>
            </w:r>
          </w:p>
        </w:tc>
      </w:tr>
    </w:tbl>
    <w:p w14:paraId="0AACCED2" w14:textId="77777777" w:rsidR="00E57EE0" w:rsidRPr="003604BE" w:rsidRDefault="00E57EE0">
      <w:r>
        <w:br w:type="page"/>
      </w:r>
    </w:p>
    <w:p w14:paraId="2286F3AE" w14:textId="77777777" w:rsidR="009C399D" w:rsidRPr="000C37A0" w:rsidRDefault="00A14DDD" w:rsidP="00804468">
      <w:pPr>
        <w:pStyle w:val="Heading1"/>
      </w:pPr>
      <w:bookmarkStart w:id="2" w:name="_Quality_statements"/>
      <w:bookmarkEnd w:id="2"/>
      <w:r>
        <w:lastRenderedPageBreak/>
        <w:t>Q</w:t>
      </w:r>
      <w:r w:rsidR="009C399D" w:rsidRPr="000C37A0">
        <w:t>uality statements</w:t>
      </w:r>
    </w:p>
    <w:p w14:paraId="7F0BD0F0" w14:textId="420D5DBA" w:rsidR="009C399D" w:rsidRPr="000C37A0" w:rsidRDefault="007C368A" w:rsidP="009C399D">
      <w:pPr>
        <w:pStyle w:val="NICEnormal"/>
      </w:pPr>
      <w:hyperlink w:anchor="_Quality_statement_1:" w:history="1">
        <w:r w:rsidR="009C399D" w:rsidRPr="00AD2882">
          <w:rPr>
            <w:rStyle w:val="Hyperlink"/>
          </w:rPr>
          <w:t>Statement 1</w:t>
        </w:r>
      </w:hyperlink>
      <w:r w:rsidR="009C399D" w:rsidRPr="000C37A0">
        <w:t xml:space="preserve"> </w:t>
      </w:r>
      <w:r w:rsidR="00403F09">
        <w:t>People aged 16 and over</w:t>
      </w:r>
      <w:r w:rsidR="00403F09" w:rsidRPr="00EE1273">
        <w:t xml:space="preserve"> </w:t>
      </w:r>
      <w:r w:rsidR="00403F09">
        <w:t xml:space="preserve">who </w:t>
      </w:r>
      <w:r w:rsidR="00D73868">
        <w:t>are</w:t>
      </w:r>
      <w:r w:rsidR="00F0758E">
        <w:t xml:space="preserve"> in hospital and</w:t>
      </w:r>
      <w:r w:rsidR="00D73868">
        <w:t xml:space="preserve"> assessed as </w:t>
      </w:r>
      <w:r w:rsidR="00403F09">
        <w:t>need</w:t>
      </w:r>
      <w:r w:rsidR="00D73868">
        <w:t>ing</w:t>
      </w:r>
      <w:r w:rsidR="00403F09" w:rsidRPr="00EE1273">
        <w:t xml:space="preserve"> pharmacological VTE prophylaxis</w:t>
      </w:r>
      <w:r w:rsidR="00403F09">
        <w:t xml:space="preserve"> start it</w:t>
      </w:r>
      <w:r w:rsidR="00403F09" w:rsidRPr="00EE1273">
        <w:t xml:space="preserve"> as soon as possible and within 14</w:t>
      </w:r>
      <w:r w:rsidR="00F0758E">
        <w:t> </w:t>
      </w:r>
      <w:r w:rsidR="00403F09" w:rsidRPr="00EE1273">
        <w:t xml:space="preserve">hours of </w:t>
      </w:r>
      <w:r w:rsidR="00D73868">
        <w:t xml:space="preserve">hospital </w:t>
      </w:r>
      <w:r w:rsidR="00403F09" w:rsidRPr="00EE1273">
        <w:t>admission</w:t>
      </w:r>
      <w:r w:rsidR="00403F09">
        <w:t xml:space="preserve">. </w:t>
      </w:r>
      <w:r w:rsidR="00403F09" w:rsidRPr="004D0AC0">
        <w:rPr>
          <w:b/>
        </w:rPr>
        <w:t>[20</w:t>
      </w:r>
      <w:r w:rsidR="00403F09">
        <w:rPr>
          <w:b/>
        </w:rPr>
        <w:t>10</w:t>
      </w:r>
      <w:r w:rsidR="00403F09" w:rsidRPr="004D0AC0">
        <w:rPr>
          <w:b/>
        </w:rPr>
        <w:t>, updated 20</w:t>
      </w:r>
      <w:r w:rsidR="00403F09">
        <w:rPr>
          <w:b/>
        </w:rPr>
        <w:t>21</w:t>
      </w:r>
      <w:r w:rsidR="00403F09" w:rsidRPr="004D0AC0">
        <w:rPr>
          <w:b/>
        </w:rPr>
        <w:t>]</w:t>
      </w:r>
    </w:p>
    <w:p w14:paraId="30A87327" w14:textId="6D5B11F5" w:rsidR="00AC1989" w:rsidRPr="0081438E" w:rsidRDefault="007C368A" w:rsidP="00AC1989">
      <w:pPr>
        <w:pStyle w:val="NICEnormal"/>
      </w:pPr>
      <w:hyperlink w:anchor="_Quality_statement_[X]" w:history="1">
        <w:r w:rsidR="00AC1989" w:rsidRPr="00D33813">
          <w:rPr>
            <w:rStyle w:val="Hyperlink"/>
          </w:rPr>
          <w:t xml:space="preserve">Statement </w:t>
        </w:r>
        <w:r w:rsidR="00142CBA">
          <w:rPr>
            <w:rStyle w:val="Hyperlink"/>
          </w:rPr>
          <w:t>2</w:t>
        </w:r>
      </w:hyperlink>
      <w:r w:rsidR="00AC1989" w:rsidRPr="000C37A0">
        <w:t xml:space="preserve"> </w:t>
      </w:r>
      <w:r w:rsidR="00AC1989" w:rsidRPr="0081438E">
        <w:t xml:space="preserve">People aged 16 and over </w:t>
      </w:r>
      <w:r w:rsidR="000C6001">
        <w:t>who are in</w:t>
      </w:r>
      <w:r w:rsidR="00AC1989" w:rsidRPr="0081438E">
        <w:t xml:space="preserve"> hospital </w:t>
      </w:r>
      <w:r w:rsidR="000C6001">
        <w:t>and</w:t>
      </w:r>
      <w:r w:rsidR="00AC1989" w:rsidRPr="0081438E">
        <w:t xml:space="preserve"> assessed as needing anti-embolism stockings are supported to wear them correctly and have their use monitored.</w:t>
      </w:r>
      <w:r w:rsidR="00AC1989" w:rsidRPr="0081438E">
        <w:rPr>
          <w:rFonts w:ascii="Times New Roman" w:hAnsi="Times New Roman"/>
          <w:b/>
        </w:rPr>
        <w:t xml:space="preserve"> </w:t>
      </w:r>
      <w:r w:rsidR="002F5F27" w:rsidRPr="004D0AC0">
        <w:rPr>
          <w:b/>
        </w:rPr>
        <w:t>[20</w:t>
      </w:r>
      <w:r w:rsidR="002F5F27">
        <w:rPr>
          <w:b/>
        </w:rPr>
        <w:t>10</w:t>
      </w:r>
      <w:r w:rsidR="002F5F27" w:rsidRPr="004D0AC0">
        <w:rPr>
          <w:b/>
        </w:rPr>
        <w:t>, updated 20</w:t>
      </w:r>
      <w:r w:rsidR="002F5F27">
        <w:rPr>
          <w:b/>
        </w:rPr>
        <w:t>21</w:t>
      </w:r>
      <w:r w:rsidR="002F5F27" w:rsidRPr="004D0AC0">
        <w:rPr>
          <w:b/>
        </w:rPr>
        <w:t>]</w:t>
      </w:r>
    </w:p>
    <w:p w14:paraId="035B7EB4" w14:textId="6BB4D6B5" w:rsidR="009C399D" w:rsidRDefault="007C368A" w:rsidP="009C399D">
      <w:pPr>
        <w:pStyle w:val="NICEnormal"/>
      </w:pPr>
      <w:hyperlink w:anchor="_Quality_statement_2:" w:history="1">
        <w:r w:rsidR="009C399D" w:rsidRPr="00AD2882">
          <w:rPr>
            <w:rStyle w:val="Hyperlink"/>
          </w:rPr>
          <w:t>Statemen</w:t>
        </w:r>
        <w:r w:rsidR="007D23BD" w:rsidRPr="00AD2882">
          <w:rPr>
            <w:rStyle w:val="Hyperlink"/>
          </w:rPr>
          <w:t xml:space="preserve">t </w:t>
        </w:r>
        <w:r w:rsidR="00142CBA">
          <w:rPr>
            <w:rStyle w:val="Hyperlink"/>
          </w:rPr>
          <w:t>3</w:t>
        </w:r>
      </w:hyperlink>
      <w:r w:rsidR="009C399D" w:rsidRPr="000C37A0">
        <w:t xml:space="preserve"> </w:t>
      </w:r>
      <w:r w:rsidR="00F0758E">
        <w:t xml:space="preserve">People aged 18 and over </w:t>
      </w:r>
      <w:r w:rsidR="00403F09" w:rsidRPr="0094653F">
        <w:t xml:space="preserve">with a </w:t>
      </w:r>
      <w:r w:rsidR="00403F09">
        <w:t>deep vein thrombosis (DVT) Wells score of 2</w:t>
      </w:r>
      <w:r w:rsidR="00F0758E">
        <w:t> </w:t>
      </w:r>
      <w:r w:rsidR="00403F09">
        <w:t>points or more</w:t>
      </w:r>
      <w:r w:rsidR="00403F09" w:rsidRPr="0094653F" w:rsidDel="00C44CDB">
        <w:t xml:space="preserve"> </w:t>
      </w:r>
      <w:r w:rsidR="00403F09">
        <w:t>have</w:t>
      </w:r>
      <w:r w:rsidR="00403F09" w:rsidRPr="0094653F">
        <w:t xml:space="preserve"> a proximal leg vein ultrasound scan within 4</w:t>
      </w:r>
      <w:r w:rsidR="00F0758E">
        <w:t> </w:t>
      </w:r>
      <w:r w:rsidR="00403F09" w:rsidRPr="0094653F">
        <w:t>hours</w:t>
      </w:r>
      <w:r w:rsidR="00403F09">
        <w:t xml:space="preserve"> of it being requested. </w:t>
      </w:r>
      <w:r w:rsidR="00403F09" w:rsidRPr="0094653F">
        <w:rPr>
          <w:b/>
        </w:rPr>
        <w:t>[2013, updated 2021]</w:t>
      </w:r>
      <w:r w:rsidR="00625425" w:rsidRPr="000C37A0">
        <w:t xml:space="preserve"> </w:t>
      </w:r>
    </w:p>
    <w:p w14:paraId="68186813" w14:textId="59CCDB97" w:rsidR="00E57EE0" w:rsidRDefault="007C368A" w:rsidP="00E57EE0">
      <w:pPr>
        <w:pStyle w:val="NICEnormal"/>
      </w:pPr>
      <w:hyperlink w:anchor="_Quality_statement_X" w:history="1">
        <w:r w:rsidR="00E57EE0" w:rsidRPr="00AD2882">
          <w:rPr>
            <w:rStyle w:val="Hyperlink"/>
          </w:rPr>
          <w:t xml:space="preserve">Statement </w:t>
        </w:r>
        <w:r w:rsidR="00142CBA">
          <w:rPr>
            <w:rStyle w:val="Hyperlink"/>
          </w:rPr>
          <w:t>4</w:t>
        </w:r>
      </w:hyperlink>
      <w:r w:rsidR="00E57EE0" w:rsidRPr="000C37A0">
        <w:t xml:space="preserve"> </w:t>
      </w:r>
      <w:r w:rsidR="00984760">
        <w:t>People aged 18 and over</w:t>
      </w:r>
      <w:r w:rsidR="00403F09" w:rsidRPr="001F388F">
        <w:t xml:space="preserve"> taking anticoagulation treatment </w:t>
      </w:r>
      <w:r w:rsidR="00D73868">
        <w:t>after</w:t>
      </w:r>
      <w:r w:rsidR="00403F09">
        <w:t xml:space="preserve"> </w:t>
      </w:r>
      <w:r w:rsidR="00984760">
        <w:t>a</w:t>
      </w:r>
      <w:r w:rsidR="00403F09">
        <w:t xml:space="preserve"> VTE </w:t>
      </w:r>
      <w:r w:rsidR="00403F09" w:rsidRPr="001F388F">
        <w:t>have a review</w:t>
      </w:r>
      <w:r w:rsidR="00984760">
        <w:t xml:space="preserve"> after 3 months and then</w:t>
      </w:r>
      <w:r w:rsidR="00403F09">
        <w:t xml:space="preserve"> at least once a year if they continue to take it long-term</w:t>
      </w:r>
      <w:r w:rsidR="00403F09" w:rsidRPr="001F388F">
        <w:t xml:space="preserve">. </w:t>
      </w:r>
      <w:bookmarkStart w:id="3" w:name="_Hlk55319115"/>
      <w:r w:rsidR="002F5F27" w:rsidRPr="0094653F">
        <w:rPr>
          <w:b/>
        </w:rPr>
        <w:t>[2013, updated 2021]</w:t>
      </w:r>
      <w:bookmarkEnd w:id="3"/>
    </w:p>
    <w:p w14:paraId="0B5D92F2" w14:textId="26182E69" w:rsidR="00AD2882" w:rsidRDefault="007C368A" w:rsidP="00AD2882">
      <w:pPr>
        <w:pStyle w:val="NICEnormal"/>
      </w:pPr>
      <w:hyperlink w:anchor="_Quality_statement_[X]" w:history="1">
        <w:r w:rsidR="00403F09" w:rsidRPr="00D33813">
          <w:rPr>
            <w:rStyle w:val="Hyperlink"/>
          </w:rPr>
          <w:t xml:space="preserve">Statement </w:t>
        </w:r>
        <w:r w:rsidR="00403F09">
          <w:rPr>
            <w:rStyle w:val="Hyperlink"/>
          </w:rPr>
          <w:t>5</w:t>
        </w:r>
      </w:hyperlink>
      <w:r w:rsidR="00403F09" w:rsidRPr="00403F09">
        <w:t xml:space="preserve"> </w:t>
      </w:r>
      <w:r w:rsidR="00984760">
        <w:t xml:space="preserve">People aged 18 and over </w:t>
      </w:r>
      <w:r w:rsidR="00403F09" w:rsidRPr="00FA26F7">
        <w:t xml:space="preserve">having outpatient treatment for suspected or confirmed low-risk </w:t>
      </w:r>
      <w:r w:rsidR="00984760">
        <w:t>pulmonary embolism (PE)</w:t>
      </w:r>
      <w:r w:rsidR="00403F09" w:rsidRPr="00FA26F7">
        <w:t xml:space="preserve"> have </w:t>
      </w:r>
      <w:r w:rsidR="00403F09">
        <w:t xml:space="preserve">an agreed plan for </w:t>
      </w:r>
      <w:r w:rsidR="00205B55">
        <w:t xml:space="preserve">monitoring and </w:t>
      </w:r>
      <w:r w:rsidR="00403F09">
        <w:t xml:space="preserve">follow-up. </w:t>
      </w:r>
      <w:r w:rsidR="00403F09" w:rsidRPr="00FA26F7">
        <w:rPr>
          <w:b/>
        </w:rPr>
        <w:t>[new 2021]</w:t>
      </w:r>
      <w:r w:rsidR="00AD2882" w:rsidRPr="000C37A0">
        <w:t xml:space="preserve"> </w:t>
      </w:r>
    </w:p>
    <w:p w14:paraId="5EA9369D" w14:textId="2CFE23C1" w:rsidR="00F71B73" w:rsidRDefault="00C65AD8" w:rsidP="00F71B73">
      <w:pPr>
        <w:pStyle w:val="NICEnormal"/>
      </w:pPr>
      <w:r>
        <w:t xml:space="preserve">In </w:t>
      </w:r>
      <w:r w:rsidR="00403F09">
        <w:t>202</w:t>
      </w:r>
      <w:r w:rsidR="005E6E43">
        <w:t>0</w:t>
      </w:r>
      <w:r w:rsidR="00403F09">
        <w:t xml:space="preserve"> </w:t>
      </w:r>
      <w:r>
        <w:t xml:space="preserve">this quality standard was updated and statements prioritised in </w:t>
      </w:r>
      <w:r w:rsidR="00403F09">
        <w:t>2010 and 2013</w:t>
      </w:r>
      <w:r>
        <w:t xml:space="preserve"> were updated (</w:t>
      </w:r>
      <w:r w:rsidR="00403F09">
        <w:t>2010 or 2013</w:t>
      </w:r>
      <w:r>
        <w:t xml:space="preserve">, updated </w:t>
      </w:r>
      <w:r w:rsidR="00403F09">
        <w:t>2021</w:t>
      </w:r>
      <w:r>
        <w:t xml:space="preserve">) or replaced (new </w:t>
      </w:r>
      <w:r w:rsidR="00403F09">
        <w:t>2021</w:t>
      </w:r>
      <w:r>
        <w:t xml:space="preserve">). For more information, see </w:t>
      </w:r>
      <w:hyperlink w:anchor="_Update_information_2" w:history="1">
        <w:r w:rsidRPr="00F71B73">
          <w:rPr>
            <w:rStyle w:val="Hyperlink"/>
          </w:rPr>
          <w:t>update information</w:t>
        </w:r>
      </w:hyperlink>
      <w:r>
        <w:t>.</w:t>
      </w:r>
    </w:p>
    <w:p w14:paraId="2CAE5FE2" w14:textId="0EEA720F" w:rsidR="00880FD3" w:rsidRDefault="00880FD3" w:rsidP="00F71B73">
      <w:pPr>
        <w:pStyle w:val="NICEnormal"/>
      </w:pPr>
      <w:r>
        <w:t xml:space="preserve">Statements from the </w:t>
      </w:r>
      <w:hyperlink r:id="rId11" w:history="1">
        <w:r w:rsidR="006E0609">
          <w:rPr>
            <w:rStyle w:val="Hyperlink"/>
          </w:rPr>
          <w:t>2010 Venous thromboembolism in adults: reducing the risk in hospital</w:t>
        </w:r>
      </w:hyperlink>
      <w:r w:rsidR="006E0609">
        <w:t xml:space="preserve"> </w:t>
      </w:r>
      <w:r>
        <w:t>quality standard that are still supported by the evidence may still be useful at a local level.</w:t>
      </w:r>
    </w:p>
    <w:p w14:paraId="6214D223" w14:textId="042FEBF6" w:rsidR="00880FD3" w:rsidRPr="00880FD3" w:rsidRDefault="00880FD3" w:rsidP="00880FD3">
      <w:pPr>
        <w:pStyle w:val="NICEnormal"/>
      </w:pPr>
      <w:r w:rsidRPr="00880FD3">
        <w:t xml:space="preserve">Statements from the </w:t>
      </w:r>
      <w:hyperlink r:id="rId12" w:history="1">
        <w:r w:rsidR="006E0609">
          <w:rPr>
            <w:rStyle w:val="Hyperlink"/>
          </w:rPr>
          <w:t>2013 Venous thromboembolism in adults: diagnosis and management</w:t>
        </w:r>
      </w:hyperlink>
      <w:r w:rsidR="006E0609" w:rsidRPr="006E0609">
        <w:t xml:space="preserve"> </w:t>
      </w:r>
      <w:r w:rsidRPr="00880FD3">
        <w:t>quality standard that are still supported by the evidence may still be useful at a local level.</w:t>
      </w:r>
    </w:p>
    <w:p w14:paraId="2077B80C" w14:textId="77777777" w:rsidR="00880FD3" w:rsidRDefault="00880FD3" w:rsidP="00F71B73">
      <w:pPr>
        <w:pStyle w:val="NICEnormal"/>
      </w:pPr>
    </w:p>
    <w:tbl>
      <w:tblPr>
        <w:tblStyle w:val="PanelPrimary"/>
        <w:tblW w:w="0" w:type="auto"/>
        <w:tblLook w:val="0000" w:firstRow="0" w:lastRow="0" w:firstColumn="0" w:lastColumn="0" w:noHBand="0" w:noVBand="0"/>
        <w:tblDescription w:val="&#10;"/>
      </w:tblPr>
      <w:tblGrid>
        <w:gridCol w:w="8253"/>
      </w:tblGrid>
      <w:tr w:rsidR="00BB32FB" w14:paraId="2D364D94" w14:textId="77777777" w:rsidTr="00BB32FB">
        <w:tc>
          <w:tcPr>
            <w:tcW w:w="8253" w:type="dxa"/>
          </w:tcPr>
          <w:p w14:paraId="6A1649BF" w14:textId="08B944CB" w:rsidR="00BB32FB" w:rsidRDefault="00BB32FB" w:rsidP="00BB32FB">
            <w:pPr>
              <w:pStyle w:val="NICEnormal"/>
            </w:pPr>
            <w:bookmarkStart w:id="4" w:name="_Hlk42788306"/>
            <w:bookmarkStart w:id="5" w:name="_Hlk41463321"/>
            <w:bookmarkStart w:id="6" w:name="_Hlk42788001"/>
            <w:r w:rsidRPr="00FC44FF">
              <w:rPr>
                <w:rFonts w:cs="Arial"/>
              </w:rPr>
              <w:t xml:space="preserve">NICE has developed guidance and </w:t>
            </w:r>
            <w:r>
              <w:rPr>
                <w:rFonts w:cs="Arial"/>
              </w:rPr>
              <w:t xml:space="preserve">a </w:t>
            </w:r>
            <w:r w:rsidRPr="00FC44FF">
              <w:rPr>
                <w:rFonts w:cs="Arial"/>
              </w:rPr>
              <w:t xml:space="preserve">quality standard on people’s experiences using adult NHS services and adult mental health services (see the </w:t>
            </w:r>
            <w:hyperlink r:id="rId13" w:history="1">
              <w:r w:rsidRPr="004F2D35">
                <w:rPr>
                  <w:rStyle w:val="Hyperlink"/>
                  <w:rFonts w:cs="Arial"/>
                </w:rPr>
                <w:t>NICE Pathway on patient experience in adult NHS services</w:t>
              </w:r>
            </w:hyperlink>
            <w:r w:rsidRPr="00FC44FF">
              <w:rPr>
                <w:rFonts w:cs="Arial"/>
              </w:rPr>
              <w:t xml:space="preserve"> and </w:t>
            </w:r>
            <w:hyperlink r:id="rId14" w:history="1">
              <w:r>
                <w:rPr>
                  <w:rStyle w:val="Hyperlink"/>
                  <w:rFonts w:cs="Arial"/>
                </w:rPr>
                <w:t>service user experience in adult mental health services</w:t>
              </w:r>
            </w:hyperlink>
            <w:r w:rsidR="00ED3D17" w:rsidRPr="00ED3D17">
              <w:t>)</w:t>
            </w:r>
            <w:r>
              <w:rPr>
                <w:rFonts w:cs="Arial"/>
              </w:rPr>
              <w:t>.</w:t>
            </w:r>
          </w:p>
          <w:p w14:paraId="74182449" w14:textId="1AD884B8" w:rsidR="00BB32FB" w:rsidRDefault="00BB32FB" w:rsidP="00BB32FB">
            <w:pPr>
              <w:pStyle w:val="NICEnormal"/>
            </w:pPr>
            <w:r w:rsidRPr="00D230E9">
              <w:t xml:space="preserve">Other quality standards that should be considered when </w:t>
            </w:r>
            <w:r>
              <w:t xml:space="preserve">commissioning or providing </w:t>
            </w:r>
            <w:r w:rsidR="00E3320F">
              <w:t xml:space="preserve">services for </w:t>
            </w:r>
            <w:r w:rsidR="00434230">
              <w:t xml:space="preserve">venous thromboembolic </w:t>
            </w:r>
            <w:r w:rsidR="00403F09">
              <w:t xml:space="preserve">disease </w:t>
            </w:r>
            <w:r w:rsidRPr="00D230E9">
              <w:t>service</w:t>
            </w:r>
            <w:r>
              <w:t>s include:</w:t>
            </w:r>
          </w:p>
          <w:p w14:paraId="15E73D16" w14:textId="1DA60ADB" w:rsidR="00403F09" w:rsidRPr="00CC3F6C" w:rsidRDefault="007C368A" w:rsidP="00ED3D17">
            <w:pPr>
              <w:pStyle w:val="Bulletleft1"/>
            </w:pPr>
            <w:hyperlink r:id="rId15" w:history="1">
              <w:r w:rsidR="00403F09" w:rsidRPr="00CE4232">
                <w:rPr>
                  <w:rStyle w:val="Hyperlink"/>
                </w:rPr>
                <w:t>Stroke in adults</w:t>
              </w:r>
            </w:hyperlink>
            <w:r w:rsidR="00ED3D17">
              <w:rPr>
                <w:rStyle w:val="Hyperlink"/>
              </w:rPr>
              <w:t>.</w:t>
            </w:r>
            <w:r w:rsidR="00403F09" w:rsidRPr="00ED3D17">
              <w:rPr>
                <w:rStyle w:val="Hyperlink"/>
              </w:rPr>
              <w:t xml:space="preserve"> NICE quality standard 2</w:t>
            </w:r>
          </w:p>
          <w:p w14:paraId="1D1E6B31" w14:textId="07ACA2FC" w:rsidR="00ED3D17" w:rsidRDefault="007C368A" w:rsidP="00ED3D17">
            <w:pPr>
              <w:pStyle w:val="Bulletleft1last"/>
            </w:pPr>
            <w:hyperlink r:id="rId16" w:history="1">
              <w:r w:rsidR="00ED3D17" w:rsidRPr="006D6224">
                <w:rPr>
                  <w:rStyle w:val="Hyperlink"/>
                </w:rPr>
                <w:t>Medicines optimisation</w:t>
              </w:r>
            </w:hyperlink>
            <w:r w:rsidR="00ED3D17">
              <w:rPr>
                <w:rStyle w:val="Hyperlink"/>
              </w:rPr>
              <w:t xml:space="preserve">. </w:t>
            </w:r>
            <w:r w:rsidR="00ED3D17" w:rsidRPr="00ED3D17">
              <w:rPr>
                <w:rStyle w:val="Hyperlink"/>
              </w:rPr>
              <w:t>NICE quality standard 120</w:t>
            </w:r>
          </w:p>
          <w:p w14:paraId="672C6547" w14:textId="77777777" w:rsidR="00BB32FB" w:rsidRPr="00BB32FB" w:rsidRDefault="00BB32FB" w:rsidP="00BB32FB">
            <w:pPr>
              <w:pStyle w:val="NICEnormal"/>
            </w:pPr>
            <w:r>
              <w:t>A</w:t>
            </w:r>
            <w:r w:rsidRPr="00A2601C">
              <w:t xml:space="preserve"> full list of </w:t>
            </w:r>
            <w:r>
              <w:t xml:space="preserve">NICE </w:t>
            </w:r>
            <w:r w:rsidRPr="00A2601C">
              <w:t xml:space="preserve">quality standards is available from the </w:t>
            </w:r>
            <w:hyperlink r:id="rId17" w:history="1">
              <w:r w:rsidRPr="008122CD">
                <w:rPr>
                  <w:rStyle w:val="Hyperlink"/>
                </w:rPr>
                <w:t>quality standards topic library</w:t>
              </w:r>
            </w:hyperlink>
            <w:r w:rsidRPr="00A2601C">
              <w:t>.</w:t>
            </w:r>
          </w:p>
        </w:tc>
      </w:tr>
      <w:bookmarkEnd w:id="4"/>
      <w:bookmarkEnd w:id="5"/>
    </w:tbl>
    <w:p w14:paraId="324398EA" w14:textId="77777777" w:rsidR="00CB63FA" w:rsidRDefault="00CB63FA" w:rsidP="00BB32FB">
      <w:pPr>
        <w:pStyle w:val="NICEnormal"/>
      </w:pPr>
    </w:p>
    <w:tbl>
      <w:tblPr>
        <w:tblStyle w:val="PanelPrimary"/>
        <w:tblW w:w="0" w:type="auto"/>
        <w:tblLook w:val="0000" w:firstRow="0" w:lastRow="0" w:firstColumn="0" w:lastColumn="0" w:noHBand="0" w:noVBand="0"/>
        <w:tblDescription w:val="&#10;"/>
      </w:tblPr>
      <w:tblGrid>
        <w:gridCol w:w="8253"/>
      </w:tblGrid>
      <w:tr w:rsidR="00CB63FA" w14:paraId="3ACEA412" w14:textId="77777777" w:rsidTr="00E60EAF">
        <w:tc>
          <w:tcPr>
            <w:tcW w:w="8253" w:type="dxa"/>
          </w:tcPr>
          <w:p w14:paraId="5B1F722D" w14:textId="77777777" w:rsidR="00E53C6C" w:rsidRDefault="00CB63FA" w:rsidP="00E53C6C">
            <w:pPr>
              <w:pStyle w:val="Heading2"/>
              <w:outlineLvl w:val="1"/>
            </w:pPr>
            <w:r w:rsidRPr="000C37A0">
              <w:lastRenderedPageBreak/>
              <w:t xml:space="preserve">Questions for consultation </w:t>
            </w:r>
          </w:p>
          <w:p w14:paraId="23DA0958" w14:textId="47C7E816" w:rsidR="00CB63FA" w:rsidRPr="000C37A0" w:rsidRDefault="00CB63FA" w:rsidP="00E53C6C">
            <w:pPr>
              <w:pStyle w:val="Heading2"/>
              <w:outlineLvl w:val="1"/>
            </w:pPr>
            <w:r w:rsidRPr="000C37A0">
              <w:t>Questions about the quality standard</w:t>
            </w:r>
          </w:p>
          <w:p w14:paraId="7EA535DA"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230FF7F0"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36A782E3" w14:textId="77777777" w:rsidR="00CB63FA" w:rsidRPr="000C37A0"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41D0E81D" w14:textId="77777777" w:rsidR="00F00A08" w:rsidRDefault="00F00A08" w:rsidP="00CB63FA">
            <w:pPr>
              <w:pStyle w:val="NICEnormal"/>
            </w:pPr>
            <w:r w:rsidRPr="00F00A08">
              <w:rPr>
                <w:b/>
                <w:bCs/>
              </w:rPr>
              <w:t xml:space="preserve">Question </w:t>
            </w:r>
            <w:r w:rsidR="008C1D9A">
              <w:rPr>
                <w:b/>
                <w:bCs/>
              </w:rPr>
              <w:t>4</w:t>
            </w:r>
            <w:r>
              <w:t xml:space="preserve"> </w:t>
            </w:r>
            <w:r w:rsidRPr="000C37A0">
              <w:t>For draft quality statement</w:t>
            </w:r>
            <w:r>
              <w:t xml:space="preserve"> 3: </w:t>
            </w:r>
            <w:r w:rsidR="008C1D9A">
              <w:t>A</w:t>
            </w:r>
            <w:r>
              <w:t>re requests for proximal leg vein ultrasound scans usually made in a timely manner, or are delays experienced?</w:t>
            </w:r>
          </w:p>
          <w:p w14:paraId="06657356" w14:textId="77777777" w:rsidR="008C1D9A" w:rsidRDefault="008C1D9A" w:rsidP="008C1D9A">
            <w:pPr>
              <w:pStyle w:val="Heading3"/>
              <w:outlineLvl w:val="2"/>
            </w:pPr>
            <w:r>
              <w:t>Local practice case studies</w:t>
            </w:r>
          </w:p>
          <w:p w14:paraId="15F388AA" w14:textId="12FE2733" w:rsidR="008C1D9A" w:rsidRPr="00BB32FB" w:rsidRDefault="008C1D9A" w:rsidP="008C1D9A">
            <w:pPr>
              <w:pStyle w:val="NICEnormal"/>
            </w:pPr>
            <w:r w:rsidRPr="00E96396">
              <w:rPr>
                <w:b/>
              </w:rPr>
              <w:t xml:space="preserve">Question </w:t>
            </w:r>
            <w:r>
              <w:rPr>
                <w:b/>
              </w:rPr>
              <w:t xml:space="preserve">5 </w:t>
            </w:r>
            <w:r w:rsidRPr="00AC5A95">
              <w:t>Do you have an example from practice of implementing the NICE guideline that underpins this quality standard? If so, please provide details on the comments form</w:t>
            </w:r>
          </w:p>
        </w:tc>
      </w:tr>
    </w:tbl>
    <w:p w14:paraId="247916DD" w14:textId="77777777" w:rsidR="00CB63FA" w:rsidRPr="00123D3F" w:rsidRDefault="00CB63FA" w:rsidP="00CB63FA">
      <w:pPr>
        <w:pStyle w:val="NICEnormal"/>
      </w:pPr>
    </w:p>
    <w:p w14:paraId="546EEB55" w14:textId="1114501E" w:rsidR="009C399D" w:rsidRPr="000C37A0" w:rsidRDefault="00275ED0" w:rsidP="00A40D68">
      <w:pPr>
        <w:pStyle w:val="Heading1"/>
      </w:pPr>
      <w:bookmarkStart w:id="7" w:name="_Quality_statement_1:"/>
      <w:bookmarkEnd w:id="6"/>
      <w:bookmarkEnd w:id="7"/>
      <w:r w:rsidRPr="000C37A0">
        <w:rPr>
          <w:rStyle w:val="NICEnormalChar"/>
        </w:rPr>
        <w:br w:type="page"/>
      </w:r>
      <w:r w:rsidR="009C399D" w:rsidRPr="000C37A0">
        <w:t xml:space="preserve">Quality statement 1: </w:t>
      </w:r>
      <w:r w:rsidR="00CB5938">
        <w:t>Timing of p</w:t>
      </w:r>
      <w:r w:rsidR="00BC5715" w:rsidRPr="00EE1273">
        <w:t>harmacological VTE prophylaxis</w:t>
      </w:r>
      <w:r w:rsidR="00BC5715">
        <w:t xml:space="preserve"> </w:t>
      </w:r>
      <w:r w:rsidR="00000B96">
        <w:t xml:space="preserve"> </w:t>
      </w:r>
    </w:p>
    <w:p w14:paraId="4D78F9B0" w14:textId="77777777" w:rsidR="009C399D" w:rsidRPr="000C37A0" w:rsidRDefault="009C399D" w:rsidP="00A40D68">
      <w:pPr>
        <w:pStyle w:val="Heading2"/>
      </w:pPr>
      <w:r w:rsidRPr="000C37A0">
        <w:t>Quality statement</w:t>
      </w:r>
    </w:p>
    <w:p w14:paraId="350FAE1A" w14:textId="409B253D" w:rsidR="001C5EC6" w:rsidRDefault="0014474E" w:rsidP="00CF3F24">
      <w:pPr>
        <w:pStyle w:val="NICEnormal"/>
      </w:pPr>
      <w:r>
        <w:t>People aged 16 and over</w:t>
      </w:r>
      <w:r w:rsidR="00EE1273" w:rsidRPr="00EE1273">
        <w:t xml:space="preserve"> </w:t>
      </w:r>
      <w:r w:rsidR="00F3616A">
        <w:t xml:space="preserve">who </w:t>
      </w:r>
      <w:r w:rsidR="000A7D32">
        <w:t>are</w:t>
      </w:r>
      <w:r w:rsidR="00E059D7">
        <w:t xml:space="preserve"> in hospital and</w:t>
      </w:r>
      <w:r w:rsidR="000A7D32">
        <w:t xml:space="preserve"> assessed as </w:t>
      </w:r>
      <w:r w:rsidR="00F3616A">
        <w:t>need</w:t>
      </w:r>
      <w:r w:rsidR="00980E0E">
        <w:t>ing</w:t>
      </w:r>
      <w:r w:rsidR="00EE1273" w:rsidRPr="00EE1273">
        <w:t xml:space="preserve"> pharmacological VTE prophylaxis</w:t>
      </w:r>
      <w:r w:rsidR="00865EDE">
        <w:t xml:space="preserve"> start it</w:t>
      </w:r>
      <w:r w:rsidR="00EE1273" w:rsidRPr="00EE1273">
        <w:t xml:space="preserve"> as soon as possible and within 14</w:t>
      </w:r>
      <w:r w:rsidR="00066F6D">
        <w:t> </w:t>
      </w:r>
      <w:r w:rsidR="00EE1273" w:rsidRPr="00EE1273">
        <w:t xml:space="preserve">hours of </w:t>
      </w:r>
      <w:r w:rsidR="00411596">
        <w:t xml:space="preserve">hospital </w:t>
      </w:r>
      <w:r w:rsidR="00EE1273" w:rsidRPr="00EE1273">
        <w:t>admission</w:t>
      </w:r>
      <w:r w:rsidR="001F3E8E">
        <w:t xml:space="preserve">. </w:t>
      </w:r>
      <w:r w:rsidR="001F3E8E" w:rsidRPr="004D0AC0">
        <w:rPr>
          <w:b/>
        </w:rPr>
        <w:t>[20</w:t>
      </w:r>
      <w:r w:rsidR="001F3E8E">
        <w:rPr>
          <w:b/>
        </w:rPr>
        <w:t>10</w:t>
      </w:r>
      <w:r w:rsidR="001F3E8E" w:rsidRPr="004D0AC0">
        <w:rPr>
          <w:b/>
        </w:rPr>
        <w:t>, updated 20</w:t>
      </w:r>
      <w:r w:rsidR="001F3E8E">
        <w:rPr>
          <w:b/>
        </w:rPr>
        <w:t>21</w:t>
      </w:r>
      <w:r w:rsidR="001F3E8E" w:rsidRPr="004D0AC0">
        <w:rPr>
          <w:b/>
        </w:rPr>
        <w:t>]</w:t>
      </w:r>
      <w:r w:rsidR="001F3E8E">
        <w:t xml:space="preserve"> </w:t>
      </w:r>
    </w:p>
    <w:p w14:paraId="7C2CF91A" w14:textId="77777777" w:rsidR="009C399D" w:rsidRPr="000C37A0" w:rsidRDefault="009C399D" w:rsidP="00614313">
      <w:pPr>
        <w:pStyle w:val="Heading2"/>
      </w:pPr>
      <w:r w:rsidRPr="000C37A0">
        <w:t xml:space="preserve">Rationale </w:t>
      </w:r>
    </w:p>
    <w:p w14:paraId="645D4BA9" w14:textId="671C85D8" w:rsidR="009C399D" w:rsidRPr="000C37A0" w:rsidRDefault="00184597" w:rsidP="00614313">
      <w:pPr>
        <w:pStyle w:val="NICEnormal"/>
      </w:pPr>
      <w:r>
        <w:t>If people need pharmacological prophylaxis</w:t>
      </w:r>
      <w:r w:rsidR="0000494F">
        <w:t xml:space="preserve"> after a VTE risk assessment</w:t>
      </w:r>
      <w:r>
        <w:t xml:space="preserve">, it should be given in a timely manner to </w:t>
      </w:r>
      <w:r w:rsidR="00163017">
        <w:t>reduce the risk of VTE</w:t>
      </w:r>
      <w:r>
        <w:t xml:space="preserve">. </w:t>
      </w:r>
      <w:r w:rsidR="00CF0761">
        <w:t>VTE r</w:t>
      </w:r>
      <w:r>
        <w:t>isk assessments are carried out</w:t>
      </w:r>
      <w:r w:rsidR="00CF0761">
        <w:t xml:space="preserve"> for </w:t>
      </w:r>
      <w:r w:rsidR="00453C8B">
        <w:t xml:space="preserve">most </w:t>
      </w:r>
      <w:r w:rsidR="00CF0761">
        <w:t>hospital patients,</w:t>
      </w:r>
      <w:r>
        <w:t xml:space="preserve"> but </w:t>
      </w:r>
      <w:r w:rsidR="00CF0761">
        <w:t xml:space="preserve">the results are not </w:t>
      </w:r>
      <w:r>
        <w:t>always acted on</w:t>
      </w:r>
      <w:r w:rsidR="00CF0761">
        <w:t xml:space="preserve"> promptly</w:t>
      </w:r>
      <w:r>
        <w:t>, meaning that pharmacological prophylaxis</w:t>
      </w:r>
      <w:r w:rsidR="00CF0761">
        <w:t xml:space="preserve"> can be delayed and the risk of hospital</w:t>
      </w:r>
      <w:r w:rsidR="0009110B">
        <w:noBreakHyphen/>
      </w:r>
      <w:r w:rsidR="00CF0761">
        <w:t xml:space="preserve">acquired </w:t>
      </w:r>
      <w:r w:rsidR="00C55696">
        <w:t>thrombosis</w:t>
      </w:r>
      <w:r w:rsidR="00CF0761">
        <w:t xml:space="preserve"> increased. </w:t>
      </w:r>
      <w:r w:rsidR="00163017">
        <w:t xml:space="preserve">Ensuring that </w:t>
      </w:r>
      <w:r w:rsidR="00CF0761">
        <w:t xml:space="preserve">prophylaxis </w:t>
      </w:r>
      <w:r w:rsidR="00163017">
        <w:t xml:space="preserve">is </w:t>
      </w:r>
      <w:r w:rsidR="00CF0761">
        <w:t xml:space="preserve">started </w:t>
      </w:r>
      <w:r w:rsidR="00163017">
        <w:t>within 14</w:t>
      </w:r>
      <w:r w:rsidR="00CF0761">
        <w:t> </w:t>
      </w:r>
      <w:r w:rsidR="00163017">
        <w:t xml:space="preserve">hours of </w:t>
      </w:r>
      <w:r w:rsidR="00411596">
        <w:t xml:space="preserve">hospital </w:t>
      </w:r>
      <w:r w:rsidR="00163017">
        <w:t xml:space="preserve">admission </w:t>
      </w:r>
      <w:r w:rsidR="00A42948">
        <w:t xml:space="preserve">for medical, surgical and trauma patients </w:t>
      </w:r>
      <w:r w:rsidR="00163017">
        <w:t>will reduce the chance of VTE</w:t>
      </w:r>
      <w:r>
        <w:t>.</w:t>
      </w:r>
      <w:r w:rsidR="00163017">
        <w:t xml:space="preserve"> </w:t>
      </w:r>
      <w:r>
        <w:t xml:space="preserve">  </w:t>
      </w:r>
    </w:p>
    <w:p w14:paraId="6A2C7DEA" w14:textId="77777777" w:rsidR="009C399D" w:rsidRPr="000C37A0" w:rsidRDefault="009C399D" w:rsidP="00945D72">
      <w:pPr>
        <w:pStyle w:val="Heading2"/>
      </w:pPr>
      <w:r w:rsidRPr="000C37A0">
        <w:t xml:space="preserve">Quality </w:t>
      </w:r>
      <w:r w:rsidRPr="00945D72">
        <w:t>measur</w:t>
      </w:r>
      <w:r w:rsidR="0051659A" w:rsidRPr="00945D72">
        <w:t>es</w:t>
      </w:r>
    </w:p>
    <w:p w14:paraId="144B722F" w14:textId="77777777" w:rsidR="009E6CC0" w:rsidRPr="000C37A0" w:rsidRDefault="009E6CC0" w:rsidP="00945D72">
      <w:pPr>
        <w:pStyle w:val="Heading3"/>
      </w:pPr>
      <w:r w:rsidRPr="00945D72">
        <w:t>Structure</w:t>
      </w:r>
    </w:p>
    <w:p w14:paraId="2D6828A0" w14:textId="21A8065B" w:rsidR="00EE072F" w:rsidRDefault="00587FEE" w:rsidP="00EE072F">
      <w:pPr>
        <w:pStyle w:val="NICEnormal"/>
      </w:pPr>
      <w:r w:rsidRPr="00237545">
        <w:t xml:space="preserve">a) </w:t>
      </w:r>
      <w:r w:rsidR="00EE072F" w:rsidRPr="00237545">
        <w:t xml:space="preserve">Evidence </w:t>
      </w:r>
      <w:r w:rsidR="00237545" w:rsidRPr="00237545">
        <w:t xml:space="preserve">of written clinical protocols to ensure that </w:t>
      </w:r>
      <w:r w:rsidR="0014474E">
        <w:t>people</w:t>
      </w:r>
      <w:r w:rsidR="00ED3D17">
        <w:t xml:space="preserve"> aged 16 and over</w:t>
      </w:r>
      <w:r w:rsidR="00237545" w:rsidRPr="00237545">
        <w:t xml:space="preserve"> who </w:t>
      </w:r>
      <w:r w:rsidR="000A7D32">
        <w:t>are</w:t>
      </w:r>
      <w:r w:rsidR="00E059D7">
        <w:t xml:space="preserve"> in hospital and</w:t>
      </w:r>
      <w:r w:rsidR="000A7D32">
        <w:t xml:space="preserve"> assessed as </w:t>
      </w:r>
      <w:r w:rsidR="00237545" w:rsidRPr="00237545">
        <w:t>need</w:t>
      </w:r>
      <w:r w:rsidR="000A7D32">
        <w:t>ing</w:t>
      </w:r>
      <w:r w:rsidR="00237545" w:rsidRPr="00237545">
        <w:t xml:space="preserve"> pharmacological VTE prophylaxis start it as soon as possible and within 14</w:t>
      </w:r>
      <w:r w:rsidR="00E059D7">
        <w:t> </w:t>
      </w:r>
      <w:r w:rsidR="00237545" w:rsidRPr="00237545">
        <w:t xml:space="preserve">hours of </w:t>
      </w:r>
      <w:r w:rsidR="00411596">
        <w:t xml:space="preserve">hospital </w:t>
      </w:r>
      <w:r w:rsidR="00237545" w:rsidRPr="00237545">
        <w:t>admission</w:t>
      </w:r>
      <w:r w:rsidR="00EE072F" w:rsidRPr="00237545">
        <w:t>.</w:t>
      </w:r>
    </w:p>
    <w:p w14:paraId="0FEB5AC5" w14:textId="5092BCC8" w:rsidR="009E6CC0" w:rsidRDefault="009E6CC0" w:rsidP="009E6CC0">
      <w:pPr>
        <w:pStyle w:val="NICEnormal"/>
      </w:pPr>
      <w:r w:rsidRPr="00B4696C">
        <w:rPr>
          <w:b/>
          <w:iCs/>
        </w:rPr>
        <w:t xml:space="preserve">Data </w:t>
      </w:r>
      <w:r w:rsidRPr="00AD518C">
        <w:rPr>
          <w:b/>
          <w:iCs/>
        </w:rPr>
        <w:t>source:</w:t>
      </w:r>
      <w:r w:rsidRPr="00AD518C">
        <w:t xml:space="preserve"> </w:t>
      </w:r>
      <w:r w:rsidR="00EE072F" w:rsidRPr="00AD518C">
        <w:t xml:space="preserve">Local data collection, for example </w:t>
      </w:r>
      <w:r w:rsidR="00AD518C" w:rsidRPr="00AD518C">
        <w:t>service protocols.</w:t>
      </w:r>
      <w:r w:rsidR="00307929">
        <w:t xml:space="preserve"> </w:t>
      </w:r>
    </w:p>
    <w:p w14:paraId="5305E678" w14:textId="4C479DFD" w:rsidR="00587FEE" w:rsidRPr="000C37A0" w:rsidRDefault="00587FEE" w:rsidP="00587FEE">
      <w:pPr>
        <w:pStyle w:val="NICEnormal"/>
      </w:pPr>
      <w:r w:rsidRPr="00237545">
        <w:t>b) Evidence</w:t>
      </w:r>
      <w:r w:rsidR="00237545" w:rsidRPr="00237545">
        <w:t xml:space="preserve"> of prescribing systems so that </w:t>
      </w:r>
      <w:r w:rsidR="0014474E">
        <w:t>people</w:t>
      </w:r>
      <w:r w:rsidR="00ED3D17">
        <w:t xml:space="preserve"> aged 16 and over</w:t>
      </w:r>
      <w:r w:rsidR="00237545" w:rsidRPr="00237545">
        <w:t xml:space="preserve"> who </w:t>
      </w:r>
      <w:r w:rsidR="000A7D32">
        <w:t xml:space="preserve">are </w:t>
      </w:r>
      <w:r w:rsidR="00E059D7">
        <w:t xml:space="preserve">in hospital and </w:t>
      </w:r>
      <w:r w:rsidR="000A7D32">
        <w:t xml:space="preserve">assessed as </w:t>
      </w:r>
      <w:r w:rsidR="00237545" w:rsidRPr="00237545">
        <w:t>need</w:t>
      </w:r>
      <w:r w:rsidR="000A7D32">
        <w:t>ing</w:t>
      </w:r>
      <w:r w:rsidR="00237545" w:rsidRPr="00237545">
        <w:t xml:space="preserve"> pharmacological VTE prophylaxis start it as soon as possible and within 14</w:t>
      </w:r>
      <w:r w:rsidR="00E059D7">
        <w:t> </w:t>
      </w:r>
      <w:r w:rsidR="00237545" w:rsidRPr="00237545">
        <w:t xml:space="preserve">hours of </w:t>
      </w:r>
      <w:r w:rsidR="00411596">
        <w:t>hospital</w:t>
      </w:r>
      <w:r w:rsidR="00411596" w:rsidRPr="00237545">
        <w:t xml:space="preserve"> </w:t>
      </w:r>
      <w:r w:rsidR="00237545" w:rsidRPr="00237545">
        <w:t>admission</w:t>
      </w:r>
      <w:r w:rsidRPr="00237545">
        <w:t>.</w:t>
      </w:r>
    </w:p>
    <w:p w14:paraId="24677E8F" w14:textId="6B39D8B9" w:rsidR="00587FEE" w:rsidRDefault="00587FEE" w:rsidP="009E6CC0">
      <w:pPr>
        <w:pStyle w:val="NICEnormal"/>
      </w:pPr>
      <w:r w:rsidRPr="00B4696C">
        <w:rPr>
          <w:b/>
          <w:iCs/>
        </w:rPr>
        <w:t>Data source</w:t>
      </w:r>
      <w:r w:rsidRPr="00AD518C">
        <w:rPr>
          <w:b/>
          <w:iCs/>
        </w:rPr>
        <w:t>:</w:t>
      </w:r>
      <w:r w:rsidRPr="00AD518C">
        <w:t xml:space="preserve"> Local data collection</w:t>
      </w:r>
      <w:r w:rsidR="00DD0D33" w:rsidRPr="00AD518C">
        <w:t xml:space="preserve">, for example </w:t>
      </w:r>
      <w:r w:rsidR="00356A4F">
        <w:t>service specifications</w:t>
      </w:r>
      <w:r w:rsidRPr="00AD518C">
        <w:t>.</w:t>
      </w:r>
    </w:p>
    <w:p w14:paraId="316EFC2E" w14:textId="77777777" w:rsidR="000B4548" w:rsidRPr="000C37A0" w:rsidRDefault="009E6CC0" w:rsidP="00CD55EC">
      <w:pPr>
        <w:pStyle w:val="Heading3"/>
      </w:pPr>
      <w:r w:rsidRPr="000C37A0">
        <w:t>Process</w:t>
      </w:r>
    </w:p>
    <w:p w14:paraId="09CD4E73" w14:textId="73534FAE" w:rsidR="009E6CC0" w:rsidRPr="00F3616A" w:rsidRDefault="00797594" w:rsidP="00E91B86">
      <w:pPr>
        <w:pStyle w:val="NICEnormal"/>
      </w:pPr>
      <w:r w:rsidRPr="00F3616A">
        <w:t xml:space="preserve">Proportion of </w:t>
      </w:r>
      <w:r w:rsidR="00A03232">
        <w:t>people</w:t>
      </w:r>
      <w:r w:rsidR="00F3616A" w:rsidRPr="00F3616A">
        <w:t xml:space="preserve"> </w:t>
      </w:r>
      <w:r w:rsidR="00556056">
        <w:t>aged 16 and over</w:t>
      </w:r>
      <w:r w:rsidR="0001576E">
        <w:t xml:space="preserve"> </w:t>
      </w:r>
      <w:r w:rsidR="000A7D32">
        <w:t xml:space="preserve">who are </w:t>
      </w:r>
      <w:r w:rsidR="00142CBA">
        <w:t xml:space="preserve">in hospital and </w:t>
      </w:r>
      <w:r w:rsidR="000A7D32">
        <w:t xml:space="preserve">assessed as </w:t>
      </w:r>
      <w:r w:rsidR="00F3616A">
        <w:t>need</w:t>
      </w:r>
      <w:r w:rsidR="000A7D32">
        <w:t>ing</w:t>
      </w:r>
      <w:r w:rsidR="00F3616A" w:rsidRPr="00F3616A">
        <w:t xml:space="preserve"> pharmacological VTE prophylaxis who start it within 14</w:t>
      </w:r>
      <w:r w:rsidR="00E059D7">
        <w:t> </w:t>
      </w:r>
      <w:r w:rsidR="00F3616A" w:rsidRPr="00F3616A">
        <w:t>hours of</w:t>
      </w:r>
      <w:r w:rsidR="00411596">
        <w:t xml:space="preserve"> hospital</w:t>
      </w:r>
      <w:r w:rsidR="00F3616A" w:rsidRPr="00F3616A">
        <w:t xml:space="preserve"> admission</w:t>
      </w:r>
      <w:r w:rsidRPr="00F3616A">
        <w:t>.</w:t>
      </w:r>
    </w:p>
    <w:p w14:paraId="24474E2C" w14:textId="3F482825" w:rsidR="009E6CC0" w:rsidRPr="000C37A0" w:rsidRDefault="009E6CC0" w:rsidP="009E6CC0">
      <w:pPr>
        <w:pStyle w:val="NICEnormal"/>
      </w:pPr>
      <w:r w:rsidRPr="000C37A0">
        <w:t xml:space="preserve">Numerator </w:t>
      </w:r>
      <w:r w:rsidRPr="00F3616A">
        <w:t>–</w:t>
      </w:r>
      <w:r w:rsidR="0056329A" w:rsidRPr="00F3616A">
        <w:t xml:space="preserve"> the number in the denominator who </w:t>
      </w:r>
      <w:r w:rsidR="00F3616A" w:rsidRPr="00F3616A">
        <w:t>start pharmacological VTE prophylaxis within 14</w:t>
      </w:r>
      <w:r w:rsidR="00E059D7">
        <w:t> </w:t>
      </w:r>
      <w:r w:rsidR="00F3616A" w:rsidRPr="00F3616A">
        <w:t xml:space="preserve">hours of </w:t>
      </w:r>
      <w:r w:rsidR="00411596">
        <w:t>hospital</w:t>
      </w:r>
      <w:r w:rsidR="00411596" w:rsidRPr="00F3616A">
        <w:t xml:space="preserve"> </w:t>
      </w:r>
      <w:r w:rsidR="00F3616A" w:rsidRPr="00F3616A">
        <w:t>admission</w:t>
      </w:r>
      <w:r w:rsidR="0056329A" w:rsidRPr="00F3616A">
        <w:t>.</w:t>
      </w:r>
    </w:p>
    <w:p w14:paraId="5E8EB0E5" w14:textId="258B5B67" w:rsidR="009E6CC0" w:rsidRPr="000C37A0" w:rsidRDefault="009E6CC0" w:rsidP="009E6CC0">
      <w:pPr>
        <w:pStyle w:val="NICEnormal"/>
      </w:pPr>
      <w:r w:rsidRPr="000C37A0">
        <w:t xml:space="preserve">Denominator </w:t>
      </w:r>
      <w:r w:rsidRPr="00F3616A">
        <w:t>–</w:t>
      </w:r>
      <w:r w:rsidR="0056329A" w:rsidRPr="00F3616A">
        <w:t xml:space="preserve"> the number of </w:t>
      </w:r>
      <w:r w:rsidR="00A03232">
        <w:t>people</w:t>
      </w:r>
      <w:r w:rsidR="00F3616A" w:rsidRPr="00F3616A">
        <w:t xml:space="preserve"> </w:t>
      </w:r>
      <w:r w:rsidR="00556056">
        <w:t xml:space="preserve">aged 16 and over </w:t>
      </w:r>
      <w:r w:rsidR="000A7D32">
        <w:t xml:space="preserve">who are </w:t>
      </w:r>
      <w:r w:rsidR="00142CBA">
        <w:t xml:space="preserve">in hospital and </w:t>
      </w:r>
      <w:r w:rsidR="000A7D32">
        <w:t>assessed as</w:t>
      </w:r>
      <w:r w:rsidR="00F3616A" w:rsidRPr="00F3616A">
        <w:t xml:space="preserve"> need</w:t>
      </w:r>
      <w:r w:rsidR="000A7D32">
        <w:t>ing</w:t>
      </w:r>
      <w:r w:rsidR="00F3616A" w:rsidRPr="00F3616A">
        <w:t xml:space="preserve"> pharmacological VTE prophylaxis</w:t>
      </w:r>
      <w:r w:rsidR="0056329A" w:rsidRPr="00F3616A">
        <w:t>.</w:t>
      </w:r>
    </w:p>
    <w:p w14:paraId="232522E6" w14:textId="4E38FAC4" w:rsidR="009E6CC0" w:rsidRDefault="009E6CC0" w:rsidP="009E6CC0">
      <w:pPr>
        <w:pStyle w:val="NICEnormal"/>
      </w:pPr>
      <w:r w:rsidRPr="00B4696C">
        <w:rPr>
          <w:b/>
          <w:iCs/>
        </w:rPr>
        <w:t>Data source:</w:t>
      </w:r>
      <w:r w:rsidRPr="000C37A0">
        <w:t xml:space="preserve"> </w:t>
      </w:r>
      <w:r w:rsidR="00797594" w:rsidRPr="00AD518C">
        <w:t>Local data collection</w:t>
      </w:r>
      <w:r w:rsidR="00DD0D33" w:rsidRPr="00AD518C">
        <w:t>, for example local audit of patient records</w:t>
      </w:r>
      <w:r w:rsidR="00797594" w:rsidRPr="00AD518C">
        <w:t>.</w:t>
      </w:r>
    </w:p>
    <w:p w14:paraId="3FF14C96" w14:textId="613B0068" w:rsidR="000B4548" w:rsidRPr="00002F60" w:rsidRDefault="009E6CC0" w:rsidP="00C20FF4">
      <w:pPr>
        <w:pStyle w:val="Heading3"/>
      </w:pPr>
      <w:r w:rsidRPr="00002F60">
        <w:t>Outcome</w:t>
      </w:r>
    </w:p>
    <w:p w14:paraId="2F8B84C0" w14:textId="32481A56" w:rsidR="003B2401" w:rsidRPr="003B2401" w:rsidRDefault="003B2401" w:rsidP="0090279C">
      <w:pPr>
        <w:pStyle w:val="NICEnormal"/>
      </w:pPr>
      <w:r w:rsidRPr="003B2401">
        <w:t xml:space="preserve">Rates of </w:t>
      </w:r>
      <w:bookmarkStart w:id="8" w:name="_Hlk55292351"/>
      <w:r w:rsidR="00AA5C06">
        <w:t>hospital-acquired thrombosis</w:t>
      </w:r>
      <w:bookmarkEnd w:id="8"/>
      <w:r w:rsidR="00232473">
        <w:t xml:space="preserve"> (HAT)</w:t>
      </w:r>
      <w:r w:rsidR="00F27C6A">
        <w:t>.</w:t>
      </w:r>
    </w:p>
    <w:p w14:paraId="44C0C9FD" w14:textId="61A9AB69" w:rsidR="009E6CC0" w:rsidRDefault="009E6CC0" w:rsidP="00BC6E3E">
      <w:pPr>
        <w:pStyle w:val="NICEnormal"/>
      </w:pPr>
      <w:r w:rsidRPr="00C34F9A">
        <w:rPr>
          <w:b/>
          <w:bCs/>
        </w:rPr>
        <w:t>Data source:</w:t>
      </w:r>
      <w:r w:rsidRPr="00C34F9A">
        <w:rPr>
          <w:i/>
        </w:rPr>
        <w:t xml:space="preserve"> </w:t>
      </w:r>
      <w:r w:rsidR="001646A7">
        <w:t xml:space="preserve">The </w:t>
      </w:r>
      <w:hyperlink r:id="rId18" w:history="1">
        <w:r w:rsidR="001646A7">
          <w:rPr>
            <w:rStyle w:val="Hyperlink"/>
          </w:rPr>
          <w:t>Royal National Orthopaedic Hospital, NHS England and NHS Improvement’s GIRFT Thrombosis Survey</w:t>
        </w:r>
      </w:hyperlink>
      <w:r w:rsidR="00622599">
        <w:t xml:space="preserve"> </w:t>
      </w:r>
      <w:r w:rsidR="00232473">
        <w:t xml:space="preserve">and the </w:t>
      </w:r>
      <w:hyperlink r:id="rId19" w:history="1">
        <w:r w:rsidR="00E4162A" w:rsidRPr="00493A8E">
          <w:rPr>
            <w:rStyle w:val="Hyperlink"/>
          </w:rPr>
          <w:t xml:space="preserve">All-Party Parliamentary Thrombosis Group (APPTG) Annual </w:t>
        </w:r>
        <w:r w:rsidR="00493A8E" w:rsidRPr="00493A8E">
          <w:rPr>
            <w:rStyle w:val="Hyperlink"/>
          </w:rPr>
          <w:t>Review</w:t>
        </w:r>
      </w:hyperlink>
      <w:r w:rsidR="00493A8E">
        <w:t xml:space="preserve"> </w:t>
      </w:r>
      <w:r w:rsidR="00232473">
        <w:t>i</w:t>
      </w:r>
      <w:r w:rsidR="00622599">
        <w:t xml:space="preserve">nclude the number of </w:t>
      </w:r>
      <w:r w:rsidR="00232473">
        <w:t>HAT</w:t>
      </w:r>
      <w:r w:rsidR="00A0325F">
        <w:t xml:space="preserve"> cases.</w:t>
      </w:r>
    </w:p>
    <w:p w14:paraId="58537AC3"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3A16E91B" w14:textId="231105CD" w:rsidR="009E6CC0" w:rsidRPr="000C37A0" w:rsidRDefault="009E6CC0" w:rsidP="009E6CC0">
      <w:pPr>
        <w:pStyle w:val="NICEnormal"/>
      </w:pPr>
      <w:r w:rsidRPr="000C37A0">
        <w:rPr>
          <w:b/>
        </w:rPr>
        <w:t xml:space="preserve">Service </w:t>
      </w:r>
      <w:r w:rsidRPr="004C4687">
        <w:rPr>
          <w:b/>
        </w:rPr>
        <w:t>providers</w:t>
      </w:r>
      <w:r w:rsidR="00F50622" w:rsidRPr="004C4687">
        <w:t xml:space="preserve"> </w:t>
      </w:r>
      <w:r w:rsidR="00F616AD" w:rsidRPr="004C4687">
        <w:t>(secondary care services</w:t>
      </w:r>
      <w:r w:rsidR="004C4687" w:rsidRPr="004C4687">
        <w:t>)</w:t>
      </w:r>
      <w:r w:rsidR="004C4687">
        <w:t xml:space="preserve"> </w:t>
      </w:r>
      <w:r w:rsidR="00F50622">
        <w:t>ensure that</w:t>
      </w:r>
      <w:r w:rsidRPr="000C37A0">
        <w:t xml:space="preserve"> </w:t>
      </w:r>
      <w:r w:rsidR="000C0331" w:rsidRPr="000C0331">
        <w:t xml:space="preserve">written clinical protocols are in place </w:t>
      </w:r>
      <w:r w:rsidR="000C0331">
        <w:t xml:space="preserve">so that </w:t>
      </w:r>
      <w:r w:rsidR="0001576E">
        <w:t>people aged 16 and over</w:t>
      </w:r>
      <w:r w:rsidR="000C0331" w:rsidRPr="00237545">
        <w:t xml:space="preserve"> who </w:t>
      </w:r>
      <w:r w:rsidR="002534E7">
        <w:t>are</w:t>
      </w:r>
      <w:r w:rsidR="009B2CB8">
        <w:t xml:space="preserve"> in hospital and </w:t>
      </w:r>
      <w:r w:rsidR="002534E7">
        <w:t xml:space="preserve">assessed as </w:t>
      </w:r>
      <w:r w:rsidR="000C0331" w:rsidRPr="00237545">
        <w:t>need</w:t>
      </w:r>
      <w:r w:rsidR="002534E7">
        <w:t>ing</w:t>
      </w:r>
      <w:r w:rsidR="000C0331" w:rsidRPr="00237545">
        <w:t xml:space="preserve"> pharmacological VTE prophylaxis start it as soon as possible and within 14</w:t>
      </w:r>
      <w:r w:rsidR="009B2CB8">
        <w:t> </w:t>
      </w:r>
      <w:r w:rsidR="000C0331" w:rsidRPr="00237545">
        <w:t xml:space="preserve">hours of </w:t>
      </w:r>
      <w:r w:rsidR="00411596">
        <w:t>hospital</w:t>
      </w:r>
      <w:r w:rsidR="00411596" w:rsidRPr="00237545">
        <w:t xml:space="preserve"> </w:t>
      </w:r>
      <w:r w:rsidR="000C0331" w:rsidRPr="00237545">
        <w:t>admission</w:t>
      </w:r>
      <w:r w:rsidR="000C0331">
        <w:t xml:space="preserve">. They also ensure that they have prescribing systems and </w:t>
      </w:r>
      <w:r w:rsidR="00CD58CC">
        <w:t xml:space="preserve">healthcare professionals </w:t>
      </w:r>
      <w:r w:rsidR="000C0331">
        <w:t xml:space="preserve">available to </w:t>
      </w:r>
      <w:r w:rsidR="009B2CB8">
        <w:t xml:space="preserve">carry out the assessment to ensure that prophylaxis, if needed, is started within this timeframe. </w:t>
      </w:r>
    </w:p>
    <w:p w14:paraId="1BF98628" w14:textId="16BBDBE3" w:rsidR="009E6CC0" w:rsidRPr="0087559D" w:rsidRDefault="009E6CC0" w:rsidP="009E6CC0">
      <w:pPr>
        <w:pStyle w:val="NICEnormal"/>
        <w:rPr>
          <w:highlight w:val="cyan"/>
        </w:rPr>
      </w:pPr>
      <w:r w:rsidRPr="000C37A0">
        <w:rPr>
          <w:b/>
        </w:rPr>
        <w:t xml:space="preserve">Healthcare </w:t>
      </w:r>
      <w:r w:rsidR="00501BA6" w:rsidRPr="00EA6898">
        <w:rPr>
          <w:b/>
        </w:rPr>
        <w:t>pr</w:t>
      </w:r>
      <w:r w:rsidR="00EA6898" w:rsidRPr="00EA6898">
        <w:rPr>
          <w:b/>
        </w:rPr>
        <w:t>ofessionals</w:t>
      </w:r>
      <w:r w:rsidRPr="00EA6898">
        <w:t xml:space="preserve"> </w:t>
      </w:r>
      <w:r w:rsidR="00F616AD" w:rsidRPr="00EA6898">
        <w:t>(</w:t>
      </w:r>
      <w:r w:rsidR="00EA6898" w:rsidRPr="00EA6898">
        <w:t xml:space="preserve">such as </w:t>
      </w:r>
      <w:r w:rsidR="00980E0E">
        <w:t xml:space="preserve">pharmacists, </w:t>
      </w:r>
      <w:r w:rsidR="003E7F43">
        <w:t xml:space="preserve">advanced </w:t>
      </w:r>
      <w:r w:rsidR="00EA6898" w:rsidRPr="00EA6898">
        <w:t>nurse</w:t>
      </w:r>
      <w:r w:rsidR="003E7F43">
        <w:t xml:space="preserve"> practitioners</w:t>
      </w:r>
      <w:r w:rsidR="00EA6898" w:rsidRPr="00EA6898">
        <w:t xml:space="preserve"> and </w:t>
      </w:r>
      <w:r w:rsidR="003E7F43">
        <w:t>doctors</w:t>
      </w:r>
      <w:r w:rsidR="00EA6898" w:rsidRPr="00EA6898">
        <w:t xml:space="preserve">) </w:t>
      </w:r>
      <w:r w:rsidR="00EA6898">
        <w:t xml:space="preserve">prescribe </w:t>
      </w:r>
      <w:r w:rsidR="00EA6898" w:rsidRPr="00EA6898">
        <w:t xml:space="preserve">pharmacological VTE prophylaxis </w:t>
      </w:r>
      <w:r w:rsidR="0087559D">
        <w:t xml:space="preserve">to </w:t>
      </w:r>
      <w:r w:rsidR="0014474E">
        <w:t>people</w:t>
      </w:r>
      <w:r w:rsidR="00556056">
        <w:t xml:space="preserve"> aged 16 and over</w:t>
      </w:r>
      <w:r w:rsidR="0087559D">
        <w:t xml:space="preserve"> who</w:t>
      </w:r>
      <w:r w:rsidR="009B2CB8">
        <w:t xml:space="preserve"> are in hospital and</w:t>
      </w:r>
      <w:r w:rsidR="0087559D">
        <w:t xml:space="preserve"> </w:t>
      </w:r>
      <w:r w:rsidR="00142CBA">
        <w:t>an assessment of</w:t>
      </w:r>
      <w:r w:rsidR="0087559D">
        <w:t xml:space="preserve"> their risk of VTE and </w:t>
      </w:r>
      <w:r w:rsidR="00AB410C">
        <w:t xml:space="preserve">bleeding has shown that </w:t>
      </w:r>
      <w:r w:rsidR="0087559D">
        <w:t xml:space="preserve">they need it. They make sure that </w:t>
      </w:r>
      <w:r w:rsidR="002534E7">
        <w:t xml:space="preserve">they </w:t>
      </w:r>
      <w:bookmarkStart w:id="9" w:name="_Hlk55572463"/>
      <w:r w:rsidR="002534E7">
        <w:t xml:space="preserve">give </w:t>
      </w:r>
      <w:r w:rsidR="0014474E">
        <w:t>people</w:t>
      </w:r>
      <w:r w:rsidR="00EA6898">
        <w:t xml:space="preserve"> </w:t>
      </w:r>
      <w:r w:rsidR="002534E7">
        <w:t xml:space="preserve">verbal and written information on the possible side effects, and that they </w:t>
      </w:r>
      <w:r w:rsidR="00EA6898" w:rsidRPr="00EA6898">
        <w:t xml:space="preserve">start </w:t>
      </w:r>
      <w:r w:rsidR="0087559D">
        <w:t>treatment</w:t>
      </w:r>
      <w:r w:rsidR="00EA6898" w:rsidRPr="00EA6898">
        <w:t xml:space="preserve"> as soon as possible and within 14</w:t>
      </w:r>
      <w:r w:rsidR="009B2CB8">
        <w:t> </w:t>
      </w:r>
      <w:r w:rsidR="00EA6898" w:rsidRPr="00EA6898">
        <w:t xml:space="preserve">hours of </w:t>
      </w:r>
      <w:r w:rsidR="00411596">
        <w:t>hospital</w:t>
      </w:r>
      <w:r w:rsidR="00411596" w:rsidRPr="00EA6898">
        <w:t xml:space="preserve"> </w:t>
      </w:r>
      <w:r w:rsidR="00EA6898" w:rsidRPr="00EA6898">
        <w:t>admission</w:t>
      </w:r>
      <w:r w:rsidR="0087559D">
        <w:t>.</w:t>
      </w:r>
      <w:bookmarkEnd w:id="9"/>
    </w:p>
    <w:p w14:paraId="4E9C5BBC" w14:textId="5F184A0F" w:rsidR="009E6CC0" w:rsidRPr="000C37A0" w:rsidRDefault="009E6CC0" w:rsidP="009E6CC0">
      <w:pPr>
        <w:pStyle w:val="NICEnormal"/>
      </w:pPr>
      <w:r w:rsidRPr="0087559D">
        <w:rPr>
          <w:b/>
        </w:rPr>
        <w:t>Commissioners</w:t>
      </w:r>
      <w:r w:rsidR="00F50622" w:rsidRPr="0087559D">
        <w:t xml:space="preserve"> </w:t>
      </w:r>
      <w:r w:rsidR="00BE5349" w:rsidRPr="0087559D">
        <w:t xml:space="preserve">(clinical commissioning groups) </w:t>
      </w:r>
      <w:r w:rsidR="00F50622" w:rsidRPr="0087559D">
        <w:t>ensure</w:t>
      </w:r>
      <w:r w:rsidR="00F50622">
        <w:t xml:space="preserve"> that</w:t>
      </w:r>
      <w:r w:rsidRPr="000C37A0">
        <w:t xml:space="preserve"> </w:t>
      </w:r>
      <w:r w:rsidR="00D76D5D">
        <w:t>services have</w:t>
      </w:r>
      <w:r w:rsidR="00D76D5D" w:rsidRPr="00D76D5D">
        <w:t xml:space="preserve"> written clinical protocols in place for</w:t>
      </w:r>
      <w:r w:rsidR="00D76D5D">
        <w:t xml:space="preserve"> </w:t>
      </w:r>
      <w:bookmarkStart w:id="10" w:name="_Hlk54947299"/>
      <w:r w:rsidR="00D76D5D" w:rsidRPr="00237545">
        <w:t xml:space="preserve">pharmacological VTE prophylaxis </w:t>
      </w:r>
      <w:r w:rsidR="00D76D5D">
        <w:t xml:space="preserve">to </w:t>
      </w:r>
      <w:r w:rsidR="00D76D5D" w:rsidRPr="00237545">
        <w:t>start as soon as possible and within 14</w:t>
      </w:r>
      <w:r w:rsidR="009B2CB8">
        <w:t> </w:t>
      </w:r>
      <w:r w:rsidR="00D76D5D" w:rsidRPr="00237545">
        <w:t xml:space="preserve">hours of </w:t>
      </w:r>
      <w:r w:rsidR="00411596">
        <w:t>hospital</w:t>
      </w:r>
      <w:r w:rsidR="00411596" w:rsidRPr="00237545">
        <w:t xml:space="preserve"> </w:t>
      </w:r>
      <w:r w:rsidR="00D76D5D" w:rsidRPr="00237545">
        <w:t>admission</w:t>
      </w:r>
      <w:bookmarkEnd w:id="10"/>
      <w:r w:rsidR="002517C3">
        <w:t xml:space="preserve"> when needed</w:t>
      </w:r>
      <w:r w:rsidR="00D76D5D">
        <w:t xml:space="preserve">. They also ensure that services have prescribing systems and </w:t>
      </w:r>
      <w:r w:rsidR="002517C3">
        <w:t xml:space="preserve">healthcare professionals </w:t>
      </w:r>
      <w:r w:rsidR="00D76D5D">
        <w:t xml:space="preserve">available to </w:t>
      </w:r>
      <w:r w:rsidR="009B2CB8">
        <w:t xml:space="preserve">carry out the assessment to ensure that prophylaxis, if needed, is started within this timeframe. </w:t>
      </w:r>
    </w:p>
    <w:p w14:paraId="046C2EC3" w14:textId="73BDD2AB" w:rsidR="009C399D" w:rsidRPr="000C37A0" w:rsidRDefault="0014474E" w:rsidP="00CF3F24">
      <w:pPr>
        <w:pStyle w:val="NICEnormal"/>
      </w:pPr>
      <w:r>
        <w:rPr>
          <w:b/>
        </w:rPr>
        <w:t>People</w:t>
      </w:r>
      <w:r w:rsidR="00556056" w:rsidRPr="00556056">
        <w:t xml:space="preserve"> </w:t>
      </w:r>
      <w:r w:rsidR="00556056" w:rsidRPr="00556056">
        <w:rPr>
          <w:b/>
        </w:rPr>
        <w:t xml:space="preserve">aged 16 and over </w:t>
      </w:r>
      <w:r w:rsidR="004C4687">
        <w:rPr>
          <w:b/>
        </w:rPr>
        <w:t>who</w:t>
      </w:r>
      <w:r w:rsidR="009B2CB8">
        <w:rPr>
          <w:b/>
        </w:rPr>
        <w:t xml:space="preserve"> are in hospital and who</w:t>
      </w:r>
      <w:r w:rsidR="004C4687">
        <w:rPr>
          <w:b/>
        </w:rPr>
        <w:t xml:space="preserve"> need medicine to prevent blood clots</w:t>
      </w:r>
      <w:r w:rsidR="00A3104F" w:rsidRPr="000C37A0">
        <w:t xml:space="preserve"> </w:t>
      </w:r>
      <w:r w:rsidR="002534E7">
        <w:t>are given</w:t>
      </w:r>
      <w:r w:rsidR="009B2CB8">
        <w:t xml:space="preserve"> the medicine within 14 hours of being admitted to hospital. </w:t>
      </w:r>
      <w:bookmarkStart w:id="11" w:name="_Hlk55571943"/>
      <w:r w:rsidR="009B2CB8">
        <w:t>They are given</w:t>
      </w:r>
      <w:r w:rsidR="002534E7">
        <w:t xml:space="preserve"> verbal and written information </w:t>
      </w:r>
      <w:r w:rsidR="009B2CB8">
        <w:t xml:space="preserve">about the medicine. </w:t>
      </w:r>
      <w:bookmarkEnd w:id="11"/>
    </w:p>
    <w:p w14:paraId="454A97D3" w14:textId="77777777" w:rsidR="009C399D" w:rsidRPr="000C37A0" w:rsidRDefault="009C399D" w:rsidP="002D23BE">
      <w:pPr>
        <w:pStyle w:val="Heading2"/>
      </w:pPr>
      <w:r w:rsidRPr="000C37A0">
        <w:t>Source guidance</w:t>
      </w:r>
    </w:p>
    <w:p w14:paraId="77561432" w14:textId="304F2ADF" w:rsidR="003E684D" w:rsidRPr="000C37A0" w:rsidRDefault="007C368A" w:rsidP="00E57EE0">
      <w:pPr>
        <w:pStyle w:val="NICEnormal"/>
      </w:pPr>
      <w:hyperlink r:id="rId20" w:history="1">
        <w:r w:rsidR="007C3C7A" w:rsidRPr="004D0AC0">
          <w:rPr>
            <w:rStyle w:val="Hyperlink"/>
          </w:rPr>
          <w:t>Venous thromboembolism in over 16s: reducing the risk of hospital-acquired deep vein thrombosis or pulmonary embolism</w:t>
        </w:r>
      </w:hyperlink>
      <w:r w:rsidR="007C3C7A">
        <w:t>. NICE guideline NG89 (2018), recommendations 1.1.4 and 1.1.7</w:t>
      </w:r>
      <w:r w:rsidR="00394D99">
        <w:t>.</w:t>
      </w:r>
    </w:p>
    <w:p w14:paraId="3C51C3B7" w14:textId="6FFAD79B" w:rsidR="009C399D" w:rsidRPr="000C37A0" w:rsidRDefault="00396A79" w:rsidP="002D23BE">
      <w:pPr>
        <w:pStyle w:val="Heading2"/>
      </w:pPr>
      <w:r w:rsidRPr="000C37A0">
        <w:t>Definition</w:t>
      </w:r>
      <w:r w:rsidR="00214453" w:rsidRPr="000C37A0">
        <w:t xml:space="preserve"> </w:t>
      </w:r>
      <w:r w:rsidR="002D23BE" w:rsidRPr="000C37A0">
        <w:t>of terms used in this quality statement</w:t>
      </w:r>
    </w:p>
    <w:p w14:paraId="577F79B6" w14:textId="204BF770" w:rsidR="006379CB" w:rsidRPr="006379CB" w:rsidRDefault="0014474E" w:rsidP="006379CB">
      <w:pPr>
        <w:pStyle w:val="Heading3"/>
        <w:rPr>
          <w:highlight w:val="cyan"/>
        </w:rPr>
      </w:pPr>
      <w:r>
        <w:t>People</w:t>
      </w:r>
      <w:r w:rsidR="00556056" w:rsidRPr="00556056">
        <w:t xml:space="preserve"> </w:t>
      </w:r>
      <w:r w:rsidR="00556056">
        <w:t xml:space="preserve">aged 16 and over </w:t>
      </w:r>
      <w:r w:rsidR="00BD655D">
        <w:t xml:space="preserve">who </w:t>
      </w:r>
      <w:r w:rsidR="002534E7">
        <w:t>are</w:t>
      </w:r>
      <w:r w:rsidR="009B2CB8">
        <w:t xml:space="preserve"> in hospital</w:t>
      </w:r>
    </w:p>
    <w:p w14:paraId="38EB1AD8" w14:textId="450BAC18" w:rsidR="009C399D" w:rsidRPr="007C3C7A" w:rsidRDefault="00BC5715" w:rsidP="006379CB">
      <w:pPr>
        <w:pStyle w:val="NICEnormal"/>
      </w:pPr>
      <w:r w:rsidRPr="00BC5715">
        <w:t>This includes medical, surgical and trauma patients.</w:t>
      </w:r>
      <w:r>
        <w:t xml:space="preserve"> </w:t>
      </w:r>
      <w:hyperlink r:id="rId21" w:history="1">
        <w:r w:rsidRPr="006A1841">
          <w:rPr>
            <w:rStyle w:val="Hyperlink"/>
          </w:rPr>
          <w:t xml:space="preserve">NICE’s guideline on </w:t>
        </w:r>
        <w:r>
          <w:rPr>
            <w:rStyle w:val="Hyperlink"/>
          </w:rPr>
          <w:t>v</w:t>
        </w:r>
        <w:r w:rsidRPr="006A1841">
          <w:rPr>
            <w:rStyle w:val="Hyperlink"/>
          </w:rPr>
          <w:t>enous thromboembolism in over 16s</w:t>
        </w:r>
      </w:hyperlink>
      <w:r w:rsidR="009B2CB8">
        <w:rPr>
          <w:rStyle w:val="Hyperlink"/>
        </w:rPr>
        <w:t>,</w:t>
      </w:r>
      <w:r w:rsidRPr="007C3C7A">
        <w:t xml:space="preserve"> </w:t>
      </w:r>
      <w:r w:rsidR="007C3C7A">
        <w:t>sections 1.4 to 1.15</w:t>
      </w:r>
      <w:r w:rsidR="00B15D98">
        <w:t xml:space="preserve"> </w:t>
      </w:r>
      <w:r w:rsidR="007C3C7A">
        <w:t>should be referred to for</w:t>
      </w:r>
      <w:r w:rsidRPr="007C3C7A">
        <w:t xml:space="preserve"> </w:t>
      </w:r>
      <w:r w:rsidR="007C3C7A" w:rsidRPr="007C3C7A">
        <w:t>population-</w:t>
      </w:r>
      <w:r w:rsidRPr="007C3C7A">
        <w:t xml:space="preserve">specific </w:t>
      </w:r>
      <w:r w:rsidR="007C3C7A" w:rsidRPr="007C3C7A">
        <w:t>recommendations</w:t>
      </w:r>
      <w:r w:rsidR="007C3C7A">
        <w:t xml:space="preserve"> that include different timings for pharmacological VTE prophylaxis. [</w:t>
      </w:r>
      <w:hyperlink r:id="rId22" w:history="1">
        <w:r w:rsidR="007C3C7A" w:rsidRPr="006A1841">
          <w:rPr>
            <w:rStyle w:val="Hyperlink"/>
          </w:rPr>
          <w:t xml:space="preserve">NICE’s guideline on </w:t>
        </w:r>
        <w:r w:rsidR="007C3C7A">
          <w:rPr>
            <w:rStyle w:val="Hyperlink"/>
          </w:rPr>
          <w:t>v</w:t>
        </w:r>
        <w:r w:rsidR="007C3C7A" w:rsidRPr="006A1841">
          <w:rPr>
            <w:rStyle w:val="Hyperlink"/>
          </w:rPr>
          <w:t>enous thromboembolism in over 16s</w:t>
        </w:r>
      </w:hyperlink>
      <w:r w:rsidR="007C3C7A" w:rsidRPr="007C3C7A">
        <w:t>, recommendations 1.1.4</w:t>
      </w:r>
      <w:r w:rsidR="0087559D">
        <w:t>, 1.1.6</w:t>
      </w:r>
      <w:r w:rsidR="007C3C7A" w:rsidRPr="007C3C7A">
        <w:t xml:space="preserve"> and 1.1.7]</w:t>
      </w:r>
    </w:p>
    <w:p w14:paraId="17B52223" w14:textId="77777777" w:rsidR="00F9401A" w:rsidRPr="00F9401A" w:rsidRDefault="00F9401A" w:rsidP="00F9401A">
      <w:pPr>
        <w:pStyle w:val="Heading1"/>
      </w:pPr>
      <w:bookmarkStart w:id="12" w:name="_Quality_statement_2:"/>
      <w:bookmarkEnd w:id="12"/>
      <w:r w:rsidRPr="00F9401A">
        <w:t>Equality and diversity considerations</w:t>
      </w:r>
    </w:p>
    <w:p w14:paraId="461C22BC" w14:textId="41DE1151" w:rsidR="00F9401A" w:rsidRPr="00FC0D45" w:rsidRDefault="00E16BC6" w:rsidP="00FC0D45">
      <w:pPr>
        <w:pStyle w:val="NICEnormal"/>
      </w:pPr>
      <w:r w:rsidRPr="00E16BC6">
        <w:rPr>
          <w:bCs/>
        </w:rPr>
        <w:t>Statement 1 highlights that people</w:t>
      </w:r>
      <w:r w:rsidRPr="000341EA">
        <w:rPr>
          <w:bCs/>
        </w:rPr>
        <w:t xml:space="preserve"> are given verbal and written information </w:t>
      </w:r>
      <w:r w:rsidRPr="00E16BC6">
        <w:rPr>
          <w:bCs/>
        </w:rPr>
        <w:t>on the possible side effects</w:t>
      </w:r>
      <w:r w:rsidR="002517C3">
        <w:rPr>
          <w:bCs/>
        </w:rPr>
        <w:t xml:space="preserve"> </w:t>
      </w:r>
      <w:r w:rsidR="002517C3" w:rsidRPr="00E16BC6">
        <w:rPr>
          <w:bCs/>
        </w:rPr>
        <w:t>of VTE prophylaxis</w:t>
      </w:r>
      <w:r w:rsidRPr="00E16BC6">
        <w:rPr>
          <w:bCs/>
        </w:rPr>
        <w:t>, and that they start treatment as soon as possible and within 14 hours of hospital admission.</w:t>
      </w:r>
      <w:r>
        <w:t xml:space="preserve"> </w:t>
      </w:r>
      <w:r w:rsidR="00F9401A" w:rsidRPr="00FC0D45">
        <w:t xml:space="preserve">For people with additional needs related to a disability, impairment or sensory loss, information should also be provided as set out in </w:t>
      </w:r>
      <w:hyperlink r:id="rId23" w:history="1">
        <w:r w:rsidR="00F9401A" w:rsidRPr="00FC0D45">
          <w:rPr>
            <w:rStyle w:val="Hyperlink"/>
          </w:rPr>
          <w:t>NHS England's Accessible Information Standard</w:t>
        </w:r>
      </w:hyperlink>
      <w:r w:rsidR="00F9401A" w:rsidRPr="00FC0D45">
        <w:t>.</w:t>
      </w:r>
    </w:p>
    <w:p w14:paraId="1BCBFE2C" w14:textId="210F9CB4" w:rsidR="00D94B78" w:rsidRDefault="006729F4" w:rsidP="008C1D9A">
      <w:pPr>
        <w:pStyle w:val="Heading1"/>
      </w:pPr>
      <w:r w:rsidRPr="000C37A0">
        <w:br w:type="page"/>
      </w:r>
    </w:p>
    <w:p w14:paraId="020AD2E0" w14:textId="70B5741F" w:rsidR="002517C3" w:rsidRPr="000C37A0" w:rsidRDefault="002517C3" w:rsidP="002517C3">
      <w:pPr>
        <w:pStyle w:val="Heading1"/>
      </w:pPr>
      <w:r w:rsidRPr="00E74FDF">
        <w:t xml:space="preserve">Quality statement </w:t>
      </w:r>
      <w:r>
        <w:t>2</w:t>
      </w:r>
      <w:r w:rsidRPr="00E74FDF">
        <w:t xml:space="preserve">: Anti-embolism stockings </w:t>
      </w:r>
      <w:r>
        <w:t>f</w:t>
      </w:r>
      <w:r w:rsidRPr="00E74FDF">
        <w:t>or VTE prophylaxis</w:t>
      </w:r>
      <w:r w:rsidRPr="000C37A0">
        <w:t xml:space="preserve"> </w:t>
      </w:r>
    </w:p>
    <w:p w14:paraId="74489D4F" w14:textId="77777777" w:rsidR="002517C3" w:rsidRPr="000C37A0" w:rsidRDefault="002517C3" w:rsidP="002517C3">
      <w:pPr>
        <w:pStyle w:val="Heading2"/>
      </w:pPr>
      <w:r w:rsidRPr="000C37A0">
        <w:t>Quality statement</w:t>
      </w:r>
    </w:p>
    <w:p w14:paraId="20C7D9E9" w14:textId="664D8442" w:rsidR="002517C3" w:rsidRDefault="002517C3" w:rsidP="002517C3">
      <w:pPr>
        <w:pStyle w:val="NICEnormal"/>
      </w:pPr>
      <w:r>
        <w:t xml:space="preserve">People aged 16 and over </w:t>
      </w:r>
      <w:r w:rsidR="00C85F28">
        <w:t>who are in</w:t>
      </w:r>
      <w:r w:rsidRPr="00AF5465">
        <w:t xml:space="preserve"> hospital </w:t>
      </w:r>
      <w:r w:rsidR="001B61D2">
        <w:t>and</w:t>
      </w:r>
      <w:r w:rsidR="008C1D9A">
        <w:t xml:space="preserve"> </w:t>
      </w:r>
      <w:r w:rsidRPr="00AF5465">
        <w:t>assessed as needing anti</w:t>
      </w:r>
      <w:r>
        <w:noBreakHyphen/>
      </w:r>
      <w:r w:rsidRPr="00AF5465">
        <w:t xml:space="preserve">embolism stockings are supported </w:t>
      </w:r>
      <w:r>
        <w:t>t</w:t>
      </w:r>
      <w:r w:rsidRPr="00AF5465">
        <w:t>o wear them correctly</w:t>
      </w:r>
      <w:r>
        <w:t xml:space="preserve"> and have their use monitored.</w:t>
      </w:r>
      <w:r w:rsidR="00DF05A2">
        <w:t xml:space="preserve"> </w:t>
      </w:r>
      <w:r w:rsidR="00DF05A2" w:rsidRPr="004D0AC0">
        <w:rPr>
          <w:b/>
        </w:rPr>
        <w:t>[20</w:t>
      </w:r>
      <w:r w:rsidR="00DF05A2">
        <w:rPr>
          <w:b/>
        </w:rPr>
        <w:t>10</w:t>
      </w:r>
      <w:r w:rsidR="00DF05A2" w:rsidRPr="004D0AC0">
        <w:rPr>
          <w:b/>
        </w:rPr>
        <w:t>, updated 20</w:t>
      </w:r>
      <w:r w:rsidR="00DF05A2">
        <w:rPr>
          <w:b/>
        </w:rPr>
        <w:t>21</w:t>
      </w:r>
      <w:r w:rsidR="00DF05A2" w:rsidRPr="004D0AC0">
        <w:rPr>
          <w:b/>
        </w:rPr>
        <w:t>]</w:t>
      </w:r>
      <w:r w:rsidR="00DF05A2">
        <w:t xml:space="preserve"> </w:t>
      </w:r>
    </w:p>
    <w:p w14:paraId="2DFF93F1" w14:textId="77777777" w:rsidR="002517C3" w:rsidRPr="000C37A0" w:rsidRDefault="002517C3" w:rsidP="002517C3">
      <w:pPr>
        <w:pStyle w:val="Heading2"/>
      </w:pPr>
      <w:r w:rsidRPr="000C37A0">
        <w:t xml:space="preserve">Rationale </w:t>
      </w:r>
    </w:p>
    <w:p w14:paraId="40DB454A" w14:textId="531F9699" w:rsidR="002517C3" w:rsidRPr="000C37A0" w:rsidRDefault="002517C3" w:rsidP="002517C3">
      <w:pPr>
        <w:pStyle w:val="NICEnormal"/>
      </w:pPr>
      <w:r>
        <w:t>The use of anti</w:t>
      </w:r>
      <w:r>
        <w:noBreakHyphen/>
        <w:t>embolism (compression) stockings to prevent VTE is common practice. However, stockings need to be used correctly and only when they are recommended for the person. Incorrect or inappropriate use of anti</w:t>
      </w:r>
      <w:bookmarkStart w:id="13" w:name="_Hlk55885488"/>
      <w:r>
        <w:noBreakHyphen/>
      </w:r>
      <w:bookmarkEnd w:id="13"/>
      <w:r>
        <w:t>embolism stockings can lead to adverse events such as skin damage</w:t>
      </w:r>
      <w:r w:rsidR="00AB4011">
        <w:t>, inadequate protection against thrombosis development</w:t>
      </w:r>
      <w:r>
        <w:t xml:space="preserve"> and unnecessary costs.</w:t>
      </w:r>
    </w:p>
    <w:p w14:paraId="36FDFF53" w14:textId="77777777" w:rsidR="002517C3" w:rsidRPr="000C37A0" w:rsidRDefault="002517C3" w:rsidP="002517C3">
      <w:pPr>
        <w:pStyle w:val="Heading2"/>
      </w:pPr>
      <w:r w:rsidRPr="000C37A0">
        <w:t xml:space="preserve">Quality </w:t>
      </w:r>
      <w:r w:rsidRPr="00945D72">
        <w:t>measures</w:t>
      </w:r>
    </w:p>
    <w:p w14:paraId="4938EC04" w14:textId="77777777" w:rsidR="002517C3" w:rsidRPr="000C37A0" w:rsidRDefault="002517C3" w:rsidP="002517C3">
      <w:pPr>
        <w:pStyle w:val="Heading3"/>
      </w:pPr>
      <w:r w:rsidRPr="00945D72">
        <w:t>Structure</w:t>
      </w:r>
    </w:p>
    <w:p w14:paraId="27C33FA1" w14:textId="08606600" w:rsidR="002517C3" w:rsidRDefault="002517C3" w:rsidP="002517C3">
      <w:pPr>
        <w:pStyle w:val="NICEnormal"/>
      </w:pPr>
      <w:r w:rsidRPr="00237545">
        <w:t xml:space="preserve">Evidence of written clinical protocols to ensure that </w:t>
      </w:r>
      <w:r>
        <w:t xml:space="preserve">people aged 16 and over who are </w:t>
      </w:r>
      <w:r w:rsidRPr="00AF5465">
        <w:t xml:space="preserve">admitted to hospital </w:t>
      </w:r>
      <w:r w:rsidR="00E901B6">
        <w:t>and</w:t>
      </w:r>
      <w:r w:rsidRPr="00AF5465">
        <w:t xml:space="preserve"> assessed as needing anti</w:t>
      </w:r>
      <w:r>
        <w:noBreakHyphen/>
      </w:r>
      <w:r w:rsidRPr="00AF5465">
        <w:t xml:space="preserve">embolism stockings are supported </w:t>
      </w:r>
      <w:r>
        <w:t>t</w:t>
      </w:r>
      <w:r w:rsidRPr="00AF5465">
        <w:t>o wear them correctly and have their use monitored</w:t>
      </w:r>
      <w:r>
        <w:t>.</w:t>
      </w:r>
    </w:p>
    <w:p w14:paraId="086CC5BB" w14:textId="77777777" w:rsidR="002517C3" w:rsidRDefault="002517C3" w:rsidP="002517C3">
      <w:pPr>
        <w:pStyle w:val="NICEnormal"/>
      </w:pPr>
      <w:r w:rsidRPr="00B4696C">
        <w:rPr>
          <w:b/>
          <w:iCs/>
        </w:rPr>
        <w:t xml:space="preserve">Data </w:t>
      </w:r>
      <w:r w:rsidRPr="00AD518C">
        <w:rPr>
          <w:b/>
          <w:iCs/>
        </w:rPr>
        <w:t>source:</w:t>
      </w:r>
      <w:r w:rsidRPr="00AD518C">
        <w:t xml:space="preserve"> Local data collection, for example, </w:t>
      </w:r>
      <w:r>
        <w:t xml:space="preserve">from </w:t>
      </w:r>
      <w:r w:rsidRPr="00AD518C">
        <w:t>service protocols.</w:t>
      </w:r>
    </w:p>
    <w:p w14:paraId="4FEA39ED" w14:textId="77777777" w:rsidR="002517C3" w:rsidRPr="000C37A0" w:rsidRDefault="002517C3" w:rsidP="002517C3">
      <w:pPr>
        <w:pStyle w:val="Heading3"/>
      </w:pPr>
      <w:r w:rsidRPr="000C37A0">
        <w:t>Process</w:t>
      </w:r>
    </w:p>
    <w:p w14:paraId="67BD0C44" w14:textId="52E19AD6" w:rsidR="002517C3" w:rsidRDefault="002517C3" w:rsidP="002517C3">
      <w:pPr>
        <w:pStyle w:val="NICEnormal"/>
      </w:pPr>
      <w:r w:rsidRPr="008772B0">
        <w:t xml:space="preserve">Proportion of </w:t>
      </w:r>
      <w:r>
        <w:t xml:space="preserve">people aged 16 and over </w:t>
      </w:r>
      <w:r w:rsidR="00AB410C">
        <w:t>who are in</w:t>
      </w:r>
      <w:r w:rsidRPr="00AF5465">
        <w:t xml:space="preserve"> hospital </w:t>
      </w:r>
      <w:r w:rsidR="00E901B6">
        <w:t>and</w:t>
      </w:r>
      <w:r w:rsidRPr="00AF5465">
        <w:t xml:space="preserve"> assessed as needing anti</w:t>
      </w:r>
      <w:r>
        <w:noBreakHyphen/>
      </w:r>
      <w:r w:rsidRPr="00AF5465">
        <w:t xml:space="preserve">embolism stockings </w:t>
      </w:r>
      <w:r>
        <w:t xml:space="preserve">who </w:t>
      </w:r>
      <w:r w:rsidRPr="00AF5465">
        <w:t xml:space="preserve">are supported </w:t>
      </w:r>
      <w:r>
        <w:t>t</w:t>
      </w:r>
      <w:r w:rsidRPr="00AF5465">
        <w:t>o wear them correctly and have their use monitored</w:t>
      </w:r>
      <w:r>
        <w:t>.</w:t>
      </w:r>
    </w:p>
    <w:p w14:paraId="5A8C7E5E" w14:textId="3B328015" w:rsidR="002517C3" w:rsidRPr="000C37A0" w:rsidRDefault="002517C3" w:rsidP="002517C3">
      <w:pPr>
        <w:pStyle w:val="NICEnormal"/>
      </w:pPr>
      <w:r w:rsidRPr="005B1D6C">
        <w:t xml:space="preserve">Numerator – the number in the denominator </w:t>
      </w:r>
      <w:r w:rsidR="00AB4011" w:rsidRPr="005B1D6C">
        <w:t xml:space="preserve">who are </w:t>
      </w:r>
      <w:r w:rsidRPr="005B1D6C">
        <w:t>shown how to use anti</w:t>
      </w:r>
      <w:r w:rsidRPr="005B1D6C">
        <w:noBreakHyphen/>
        <w:t>embolism stockings correctly and have their use monitored.</w:t>
      </w:r>
    </w:p>
    <w:p w14:paraId="5AD8CB0A" w14:textId="204D3D27" w:rsidR="002517C3" w:rsidRPr="000C37A0" w:rsidRDefault="002517C3" w:rsidP="002517C3">
      <w:pPr>
        <w:pStyle w:val="NICEnormal"/>
      </w:pPr>
      <w:r w:rsidRPr="00CF09CF">
        <w:t xml:space="preserve">Denominator – the number of </w:t>
      </w:r>
      <w:r>
        <w:t xml:space="preserve">people aged 16 and over </w:t>
      </w:r>
      <w:r w:rsidR="00AB410C">
        <w:t>who are in</w:t>
      </w:r>
      <w:r w:rsidRPr="00AF5465">
        <w:t xml:space="preserve"> hospital </w:t>
      </w:r>
      <w:r w:rsidR="00E901B6">
        <w:t>and</w:t>
      </w:r>
      <w:r w:rsidRPr="00AF5465">
        <w:t xml:space="preserve"> assessed as needing anti</w:t>
      </w:r>
      <w:r>
        <w:noBreakHyphen/>
      </w:r>
      <w:r w:rsidRPr="00AF5465">
        <w:t>embolism stockings</w:t>
      </w:r>
      <w:r w:rsidRPr="00CF09CF">
        <w:t>.</w:t>
      </w:r>
    </w:p>
    <w:p w14:paraId="49F2383E" w14:textId="77777777" w:rsidR="002517C3" w:rsidRDefault="002517C3" w:rsidP="002517C3">
      <w:pPr>
        <w:pStyle w:val="NICEnormal"/>
      </w:pPr>
      <w:r w:rsidRPr="00B4696C">
        <w:rPr>
          <w:b/>
          <w:iCs/>
        </w:rPr>
        <w:t>Data source:</w:t>
      </w:r>
      <w:r w:rsidRPr="000C37A0">
        <w:t xml:space="preserve"> </w:t>
      </w:r>
      <w:r w:rsidRPr="00AD518C">
        <w:t>Local data collection, for example, local audit of patient records.</w:t>
      </w:r>
    </w:p>
    <w:p w14:paraId="6C6474CB" w14:textId="77777777" w:rsidR="002517C3" w:rsidRPr="000C37A0" w:rsidRDefault="002517C3" w:rsidP="002517C3">
      <w:pPr>
        <w:pStyle w:val="Heading3"/>
      </w:pPr>
      <w:r w:rsidRPr="000C37A0">
        <w:t>Outcome</w:t>
      </w:r>
    </w:p>
    <w:p w14:paraId="64E17A84" w14:textId="7F4B3188" w:rsidR="002517C3" w:rsidRDefault="00AB410C" w:rsidP="002517C3">
      <w:pPr>
        <w:pStyle w:val="NICEnormal"/>
      </w:pPr>
      <w:r>
        <w:t>Proportion of</w:t>
      </w:r>
      <w:r w:rsidR="002517C3" w:rsidRPr="00B81581">
        <w:t xml:space="preserve"> </w:t>
      </w:r>
      <w:r w:rsidR="002517C3">
        <w:t>people aged 16 and over</w:t>
      </w:r>
      <w:r w:rsidR="002517C3" w:rsidRPr="00B81581">
        <w:t xml:space="preserve"> </w:t>
      </w:r>
      <w:r>
        <w:t xml:space="preserve">in hospital </w:t>
      </w:r>
      <w:r w:rsidR="002517C3" w:rsidRPr="00B81581">
        <w:t xml:space="preserve">who </w:t>
      </w:r>
      <w:r w:rsidR="002517C3">
        <w:t>use anti</w:t>
      </w:r>
      <w:r w:rsidR="002517C3">
        <w:noBreakHyphen/>
        <w:t>embolism stockings</w:t>
      </w:r>
      <w:r>
        <w:t xml:space="preserve"> to prevent VTE </w:t>
      </w:r>
      <w:r w:rsidR="002F5F27">
        <w:t>and</w:t>
      </w:r>
      <w:r>
        <w:t xml:space="preserve"> are satisfied with the support they receive to </w:t>
      </w:r>
      <w:r w:rsidR="00674B48">
        <w:t>wear them</w:t>
      </w:r>
      <w:r w:rsidR="002517C3" w:rsidRPr="00B81581">
        <w:t>.</w:t>
      </w:r>
    </w:p>
    <w:p w14:paraId="02C19086" w14:textId="02C52928" w:rsidR="00674B48" w:rsidRPr="000C37A0" w:rsidRDefault="00674B48" w:rsidP="00674B48">
      <w:pPr>
        <w:pStyle w:val="NICEnormal"/>
      </w:pPr>
      <w:r w:rsidRPr="000C37A0">
        <w:t xml:space="preserve">Numerator </w:t>
      </w:r>
      <w:r w:rsidRPr="00CF09CF">
        <w:t>– the number in the</w:t>
      </w:r>
      <w:r w:rsidR="00E901B6">
        <w:t xml:space="preserve"> denominator</w:t>
      </w:r>
      <w:r w:rsidRPr="00CF09CF">
        <w:t xml:space="preserve"> </w:t>
      </w:r>
      <w:r w:rsidR="00E901B6">
        <w:t xml:space="preserve">who are satisfied with the support they receive to wear </w:t>
      </w:r>
      <w:r>
        <w:t>anti</w:t>
      </w:r>
      <w:r>
        <w:noBreakHyphen/>
        <w:t>embolism stockings</w:t>
      </w:r>
      <w:r w:rsidRPr="00CF09CF">
        <w:t>.</w:t>
      </w:r>
    </w:p>
    <w:p w14:paraId="45350B5E" w14:textId="422354F6" w:rsidR="00674B48" w:rsidRDefault="00674B48" w:rsidP="00674B48">
      <w:pPr>
        <w:pStyle w:val="NICEnormal"/>
      </w:pPr>
      <w:r w:rsidRPr="00CF09CF">
        <w:t xml:space="preserve">Denominator – the number of </w:t>
      </w:r>
      <w:r>
        <w:t>people aged 16 and over who are in</w:t>
      </w:r>
      <w:r w:rsidRPr="00AF5465">
        <w:t xml:space="preserve"> hospital </w:t>
      </w:r>
      <w:r>
        <w:t>who use</w:t>
      </w:r>
      <w:r w:rsidRPr="00AF5465">
        <w:t xml:space="preserve"> anti</w:t>
      </w:r>
      <w:r>
        <w:noBreakHyphen/>
      </w:r>
      <w:r w:rsidRPr="00AF5465">
        <w:t>embolism stockings</w:t>
      </w:r>
      <w:r>
        <w:t xml:space="preserve"> to prevent VTE</w:t>
      </w:r>
      <w:r w:rsidRPr="00CF09CF">
        <w:t>.</w:t>
      </w:r>
    </w:p>
    <w:p w14:paraId="39261403" w14:textId="28259796" w:rsidR="002517C3" w:rsidRDefault="002517C3" w:rsidP="00674B48">
      <w:pPr>
        <w:pStyle w:val="NICEnormal"/>
      </w:pPr>
      <w:r w:rsidRPr="00B4696C">
        <w:rPr>
          <w:b/>
          <w:bCs/>
        </w:rPr>
        <w:t>Data source:</w:t>
      </w:r>
      <w:r w:rsidRPr="000C37A0">
        <w:rPr>
          <w:i/>
        </w:rPr>
        <w:t xml:space="preserve"> </w:t>
      </w:r>
      <w:r>
        <w:t>Local data collection, for example, local audits of patient records and patient surveys.</w:t>
      </w:r>
    </w:p>
    <w:p w14:paraId="04DA8CD0" w14:textId="77777777" w:rsidR="002517C3" w:rsidRDefault="002517C3" w:rsidP="002517C3">
      <w:pPr>
        <w:pStyle w:val="Heading2"/>
      </w:pPr>
      <w:r w:rsidRPr="000C37A0">
        <w:t xml:space="preserve">What the quality statement means for </w:t>
      </w:r>
      <w:r>
        <w:t>different audiences</w:t>
      </w:r>
    </w:p>
    <w:p w14:paraId="4F58B33F" w14:textId="52AC4859" w:rsidR="002517C3" w:rsidRPr="000C37A0" w:rsidRDefault="002517C3" w:rsidP="002517C3">
      <w:pPr>
        <w:pStyle w:val="NICEnormal"/>
      </w:pPr>
      <w:r w:rsidRPr="000C37A0">
        <w:rPr>
          <w:b/>
        </w:rPr>
        <w:t>Service providers</w:t>
      </w:r>
      <w:r>
        <w:t xml:space="preserve"> </w:t>
      </w:r>
      <w:r w:rsidRPr="00C5340A">
        <w:t>(such as secondary care services)</w:t>
      </w:r>
      <w:r w:rsidRPr="00F616AD">
        <w:t xml:space="preserve"> </w:t>
      </w:r>
      <w:r>
        <w:t xml:space="preserve">ensure that </w:t>
      </w:r>
      <w:r w:rsidRPr="000C0331">
        <w:t xml:space="preserve">written clinical protocols are in place </w:t>
      </w:r>
      <w:r>
        <w:t xml:space="preserve">so that people aged 16 and over </w:t>
      </w:r>
      <w:r w:rsidR="00AB410C">
        <w:t>who are in</w:t>
      </w:r>
      <w:r w:rsidRPr="00AF5465">
        <w:t xml:space="preserve"> hospital </w:t>
      </w:r>
      <w:r w:rsidR="00E901B6">
        <w:t xml:space="preserve">and </w:t>
      </w:r>
      <w:r w:rsidRPr="00AF5465">
        <w:t>assessed as needing anti</w:t>
      </w:r>
      <w:r>
        <w:noBreakHyphen/>
      </w:r>
      <w:r w:rsidRPr="00AF5465">
        <w:t xml:space="preserve">embolism stockings are supported </w:t>
      </w:r>
      <w:r>
        <w:t>t</w:t>
      </w:r>
      <w:r w:rsidRPr="00AF5465">
        <w:t>o wear them correctly and have their use monitored</w:t>
      </w:r>
      <w:r>
        <w:t>.</w:t>
      </w:r>
    </w:p>
    <w:p w14:paraId="18E14DC2" w14:textId="2BA184F3" w:rsidR="002517C3" w:rsidRPr="000C37A0" w:rsidRDefault="002517C3" w:rsidP="002517C3">
      <w:pPr>
        <w:pStyle w:val="NICEnormal"/>
      </w:pPr>
      <w:r w:rsidRPr="000C37A0">
        <w:rPr>
          <w:b/>
        </w:rPr>
        <w:t xml:space="preserve">Healthcare </w:t>
      </w:r>
      <w:r w:rsidRPr="008D65CD">
        <w:rPr>
          <w:b/>
        </w:rPr>
        <w:t>professionals</w:t>
      </w:r>
      <w:r w:rsidRPr="008D65CD">
        <w:t xml:space="preserve"> (such as s</w:t>
      </w:r>
      <w:r w:rsidR="00674B48">
        <w:t>pecialists</w:t>
      </w:r>
      <w:r w:rsidRPr="008D65CD">
        <w:t xml:space="preserve"> and nurses)</w:t>
      </w:r>
      <w:r w:rsidRPr="006B7743">
        <w:t xml:space="preserve"> </w:t>
      </w:r>
      <w:r>
        <w:t xml:space="preserve">assess people aged 16 and over </w:t>
      </w:r>
      <w:r w:rsidR="00AB410C">
        <w:t>who are in</w:t>
      </w:r>
      <w:r>
        <w:t xml:space="preserve"> hospital to decide whether they need </w:t>
      </w:r>
      <w:r w:rsidRPr="00AF5465">
        <w:t>anti</w:t>
      </w:r>
      <w:r>
        <w:noBreakHyphen/>
      </w:r>
      <w:r w:rsidRPr="00AF5465">
        <w:t>embolism stockings</w:t>
      </w:r>
      <w:r>
        <w:t>. If they do, they measure the person’s legs to ensure they have the correct size of stocking, show the person how to use them, e</w:t>
      </w:r>
      <w:r w:rsidRPr="005E47A4">
        <w:t xml:space="preserve">ncourage </w:t>
      </w:r>
      <w:r>
        <w:t>them</w:t>
      </w:r>
      <w:r w:rsidRPr="005E47A4">
        <w:t xml:space="preserve"> to wear the</w:t>
      </w:r>
      <w:r>
        <w:t xml:space="preserve"> stockings</w:t>
      </w:r>
      <w:r w:rsidRPr="005E47A4">
        <w:t xml:space="preserve"> day and night until they no longer have significantly reduced mobility</w:t>
      </w:r>
      <w:r>
        <w:t>, monitor their use and offer help if the stockings are not being worn correctly.</w:t>
      </w:r>
    </w:p>
    <w:p w14:paraId="1670C519" w14:textId="75E32049" w:rsidR="002517C3" w:rsidRPr="000C37A0" w:rsidRDefault="002517C3" w:rsidP="002517C3">
      <w:pPr>
        <w:pStyle w:val="NICEnormal"/>
      </w:pPr>
      <w:r w:rsidRPr="008D65CD">
        <w:rPr>
          <w:b/>
        </w:rPr>
        <w:t>Commissioners</w:t>
      </w:r>
      <w:r w:rsidRPr="008D65CD">
        <w:t xml:space="preserve"> (clinical commissioning groups) </w:t>
      </w:r>
      <w:r>
        <w:t xml:space="preserve">ensure that services have </w:t>
      </w:r>
      <w:r w:rsidRPr="000C0331">
        <w:t xml:space="preserve">written clinical protocols in place </w:t>
      </w:r>
      <w:r>
        <w:t xml:space="preserve">so that people aged 16 and over </w:t>
      </w:r>
      <w:r w:rsidR="00AB410C">
        <w:t>who are in</w:t>
      </w:r>
      <w:r w:rsidRPr="00AF5465">
        <w:t xml:space="preserve"> hospital </w:t>
      </w:r>
      <w:r w:rsidR="00712316">
        <w:t>and</w:t>
      </w:r>
      <w:r w:rsidRPr="00AF5465">
        <w:t xml:space="preserve"> assessed as needing anti</w:t>
      </w:r>
      <w:r>
        <w:noBreakHyphen/>
      </w:r>
      <w:r w:rsidRPr="00AF5465">
        <w:t xml:space="preserve">embolism stockings are supported </w:t>
      </w:r>
      <w:r>
        <w:t>t</w:t>
      </w:r>
      <w:r w:rsidRPr="00AF5465">
        <w:t>o wear them correctly and have their use monitored</w:t>
      </w:r>
      <w:r>
        <w:t>.</w:t>
      </w:r>
    </w:p>
    <w:p w14:paraId="7F461DB4" w14:textId="243FB751" w:rsidR="002517C3" w:rsidRPr="000C37A0" w:rsidRDefault="002517C3" w:rsidP="002517C3">
      <w:pPr>
        <w:pStyle w:val="NICEnormal"/>
      </w:pPr>
      <w:r>
        <w:rPr>
          <w:b/>
        </w:rPr>
        <w:t xml:space="preserve">People aged 16 and over </w:t>
      </w:r>
      <w:r w:rsidR="00AB410C">
        <w:rPr>
          <w:b/>
        </w:rPr>
        <w:t>who are in</w:t>
      </w:r>
      <w:r>
        <w:rPr>
          <w:b/>
        </w:rPr>
        <w:t xml:space="preserve"> hospital </w:t>
      </w:r>
      <w:r w:rsidR="00AB410C">
        <w:rPr>
          <w:b/>
        </w:rPr>
        <w:t>and</w:t>
      </w:r>
      <w:r>
        <w:rPr>
          <w:b/>
        </w:rPr>
        <w:t xml:space="preserve"> are given compression stockings to prevent blood clots </w:t>
      </w:r>
      <w:r w:rsidRPr="007709B9">
        <w:rPr>
          <w:bCs/>
        </w:rPr>
        <w:t>are shown how to use the stockings</w:t>
      </w:r>
      <w:r>
        <w:rPr>
          <w:bCs/>
        </w:rPr>
        <w:t xml:space="preserve"> correctly, and offered help if they have difficulty</w:t>
      </w:r>
      <w:r>
        <w:t>.</w:t>
      </w:r>
    </w:p>
    <w:p w14:paraId="3FEE897D" w14:textId="77777777" w:rsidR="002517C3" w:rsidRPr="000C37A0" w:rsidRDefault="002517C3" w:rsidP="002517C3">
      <w:pPr>
        <w:pStyle w:val="Heading2"/>
      </w:pPr>
      <w:r w:rsidRPr="000C37A0">
        <w:t>Source guidance</w:t>
      </w:r>
    </w:p>
    <w:p w14:paraId="3D1D4711" w14:textId="40E98D45" w:rsidR="002517C3" w:rsidRPr="000C37A0" w:rsidRDefault="007C368A" w:rsidP="002517C3">
      <w:pPr>
        <w:pStyle w:val="NICEnormal"/>
      </w:pPr>
      <w:hyperlink r:id="rId24" w:history="1">
        <w:r w:rsidR="002517C3" w:rsidRPr="004D0AC0">
          <w:rPr>
            <w:rStyle w:val="Hyperlink"/>
          </w:rPr>
          <w:t>Venous thromboembolism in over 16s: reducing the risk of hospital-acquired deep vein thrombosis or pulmonary embolism</w:t>
        </w:r>
      </w:hyperlink>
      <w:r w:rsidR="002517C3">
        <w:t xml:space="preserve">. NICE guideline NG89 (2018), recommendations </w:t>
      </w:r>
      <w:r w:rsidR="001B61D2">
        <w:t xml:space="preserve">1.3.2, </w:t>
      </w:r>
      <w:r w:rsidR="002517C3">
        <w:t>1.3.6 and 1.3.8.</w:t>
      </w:r>
    </w:p>
    <w:p w14:paraId="273C3C08" w14:textId="77777777" w:rsidR="002517C3" w:rsidRPr="000C37A0" w:rsidRDefault="002517C3" w:rsidP="002517C3">
      <w:pPr>
        <w:pStyle w:val="Heading2"/>
      </w:pPr>
      <w:r w:rsidRPr="000C37A0">
        <w:t>Definitions of terms used in this quality statement</w:t>
      </w:r>
    </w:p>
    <w:p w14:paraId="4A7D4B5D" w14:textId="0E5A73B7" w:rsidR="00E901B6" w:rsidRDefault="00E901B6" w:rsidP="00E901B6">
      <w:pPr>
        <w:pStyle w:val="Heading3"/>
      </w:pPr>
      <w:r>
        <w:t>People aged 16 and over who are in hospital</w:t>
      </w:r>
    </w:p>
    <w:p w14:paraId="3920C8F5" w14:textId="02B817D6" w:rsidR="00E901B6" w:rsidRDefault="00E901B6" w:rsidP="00E901B6">
      <w:pPr>
        <w:pStyle w:val="NICEnormal"/>
      </w:pPr>
      <w:r>
        <w:t>This includes medical, surgical and trauma patients.[</w:t>
      </w:r>
      <w:hyperlink r:id="rId25" w:history="1">
        <w:r w:rsidRPr="006A1841">
          <w:rPr>
            <w:rStyle w:val="Hyperlink"/>
          </w:rPr>
          <w:t xml:space="preserve">NICE’s guideline on </w:t>
        </w:r>
        <w:r>
          <w:rPr>
            <w:rStyle w:val="Hyperlink"/>
          </w:rPr>
          <w:t>v</w:t>
        </w:r>
        <w:r w:rsidRPr="006A1841">
          <w:rPr>
            <w:rStyle w:val="Hyperlink"/>
          </w:rPr>
          <w:t>enous thromboembolism in over 16s</w:t>
        </w:r>
      </w:hyperlink>
      <w:r w:rsidRPr="007C3C7A">
        <w:t xml:space="preserve">, </w:t>
      </w:r>
      <w:r>
        <w:t>recommendations 1.1.1, 1.1.2 and 1.1.5]</w:t>
      </w:r>
    </w:p>
    <w:p w14:paraId="4CD7C51D" w14:textId="2EBD6106" w:rsidR="002517C3" w:rsidRPr="006379CB" w:rsidRDefault="00E901B6" w:rsidP="002517C3">
      <w:pPr>
        <w:pStyle w:val="Heading3"/>
        <w:rPr>
          <w:highlight w:val="cyan"/>
        </w:rPr>
      </w:pPr>
      <w:r>
        <w:t>A</w:t>
      </w:r>
      <w:r w:rsidR="002517C3" w:rsidRPr="00AF5465">
        <w:t xml:space="preserve">ssessed as needing anti-embolism stockings </w:t>
      </w:r>
    </w:p>
    <w:p w14:paraId="0CB1CAF2" w14:textId="269D34C3" w:rsidR="002517C3" w:rsidRDefault="002517C3" w:rsidP="002517C3">
      <w:pPr>
        <w:pStyle w:val="NICEnormal"/>
      </w:pPr>
      <w:r>
        <w:t>Anti</w:t>
      </w:r>
      <w:r>
        <w:noBreakHyphen/>
        <w:t>embolism stockings are recommended as an option for mechanical VTE prophylaxis for people:</w:t>
      </w:r>
    </w:p>
    <w:p w14:paraId="1BC35E7D" w14:textId="77777777" w:rsidR="002517C3" w:rsidRDefault="002517C3" w:rsidP="002517C3">
      <w:pPr>
        <w:pStyle w:val="Bulletleft1"/>
        <w:numPr>
          <w:ilvl w:val="0"/>
          <w:numId w:val="3"/>
        </w:numPr>
      </w:pPr>
      <w:r>
        <w:t>having elective spinal surgery</w:t>
      </w:r>
      <w:r w:rsidRPr="00787DC0">
        <w:t xml:space="preserve"> </w:t>
      </w:r>
    </w:p>
    <w:p w14:paraId="310C9A35" w14:textId="77777777" w:rsidR="002517C3" w:rsidRDefault="002517C3" w:rsidP="002517C3">
      <w:pPr>
        <w:pStyle w:val="Bulletleft1"/>
        <w:numPr>
          <w:ilvl w:val="0"/>
          <w:numId w:val="3"/>
        </w:numPr>
      </w:pPr>
      <w:r>
        <w:t>having cranial surgery</w:t>
      </w:r>
    </w:p>
    <w:p w14:paraId="4B84B0F4" w14:textId="77777777" w:rsidR="002517C3" w:rsidRDefault="002517C3" w:rsidP="002517C3">
      <w:pPr>
        <w:pStyle w:val="Bulletleft1"/>
        <w:numPr>
          <w:ilvl w:val="0"/>
          <w:numId w:val="3"/>
        </w:numPr>
      </w:pPr>
      <w:r>
        <w:t>with spinal injury</w:t>
      </w:r>
    </w:p>
    <w:p w14:paraId="3C856858" w14:textId="77777777" w:rsidR="002517C3" w:rsidRDefault="002517C3" w:rsidP="002517C3">
      <w:pPr>
        <w:pStyle w:val="Bulletleft1"/>
        <w:numPr>
          <w:ilvl w:val="0"/>
          <w:numId w:val="3"/>
        </w:numPr>
      </w:pPr>
      <w:r>
        <w:t xml:space="preserve">having abdominal surgery </w:t>
      </w:r>
      <w:r w:rsidRPr="00787DC0">
        <w:t>who are at increased risk of VTE</w:t>
      </w:r>
    </w:p>
    <w:p w14:paraId="6500BA6E" w14:textId="77777777" w:rsidR="002517C3" w:rsidRDefault="002517C3" w:rsidP="002517C3">
      <w:pPr>
        <w:pStyle w:val="Bulletleft1"/>
        <w:numPr>
          <w:ilvl w:val="0"/>
          <w:numId w:val="3"/>
        </w:numPr>
      </w:pPr>
      <w:r>
        <w:t>having bariatric surgery</w:t>
      </w:r>
    </w:p>
    <w:p w14:paraId="67FCEC38" w14:textId="77777777" w:rsidR="002517C3" w:rsidRDefault="002517C3" w:rsidP="002517C3">
      <w:pPr>
        <w:pStyle w:val="Bulletleft1"/>
        <w:numPr>
          <w:ilvl w:val="0"/>
          <w:numId w:val="3"/>
        </w:numPr>
      </w:pPr>
      <w:r>
        <w:t xml:space="preserve">having thoracic surgery </w:t>
      </w:r>
      <w:r w:rsidRPr="00787DC0">
        <w:t>who are at increased risk of VTE</w:t>
      </w:r>
    </w:p>
    <w:p w14:paraId="6CFF0D83" w14:textId="77777777" w:rsidR="002517C3" w:rsidRPr="006B4673" w:rsidRDefault="002517C3" w:rsidP="002517C3">
      <w:pPr>
        <w:pStyle w:val="Bulletleft1last"/>
      </w:pPr>
      <w:r>
        <w:t xml:space="preserve">having </w:t>
      </w:r>
      <w:r>
        <w:rPr>
          <w:lang w:val="en-GB"/>
        </w:rPr>
        <w:t>cardiac surgery</w:t>
      </w:r>
      <w:r>
        <w:t xml:space="preserve"> </w:t>
      </w:r>
      <w:r w:rsidRPr="004242F1">
        <w:t>who are at increased risk of VTE</w:t>
      </w:r>
      <w:r>
        <w:rPr>
          <w:lang w:val="en-GB"/>
        </w:rPr>
        <w:t>.</w:t>
      </w:r>
    </w:p>
    <w:p w14:paraId="0FB64D62" w14:textId="77777777" w:rsidR="002517C3" w:rsidRPr="00C408D2" w:rsidRDefault="002517C3" w:rsidP="002517C3">
      <w:pPr>
        <w:pStyle w:val="NICEnormal"/>
        <w:rPr>
          <w:highlight w:val="cyan"/>
        </w:rPr>
      </w:pPr>
      <w:r>
        <w:t>[</w:t>
      </w:r>
      <w:hyperlink r:id="rId26" w:history="1">
        <w:r w:rsidRPr="006A1841">
          <w:rPr>
            <w:rStyle w:val="Hyperlink"/>
          </w:rPr>
          <w:t xml:space="preserve">NICE’s guideline on </w:t>
        </w:r>
        <w:r>
          <w:rPr>
            <w:rStyle w:val="Hyperlink"/>
          </w:rPr>
          <w:t>v</w:t>
        </w:r>
        <w:r w:rsidRPr="006A1841">
          <w:rPr>
            <w:rStyle w:val="Hyperlink"/>
          </w:rPr>
          <w:t>enous thromboembolism in over 16s</w:t>
        </w:r>
      </w:hyperlink>
      <w:r w:rsidRPr="007C3C7A">
        <w:t xml:space="preserve">, </w:t>
      </w:r>
      <w:r>
        <w:t>recommendations 1.12.1, 1.12.6, 1.12.11, 1.14.2, 1.14.6, 1.14.9, 1.15.1 and terms used in this guideline</w:t>
      </w:r>
      <w:r w:rsidRPr="007C3C7A">
        <w:t>]</w:t>
      </w:r>
    </w:p>
    <w:p w14:paraId="5FC36691" w14:textId="77777777" w:rsidR="002517C3" w:rsidRPr="004A1C26" w:rsidRDefault="002517C3" w:rsidP="002517C3">
      <w:pPr>
        <w:pStyle w:val="Heading3"/>
      </w:pPr>
      <w:r>
        <w:t>S</w:t>
      </w:r>
      <w:r w:rsidRPr="00AF5465">
        <w:t xml:space="preserve">upported </w:t>
      </w:r>
      <w:r>
        <w:t>t</w:t>
      </w:r>
      <w:r w:rsidRPr="00AF5465">
        <w:t>o wear them correctly and have their use monitored</w:t>
      </w:r>
    </w:p>
    <w:p w14:paraId="26A08546" w14:textId="6B770FBB" w:rsidR="002517C3" w:rsidRDefault="002517C3" w:rsidP="002517C3">
      <w:pPr>
        <w:pStyle w:val="NICEnormal"/>
      </w:pPr>
      <w:r>
        <w:t>People who need anti</w:t>
      </w:r>
      <w:r>
        <w:noBreakHyphen/>
        <w:t>embolism stockings should have their legs measured so that they are given the correct size of stocking. Stockings should be fitted and people shown how to use them. People should be e</w:t>
      </w:r>
      <w:r w:rsidRPr="007E0F07">
        <w:t>ncourage</w:t>
      </w:r>
      <w:r>
        <w:t>d</w:t>
      </w:r>
      <w:r w:rsidRPr="007E0F07">
        <w:t xml:space="preserve"> to wear their anti</w:t>
      </w:r>
      <w:r>
        <w:noBreakHyphen/>
      </w:r>
      <w:r w:rsidRPr="007E0F07">
        <w:t>embolism stockings day and night until they no longer have significantly reduced mobility</w:t>
      </w:r>
      <w:r>
        <w:t>. U</w:t>
      </w:r>
      <w:r w:rsidRPr="007E0F07">
        <w:t>se of anti</w:t>
      </w:r>
      <w:r>
        <w:noBreakHyphen/>
      </w:r>
      <w:r w:rsidRPr="007E0F07">
        <w:t xml:space="preserve">embolism stockings </w:t>
      </w:r>
      <w:r>
        <w:t xml:space="preserve">should be monitored </w:t>
      </w:r>
      <w:r w:rsidRPr="007E0F07">
        <w:t>and assistance</w:t>
      </w:r>
      <w:r>
        <w:t xml:space="preserve"> offered</w:t>
      </w:r>
      <w:r w:rsidRPr="007E0F07">
        <w:t xml:space="preserve"> if they are not being worn correctly.</w:t>
      </w:r>
      <w:r>
        <w:t>[</w:t>
      </w:r>
      <w:hyperlink r:id="rId27" w:history="1">
        <w:r w:rsidRPr="006A1841">
          <w:rPr>
            <w:rStyle w:val="Hyperlink"/>
          </w:rPr>
          <w:t xml:space="preserve">NICE’s guideline on </w:t>
        </w:r>
        <w:r>
          <w:rPr>
            <w:rStyle w:val="Hyperlink"/>
          </w:rPr>
          <w:t>v</w:t>
        </w:r>
        <w:r w:rsidRPr="006A1841">
          <w:rPr>
            <w:rStyle w:val="Hyperlink"/>
          </w:rPr>
          <w:t>enous thromboembolism in over 16s</w:t>
        </w:r>
      </w:hyperlink>
      <w:r w:rsidRPr="007C3C7A">
        <w:t xml:space="preserve">, </w:t>
      </w:r>
      <w:r>
        <w:t>recommendations 1.3.2, 1.3.6 and 1.3.8</w:t>
      </w:r>
      <w:r w:rsidRPr="007C3C7A">
        <w:t>]</w:t>
      </w:r>
    </w:p>
    <w:p w14:paraId="66A6C36A" w14:textId="46D7BBEE" w:rsidR="00D94B78" w:rsidRPr="000C37A0" w:rsidRDefault="00D94B78" w:rsidP="00D94B78">
      <w:pPr>
        <w:pStyle w:val="Heading1"/>
      </w:pPr>
      <w:r w:rsidRPr="000C37A0">
        <w:t xml:space="preserve">Quality statement </w:t>
      </w:r>
      <w:r w:rsidR="002517C3">
        <w:t>3</w:t>
      </w:r>
      <w:r w:rsidRPr="00AC1DF5">
        <w:t xml:space="preserve">: </w:t>
      </w:r>
      <w:r w:rsidR="0094653F">
        <w:t>P</w:t>
      </w:r>
      <w:r w:rsidR="0094653F" w:rsidRPr="0094653F">
        <w:t>roximal leg vein ultrasound scan</w:t>
      </w:r>
      <w:r w:rsidR="00712316">
        <w:t xml:space="preserve"> for a likely DVT Wells score</w:t>
      </w:r>
    </w:p>
    <w:p w14:paraId="26A3B644" w14:textId="77777777" w:rsidR="00D94B78" w:rsidRPr="000C37A0" w:rsidRDefault="00D94B78" w:rsidP="00D94B78">
      <w:pPr>
        <w:pStyle w:val="Heading2"/>
      </w:pPr>
      <w:r w:rsidRPr="000C37A0">
        <w:t>Quality statement</w:t>
      </w:r>
    </w:p>
    <w:p w14:paraId="719412BC" w14:textId="5B5BCF25" w:rsidR="00D94B78" w:rsidRDefault="00066F6D" w:rsidP="00D94B78">
      <w:pPr>
        <w:pStyle w:val="NICEnormal"/>
      </w:pPr>
      <w:r>
        <w:t>People aged 18 and over</w:t>
      </w:r>
      <w:r w:rsidR="0094653F" w:rsidRPr="0094653F">
        <w:t xml:space="preserve"> with a </w:t>
      </w:r>
      <w:r w:rsidR="0014474E">
        <w:t>deep vein thrombosis (</w:t>
      </w:r>
      <w:r w:rsidR="00C44CDB">
        <w:t>DVT</w:t>
      </w:r>
      <w:r w:rsidR="0014474E">
        <w:t>)</w:t>
      </w:r>
      <w:r w:rsidR="00C44CDB">
        <w:t xml:space="preserve"> Wells score of 2</w:t>
      </w:r>
      <w:r>
        <w:t> </w:t>
      </w:r>
      <w:r w:rsidR="00C44CDB">
        <w:t>points or more</w:t>
      </w:r>
      <w:r w:rsidR="00C44CDB" w:rsidRPr="0094653F" w:rsidDel="00C44CDB">
        <w:t xml:space="preserve"> </w:t>
      </w:r>
      <w:r w:rsidR="00DD4DF6">
        <w:t>have</w:t>
      </w:r>
      <w:r w:rsidR="0094653F" w:rsidRPr="0094653F">
        <w:t xml:space="preserve"> a proximal leg vein ultrasound scan within 4</w:t>
      </w:r>
      <w:r>
        <w:t> </w:t>
      </w:r>
      <w:r w:rsidR="0094653F" w:rsidRPr="0094653F">
        <w:t>hours</w:t>
      </w:r>
      <w:r w:rsidR="00DD4DF6">
        <w:t xml:space="preserve"> of it being requested</w:t>
      </w:r>
      <w:r w:rsidR="0094653F">
        <w:t xml:space="preserve">. </w:t>
      </w:r>
      <w:r w:rsidR="0094653F" w:rsidRPr="0094653F">
        <w:rPr>
          <w:b/>
        </w:rPr>
        <w:t>[2013, updated 2021]</w:t>
      </w:r>
    </w:p>
    <w:p w14:paraId="01C1A2E8" w14:textId="77777777" w:rsidR="00D94B78" w:rsidRPr="000C37A0" w:rsidRDefault="00D94B78" w:rsidP="00D94B78">
      <w:pPr>
        <w:pStyle w:val="Heading2"/>
      </w:pPr>
      <w:r w:rsidRPr="000C37A0">
        <w:t xml:space="preserve">Rationale </w:t>
      </w:r>
    </w:p>
    <w:p w14:paraId="7C93532D" w14:textId="1BEED26A" w:rsidR="00D94B78" w:rsidRPr="000C37A0" w:rsidRDefault="00CF0761" w:rsidP="00D94B78">
      <w:pPr>
        <w:pStyle w:val="NICEnormal"/>
      </w:pPr>
      <w:r>
        <w:t xml:space="preserve">People </w:t>
      </w:r>
      <w:r w:rsidR="000E368F">
        <w:t xml:space="preserve">aged 18 and over </w:t>
      </w:r>
      <w:r>
        <w:t xml:space="preserve">with a suspected </w:t>
      </w:r>
      <w:r w:rsidR="0094653F">
        <w:t xml:space="preserve">DVT </w:t>
      </w:r>
      <w:r>
        <w:t xml:space="preserve">need </w:t>
      </w:r>
      <w:r w:rsidR="0094653F" w:rsidRPr="0094653F">
        <w:t xml:space="preserve">interim therapeutic anticoagulation </w:t>
      </w:r>
      <w:r w:rsidR="0094653F">
        <w:t>if they have to wait more than 4</w:t>
      </w:r>
      <w:r>
        <w:t> </w:t>
      </w:r>
      <w:r w:rsidR="0094653F">
        <w:t>hours for a proximal leg vein ultrasound scan. In some cases</w:t>
      </w:r>
      <w:r>
        <w:t>,</w:t>
      </w:r>
      <w:r w:rsidR="0094653F">
        <w:t xml:space="preserve"> </w:t>
      </w:r>
      <w:r>
        <w:t xml:space="preserve">unnecessary interim </w:t>
      </w:r>
      <w:r w:rsidR="0094653F">
        <w:t>anticoagulation</w:t>
      </w:r>
      <w:r>
        <w:t xml:space="preserve"> treatment</w:t>
      </w:r>
      <w:r w:rsidR="0094653F">
        <w:t xml:space="preserve"> </w:t>
      </w:r>
      <w:r>
        <w:t xml:space="preserve">continues for up to </w:t>
      </w:r>
      <w:r w:rsidR="0094653F">
        <w:t>a week</w:t>
      </w:r>
      <w:r>
        <w:t xml:space="preserve"> before a scan rules out DVT. </w:t>
      </w:r>
      <w:r w:rsidR="006B3A9E">
        <w:t xml:space="preserve">If a scan is performed within 4 hours, unnecessary interim anticoagulation treatment is avoided and, if DVT is ruled out, alternative diagnoses can be investigated promptly. </w:t>
      </w:r>
    </w:p>
    <w:p w14:paraId="3AEAEEB2" w14:textId="77777777" w:rsidR="00D94B78" w:rsidRPr="000C37A0" w:rsidRDefault="00D94B78" w:rsidP="00D94B78">
      <w:pPr>
        <w:pStyle w:val="Heading2"/>
      </w:pPr>
      <w:r w:rsidRPr="000C37A0">
        <w:t xml:space="preserve">Quality </w:t>
      </w:r>
      <w:r w:rsidRPr="00945D72">
        <w:t>measures</w:t>
      </w:r>
    </w:p>
    <w:p w14:paraId="19EFD08B" w14:textId="77777777" w:rsidR="00D94B78" w:rsidRPr="000C37A0" w:rsidRDefault="00D94B78" w:rsidP="00D94B78">
      <w:pPr>
        <w:pStyle w:val="Heading3"/>
      </w:pPr>
      <w:r w:rsidRPr="00945D72">
        <w:t>Structure</w:t>
      </w:r>
    </w:p>
    <w:p w14:paraId="2FDA2D69" w14:textId="11BACD01" w:rsidR="00D94B78" w:rsidRPr="000C37A0" w:rsidRDefault="00DD4DF6" w:rsidP="00D94B78">
      <w:pPr>
        <w:pStyle w:val="NICEnormal"/>
      </w:pPr>
      <w:r w:rsidRPr="00DD4DF6">
        <w:t>Evidence of the availability of staff to perform</w:t>
      </w:r>
      <w:r>
        <w:t xml:space="preserve"> </w:t>
      </w:r>
      <w:r w:rsidRPr="0094653F">
        <w:t xml:space="preserve">proximal leg </w:t>
      </w:r>
      <w:r w:rsidRPr="00DD4DF6">
        <w:t xml:space="preserve">vein ultrasound scans for </w:t>
      </w:r>
      <w:r w:rsidR="006B3A9E">
        <w:t xml:space="preserve">people </w:t>
      </w:r>
      <w:r w:rsidR="000E368F">
        <w:t xml:space="preserve">aged 18 and over </w:t>
      </w:r>
      <w:r w:rsidRPr="00DD4DF6">
        <w:t>with a DVT Wells score of 2</w:t>
      </w:r>
      <w:r w:rsidR="006B3A9E">
        <w:t> </w:t>
      </w:r>
      <w:r w:rsidRPr="00DD4DF6">
        <w:t>points or more within 4</w:t>
      </w:r>
      <w:r w:rsidR="006B3A9E">
        <w:t> </w:t>
      </w:r>
      <w:r w:rsidRPr="00DD4DF6">
        <w:t>hours</w:t>
      </w:r>
      <w:r>
        <w:t xml:space="preserve"> of it being requested</w:t>
      </w:r>
      <w:r w:rsidR="00D94B78" w:rsidRPr="00DD4DF6">
        <w:t>.</w:t>
      </w:r>
    </w:p>
    <w:p w14:paraId="600CD222" w14:textId="0F0D9CEE" w:rsidR="00D94B78" w:rsidRPr="000C37A0" w:rsidRDefault="00D94B78" w:rsidP="00D94B78">
      <w:pPr>
        <w:pStyle w:val="NICEnormal"/>
      </w:pPr>
      <w:r w:rsidRPr="00B4696C">
        <w:rPr>
          <w:b/>
          <w:iCs/>
        </w:rPr>
        <w:t xml:space="preserve">Data </w:t>
      </w:r>
      <w:r w:rsidRPr="00F7317F">
        <w:rPr>
          <w:b/>
          <w:iCs/>
        </w:rPr>
        <w:t>source:</w:t>
      </w:r>
      <w:r w:rsidRPr="00F7317F">
        <w:t xml:space="preserve"> Local data collection, for example </w:t>
      </w:r>
      <w:r w:rsidR="00F7317F" w:rsidRPr="00F7317F">
        <w:t>staff rotas</w:t>
      </w:r>
      <w:r w:rsidRPr="00F7317F">
        <w:t>.</w:t>
      </w:r>
    </w:p>
    <w:p w14:paraId="66E65D02" w14:textId="77777777" w:rsidR="00D94B78" w:rsidRPr="000C37A0" w:rsidRDefault="00D94B78" w:rsidP="00D94B78">
      <w:pPr>
        <w:pStyle w:val="Heading3"/>
      </w:pPr>
      <w:r w:rsidRPr="000C37A0">
        <w:t>Process</w:t>
      </w:r>
    </w:p>
    <w:p w14:paraId="2E8AFCD4" w14:textId="1F6DCFA4" w:rsidR="00D94B78" w:rsidRPr="00944891" w:rsidRDefault="00D94B78" w:rsidP="00D94B78">
      <w:pPr>
        <w:pStyle w:val="NICEnormal"/>
      </w:pPr>
      <w:r w:rsidRPr="00944891">
        <w:t xml:space="preserve">Proportion of </w:t>
      </w:r>
      <w:r w:rsidR="006B3A9E">
        <w:t>people</w:t>
      </w:r>
      <w:r w:rsidR="000E368F">
        <w:t xml:space="preserve"> aged 18 and over </w:t>
      </w:r>
      <w:r w:rsidRPr="00944891">
        <w:t xml:space="preserve">with </w:t>
      </w:r>
      <w:r w:rsidR="00944891" w:rsidRPr="00944891">
        <w:t xml:space="preserve">a </w:t>
      </w:r>
      <w:r w:rsidR="00491881">
        <w:t>DVT Wells score of 2</w:t>
      </w:r>
      <w:r w:rsidR="006B3A9E">
        <w:t> </w:t>
      </w:r>
      <w:r w:rsidR="00491881">
        <w:t>points or more</w:t>
      </w:r>
      <w:r w:rsidR="00944891" w:rsidRPr="00944891">
        <w:t xml:space="preserve"> who </w:t>
      </w:r>
      <w:r w:rsidR="00DD4DF6">
        <w:t>have</w:t>
      </w:r>
      <w:r w:rsidR="00944891" w:rsidRPr="00944891">
        <w:t xml:space="preserve"> a proximal leg vein ultrasound scan within 4</w:t>
      </w:r>
      <w:r w:rsidR="006B3A9E">
        <w:t> </w:t>
      </w:r>
      <w:r w:rsidR="00944891" w:rsidRPr="00944891">
        <w:t>hours</w:t>
      </w:r>
      <w:r w:rsidR="00DD4DF6">
        <w:t xml:space="preserve"> of it being requested</w:t>
      </w:r>
      <w:r w:rsidRPr="00944891">
        <w:t>.</w:t>
      </w:r>
    </w:p>
    <w:p w14:paraId="25122875" w14:textId="3358D84A" w:rsidR="00D94B78" w:rsidRPr="00944891" w:rsidRDefault="00D94B78" w:rsidP="00D94B78">
      <w:pPr>
        <w:pStyle w:val="NICEnormal"/>
      </w:pPr>
      <w:r w:rsidRPr="00944891">
        <w:t>Numerator –</w:t>
      </w:r>
      <w:r w:rsidR="00944891" w:rsidRPr="00944891">
        <w:t xml:space="preserve"> </w:t>
      </w:r>
      <w:r w:rsidRPr="00944891">
        <w:t xml:space="preserve">the number in the denominator who </w:t>
      </w:r>
      <w:r w:rsidR="00DD4DF6">
        <w:t>have</w:t>
      </w:r>
      <w:r w:rsidRPr="00944891">
        <w:t xml:space="preserve"> </w:t>
      </w:r>
      <w:r w:rsidR="00944891" w:rsidRPr="00944891">
        <w:t>a proximal leg vein ultrasound scan within 4</w:t>
      </w:r>
      <w:r w:rsidR="00637E2F">
        <w:t> </w:t>
      </w:r>
      <w:r w:rsidR="00944891" w:rsidRPr="00944891">
        <w:t>hours</w:t>
      </w:r>
      <w:r w:rsidR="00DD4DF6">
        <w:t xml:space="preserve"> of it being requested</w:t>
      </w:r>
      <w:r w:rsidRPr="00944891">
        <w:t>.</w:t>
      </w:r>
    </w:p>
    <w:p w14:paraId="44A6E95E" w14:textId="631FE001" w:rsidR="00D94B78" w:rsidRPr="000C37A0" w:rsidRDefault="00D94B78" w:rsidP="00D94B78">
      <w:pPr>
        <w:pStyle w:val="NICEnormal"/>
      </w:pPr>
      <w:r w:rsidRPr="00944891">
        <w:t>Denominator –</w:t>
      </w:r>
      <w:r w:rsidR="00944891" w:rsidRPr="00944891">
        <w:t xml:space="preserve"> </w:t>
      </w:r>
      <w:r w:rsidRPr="00944891">
        <w:t xml:space="preserve">the number of </w:t>
      </w:r>
      <w:r w:rsidR="000E368F">
        <w:t>people aged 18 and over</w:t>
      </w:r>
      <w:r w:rsidRPr="00944891">
        <w:t xml:space="preserve"> </w:t>
      </w:r>
      <w:r w:rsidR="00944891" w:rsidRPr="00944891">
        <w:t xml:space="preserve">with a </w:t>
      </w:r>
      <w:r w:rsidR="00491881">
        <w:t>DVT Wells score of 2</w:t>
      </w:r>
      <w:r w:rsidR="00637E2F">
        <w:t> </w:t>
      </w:r>
      <w:r w:rsidR="00491881">
        <w:t>points or more</w:t>
      </w:r>
      <w:r w:rsidRPr="00944891">
        <w:t>.</w:t>
      </w:r>
    </w:p>
    <w:p w14:paraId="5253A552" w14:textId="01D96A0A" w:rsidR="00D94B78" w:rsidRDefault="00D94B78" w:rsidP="00D94B78">
      <w:pPr>
        <w:pStyle w:val="NICEnormal"/>
      </w:pPr>
      <w:r w:rsidRPr="00B4696C">
        <w:rPr>
          <w:b/>
          <w:iCs/>
        </w:rPr>
        <w:t>Data source:</w:t>
      </w:r>
      <w:r w:rsidRPr="000C37A0">
        <w:t xml:space="preserve"> </w:t>
      </w:r>
      <w:r w:rsidR="00F7317F" w:rsidRPr="00AD518C">
        <w:t>Local data collection, for example, local audit of patient records.</w:t>
      </w:r>
    </w:p>
    <w:p w14:paraId="0C7812BA" w14:textId="7D1DDE80" w:rsidR="00D94B78" w:rsidRPr="00002F60" w:rsidRDefault="00D94B78" w:rsidP="00D94B78">
      <w:pPr>
        <w:pStyle w:val="Heading3"/>
      </w:pPr>
      <w:r w:rsidRPr="00002F60">
        <w:t>Outcome</w:t>
      </w:r>
      <w:r w:rsidR="006A1C3B" w:rsidRPr="00002F60">
        <w:t>s</w:t>
      </w:r>
    </w:p>
    <w:p w14:paraId="255746D3" w14:textId="0EF3E70F" w:rsidR="002C4F7B" w:rsidRDefault="002C4F7B" w:rsidP="003B2401">
      <w:pPr>
        <w:pStyle w:val="NICEnormal"/>
      </w:pPr>
      <w:r>
        <w:t xml:space="preserve">a) </w:t>
      </w:r>
      <w:r w:rsidR="000558C4">
        <w:t>Time from risk assessment to d</w:t>
      </w:r>
      <w:r>
        <w:t>iagnosis of DVT</w:t>
      </w:r>
      <w:r w:rsidR="00F27C6A">
        <w:t>.</w:t>
      </w:r>
    </w:p>
    <w:p w14:paraId="0E1E82E2" w14:textId="1CD0E206" w:rsidR="002C4F7B" w:rsidRPr="002C4F7B" w:rsidRDefault="002C4F7B" w:rsidP="003B2401">
      <w:pPr>
        <w:pStyle w:val="NICEnormal"/>
      </w:pPr>
      <w:r w:rsidRPr="00B4696C">
        <w:rPr>
          <w:b/>
          <w:iCs/>
        </w:rPr>
        <w:t>Data source:</w:t>
      </w:r>
      <w:r w:rsidR="0090279C">
        <w:rPr>
          <w:b/>
          <w:iCs/>
        </w:rPr>
        <w:t xml:space="preserve"> </w:t>
      </w:r>
      <w:r w:rsidR="00DE4049" w:rsidRPr="00DE4049">
        <w:rPr>
          <w:bCs/>
          <w:iCs/>
        </w:rPr>
        <w:t xml:space="preserve">Local data collection, for example </w:t>
      </w:r>
      <w:r w:rsidR="000E368F" w:rsidRPr="000E368F">
        <w:rPr>
          <w:bCs/>
          <w:iCs/>
        </w:rPr>
        <w:t>local audit of patient records.</w:t>
      </w:r>
    </w:p>
    <w:p w14:paraId="1B234A0B" w14:textId="71809F46" w:rsidR="003B2401" w:rsidRDefault="002C4F7B" w:rsidP="003B2401">
      <w:pPr>
        <w:pStyle w:val="NICEnormal"/>
      </w:pPr>
      <w:r>
        <w:t xml:space="preserve">b) </w:t>
      </w:r>
      <w:r w:rsidR="003B2401" w:rsidRPr="004B56FE">
        <w:t xml:space="preserve">Prescribing rates of </w:t>
      </w:r>
      <w:r w:rsidR="00712316" w:rsidRPr="0094653F">
        <w:t>interim therapeutic anticoagulation</w:t>
      </w:r>
      <w:r w:rsidR="00712316">
        <w:t xml:space="preserve"> to prevent DVT</w:t>
      </w:r>
      <w:r w:rsidR="003B2401">
        <w:t>.</w:t>
      </w:r>
    </w:p>
    <w:p w14:paraId="4761B0AA" w14:textId="44455F51" w:rsidR="003B2401" w:rsidRPr="003B2401" w:rsidRDefault="003B2401" w:rsidP="0090279C">
      <w:pPr>
        <w:pStyle w:val="NICEnormal"/>
        <w:rPr>
          <w:highlight w:val="yellow"/>
        </w:rPr>
      </w:pPr>
      <w:r w:rsidRPr="00B4696C">
        <w:rPr>
          <w:b/>
          <w:iCs/>
        </w:rPr>
        <w:t>Data source:</w:t>
      </w:r>
      <w:r w:rsidR="0090279C">
        <w:rPr>
          <w:b/>
          <w:iCs/>
        </w:rPr>
        <w:t xml:space="preserve"> </w:t>
      </w:r>
      <w:r w:rsidR="0090279C" w:rsidRPr="00AD518C">
        <w:t>Local data collection, for example local audit of patient records.</w:t>
      </w:r>
    </w:p>
    <w:p w14:paraId="7BF9DD3C" w14:textId="77777777" w:rsidR="00D94B78" w:rsidRDefault="00D94B78" w:rsidP="00D94B78">
      <w:pPr>
        <w:pStyle w:val="Heading2"/>
      </w:pPr>
      <w:r w:rsidRPr="000C37A0">
        <w:t xml:space="preserve">What the quality statement means for </w:t>
      </w:r>
      <w:r>
        <w:t>different audiences</w:t>
      </w:r>
    </w:p>
    <w:p w14:paraId="664128D4" w14:textId="7AB81090" w:rsidR="00D94B78" w:rsidRPr="000C37A0" w:rsidRDefault="00D94B78" w:rsidP="00D94B78">
      <w:pPr>
        <w:pStyle w:val="NICEnormal"/>
      </w:pPr>
      <w:r w:rsidRPr="000C37A0">
        <w:rPr>
          <w:b/>
        </w:rPr>
        <w:t xml:space="preserve">Service </w:t>
      </w:r>
      <w:r w:rsidRPr="002947D5">
        <w:rPr>
          <w:b/>
        </w:rPr>
        <w:t>providers</w:t>
      </w:r>
      <w:r w:rsidRPr="002947D5">
        <w:t xml:space="preserve"> (such as secondary care services)</w:t>
      </w:r>
      <w:r w:rsidRPr="00F616AD">
        <w:t xml:space="preserve"> </w:t>
      </w:r>
      <w:r>
        <w:t>ensure that</w:t>
      </w:r>
      <w:r w:rsidRPr="000C37A0">
        <w:t xml:space="preserve"> </w:t>
      </w:r>
      <w:r w:rsidR="007670C4">
        <w:t xml:space="preserve">ultrasound </w:t>
      </w:r>
      <w:r w:rsidR="007670C4" w:rsidRPr="00DE5CB7">
        <w:t xml:space="preserve">scanning equipment </w:t>
      </w:r>
      <w:r w:rsidR="007670C4">
        <w:t xml:space="preserve">and staff are available to </w:t>
      </w:r>
      <w:r w:rsidR="007670C4" w:rsidRPr="00DD4DF6">
        <w:t>perform</w:t>
      </w:r>
      <w:r w:rsidR="007670C4">
        <w:t xml:space="preserve"> </w:t>
      </w:r>
      <w:r w:rsidR="007670C4" w:rsidRPr="0094653F">
        <w:t xml:space="preserve">proximal leg </w:t>
      </w:r>
      <w:r w:rsidR="007670C4" w:rsidRPr="00DD4DF6">
        <w:t xml:space="preserve">vein ultrasound scans for </w:t>
      </w:r>
      <w:r w:rsidR="00637E2F">
        <w:t xml:space="preserve">people </w:t>
      </w:r>
      <w:r w:rsidR="000E368F">
        <w:t xml:space="preserve">aged 18 and over </w:t>
      </w:r>
      <w:r w:rsidR="007670C4" w:rsidRPr="00DD4DF6">
        <w:t>with a DVT Wells score of 2</w:t>
      </w:r>
      <w:r w:rsidR="00637E2F">
        <w:t> </w:t>
      </w:r>
      <w:r w:rsidR="007670C4" w:rsidRPr="00DD4DF6">
        <w:t>points or more within 4</w:t>
      </w:r>
      <w:r w:rsidR="00637E2F">
        <w:t> </w:t>
      </w:r>
      <w:r w:rsidR="007670C4" w:rsidRPr="00DD4DF6">
        <w:t>hours</w:t>
      </w:r>
      <w:r w:rsidR="007670C4">
        <w:t xml:space="preserve"> of </w:t>
      </w:r>
      <w:r w:rsidR="00637E2F">
        <w:t>the scan</w:t>
      </w:r>
      <w:r w:rsidR="007670C4">
        <w:t xml:space="preserve"> being requested</w:t>
      </w:r>
      <w:r>
        <w:t>.</w:t>
      </w:r>
    </w:p>
    <w:p w14:paraId="6CC837DC" w14:textId="3EC00B69" w:rsidR="00D94B78" w:rsidRPr="000C37A0" w:rsidRDefault="00D94B78" w:rsidP="00D94B78">
      <w:pPr>
        <w:pStyle w:val="NICEnormal"/>
      </w:pPr>
      <w:r w:rsidRPr="000C37A0">
        <w:rPr>
          <w:b/>
        </w:rPr>
        <w:t xml:space="preserve">Healthcare </w:t>
      </w:r>
      <w:r>
        <w:rPr>
          <w:b/>
        </w:rPr>
        <w:t>pr</w:t>
      </w:r>
      <w:r w:rsidR="007670C4">
        <w:rPr>
          <w:b/>
        </w:rPr>
        <w:t>ofessionals</w:t>
      </w:r>
      <w:r w:rsidRPr="000C37A0">
        <w:t xml:space="preserve"> </w:t>
      </w:r>
      <w:r w:rsidRPr="002947D5">
        <w:t>(such as GPs, specialists and nurses)</w:t>
      </w:r>
      <w:r>
        <w:t xml:space="preserve"> </w:t>
      </w:r>
      <w:r w:rsidRPr="007670C4">
        <w:t xml:space="preserve">are aware </w:t>
      </w:r>
      <w:r w:rsidR="00652425">
        <w:t xml:space="preserve">of </w:t>
      </w:r>
      <w:r w:rsidRPr="007670C4">
        <w:t xml:space="preserve">referral pathways for </w:t>
      </w:r>
      <w:r w:rsidR="007670C4" w:rsidRPr="007670C4">
        <w:t>proximal leg vein ultrasound</w:t>
      </w:r>
      <w:r w:rsidR="007670C4" w:rsidRPr="00DD4DF6">
        <w:t xml:space="preserve"> scans</w:t>
      </w:r>
      <w:r w:rsidR="007670C4">
        <w:t xml:space="preserve">, and refer </w:t>
      </w:r>
      <w:r w:rsidR="000E368F">
        <w:t>people</w:t>
      </w:r>
      <w:r w:rsidR="007670C4">
        <w:t xml:space="preserve"> </w:t>
      </w:r>
      <w:r w:rsidR="000E368F">
        <w:t xml:space="preserve">aged 18 and over </w:t>
      </w:r>
      <w:r w:rsidR="007670C4">
        <w:t>with</w:t>
      </w:r>
      <w:r w:rsidR="007670C4" w:rsidRPr="007670C4">
        <w:t xml:space="preserve"> </w:t>
      </w:r>
      <w:r w:rsidR="007670C4" w:rsidRPr="00DD4DF6">
        <w:t>a DVT Wells score of 2 points or more</w:t>
      </w:r>
      <w:r w:rsidR="007670C4">
        <w:t xml:space="preserve"> to have this imaging.</w:t>
      </w:r>
      <w:r w:rsidR="002C4F7B">
        <w:t xml:space="preserve"> If it is not possible to obtain the scan result within 4</w:t>
      </w:r>
      <w:r w:rsidR="00637E2F">
        <w:t> </w:t>
      </w:r>
      <w:r w:rsidR="002C4F7B">
        <w:t xml:space="preserve">hours, they offer a D-dimer test, then </w:t>
      </w:r>
      <w:r w:rsidR="002C4F7B" w:rsidRPr="002C4F7B">
        <w:t>interim therapeutic anticoagulation</w:t>
      </w:r>
      <w:r w:rsidR="002C4F7B">
        <w:t>.</w:t>
      </w:r>
    </w:p>
    <w:p w14:paraId="5813F3DF" w14:textId="726CB24E" w:rsidR="00D94B78" w:rsidRPr="000C37A0" w:rsidRDefault="00D94B78" w:rsidP="00D94B78">
      <w:pPr>
        <w:pStyle w:val="NICEnormal"/>
      </w:pPr>
      <w:r w:rsidRPr="002947D5">
        <w:rPr>
          <w:b/>
        </w:rPr>
        <w:t>Commissioners</w:t>
      </w:r>
      <w:r w:rsidRPr="002947D5">
        <w:t xml:space="preserve"> (such as clinical commissioning groups)</w:t>
      </w:r>
      <w:r>
        <w:t xml:space="preserve"> ensure that</w:t>
      </w:r>
      <w:r w:rsidRPr="000C37A0">
        <w:t xml:space="preserve"> </w:t>
      </w:r>
      <w:r w:rsidR="007670C4" w:rsidRPr="007670C4">
        <w:t xml:space="preserve">services have referral pathways </w:t>
      </w:r>
      <w:r w:rsidR="007670C4">
        <w:t xml:space="preserve">so that </w:t>
      </w:r>
      <w:r w:rsidR="000E368F">
        <w:t xml:space="preserve">people aged 18 and over </w:t>
      </w:r>
      <w:r w:rsidR="007670C4" w:rsidRPr="00DD4DF6">
        <w:t>with a DVT Wells score of 2</w:t>
      </w:r>
      <w:r w:rsidR="00637E2F">
        <w:t> </w:t>
      </w:r>
      <w:r w:rsidR="007670C4" w:rsidRPr="00DD4DF6">
        <w:t xml:space="preserve">points or more </w:t>
      </w:r>
      <w:r w:rsidR="007670C4">
        <w:t xml:space="preserve">can have </w:t>
      </w:r>
      <w:r w:rsidR="00B23019">
        <w:t xml:space="preserve">a </w:t>
      </w:r>
      <w:r w:rsidR="00B23019" w:rsidRPr="007670C4">
        <w:t>proximal leg vein ultrasound</w:t>
      </w:r>
      <w:r w:rsidR="00B23019" w:rsidRPr="00DD4DF6">
        <w:t xml:space="preserve"> scan </w:t>
      </w:r>
      <w:r w:rsidR="007670C4" w:rsidRPr="00DD4DF6">
        <w:t>within 4</w:t>
      </w:r>
      <w:r w:rsidR="00637E2F">
        <w:t> </w:t>
      </w:r>
      <w:r w:rsidR="007670C4" w:rsidRPr="00DD4DF6">
        <w:t>hours</w:t>
      </w:r>
      <w:r w:rsidR="007670C4">
        <w:t xml:space="preserve"> of it being requested</w:t>
      </w:r>
      <w:r w:rsidR="00B23019">
        <w:t>. They also ensure that s</w:t>
      </w:r>
      <w:r w:rsidR="00B23019" w:rsidRPr="00B23019">
        <w:t xml:space="preserve">ervices have the equipment and capacity to perform this imaging within </w:t>
      </w:r>
      <w:r w:rsidR="00B23019">
        <w:t>this timeframe</w:t>
      </w:r>
      <w:r w:rsidR="00B23019" w:rsidRPr="00B23019">
        <w:t>.</w:t>
      </w:r>
    </w:p>
    <w:p w14:paraId="7189EDDA" w14:textId="4F0153F2" w:rsidR="00D94B78" w:rsidRPr="000C37A0" w:rsidRDefault="00066F6D" w:rsidP="00D94B78">
      <w:pPr>
        <w:pStyle w:val="NICEnormal"/>
      </w:pPr>
      <w:r>
        <w:rPr>
          <w:b/>
        </w:rPr>
        <w:t>People aged 18 and over</w:t>
      </w:r>
      <w:r w:rsidR="00652425">
        <w:rPr>
          <w:b/>
        </w:rPr>
        <w:t xml:space="preserve"> who </w:t>
      </w:r>
      <w:r>
        <w:rPr>
          <w:b/>
        </w:rPr>
        <w:t xml:space="preserve">have signs and symptoms of </w:t>
      </w:r>
      <w:r w:rsidR="00652425">
        <w:rPr>
          <w:b/>
        </w:rPr>
        <w:t xml:space="preserve">a </w:t>
      </w:r>
      <w:r>
        <w:rPr>
          <w:b/>
        </w:rPr>
        <w:t>deep vein thrombosis (blood clot)</w:t>
      </w:r>
      <w:r w:rsidR="00D94B78" w:rsidRPr="000C37A0">
        <w:t xml:space="preserve"> </w:t>
      </w:r>
      <w:r w:rsidR="00B43F89">
        <w:t xml:space="preserve">and whose doctor </w:t>
      </w:r>
      <w:r w:rsidR="00B663D6">
        <w:t xml:space="preserve">requests </w:t>
      </w:r>
      <w:r w:rsidR="00652425">
        <w:t xml:space="preserve">an ultrasound scan </w:t>
      </w:r>
      <w:r w:rsidR="006842BA">
        <w:t xml:space="preserve">are given the </w:t>
      </w:r>
      <w:r w:rsidR="00B43F89">
        <w:t xml:space="preserve">scan within 4 hours of the doctor </w:t>
      </w:r>
      <w:r w:rsidR="00B663D6">
        <w:t xml:space="preserve">requesting </w:t>
      </w:r>
      <w:r w:rsidR="00B43F89">
        <w:t xml:space="preserve">it. </w:t>
      </w:r>
      <w:r w:rsidR="002C4F7B">
        <w:t>If this is not possible, they</w:t>
      </w:r>
      <w:r w:rsidR="006842BA">
        <w:t xml:space="preserve"> </w:t>
      </w:r>
      <w:r w:rsidR="002C4F7B">
        <w:t>are</w:t>
      </w:r>
      <w:r w:rsidR="006842BA">
        <w:t xml:space="preserve"> given the scan within 24 hours and</w:t>
      </w:r>
      <w:r w:rsidR="002C4F7B">
        <w:t xml:space="preserve"> offered</w:t>
      </w:r>
      <w:r w:rsidR="00B43F89">
        <w:t xml:space="preserve"> </w:t>
      </w:r>
      <w:r w:rsidR="00B774B3">
        <w:t xml:space="preserve">a D-dimer test and </w:t>
      </w:r>
      <w:r w:rsidR="006842BA">
        <w:t>an anticoagulant (</w:t>
      </w:r>
      <w:r w:rsidR="002C4F7B">
        <w:t>medicine</w:t>
      </w:r>
      <w:r w:rsidR="006842BA">
        <w:t xml:space="preserve"> to treat blood clots) to take while waiting for the scan.</w:t>
      </w:r>
    </w:p>
    <w:p w14:paraId="5376A97F" w14:textId="77777777" w:rsidR="00D94B78" w:rsidRPr="000C37A0" w:rsidRDefault="00D94B78" w:rsidP="00D94B78">
      <w:pPr>
        <w:pStyle w:val="Heading2"/>
      </w:pPr>
      <w:r w:rsidRPr="000C37A0">
        <w:t>Source guidance</w:t>
      </w:r>
    </w:p>
    <w:p w14:paraId="39F66D67" w14:textId="1DE7F1DC" w:rsidR="00D94B78" w:rsidRPr="000C37A0" w:rsidRDefault="007C368A" w:rsidP="00D94B78">
      <w:pPr>
        <w:pStyle w:val="NICEnormal"/>
      </w:pPr>
      <w:hyperlink r:id="rId28" w:history="1">
        <w:r w:rsidR="00CD7890" w:rsidRPr="004D0AC0">
          <w:rPr>
            <w:rStyle w:val="Hyperlink"/>
          </w:rPr>
          <w:t xml:space="preserve">Venous </w:t>
        </w:r>
        <w:r w:rsidR="00CD7890" w:rsidRPr="00CD7890">
          <w:rPr>
            <w:rStyle w:val="Hyperlink"/>
          </w:rPr>
          <w:t>thromboembolic diseases: diagnosis, management and thrombophilia testing</w:t>
        </w:r>
      </w:hyperlink>
      <w:r w:rsidR="00CD7890">
        <w:t>. NICE guideline NG158 (2020), recommendations 1.1.3 and 1.1.4.</w:t>
      </w:r>
    </w:p>
    <w:p w14:paraId="3DCFEC86" w14:textId="25F0B5E7" w:rsidR="00D94B78" w:rsidRPr="000C37A0" w:rsidRDefault="00D94B78" w:rsidP="00D94B78">
      <w:pPr>
        <w:pStyle w:val="Heading2"/>
      </w:pPr>
      <w:r w:rsidRPr="000C37A0">
        <w:t>Definition of terms used in this quality statement</w:t>
      </w:r>
    </w:p>
    <w:p w14:paraId="671E65F0" w14:textId="2D58C8A0" w:rsidR="00D94B78" w:rsidRPr="006379CB" w:rsidRDefault="00491881" w:rsidP="00D94B78">
      <w:pPr>
        <w:pStyle w:val="Heading3"/>
        <w:rPr>
          <w:highlight w:val="cyan"/>
        </w:rPr>
      </w:pPr>
      <w:r>
        <w:t>DVT Wells score of 2 points or more</w:t>
      </w:r>
    </w:p>
    <w:p w14:paraId="4820AE49" w14:textId="19B76A33" w:rsidR="00491881" w:rsidRDefault="00491881" w:rsidP="00D94B78">
      <w:pPr>
        <w:pStyle w:val="NICEnormal"/>
      </w:pPr>
      <w:r>
        <w:t xml:space="preserve">A </w:t>
      </w:r>
      <w:r w:rsidR="00D773DF">
        <w:t>likely DVT Wells score, which is a score that</w:t>
      </w:r>
      <w:r w:rsidR="004F49FE">
        <w:t xml:space="preserve"> predicts the probability of DVT</w:t>
      </w:r>
      <w:r w:rsidR="00D773DF">
        <w:t xml:space="preserve"> for people with suspected DVT</w:t>
      </w:r>
      <w:r w:rsidR="002947D5">
        <w:t>,</w:t>
      </w:r>
      <w:r w:rsidR="004F49FE">
        <w:t xml:space="preserve"> estimated using the Wells clinical prediction rule:</w:t>
      </w:r>
    </w:p>
    <w:p w14:paraId="490CB72B" w14:textId="6FD92D1E" w:rsidR="00491881" w:rsidRPr="00637E2F" w:rsidRDefault="00491881" w:rsidP="00B663D6">
      <w:pPr>
        <w:pStyle w:val="Caption"/>
      </w:pPr>
      <w:r w:rsidRPr="00637E2F">
        <w:t>Two-level DVT Wells score</w:t>
      </w:r>
    </w:p>
    <w:tbl>
      <w:tblPr>
        <w:tblStyle w:val="TableGrid"/>
        <w:tblW w:w="0" w:type="auto"/>
        <w:tblLook w:val="04A0" w:firstRow="1" w:lastRow="0" w:firstColumn="1" w:lastColumn="0" w:noHBand="0" w:noVBand="1"/>
        <w:tblCaption w:val="Two-level DVT Wells score"/>
      </w:tblPr>
      <w:tblGrid>
        <w:gridCol w:w="7650"/>
        <w:gridCol w:w="1367"/>
      </w:tblGrid>
      <w:tr w:rsidR="00491881" w14:paraId="1624E77F" w14:textId="77777777" w:rsidTr="00491881">
        <w:tc>
          <w:tcPr>
            <w:tcW w:w="7650" w:type="dxa"/>
            <w:vAlign w:val="bottom"/>
          </w:tcPr>
          <w:p w14:paraId="6A013519" w14:textId="64ECB66C" w:rsidR="00491881" w:rsidRPr="00491881" w:rsidRDefault="00491881" w:rsidP="00B663D6">
            <w:pPr>
              <w:pStyle w:val="Tableheading"/>
            </w:pPr>
            <w:r w:rsidRPr="00491881">
              <w:t>Clinical feature</w:t>
            </w:r>
          </w:p>
        </w:tc>
        <w:tc>
          <w:tcPr>
            <w:tcW w:w="1367" w:type="dxa"/>
            <w:vAlign w:val="bottom"/>
          </w:tcPr>
          <w:p w14:paraId="4B5EFD36" w14:textId="681F2B6B" w:rsidR="00491881" w:rsidRPr="00491881" w:rsidRDefault="00491881" w:rsidP="00B663D6">
            <w:pPr>
              <w:pStyle w:val="Tableheading"/>
            </w:pPr>
            <w:r w:rsidRPr="00491881">
              <w:t>Points</w:t>
            </w:r>
          </w:p>
        </w:tc>
      </w:tr>
      <w:tr w:rsidR="00491881" w14:paraId="57DE6B2A" w14:textId="77777777" w:rsidTr="00491881">
        <w:tc>
          <w:tcPr>
            <w:tcW w:w="7650" w:type="dxa"/>
          </w:tcPr>
          <w:p w14:paraId="20D1B5AD" w14:textId="798F92AF" w:rsidR="00491881" w:rsidRPr="00637E2F" w:rsidRDefault="00491881" w:rsidP="00637E2F">
            <w:pPr>
              <w:pStyle w:val="Tabletext"/>
            </w:pPr>
            <w:r w:rsidRPr="00637E2F">
              <w:t>Active cancer (treatment ongoing, within 6 months, or palliative)</w:t>
            </w:r>
          </w:p>
        </w:tc>
        <w:tc>
          <w:tcPr>
            <w:tcW w:w="1367" w:type="dxa"/>
          </w:tcPr>
          <w:p w14:paraId="28336CB7" w14:textId="13FB4AD3" w:rsidR="00491881" w:rsidRPr="00583480" w:rsidRDefault="00491881" w:rsidP="00E072D3">
            <w:pPr>
              <w:pStyle w:val="Tabletext"/>
            </w:pPr>
            <w:r w:rsidRPr="00E072D3">
              <w:t>1</w:t>
            </w:r>
          </w:p>
        </w:tc>
      </w:tr>
      <w:tr w:rsidR="00491881" w14:paraId="29CF088C" w14:textId="77777777" w:rsidTr="00491881">
        <w:tc>
          <w:tcPr>
            <w:tcW w:w="7650" w:type="dxa"/>
          </w:tcPr>
          <w:p w14:paraId="0AC21D6D" w14:textId="2A723A6C" w:rsidR="00491881" w:rsidRPr="00637E2F" w:rsidRDefault="00491881" w:rsidP="00637E2F">
            <w:pPr>
              <w:pStyle w:val="Tabletext"/>
            </w:pPr>
            <w:r w:rsidRPr="00637E2F">
              <w:t>Paralysis, paresis or recent plaster immobilisation of the lower extremities</w:t>
            </w:r>
          </w:p>
        </w:tc>
        <w:tc>
          <w:tcPr>
            <w:tcW w:w="1367" w:type="dxa"/>
          </w:tcPr>
          <w:p w14:paraId="53EF990A" w14:textId="7B381CCB" w:rsidR="00491881" w:rsidRPr="00583480" w:rsidRDefault="00491881" w:rsidP="00E072D3">
            <w:pPr>
              <w:pStyle w:val="Tabletext"/>
            </w:pPr>
            <w:r w:rsidRPr="00E072D3">
              <w:t>1</w:t>
            </w:r>
          </w:p>
        </w:tc>
      </w:tr>
      <w:tr w:rsidR="00491881" w14:paraId="06FE7288" w14:textId="77777777" w:rsidTr="00491881">
        <w:tc>
          <w:tcPr>
            <w:tcW w:w="7650" w:type="dxa"/>
          </w:tcPr>
          <w:p w14:paraId="0687BCA1" w14:textId="32B5969A" w:rsidR="00491881" w:rsidRPr="00E91F9C" w:rsidRDefault="00491881" w:rsidP="00637E2F">
            <w:pPr>
              <w:pStyle w:val="Tabletext"/>
            </w:pPr>
            <w:r w:rsidRPr="00637E2F">
              <w:t>Recently bedridden for 3 days or more, or major surgery within 12 weeks requiring general or regional anaesthesia</w:t>
            </w:r>
          </w:p>
        </w:tc>
        <w:tc>
          <w:tcPr>
            <w:tcW w:w="1367" w:type="dxa"/>
          </w:tcPr>
          <w:p w14:paraId="205C10D5" w14:textId="7B5F5959" w:rsidR="00491881" w:rsidRPr="00637E2F" w:rsidRDefault="00491881" w:rsidP="00E072D3">
            <w:pPr>
              <w:pStyle w:val="Tabletext"/>
            </w:pPr>
            <w:r w:rsidRPr="00637E2F">
              <w:t>1</w:t>
            </w:r>
          </w:p>
        </w:tc>
      </w:tr>
      <w:tr w:rsidR="00491881" w14:paraId="03DCD7D1" w14:textId="77777777" w:rsidTr="00491881">
        <w:tc>
          <w:tcPr>
            <w:tcW w:w="7650" w:type="dxa"/>
          </w:tcPr>
          <w:p w14:paraId="6A7C72E4" w14:textId="13F3AF82" w:rsidR="00491881" w:rsidRPr="00637E2F" w:rsidRDefault="00491881" w:rsidP="00637E2F">
            <w:pPr>
              <w:pStyle w:val="Tabletext"/>
            </w:pPr>
            <w:r w:rsidRPr="00637E2F">
              <w:t>Localised tenderness along the distribution of the deep venous system</w:t>
            </w:r>
          </w:p>
        </w:tc>
        <w:tc>
          <w:tcPr>
            <w:tcW w:w="1367" w:type="dxa"/>
          </w:tcPr>
          <w:p w14:paraId="43508A77" w14:textId="06A0D197" w:rsidR="00491881" w:rsidRPr="00583480" w:rsidRDefault="00491881" w:rsidP="00E072D3">
            <w:pPr>
              <w:pStyle w:val="Tabletext"/>
            </w:pPr>
            <w:r w:rsidRPr="00E072D3">
              <w:t>1</w:t>
            </w:r>
          </w:p>
        </w:tc>
      </w:tr>
      <w:tr w:rsidR="00491881" w14:paraId="3F7D9333" w14:textId="77777777" w:rsidTr="00491881">
        <w:tc>
          <w:tcPr>
            <w:tcW w:w="7650" w:type="dxa"/>
          </w:tcPr>
          <w:p w14:paraId="4A502592" w14:textId="62954CA5" w:rsidR="00491881" w:rsidRPr="00637E2F" w:rsidRDefault="00491881" w:rsidP="00637E2F">
            <w:pPr>
              <w:pStyle w:val="Tabletext"/>
            </w:pPr>
            <w:r w:rsidRPr="00637E2F">
              <w:t>Entire leg swollen</w:t>
            </w:r>
          </w:p>
        </w:tc>
        <w:tc>
          <w:tcPr>
            <w:tcW w:w="1367" w:type="dxa"/>
          </w:tcPr>
          <w:p w14:paraId="7FBE382A" w14:textId="14AA3807" w:rsidR="00491881" w:rsidRPr="00583480" w:rsidRDefault="00491881" w:rsidP="00E072D3">
            <w:pPr>
              <w:pStyle w:val="Tabletext"/>
            </w:pPr>
            <w:r w:rsidRPr="00E072D3">
              <w:t>1</w:t>
            </w:r>
          </w:p>
        </w:tc>
      </w:tr>
      <w:tr w:rsidR="00491881" w14:paraId="0E7474B0" w14:textId="77777777" w:rsidTr="00491881">
        <w:tc>
          <w:tcPr>
            <w:tcW w:w="7650" w:type="dxa"/>
          </w:tcPr>
          <w:p w14:paraId="4F84F3C1" w14:textId="61340F1A" w:rsidR="00491881" w:rsidRPr="00637E2F" w:rsidRDefault="00491881" w:rsidP="00637E2F">
            <w:pPr>
              <w:pStyle w:val="Tabletext"/>
            </w:pPr>
            <w:r w:rsidRPr="00637E2F">
              <w:t>Calf swelling at least 3 cm larger than asymptomatic side</w:t>
            </w:r>
          </w:p>
        </w:tc>
        <w:tc>
          <w:tcPr>
            <w:tcW w:w="1367" w:type="dxa"/>
          </w:tcPr>
          <w:p w14:paraId="3A87FFFE" w14:textId="253438E1" w:rsidR="00491881" w:rsidRPr="00583480" w:rsidRDefault="00491881" w:rsidP="00E072D3">
            <w:pPr>
              <w:pStyle w:val="Tabletext"/>
            </w:pPr>
            <w:r w:rsidRPr="00E072D3">
              <w:t>1</w:t>
            </w:r>
          </w:p>
        </w:tc>
      </w:tr>
      <w:tr w:rsidR="00491881" w14:paraId="0DC0BCE4" w14:textId="77777777" w:rsidTr="00491881">
        <w:tc>
          <w:tcPr>
            <w:tcW w:w="7650" w:type="dxa"/>
          </w:tcPr>
          <w:p w14:paraId="6FCFDFCB" w14:textId="5F76E0CF" w:rsidR="00491881" w:rsidRPr="00637E2F" w:rsidRDefault="00491881" w:rsidP="00637E2F">
            <w:pPr>
              <w:pStyle w:val="Tabletext"/>
            </w:pPr>
            <w:r w:rsidRPr="00637E2F">
              <w:t>Pitting oedema confined to the symptomatic leg</w:t>
            </w:r>
          </w:p>
        </w:tc>
        <w:tc>
          <w:tcPr>
            <w:tcW w:w="1367" w:type="dxa"/>
          </w:tcPr>
          <w:p w14:paraId="14C968A8" w14:textId="6E9B5391" w:rsidR="00491881" w:rsidRPr="00583480" w:rsidRDefault="00491881" w:rsidP="00E072D3">
            <w:pPr>
              <w:pStyle w:val="Tabletext"/>
            </w:pPr>
            <w:r w:rsidRPr="00E072D3">
              <w:t>1</w:t>
            </w:r>
          </w:p>
        </w:tc>
      </w:tr>
      <w:tr w:rsidR="00491881" w14:paraId="5E632003" w14:textId="77777777" w:rsidTr="00491881">
        <w:tc>
          <w:tcPr>
            <w:tcW w:w="7650" w:type="dxa"/>
          </w:tcPr>
          <w:p w14:paraId="43067A47" w14:textId="57E1D0DE" w:rsidR="00491881" w:rsidRPr="00637E2F" w:rsidRDefault="00491881" w:rsidP="00637E2F">
            <w:pPr>
              <w:pStyle w:val="Tabletext"/>
            </w:pPr>
            <w:r w:rsidRPr="00637E2F">
              <w:t>Collateral superficial veins (non-varicose)</w:t>
            </w:r>
          </w:p>
        </w:tc>
        <w:tc>
          <w:tcPr>
            <w:tcW w:w="1367" w:type="dxa"/>
          </w:tcPr>
          <w:p w14:paraId="6A8DD64C" w14:textId="0D16C3C5" w:rsidR="00491881" w:rsidRPr="00583480" w:rsidRDefault="00491881" w:rsidP="00E072D3">
            <w:pPr>
              <w:pStyle w:val="Tabletext"/>
            </w:pPr>
            <w:r w:rsidRPr="00E072D3">
              <w:t>1</w:t>
            </w:r>
          </w:p>
        </w:tc>
      </w:tr>
      <w:tr w:rsidR="00491881" w14:paraId="568A3981" w14:textId="77777777" w:rsidTr="00491881">
        <w:tc>
          <w:tcPr>
            <w:tcW w:w="7650" w:type="dxa"/>
          </w:tcPr>
          <w:p w14:paraId="2F14631C" w14:textId="3D611E5B" w:rsidR="00491881" w:rsidRPr="00637E2F" w:rsidRDefault="00491881" w:rsidP="00637E2F">
            <w:pPr>
              <w:pStyle w:val="Tabletext"/>
            </w:pPr>
            <w:r w:rsidRPr="00637E2F">
              <w:t>Previously documented DVT</w:t>
            </w:r>
          </w:p>
        </w:tc>
        <w:tc>
          <w:tcPr>
            <w:tcW w:w="1367" w:type="dxa"/>
          </w:tcPr>
          <w:p w14:paraId="3C2AF1C7" w14:textId="51D64EF7" w:rsidR="00491881" w:rsidRPr="00E072D3" w:rsidRDefault="00491881" w:rsidP="00637E2F">
            <w:pPr>
              <w:pStyle w:val="Tabletext"/>
            </w:pPr>
            <w:r w:rsidRPr="00637E2F">
              <w:t>1</w:t>
            </w:r>
          </w:p>
        </w:tc>
      </w:tr>
      <w:tr w:rsidR="00491881" w14:paraId="424AC5F5" w14:textId="77777777" w:rsidTr="00491881">
        <w:tc>
          <w:tcPr>
            <w:tcW w:w="7650" w:type="dxa"/>
          </w:tcPr>
          <w:p w14:paraId="3613B396" w14:textId="25A045A1" w:rsidR="00491881" w:rsidRPr="00637E2F" w:rsidRDefault="00491881" w:rsidP="00637E2F">
            <w:pPr>
              <w:pStyle w:val="Tabletext"/>
            </w:pPr>
            <w:r w:rsidRPr="00637E2F">
              <w:t>An alternative diagnosis is at least as likely as DVT</w:t>
            </w:r>
          </w:p>
        </w:tc>
        <w:tc>
          <w:tcPr>
            <w:tcW w:w="1367" w:type="dxa"/>
          </w:tcPr>
          <w:p w14:paraId="2CDD5676" w14:textId="109BFA8C" w:rsidR="00491881" w:rsidRPr="00583480" w:rsidRDefault="00491881" w:rsidP="00E072D3">
            <w:pPr>
              <w:pStyle w:val="Tabletext"/>
            </w:pPr>
            <w:r w:rsidRPr="00E072D3">
              <w:t>-2</w:t>
            </w:r>
          </w:p>
        </w:tc>
      </w:tr>
      <w:tr w:rsidR="00491881" w14:paraId="38D8F65D" w14:textId="77777777" w:rsidTr="00491881">
        <w:tc>
          <w:tcPr>
            <w:tcW w:w="7650" w:type="dxa"/>
          </w:tcPr>
          <w:p w14:paraId="332CF3A6" w14:textId="64A1F878" w:rsidR="00491881" w:rsidRPr="00491881" w:rsidRDefault="00491881" w:rsidP="00B663D6">
            <w:pPr>
              <w:pStyle w:val="Tableheading"/>
            </w:pPr>
            <w:r w:rsidRPr="00491881">
              <w:t>Clinical probability simplified score</w:t>
            </w:r>
          </w:p>
        </w:tc>
        <w:tc>
          <w:tcPr>
            <w:tcW w:w="1367" w:type="dxa"/>
          </w:tcPr>
          <w:p w14:paraId="5E8BEB91" w14:textId="34C60D21" w:rsidR="00491881" w:rsidRPr="00491881" w:rsidRDefault="00491881" w:rsidP="00B663D6">
            <w:pPr>
              <w:pStyle w:val="Tableheading"/>
            </w:pPr>
            <w:r w:rsidRPr="00491881">
              <w:t>Points</w:t>
            </w:r>
          </w:p>
        </w:tc>
      </w:tr>
      <w:tr w:rsidR="00491881" w14:paraId="1BB6B92C" w14:textId="77777777" w:rsidTr="00491881">
        <w:tc>
          <w:tcPr>
            <w:tcW w:w="7650" w:type="dxa"/>
          </w:tcPr>
          <w:p w14:paraId="16915DEF" w14:textId="2CF2764B" w:rsidR="00491881" w:rsidRPr="00637E2F" w:rsidRDefault="00491881" w:rsidP="00637E2F">
            <w:pPr>
              <w:pStyle w:val="Tabletext"/>
            </w:pPr>
            <w:r w:rsidRPr="00637E2F">
              <w:t>DVT likely</w:t>
            </w:r>
          </w:p>
        </w:tc>
        <w:tc>
          <w:tcPr>
            <w:tcW w:w="1367" w:type="dxa"/>
          </w:tcPr>
          <w:p w14:paraId="61CD4AAD" w14:textId="6CB0E3C6" w:rsidR="00491881" w:rsidRPr="00637E2F" w:rsidRDefault="00491881" w:rsidP="00E91F9C">
            <w:pPr>
              <w:pStyle w:val="Tabletext"/>
            </w:pPr>
            <w:r w:rsidRPr="00E91F9C">
              <w:t>2 points or more</w:t>
            </w:r>
          </w:p>
        </w:tc>
      </w:tr>
      <w:tr w:rsidR="00491881" w14:paraId="651D7493" w14:textId="77777777" w:rsidTr="00491881">
        <w:tc>
          <w:tcPr>
            <w:tcW w:w="7650" w:type="dxa"/>
          </w:tcPr>
          <w:p w14:paraId="29D87148" w14:textId="591F1C89" w:rsidR="00491881" w:rsidRPr="00637E2F" w:rsidRDefault="00491881" w:rsidP="00637E2F">
            <w:pPr>
              <w:pStyle w:val="Tabletext"/>
            </w:pPr>
            <w:r w:rsidRPr="00637E2F">
              <w:t>DVT unlikely</w:t>
            </w:r>
          </w:p>
        </w:tc>
        <w:tc>
          <w:tcPr>
            <w:tcW w:w="1367" w:type="dxa"/>
          </w:tcPr>
          <w:p w14:paraId="6F7E8E13" w14:textId="1996AC7B" w:rsidR="00491881" w:rsidRPr="00637E2F" w:rsidRDefault="00491881" w:rsidP="00E91F9C">
            <w:pPr>
              <w:pStyle w:val="Tabletext"/>
            </w:pPr>
            <w:r w:rsidRPr="00E91F9C">
              <w:t>1 point or</w:t>
            </w:r>
            <w:r w:rsidRPr="00637E2F">
              <w:t xml:space="preserve"> less</w:t>
            </w:r>
          </w:p>
        </w:tc>
      </w:tr>
    </w:tbl>
    <w:p w14:paraId="7497515D" w14:textId="6D4A8B9D" w:rsidR="00D94B78" w:rsidRDefault="00CD7890" w:rsidP="00D94B78">
      <w:pPr>
        <w:pStyle w:val="NICEnormal"/>
      </w:pPr>
      <w:r w:rsidRPr="006A1841">
        <w:t>[</w:t>
      </w:r>
      <w:hyperlink r:id="rId29" w:history="1">
        <w:r w:rsidRPr="006A1841">
          <w:rPr>
            <w:rStyle w:val="Hyperlink"/>
          </w:rPr>
          <w:t xml:space="preserve">NICE’s guideline on venous </w:t>
        </w:r>
        <w:r w:rsidRPr="00CD7890">
          <w:rPr>
            <w:rStyle w:val="Hyperlink"/>
          </w:rPr>
          <w:t>thromboembolic diseases</w:t>
        </w:r>
      </w:hyperlink>
      <w:r w:rsidRPr="006A1841">
        <w:t>, recommendation</w:t>
      </w:r>
      <w:r>
        <w:t xml:space="preserve"> 1.1.</w:t>
      </w:r>
      <w:r w:rsidR="00491881">
        <w:t>2</w:t>
      </w:r>
      <w:r>
        <w:t>]</w:t>
      </w:r>
    </w:p>
    <w:p w14:paraId="6DB6C47F" w14:textId="77777777" w:rsidR="00E55778" w:rsidRPr="00E55778" w:rsidRDefault="00E55778" w:rsidP="00E55778">
      <w:pPr>
        <w:pStyle w:val="Heading2"/>
      </w:pPr>
      <w:r w:rsidRPr="00E55778">
        <w:t>Equality and diversity considerations</w:t>
      </w:r>
    </w:p>
    <w:p w14:paraId="5FDAF35B" w14:textId="2514FA73" w:rsidR="00E55778" w:rsidRPr="00E55778" w:rsidRDefault="007C368A" w:rsidP="00D94B78">
      <w:pPr>
        <w:pStyle w:val="NICEnormal"/>
      </w:pPr>
      <w:hyperlink r:id="rId30" w:history="1">
        <w:r w:rsidR="00E55778" w:rsidRPr="00E55778">
          <w:rPr>
            <w:rStyle w:val="Hyperlink"/>
          </w:rPr>
          <w:t>NICE’s guideline on venous thromboembolic diseases</w:t>
        </w:r>
      </w:hyperlink>
      <w:r w:rsidR="00E55778" w:rsidRPr="004C2324">
        <w:t xml:space="preserve"> </w:t>
      </w:r>
      <w:r w:rsidR="00E55778" w:rsidRPr="00096E5E">
        <w:t>cover</w:t>
      </w:r>
      <w:r w:rsidR="00C719E4">
        <w:t>s</w:t>
      </w:r>
      <w:r w:rsidR="00E55778" w:rsidRPr="00096E5E">
        <w:t xml:space="preserve"> people aged 18 and over</w:t>
      </w:r>
      <w:r w:rsidR="00C719E4">
        <w:t xml:space="preserve"> as the evidence for the recommendations focused on this age group</w:t>
      </w:r>
      <w:r w:rsidR="00E55778" w:rsidRPr="00096E5E">
        <w:t xml:space="preserve">. </w:t>
      </w:r>
      <w:r w:rsidR="00C719E4">
        <w:t>This statement applies to people aged 18 and over, but c</w:t>
      </w:r>
      <w:r w:rsidR="00E55778" w:rsidRPr="00096E5E">
        <w:t>linical judgement should be used when treating people aged under 18 for suspected DVT.</w:t>
      </w:r>
    </w:p>
    <w:p w14:paraId="1543AF6C" w14:textId="60AD71F6" w:rsidR="00D94B78" w:rsidRDefault="00D94B78">
      <w:pPr>
        <w:rPr>
          <w:rFonts w:ascii="Arial" w:hAnsi="Arial"/>
          <w:highlight w:val="cyan"/>
        </w:rPr>
      </w:pPr>
      <w:r>
        <w:rPr>
          <w:highlight w:val="cyan"/>
        </w:rPr>
        <w:br w:type="page"/>
      </w:r>
    </w:p>
    <w:p w14:paraId="24F6A83E" w14:textId="2F7BBCA7" w:rsidR="00D94B78" w:rsidRPr="000C37A0" w:rsidRDefault="00D94B78" w:rsidP="00D94B78">
      <w:pPr>
        <w:pStyle w:val="Heading1"/>
      </w:pPr>
      <w:r w:rsidRPr="000C37A0">
        <w:t xml:space="preserve">Quality statement </w:t>
      </w:r>
      <w:r w:rsidR="002517C3">
        <w:t>4</w:t>
      </w:r>
      <w:r w:rsidRPr="00AC1DF5">
        <w:t xml:space="preserve">: </w:t>
      </w:r>
      <w:r w:rsidR="009A54B9">
        <w:t>VTE a</w:t>
      </w:r>
      <w:r w:rsidR="001F388F">
        <w:t>nticoagulation review</w:t>
      </w:r>
      <w:r w:rsidRPr="000C37A0">
        <w:t xml:space="preserve"> </w:t>
      </w:r>
    </w:p>
    <w:p w14:paraId="25A10E18" w14:textId="77777777" w:rsidR="00D94B78" w:rsidRPr="000C37A0" w:rsidRDefault="00D94B78" w:rsidP="00D94B78">
      <w:pPr>
        <w:pStyle w:val="Heading2"/>
      </w:pPr>
      <w:r w:rsidRPr="000C37A0">
        <w:t>Quality statement</w:t>
      </w:r>
    </w:p>
    <w:p w14:paraId="2EA671B5" w14:textId="767D4834" w:rsidR="00D94B78" w:rsidRDefault="00B43F89" w:rsidP="00D94B78">
      <w:pPr>
        <w:pStyle w:val="NICEnormal"/>
      </w:pPr>
      <w:r>
        <w:t>People aged 18 and over</w:t>
      </w:r>
      <w:r w:rsidR="001F388F" w:rsidRPr="001F388F">
        <w:t xml:space="preserve"> taking anticoagulation treatment </w:t>
      </w:r>
      <w:r w:rsidR="00C80C59">
        <w:t>after</w:t>
      </w:r>
      <w:r w:rsidR="00583480">
        <w:t xml:space="preserve"> a</w:t>
      </w:r>
      <w:r w:rsidR="00F44BD2">
        <w:t xml:space="preserve"> VTE</w:t>
      </w:r>
      <w:r w:rsidR="00B70A10">
        <w:t xml:space="preserve"> </w:t>
      </w:r>
      <w:r w:rsidR="001F388F" w:rsidRPr="001F388F">
        <w:t>have a review</w:t>
      </w:r>
      <w:r w:rsidR="00583480">
        <w:t xml:space="preserve"> after 3 months and then</w:t>
      </w:r>
      <w:r w:rsidR="00E06FB7">
        <w:t xml:space="preserve"> at least once a year</w:t>
      </w:r>
      <w:r w:rsidR="00A44FCB">
        <w:t xml:space="preserve"> if they </w:t>
      </w:r>
      <w:r w:rsidR="00D773DF">
        <w:t xml:space="preserve">continue to take it </w:t>
      </w:r>
      <w:r w:rsidR="00A44FCB">
        <w:t>long-term</w:t>
      </w:r>
      <w:r w:rsidR="001F388F" w:rsidRPr="001F388F">
        <w:t>.</w:t>
      </w:r>
      <w:r w:rsidR="00DF05A2">
        <w:t xml:space="preserve"> </w:t>
      </w:r>
      <w:r w:rsidR="00DF05A2" w:rsidRPr="0094653F">
        <w:rPr>
          <w:b/>
        </w:rPr>
        <w:t>[2013, updated 2021]</w:t>
      </w:r>
    </w:p>
    <w:p w14:paraId="35342F80" w14:textId="77777777" w:rsidR="00D94B78" w:rsidRPr="000C37A0" w:rsidRDefault="00D94B78" w:rsidP="00D94B78">
      <w:pPr>
        <w:pStyle w:val="Heading2"/>
      </w:pPr>
      <w:r w:rsidRPr="000C37A0">
        <w:t xml:space="preserve">Rationale </w:t>
      </w:r>
    </w:p>
    <w:p w14:paraId="2E0F108D" w14:textId="7F1492BA" w:rsidR="00D94B78" w:rsidRPr="000C37A0" w:rsidRDefault="00C313C3" w:rsidP="00D94B78">
      <w:pPr>
        <w:pStyle w:val="NICEnormal"/>
      </w:pPr>
      <w:r>
        <w:t>T</w:t>
      </w:r>
      <w:r w:rsidRPr="00C313C3">
        <w:t xml:space="preserve">he benefits of anticoagulation treatment </w:t>
      </w:r>
      <w:r w:rsidR="00F44BD2">
        <w:t xml:space="preserve">for VTE prevention </w:t>
      </w:r>
      <w:r w:rsidRPr="00C313C3">
        <w:t>become less certain over time, and after 3</w:t>
      </w:r>
      <w:r w:rsidR="00583480">
        <w:t> </w:t>
      </w:r>
      <w:r w:rsidRPr="00C313C3">
        <w:t xml:space="preserve">months treatment needs to be reviewed and a decision made about whether to continue or stop treatment. </w:t>
      </w:r>
      <w:r>
        <w:t xml:space="preserve">Reviewing long-term anticoagulation treatment </w:t>
      </w:r>
      <w:r w:rsidR="00743039">
        <w:t>for people who decide to</w:t>
      </w:r>
      <w:r w:rsidR="00583480">
        <w:t xml:space="preserve"> continue it beyond 3 months</w:t>
      </w:r>
      <w:r w:rsidR="00743039">
        <w:t xml:space="preserve"> </w:t>
      </w:r>
      <w:r>
        <w:t>ensure</w:t>
      </w:r>
      <w:r w:rsidR="00583480">
        <w:t>s</w:t>
      </w:r>
      <w:r>
        <w:t xml:space="preserve"> that treatment is </w:t>
      </w:r>
      <w:r w:rsidRPr="00C313C3">
        <w:t>guided by the person's changing balance of benefits and risks, and changes in their preferences over time</w:t>
      </w:r>
      <w:r>
        <w:t>.</w:t>
      </w:r>
      <w:r w:rsidRPr="00C313C3">
        <w:t xml:space="preserve"> </w:t>
      </w:r>
    </w:p>
    <w:p w14:paraId="12FABCE7" w14:textId="77777777" w:rsidR="00D94B78" w:rsidRPr="000C37A0" w:rsidRDefault="00D94B78" w:rsidP="00D94B78">
      <w:pPr>
        <w:pStyle w:val="Heading2"/>
      </w:pPr>
      <w:r w:rsidRPr="000C37A0">
        <w:t xml:space="preserve">Quality </w:t>
      </w:r>
      <w:r w:rsidRPr="00945D72">
        <w:t>measures</w:t>
      </w:r>
    </w:p>
    <w:p w14:paraId="4B9C9F1A" w14:textId="77777777" w:rsidR="00D94B78" w:rsidRPr="000C37A0" w:rsidRDefault="00D94B78" w:rsidP="00D94B78">
      <w:pPr>
        <w:pStyle w:val="Heading3"/>
      </w:pPr>
      <w:r w:rsidRPr="00945D72">
        <w:t>Structure</w:t>
      </w:r>
    </w:p>
    <w:p w14:paraId="52907C97" w14:textId="2E3CFAF0" w:rsidR="00D94B78" w:rsidRDefault="00D773DF" w:rsidP="00D773DF">
      <w:pPr>
        <w:pStyle w:val="NICEnormal"/>
      </w:pPr>
      <w:r w:rsidRPr="00D773DF">
        <w:t>a)</w:t>
      </w:r>
      <w:r>
        <w:t xml:space="preserve"> </w:t>
      </w:r>
      <w:r w:rsidR="00D94B78" w:rsidRPr="00097B24">
        <w:t xml:space="preserve">Evidence </w:t>
      </w:r>
      <w:r w:rsidR="00097B24" w:rsidRPr="00097B24">
        <w:t xml:space="preserve">of local systems to identify </w:t>
      </w:r>
      <w:r w:rsidR="003945A4">
        <w:t xml:space="preserve">and invite </w:t>
      </w:r>
      <w:r w:rsidR="007870F9">
        <w:t xml:space="preserve">people aged 18 and over </w:t>
      </w:r>
      <w:r w:rsidR="00097B24" w:rsidRPr="00097B24">
        <w:t xml:space="preserve">taking anticoagulation treatment </w:t>
      </w:r>
      <w:r w:rsidR="00B02ED4">
        <w:t>after a</w:t>
      </w:r>
      <w:r w:rsidR="007870F9">
        <w:t xml:space="preserve"> VTE for a review after 3 months. </w:t>
      </w:r>
    </w:p>
    <w:p w14:paraId="0C088606" w14:textId="346675A0" w:rsidR="00D94B78" w:rsidRDefault="00D94B78" w:rsidP="00D94B78">
      <w:pPr>
        <w:pStyle w:val="NICEnormal"/>
      </w:pPr>
      <w:r w:rsidRPr="00B4696C">
        <w:rPr>
          <w:b/>
          <w:iCs/>
        </w:rPr>
        <w:t>Data source:</w:t>
      </w:r>
      <w:r w:rsidR="0083512F">
        <w:rPr>
          <w:b/>
          <w:iCs/>
        </w:rPr>
        <w:t xml:space="preserve"> </w:t>
      </w:r>
      <w:r w:rsidR="0083512F" w:rsidRPr="00DE5CB7">
        <w:t>Local data collection, for example</w:t>
      </w:r>
      <w:r w:rsidR="0083512F">
        <w:t xml:space="preserve"> service specifications.</w:t>
      </w:r>
    </w:p>
    <w:p w14:paraId="7E915FE9" w14:textId="379D0627" w:rsidR="007B7B96" w:rsidRDefault="007B7B96" w:rsidP="007B7B96">
      <w:pPr>
        <w:pStyle w:val="NICEnormal"/>
      </w:pPr>
      <w:r>
        <w:t xml:space="preserve">b) </w:t>
      </w:r>
      <w:r w:rsidRPr="00097B24">
        <w:t xml:space="preserve">Evidence of local systems to identify </w:t>
      </w:r>
      <w:r w:rsidR="003945A4">
        <w:t xml:space="preserve">and invite </w:t>
      </w:r>
      <w:r w:rsidR="007870F9">
        <w:t>people aged 18 and over</w:t>
      </w:r>
      <w:r w:rsidR="00394D99">
        <w:t xml:space="preserve"> </w:t>
      </w:r>
      <w:r w:rsidRPr="00097B24">
        <w:t xml:space="preserve">taking long-term </w:t>
      </w:r>
      <w:r>
        <w:t xml:space="preserve">anticoagulation </w:t>
      </w:r>
      <w:r w:rsidRPr="00097B24">
        <w:t>treatment</w:t>
      </w:r>
      <w:r w:rsidR="00583480">
        <w:t xml:space="preserve"> after a VTE</w:t>
      </w:r>
      <w:r w:rsidRPr="00097B24">
        <w:t xml:space="preserve"> for a review</w:t>
      </w:r>
      <w:r w:rsidR="00ED3D17">
        <w:t xml:space="preserve"> at least once a year</w:t>
      </w:r>
      <w:r w:rsidRPr="00097B24">
        <w:t>.</w:t>
      </w:r>
    </w:p>
    <w:p w14:paraId="1E9ED140" w14:textId="1F5D67F8" w:rsidR="007B7B96" w:rsidRDefault="007B7B96" w:rsidP="00D94B78">
      <w:pPr>
        <w:pStyle w:val="NICEnormal"/>
      </w:pPr>
      <w:r w:rsidRPr="00B4696C">
        <w:rPr>
          <w:b/>
          <w:iCs/>
        </w:rPr>
        <w:t>Data source:</w:t>
      </w:r>
      <w:r>
        <w:rPr>
          <w:b/>
          <w:iCs/>
        </w:rPr>
        <w:t xml:space="preserve"> </w:t>
      </w:r>
      <w:r w:rsidRPr="00DE5CB7">
        <w:t>Local data collection, for example</w:t>
      </w:r>
      <w:r>
        <w:t xml:space="preserve"> service specifications.</w:t>
      </w:r>
    </w:p>
    <w:p w14:paraId="7A9A1B40" w14:textId="77777777" w:rsidR="00D94B78" w:rsidRPr="000C37A0" w:rsidRDefault="00D94B78" w:rsidP="00D94B78">
      <w:pPr>
        <w:pStyle w:val="Heading3"/>
      </w:pPr>
      <w:r w:rsidRPr="000C37A0">
        <w:t>Process</w:t>
      </w:r>
    </w:p>
    <w:p w14:paraId="051451B3" w14:textId="593630A5" w:rsidR="00D94B78" w:rsidRPr="00434F68" w:rsidRDefault="00D94B78" w:rsidP="00D94B78">
      <w:pPr>
        <w:pStyle w:val="NICEnormal"/>
      </w:pPr>
      <w:r w:rsidRPr="00434F68">
        <w:t xml:space="preserve">a) Proportion of </w:t>
      </w:r>
      <w:r w:rsidR="007870F9">
        <w:t xml:space="preserve">people aged 18 and over </w:t>
      </w:r>
      <w:r w:rsidR="00434F68" w:rsidRPr="00434F68">
        <w:t xml:space="preserve">taking anticoagulation treatment </w:t>
      </w:r>
      <w:r w:rsidR="0083512F">
        <w:t xml:space="preserve">for </w:t>
      </w:r>
      <w:r w:rsidR="00F44856">
        <w:t>3</w:t>
      </w:r>
      <w:r w:rsidR="00583480">
        <w:t> </w:t>
      </w:r>
      <w:r w:rsidR="00F44856">
        <w:t>months after</w:t>
      </w:r>
      <w:r w:rsidR="0083512F">
        <w:t xml:space="preserve"> </w:t>
      </w:r>
      <w:r w:rsidR="00B02ED4">
        <w:t xml:space="preserve">a </w:t>
      </w:r>
      <w:r w:rsidR="0083512F">
        <w:t xml:space="preserve">VTE </w:t>
      </w:r>
      <w:r w:rsidR="00434F68" w:rsidRPr="00434F68">
        <w:t>who have a review</w:t>
      </w:r>
      <w:r w:rsidRPr="00434F68">
        <w:t>.</w:t>
      </w:r>
    </w:p>
    <w:p w14:paraId="778F05C8" w14:textId="28BF6B4B" w:rsidR="00D94B78" w:rsidRPr="000C37A0" w:rsidRDefault="00D94B78" w:rsidP="00D94B78">
      <w:pPr>
        <w:pStyle w:val="NICEnormal"/>
      </w:pPr>
      <w:r w:rsidRPr="000C37A0">
        <w:t xml:space="preserve">Numerator </w:t>
      </w:r>
      <w:r w:rsidRPr="00434F68">
        <w:t xml:space="preserve">– the number in the denominator who </w:t>
      </w:r>
      <w:r w:rsidR="00434F68" w:rsidRPr="00434F68">
        <w:t>have a review</w:t>
      </w:r>
      <w:r w:rsidR="002C28EA">
        <w:t xml:space="preserve"> after 3 months</w:t>
      </w:r>
      <w:r w:rsidRPr="00434F68">
        <w:t>.</w:t>
      </w:r>
    </w:p>
    <w:p w14:paraId="44DDCDFB" w14:textId="280A7590" w:rsidR="00D94B78" w:rsidRPr="000C37A0" w:rsidRDefault="00D94B78" w:rsidP="00D94B78">
      <w:pPr>
        <w:pStyle w:val="NICEnormal"/>
      </w:pPr>
      <w:r w:rsidRPr="00434F68">
        <w:t>Denominator –</w:t>
      </w:r>
      <w:r w:rsidR="00434F68" w:rsidRPr="00434F68">
        <w:t xml:space="preserve"> </w:t>
      </w:r>
      <w:r w:rsidRPr="00434F68">
        <w:t xml:space="preserve">the number of </w:t>
      </w:r>
      <w:r w:rsidR="007870F9">
        <w:t xml:space="preserve">people aged 18 and over </w:t>
      </w:r>
      <w:r w:rsidR="00434F68" w:rsidRPr="00434F68">
        <w:t>taking anticoagulation treatment</w:t>
      </w:r>
      <w:r w:rsidR="00F44856">
        <w:t xml:space="preserve"> after</w:t>
      </w:r>
      <w:r w:rsidR="0083512F">
        <w:t xml:space="preserve"> </w:t>
      </w:r>
      <w:r w:rsidR="00B02ED4">
        <w:t xml:space="preserve">a </w:t>
      </w:r>
      <w:r w:rsidR="0083512F">
        <w:t>VTE</w:t>
      </w:r>
      <w:r w:rsidRPr="00434F68">
        <w:t>.</w:t>
      </w:r>
    </w:p>
    <w:p w14:paraId="0C33E7A2" w14:textId="71645622" w:rsidR="00D94B78" w:rsidRDefault="00D94B78" w:rsidP="00D94B78">
      <w:pPr>
        <w:pStyle w:val="NICEnormal"/>
      </w:pPr>
      <w:r w:rsidRPr="00B4696C">
        <w:rPr>
          <w:b/>
          <w:iCs/>
        </w:rPr>
        <w:t>Data source:</w:t>
      </w:r>
      <w:r w:rsidRPr="000C37A0">
        <w:t xml:space="preserve"> </w:t>
      </w:r>
      <w:r w:rsidR="00760DF4" w:rsidRPr="00AD518C">
        <w:t>Local data collection, for example local audit of patient records.</w:t>
      </w:r>
    </w:p>
    <w:p w14:paraId="543305B8" w14:textId="0CA12BEB" w:rsidR="00E071D3" w:rsidRPr="00E071D3" w:rsidRDefault="0092016E" w:rsidP="00E071D3">
      <w:pPr>
        <w:pStyle w:val="NICEnormal"/>
      </w:pPr>
      <w:bookmarkStart w:id="14" w:name="_Hlk55386769"/>
      <w:r>
        <w:t>b</w:t>
      </w:r>
      <w:r w:rsidR="00E071D3" w:rsidRPr="00E071D3">
        <w:t>) Proportion of people aged 18 and over taking long-term anticoagulation treatment for secondary prevention of VTE who have a review at least once a year.</w:t>
      </w:r>
    </w:p>
    <w:p w14:paraId="446F585B" w14:textId="124AE057" w:rsidR="00E071D3" w:rsidRPr="00E071D3" w:rsidRDefault="00E071D3" w:rsidP="00E071D3">
      <w:pPr>
        <w:pStyle w:val="NICEnormal"/>
      </w:pPr>
      <w:r w:rsidRPr="00E071D3">
        <w:t>Numerator – the number in the denominator who ha</w:t>
      </w:r>
      <w:r w:rsidR="00F06C8D">
        <w:t>d</w:t>
      </w:r>
      <w:r w:rsidRPr="00E071D3">
        <w:t xml:space="preserve"> a review </w:t>
      </w:r>
      <w:r w:rsidR="00F06C8D">
        <w:t>in the previous</w:t>
      </w:r>
      <w:r w:rsidRPr="00E071D3">
        <w:t xml:space="preserve"> year.</w:t>
      </w:r>
    </w:p>
    <w:p w14:paraId="7E9D8634" w14:textId="1E1E9B75" w:rsidR="00E071D3" w:rsidRPr="00E071D3" w:rsidRDefault="00E071D3" w:rsidP="00E071D3">
      <w:pPr>
        <w:pStyle w:val="NICEnormal"/>
      </w:pPr>
      <w:r w:rsidRPr="00E071D3">
        <w:t>Denominator – the number of people aged 18 and over taking long-term anticoagulation treatment for secondary prevention of VTE.</w:t>
      </w:r>
    </w:p>
    <w:p w14:paraId="0D05B320" w14:textId="6F283A29" w:rsidR="00E071D3" w:rsidRPr="000C37A0" w:rsidRDefault="00E071D3" w:rsidP="00434F68">
      <w:pPr>
        <w:pStyle w:val="NICEnormal"/>
      </w:pPr>
      <w:r w:rsidRPr="00E071D3">
        <w:rPr>
          <w:b/>
          <w:iCs/>
        </w:rPr>
        <w:t>Data source:</w:t>
      </w:r>
      <w:r w:rsidRPr="00E071D3">
        <w:t xml:space="preserve"> Local data collection, for example local audit of patient records.</w:t>
      </w:r>
    </w:p>
    <w:bookmarkEnd w:id="14"/>
    <w:p w14:paraId="4B0C4D0A" w14:textId="3C7333CF" w:rsidR="00D94B78" w:rsidRPr="008E47B2" w:rsidRDefault="00D94B78" w:rsidP="00D94B78">
      <w:pPr>
        <w:pStyle w:val="Heading3"/>
        <w:rPr>
          <w:highlight w:val="yellow"/>
        </w:rPr>
      </w:pPr>
      <w:r w:rsidRPr="005B1D6C">
        <w:t>Outcome</w:t>
      </w:r>
    </w:p>
    <w:p w14:paraId="26A15F2D" w14:textId="24100E82" w:rsidR="006A1C3B" w:rsidRPr="006A1C3B" w:rsidRDefault="006A1C3B" w:rsidP="006A1C3B">
      <w:pPr>
        <w:pStyle w:val="NICEnormal"/>
      </w:pPr>
      <w:r w:rsidRPr="005B1D6C">
        <w:t xml:space="preserve">Rates of </w:t>
      </w:r>
      <w:bookmarkStart w:id="15" w:name="_Hlk55314277"/>
      <w:r w:rsidRPr="005B1D6C">
        <w:t>adherence to VTE anticoagulation treatment</w:t>
      </w:r>
      <w:bookmarkEnd w:id="15"/>
      <w:r w:rsidRPr="005B1D6C">
        <w:t>.</w:t>
      </w:r>
    </w:p>
    <w:p w14:paraId="3599034F" w14:textId="63E3CA44" w:rsidR="006A1C3B" w:rsidRPr="006A1C3B" w:rsidRDefault="006A1C3B" w:rsidP="0090279C">
      <w:pPr>
        <w:pStyle w:val="NICEnormal"/>
        <w:rPr>
          <w:highlight w:val="yellow"/>
        </w:rPr>
      </w:pPr>
      <w:r w:rsidRPr="00B4696C">
        <w:rPr>
          <w:b/>
          <w:iCs/>
        </w:rPr>
        <w:t>Data source:</w:t>
      </w:r>
      <w:r w:rsidR="0090279C">
        <w:rPr>
          <w:b/>
          <w:iCs/>
        </w:rPr>
        <w:t xml:space="preserve"> </w:t>
      </w:r>
      <w:r w:rsidR="0090279C" w:rsidRPr="00AD518C">
        <w:t>Local data collection, for example local audit of patient records.</w:t>
      </w:r>
    </w:p>
    <w:p w14:paraId="51DF7EC2" w14:textId="77777777" w:rsidR="00D94B78" w:rsidRDefault="00D94B78" w:rsidP="00D94B78">
      <w:pPr>
        <w:pStyle w:val="Heading2"/>
      </w:pPr>
      <w:r w:rsidRPr="000C37A0">
        <w:t xml:space="preserve">What the quality statement means for </w:t>
      </w:r>
      <w:r>
        <w:t>different audiences</w:t>
      </w:r>
    </w:p>
    <w:p w14:paraId="7F488329" w14:textId="5D8D25C5" w:rsidR="00D94B78" w:rsidRPr="000C37A0" w:rsidRDefault="00D94B78" w:rsidP="00D94B78">
      <w:pPr>
        <w:pStyle w:val="NICEnormal"/>
      </w:pPr>
      <w:r w:rsidRPr="000C37A0">
        <w:rPr>
          <w:b/>
        </w:rPr>
        <w:t xml:space="preserve">Service </w:t>
      </w:r>
      <w:r w:rsidRPr="00825F1C">
        <w:rPr>
          <w:b/>
        </w:rPr>
        <w:t>providers</w:t>
      </w:r>
      <w:r w:rsidRPr="00825F1C">
        <w:t xml:space="preserve"> (such as </w:t>
      </w:r>
      <w:r w:rsidR="00825F1C" w:rsidRPr="00825F1C">
        <w:t>GP practices and</w:t>
      </w:r>
      <w:r w:rsidRPr="00825F1C">
        <w:t xml:space="preserve"> secondary care services) ensure</w:t>
      </w:r>
      <w:r>
        <w:t xml:space="preserve"> that</w:t>
      </w:r>
      <w:r w:rsidRPr="000C37A0">
        <w:t xml:space="preserve"> </w:t>
      </w:r>
      <w:r w:rsidR="004C634A" w:rsidRPr="00097B24">
        <w:t xml:space="preserve">local systems </w:t>
      </w:r>
      <w:r w:rsidR="004C634A">
        <w:t xml:space="preserve">are in place </w:t>
      </w:r>
      <w:r w:rsidR="004C634A" w:rsidRPr="00097B24">
        <w:t>to identify</w:t>
      </w:r>
      <w:r w:rsidR="003945A4">
        <w:t xml:space="preserve"> and invite</w:t>
      </w:r>
      <w:r w:rsidR="004C634A" w:rsidRPr="00097B24">
        <w:t xml:space="preserve"> </w:t>
      </w:r>
      <w:r w:rsidR="00E91F9C">
        <w:t xml:space="preserve">people </w:t>
      </w:r>
      <w:r w:rsidR="002644EE">
        <w:t xml:space="preserve">aged 18 and over </w:t>
      </w:r>
      <w:r w:rsidR="004C634A" w:rsidRPr="00097B24">
        <w:t xml:space="preserve">taking anticoagulation treatment </w:t>
      </w:r>
      <w:r w:rsidR="009454B4">
        <w:t>after a</w:t>
      </w:r>
      <w:r w:rsidR="00E91F9C">
        <w:t xml:space="preserve"> VTE for a review at 3 months</w:t>
      </w:r>
      <w:r w:rsidR="0092016E">
        <w:t xml:space="preserve"> </w:t>
      </w:r>
      <w:r w:rsidR="00E91F9C">
        <w:t xml:space="preserve">and then at least once a year. </w:t>
      </w:r>
      <w:r w:rsidR="004C634A">
        <w:t>They also ensure that staff</w:t>
      </w:r>
      <w:r w:rsidR="00825F1C">
        <w:t xml:space="preserve"> have the time</w:t>
      </w:r>
      <w:r w:rsidR="004C634A">
        <w:t xml:space="preserve"> to </w:t>
      </w:r>
      <w:r w:rsidR="00825F1C">
        <w:t>carry out the reviews.</w:t>
      </w:r>
    </w:p>
    <w:p w14:paraId="1BDCB3DB" w14:textId="344CE7E2" w:rsidR="00D94B78" w:rsidRPr="000C37A0" w:rsidRDefault="00D94B78" w:rsidP="00D94B78">
      <w:pPr>
        <w:pStyle w:val="NICEnormal"/>
      </w:pPr>
      <w:r w:rsidRPr="000C37A0">
        <w:rPr>
          <w:b/>
        </w:rPr>
        <w:t xml:space="preserve">Healthcare </w:t>
      </w:r>
      <w:r w:rsidRPr="00825F1C">
        <w:rPr>
          <w:b/>
        </w:rPr>
        <w:t>pr</w:t>
      </w:r>
      <w:r w:rsidR="0083512F" w:rsidRPr="00825F1C">
        <w:rPr>
          <w:b/>
        </w:rPr>
        <w:t>ofessionals</w:t>
      </w:r>
      <w:r w:rsidRPr="00825F1C">
        <w:t xml:space="preserve"> (such as GPs, specialists and nurses)</w:t>
      </w:r>
      <w:r w:rsidR="004C634A">
        <w:t xml:space="preserve"> carry out a review for </w:t>
      </w:r>
      <w:r w:rsidR="00E91F9C">
        <w:t xml:space="preserve">people </w:t>
      </w:r>
      <w:r w:rsidR="002644EE">
        <w:t xml:space="preserve">aged 18 and over </w:t>
      </w:r>
      <w:r w:rsidR="004C634A" w:rsidRPr="00434F68">
        <w:t>taking anticoagulation treatment</w:t>
      </w:r>
      <w:r w:rsidR="004C634A">
        <w:t xml:space="preserve"> </w:t>
      </w:r>
      <w:r w:rsidR="009454B4">
        <w:t xml:space="preserve">after a </w:t>
      </w:r>
      <w:r w:rsidR="00E91F9C">
        <w:t>VTE</w:t>
      </w:r>
      <w:r w:rsidR="004C634A">
        <w:t xml:space="preserve"> </w:t>
      </w:r>
      <w:r w:rsidR="00E91F9C">
        <w:t>after 3 months of treatment</w:t>
      </w:r>
      <w:r w:rsidR="00D060C3">
        <w:t xml:space="preserve"> </w:t>
      </w:r>
      <w:r w:rsidR="004C634A">
        <w:t xml:space="preserve">to discuss the benefits and risks </w:t>
      </w:r>
      <w:r w:rsidR="004C634A" w:rsidRPr="004C634A">
        <w:t>of continuing, stopping or changing the anticoagulant</w:t>
      </w:r>
      <w:r w:rsidR="004C634A">
        <w:t xml:space="preserve">. </w:t>
      </w:r>
      <w:r w:rsidR="00442612">
        <w:t xml:space="preserve">They </w:t>
      </w:r>
      <w:r w:rsidR="00E91F9C">
        <w:t>give people</w:t>
      </w:r>
      <w:r w:rsidR="00442612">
        <w:t xml:space="preserve"> information </w:t>
      </w:r>
      <w:r w:rsidR="00E91F9C">
        <w:t xml:space="preserve">about when their anticoagulation will be reviewed. </w:t>
      </w:r>
      <w:r w:rsidR="004C634A">
        <w:t xml:space="preserve">They also carry out a review for </w:t>
      </w:r>
      <w:r w:rsidR="00E91F9C">
        <w:t xml:space="preserve">people </w:t>
      </w:r>
      <w:r w:rsidR="004C634A" w:rsidRPr="00434F68">
        <w:t xml:space="preserve">taking </w:t>
      </w:r>
      <w:r w:rsidR="004C634A">
        <w:t xml:space="preserve">long-term </w:t>
      </w:r>
      <w:r w:rsidR="004C634A" w:rsidRPr="00434F68">
        <w:t>anticoagulation treatment</w:t>
      </w:r>
      <w:r w:rsidR="004C634A">
        <w:t xml:space="preserve"> for secondary prevention of VTE</w:t>
      </w:r>
      <w:r>
        <w:t xml:space="preserve"> </w:t>
      </w:r>
      <w:r w:rsidR="004C634A">
        <w:t>at least once a year to r</w:t>
      </w:r>
      <w:r w:rsidR="004C634A" w:rsidRPr="004C634A">
        <w:t>eview general health, risk of VTE recurrence, bleeding risk</w:t>
      </w:r>
      <w:r w:rsidR="006F796C">
        <w:t>, adherence, side effects</w:t>
      </w:r>
      <w:r w:rsidR="004C634A" w:rsidRPr="004C634A">
        <w:t xml:space="preserve"> and treatment preferences</w:t>
      </w:r>
      <w:r w:rsidR="004C634A">
        <w:t>.</w:t>
      </w:r>
    </w:p>
    <w:p w14:paraId="7CECAB0D" w14:textId="50788581" w:rsidR="00D94B78" w:rsidRPr="000C37A0" w:rsidRDefault="00D94B78" w:rsidP="00D94B78">
      <w:pPr>
        <w:pStyle w:val="NICEnormal"/>
      </w:pPr>
      <w:r w:rsidRPr="00825F1C">
        <w:rPr>
          <w:b/>
        </w:rPr>
        <w:t>Commissioners</w:t>
      </w:r>
      <w:r w:rsidRPr="00825F1C">
        <w:t xml:space="preserve"> (such as clinical commissioning groups and NHS England) ensure</w:t>
      </w:r>
      <w:r>
        <w:t xml:space="preserve"> that</w:t>
      </w:r>
      <w:r w:rsidRPr="000C37A0">
        <w:t xml:space="preserve"> </w:t>
      </w:r>
      <w:r w:rsidR="00825F1C">
        <w:t>services have local systems in place to identify and invite for review</w:t>
      </w:r>
      <w:r w:rsidR="00E91F9C">
        <w:t xml:space="preserve"> people </w:t>
      </w:r>
      <w:r w:rsidR="002644EE">
        <w:t xml:space="preserve">aged 18 and over </w:t>
      </w:r>
      <w:r w:rsidR="00825F1C" w:rsidRPr="00097B24">
        <w:t xml:space="preserve">taking anticoagulation treatment </w:t>
      </w:r>
      <w:r w:rsidR="009454B4">
        <w:t xml:space="preserve">after a VTE </w:t>
      </w:r>
      <w:r w:rsidR="00825F1C" w:rsidRPr="00097B24">
        <w:t>3</w:t>
      </w:r>
      <w:r w:rsidR="00E91F9C">
        <w:t> </w:t>
      </w:r>
      <w:r w:rsidR="00825F1C" w:rsidRPr="00097B24">
        <w:t xml:space="preserve">months </w:t>
      </w:r>
      <w:r w:rsidR="00F44856">
        <w:t xml:space="preserve">after </w:t>
      </w:r>
      <w:r w:rsidR="00E91F9C">
        <w:t xml:space="preserve">starting treatment </w:t>
      </w:r>
      <w:r w:rsidR="0092016E" w:rsidRPr="0092016E">
        <w:t xml:space="preserve">and adults taking long-term anticoagulation treatment for secondary prevention of VTE. </w:t>
      </w:r>
      <w:r w:rsidR="00825F1C">
        <w:t>They also ensure that services have the capacity to carry out the reviews.</w:t>
      </w:r>
    </w:p>
    <w:p w14:paraId="2A5BB9F8" w14:textId="37890C67" w:rsidR="00D94B78" w:rsidRPr="000C37A0" w:rsidRDefault="00E91F9C" w:rsidP="00D94B78">
      <w:pPr>
        <w:pStyle w:val="NICEnormal"/>
      </w:pPr>
      <w:r>
        <w:rPr>
          <w:b/>
        </w:rPr>
        <w:t>People</w:t>
      </w:r>
      <w:r w:rsidR="00825F1C">
        <w:rPr>
          <w:b/>
        </w:rPr>
        <w:t xml:space="preserve"> </w:t>
      </w:r>
      <w:r w:rsidR="002644EE">
        <w:rPr>
          <w:b/>
        </w:rPr>
        <w:t xml:space="preserve">aged 18 and over </w:t>
      </w:r>
      <w:r>
        <w:rPr>
          <w:b/>
        </w:rPr>
        <w:t>who have had a blood clot and are taking an anticoagulant (</w:t>
      </w:r>
      <w:r w:rsidR="00825F1C">
        <w:rPr>
          <w:b/>
        </w:rPr>
        <w:t>medicine to prevent</w:t>
      </w:r>
      <w:r w:rsidR="0019444F">
        <w:rPr>
          <w:b/>
        </w:rPr>
        <w:t xml:space="preserve"> another</w:t>
      </w:r>
      <w:r w:rsidR="00825F1C">
        <w:rPr>
          <w:b/>
        </w:rPr>
        <w:t xml:space="preserve"> blood clot</w:t>
      </w:r>
      <w:r>
        <w:rPr>
          <w:b/>
        </w:rPr>
        <w:t>)</w:t>
      </w:r>
      <w:r w:rsidR="00825F1C">
        <w:rPr>
          <w:b/>
        </w:rPr>
        <w:t xml:space="preserve"> </w:t>
      </w:r>
      <w:r w:rsidRPr="00D521E1">
        <w:rPr>
          <w:bCs/>
        </w:rPr>
        <w:t>have a review after 3 months to discuss whether to continue</w:t>
      </w:r>
      <w:r w:rsidR="0019444F" w:rsidRPr="00D521E1">
        <w:rPr>
          <w:bCs/>
        </w:rPr>
        <w:t xml:space="preserve"> or stop taking the anticoagulant, or change to a different anticoagulant. If they continue the anticoagulant, they have a review at least once a year. </w:t>
      </w:r>
      <w:r w:rsidR="00442612" w:rsidRPr="00D521E1">
        <w:rPr>
          <w:bCs/>
        </w:rPr>
        <w:t>They</w:t>
      </w:r>
      <w:r w:rsidR="00442612">
        <w:t xml:space="preserve"> are given information about when </w:t>
      </w:r>
      <w:r w:rsidR="0019444F">
        <w:t>their</w:t>
      </w:r>
      <w:r w:rsidR="00442612">
        <w:t xml:space="preserve"> treatment review</w:t>
      </w:r>
      <w:r w:rsidR="0019444F">
        <w:t>s</w:t>
      </w:r>
      <w:r w:rsidR="00442612">
        <w:t xml:space="preserve"> </w:t>
      </w:r>
      <w:r w:rsidR="0019444F">
        <w:t>will be scheduled</w:t>
      </w:r>
      <w:r w:rsidR="00442612">
        <w:t>.</w:t>
      </w:r>
    </w:p>
    <w:p w14:paraId="1BFA15F2" w14:textId="77777777" w:rsidR="00D94B78" w:rsidRPr="000C37A0" w:rsidRDefault="00D94B78" w:rsidP="00D94B78">
      <w:pPr>
        <w:pStyle w:val="Heading2"/>
      </w:pPr>
      <w:r w:rsidRPr="000C37A0">
        <w:t>Source guidance</w:t>
      </w:r>
    </w:p>
    <w:p w14:paraId="7E8C2411" w14:textId="21928611" w:rsidR="00D94B78" w:rsidRPr="000C37A0" w:rsidRDefault="007C368A" w:rsidP="00D94B78">
      <w:pPr>
        <w:pStyle w:val="NICEnormal"/>
      </w:pPr>
      <w:hyperlink r:id="rId31" w:history="1">
        <w:r w:rsidR="00C313C3" w:rsidRPr="004D0AC0">
          <w:rPr>
            <w:rStyle w:val="Hyperlink"/>
          </w:rPr>
          <w:t xml:space="preserve">Venous </w:t>
        </w:r>
        <w:r w:rsidR="00C313C3" w:rsidRPr="00CD7890">
          <w:rPr>
            <w:rStyle w:val="Hyperlink"/>
          </w:rPr>
          <w:t>thromboembolic diseases: diagnosis, management and thrombophilia testing</w:t>
        </w:r>
      </w:hyperlink>
      <w:r w:rsidR="00C313C3">
        <w:t>. NICE guideline NG158 (2020), recommendations 1.4.1 and 1.4.12.</w:t>
      </w:r>
    </w:p>
    <w:p w14:paraId="6150A399" w14:textId="77777777" w:rsidR="00D94B78" w:rsidRPr="000C37A0" w:rsidRDefault="00D94B78" w:rsidP="00D94B78">
      <w:pPr>
        <w:pStyle w:val="Heading2"/>
      </w:pPr>
      <w:r w:rsidRPr="000C37A0">
        <w:t>Definitions of terms used in this quality statement</w:t>
      </w:r>
    </w:p>
    <w:p w14:paraId="60B16A4D" w14:textId="1FAD8F3B" w:rsidR="00D94B78" w:rsidRPr="004810E6" w:rsidRDefault="004810E6" w:rsidP="00D94B78">
      <w:pPr>
        <w:pStyle w:val="Heading3"/>
      </w:pPr>
      <w:r w:rsidRPr="004810E6">
        <w:t>Review a</w:t>
      </w:r>
      <w:r w:rsidR="00047018">
        <w:t>fter</w:t>
      </w:r>
      <w:r w:rsidRPr="004810E6">
        <w:t xml:space="preserve"> 3 months</w:t>
      </w:r>
      <w:r w:rsidR="00184B9D">
        <w:t xml:space="preserve"> </w:t>
      </w:r>
    </w:p>
    <w:p w14:paraId="281987CB" w14:textId="43BD4D65" w:rsidR="00184B9D" w:rsidRPr="00184B9D" w:rsidRDefault="004229AB" w:rsidP="00D94B78">
      <w:pPr>
        <w:pStyle w:val="NICEnormal"/>
      </w:pPr>
      <w:r>
        <w:t>A</w:t>
      </w:r>
      <w:r w:rsidR="00D060C3">
        <w:t xml:space="preserve"> </w:t>
      </w:r>
      <w:r w:rsidRPr="004229AB">
        <w:t>review a</w:t>
      </w:r>
      <w:r w:rsidR="00047018">
        <w:t>fter</w:t>
      </w:r>
      <w:r w:rsidRPr="004229AB">
        <w:t xml:space="preserve"> 3</w:t>
      </w:r>
      <w:r w:rsidR="0019444F">
        <w:t> </w:t>
      </w:r>
      <w:r w:rsidRPr="004229AB">
        <w:t xml:space="preserve">months </w:t>
      </w:r>
      <w:r w:rsidR="0092016E">
        <w:t xml:space="preserve">of anticoagulation treatment </w:t>
      </w:r>
      <w:r w:rsidRPr="004229AB">
        <w:t xml:space="preserve">to assess and discuss the benefits and risks of continuing, stopping or changing the anticoagulant with </w:t>
      </w:r>
      <w:r>
        <w:t>the person</w:t>
      </w:r>
      <w:r w:rsidRPr="004229AB">
        <w:t xml:space="preserve"> hav</w:t>
      </w:r>
      <w:r>
        <w:t>ing</w:t>
      </w:r>
      <w:r w:rsidRPr="004229AB">
        <w:t xml:space="preserve"> treatment</w:t>
      </w:r>
      <w:r>
        <w:t xml:space="preserve">. </w:t>
      </w:r>
      <w:r w:rsidRPr="006A1841">
        <w:t>[</w:t>
      </w:r>
      <w:hyperlink r:id="rId32" w:history="1">
        <w:r w:rsidRPr="006A1841">
          <w:rPr>
            <w:rStyle w:val="Hyperlink"/>
          </w:rPr>
          <w:t xml:space="preserve">NICE’s guideline on venous </w:t>
        </w:r>
        <w:r w:rsidRPr="00CD7890">
          <w:rPr>
            <w:rStyle w:val="Hyperlink"/>
          </w:rPr>
          <w:t>thromboembolic diseases</w:t>
        </w:r>
      </w:hyperlink>
      <w:r w:rsidRPr="006A1841">
        <w:t>, recommendation</w:t>
      </w:r>
      <w:r>
        <w:t xml:space="preserve"> 1.4.1]</w:t>
      </w:r>
    </w:p>
    <w:p w14:paraId="0F9B5EFA" w14:textId="0AC777FC" w:rsidR="00D94B78" w:rsidRPr="004229AB" w:rsidRDefault="004229AB" w:rsidP="00D94B78">
      <w:pPr>
        <w:pStyle w:val="Heading3"/>
      </w:pPr>
      <w:r w:rsidRPr="004229AB">
        <w:t>Review at least once a year</w:t>
      </w:r>
    </w:p>
    <w:p w14:paraId="4F5175DA" w14:textId="118E417B" w:rsidR="00D94B78" w:rsidRPr="006379CB" w:rsidRDefault="004229AB" w:rsidP="00D94B78">
      <w:pPr>
        <w:pStyle w:val="NICEnormal"/>
        <w:rPr>
          <w:highlight w:val="cyan"/>
        </w:rPr>
      </w:pPr>
      <w:r>
        <w:t>A review of g</w:t>
      </w:r>
      <w:r w:rsidRPr="004229AB">
        <w:t>eneral health, risk of VTE recurrence, bleeding risk and treatment preferences</w:t>
      </w:r>
      <w:r>
        <w:t xml:space="preserve"> for </w:t>
      </w:r>
      <w:r w:rsidRPr="004229AB">
        <w:t>people taking long-term anticoagulation treatment</w:t>
      </w:r>
      <w:r>
        <w:t xml:space="preserve">. </w:t>
      </w:r>
      <w:r w:rsidRPr="006A1841">
        <w:t>[</w:t>
      </w:r>
      <w:hyperlink r:id="rId33" w:history="1">
        <w:r w:rsidRPr="006A1841">
          <w:rPr>
            <w:rStyle w:val="Hyperlink"/>
          </w:rPr>
          <w:t xml:space="preserve">NICE’s guideline on venous </w:t>
        </w:r>
        <w:r w:rsidRPr="00CD7890">
          <w:rPr>
            <w:rStyle w:val="Hyperlink"/>
          </w:rPr>
          <w:t>thromboembolic diseases</w:t>
        </w:r>
      </w:hyperlink>
      <w:r w:rsidRPr="006A1841">
        <w:t>, recommendation</w:t>
      </w:r>
      <w:r>
        <w:t xml:space="preserve"> 1.4.12]</w:t>
      </w:r>
    </w:p>
    <w:p w14:paraId="0322FEFF" w14:textId="77777777" w:rsidR="00D94B78" w:rsidRPr="000C37A0" w:rsidRDefault="00D94B78" w:rsidP="00D94B78">
      <w:pPr>
        <w:pStyle w:val="Heading2"/>
      </w:pPr>
      <w:r w:rsidRPr="000C37A0">
        <w:t>Equality and diversity considerations</w:t>
      </w:r>
    </w:p>
    <w:p w14:paraId="3268D782" w14:textId="462BA8E4" w:rsidR="00E55778" w:rsidRPr="00E55778" w:rsidRDefault="007C368A" w:rsidP="00E55778">
      <w:pPr>
        <w:pStyle w:val="NICEnormal"/>
      </w:pPr>
      <w:hyperlink r:id="rId34" w:history="1">
        <w:r w:rsidR="00E55778" w:rsidRPr="00E55778">
          <w:rPr>
            <w:rStyle w:val="Hyperlink"/>
          </w:rPr>
          <w:t>NICE’s guideline on venous thromboembolic diseases</w:t>
        </w:r>
      </w:hyperlink>
      <w:r w:rsidR="00E55778" w:rsidRPr="004C2324">
        <w:t xml:space="preserve"> </w:t>
      </w:r>
      <w:r w:rsidR="00E55778" w:rsidRPr="00096E5E">
        <w:t>cover</w:t>
      </w:r>
      <w:r w:rsidR="00B05BC3">
        <w:t>s</w:t>
      </w:r>
      <w:r w:rsidR="00E55778" w:rsidRPr="00096E5E">
        <w:t xml:space="preserve"> people aged 18 and over</w:t>
      </w:r>
      <w:r w:rsidR="00B05BC3">
        <w:t xml:space="preserve"> as the evidence for the recommendations focused on this age group</w:t>
      </w:r>
      <w:r w:rsidR="00B05BC3" w:rsidRPr="00096E5E">
        <w:t xml:space="preserve">. </w:t>
      </w:r>
      <w:r w:rsidR="00B05BC3">
        <w:t>This statement applies to people aged 18 and over, but</w:t>
      </w:r>
      <w:r w:rsidR="00E55778" w:rsidRPr="00096E5E">
        <w:t xml:space="preserve"> </w:t>
      </w:r>
      <w:r w:rsidR="00B05BC3">
        <w:t>c</w:t>
      </w:r>
      <w:r w:rsidR="00E55778" w:rsidRPr="00096E5E">
        <w:t xml:space="preserve">linical judgement should be used when treating people aged under 18 </w:t>
      </w:r>
      <w:r w:rsidR="00E55778" w:rsidRPr="00D64834">
        <w:t>taking</w:t>
      </w:r>
      <w:r w:rsidR="00E55778" w:rsidRPr="001F388F">
        <w:t xml:space="preserve"> anticoagulation treatment </w:t>
      </w:r>
      <w:r w:rsidR="00E55778">
        <w:t>after a VT</w:t>
      </w:r>
      <w:r w:rsidR="00E55778" w:rsidRPr="004C2324">
        <w:t>E.</w:t>
      </w:r>
    </w:p>
    <w:p w14:paraId="7FBD50F9" w14:textId="77777777" w:rsidR="00E55778" w:rsidRDefault="00937EE4" w:rsidP="0092016E">
      <w:pPr>
        <w:pStyle w:val="NICEnormal"/>
      </w:pPr>
      <w:r w:rsidRPr="00937EE4">
        <w:t xml:space="preserve">Heparins are a type of anticoagulant used to treat VTE. They are of animal origin </w:t>
      </w:r>
      <w:r w:rsidRPr="00E712D2">
        <w:t>and this may be of concern to some people</w:t>
      </w:r>
      <w:r>
        <w:t xml:space="preserve"> because of religious</w:t>
      </w:r>
      <w:r w:rsidR="0019444F">
        <w:t xml:space="preserve"> or ethical</w:t>
      </w:r>
      <w:r>
        <w:t xml:space="preserve"> belief</w:t>
      </w:r>
      <w:r w:rsidR="0019444F">
        <w:t>s</w:t>
      </w:r>
      <w:r w:rsidRPr="00E712D2">
        <w:t xml:space="preserve">. </w:t>
      </w:r>
      <w:bookmarkStart w:id="16" w:name="_Hlk55314629"/>
      <w:r w:rsidR="006842BA">
        <w:t xml:space="preserve">The </w:t>
      </w:r>
      <w:r w:rsidRPr="006842BA">
        <w:t xml:space="preserve">suitability, advantages and disadvantages </w:t>
      </w:r>
      <w:r w:rsidR="006842BA">
        <w:t xml:space="preserve">of alternatives to heparin should be discussed </w:t>
      </w:r>
      <w:r w:rsidRPr="006842BA">
        <w:t>with the person.</w:t>
      </w:r>
      <w:bookmarkEnd w:id="16"/>
    </w:p>
    <w:p w14:paraId="2ADEB8DD" w14:textId="3A162CB1" w:rsidR="00D060C3" w:rsidRDefault="00D060C3" w:rsidP="0092016E">
      <w:pPr>
        <w:pStyle w:val="NICEnormal"/>
      </w:pPr>
      <w:r>
        <w:br w:type="page"/>
      </w:r>
    </w:p>
    <w:p w14:paraId="6BFB0336" w14:textId="7AB6E7C5" w:rsidR="00D94B78" w:rsidRPr="000C37A0" w:rsidRDefault="00D94B78" w:rsidP="00D94B78">
      <w:pPr>
        <w:pStyle w:val="Heading1"/>
      </w:pPr>
      <w:r w:rsidRPr="000C37A0">
        <w:t xml:space="preserve">Quality statement </w:t>
      </w:r>
      <w:r w:rsidR="004810E6">
        <w:t>5</w:t>
      </w:r>
      <w:r w:rsidRPr="00AC1DF5">
        <w:t xml:space="preserve">: </w:t>
      </w:r>
      <w:r w:rsidR="00DF4391">
        <w:t xml:space="preserve">Follow-up for outpatients with low-risk </w:t>
      </w:r>
      <w:r w:rsidR="0019444F">
        <w:t>pulmonary embolism</w:t>
      </w:r>
      <w:r w:rsidRPr="000C37A0">
        <w:t xml:space="preserve"> </w:t>
      </w:r>
    </w:p>
    <w:p w14:paraId="17B72143" w14:textId="77777777" w:rsidR="00D94B78" w:rsidRPr="000C37A0" w:rsidRDefault="00D94B78" w:rsidP="00D94B78">
      <w:pPr>
        <w:pStyle w:val="Heading2"/>
      </w:pPr>
      <w:r w:rsidRPr="000C37A0">
        <w:t>Quality statement</w:t>
      </w:r>
    </w:p>
    <w:p w14:paraId="6783B784" w14:textId="05D9F7CC" w:rsidR="00D94B78" w:rsidRDefault="00B43F89" w:rsidP="00D94B78">
      <w:pPr>
        <w:pStyle w:val="NICEnormal"/>
      </w:pPr>
      <w:r>
        <w:t>People aged 18 and over</w:t>
      </w:r>
      <w:r w:rsidR="00FA26F7" w:rsidRPr="00FA26F7">
        <w:t xml:space="preserve"> having outpatient treatment for suspected or confirmed low-risk </w:t>
      </w:r>
      <w:r w:rsidR="0019444F">
        <w:t>pulmonary embolism (PE)</w:t>
      </w:r>
      <w:r w:rsidR="00FA26F7" w:rsidRPr="00FA26F7">
        <w:t xml:space="preserve"> have </w:t>
      </w:r>
      <w:r w:rsidR="00F614CB">
        <w:t xml:space="preserve">an </w:t>
      </w:r>
      <w:bookmarkStart w:id="17" w:name="_Hlk51834089"/>
      <w:r w:rsidR="00F614CB">
        <w:t xml:space="preserve">agreed plan for </w:t>
      </w:r>
      <w:r w:rsidR="00205B55">
        <w:t xml:space="preserve">monitoring and </w:t>
      </w:r>
      <w:r w:rsidR="00F614CB">
        <w:t>follow-up</w:t>
      </w:r>
      <w:bookmarkEnd w:id="17"/>
      <w:r w:rsidR="00FA26F7">
        <w:t xml:space="preserve">. </w:t>
      </w:r>
      <w:r w:rsidR="00FA26F7" w:rsidRPr="00FA26F7">
        <w:rPr>
          <w:b/>
        </w:rPr>
        <w:t>[new 2021]</w:t>
      </w:r>
    </w:p>
    <w:p w14:paraId="600354C8" w14:textId="77777777" w:rsidR="00D94B78" w:rsidRPr="000C37A0" w:rsidRDefault="00D94B78" w:rsidP="00D94B78">
      <w:pPr>
        <w:pStyle w:val="Heading2"/>
      </w:pPr>
      <w:r w:rsidRPr="000C37A0">
        <w:t xml:space="preserve">Rationale </w:t>
      </w:r>
    </w:p>
    <w:p w14:paraId="7AD860C2" w14:textId="39CA9D30" w:rsidR="00D94B78" w:rsidRPr="000C37A0" w:rsidRDefault="0019444F" w:rsidP="00D94B78">
      <w:pPr>
        <w:pStyle w:val="NICEnormal"/>
      </w:pPr>
      <w:r>
        <w:t>C</w:t>
      </w:r>
      <w:r w:rsidR="00DF4391" w:rsidRPr="00DF4391">
        <w:t xml:space="preserve">lear arrangements for monitoring and follow-up </w:t>
      </w:r>
      <w:r w:rsidR="00DF4391">
        <w:t xml:space="preserve">for outpatients </w:t>
      </w:r>
      <w:r w:rsidR="00DF4391" w:rsidRPr="00DF4391">
        <w:t>ensure</w:t>
      </w:r>
      <w:r>
        <w:t>s</w:t>
      </w:r>
      <w:r w:rsidR="00DF4391" w:rsidRPr="00DF4391">
        <w:t xml:space="preserve"> that </w:t>
      </w:r>
      <w:r w:rsidR="00DF4391">
        <w:t>they</w:t>
      </w:r>
      <w:r w:rsidR="00DF4391" w:rsidRPr="00DF4391">
        <w:t xml:space="preserve"> receive the same quality of care as patients</w:t>
      </w:r>
      <w:r>
        <w:t xml:space="preserve"> in hospital</w:t>
      </w:r>
      <w:r w:rsidR="00DF4391" w:rsidRPr="00DF4391">
        <w:t xml:space="preserve">. </w:t>
      </w:r>
      <w:r w:rsidR="00DF4391">
        <w:t>S</w:t>
      </w:r>
      <w:r w:rsidR="00DF4391" w:rsidRPr="00DF4391">
        <w:t>pecialist services with expertise in thrombosis are not available at all times</w:t>
      </w:r>
      <w:r w:rsidR="00DF4391">
        <w:t xml:space="preserve">, so it is </w:t>
      </w:r>
      <w:r w:rsidR="00DF4391" w:rsidRPr="00DF4391">
        <w:t xml:space="preserve">important </w:t>
      </w:r>
      <w:r w:rsidR="00DF4391">
        <w:t>that</w:t>
      </w:r>
      <w:r w:rsidR="00DF4391" w:rsidRPr="00DF4391">
        <w:t xml:space="preserve"> </w:t>
      </w:r>
      <w:r w:rsidR="00C17331">
        <w:t>people</w:t>
      </w:r>
      <w:r w:rsidR="00AE0AD5">
        <w:t xml:space="preserve"> aged 18 and over</w:t>
      </w:r>
      <w:r w:rsidR="00C17331">
        <w:t xml:space="preserve"> </w:t>
      </w:r>
      <w:r w:rsidR="00DF4391" w:rsidRPr="00DF4391">
        <w:t xml:space="preserve">with </w:t>
      </w:r>
      <w:r w:rsidR="003B2401">
        <w:t>PE</w:t>
      </w:r>
      <w:r w:rsidR="003B2401" w:rsidRPr="00DF4391">
        <w:t xml:space="preserve"> </w:t>
      </w:r>
      <w:r w:rsidR="00DF4391" w:rsidRPr="00DF4391">
        <w:t>know who they can contact if they need advice outside normal service hours.</w:t>
      </w:r>
      <w:r w:rsidR="00793D9C">
        <w:t xml:space="preserve"> Understanding signs to look out for and how </w:t>
      </w:r>
      <w:r w:rsidR="00832BDE">
        <w:t xml:space="preserve">and when </w:t>
      </w:r>
      <w:r w:rsidR="00793D9C">
        <w:t xml:space="preserve">to get help when needed can ensure that </w:t>
      </w:r>
      <w:r w:rsidR="000558C4">
        <w:t xml:space="preserve">outpatients </w:t>
      </w:r>
      <w:r w:rsidR="00832BDE">
        <w:t xml:space="preserve">act in a timely manner before things worsen, and that they contact the appropriate service. </w:t>
      </w:r>
    </w:p>
    <w:p w14:paraId="5A04E617" w14:textId="77777777" w:rsidR="00D94B78" w:rsidRPr="000C37A0" w:rsidRDefault="00D94B78" w:rsidP="00D94B78">
      <w:pPr>
        <w:pStyle w:val="Heading2"/>
      </w:pPr>
      <w:r w:rsidRPr="000C37A0">
        <w:t xml:space="preserve">Quality </w:t>
      </w:r>
      <w:r w:rsidRPr="00945D72">
        <w:t>measures</w:t>
      </w:r>
    </w:p>
    <w:p w14:paraId="4280EFBB" w14:textId="77777777" w:rsidR="00D94B78" w:rsidRPr="000C37A0" w:rsidRDefault="00D94B78" w:rsidP="00D94B78">
      <w:pPr>
        <w:pStyle w:val="Heading3"/>
      </w:pPr>
      <w:r w:rsidRPr="00945D72">
        <w:t>Structure</w:t>
      </w:r>
    </w:p>
    <w:p w14:paraId="6779B0D3" w14:textId="6115925C" w:rsidR="00D94B78" w:rsidRDefault="00D94B78" w:rsidP="00A24F8C">
      <w:pPr>
        <w:pStyle w:val="NICEnormal"/>
      </w:pPr>
      <w:r w:rsidRPr="003C7A94">
        <w:t xml:space="preserve">a) </w:t>
      </w:r>
      <w:r w:rsidR="00A24F8C" w:rsidRPr="003C7A94">
        <w:t xml:space="preserve">Evidence of local arrangements to ensure that </w:t>
      </w:r>
      <w:r w:rsidR="0019444F">
        <w:t xml:space="preserve">people </w:t>
      </w:r>
      <w:r w:rsidR="000D7D5A">
        <w:t xml:space="preserve">aged 18 and over </w:t>
      </w:r>
      <w:r w:rsidR="00A24F8C" w:rsidRPr="003C7A94">
        <w:t xml:space="preserve">having outpatient treatment for suspected or confirmed low-risk PE have an agreed plan for </w:t>
      </w:r>
      <w:r w:rsidR="00205B55">
        <w:t xml:space="preserve">monitoring and </w:t>
      </w:r>
      <w:r w:rsidR="00A24F8C" w:rsidRPr="003C7A94">
        <w:t>follow-up.</w:t>
      </w:r>
    </w:p>
    <w:p w14:paraId="42816AF7" w14:textId="2A97B292" w:rsidR="00D94B78" w:rsidRPr="003C7A94" w:rsidRDefault="00D94B78" w:rsidP="00D94B78">
      <w:pPr>
        <w:pStyle w:val="NICEnormal"/>
      </w:pPr>
      <w:r w:rsidRPr="00B4696C">
        <w:rPr>
          <w:b/>
          <w:iCs/>
        </w:rPr>
        <w:t>Data source:</w:t>
      </w:r>
      <w:r w:rsidRPr="000C37A0">
        <w:t xml:space="preserve"> </w:t>
      </w:r>
      <w:r w:rsidR="003C7A94" w:rsidRPr="003C7A94">
        <w:t>Local data collection, for example service specifications or local protocols</w:t>
      </w:r>
      <w:r w:rsidRPr="003C7A94">
        <w:t>.</w:t>
      </w:r>
    </w:p>
    <w:p w14:paraId="79F1572D" w14:textId="403C6FDE" w:rsidR="00D94B78" w:rsidRPr="003C7A94" w:rsidRDefault="00D94B78" w:rsidP="00D94B78">
      <w:pPr>
        <w:pStyle w:val="NICEnormal"/>
      </w:pPr>
      <w:r w:rsidRPr="003C7A94">
        <w:t xml:space="preserve">b) Evidence </w:t>
      </w:r>
      <w:r w:rsidR="0042288A" w:rsidRPr="003C7A94">
        <w:t xml:space="preserve">that information </w:t>
      </w:r>
      <w:r w:rsidR="003C7A94" w:rsidRPr="003C7A94">
        <w:t xml:space="preserve">is available </w:t>
      </w:r>
      <w:r w:rsidR="00A459D5" w:rsidRPr="003C7A94">
        <w:t xml:space="preserve">for </w:t>
      </w:r>
      <w:r w:rsidR="0019444F">
        <w:t xml:space="preserve">people </w:t>
      </w:r>
      <w:r w:rsidR="000D7D5A">
        <w:t xml:space="preserve">aged 18 and over </w:t>
      </w:r>
      <w:r w:rsidR="00A459D5" w:rsidRPr="003C7A94">
        <w:t xml:space="preserve">having outpatient treatment for suspected or confirmed low-risk PE </w:t>
      </w:r>
      <w:r w:rsidR="0042288A" w:rsidRPr="003C7A94">
        <w:t xml:space="preserve">on </w:t>
      </w:r>
      <w:r w:rsidR="003C7A94" w:rsidRPr="003C7A94">
        <w:t>symptoms and signs to look out for, and contact information for healthcare professionals t</w:t>
      </w:r>
      <w:r w:rsidR="0019444F">
        <w:t>hey can</w:t>
      </w:r>
      <w:r w:rsidR="003C7A94" w:rsidRPr="003C7A94">
        <w:t xml:space="preserve"> discuss concerns with</w:t>
      </w:r>
      <w:r w:rsidRPr="003C7A94">
        <w:t>.</w:t>
      </w:r>
    </w:p>
    <w:p w14:paraId="3AAA4432" w14:textId="5C5BD9E7" w:rsidR="00D94B78" w:rsidRPr="000C37A0" w:rsidRDefault="00D94B78" w:rsidP="00D94B78">
      <w:pPr>
        <w:pStyle w:val="NICEnormal"/>
      </w:pPr>
      <w:r w:rsidRPr="003C7A94">
        <w:rPr>
          <w:b/>
          <w:iCs/>
        </w:rPr>
        <w:t>Data source:</w:t>
      </w:r>
      <w:r w:rsidRPr="003C7A94">
        <w:t xml:space="preserve"> </w:t>
      </w:r>
      <w:r w:rsidR="003C7A94" w:rsidRPr="003C7A94">
        <w:t>Local data collection, for example information leaflets</w:t>
      </w:r>
      <w:r w:rsidRPr="003C7A94">
        <w:t>.</w:t>
      </w:r>
    </w:p>
    <w:p w14:paraId="31070CE7" w14:textId="77777777" w:rsidR="00D94B78" w:rsidRPr="000C37A0" w:rsidRDefault="00D94B78" w:rsidP="00D94B78">
      <w:pPr>
        <w:pStyle w:val="Heading3"/>
      </w:pPr>
      <w:r w:rsidRPr="000C37A0">
        <w:t>Process</w:t>
      </w:r>
    </w:p>
    <w:p w14:paraId="7686D27B" w14:textId="2D736F91" w:rsidR="00D94B78" w:rsidRPr="009C3840" w:rsidRDefault="00D94B78" w:rsidP="00D94B78">
      <w:pPr>
        <w:pStyle w:val="NICEnormal"/>
      </w:pPr>
      <w:r w:rsidRPr="009C3840">
        <w:t xml:space="preserve">Proportion of </w:t>
      </w:r>
      <w:r w:rsidR="000D7D5A">
        <w:t>people</w:t>
      </w:r>
      <w:r w:rsidRPr="009C3840">
        <w:t xml:space="preserve"> </w:t>
      </w:r>
      <w:r w:rsidR="000D7D5A">
        <w:t xml:space="preserve">aged 18 and over </w:t>
      </w:r>
      <w:r w:rsidR="009C3840" w:rsidRPr="009C3840">
        <w:t>having outpatient treatment for suspected or confirmed low-risk PE who have an agreed plan for monitoring and follow-up</w:t>
      </w:r>
      <w:r w:rsidRPr="009C3840">
        <w:t>.</w:t>
      </w:r>
    </w:p>
    <w:p w14:paraId="2D45AD59" w14:textId="116AD620" w:rsidR="00D94B78" w:rsidRPr="000C37A0" w:rsidRDefault="00D94B78" w:rsidP="00D94B78">
      <w:pPr>
        <w:pStyle w:val="NICEnormal"/>
      </w:pPr>
      <w:r w:rsidRPr="009C3840">
        <w:t>Numerator –</w:t>
      </w:r>
      <w:r w:rsidR="009C3840" w:rsidRPr="009C3840">
        <w:t xml:space="preserve"> </w:t>
      </w:r>
      <w:r w:rsidRPr="009C3840">
        <w:t xml:space="preserve">the number in the denominator who </w:t>
      </w:r>
      <w:r w:rsidR="009C3840" w:rsidRPr="009C3840">
        <w:t>have an agreed plan for monitoring and follow-up</w:t>
      </w:r>
      <w:r w:rsidRPr="009C3840">
        <w:t>.</w:t>
      </w:r>
    </w:p>
    <w:p w14:paraId="65180220" w14:textId="1BAAABEB" w:rsidR="00D94B78" w:rsidRPr="000C37A0" w:rsidRDefault="00D94B78" w:rsidP="00D94B78">
      <w:pPr>
        <w:pStyle w:val="NICEnormal"/>
      </w:pPr>
      <w:r w:rsidRPr="000C37A0">
        <w:t>Denominator –</w:t>
      </w:r>
      <w:r w:rsidR="00C630F8">
        <w:t xml:space="preserve"> </w:t>
      </w:r>
      <w:r w:rsidRPr="00C630F8">
        <w:t xml:space="preserve">the number of </w:t>
      </w:r>
      <w:r w:rsidR="000D7D5A">
        <w:t>people</w:t>
      </w:r>
      <w:r w:rsidRPr="00C630F8">
        <w:t xml:space="preserve"> </w:t>
      </w:r>
      <w:r w:rsidR="000D7D5A">
        <w:t xml:space="preserve">aged 18 and over </w:t>
      </w:r>
      <w:r w:rsidR="00C630F8" w:rsidRPr="00C630F8">
        <w:t>having outpatient treatment for suspected or confirmed low-risk PE</w:t>
      </w:r>
      <w:r w:rsidRPr="00C630F8">
        <w:t>.</w:t>
      </w:r>
    </w:p>
    <w:p w14:paraId="65167AD0" w14:textId="4AC366E8" w:rsidR="00D94B78" w:rsidRDefault="00D94B78" w:rsidP="00D94B78">
      <w:pPr>
        <w:pStyle w:val="NICEnormal"/>
      </w:pPr>
      <w:r w:rsidRPr="00B4696C">
        <w:rPr>
          <w:b/>
          <w:iCs/>
        </w:rPr>
        <w:t>Data source:</w:t>
      </w:r>
      <w:r w:rsidRPr="000C37A0">
        <w:t xml:space="preserve"> </w:t>
      </w:r>
      <w:r w:rsidRPr="00A24F8C">
        <w:t xml:space="preserve">Local data collection, for example local audit of patient records. </w:t>
      </w:r>
    </w:p>
    <w:p w14:paraId="34DD2CA9" w14:textId="05C2450C" w:rsidR="00D94B78" w:rsidRPr="006C2541" w:rsidRDefault="00D94B78" w:rsidP="00D94B78">
      <w:pPr>
        <w:pStyle w:val="Heading3"/>
      </w:pPr>
      <w:r w:rsidRPr="006C2541">
        <w:t>Outcome</w:t>
      </w:r>
    </w:p>
    <w:p w14:paraId="08DF95B6" w14:textId="6504F928" w:rsidR="008B4C3A" w:rsidRPr="006B621E" w:rsidRDefault="008B4C3A" w:rsidP="008B4C3A">
      <w:pPr>
        <w:pStyle w:val="NICEnormal"/>
      </w:pPr>
      <w:r w:rsidRPr="006B621E">
        <w:t xml:space="preserve">Rates of emergency admissions to hospital for </w:t>
      </w:r>
      <w:r w:rsidR="000D7D5A">
        <w:t>people aged 18 and over</w:t>
      </w:r>
      <w:r w:rsidRPr="006B621E">
        <w:t xml:space="preserve"> having outpatient treatment for PE.</w:t>
      </w:r>
    </w:p>
    <w:p w14:paraId="28786225" w14:textId="53DC12DD" w:rsidR="0019444F" w:rsidRDefault="008B4C3A" w:rsidP="0019444F">
      <w:pPr>
        <w:pStyle w:val="NICEnormal"/>
      </w:pPr>
      <w:r w:rsidRPr="00B4696C">
        <w:rPr>
          <w:b/>
          <w:iCs/>
        </w:rPr>
        <w:t>Data source:</w:t>
      </w:r>
      <w:r w:rsidRPr="000C37A0">
        <w:t xml:space="preserve"> </w:t>
      </w:r>
      <w:r w:rsidR="006B621E" w:rsidRPr="006B621E">
        <w:t xml:space="preserve">Local data collection, for example audit of case records. </w:t>
      </w:r>
    </w:p>
    <w:p w14:paraId="32A0B761" w14:textId="557C9BF8" w:rsidR="00D94B78" w:rsidRDefault="00D94B78" w:rsidP="003E04F5">
      <w:pPr>
        <w:pStyle w:val="Heading2"/>
      </w:pPr>
      <w:r w:rsidRPr="000C37A0">
        <w:t xml:space="preserve">What the quality statement means for </w:t>
      </w:r>
      <w:r>
        <w:t>different audiences</w:t>
      </w:r>
    </w:p>
    <w:p w14:paraId="73812823" w14:textId="3AE4A228" w:rsidR="00D94B78" w:rsidRPr="000C37A0" w:rsidRDefault="00D94B78" w:rsidP="00D94B78">
      <w:pPr>
        <w:pStyle w:val="NICEnormal"/>
      </w:pPr>
      <w:r w:rsidRPr="000C37A0">
        <w:rPr>
          <w:b/>
        </w:rPr>
        <w:t xml:space="preserve">Service </w:t>
      </w:r>
      <w:r w:rsidRPr="001B650C">
        <w:rPr>
          <w:b/>
        </w:rPr>
        <w:t>providers</w:t>
      </w:r>
      <w:r w:rsidRPr="001B650C">
        <w:t xml:space="preserve"> (such as secondary care services) ensure</w:t>
      </w:r>
      <w:r>
        <w:t xml:space="preserve"> that</w:t>
      </w:r>
      <w:r w:rsidR="001B650C">
        <w:t xml:space="preserve"> healthcare professionals </w:t>
      </w:r>
      <w:r w:rsidR="001B650C" w:rsidRPr="001B650C">
        <w:t>have the time and resources</w:t>
      </w:r>
      <w:r w:rsidR="001B650C">
        <w:t xml:space="preserve"> to </w:t>
      </w:r>
      <w:r w:rsidR="001B650C" w:rsidRPr="00A24F8C">
        <w:t xml:space="preserve">discuss and agree a plan for monitoring and follow-up with </w:t>
      </w:r>
      <w:r w:rsidR="003E04F5">
        <w:t xml:space="preserve">people </w:t>
      </w:r>
      <w:r w:rsidR="001B650C" w:rsidRPr="00A24F8C">
        <w:t>having outpatient treatment for suspected or confirmed low-risk PE</w:t>
      </w:r>
      <w:r w:rsidR="001B650C">
        <w:t>.</w:t>
      </w:r>
      <w:r w:rsidR="00F769F2" w:rsidRPr="00F769F2">
        <w:rPr>
          <w:rFonts w:ascii="Times New Roman" w:hAnsi="Times New Roman"/>
        </w:rPr>
        <w:t xml:space="preserve"> </w:t>
      </w:r>
    </w:p>
    <w:p w14:paraId="3CEDAB1F" w14:textId="21CDB2F5" w:rsidR="00D94B78" w:rsidRPr="000C37A0" w:rsidRDefault="00D94B78" w:rsidP="00A24F8C">
      <w:pPr>
        <w:pStyle w:val="NICEnormal"/>
      </w:pPr>
      <w:r w:rsidRPr="00A24F8C">
        <w:rPr>
          <w:b/>
        </w:rPr>
        <w:t>Healthcare pr</w:t>
      </w:r>
      <w:r w:rsidR="00760DF4" w:rsidRPr="00A24F8C">
        <w:rPr>
          <w:b/>
        </w:rPr>
        <w:t>ofessionals</w:t>
      </w:r>
      <w:r w:rsidRPr="000C37A0">
        <w:t xml:space="preserve"> </w:t>
      </w:r>
      <w:r w:rsidRPr="001B650C">
        <w:t>(such as specialists and nurses)</w:t>
      </w:r>
      <w:r>
        <w:t xml:space="preserve"> </w:t>
      </w:r>
      <w:r w:rsidR="00A24F8C" w:rsidRPr="00A24F8C">
        <w:t xml:space="preserve">discuss and agree a plan for monitoring and follow-up with </w:t>
      </w:r>
      <w:r w:rsidR="003E04F5">
        <w:t xml:space="preserve">people </w:t>
      </w:r>
      <w:r w:rsidR="00A24F8C" w:rsidRPr="00A24F8C">
        <w:t>having outpatient treatment for suspected or confirmed low-risk PE. They provide them with written information on symptoms and signs to look out for, direct contact details of a healthcare professional or team with expertise in thrombosis to discuss concerns with, and information about out-of-hours services they can contact when their healthcare team is not available.</w:t>
      </w:r>
      <w:r w:rsidR="00F769F2">
        <w:t xml:space="preserve"> </w:t>
      </w:r>
      <w:r w:rsidR="00F769F2" w:rsidRPr="00F769F2">
        <w:t xml:space="preserve">They should provide adequate information to </w:t>
      </w:r>
      <w:r w:rsidR="00F769F2">
        <w:t>enable</w:t>
      </w:r>
      <w:r w:rsidR="00F769F2" w:rsidRPr="00F769F2">
        <w:t xml:space="preserve"> </w:t>
      </w:r>
      <w:r w:rsidR="003E04F5">
        <w:t xml:space="preserve">people </w:t>
      </w:r>
      <w:r w:rsidR="00F769F2" w:rsidRPr="00F769F2">
        <w:t xml:space="preserve">to </w:t>
      </w:r>
      <w:r w:rsidR="00F769F2">
        <w:t>make an informed</w:t>
      </w:r>
      <w:r w:rsidR="00F769F2" w:rsidRPr="00F769F2">
        <w:t xml:space="preserve"> </w:t>
      </w:r>
      <w:r w:rsidR="00F769F2">
        <w:t xml:space="preserve">decision about </w:t>
      </w:r>
      <w:r w:rsidR="00F769F2" w:rsidRPr="00F769F2">
        <w:t>outpatient management.</w:t>
      </w:r>
      <w:r w:rsidR="00F769F2">
        <w:t xml:space="preserve"> </w:t>
      </w:r>
    </w:p>
    <w:p w14:paraId="04CA8707" w14:textId="6B571D2B" w:rsidR="00D94B78" w:rsidRPr="000C37A0" w:rsidRDefault="00D94B78" w:rsidP="00D94B78">
      <w:pPr>
        <w:pStyle w:val="NICEnormal"/>
      </w:pPr>
      <w:r w:rsidRPr="001B650C">
        <w:rPr>
          <w:b/>
        </w:rPr>
        <w:t>Commissioners</w:t>
      </w:r>
      <w:r w:rsidRPr="001B650C">
        <w:t xml:space="preserve"> (such as clinical commissioning groups) ensure that </w:t>
      </w:r>
      <w:r w:rsidR="001B650C" w:rsidRPr="001B650C">
        <w:t xml:space="preserve">services have </w:t>
      </w:r>
      <w:r w:rsidR="00F769F2">
        <w:t>the</w:t>
      </w:r>
      <w:r w:rsidR="001B650C" w:rsidRPr="001B650C">
        <w:t xml:space="preserve"> capacity and resources to discuss and agree a plan for monitoring and follow-up with </w:t>
      </w:r>
      <w:r w:rsidR="003E04F5">
        <w:t xml:space="preserve">people </w:t>
      </w:r>
      <w:r w:rsidR="001B650C" w:rsidRPr="001B650C">
        <w:t>having outpatient treatment for suspected or confirmed low-risk PE</w:t>
      </w:r>
      <w:r w:rsidRPr="001B650C">
        <w:t>.</w:t>
      </w:r>
    </w:p>
    <w:p w14:paraId="68AAC4F3" w14:textId="6D1B0EA2" w:rsidR="00D94B78" w:rsidRDefault="003E04F5" w:rsidP="00D94B78">
      <w:pPr>
        <w:pStyle w:val="NICEnormal"/>
      </w:pPr>
      <w:r>
        <w:rPr>
          <w:b/>
        </w:rPr>
        <w:t>People who are having outpatient treatment for a pulmonary embolism</w:t>
      </w:r>
      <w:r w:rsidR="0001731B">
        <w:rPr>
          <w:b/>
        </w:rPr>
        <w:t xml:space="preserve"> </w:t>
      </w:r>
      <w:r w:rsidRPr="001F4371">
        <w:t xml:space="preserve">are </w:t>
      </w:r>
      <w:r w:rsidR="00722F99">
        <w:t>given written information on signs and symptoms they should look out for</w:t>
      </w:r>
      <w:r w:rsidR="00EF031F" w:rsidRPr="003E04F5">
        <w:t xml:space="preserve"> and who to contact if they</w:t>
      </w:r>
      <w:r w:rsidR="00EF031F">
        <w:t xml:space="preserve"> need help or advice</w:t>
      </w:r>
      <w:r w:rsidR="00722F99">
        <w:t>, including out-of-hours services.</w:t>
      </w:r>
      <w:r w:rsidR="00F769F2">
        <w:t xml:space="preserve"> </w:t>
      </w:r>
    </w:p>
    <w:p w14:paraId="7379BB9B" w14:textId="77777777" w:rsidR="00D94B78" w:rsidRPr="000C37A0" w:rsidRDefault="00D94B78" w:rsidP="00D94B78">
      <w:pPr>
        <w:pStyle w:val="Heading2"/>
      </w:pPr>
      <w:r w:rsidRPr="000C37A0">
        <w:t>Source guidance</w:t>
      </w:r>
    </w:p>
    <w:p w14:paraId="3FA3737E" w14:textId="2E39520F" w:rsidR="00D94B78" w:rsidRPr="000C37A0" w:rsidRDefault="007C368A" w:rsidP="00D94B78">
      <w:pPr>
        <w:pStyle w:val="NICEnormal"/>
      </w:pPr>
      <w:hyperlink r:id="rId35" w:history="1">
        <w:r w:rsidR="00FE616D" w:rsidRPr="004D0AC0">
          <w:rPr>
            <w:rStyle w:val="Hyperlink"/>
          </w:rPr>
          <w:t xml:space="preserve">Venous </w:t>
        </w:r>
        <w:r w:rsidR="00FE616D" w:rsidRPr="00CD7890">
          <w:rPr>
            <w:rStyle w:val="Hyperlink"/>
          </w:rPr>
          <w:t>thromboembolic diseases: diagnosis, management and thrombophilia testing</w:t>
        </w:r>
      </w:hyperlink>
      <w:r w:rsidR="00FE616D">
        <w:t>. NICE guideline NG158 (2020), recommendation 1.2.4.</w:t>
      </w:r>
    </w:p>
    <w:p w14:paraId="7C928B4D" w14:textId="4370F365" w:rsidR="00D94B78" w:rsidRPr="000C37A0" w:rsidRDefault="00D94B78" w:rsidP="00D94B78">
      <w:pPr>
        <w:pStyle w:val="Heading2"/>
      </w:pPr>
      <w:r w:rsidRPr="000C37A0">
        <w:t>Definition of terms used in this quality statement</w:t>
      </w:r>
    </w:p>
    <w:p w14:paraId="418F1DE8" w14:textId="150A2837" w:rsidR="00D94B78" w:rsidRPr="006379CB" w:rsidRDefault="00FE616D" w:rsidP="00D94B78">
      <w:pPr>
        <w:pStyle w:val="Heading3"/>
        <w:rPr>
          <w:highlight w:val="cyan"/>
        </w:rPr>
      </w:pPr>
      <w:r>
        <w:t>A</w:t>
      </w:r>
      <w:r w:rsidRPr="00FE616D">
        <w:t>greed plan for follow-up</w:t>
      </w:r>
    </w:p>
    <w:p w14:paraId="7E4EC248" w14:textId="41B58B37" w:rsidR="00FE616D" w:rsidRDefault="00FE616D" w:rsidP="00FE616D">
      <w:pPr>
        <w:pStyle w:val="NICEnormal"/>
      </w:pPr>
      <w:r>
        <w:t>A plan for follow-up that is agreed with the person having outpatient treatment for suspected or confirmed low-risk PE. They should be given:</w:t>
      </w:r>
    </w:p>
    <w:p w14:paraId="0BCAF827" w14:textId="7AA4EDCE" w:rsidR="00FE616D" w:rsidRPr="00FE616D" w:rsidRDefault="00FE616D" w:rsidP="00FE616D">
      <w:pPr>
        <w:pStyle w:val="Bulletleft1"/>
      </w:pPr>
      <w:r>
        <w:t xml:space="preserve">written information on symptoms and signs to look out for, including the potential </w:t>
      </w:r>
      <w:r w:rsidRPr="00FE616D">
        <w:t>complications of thrombosis and of treatment</w:t>
      </w:r>
    </w:p>
    <w:p w14:paraId="049EA585" w14:textId="77777777" w:rsidR="00FE616D" w:rsidRPr="00FE616D" w:rsidRDefault="00FE616D" w:rsidP="00FE616D">
      <w:pPr>
        <w:pStyle w:val="Bulletleft1"/>
      </w:pPr>
      <w:r w:rsidRPr="00FE616D">
        <w:t>direct contact details of a healthcare professional or team with expertise in thrombosis who can discuss any new symptoms or signs, or other concerns</w:t>
      </w:r>
    </w:p>
    <w:p w14:paraId="2A7B1A3C" w14:textId="454574CD" w:rsidR="00FE616D" w:rsidRDefault="00FE616D" w:rsidP="00FE616D">
      <w:pPr>
        <w:pStyle w:val="Bulletleft1last"/>
      </w:pPr>
      <w:r w:rsidRPr="00FE616D">
        <w:t>information about out-of-hours services they can contact when their healthcare team is not available.</w:t>
      </w:r>
    </w:p>
    <w:p w14:paraId="149EAAED" w14:textId="45379C31" w:rsidR="00FE616D" w:rsidRDefault="00FE616D" w:rsidP="00FE616D">
      <w:pPr>
        <w:pStyle w:val="Bulletleft1last"/>
        <w:numPr>
          <w:ilvl w:val="0"/>
          <w:numId w:val="0"/>
        </w:numPr>
      </w:pPr>
      <w:r w:rsidRPr="006A1841">
        <w:t>[</w:t>
      </w:r>
      <w:hyperlink r:id="rId36" w:history="1">
        <w:r w:rsidRPr="006A1841">
          <w:rPr>
            <w:rStyle w:val="Hyperlink"/>
          </w:rPr>
          <w:t xml:space="preserve">NICE’s guideline on venous </w:t>
        </w:r>
        <w:r w:rsidRPr="00CD7890">
          <w:rPr>
            <w:rStyle w:val="Hyperlink"/>
          </w:rPr>
          <w:t>thromboembolic diseases</w:t>
        </w:r>
      </w:hyperlink>
      <w:r w:rsidRPr="006A1841">
        <w:t>, recommendation</w:t>
      </w:r>
      <w:r>
        <w:t xml:space="preserve"> 1.</w:t>
      </w:r>
      <w:r>
        <w:rPr>
          <w:lang w:val="en-GB"/>
        </w:rPr>
        <w:t>2</w:t>
      </w:r>
      <w:r>
        <w:t>.4]</w:t>
      </w:r>
    </w:p>
    <w:p w14:paraId="3DBE956B" w14:textId="77777777" w:rsidR="00E55778" w:rsidRPr="000C37A0" w:rsidRDefault="00E55778" w:rsidP="00E55778">
      <w:pPr>
        <w:pStyle w:val="Heading2"/>
      </w:pPr>
      <w:r w:rsidRPr="000C37A0">
        <w:t>Equality and diversity considerations</w:t>
      </w:r>
    </w:p>
    <w:p w14:paraId="537711A6" w14:textId="47D6BFF9" w:rsidR="00E55778" w:rsidRPr="00E55778" w:rsidRDefault="007C368A" w:rsidP="00E55778">
      <w:pPr>
        <w:pStyle w:val="NICEnormal"/>
      </w:pPr>
      <w:hyperlink r:id="rId37" w:history="1">
        <w:r w:rsidR="00E55778" w:rsidRPr="00E55778">
          <w:rPr>
            <w:rStyle w:val="Hyperlink"/>
          </w:rPr>
          <w:t>NICE’s guideline on venous thromboembolic diseases</w:t>
        </w:r>
      </w:hyperlink>
      <w:r w:rsidR="00E55778" w:rsidRPr="004C2324">
        <w:t xml:space="preserve"> </w:t>
      </w:r>
      <w:r w:rsidR="00E55778" w:rsidRPr="00096E5E">
        <w:t>cover</w:t>
      </w:r>
      <w:r w:rsidR="00B05BC3">
        <w:t>s</w:t>
      </w:r>
      <w:r w:rsidR="00E55778" w:rsidRPr="00096E5E">
        <w:t xml:space="preserve"> people aged 18 and over</w:t>
      </w:r>
      <w:r w:rsidR="00B05BC3">
        <w:t xml:space="preserve"> as the evidence for the recommendations focused on this age group</w:t>
      </w:r>
      <w:r w:rsidR="00B05BC3" w:rsidRPr="00096E5E">
        <w:t xml:space="preserve">. </w:t>
      </w:r>
      <w:r w:rsidR="00B05BC3">
        <w:t>This statement applies to people aged 18 and over, but</w:t>
      </w:r>
      <w:r w:rsidR="00E55778" w:rsidRPr="00096E5E">
        <w:t xml:space="preserve"> </w:t>
      </w:r>
      <w:r w:rsidR="00B05BC3">
        <w:t>c</w:t>
      </w:r>
      <w:r w:rsidR="00E55778" w:rsidRPr="00096E5E">
        <w:t xml:space="preserve">linical judgement should be used when treating people aged under 18 </w:t>
      </w:r>
      <w:r w:rsidR="00E55778" w:rsidRPr="00D64834">
        <w:t>having</w:t>
      </w:r>
      <w:r w:rsidR="00E55778" w:rsidRPr="00FA26F7">
        <w:t xml:space="preserve"> outpatient treatment for suspected or confirmed low-risk </w:t>
      </w:r>
      <w:r w:rsidR="00E55778">
        <w:t>P</w:t>
      </w:r>
      <w:r w:rsidR="00E55778" w:rsidRPr="004C2324">
        <w:t>E.</w:t>
      </w:r>
    </w:p>
    <w:p w14:paraId="016FEC08" w14:textId="77777777" w:rsidR="00E55778" w:rsidRPr="00C408D2" w:rsidRDefault="00E55778" w:rsidP="00FE616D">
      <w:pPr>
        <w:pStyle w:val="Bulletleft1last"/>
        <w:numPr>
          <w:ilvl w:val="0"/>
          <w:numId w:val="0"/>
        </w:numPr>
      </w:pPr>
    </w:p>
    <w:p w14:paraId="4E45C5BC" w14:textId="77777777" w:rsidR="00F07A08" w:rsidRDefault="00F07A08">
      <w:pPr>
        <w:rPr>
          <w:rFonts w:ascii="Arial" w:hAnsi="Arial" w:cs="Arial"/>
          <w:b/>
          <w:bCs/>
          <w:kern w:val="32"/>
          <w:sz w:val="32"/>
          <w:szCs w:val="32"/>
        </w:rPr>
      </w:pPr>
      <w:bookmarkStart w:id="18" w:name="_Quality_statement_X"/>
      <w:bookmarkStart w:id="19" w:name="_Quality_statement_[X]"/>
      <w:bookmarkStart w:id="20" w:name="_Update_information_2"/>
      <w:bookmarkEnd w:id="18"/>
      <w:bookmarkEnd w:id="19"/>
      <w:bookmarkEnd w:id="20"/>
      <w:r>
        <w:br w:type="page"/>
      </w:r>
    </w:p>
    <w:p w14:paraId="758B4B63" w14:textId="41B8168C" w:rsidR="001A13D3" w:rsidRDefault="001A13D3" w:rsidP="001A13D3">
      <w:pPr>
        <w:pStyle w:val="Heading1"/>
      </w:pPr>
      <w:r>
        <w:t>Update information</w:t>
      </w:r>
    </w:p>
    <w:p w14:paraId="2AF04CF6" w14:textId="2A6B9165" w:rsidR="001A13D3" w:rsidRDefault="003E5C13" w:rsidP="001A13D3">
      <w:pPr>
        <w:pStyle w:val="NICEnormal"/>
      </w:pPr>
      <w:r>
        <w:rPr>
          <w:b/>
        </w:rPr>
        <w:t>April 2021</w:t>
      </w:r>
      <w:r w:rsidR="00501F9E">
        <w:rPr>
          <w:b/>
        </w:rPr>
        <w:t>:</w:t>
      </w:r>
      <w:r w:rsidR="00501F9E" w:rsidRPr="00501F9E">
        <w:t xml:space="preserve"> T</w:t>
      </w:r>
      <w:r w:rsidR="001A13D3" w:rsidRPr="00501F9E">
        <w:t>his</w:t>
      </w:r>
      <w:r w:rsidR="001A13D3" w:rsidRPr="00AE4C4E">
        <w:t xml:space="preserve"> quality standard was updated and statements prioritised in </w:t>
      </w:r>
      <w:r>
        <w:t>2010 and 2013</w:t>
      </w:r>
      <w:r w:rsidR="001A13D3" w:rsidRPr="00386611">
        <w:t xml:space="preserve"> </w:t>
      </w:r>
      <w:r w:rsidR="001A13D3">
        <w:t xml:space="preserve">were replaced. </w:t>
      </w:r>
    </w:p>
    <w:p w14:paraId="2B6A1FBA" w14:textId="7BB59958" w:rsidR="001A13D3" w:rsidRDefault="001A13D3" w:rsidP="001A13D3">
      <w:pPr>
        <w:pStyle w:val="NICEnormal"/>
      </w:pPr>
      <w:r>
        <w:t xml:space="preserve">Statements are </w:t>
      </w:r>
      <w:r w:rsidR="003E2324">
        <w:t>marked as</w:t>
      </w:r>
      <w:r>
        <w:t xml:space="preserve">: </w:t>
      </w:r>
    </w:p>
    <w:p w14:paraId="12B5EF4A" w14:textId="30B0964F" w:rsidR="001A13D3" w:rsidRDefault="001A13D3" w:rsidP="00303B97">
      <w:pPr>
        <w:pStyle w:val="Bulletleft1"/>
        <w:numPr>
          <w:ilvl w:val="0"/>
          <w:numId w:val="3"/>
        </w:numPr>
      </w:pPr>
      <w:r w:rsidRPr="009E1D9D">
        <w:rPr>
          <w:b/>
        </w:rPr>
        <w:t xml:space="preserve">[new </w:t>
      </w:r>
      <w:r>
        <w:rPr>
          <w:b/>
        </w:rPr>
        <w:t>20</w:t>
      </w:r>
      <w:r w:rsidR="003E5C13">
        <w:rPr>
          <w:b/>
        </w:rPr>
        <w:t>21</w:t>
      </w:r>
      <w:r>
        <w:rPr>
          <w:b/>
        </w:rPr>
        <w:t>]</w:t>
      </w:r>
      <w:r>
        <w:t xml:space="preserve"> if the statement covers a new area for quality improvement </w:t>
      </w:r>
    </w:p>
    <w:p w14:paraId="68A99677" w14:textId="25650B0F" w:rsidR="001A13D3" w:rsidRDefault="001A13D3" w:rsidP="001A13D3">
      <w:pPr>
        <w:pStyle w:val="Bulletleft1last"/>
      </w:pPr>
      <w:r w:rsidRPr="009E1D9D">
        <w:rPr>
          <w:b/>
        </w:rPr>
        <w:t>[20</w:t>
      </w:r>
      <w:r w:rsidR="003E5C13">
        <w:rPr>
          <w:b/>
          <w:lang w:val="en-GB"/>
        </w:rPr>
        <w:t>10 or 2013</w:t>
      </w:r>
      <w:r>
        <w:rPr>
          <w:b/>
        </w:rPr>
        <w:t>, updated 20</w:t>
      </w:r>
      <w:r w:rsidR="003E5C13">
        <w:rPr>
          <w:b/>
          <w:lang w:val="en-GB"/>
        </w:rPr>
        <w:t>21</w:t>
      </w:r>
      <w:r w:rsidRPr="009E1D9D">
        <w:rPr>
          <w:b/>
        </w:rPr>
        <w:t xml:space="preserve">] </w:t>
      </w:r>
      <w:r>
        <w:t>if the statement covers an area for quality improvement included in the 20</w:t>
      </w:r>
      <w:r w:rsidR="003E5C13">
        <w:rPr>
          <w:lang w:val="en-GB"/>
        </w:rPr>
        <w:t>10 or 2013</w:t>
      </w:r>
      <w:r>
        <w:t xml:space="preserve"> quality standard and has been updated.</w:t>
      </w:r>
    </w:p>
    <w:p w14:paraId="4A703A6D" w14:textId="7DDE554E" w:rsidR="005E6E43" w:rsidRDefault="005E6E43" w:rsidP="005E6E43">
      <w:pPr>
        <w:pStyle w:val="NICEnormal"/>
      </w:pPr>
      <w:bookmarkStart w:id="21" w:name="_Hlk55392463"/>
      <w:r>
        <w:t>Statement</w:t>
      </w:r>
      <w:r w:rsidR="00DF05A2">
        <w:t>s</w:t>
      </w:r>
      <w:r>
        <w:t xml:space="preserve"> numbered </w:t>
      </w:r>
      <w:r w:rsidR="00DF05A2">
        <w:t xml:space="preserve">3 and </w:t>
      </w:r>
      <w:r w:rsidR="00681BD2">
        <w:t xml:space="preserve">5 </w:t>
      </w:r>
      <w:r w:rsidR="00F07A08">
        <w:t xml:space="preserve">in the 2010 </w:t>
      </w:r>
      <w:r>
        <w:t xml:space="preserve">version have been updated and are included in the updated quality standard, marked as </w:t>
      </w:r>
      <w:r w:rsidRPr="009E1D9D">
        <w:rPr>
          <w:b/>
        </w:rPr>
        <w:t>[20</w:t>
      </w:r>
      <w:r w:rsidR="00F07A08">
        <w:rPr>
          <w:b/>
        </w:rPr>
        <w:t>10</w:t>
      </w:r>
      <w:r w:rsidRPr="009E1D9D">
        <w:rPr>
          <w:b/>
        </w:rPr>
        <w:t>, updated 20</w:t>
      </w:r>
      <w:r w:rsidR="00F07A08">
        <w:rPr>
          <w:b/>
        </w:rPr>
        <w:t>21</w:t>
      </w:r>
      <w:r w:rsidRPr="009E1D9D">
        <w:rPr>
          <w:b/>
        </w:rPr>
        <w:t>]</w:t>
      </w:r>
      <w:r>
        <w:t xml:space="preserve">. </w:t>
      </w:r>
    </w:p>
    <w:bookmarkEnd w:id="21"/>
    <w:p w14:paraId="16DD59A6" w14:textId="614B54F5" w:rsidR="00681BD2" w:rsidRDefault="00681BD2" w:rsidP="005E6E43">
      <w:pPr>
        <w:pStyle w:val="NICEnormal"/>
      </w:pPr>
      <w:r w:rsidRPr="00681BD2">
        <w:t>Statement</w:t>
      </w:r>
      <w:r w:rsidR="00DF05A2">
        <w:t>s</w:t>
      </w:r>
      <w:r w:rsidRPr="00681BD2">
        <w:t xml:space="preserve"> numbered </w:t>
      </w:r>
      <w:r>
        <w:t>2</w:t>
      </w:r>
      <w:r w:rsidRPr="00681BD2">
        <w:t xml:space="preserve"> </w:t>
      </w:r>
      <w:r w:rsidR="00DF05A2">
        <w:t xml:space="preserve">and 8 </w:t>
      </w:r>
      <w:r w:rsidRPr="00681BD2">
        <w:t>in the 201</w:t>
      </w:r>
      <w:r>
        <w:t>3</w:t>
      </w:r>
      <w:r w:rsidRPr="00681BD2">
        <w:t xml:space="preserve"> version have been updated and are included in the updated quality standard, marked as </w:t>
      </w:r>
      <w:r w:rsidRPr="00681BD2">
        <w:rPr>
          <w:b/>
        </w:rPr>
        <w:t>[201</w:t>
      </w:r>
      <w:r>
        <w:rPr>
          <w:b/>
        </w:rPr>
        <w:t>3</w:t>
      </w:r>
      <w:r w:rsidRPr="00681BD2">
        <w:rPr>
          <w:b/>
        </w:rPr>
        <w:t>, updated 2021]</w:t>
      </w:r>
      <w:r w:rsidRPr="00681BD2">
        <w:t xml:space="preserve">. </w:t>
      </w:r>
    </w:p>
    <w:p w14:paraId="4E7E5152" w14:textId="0C787E06" w:rsidR="005E6E43" w:rsidRDefault="005E6E43" w:rsidP="005E6E43">
      <w:pPr>
        <w:pStyle w:val="NICEnormal"/>
      </w:pPr>
      <w:r>
        <w:t>S</w:t>
      </w:r>
      <w:r w:rsidRPr="00076933">
        <w:t>tatements</w:t>
      </w:r>
      <w:r>
        <w:t xml:space="preserve"> from the </w:t>
      </w:r>
      <w:r w:rsidR="00681BD2">
        <w:t xml:space="preserve">2010 quality standard </w:t>
      </w:r>
      <w:r>
        <w:t xml:space="preserve">that are still supported by the evidence may still be useful at a local level, and </w:t>
      </w:r>
      <w:r w:rsidR="00C85E3C">
        <w:t xml:space="preserve">can be found </w:t>
      </w:r>
      <w:hyperlink r:id="rId38" w:history="1">
        <w:r w:rsidR="00C85E3C" w:rsidRPr="00C85E3C">
          <w:rPr>
            <w:rStyle w:val="Hyperlink"/>
          </w:rPr>
          <w:t>here</w:t>
        </w:r>
      </w:hyperlink>
      <w:r w:rsidR="00C85E3C">
        <w:t>.</w:t>
      </w:r>
      <w:r>
        <w:t xml:space="preserve"> </w:t>
      </w:r>
    </w:p>
    <w:p w14:paraId="3065FCB7" w14:textId="764B737C" w:rsidR="005E6E43" w:rsidRDefault="00C85E3C" w:rsidP="005E6E43">
      <w:pPr>
        <w:pStyle w:val="Bulletleft1last"/>
        <w:numPr>
          <w:ilvl w:val="0"/>
          <w:numId w:val="0"/>
        </w:numPr>
      </w:pPr>
      <w:r w:rsidRPr="00C85E3C">
        <w:rPr>
          <w:lang w:val="en-GB"/>
        </w:rPr>
        <w:t xml:space="preserve">Statements from the </w:t>
      </w:r>
      <w:r>
        <w:rPr>
          <w:lang w:val="en-GB"/>
        </w:rPr>
        <w:t>2013</w:t>
      </w:r>
      <w:r w:rsidRPr="00C85E3C">
        <w:rPr>
          <w:lang w:val="en-GB"/>
        </w:rPr>
        <w:t xml:space="preserve"> quality standard that are still supported by the evidence may still be useful at a local level, and can be found</w:t>
      </w:r>
      <w:r>
        <w:rPr>
          <w:lang w:val="en-GB"/>
        </w:rPr>
        <w:t xml:space="preserve"> </w:t>
      </w:r>
      <w:hyperlink r:id="rId39" w:history="1">
        <w:r w:rsidRPr="00C85E3C">
          <w:rPr>
            <w:rStyle w:val="Hyperlink"/>
            <w:lang w:val="en-GB"/>
          </w:rPr>
          <w:t>here</w:t>
        </w:r>
      </w:hyperlink>
      <w:r>
        <w:rPr>
          <w:lang w:val="en-GB"/>
        </w:rPr>
        <w:t>.</w:t>
      </w:r>
    </w:p>
    <w:p w14:paraId="68D064DC" w14:textId="77777777" w:rsidR="001A13D3" w:rsidRPr="003604BE" w:rsidRDefault="001A13D3" w:rsidP="003604BE">
      <w:pPr>
        <w:pStyle w:val="NICEnormal"/>
      </w:pPr>
      <w:r>
        <w:br w:type="page"/>
      </w:r>
    </w:p>
    <w:p w14:paraId="1DBA27C9" w14:textId="77777777" w:rsidR="009C399D" w:rsidRPr="000C37A0" w:rsidRDefault="009C399D" w:rsidP="002E309E">
      <w:pPr>
        <w:pStyle w:val="Heading1"/>
      </w:pPr>
      <w:r w:rsidRPr="000C37A0">
        <w:t>About this quality standard</w:t>
      </w:r>
    </w:p>
    <w:p w14:paraId="09951806"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37C75507"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7515C5E1" w14:textId="77777777" w:rsidR="008668A6" w:rsidRDefault="008668A6" w:rsidP="007F0FC4">
      <w:pPr>
        <w:pStyle w:val="NICEnormal"/>
      </w:pPr>
      <w:r w:rsidRPr="008668A6">
        <w:t xml:space="preserve">Information about </w:t>
      </w:r>
      <w:hyperlink r:id="rId4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5F554EDC" w14:textId="59933732" w:rsidR="00A2601C" w:rsidRPr="000C37A0" w:rsidRDefault="008668A6" w:rsidP="007F0FC4">
      <w:pPr>
        <w:pStyle w:val="NICEnormal"/>
      </w:pPr>
      <w:r>
        <w:t xml:space="preserve">See </w:t>
      </w:r>
      <w:r w:rsidR="007900C0">
        <w:t xml:space="preserve">our </w:t>
      </w:r>
      <w:hyperlink r:id="rId41"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3E5C13">
        <w:t>3</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42" w:history="1">
        <w:r w:rsidR="007900C0" w:rsidRPr="007900C0">
          <w:rPr>
            <w:rStyle w:val="Hyperlink"/>
          </w:rPr>
          <w:t xml:space="preserve">webpage for this </w:t>
        </w:r>
        <w:r w:rsidR="006E63A5" w:rsidRPr="00434230">
          <w:rPr>
            <w:rStyle w:val="Hyperlink"/>
          </w:rPr>
          <w:t>quality standard</w:t>
        </w:r>
      </w:hyperlink>
      <w:r w:rsidR="006E63A5">
        <w:t>.</w:t>
      </w:r>
    </w:p>
    <w:p w14:paraId="66BF2D27" w14:textId="7C325AEF" w:rsidR="005961B7" w:rsidRDefault="003F0671" w:rsidP="005961B7">
      <w:pPr>
        <w:pStyle w:val="NICEnormal"/>
      </w:pPr>
      <w:r w:rsidRPr="003F0671">
        <w:t xml:space="preserve">This quality standard has been included in the </w:t>
      </w:r>
      <w:hyperlink r:id="rId43" w:history="1">
        <w:r w:rsidRPr="007900C0">
          <w:rPr>
            <w:rStyle w:val="Hyperlink"/>
          </w:rPr>
          <w:t xml:space="preserve">NICE Pathway on </w:t>
        </w:r>
        <w:r w:rsidR="00434230">
          <w:rPr>
            <w:rStyle w:val="Hyperlink"/>
          </w:rPr>
          <w:t>venous thromboembolism</w:t>
        </w:r>
      </w:hyperlink>
      <w:r w:rsidRPr="003F0671">
        <w:t>, which brings together everything we have said on</w:t>
      </w:r>
      <w:r w:rsidR="00D6620C">
        <w:t xml:space="preserve"> a topic</w:t>
      </w:r>
      <w:r w:rsidRPr="003F0671">
        <w:t xml:space="preserve"> in an interactive flowchart</w:t>
      </w:r>
      <w:r w:rsidR="005961B7" w:rsidRPr="00A11AA8">
        <w:t>.</w:t>
      </w:r>
    </w:p>
    <w:p w14:paraId="4F342C33" w14:textId="7538419A" w:rsidR="00873667" w:rsidRDefault="009336F4" w:rsidP="005961B7">
      <w:pPr>
        <w:pStyle w:val="NICEnormal"/>
      </w:pPr>
      <w:r w:rsidRPr="001B48BE">
        <w:t>NICE</w:t>
      </w:r>
      <w:r>
        <w:t xml:space="preserve"> has produced a</w:t>
      </w:r>
      <w:r w:rsidRPr="001B48BE">
        <w:t xml:space="preserve"> </w:t>
      </w:r>
      <w:hyperlink r:id="rId44" w:history="1">
        <w:r w:rsidRPr="00434230">
          <w:rPr>
            <w:rStyle w:val="Hyperlink"/>
          </w:rPr>
          <w:t>quality standard service improvement template</w:t>
        </w:r>
      </w:hyperlink>
      <w:r w:rsidR="00A11AA8">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1F90841C"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Decisions on how NICE guidance and other products apply in those countries are made by ministers in the Welsh government, Scottish government, and Northern Ireland Executive. NICE guidance or other products may include references to organisations or people responsible for commissioning or providing care that may be relevant only to England.</w:t>
      </w:r>
    </w:p>
    <w:p w14:paraId="0628E903" w14:textId="77777777" w:rsidR="008E05A3" w:rsidRPr="005F33F2" w:rsidRDefault="008E05A3" w:rsidP="008E05A3">
      <w:pPr>
        <w:pStyle w:val="Heading2"/>
      </w:pPr>
      <w:r w:rsidRPr="005F33F2">
        <w:t>Improving outcomes</w:t>
      </w:r>
    </w:p>
    <w:p w14:paraId="6A7FCC76" w14:textId="77777777" w:rsidR="008E05A3" w:rsidRPr="005F33F2" w:rsidRDefault="008E05A3" w:rsidP="008E05A3">
      <w:pPr>
        <w:pStyle w:val="NICEnormal"/>
      </w:pPr>
      <w:r w:rsidRPr="005F33F2">
        <w:t>This quality standard is expected to contribute to improvements in the following outcomes:</w:t>
      </w:r>
    </w:p>
    <w:p w14:paraId="05D12FD3" w14:textId="77777777" w:rsidR="006B621E" w:rsidRDefault="006B621E" w:rsidP="00303B97">
      <w:pPr>
        <w:pStyle w:val="Bulletleft1"/>
        <w:numPr>
          <w:ilvl w:val="0"/>
          <w:numId w:val="3"/>
        </w:numPr>
      </w:pPr>
      <w:r>
        <w:t>hospital-acquired thrombosis</w:t>
      </w:r>
    </w:p>
    <w:p w14:paraId="43D3C9CC" w14:textId="0FE4363E" w:rsidR="008E05A3" w:rsidRDefault="006B621E" w:rsidP="00303B97">
      <w:pPr>
        <w:pStyle w:val="Bulletleft1"/>
        <w:numPr>
          <w:ilvl w:val="0"/>
          <w:numId w:val="3"/>
        </w:numPr>
      </w:pPr>
      <w:r>
        <w:t>hospital readmissions for people with suspected or confirmed VTE</w:t>
      </w:r>
    </w:p>
    <w:p w14:paraId="4101B207" w14:textId="190A75C9" w:rsidR="003A1B61" w:rsidRDefault="003A1B61" w:rsidP="003A1B61">
      <w:pPr>
        <w:pStyle w:val="Bulletleft1"/>
      </w:pPr>
      <w:r w:rsidRPr="003A1B61">
        <w:t>deaths from VTE related events within 90 days post discharge from hospital</w:t>
      </w:r>
    </w:p>
    <w:p w14:paraId="6ADB7E30" w14:textId="12956E03" w:rsidR="005B11C8" w:rsidRPr="005F33F2" w:rsidRDefault="005B11C8" w:rsidP="00303B97">
      <w:pPr>
        <w:pStyle w:val="Bulletleft1"/>
        <w:numPr>
          <w:ilvl w:val="0"/>
          <w:numId w:val="3"/>
        </w:numPr>
      </w:pPr>
      <w:r w:rsidRPr="005F33F2">
        <w:t xml:space="preserve">quality of life </w:t>
      </w:r>
      <w:r w:rsidR="00C85E3C">
        <w:t>of people with venous thromboembolism</w:t>
      </w:r>
    </w:p>
    <w:p w14:paraId="638AA9BA" w14:textId="608BD9EF" w:rsidR="00CC6DB1" w:rsidRPr="005F33F2" w:rsidRDefault="00461C24" w:rsidP="001F4371">
      <w:pPr>
        <w:pStyle w:val="Bulletleft1last"/>
      </w:pPr>
      <w:r w:rsidRPr="005F33F2">
        <w:t xml:space="preserve">rates of </w:t>
      </w:r>
      <w:r w:rsidR="00CC6DB1" w:rsidRPr="005F33F2">
        <w:t>patient safety incidents</w:t>
      </w:r>
      <w:r w:rsidRPr="005F33F2">
        <w:t>.</w:t>
      </w:r>
    </w:p>
    <w:p w14:paraId="7DCC3FDD" w14:textId="45EECC83" w:rsidR="008160BE" w:rsidRPr="007800FE" w:rsidRDefault="008160BE" w:rsidP="008160BE">
      <w:pPr>
        <w:pStyle w:val="NICEnormal"/>
      </w:pPr>
      <w:r w:rsidRPr="007800FE">
        <w:t>It is also expected to support delivery of the following national framework:</w:t>
      </w:r>
    </w:p>
    <w:bookmarkStart w:id="22" w:name="_Hlk42789747"/>
    <w:bookmarkStart w:id="23" w:name="_Hlk42784334"/>
    <w:p w14:paraId="61830932" w14:textId="65617F15" w:rsidR="008160BE" w:rsidRPr="007800FE" w:rsidRDefault="0096243B" w:rsidP="00303B97">
      <w:pPr>
        <w:pStyle w:val="Bulletleft1"/>
        <w:numPr>
          <w:ilvl w:val="0"/>
          <w:numId w:val="11"/>
        </w:numPr>
      </w:pPr>
      <w:r>
        <w:fldChar w:fldCharType="begin"/>
      </w:r>
      <w:r>
        <w:instrText xml:space="preserve"> HYPERLINK "https://digital.nhs.uk/data-and-information/publications/clinical-indicators/nhs-outcomes-framework" </w:instrText>
      </w:r>
      <w:r>
        <w:fldChar w:fldCharType="separate"/>
      </w:r>
      <w:r w:rsidR="008160BE" w:rsidRPr="007800FE">
        <w:rPr>
          <w:rStyle w:val="Hyperlink"/>
        </w:rPr>
        <w:t>NHS outcomes framework</w:t>
      </w:r>
      <w:r>
        <w:rPr>
          <w:rStyle w:val="Hyperlink"/>
        </w:rPr>
        <w:fldChar w:fldCharType="end"/>
      </w:r>
      <w:r w:rsidR="00E059D7">
        <w:rPr>
          <w:rStyle w:val="Hyperlink"/>
        </w:rPr>
        <w:t>.</w:t>
      </w:r>
    </w:p>
    <w:bookmarkEnd w:id="22"/>
    <w:bookmarkEnd w:id="23"/>
    <w:p w14:paraId="383C3878" w14:textId="77777777" w:rsidR="00945D72" w:rsidRDefault="00945D72" w:rsidP="00E57EE0">
      <w:pPr>
        <w:pStyle w:val="Heading2"/>
      </w:pPr>
      <w:r>
        <w:t>Resource impact</w:t>
      </w:r>
    </w:p>
    <w:p w14:paraId="794F1F7E" w14:textId="77777777" w:rsidR="005F56C3" w:rsidRDefault="005F56C3" w:rsidP="005F56C3">
      <w:pPr>
        <w:pStyle w:val="NICEnormal"/>
      </w:pPr>
      <w:r>
        <w:t xml:space="preserve">NICE quality standards should be achievable by local services. </w:t>
      </w:r>
      <w:r w:rsidRPr="004C4D07">
        <w:t>The potential resource impact is considered by the quality standards advisory committee, drawing on resource impact work for the source guidance. Organisations are encouraged to use the resource impact products for the source guidance to help estimate local costs</w:t>
      </w:r>
      <w:r>
        <w:t>:</w:t>
      </w:r>
    </w:p>
    <w:p w14:paraId="6B78250C" w14:textId="28CACC20" w:rsidR="005F56C3" w:rsidRDefault="007C368A" w:rsidP="00303B97">
      <w:pPr>
        <w:pStyle w:val="Bulletleft1"/>
        <w:numPr>
          <w:ilvl w:val="0"/>
          <w:numId w:val="3"/>
        </w:numPr>
      </w:pPr>
      <w:hyperlink r:id="rId45" w:history="1">
        <w:r w:rsidR="00434230">
          <w:rPr>
            <w:rStyle w:val="Hyperlink"/>
          </w:rPr>
          <w:t>resource impact statement</w:t>
        </w:r>
        <w:r w:rsidR="005F56C3" w:rsidRPr="00E63900">
          <w:rPr>
            <w:rStyle w:val="Hyperlink"/>
          </w:rPr>
          <w:t xml:space="preserve"> for NICE</w:t>
        </w:r>
        <w:r w:rsidR="00E63900" w:rsidRPr="00E63900">
          <w:rPr>
            <w:rStyle w:val="Hyperlink"/>
          </w:rPr>
          <w:t>’s</w:t>
        </w:r>
        <w:r w:rsidR="005F56C3" w:rsidRPr="00E63900">
          <w:rPr>
            <w:rStyle w:val="Hyperlink"/>
          </w:rPr>
          <w:t xml:space="preserve"> guideline on </w:t>
        </w:r>
        <w:r w:rsidR="00434230">
          <w:rPr>
            <w:rStyle w:val="Hyperlink"/>
          </w:rPr>
          <w:t>v</w:t>
        </w:r>
        <w:r w:rsidR="00434230" w:rsidRPr="00434230">
          <w:rPr>
            <w:rStyle w:val="Hyperlink"/>
          </w:rPr>
          <w:t>enous thromboembolism in over 16s</w:t>
        </w:r>
      </w:hyperlink>
    </w:p>
    <w:p w14:paraId="51429121" w14:textId="0F15673C" w:rsidR="005F56C3" w:rsidRPr="000C37A0" w:rsidRDefault="007C368A" w:rsidP="005F56C3">
      <w:pPr>
        <w:pStyle w:val="Bulletleft1last"/>
      </w:pPr>
      <w:hyperlink r:id="rId46" w:history="1">
        <w:r w:rsidR="005F56C3" w:rsidRPr="00E63900">
          <w:rPr>
            <w:rStyle w:val="Hyperlink"/>
            <w:lang w:val="en-GB"/>
          </w:rPr>
          <w:t xml:space="preserve">resource </w:t>
        </w:r>
        <w:r w:rsidR="005F56C3" w:rsidRPr="00E63900">
          <w:rPr>
            <w:rStyle w:val="Hyperlink"/>
          </w:rPr>
          <w:t xml:space="preserve">impact </w:t>
        </w:r>
        <w:r w:rsidR="00434230">
          <w:rPr>
            <w:rStyle w:val="Hyperlink"/>
            <w:lang w:val="en-GB"/>
          </w:rPr>
          <w:t xml:space="preserve">template and </w:t>
        </w:r>
        <w:r w:rsidR="005F56C3" w:rsidRPr="00E63900">
          <w:rPr>
            <w:rStyle w:val="Hyperlink"/>
          </w:rPr>
          <w:t>report for NICE</w:t>
        </w:r>
        <w:r w:rsidR="00E63900" w:rsidRPr="00E63900">
          <w:rPr>
            <w:rStyle w:val="Hyperlink"/>
            <w:lang w:val="en-GB"/>
          </w:rPr>
          <w:t>’s</w:t>
        </w:r>
        <w:r w:rsidR="005F56C3" w:rsidRPr="00E63900">
          <w:rPr>
            <w:rStyle w:val="Hyperlink"/>
          </w:rPr>
          <w:t xml:space="preserve"> guideline </w:t>
        </w:r>
        <w:r w:rsidR="005F56C3" w:rsidRPr="00E63900">
          <w:rPr>
            <w:rStyle w:val="Hyperlink"/>
            <w:lang w:val="en-GB"/>
          </w:rPr>
          <w:t xml:space="preserve">on </w:t>
        </w:r>
        <w:r w:rsidR="00434230">
          <w:rPr>
            <w:rStyle w:val="Hyperlink"/>
            <w:lang w:val="en-GB"/>
          </w:rPr>
          <w:t>v</w:t>
        </w:r>
        <w:r w:rsidR="00434230" w:rsidRPr="00434230">
          <w:rPr>
            <w:rStyle w:val="Hyperlink"/>
            <w:lang w:val="en-GB"/>
          </w:rPr>
          <w:t>enous thromboembolic diseases</w:t>
        </w:r>
      </w:hyperlink>
      <w:r w:rsidR="005F56C3">
        <w:t>.</w:t>
      </w:r>
    </w:p>
    <w:p w14:paraId="01C674A3" w14:textId="77777777" w:rsidR="00A2601C" w:rsidRPr="000C37A0" w:rsidRDefault="00A2601C" w:rsidP="00E57EE0">
      <w:pPr>
        <w:pStyle w:val="Heading2"/>
      </w:pPr>
      <w:r w:rsidRPr="000C37A0">
        <w:t>Diversity, equality and language</w:t>
      </w:r>
    </w:p>
    <w:p w14:paraId="357535EE" w14:textId="77764AEA"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47" w:history="1">
        <w:r w:rsidRPr="00434230">
          <w:rPr>
            <w:rStyle w:val="Hyperlink"/>
          </w:rPr>
          <w:t>equality assessments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6CA2C573"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3B7DC364" w14:textId="77777777" w:rsidR="000D7DEE" w:rsidRDefault="000D7DEE" w:rsidP="009C399D">
      <w:pPr>
        <w:pStyle w:val="NICEnormal"/>
      </w:pPr>
      <w:bookmarkStart w:id="24" w:name="_Update_information"/>
      <w:bookmarkStart w:id="25" w:name="_Update_information_1"/>
      <w:bookmarkEnd w:id="24"/>
      <w:bookmarkEnd w:id="25"/>
      <w:r>
        <w:t xml:space="preserve">ISBN: </w:t>
      </w:r>
    </w:p>
    <w:p w14:paraId="62BD9B7B" w14:textId="5B1356AC" w:rsidR="005C4239" w:rsidRPr="00E80EE3" w:rsidRDefault="005C4239" w:rsidP="005C4239">
      <w:r w:rsidRPr="00EA3805">
        <w:rPr>
          <w:rStyle w:val="NICEnormalChar"/>
        </w:rPr>
        <w:t xml:space="preserve">© </w:t>
      </w:r>
      <w:r w:rsidRPr="00434230">
        <w:rPr>
          <w:rStyle w:val="NICEnormalChar"/>
        </w:rPr>
        <w:t xml:space="preserve">NICE </w:t>
      </w:r>
      <w:r w:rsidR="00434230" w:rsidRPr="00434230">
        <w:rPr>
          <w:rStyle w:val="NICEnormalChar"/>
        </w:rPr>
        <w:t>2020</w:t>
      </w:r>
      <w:r w:rsidRPr="00434230">
        <w:rPr>
          <w:rStyle w:val="NICEnormalChar"/>
        </w:rPr>
        <w:t>.</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48" w:anchor="notice-of-rights" w:history="1">
        <w:r w:rsidR="007063EC">
          <w:rPr>
            <w:rStyle w:val="Hyperlink"/>
            <w:rFonts w:ascii="Arial" w:hAnsi="Arial" w:cs="Arial"/>
          </w:rPr>
          <w:t>Notice of rights</w:t>
        </w:r>
      </w:hyperlink>
      <w:r w:rsidRPr="00EA3805">
        <w:rPr>
          <w:rStyle w:val="NICEnormalChar"/>
        </w:rPr>
        <w:t>.</w:t>
      </w:r>
    </w:p>
    <w:p w14:paraId="1F02BAD1" w14:textId="77777777" w:rsidR="005C4239" w:rsidRPr="000C37A0" w:rsidRDefault="005C4239" w:rsidP="009C399D">
      <w:pPr>
        <w:pStyle w:val="NICEnormal"/>
      </w:pPr>
    </w:p>
    <w:sectPr w:rsidR="005C4239" w:rsidRPr="000C37A0" w:rsidSect="00BB264E">
      <w:headerReference w:type="default" r:id="rId49"/>
      <w:footerReference w:type="default" r:id="rId50"/>
      <w:headerReference w:type="first" r:id="rId5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F0446" w14:textId="77777777" w:rsidR="001B61D2" w:rsidRDefault="001B61D2">
      <w:r>
        <w:separator/>
      </w:r>
    </w:p>
  </w:endnote>
  <w:endnote w:type="continuationSeparator" w:id="0">
    <w:p w14:paraId="063BFA5D" w14:textId="77777777" w:rsidR="001B61D2" w:rsidRDefault="001B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2D5B" w14:textId="6340092E" w:rsidR="001B61D2" w:rsidRDefault="001B61D2" w:rsidP="0039398D">
    <w:pPr>
      <w:pStyle w:val="Footer"/>
      <w:tabs>
        <w:tab w:val="clear" w:pos="4153"/>
        <w:tab w:val="clear" w:pos="8306"/>
        <w:tab w:val="center" w:pos="4536"/>
        <w:tab w:val="right" w:pos="9781"/>
      </w:tabs>
    </w:pPr>
    <w:r>
      <w:t xml:space="preserve">Quality standard </w:t>
    </w:r>
    <w:r w:rsidRPr="009C399D">
      <w:t xml:space="preserve">for </w:t>
    </w:r>
    <w:r w:rsidRPr="00E60EAF">
      <w:t xml:space="preserve">venous </w:t>
    </w:r>
    <w:r>
      <w:t>thromboembolism in adults</w:t>
    </w:r>
    <w:r w:rsidRPr="00E60EAF">
      <w:t xml:space="preserve"> (update)</w:t>
    </w:r>
    <w:r w:rsidRPr="009C399D">
      <w:t xml:space="preserve"> DRAFT</w:t>
    </w:r>
    <w:r w:rsidRPr="00C20FF4">
      <w:t xml:space="preserve"> </w:t>
    </w:r>
    <w:r w:rsidRPr="009C399D">
      <w:t>(</w:t>
    </w:r>
    <w:r>
      <w:t>November 2020)</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50F8E" w14:textId="77777777" w:rsidR="001B61D2" w:rsidRDefault="001B61D2">
      <w:r>
        <w:separator/>
      </w:r>
    </w:p>
  </w:footnote>
  <w:footnote w:type="continuationSeparator" w:id="0">
    <w:p w14:paraId="2F1FCD44" w14:textId="77777777" w:rsidR="001B61D2" w:rsidRDefault="001B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FFEC0" w14:textId="77777777" w:rsidR="001B61D2" w:rsidRPr="00862CDE" w:rsidRDefault="001B61D2"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E023" w14:textId="77777777" w:rsidR="001B61D2" w:rsidRPr="004245E7" w:rsidRDefault="001B61D2"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64077BC"/>
    <w:multiLevelType w:val="hybridMultilevel"/>
    <w:tmpl w:val="093EF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12D02"/>
    <w:multiLevelType w:val="hybridMultilevel"/>
    <w:tmpl w:val="3BA80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C6164"/>
    <w:multiLevelType w:val="multilevel"/>
    <w:tmpl w:val="EDCA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F130C90"/>
    <w:multiLevelType w:val="multilevel"/>
    <w:tmpl w:val="684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D371B"/>
    <w:multiLevelType w:val="hybridMultilevel"/>
    <w:tmpl w:val="B56A54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52787"/>
    <w:multiLevelType w:val="multilevel"/>
    <w:tmpl w:val="512E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61C56C4"/>
    <w:multiLevelType w:val="hybridMultilevel"/>
    <w:tmpl w:val="1104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DA555A"/>
    <w:multiLevelType w:val="hybridMultilevel"/>
    <w:tmpl w:val="4D422A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9275F"/>
    <w:multiLevelType w:val="hybridMultilevel"/>
    <w:tmpl w:val="D21AE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601DA"/>
    <w:multiLevelType w:val="hybridMultilevel"/>
    <w:tmpl w:val="88EE8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4EB3B0A"/>
    <w:multiLevelType w:val="hybridMultilevel"/>
    <w:tmpl w:val="093EF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40647"/>
    <w:multiLevelType w:val="multilevel"/>
    <w:tmpl w:val="14F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EE27AA0"/>
    <w:multiLevelType w:val="hybridMultilevel"/>
    <w:tmpl w:val="D97E35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A7EB5"/>
    <w:multiLevelType w:val="hybridMultilevel"/>
    <w:tmpl w:val="093EF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8F9614F"/>
    <w:multiLevelType w:val="hybridMultilevel"/>
    <w:tmpl w:val="EF089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6"/>
  </w:num>
  <w:num w:numId="3">
    <w:abstractNumId w:val="8"/>
  </w:num>
  <w:num w:numId="4">
    <w:abstractNumId w:val="16"/>
  </w:num>
  <w:num w:numId="5">
    <w:abstractNumId w:val="19"/>
  </w:num>
  <w:num w:numId="6">
    <w:abstractNumId w:val="8"/>
  </w:num>
  <w:num w:numId="7">
    <w:abstractNumId w:val="10"/>
  </w:num>
  <w:num w:numId="8">
    <w:abstractNumId w:val="12"/>
  </w:num>
  <w:num w:numId="9">
    <w:abstractNumId w:val="0"/>
  </w:num>
  <w:num w:numId="10">
    <w:abstractNumId w:val="11"/>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2"/>
  </w:num>
  <w:num w:numId="15">
    <w:abstractNumId w:val="7"/>
  </w:num>
  <w:num w:numId="16">
    <w:abstractNumId w:val="5"/>
  </w:num>
  <w:num w:numId="17">
    <w:abstractNumId w:val="18"/>
  </w:num>
  <w:num w:numId="18">
    <w:abstractNumId w:val="6"/>
  </w:num>
  <w:num w:numId="19">
    <w:abstractNumId w:val="13"/>
  </w:num>
  <w:num w:numId="20">
    <w:abstractNumId w:val="8"/>
  </w:num>
  <w:num w:numId="21">
    <w:abstractNumId w:val="14"/>
  </w:num>
  <w:num w:numId="22">
    <w:abstractNumId w:val="20"/>
  </w:num>
  <w:num w:numId="23">
    <w:abstractNumId w:val="2"/>
  </w:num>
  <w:num w:numId="24">
    <w:abstractNumId w:val="24"/>
  </w:num>
  <w:num w:numId="25">
    <w:abstractNumId w:val="27"/>
  </w:num>
  <w:num w:numId="26">
    <w:abstractNumId w:val="9"/>
  </w:num>
  <w:num w:numId="27">
    <w:abstractNumId w:val="15"/>
  </w:num>
  <w:num w:numId="28">
    <w:abstractNumId w:val="1"/>
  </w:num>
  <w:num w:numId="29">
    <w:abstractNumId w:val="17"/>
  </w:num>
  <w:num w:numId="3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18"/>
    <w:rsid w:val="00000B96"/>
    <w:rsid w:val="00002F60"/>
    <w:rsid w:val="0000494F"/>
    <w:rsid w:val="00004977"/>
    <w:rsid w:val="00005C6C"/>
    <w:rsid w:val="000119FB"/>
    <w:rsid w:val="0001576E"/>
    <w:rsid w:val="00015903"/>
    <w:rsid w:val="00015F26"/>
    <w:rsid w:val="0001731B"/>
    <w:rsid w:val="00017585"/>
    <w:rsid w:val="00017D5D"/>
    <w:rsid w:val="00025C0E"/>
    <w:rsid w:val="000337A4"/>
    <w:rsid w:val="00034A70"/>
    <w:rsid w:val="0003625D"/>
    <w:rsid w:val="0004471C"/>
    <w:rsid w:val="00044C44"/>
    <w:rsid w:val="000466B7"/>
    <w:rsid w:val="00047018"/>
    <w:rsid w:val="000508E5"/>
    <w:rsid w:val="000558C4"/>
    <w:rsid w:val="00062810"/>
    <w:rsid w:val="0006542F"/>
    <w:rsid w:val="00065EED"/>
    <w:rsid w:val="00066F6D"/>
    <w:rsid w:val="00067EBD"/>
    <w:rsid w:val="00072C07"/>
    <w:rsid w:val="00074E5E"/>
    <w:rsid w:val="000769BD"/>
    <w:rsid w:val="00080F81"/>
    <w:rsid w:val="00084B45"/>
    <w:rsid w:val="00085E49"/>
    <w:rsid w:val="000866E6"/>
    <w:rsid w:val="00090DEB"/>
    <w:rsid w:val="0009110B"/>
    <w:rsid w:val="000915D2"/>
    <w:rsid w:val="00096E5E"/>
    <w:rsid w:val="0009765E"/>
    <w:rsid w:val="00097B24"/>
    <w:rsid w:val="00097C40"/>
    <w:rsid w:val="000A1EC0"/>
    <w:rsid w:val="000A22D2"/>
    <w:rsid w:val="000A3B2F"/>
    <w:rsid w:val="000A44B3"/>
    <w:rsid w:val="000A7D32"/>
    <w:rsid w:val="000B11AC"/>
    <w:rsid w:val="000B4548"/>
    <w:rsid w:val="000B6D8E"/>
    <w:rsid w:val="000B706A"/>
    <w:rsid w:val="000C0331"/>
    <w:rsid w:val="000C0D66"/>
    <w:rsid w:val="000C37A0"/>
    <w:rsid w:val="000C5BD1"/>
    <w:rsid w:val="000C6001"/>
    <w:rsid w:val="000C7DE9"/>
    <w:rsid w:val="000D4448"/>
    <w:rsid w:val="000D6099"/>
    <w:rsid w:val="000D7D5A"/>
    <w:rsid w:val="000D7DEE"/>
    <w:rsid w:val="000E20AF"/>
    <w:rsid w:val="000E368F"/>
    <w:rsid w:val="000E65EC"/>
    <w:rsid w:val="000E69EB"/>
    <w:rsid w:val="000F15D0"/>
    <w:rsid w:val="000F29FF"/>
    <w:rsid w:val="000F575E"/>
    <w:rsid w:val="00101F34"/>
    <w:rsid w:val="0010234C"/>
    <w:rsid w:val="001036BD"/>
    <w:rsid w:val="001048AC"/>
    <w:rsid w:val="00105471"/>
    <w:rsid w:val="00107153"/>
    <w:rsid w:val="00107358"/>
    <w:rsid w:val="00111C98"/>
    <w:rsid w:val="0011683A"/>
    <w:rsid w:val="00123A55"/>
    <w:rsid w:val="00123C16"/>
    <w:rsid w:val="00125350"/>
    <w:rsid w:val="00125D5B"/>
    <w:rsid w:val="00137415"/>
    <w:rsid w:val="00137FAF"/>
    <w:rsid w:val="00142CBA"/>
    <w:rsid w:val="00143468"/>
    <w:rsid w:val="0014474E"/>
    <w:rsid w:val="00146231"/>
    <w:rsid w:val="00150C9E"/>
    <w:rsid w:val="00155283"/>
    <w:rsid w:val="00160048"/>
    <w:rsid w:val="00161AA0"/>
    <w:rsid w:val="00163017"/>
    <w:rsid w:val="001646A7"/>
    <w:rsid w:val="00165478"/>
    <w:rsid w:val="00166AEE"/>
    <w:rsid w:val="001674EA"/>
    <w:rsid w:val="00167E60"/>
    <w:rsid w:val="001716BB"/>
    <w:rsid w:val="00184597"/>
    <w:rsid w:val="00184B9D"/>
    <w:rsid w:val="001874CC"/>
    <w:rsid w:val="0019093A"/>
    <w:rsid w:val="0019284C"/>
    <w:rsid w:val="0019444F"/>
    <w:rsid w:val="0019737D"/>
    <w:rsid w:val="001A13D3"/>
    <w:rsid w:val="001A3236"/>
    <w:rsid w:val="001A4A14"/>
    <w:rsid w:val="001A664E"/>
    <w:rsid w:val="001A6BB8"/>
    <w:rsid w:val="001B0506"/>
    <w:rsid w:val="001B39D1"/>
    <w:rsid w:val="001B440E"/>
    <w:rsid w:val="001B48BE"/>
    <w:rsid w:val="001B61D2"/>
    <w:rsid w:val="001B650C"/>
    <w:rsid w:val="001C0D56"/>
    <w:rsid w:val="001C5EC6"/>
    <w:rsid w:val="001C6197"/>
    <w:rsid w:val="001C7E42"/>
    <w:rsid w:val="001D0710"/>
    <w:rsid w:val="001D4AC0"/>
    <w:rsid w:val="001D6438"/>
    <w:rsid w:val="001E14D7"/>
    <w:rsid w:val="001E40FD"/>
    <w:rsid w:val="001E4C6D"/>
    <w:rsid w:val="001E59CB"/>
    <w:rsid w:val="001F1994"/>
    <w:rsid w:val="001F388F"/>
    <w:rsid w:val="001F3E8E"/>
    <w:rsid w:val="001F4371"/>
    <w:rsid w:val="001F5A5F"/>
    <w:rsid w:val="00205B55"/>
    <w:rsid w:val="002079AF"/>
    <w:rsid w:val="00210001"/>
    <w:rsid w:val="002119C8"/>
    <w:rsid w:val="00214453"/>
    <w:rsid w:val="00216D76"/>
    <w:rsid w:val="00217325"/>
    <w:rsid w:val="002204CE"/>
    <w:rsid w:val="00227D52"/>
    <w:rsid w:val="00232473"/>
    <w:rsid w:val="00235CAB"/>
    <w:rsid w:val="00236A1B"/>
    <w:rsid w:val="00237545"/>
    <w:rsid w:val="0024117B"/>
    <w:rsid w:val="002423D0"/>
    <w:rsid w:val="00242E10"/>
    <w:rsid w:val="00243A09"/>
    <w:rsid w:val="00247682"/>
    <w:rsid w:val="002517C3"/>
    <w:rsid w:val="00252482"/>
    <w:rsid w:val="00252600"/>
    <w:rsid w:val="002534E7"/>
    <w:rsid w:val="002537AE"/>
    <w:rsid w:val="002539B4"/>
    <w:rsid w:val="00256D2D"/>
    <w:rsid w:val="002644EE"/>
    <w:rsid w:val="00266F63"/>
    <w:rsid w:val="00271143"/>
    <w:rsid w:val="00275ED0"/>
    <w:rsid w:val="00281266"/>
    <w:rsid w:val="00281F19"/>
    <w:rsid w:val="002820C0"/>
    <w:rsid w:val="00283D8E"/>
    <w:rsid w:val="002859E0"/>
    <w:rsid w:val="00285A5A"/>
    <w:rsid w:val="00285F26"/>
    <w:rsid w:val="00291C65"/>
    <w:rsid w:val="002947D5"/>
    <w:rsid w:val="00294E7E"/>
    <w:rsid w:val="00295FBA"/>
    <w:rsid w:val="00296314"/>
    <w:rsid w:val="002963A6"/>
    <w:rsid w:val="002A4B70"/>
    <w:rsid w:val="002B6A57"/>
    <w:rsid w:val="002B7354"/>
    <w:rsid w:val="002B7837"/>
    <w:rsid w:val="002C00A9"/>
    <w:rsid w:val="002C28EA"/>
    <w:rsid w:val="002C4F7B"/>
    <w:rsid w:val="002D07E0"/>
    <w:rsid w:val="002D0B5B"/>
    <w:rsid w:val="002D23BE"/>
    <w:rsid w:val="002D31EE"/>
    <w:rsid w:val="002E309E"/>
    <w:rsid w:val="002F1731"/>
    <w:rsid w:val="002F2B0F"/>
    <w:rsid w:val="002F2DA3"/>
    <w:rsid w:val="002F2FDE"/>
    <w:rsid w:val="002F5830"/>
    <w:rsid w:val="002F5D50"/>
    <w:rsid w:val="002F5F27"/>
    <w:rsid w:val="003000EE"/>
    <w:rsid w:val="00300F1E"/>
    <w:rsid w:val="00303B97"/>
    <w:rsid w:val="0030716D"/>
    <w:rsid w:val="00307929"/>
    <w:rsid w:val="00310808"/>
    <w:rsid w:val="003114C7"/>
    <w:rsid w:val="00313F89"/>
    <w:rsid w:val="0031643E"/>
    <w:rsid w:val="0031664C"/>
    <w:rsid w:val="00320264"/>
    <w:rsid w:val="0032638D"/>
    <w:rsid w:val="00330013"/>
    <w:rsid w:val="00330D52"/>
    <w:rsid w:val="00331ACE"/>
    <w:rsid w:val="00331EA5"/>
    <w:rsid w:val="003330E6"/>
    <w:rsid w:val="00340E3F"/>
    <w:rsid w:val="00343300"/>
    <w:rsid w:val="0035076D"/>
    <w:rsid w:val="00351101"/>
    <w:rsid w:val="00356A4F"/>
    <w:rsid w:val="0036012F"/>
    <w:rsid w:val="003604BE"/>
    <w:rsid w:val="00360A23"/>
    <w:rsid w:val="00362226"/>
    <w:rsid w:val="00367FB4"/>
    <w:rsid w:val="0037145F"/>
    <w:rsid w:val="00376D89"/>
    <w:rsid w:val="003774F9"/>
    <w:rsid w:val="003830E1"/>
    <w:rsid w:val="00384867"/>
    <w:rsid w:val="00386611"/>
    <w:rsid w:val="00392571"/>
    <w:rsid w:val="0039398D"/>
    <w:rsid w:val="003945A4"/>
    <w:rsid w:val="00394D99"/>
    <w:rsid w:val="0039630D"/>
    <w:rsid w:val="00396A79"/>
    <w:rsid w:val="003A1278"/>
    <w:rsid w:val="003A1B61"/>
    <w:rsid w:val="003A5B6F"/>
    <w:rsid w:val="003A67E1"/>
    <w:rsid w:val="003B0C19"/>
    <w:rsid w:val="003B2401"/>
    <w:rsid w:val="003C36AC"/>
    <w:rsid w:val="003C664B"/>
    <w:rsid w:val="003C6AA4"/>
    <w:rsid w:val="003C7A94"/>
    <w:rsid w:val="003E04F5"/>
    <w:rsid w:val="003E2324"/>
    <w:rsid w:val="003E5C13"/>
    <w:rsid w:val="003E684D"/>
    <w:rsid w:val="003E7F43"/>
    <w:rsid w:val="003F0671"/>
    <w:rsid w:val="003F34F3"/>
    <w:rsid w:val="003F509C"/>
    <w:rsid w:val="0040035A"/>
    <w:rsid w:val="0040059C"/>
    <w:rsid w:val="004036B9"/>
    <w:rsid w:val="00403F09"/>
    <w:rsid w:val="00407729"/>
    <w:rsid w:val="00407AA3"/>
    <w:rsid w:val="004108C8"/>
    <w:rsid w:val="004112ED"/>
    <w:rsid w:val="00411596"/>
    <w:rsid w:val="00413C89"/>
    <w:rsid w:val="0041523F"/>
    <w:rsid w:val="00415D48"/>
    <w:rsid w:val="0041619C"/>
    <w:rsid w:val="00421801"/>
    <w:rsid w:val="0042288A"/>
    <w:rsid w:val="004229AB"/>
    <w:rsid w:val="004237F2"/>
    <w:rsid w:val="004242F1"/>
    <w:rsid w:val="00431F71"/>
    <w:rsid w:val="00434230"/>
    <w:rsid w:val="00434F68"/>
    <w:rsid w:val="004377EF"/>
    <w:rsid w:val="00437D6E"/>
    <w:rsid w:val="00440FCF"/>
    <w:rsid w:val="00441726"/>
    <w:rsid w:val="00442612"/>
    <w:rsid w:val="00443EAA"/>
    <w:rsid w:val="00445120"/>
    <w:rsid w:val="00450C26"/>
    <w:rsid w:val="004519B2"/>
    <w:rsid w:val="00452031"/>
    <w:rsid w:val="00453C8B"/>
    <w:rsid w:val="004542AD"/>
    <w:rsid w:val="00461997"/>
    <w:rsid w:val="00461C24"/>
    <w:rsid w:val="00464DD3"/>
    <w:rsid w:val="00470539"/>
    <w:rsid w:val="00472BBE"/>
    <w:rsid w:val="00472E9D"/>
    <w:rsid w:val="00473804"/>
    <w:rsid w:val="004810E6"/>
    <w:rsid w:val="004820E9"/>
    <w:rsid w:val="0048361F"/>
    <w:rsid w:val="00491881"/>
    <w:rsid w:val="00493A8E"/>
    <w:rsid w:val="00496A43"/>
    <w:rsid w:val="004971A1"/>
    <w:rsid w:val="004A1C26"/>
    <w:rsid w:val="004A3DDC"/>
    <w:rsid w:val="004A483C"/>
    <w:rsid w:val="004A6604"/>
    <w:rsid w:val="004B1B34"/>
    <w:rsid w:val="004B2FF5"/>
    <w:rsid w:val="004B4F86"/>
    <w:rsid w:val="004B514C"/>
    <w:rsid w:val="004B56FE"/>
    <w:rsid w:val="004B6B38"/>
    <w:rsid w:val="004C1702"/>
    <w:rsid w:val="004C2324"/>
    <w:rsid w:val="004C4687"/>
    <w:rsid w:val="004C52B4"/>
    <w:rsid w:val="004C634A"/>
    <w:rsid w:val="004D0721"/>
    <w:rsid w:val="004D0AC0"/>
    <w:rsid w:val="004D21FA"/>
    <w:rsid w:val="004D604A"/>
    <w:rsid w:val="004D730D"/>
    <w:rsid w:val="004D7548"/>
    <w:rsid w:val="004E6D59"/>
    <w:rsid w:val="004E70C7"/>
    <w:rsid w:val="004F1E14"/>
    <w:rsid w:val="004F2D35"/>
    <w:rsid w:val="004F49FE"/>
    <w:rsid w:val="004F60EA"/>
    <w:rsid w:val="004F621B"/>
    <w:rsid w:val="00501BA6"/>
    <w:rsid w:val="00501F9E"/>
    <w:rsid w:val="0050212B"/>
    <w:rsid w:val="00504C78"/>
    <w:rsid w:val="005053AE"/>
    <w:rsid w:val="00506F85"/>
    <w:rsid w:val="00512B4A"/>
    <w:rsid w:val="0051659A"/>
    <w:rsid w:val="00520A07"/>
    <w:rsid w:val="00523175"/>
    <w:rsid w:val="00526C07"/>
    <w:rsid w:val="005314A6"/>
    <w:rsid w:val="0053387C"/>
    <w:rsid w:val="00535F85"/>
    <w:rsid w:val="005417FE"/>
    <w:rsid w:val="0054478C"/>
    <w:rsid w:val="00546F6D"/>
    <w:rsid w:val="00547500"/>
    <w:rsid w:val="005512B7"/>
    <w:rsid w:val="00556056"/>
    <w:rsid w:val="00556603"/>
    <w:rsid w:val="00557EFD"/>
    <w:rsid w:val="0056329A"/>
    <w:rsid w:val="00563589"/>
    <w:rsid w:val="00564179"/>
    <w:rsid w:val="00565690"/>
    <w:rsid w:val="00567852"/>
    <w:rsid w:val="005740FB"/>
    <w:rsid w:val="0057666B"/>
    <w:rsid w:val="0057765E"/>
    <w:rsid w:val="00583480"/>
    <w:rsid w:val="00584FB7"/>
    <w:rsid w:val="00585548"/>
    <w:rsid w:val="005860F4"/>
    <w:rsid w:val="0058620E"/>
    <w:rsid w:val="00587FEE"/>
    <w:rsid w:val="00590850"/>
    <w:rsid w:val="0059202D"/>
    <w:rsid w:val="005949D6"/>
    <w:rsid w:val="005961B7"/>
    <w:rsid w:val="005A23E8"/>
    <w:rsid w:val="005A2573"/>
    <w:rsid w:val="005A6ED4"/>
    <w:rsid w:val="005B11C8"/>
    <w:rsid w:val="005B1D6C"/>
    <w:rsid w:val="005B2339"/>
    <w:rsid w:val="005B533A"/>
    <w:rsid w:val="005C051F"/>
    <w:rsid w:val="005C13D7"/>
    <w:rsid w:val="005C2E0E"/>
    <w:rsid w:val="005C3884"/>
    <w:rsid w:val="005C4239"/>
    <w:rsid w:val="005C5388"/>
    <w:rsid w:val="005C762E"/>
    <w:rsid w:val="005D014B"/>
    <w:rsid w:val="005D098C"/>
    <w:rsid w:val="005D565E"/>
    <w:rsid w:val="005D68E9"/>
    <w:rsid w:val="005E0528"/>
    <w:rsid w:val="005E3400"/>
    <w:rsid w:val="005E4285"/>
    <w:rsid w:val="005E47A4"/>
    <w:rsid w:val="005E6E43"/>
    <w:rsid w:val="005F33F2"/>
    <w:rsid w:val="005F4C46"/>
    <w:rsid w:val="005F56C3"/>
    <w:rsid w:val="005F78B6"/>
    <w:rsid w:val="00603E56"/>
    <w:rsid w:val="0060567B"/>
    <w:rsid w:val="00605FFA"/>
    <w:rsid w:val="0060662A"/>
    <w:rsid w:val="006106F1"/>
    <w:rsid w:val="00614313"/>
    <w:rsid w:val="00614492"/>
    <w:rsid w:val="00614BDA"/>
    <w:rsid w:val="00622599"/>
    <w:rsid w:val="00622E7B"/>
    <w:rsid w:val="00624592"/>
    <w:rsid w:val="00625085"/>
    <w:rsid w:val="00625425"/>
    <w:rsid w:val="006271A1"/>
    <w:rsid w:val="0062771A"/>
    <w:rsid w:val="006329C0"/>
    <w:rsid w:val="00632D32"/>
    <w:rsid w:val="006331B4"/>
    <w:rsid w:val="006343F3"/>
    <w:rsid w:val="006379CB"/>
    <w:rsid w:val="00637E2F"/>
    <w:rsid w:val="00642818"/>
    <w:rsid w:val="00642906"/>
    <w:rsid w:val="006466FA"/>
    <w:rsid w:val="00646AFF"/>
    <w:rsid w:val="00650B30"/>
    <w:rsid w:val="00652425"/>
    <w:rsid w:val="006575AD"/>
    <w:rsid w:val="006606CD"/>
    <w:rsid w:val="006619B1"/>
    <w:rsid w:val="00662CC1"/>
    <w:rsid w:val="0066393B"/>
    <w:rsid w:val="006729F4"/>
    <w:rsid w:val="00672FC1"/>
    <w:rsid w:val="00674B47"/>
    <w:rsid w:val="00674B48"/>
    <w:rsid w:val="00675607"/>
    <w:rsid w:val="00676FE5"/>
    <w:rsid w:val="00681BD2"/>
    <w:rsid w:val="006842BA"/>
    <w:rsid w:val="00684B03"/>
    <w:rsid w:val="00686450"/>
    <w:rsid w:val="006A1841"/>
    <w:rsid w:val="006A1A70"/>
    <w:rsid w:val="006A1C3B"/>
    <w:rsid w:val="006A22FF"/>
    <w:rsid w:val="006A721F"/>
    <w:rsid w:val="006B2304"/>
    <w:rsid w:val="006B3A9E"/>
    <w:rsid w:val="006B4673"/>
    <w:rsid w:val="006B5077"/>
    <w:rsid w:val="006B596E"/>
    <w:rsid w:val="006B621E"/>
    <w:rsid w:val="006B7743"/>
    <w:rsid w:val="006C2541"/>
    <w:rsid w:val="006C44FB"/>
    <w:rsid w:val="006C78E5"/>
    <w:rsid w:val="006D5D57"/>
    <w:rsid w:val="006D73F1"/>
    <w:rsid w:val="006E0609"/>
    <w:rsid w:val="006E1859"/>
    <w:rsid w:val="006E6108"/>
    <w:rsid w:val="006E63A5"/>
    <w:rsid w:val="006F28D7"/>
    <w:rsid w:val="006F2CFA"/>
    <w:rsid w:val="006F49C7"/>
    <w:rsid w:val="006F636E"/>
    <w:rsid w:val="006F72AB"/>
    <w:rsid w:val="006F767A"/>
    <w:rsid w:val="006F796C"/>
    <w:rsid w:val="006F79F2"/>
    <w:rsid w:val="00705A3D"/>
    <w:rsid w:val="007063EC"/>
    <w:rsid w:val="007073C2"/>
    <w:rsid w:val="00712316"/>
    <w:rsid w:val="00714B17"/>
    <w:rsid w:val="00721555"/>
    <w:rsid w:val="00722BAE"/>
    <w:rsid w:val="00722F99"/>
    <w:rsid w:val="00724B17"/>
    <w:rsid w:val="00725018"/>
    <w:rsid w:val="007266BB"/>
    <w:rsid w:val="00732519"/>
    <w:rsid w:val="00743039"/>
    <w:rsid w:val="00744CBC"/>
    <w:rsid w:val="00751AF7"/>
    <w:rsid w:val="00756973"/>
    <w:rsid w:val="00760DF4"/>
    <w:rsid w:val="00761A5F"/>
    <w:rsid w:val="00764268"/>
    <w:rsid w:val="00764D8F"/>
    <w:rsid w:val="007656A2"/>
    <w:rsid w:val="00765E6A"/>
    <w:rsid w:val="00765EEE"/>
    <w:rsid w:val="00766676"/>
    <w:rsid w:val="007670C4"/>
    <w:rsid w:val="007717BD"/>
    <w:rsid w:val="00774B24"/>
    <w:rsid w:val="00780F54"/>
    <w:rsid w:val="0078643F"/>
    <w:rsid w:val="007870F9"/>
    <w:rsid w:val="007874F1"/>
    <w:rsid w:val="00787DC0"/>
    <w:rsid w:val="007900C0"/>
    <w:rsid w:val="00792012"/>
    <w:rsid w:val="0079286C"/>
    <w:rsid w:val="00793D9C"/>
    <w:rsid w:val="00795748"/>
    <w:rsid w:val="00797594"/>
    <w:rsid w:val="00797A72"/>
    <w:rsid w:val="007A174B"/>
    <w:rsid w:val="007A36BD"/>
    <w:rsid w:val="007A4EEE"/>
    <w:rsid w:val="007A5EE4"/>
    <w:rsid w:val="007B26E7"/>
    <w:rsid w:val="007B4420"/>
    <w:rsid w:val="007B6FE4"/>
    <w:rsid w:val="007B7A95"/>
    <w:rsid w:val="007B7B96"/>
    <w:rsid w:val="007C2976"/>
    <w:rsid w:val="007C368A"/>
    <w:rsid w:val="007C3C7A"/>
    <w:rsid w:val="007C48E2"/>
    <w:rsid w:val="007C7A14"/>
    <w:rsid w:val="007D23BD"/>
    <w:rsid w:val="007D3183"/>
    <w:rsid w:val="007D5398"/>
    <w:rsid w:val="007E0C5F"/>
    <w:rsid w:val="007E0F07"/>
    <w:rsid w:val="007E192F"/>
    <w:rsid w:val="007E2035"/>
    <w:rsid w:val="007E33AA"/>
    <w:rsid w:val="007E7CEA"/>
    <w:rsid w:val="007F0FC4"/>
    <w:rsid w:val="007F12C5"/>
    <w:rsid w:val="0080070C"/>
    <w:rsid w:val="0080418B"/>
    <w:rsid w:val="00804468"/>
    <w:rsid w:val="00807B38"/>
    <w:rsid w:val="008122CD"/>
    <w:rsid w:val="00812520"/>
    <w:rsid w:val="0081326F"/>
    <w:rsid w:val="0081438E"/>
    <w:rsid w:val="00815E58"/>
    <w:rsid w:val="008160BE"/>
    <w:rsid w:val="00820E9A"/>
    <w:rsid w:val="008219D2"/>
    <w:rsid w:val="008243CC"/>
    <w:rsid w:val="00825790"/>
    <w:rsid w:val="00825F1C"/>
    <w:rsid w:val="008266D8"/>
    <w:rsid w:val="00831BA3"/>
    <w:rsid w:val="00832BDE"/>
    <w:rsid w:val="0083512F"/>
    <w:rsid w:val="00836954"/>
    <w:rsid w:val="008478FB"/>
    <w:rsid w:val="008505C3"/>
    <w:rsid w:val="008517D8"/>
    <w:rsid w:val="00856796"/>
    <w:rsid w:val="008616D6"/>
    <w:rsid w:val="00862C0C"/>
    <w:rsid w:val="00865EDE"/>
    <w:rsid w:val="008668A6"/>
    <w:rsid w:val="00867310"/>
    <w:rsid w:val="00870F9A"/>
    <w:rsid w:val="008723E4"/>
    <w:rsid w:val="00873325"/>
    <w:rsid w:val="00873667"/>
    <w:rsid w:val="0087559D"/>
    <w:rsid w:val="008772B0"/>
    <w:rsid w:val="00880FD3"/>
    <w:rsid w:val="00882C0D"/>
    <w:rsid w:val="008919A5"/>
    <w:rsid w:val="00891FB1"/>
    <w:rsid w:val="008947AB"/>
    <w:rsid w:val="008A01DE"/>
    <w:rsid w:val="008A78BB"/>
    <w:rsid w:val="008B405D"/>
    <w:rsid w:val="008B4C3A"/>
    <w:rsid w:val="008C0EEC"/>
    <w:rsid w:val="008C1D9A"/>
    <w:rsid w:val="008C42C9"/>
    <w:rsid w:val="008D40F1"/>
    <w:rsid w:val="008D4623"/>
    <w:rsid w:val="008D6069"/>
    <w:rsid w:val="008D65CD"/>
    <w:rsid w:val="008D7139"/>
    <w:rsid w:val="008D788B"/>
    <w:rsid w:val="008D794E"/>
    <w:rsid w:val="008E05A3"/>
    <w:rsid w:val="008E209F"/>
    <w:rsid w:val="008E401C"/>
    <w:rsid w:val="008E47B2"/>
    <w:rsid w:val="008E4C21"/>
    <w:rsid w:val="008E7585"/>
    <w:rsid w:val="008F1714"/>
    <w:rsid w:val="00901CFA"/>
    <w:rsid w:val="0090279C"/>
    <w:rsid w:val="0090798C"/>
    <w:rsid w:val="00911FBC"/>
    <w:rsid w:val="009129DA"/>
    <w:rsid w:val="00916992"/>
    <w:rsid w:val="009177D6"/>
    <w:rsid w:val="0092016E"/>
    <w:rsid w:val="00923B7B"/>
    <w:rsid w:val="0092471B"/>
    <w:rsid w:val="009259CB"/>
    <w:rsid w:val="0093125C"/>
    <w:rsid w:val="009336F4"/>
    <w:rsid w:val="00937EE4"/>
    <w:rsid w:val="0094366C"/>
    <w:rsid w:val="00944891"/>
    <w:rsid w:val="009454B4"/>
    <w:rsid w:val="00945D72"/>
    <w:rsid w:val="0094653F"/>
    <w:rsid w:val="00946D64"/>
    <w:rsid w:val="0095194B"/>
    <w:rsid w:val="009536EB"/>
    <w:rsid w:val="00953ADF"/>
    <w:rsid w:val="009604F1"/>
    <w:rsid w:val="0096243B"/>
    <w:rsid w:val="00965E85"/>
    <w:rsid w:val="009721E0"/>
    <w:rsid w:val="00974A92"/>
    <w:rsid w:val="00980E0E"/>
    <w:rsid w:val="00984760"/>
    <w:rsid w:val="009906EF"/>
    <w:rsid w:val="00991940"/>
    <w:rsid w:val="00992D22"/>
    <w:rsid w:val="00995310"/>
    <w:rsid w:val="00996023"/>
    <w:rsid w:val="0099668B"/>
    <w:rsid w:val="00996921"/>
    <w:rsid w:val="009A0202"/>
    <w:rsid w:val="009A28A1"/>
    <w:rsid w:val="009A36EB"/>
    <w:rsid w:val="009A54B9"/>
    <w:rsid w:val="009A682F"/>
    <w:rsid w:val="009B00F0"/>
    <w:rsid w:val="009B2CB8"/>
    <w:rsid w:val="009B47CD"/>
    <w:rsid w:val="009B621A"/>
    <w:rsid w:val="009B7760"/>
    <w:rsid w:val="009C3840"/>
    <w:rsid w:val="009C399D"/>
    <w:rsid w:val="009C45D9"/>
    <w:rsid w:val="009C62EA"/>
    <w:rsid w:val="009D1533"/>
    <w:rsid w:val="009D2847"/>
    <w:rsid w:val="009D48C5"/>
    <w:rsid w:val="009D4B8C"/>
    <w:rsid w:val="009D4BF3"/>
    <w:rsid w:val="009D649C"/>
    <w:rsid w:val="009D654C"/>
    <w:rsid w:val="009D67A0"/>
    <w:rsid w:val="009D7B87"/>
    <w:rsid w:val="009E0E34"/>
    <w:rsid w:val="009E3AB6"/>
    <w:rsid w:val="009E5A6A"/>
    <w:rsid w:val="009E6CC0"/>
    <w:rsid w:val="009F295D"/>
    <w:rsid w:val="009F52D0"/>
    <w:rsid w:val="009F57F8"/>
    <w:rsid w:val="00A03232"/>
    <w:rsid w:val="00A0325F"/>
    <w:rsid w:val="00A06657"/>
    <w:rsid w:val="00A10A63"/>
    <w:rsid w:val="00A11AA8"/>
    <w:rsid w:val="00A14DDD"/>
    <w:rsid w:val="00A1575E"/>
    <w:rsid w:val="00A168EE"/>
    <w:rsid w:val="00A23E19"/>
    <w:rsid w:val="00A24F8C"/>
    <w:rsid w:val="00A25082"/>
    <w:rsid w:val="00A2601C"/>
    <w:rsid w:val="00A3104F"/>
    <w:rsid w:val="00A31182"/>
    <w:rsid w:val="00A33123"/>
    <w:rsid w:val="00A33281"/>
    <w:rsid w:val="00A3625B"/>
    <w:rsid w:val="00A375DF"/>
    <w:rsid w:val="00A40D68"/>
    <w:rsid w:val="00A41862"/>
    <w:rsid w:val="00A42948"/>
    <w:rsid w:val="00A44FCB"/>
    <w:rsid w:val="00A459D5"/>
    <w:rsid w:val="00A46FC5"/>
    <w:rsid w:val="00A52976"/>
    <w:rsid w:val="00A573DE"/>
    <w:rsid w:val="00A6128A"/>
    <w:rsid w:val="00A61522"/>
    <w:rsid w:val="00A63EEB"/>
    <w:rsid w:val="00A7133E"/>
    <w:rsid w:val="00A71AD4"/>
    <w:rsid w:val="00A77381"/>
    <w:rsid w:val="00A807D3"/>
    <w:rsid w:val="00A81287"/>
    <w:rsid w:val="00A8339B"/>
    <w:rsid w:val="00A84D80"/>
    <w:rsid w:val="00A8613D"/>
    <w:rsid w:val="00A86D3D"/>
    <w:rsid w:val="00A943FB"/>
    <w:rsid w:val="00A945DB"/>
    <w:rsid w:val="00AA238F"/>
    <w:rsid w:val="00AA357A"/>
    <w:rsid w:val="00AA5C06"/>
    <w:rsid w:val="00AA6DF8"/>
    <w:rsid w:val="00AB0B57"/>
    <w:rsid w:val="00AB1599"/>
    <w:rsid w:val="00AB194B"/>
    <w:rsid w:val="00AB2948"/>
    <w:rsid w:val="00AB39FA"/>
    <w:rsid w:val="00AB3F20"/>
    <w:rsid w:val="00AB4011"/>
    <w:rsid w:val="00AB410C"/>
    <w:rsid w:val="00AC1989"/>
    <w:rsid w:val="00AC1DF5"/>
    <w:rsid w:val="00AC3A27"/>
    <w:rsid w:val="00AC4E2B"/>
    <w:rsid w:val="00AD1746"/>
    <w:rsid w:val="00AD2882"/>
    <w:rsid w:val="00AD2BB6"/>
    <w:rsid w:val="00AD4904"/>
    <w:rsid w:val="00AD518C"/>
    <w:rsid w:val="00AD54FB"/>
    <w:rsid w:val="00AD6933"/>
    <w:rsid w:val="00AD6B7B"/>
    <w:rsid w:val="00AD7504"/>
    <w:rsid w:val="00AE0AD5"/>
    <w:rsid w:val="00AE3585"/>
    <w:rsid w:val="00AF05CB"/>
    <w:rsid w:val="00AF1A2D"/>
    <w:rsid w:val="00AF2870"/>
    <w:rsid w:val="00AF5465"/>
    <w:rsid w:val="00AF7E41"/>
    <w:rsid w:val="00B02ED4"/>
    <w:rsid w:val="00B05BC3"/>
    <w:rsid w:val="00B0644A"/>
    <w:rsid w:val="00B11627"/>
    <w:rsid w:val="00B15D98"/>
    <w:rsid w:val="00B23019"/>
    <w:rsid w:val="00B23D01"/>
    <w:rsid w:val="00B25E16"/>
    <w:rsid w:val="00B32E61"/>
    <w:rsid w:val="00B36AFB"/>
    <w:rsid w:val="00B371FE"/>
    <w:rsid w:val="00B37773"/>
    <w:rsid w:val="00B40743"/>
    <w:rsid w:val="00B41A16"/>
    <w:rsid w:val="00B43F89"/>
    <w:rsid w:val="00B45C62"/>
    <w:rsid w:val="00B4696C"/>
    <w:rsid w:val="00B46B19"/>
    <w:rsid w:val="00B47722"/>
    <w:rsid w:val="00B540A5"/>
    <w:rsid w:val="00B56416"/>
    <w:rsid w:val="00B60682"/>
    <w:rsid w:val="00B60D70"/>
    <w:rsid w:val="00B6392E"/>
    <w:rsid w:val="00B643AF"/>
    <w:rsid w:val="00B663D6"/>
    <w:rsid w:val="00B66559"/>
    <w:rsid w:val="00B665AA"/>
    <w:rsid w:val="00B70A10"/>
    <w:rsid w:val="00B72AC4"/>
    <w:rsid w:val="00B749D8"/>
    <w:rsid w:val="00B774B3"/>
    <w:rsid w:val="00B81581"/>
    <w:rsid w:val="00B8364C"/>
    <w:rsid w:val="00B8552C"/>
    <w:rsid w:val="00B85A65"/>
    <w:rsid w:val="00B9762F"/>
    <w:rsid w:val="00BA0271"/>
    <w:rsid w:val="00BA1DB2"/>
    <w:rsid w:val="00BA5F37"/>
    <w:rsid w:val="00BA62C3"/>
    <w:rsid w:val="00BA796A"/>
    <w:rsid w:val="00BB047B"/>
    <w:rsid w:val="00BB04DD"/>
    <w:rsid w:val="00BB0C09"/>
    <w:rsid w:val="00BB1712"/>
    <w:rsid w:val="00BB264E"/>
    <w:rsid w:val="00BB32FB"/>
    <w:rsid w:val="00BB53C4"/>
    <w:rsid w:val="00BB6398"/>
    <w:rsid w:val="00BB6418"/>
    <w:rsid w:val="00BC087C"/>
    <w:rsid w:val="00BC0E86"/>
    <w:rsid w:val="00BC29A0"/>
    <w:rsid w:val="00BC5715"/>
    <w:rsid w:val="00BC6E3E"/>
    <w:rsid w:val="00BD0372"/>
    <w:rsid w:val="00BD2C58"/>
    <w:rsid w:val="00BD655D"/>
    <w:rsid w:val="00BE11A2"/>
    <w:rsid w:val="00BE35EC"/>
    <w:rsid w:val="00BE5349"/>
    <w:rsid w:val="00BE794D"/>
    <w:rsid w:val="00BF1609"/>
    <w:rsid w:val="00C06427"/>
    <w:rsid w:val="00C12D81"/>
    <w:rsid w:val="00C139CA"/>
    <w:rsid w:val="00C14689"/>
    <w:rsid w:val="00C17331"/>
    <w:rsid w:val="00C203DC"/>
    <w:rsid w:val="00C20FF4"/>
    <w:rsid w:val="00C218D7"/>
    <w:rsid w:val="00C26FCC"/>
    <w:rsid w:val="00C313C3"/>
    <w:rsid w:val="00C31CB5"/>
    <w:rsid w:val="00C3469F"/>
    <w:rsid w:val="00C34F9A"/>
    <w:rsid w:val="00C408D2"/>
    <w:rsid w:val="00C44CDB"/>
    <w:rsid w:val="00C45B25"/>
    <w:rsid w:val="00C46E77"/>
    <w:rsid w:val="00C5090E"/>
    <w:rsid w:val="00C51429"/>
    <w:rsid w:val="00C5340A"/>
    <w:rsid w:val="00C55696"/>
    <w:rsid w:val="00C60B18"/>
    <w:rsid w:val="00C630F8"/>
    <w:rsid w:val="00C65AD8"/>
    <w:rsid w:val="00C67798"/>
    <w:rsid w:val="00C70151"/>
    <w:rsid w:val="00C719E4"/>
    <w:rsid w:val="00C80C59"/>
    <w:rsid w:val="00C81EAB"/>
    <w:rsid w:val="00C81FFC"/>
    <w:rsid w:val="00C82916"/>
    <w:rsid w:val="00C85683"/>
    <w:rsid w:val="00C85E3C"/>
    <w:rsid w:val="00C85F28"/>
    <w:rsid w:val="00C85F70"/>
    <w:rsid w:val="00C87A72"/>
    <w:rsid w:val="00C92B93"/>
    <w:rsid w:val="00C92DEB"/>
    <w:rsid w:val="00C92E4B"/>
    <w:rsid w:val="00C9368B"/>
    <w:rsid w:val="00CA25F5"/>
    <w:rsid w:val="00CA3397"/>
    <w:rsid w:val="00CA7F64"/>
    <w:rsid w:val="00CB5938"/>
    <w:rsid w:val="00CB63FA"/>
    <w:rsid w:val="00CB73FE"/>
    <w:rsid w:val="00CC357D"/>
    <w:rsid w:val="00CC3F6C"/>
    <w:rsid w:val="00CC49A4"/>
    <w:rsid w:val="00CC49E1"/>
    <w:rsid w:val="00CC5D8B"/>
    <w:rsid w:val="00CC6052"/>
    <w:rsid w:val="00CC6DB1"/>
    <w:rsid w:val="00CC7EBD"/>
    <w:rsid w:val="00CD15C1"/>
    <w:rsid w:val="00CD2501"/>
    <w:rsid w:val="00CD3B1B"/>
    <w:rsid w:val="00CD4CED"/>
    <w:rsid w:val="00CD55EC"/>
    <w:rsid w:val="00CD58CC"/>
    <w:rsid w:val="00CD6176"/>
    <w:rsid w:val="00CD7890"/>
    <w:rsid w:val="00CE24CE"/>
    <w:rsid w:val="00CE3400"/>
    <w:rsid w:val="00CF0761"/>
    <w:rsid w:val="00CF09CF"/>
    <w:rsid w:val="00CF3F24"/>
    <w:rsid w:val="00CF6047"/>
    <w:rsid w:val="00D03E30"/>
    <w:rsid w:val="00D0461A"/>
    <w:rsid w:val="00D04FE6"/>
    <w:rsid w:val="00D060C3"/>
    <w:rsid w:val="00D14264"/>
    <w:rsid w:val="00D16F1C"/>
    <w:rsid w:val="00D230E9"/>
    <w:rsid w:val="00D30B44"/>
    <w:rsid w:val="00D312A3"/>
    <w:rsid w:val="00D3323B"/>
    <w:rsid w:val="00D33377"/>
    <w:rsid w:val="00D33813"/>
    <w:rsid w:val="00D34EB2"/>
    <w:rsid w:val="00D3612A"/>
    <w:rsid w:val="00D3703A"/>
    <w:rsid w:val="00D37703"/>
    <w:rsid w:val="00D37DF1"/>
    <w:rsid w:val="00D37F25"/>
    <w:rsid w:val="00D40DF5"/>
    <w:rsid w:val="00D42B05"/>
    <w:rsid w:val="00D47C22"/>
    <w:rsid w:val="00D5030C"/>
    <w:rsid w:val="00D510A8"/>
    <w:rsid w:val="00D51925"/>
    <w:rsid w:val="00D521E1"/>
    <w:rsid w:val="00D5469A"/>
    <w:rsid w:val="00D56572"/>
    <w:rsid w:val="00D630FB"/>
    <w:rsid w:val="00D64834"/>
    <w:rsid w:val="00D6620C"/>
    <w:rsid w:val="00D734EA"/>
    <w:rsid w:val="00D73868"/>
    <w:rsid w:val="00D73CCC"/>
    <w:rsid w:val="00D73E5E"/>
    <w:rsid w:val="00D75EBA"/>
    <w:rsid w:val="00D76D5D"/>
    <w:rsid w:val="00D7718B"/>
    <w:rsid w:val="00D773DF"/>
    <w:rsid w:val="00D82A0E"/>
    <w:rsid w:val="00D85BEE"/>
    <w:rsid w:val="00D922E6"/>
    <w:rsid w:val="00D92DE2"/>
    <w:rsid w:val="00D94B78"/>
    <w:rsid w:val="00D95F47"/>
    <w:rsid w:val="00D97CD2"/>
    <w:rsid w:val="00DA0D7C"/>
    <w:rsid w:val="00DA0EC8"/>
    <w:rsid w:val="00DA3D50"/>
    <w:rsid w:val="00DB1E37"/>
    <w:rsid w:val="00DB40A4"/>
    <w:rsid w:val="00DC0120"/>
    <w:rsid w:val="00DC2B6A"/>
    <w:rsid w:val="00DC4A4C"/>
    <w:rsid w:val="00DC6ECE"/>
    <w:rsid w:val="00DC7DE3"/>
    <w:rsid w:val="00DD0B16"/>
    <w:rsid w:val="00DD0D33"/>
    <w:rsid w:val="00DD2783"/>
    <w:rsid w:val="00DD32D7"/>
    <w:rsid w:val="00DD4D56"/>
    <w:rsid w:val="00DD4DF6"/>
    <w:rsid w:val="00DD56ED"/>
    <w:rsid w:val="00DD7A1C"/>
    <w:rsid w:val="00DE2912"/>
    <w:rsid w:val="00DE3205"/>
    <w:rsid w:val="00DE4049"/>
    <w:rsid w:val="00DE5CB7"/>
    <w:rsid w:val="00DE604A"/>
    <w:rsid w:val="00DE643F"/>
    <w:rsid w:val="00DF0578"/>
    <w:rsid w:val="00DF05A2"/>
    <w:rsid w:val="00DF1FB8"/>
    <w:rsid w:val="00DF4391"/>
    <w:rsid w:val="00DF4AB7"/>
    <w:rsid w:val="00DF689F"/>
    <w:rsid w:val="00DF7D98"/>
    <w:rsid w:val="00DF7E01"/>
    <w:rsid w:val="00E059D7"/>
    <w:rsid w:val="00E06FB7"/>
    <w:rsid w:val="00E071D3"/>
    <w:rsid w:val="00E072D3"/>
    <w:rsid w:val="00E07EA2"/>
    <w:rsid w:val="00E16BC6"/>
    <w:rsid w:val="00E228A6"/>
    <w:rsid w:val="00E3320F"/>
    <w:rsid w:val="00E33907"/>
    <w:rsid w:val="00E37420"/>
    <w:rsid w:val="00E37FF5"/>
    <w:rsid w:val="00E40C60"/>
    <w:rsid w:val="00E4162A"/>
    <w:rsid w:val="00E42962"/>
    <w:rsid w:val="00E4622C"/>
    <w:rsid w:val="00E46571"/>
    <w:rsid w:val="00E4671F"/>
    <w:rsid w:val="00E51FFB"/>
    <w:rsid w:val="00E53A9D"/>
    <w:rsid w:val="00E53C6C"/>
    <w:rsid w:val="00E55778"/>
    <w:rsid w:val="00E56C33"/>
    <w:rsid w:val="00E57EE0"/>
    <w:rsid w:val="00E60EAF"/>
    <w:rsid w:val="00E61294"/>
    <w:rsid w:val="00E619E1"/>
    <w:rsid w:val="00E630FB"/>
    <w:rsid w:val="00E63900"/>
    <w:rsid w:val="00E65D96"/>
    <w:rsid w:val="00E7140D"/>
    <w:rsid w:val="00E72A13"/>
    <w:rsid w:val="00E72F93"/>
    <w:rsid w:val="00E7440D"/>
    <w:rsid w:val="00E74ECF"/>
    <w:rsid w:val="00E74FDF"/>
    <w:rsid w:val="00E757EA"/>
    <w:rsid w:val="00E76678"/>
    <w:rsid w:val="00E77356"/>
    <w:rsid w:val="00E81DC0"/>
    <w:rsid w:val="00E86536"/>
    <w:rsid w:val="00E901B6"/>
    <w:rsid w:val="00E90988"/>
    <w:rsid w:val="00E91B86"/>
    <w:rsid w:val="00E91F9C"/>
    <w:rsid w:val="00E96396"/>
    <w:rsid w:val="00EA25B0"/>
    <w:rsid w:val="00EA3893"/>
    <w:rsid w:val="00EA6783"/>
    <w:rsid w:val="00EA6898"/>
    <w:rsid w:val="00EA6AD9"/>
    <w:rsid w:val="00EA6BD9"/>
    <w:rsid w:val="00EA74C4"/>
    <w:rsid w:val="00EC651B"/>
    <w:rsid w:val="00ED3D17"/>
    <w:rsid w:val="00ED7B65"/>
    <w:rsid w:val="00EE072F"/>
    <w:rsid w:val="00EE1273"/>
    <w:rsid w:val="00EE1CF3"/>
    <w:rsid w:val="00EE2914"/>
    <w:rsid w:val="00EE2E42"/>
    <w:rsid w:val="00EE54B0"/>
    <w:rsid w:val="00EE6786"/>
    <w:rsid w:val="00EF031F"/>
    <w:rsid w:val="00EF4686"/>
    <w:rsid w:val="00EF486D"/>
    <w:rsid w:val="00F00A08"/>
    <w:rsid w:val="00F06B6F"/>
    <w:rsid w:val="00F06C8D"/>
    <w:rsid w:val="00F071BE"/>
    <w:rsid w:val="00F0758E"/>
    <w:rsid w:val="00F07A08"/>
    <w:rsid w:val="00F101F0"/>
    <w:rsid w:val="00F121B6"/>
    <w:rsid w:val="00F15712"/>
    <w:rsid w:val="00F24994"/>
    <w:rsid w:val="00F26A9F"/>
    <w:rsid w:val="00F26E68"/>
    <w:rsid w:val="00F27584"/>
    <w:rsid w:val="00F27B29"/>
    <w:rsid w:val="00F27C6A"/>
    <w:rsid w:val="00F312CC"/>
    <w:rsid w:val="00F3616A"/>
    <w:rsid w:val="00F43F2E"/>
    <w:rsid w:val="00F44856"/>
    <w:rsid w:val="00F44BD2"/>
    <w:rsid w:val="00F457B0"/>
    <w:rsid w:val="00F50622"/>
    <w:rsid w:val="00F507A7"/>
    <w:rsid w:val="00F51134"/>
    <w:rsid w:val="00F524C5"/>
    <w:rsid w:val="00F57470"/>
    <w:rsid w:val="00F5798D"/>
    <w:rsid w:val="00F614CB"/>
    <w:rsid w:val="00F616AD"/>
    <w:rsid w:val="00F63CBE"/>
    <w:rsid w:val="00F66F8F"/>
    <w:rsid w:val="00F67756"/>
    <w:rsid w:val="00F71B73"/>
    <w:rsid w:val="00F72328"/>
    <w:rsid w:val="00F7317F"/>
    <w:rsid w:val="00F73D58"/>
    <w:rsid w:val="00F769F2"/>
    <w:rsid w:val="00F84C68"/>
    <w:rsid w:val="00F85D59"/>
    <w:rsid w:val="00F9401A"/>
    <w:rsid w:val="00F94638"/>
    <w:rsid w:val="00F94A21"/>
    <w:rsid w:val="00F94B9A"/>
    <w:rsid w:val="00FA1CA7"/>
    <w:rsid w:val="00FA26F7"/>
    <w:rsid w:val="00FA5831"/>
    <w:rsid w:val="00FB0280"/>
    <w:rsid w:val="00FB15A2"/>
    <w:rsid w:val="00FC0D45"/>
    <w:rsid w:val="00FC20A0"/>
    <w:rsid w:val="00FC286A"/>
    <w:rsid w:val="00FC4231"/>
    <w:rsid w:val="00FC4C80"/>
    <w:rsid w:val="00FC5E08"/>
    <w:rsid w:val="00FD0798"/>
    <w:rsid w:val="00FD4554"/>
    <w:rsid w:val="00FE616D"/>
    <w:rsid w:val="00FF454E"/>
    <w:rsid w:val="00FF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00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numbered-paragraph">
    <w:name w:val="numbered-paragraph"/>
    <w:basedOn w:val="Normal"/>
    <w:rsid w:val="00865EDE"/>
    <w:pPr>
      <w:spacing w:before="100" w:beforeAutospacing="1" w:after="100" w:afterAutospacing="1"/>
    </w:pPr>
    <w:rPr>
      <w:lang w:eastAsia="en-GB"/>
    </w:rPr>
  </w:style>
  <w:style w:type="paragraph" w:styleId="NormalWeb">
    <w:name w:val="Normal (Web)"/>
    <w:basedOn w:val="Normal"/>
    <w:uiPriority w:val="99"/>
    <w:semiHidden/>
    <w:unhideWhenUsed/>
    <w:locked/>
    <w:rsid w:val="00865EDE"/>
    <w:pPr>
      <w:spacing w:before="100" w:beforeAutospacing="1" w:after="100" w:afterAutospacing="1"/>
    </w:pPr>
    <w:rPr>
      <w:lang w:eastAsia="en-GB"/>
    </w:rPr>
  </w:style>
  <w:style w:type="character" w:styleId="Strong">
    <w:name w:val="Strong"/>
    <w:basedOn w:val="DefaultParagraphFont"/>
    <w:uiPriority w:val="22"/>
    <w:qFormat/>
    <w:locked/>
    <w:rsid w:val="00865EDE"/>
    <w:rPr>
      <w:b/>
      <w:bCs/>
    </w:rPr>
  </w:style>
  <w:style w:type="character" w:customStyle="1" w:styleId="paragraph-number">
    <w:name w:val="paragraph-number"/>
    <w:basedOn w:val="DefaultParagraphFont"/>
    <w:rsid w:val="00865EDE"/>
  </w:style>
  <w:style w:type="paragraph" w:customStyle="1" w:styleId="Paragraphnonumbers">
    <w:name w:val="Paragraph no numbers"/>
    <w:basedOn w:val="Normal"/>
    <w:uiPriority w:val="99"/>
    <w:qFormat/>
    <w:rsid w:val="00F9401A"/>
    <w:pPr>
      <w:spacing w:after="24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22023413">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165679527">
      <w:bodyDiv w:val="1"/>
      <w:marLeft w:val="0"/>
      <w:marRight w:val="0"/>
      <w:marTop w:val="0"/>
      <w:marBottom w:val="0"/>
      <w:divBdr>
        <w:top w:val="none" w:sz="0" w:space="0" w:color="auto"/>
        <w:left w:val="none" w:sz="0" w:space="0" w:color="auto"/>
        <w:bottom w:val="none" w:sz="0" w:space="0" w:color="auto"/>
        <w:right w:val="none" w:sz="0" w:space="0" w:color="auto"/>
      </w:divBdr>
      <w:divsChild>
        <w:div w:id="271208691">
          <w:marLeft w:val="960"/>
          <w:marRight w:val="0"/>
          <w:marTop w:val="0"/>
          <w:marBottom w:val="0"/>
          <w:divBdr>
            <w:top w:val="none" w:sz="0" w:space="0" w:color="auto"/>
            <w:left w:val="none" w:sz="0" w:space="0" w:color="auto"/>
            <w:bottom w:val="none" w:sz="0" w:space="0" w:color="auto"/>
            <w:right w:val="none" w:sz="0" w:space="0" w:color="auto"/>
          </w:divBdr>
        </w:div>
      </w:divsChild>
    </w:div>
    <w:div w:id="198515389">
      <w:bodyDiv w:val="1"/>
      <w:marLeft w:val="0"/>
      <w:marRight w:val="0"/>
      <w:marTop w:val="0"/>
      <w:marBottom w:val="0"/>
      <w:divBdr>
        <w:top w:val="none" w:sz="0" w:space="0" w:color="auto"/>
        <w:left w:val="none" w:sz="0" w:space="0" w:color="auto"/>
        <w:bottom w:val="none" w:sz="0" w:space="0" w:color="auto"/>
        <w:right w:val="none" w:sz="0" w:space="0" w:color="auto"/>
      </w:divBdr>
    </w:div>
    <w:div w:id="208877318">
      <w:bodyDiv w:val="1"/>
      <w:marLeft w:val="0"/>
      <w:marRight w:val="0"/>
      <w:marTop w:val="0"/>
      <w:marBottom w:val="0"/>
      <w:divBdr>
        <w:top w:val="none" w:sz="0" w:space="0" w:color="auto"/>
        <w:left w:val="none" w:sz="0" w:space="0" w:color="auto"/>
        <w:bottom w:val="none" w:sz="0" w:space="0" w:color="auto"/>
        <w:right w:val="none" w:sz="0" w:space="0" w:color="auto"/>
      </w:divBdr>
    </w:div>
    <w:div w:id="362368121">
      <w:bodyDiv w:val="1"/>
      <w:marLeft w:val="0"/>
      <w:marRight w:val="0"/>
      <w:marTop w:val="0"/>
      <w:marBottom w:val="0"/>
      <w:divBdr>
        <w:top w:val="none" w:sz="0" w:space="0" w:color="auto"/>
        <w:left w:val="none" w:sz="0" w:space="0" w:color="auto"/>
        <w:bottom w:val="none" w:sz="0" w:space="0" w:color="auto"/>
        <w:right w:val="none" w:sz="0" w:space="0" w:color="auto"/>
      </w:divBdr>
    </w:div>
    <w:div w:id="371197185">
      <w:bodyDiv w:val="1"/>
      <w:marLeft w:val="0"/>
      <w:marRight w:val="0"/>
      <w:marTop w:val="0"/>
      <w:marBottom w:val="0"/>
      <w:divBdr>
        <w:top w:val="none" w:sz="0" w:space="0" w:color="auto"/>
        <w:left w:val="none" w:sz="0" w:space="0" w:color="auto"/>
        <w:bottom w:val="none" w:sz="0" w:space="0" w:color="auto"/>
        <w:right w:val="none" w:sz="0" w:space="0" w:color="auto"/>
      </w:divBdr>
    </w:div>
    <w:div w:id="420027664">
      <w:bodyDiv w:val="1"/>
      <w:marLeft w:val="0"/>
      <w:marRight w:val="0"/>
      <w:marTop w:val="0"/>
      <w:marBottom w:val="0"/>
      <w:divBdr>
        <w:top w:val="none" w:sz="0" w:space="0" w:color="auto"/>
        <w:left w:val="none" w:sz="0" w:space="0" w:color="auto"/>
        <w:bottom w:val="none" w:sz="0" w:space="0" w:color="auto"/>
        <w:right w:val="none" w:sz="0" w:space="0" w:color="auto"/>
      </w:divBdr>
    </w:div>
    <w:div w:id="507528751">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50403641">
      <w:bodyDiv w:val="1"/>
      <w:marLeft w:val="0"/>
      <w:marRight w:val="0"/>
      <w:marTop w:val="0"/>
      <w:marBottom w:val="0"/>
      <w:divBdr>
        <w:top w:val="none" w:sz="0" w:space="0" w:color="auto"/>
        <w:left w:val="none" w:sz="0" w:space="0" w:color="auto"/>
        <w:bottom w:val="none" w:sz="0" w:space="0" w:color="auto"/>
        <w:right w:val="none" w:sz="0" w:space="0" w:color="auto"/>
      </w:divBdr>
      <w:divsChild>
        <w:div w:id="1585337764">
          <w:marLeft w:val="960"/>
          <w:marRight w:val="0"/>
          <w:marTop w:val="0"/>
          <w:marBottom w:val="0"/>
          <w:divBdr>
            <w:top w:val="none" w:sz="0" w:space="0" w:color="auto"/>
            <w:left w:val="none" w:sz="0" w:space="0" w:color="auto"/>
            <w:bottom w:val="none" w:sz="0" w:space="0" w:color="auto"/>
            <w:right w:val="none" w:sz="0" w:space="0" w:color="auto"/>
          </w:divBdr>
        </w:div>
      </w:divsChild>
    </w:div>
    <w:div w:id="680082611">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90127778">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208953700">
      <w:bodyDiv w:val="1"/>
      <w:marLeft w:val="0"/>
      <w:marRight w:val="0"/>
      <w:marTop w:val="0"/>
      <w:marBottom w:val="0"/>
      <w:divBdr>
        <w:top w:val="none" w:sz="0" w:space="0" w:color="auto"/>
        <w:left w:val="none" w:sz="0" w:space="0" w:color="auto"/>
        <w:bottom w:val="none" w:sz="0" w:space="0" w:color="auto"/>
        <w:right w:val="none" w:sz="0" w:space="0" w:color="auto"/>
      </w:divBdr>
    </w:div>
    <w:div w:id="1248727007">
      <w:bodyDiv w:val="1"/>
      <w:marLeft w:val="0"/>
      <w:marRight w:val="0"/>
      <w:marTop w:val="0"/>
      <w:marBottom w:val="0"/>
      <w:divBdr>
        <w:top w:val="none" w:sz="0" w:space="0" w:color="auto"/>
        <w:left w:val="none" w:sz="0" w:space="0" w:color="auto"/>
        <w:bottom w:val="none" w:sz="0" w:space="0" w:color="auto"/>
        <w:right w:val="none" w:sz="0" w:space="0" w:color="auto"/>
      </w:divBdr>
      <w:divsChild>
        <w:div w:id="209925266">
          <w:marLeft w:val="0"/>
          <w:marRight w:val="0"/>
          <w:marTop w:val="0"/>
          <w:marBottom w:val="360"/>
          <w:divBdr>
            <w:top w:val="none" w:sz="0" w:space="0" w:color="auto"/>
            <w:left w:val="none" w:sz="0" w:space="0" w:color="auto"/>
            <w:bottom w:val="none" w:sz="0" w:space="0" w:color="auto"/>
            <w:right w:val="none" w:sz="0" w:space="0" w:color="auto"/>
          </w:divBdr>
        </w:div>
      </w:divsChild>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9731">
      <w:bodyDiv w:val="1"/>
      <w:marLeft w:val="0"/>
      <w:marRight w:val="0"/>
      <w:marTop w:val="0"/>
      <w:marBottom w:val="0"/>
      <w:divBdr>
        <w:top w:val="none" w:sz="0" w:space="0" w:color="auto"/>
        <w:left w:val="none" w:sz="0" w:space="0" w:color="auto"/>
        <w:bottom w:val="none" w:sz="0" w:space="0" w:color="auto"/>
        <w:right w:val="none" w:sz="0" w:space="0" w:color="auto"/>
      </w:divBdr>
    </w:div>
    <w:div w:id="1382434512">
      <w:bodyDiv w:val="1"/>
      <w:marLeft w:val="0"/>
      <w:marRight w:val="0"/>
      <w:marTop w:val="0"/>
      <w:marBottom w:val="0"/>
      <w:divBdr>
        <w:top w:val="none" w:sz="0" w:space="0" w:color="auto"/>
        <w:left w:val="none" w:sz="0" w:space="0" w:color="auto"/>
        <w:bottom w:val="none" w:sz="0" w:space="0" w:color="auto"/>
        <w:right w:val="none" w:sz="0" w:space="0" w:color="auto"/>
      </w:divBdr>
      <w:divsChild>
        <w:div w:id="72774973">
          <w:marLeft w:val="960"/>
          <w:marRight w:val="0"/>
          <w:marTop w:val="0"/>
          <w:marBottom w:val="0"/>
          <w:divBdr>
            <w:top w:val="none" w:sz="0" w:space="0" w:color="auto"/>
            <w:left w:val="none" w:sz="0" w:space="0" w:color="auto"/>
            <w:bottom w:val="none" w:sz="0" w:space="0" w:color="auto"/>
            <w:right w:val="none" w:sz="0" w:space="0" w:color="auto"/>
          </w:divBdr>
        </w:div>
      </w:divsChild>
    </w:div>
    <w:div w:id="1525486136">
      <w:bodyDiv w:val="1"/>
      <w:marLeft w:val="0"/>
      <w:marRight w:val="0"/>
      <w:marTop w:val="0"/>
      <w:marBottom w:val="0"/>
      <w:divBdr>
        <w:top w:val="none" w:sz="0" w:space="0" w:color="auto"/>
        <w:left w:val="none" w:sz="0" w:space="0" w:color="auto"/>
        <w:bottom w:val="none" w:sz="0" w:space="0" w:color="auto"/>
        <w:right w:val="none" w:sz="0" w:space="0" w:color="auto"/>
      </w:divBdr>
    </w:div>
    <w:div w:id="1619606755">
      <w:bodyDiv w:val="1"/>
      <w:marLeft w:val="0"/>
      <w:marRight w:val="0"/>
      <w:marTop w:val="0"/>
      <w:marBottom w:val="0"/>
      <w:divBdr>
        <w:top w:val="none" w:sz="0" w:space="0" w:color="auto"/>
        <w:left w:val="none" w:sz="0" w:space="0" w:color="auto"/>
        <w:bottom w:val="none" w:sz="0" w:space="0" w:color="auto"/>
        <w:right w:val="none" w:sz="0" w:space="0" w:color="auto"/>
      </w:divBdr>
      <w:divsChild>
        <w:div w:id="545609656">
          <w:marLeft w:val="960"/>
          <w:marRight w:val="0"/>
          <w:marTop w:val="0"/>
          <w:marBottom w:val="0"/>
          <w:divBdr>
            <w:top w:val="none" w:sz="0" w:space="0" w:color="auto"/>
            <w:left w:val="none" w:sz="0" w:space="0" w:color="auto"/>
            <w:bottom w:val="none" w:sz="0" w:space="0" w:color="auto"/>
            <w:right w:val="none" w:sz="0" w:space="0" w:color="auto"/>
          </w:divBdr>
        </w:div>
      </w:divsChild>
    </w:div>
    <w:div w:id="1687562397">
      <w:bodyDiv w:val="1"/>
      <w:marLeft w:val="0"/>
      <w:marRight w:val="0"/>
      <w:marTop w:val="0"/>
      <w:marBottom w:val="0"/>
      <w:divBdr>
        <w:top w:val="none" w:sz="0" w:space="0" w:color="auto"/>
        <w:left w:val="none" w:sz="0" w:space="0" w:color="auto"/>
        <w:bottom w:val="none" w:sz="0" w:space="0" w:color="auto"/>
        <w:right w:val="none" w:sz="0" w:space="0" w:color="auto"/>
      </w:divBdr>
      <w:divsChild>
        <w:div w:id="794183027">
          <w:marLeft w:val="960"/>
          <w:marRight w:val="0"/>
          <w:marTop w:val="0"/>
          <w:marBottom w:val="0"/>
          <w:divBdr>
            <w:top w:val="none" w:sz="0" w:space="0" w:color="auto"/>
            <w:left w:val="none" w:sz="0" w:space="0" w:color="auto"/>
            <w:bottom w:val="none" w:sz="0" w:space="0" w:color="auto"/>
            <w:right w:val="none" w:sz="0" w:space="0" w:color="auto"/>
          </w:divBdr>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727022546">
      <w:bodyDiv w:val="1"/>
      <w:marLeft w:val="0"/>
      <w:marRight w:val="0"/>
      <w:marTop w:val="0"/>
      <w:marBottom w:val="0"/>
      <w:divBdr>
        <w:top w:val="none" w:sz="0" w:space="0" w:color="auto"/>
        <w:left w:val="none" w:sz="0" w:space="0" w:color="auto"/>
        <w:bottom w:val="none" w:sz="0" w:space="0" w:color="auto"/>
        <w:right w:val="none" w:sz="0" w:space="0" w:color="auto"/>
      </w:divBdr>
    </w:div>
    <w:div w:id="1742947167">
      <w:bodyDiv w:val="1"/>
      <w:marLeft w:val="0"/>
      <w:marRight w:val="0"/>
      <w:marTop w:val="0"/>
      <w:marBottom w:val="0"/>
      <w:divBdr>
        <w:top w:val="none" w:sz="0" w:space="0" w:color="auto"/>
        <w:left w:val="none" w:sz="0" w:space="0" w:color="auto"/>
        <w:bottom w:val="none" w:sz="0" w:space="0" w:color="auto"/>
        <w:right w:val="none" w:sz="0" w:space="0" w:color="auto"/>
      </w:divBdr>
    </w:div>
    <w:div w:id="1783454484">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894459970">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37308">
      <w:bodyDiv w:val="1"/>
      <w:marLeft w:val="0"/>
      <w:marRight w:val="0"/>
      <w:marTop w:val="0"/>
      <w:marBottom w:val="0"/>
      <w:divBdr>
        <w:top w:val="none" w:sz="0" w:space="0" w:color="auto"/>
        <w:left w:val="none" w:sz="0" w:space="0" w:color="auto"/>
        <w:bottom w:val="none" w:sz="0" w:space="0" w:color="auto"/>
        <w:right w:val="none" w:sz="0" w:space="0" w:color="auto"/>
      </w:divBdr>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athways.nice.org.uk/pathways/patient-experience-in-adult-nhs-services" TargetMode="External"/><Relationship Id="rId18" Type="http://schemas.openxmlformats.org/officeDocument/2006/relationships/hyperlink" Target="https://www.gettingitrightfirsttime.co.uk/thrombosis-survey/" TargetMode="External"/><Relationship Id="rId26" Type="http://schemas.openxmlformats.org/officeDocument/2006/relationships/hyperlink" Target="https://www.nice.org.uk/guidance/NG89" TargetMode="External"/><Relationship Id="rId39" Type="http://schemas.openxmlformats.org/officeDocument/2006/relationships/hyperlink" Target="https://www.nice.org.uk/guidance/qs29" TargetMode="External"/><Relationship Id="rId21" Type="http://schemas.openxmlformats.org/officeDocument/2006/relationships/hyperlink" Target="https://www.nice.org.uk/guidance/NG89" TargetMode="External"/><Relationship Id="rId34" Type="http://schemas.openxmlformats.org/officeDocument/2006/relationships/hyperlink" Target="https://www.nice.org.uk/guidance/NG158" TargetMode="External"/><Relationship Id="rId42" Type="http://schemas.openxmlformats.org/officeDocument/2006/relationships/hyperlink" Target="https://www.nice.org.uk/guidance/indevelopment/gid-qs10142/documents" TargetMode="External"/><Relationship Id="rId47" Type="http://schemas.openxmlformats.org/officeDocument/2006/relationships/hyperlink" Target="https://www.nice.org.uk/guidance/indevelopment/gid-qs10142/document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qs120" TargetMode="External"/><Relationship Id="rId29" Type="http://schemas.openxmlformats.org/officeDocument/2006/relationships/hyperlink" Target="https://www.nice.org.uk/guidance/NG158" TargetMode="External"/><Relationship Id="rId11" Type="http://schemas.openxmlformats.org/officeDocument/2006/relationships/hyperlink" Target="https://www.nice.org.uk/guidance/qs3" TargetMode="External"/><Relationship Id="rId24" Type="http://schemas.openxmlformats.org/officeDocument/2006/relationships/hyperlink" Target="https://www.nice.org.uk/guidance/ng89" TargetMode="External"/><Relationship Id="rId32" Type="http://schemas.openxmlformats.org/officeDocument/2006/relationships/hyperlink" Target="https://www.nice.org.uk/guidance/NG158" TargetMode="External"/><Relationship Id="rId37" Type="http://schemas.openxmlformats.org/officeDocument/2006/relationships/hyperlink" Target="https://www.nice.org.uk/guidance/NG158" TargetMode="External"/><Relationship Id="rId40" Type="http://schemas.openxmlformats.org/officeDocument/2006/relationships/hyperlink" Target="https://www.nice.org.uk/standards-and-indicators/timeline-developing-quality-standards" TargetMode="External"/><Relationship Id="rId45" Type="http://schemas.openxmlformats.org/officeDocument/2006/relationships/hyperlink" Target="https://www.nice.org.uk/guidance/ng89/resourc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nice.org.uk/guidance/conditions-and-diseases/respiratory-conditions/covid19/products?ProductType=Guidance&amp;Status=Published" TargetMode="External"/><Relationship Id="rId19" Type="http://schemas.openxmlformats.org/officeDocument/2006/relationships/hyperlink" Target="https://thrombosisuk.org/downloads/APPTG%20Annual%20Review%202019%20100320.pdf" TargetMode="External"/><Relationship Id="rId31" Type="http://schemas.openxmlformats.org/officeDocument/2006/relationships/hyperlink" Target="https://www.nice.org.uk/guidance/ng158" TargetMode="External"/><Relationship Id="rId44" Type="http://schemas.openxmlformats.org/officeDocument/2006/relationships/hyperlink" Target="https://www.nice.org.uk/about/what-we-do/into-practice/measuring-the-uptake-of-nice-guidanc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e.org.uk/guidance/qsXXX/chapter/Update-information" TargetMode="External"/><Relationship Id="rId14" Type="http://schemas.openxmlformats.org/officeDocument/2006/relationships/hyperlink" Target="https://pathways.nice.org.uk/pathways/service-user-experience-in-adult-mental-health-services" TargetMode="External"/><Relationship Id="rId22" Type="http://schemas.openxmlformats.org/officeDocument/2006/relationships/hyperlink" Target="https://www.nice.org.uk/guidance/NG89" TargetMode="External"/><Relationship Id="rId27" Type="http://schemas.openxmlformats.org/officeDocument/2006/relationships/hyperlink" Target="https://www.nice.org.uk/guidance/NG89" TargetMode="External"/><Relationship Id="rId30" Type="http://schemas.openxmlformats.org/officeDocument/2006/relationships/hyperlink" Target="https://www.nice.org.uk/guidance/NG158" TargetMode="External"/><Relationship Id="rId35" Type="http://schemas.openxmlformats.org/officeDocument/2006/relationships/hyperlink" Target="https://www.nice.org.uk/guidance/ng158" TargetMode="External"/><Relationship Id="rId43" Type="http://schemas.openxmlformats.org/officeDocument/2006/relationships/hyperlink" Target="https://pathways.nice.org.uk/pathways/venous-thromboembolism" TargetMode="External"/><Relationship Id="rId48" Type="http://schemas.openxmlformats.org/officeDocument/2006/relationships/hyperlink" Target="https://www.nice.org.uk/terms-and-conditions" TargetMode="External"/><Relationship Id="rId8" Type="http://schemas.openxmlformats.org/officeDocument/2006/relationships/hyperlink" Target="https://www.nice.org.uk/guidance/qs29"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nice.org.uk/guidance/qs29" TargetMode="External"/><Relationship Id="rId17" Type="http://schemas.openxmlformats.org/officeDocument/2006/relationships/hyperlink" Target="http://www.nice.org.uk/Standards-and-Indicators/Developing-NICE-quality-standards-/Quality-standards-topic-library" TargetMode="External"/><Relationship Id="rId25" Type="http://schemas.openxmlformats.org/officeDocument/2006/relationships/hyperlink" Target="https://www.nice.org.uk/guidance/NG89" TargetMode="External"/><Relationship Id="rId33" Type="http://schemas.openxmlformats.org/officeDocument/2006/relationships/hyperlink" Target="https://www.nice.org.uk/guidance/NG158" TargetMode="External"/><Relationship Id="rId38" Type="http://schemas.openxmlformats.org/officeDocument/2006/relationships/hyperlink" Target="https://www.nice.org.uk/guidance/qs3" TargetMode="External"/><Relationship Id="rId46" Type="http://schemas.openxmlformats.org/officeDocument/2006/relationships/hyperlink" Target="https://www.nice.org.uk/guidance/ng158/resources" TargetMode="External"/><Relationship Id="rId20" Type="http://schemas.openxmlformats.org/officeDocument/2006/relationships/hyperlink" Target="https://www.nice.org.uk/guidance/ng89" TargetMode="External"/><Relationship Id="rId41" Type="http://schemas.openxmlformats.org/officeDocument/2006/relationships/hyperlink" Target="http://www.nice.org.uk/Get-Involved/Meetings-in-public/Quality-Standards-Advisory-Committ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qs2" TargetMode="External"/><Relationship Id="rId23" Type="http://schemas.openxmlformats.org/officeDocument/2006/relationships/hyperlink" Target="https://www.england.nhs.uk/ourwork/accessibleinfo/" TargetMode="External"/><Relationship Id="rId28" Type="http://schemas.openxmlformats.org/officeDocument/2006/relationships/hyperlink" Target="https://www.nice.org.uk/guidance/ng158" TargetMode="External"/><Relationship Id="rId36" Type="http://schemas.openxmlformats.org/officeDocument/2006/relationships/hyperlink" Target="https://www.nice.org.uk/guidance/NG158"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5207</Words>
  <Characters>32005</Characters>
  <Application>Microsoft Office Word</Application>
  <DocSecurity>0</DocSecurity>
  <Lines>266</Lines>
  <Paragraphs>74</Paragraphs>
  <ScaleCrop>false</ScaleCrop>
  <Company/>
  <LinksUpToDate>false</LinksUpToDate>
  <CharactersWithSpaces>37138</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2020-11-19T11:16:00Z</dcterms:created>
  <dcterms:modified xsi:type="dcterms:W3CDTF">2020-11-19T11:20:00Z</dcterms:modified>
</cp:coreProperties>
</file>