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F2" w:rsidRDefault="00906E2F" w:rsidP="006077E2">
      <w:pPr>
        <w:pStyle w:val="Heading3"/>
      </w:pPr>
      <w:r>
        <w:t>Recommended n</w:t>
      </w:r>
      <w:r w:rsidR="00C967F2">
        <w:t xml:space="preserve">umber of embryos </w:t>
      </w:r>
      <w:r>
        <w:t xml:space="preserve">to </w:t>
      </w:r>
      <w:r w:rsidR="00C967F2">
        <w:t>transfer</w:t>
      </w:r>
      <w:r w:rsidR="00C967F2" w:rsidRPr="00C967F2">
        <w:t xml:space="preserve"> </w:t>
      </w:r>
      <w:r>
        <w:t>in IVF treatment</w:t>
      </w:r>
    </w:p>
    <w:p w:rsidR="0091439C" w:rsidRDefault="0091439C" w:rsidP="00C967F2">
      <w:pPr>
        <w:pStyle w:val="Heading3"/>
        <w:rPr>
          <w:b w:val="0"/>
        </w:rPr>
      </w:pPr>
      <w:r w:rsidRPr="0091439C">
        <w:rPr>
          <w:b w:val="0"/>
        </w:rPr>
        <w:t xml:space="preserve">Multiple pregnancies represent a significant risk to the </w:t>
      </w:r>
      <w:r>
        <w:rPr>
          <w:b w:val="0"/>
        </w:rPr>
        <w:t xml:space="preserve">health of </w:t>
      </w:r>
      <w:r w:rsidRPr="0091439C">
        <w:rPr>
          <w:b w:val="0"/>
        </w:rPr>
        <w:t>mother</w:t>
      </w:r>
      <w:r>
        <w:rPr>
          <w:b w:val="0"/>
        </w:rPr>
        <w:t>s and babie</w:t>
      </w:r>
      <w:r w:rsidRPr="0091439C">
        <w:rPr>
          <w:b w:val="0"/>
        </w:rPr>
        <w:t>s</w:t>
      </w:r>
      <w:r>
        <w:rPr>
          <w:b w:val="0"/>
        </w:rPr>
        <w:t>.</w:t>
      </w:r>
      <w:r w:rsidRPr="0091439C">
        <w:rPr>
          <w:b w:val="0"/>
        </w:rPr>
        <w:t xml:space="preserve"> An effective embryo transfer strategy minimises the chance of multiple and higher order pregnancies after IVF and improves outcome</w:t>
      </w:r>
      <w:r>
        <w:rPr>
          <w:b w:val="0"/>
        </w:rPr>
        <w:t>s</w:t>
      </w:r>
      <w:r w:rsidRPr="0091439C">
        <w:rPr>
          <w:b w:val="0"/>
        </w:rPr>
        <w:t xml:space="preserve"> of IVF with the birth o</w:t>
      </w:r>
      <w:r>
        <w:rPr>
          <w:b w:val="0"/>
        </w:rPr>
        <w:t>f more single, healthy babies.</w:t>
      </w:r>
    </w:p>
    <w:p w:rsidR="00C967F2" w:rsidRPr="00C967F2" w:rsidRDefault="00C967F2" w:rsidP="00C967F2">
      <w:pPr>
        <w:pStyle w:val="Heading3"/>
        <w:rPr>
          <w:b w:val="0"/>
        </w:rPr>
      </w:pPr>
      <w:r w:rsidRPr="00C967F2">
        <w:rPr>
          <w:b w:val="0"/>
        </w:rPr>
        <w:t xml:space="preserve">This table </w:t>
      </w:r>
      <w:r w:rsidR="003948EF">
        <w:rPr>
          <w:b w:val="0"/>
        </w:rPr>
        <w:t>shows</w:t>
      </w:r>
      <w:r w:rsidRPr="00C967F2">
        <w:rPr>
          <w:b w:val="0"/>
        </w:rPr>
        <w:t xml:space="preserve"> the </w:t>
      </w:r>
      <w:r w:rsidR="003948EF">
        <w:rPr>
          <w:b w:val="0"/>
        </w:rPr>
        <w:t>recommende</w:t>
      </w:r>
      <w:bookmarkStart w:id="0" w:name="_GoBack"/>
      <w:bookmarkEnd w:id="0"/>
      <w:r w:rsidR="003948EF">
        <w:rPr>
          <w:b w:val="0"/>
        </w:rPr>
        <w:t xml:space="preserve">d </w:t>
      </w:r>
      <w:r w:rsidRPr="00C967F2">
        <w:rPr>
          <w:b w:val="0"/>
        </w:rPr>
        <w:t xml:space="preserve">number of embryos that should be transferred </w:t>
      </w:r>
      <w:r w:rsidR="003948EF">
        <w:rPr>
          <w:b w:val="0"/>
        </w:rPr>
        <w:t xml:space="preserve">in an IVF cycle </w:t>
      </w:r>
      <w:r w:rsidRPr="00C967F2">
        <w:rPr>
          <w:b w:val="0"/>
        </w:rPr>
        <w:t xml:space="preserve">according to </w:t>
      </w:r>
      <w:r w:rsidR="003C102E">
        <w:rPr>
          <w:b w:val="0"/>
        </w:rPr>
        <w:t xml:space="preserve">the </w:t>
      </w:r>
      <w:r w:rsidRPr="00C967F2">
        <w:rPr>
          <w:b w:val="0"/>
        </w:rPr>
        <w:t xml:space="preserve">NICE </w:t>
      </w:r>
      <w:r w:rsidR="003948EF">
        <w:rPr>
          <w:b w:val="0"/>
        </w:rPr>
        <w:t>c</w:t>
      </w:r>
      <w:r w:rsidRPr="00C967F2">
        <w:rPr>
          <w:b w:val="0"/>
        </w:rPr>
        <w:t>linical guideline (</w:t>
      </w:r>
      <w:r w:rsidR="003948EF">
        <w:rPr>
          <w:b w:val="0"/>
        </w:rPr>
        <w:t>C</w:t>
      </w:r>
      <w:r w:rsidRPr="00C967F2">
        <w:rPr>
          <w:b w:val="0"/>
        </w:rPr>
        <w:t xml:space="preserve">G156) and </w:t>
      </w:r>
      <w:r w:rsidR="003C102E">
        <w:rPr>
          <w:b w:val="0"/>
        </w:rPr>
        <w:t>quality standard (</w:t>
      </w:r>
      <w:r w:rsidR="00263D23">
        <w:rPr>
          <w:b w:val="0"/>
        </w:rPr>
        <w:t>QS73</w:t>
      </w:r>
      <w:r w:rsidR="003C102E">
        <w:rPr>
          <w:b w:val="0"/>
        </w:rPr>
        <w:t>)</w:t>
      </w:r>
      <w:r w:rsidRPr="00C967F2">
        <w:rPr>
          <w:b w:val="0"/>
        </w:rPr>
        <w:t xml:space="preserve"> on fertility. </w:t>
      </w:r>
    </w:p>
    <w:p w:rsidR="006077E2" w:rsidRPr="00C967F2" w:rsidRDefault="0091439C" w:rsidP="0091439C">
      <w:pPr>
        <w:pStyle w:val="Heading3"/>
      </w:pPr>
      <w:r w:rsidRPr="00084C9B">
        <w:t>Embryo transfer according to age, cycle number and quality of embryos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3828"/>
        <w:gridCol w:w="2126"/>
      </w:tblGrid>
      <w:tr w:rsidR="00C967F2" w:rsidRPr="00C967F2" w:rsidTr="006105F8">
        <w:tc>
          <w:tcPr>
            <w:tcW w:w="1526" w:type="dxa"/>
            <w:shd w:val="clear" w:color="auto" w:fill="auto"/>
          </w:tcPr>
          <w:p w:rsidR="00C967F2" w:rsidRPr="00C967F2" w:rsidRDefault="00C967F2" w:rsidP="00C967F2">
            <w:pPr>
              <w:rPr>
                <w:rFonts w:ascii="Arial" w:hAnsi="Arial" w:cs="Arial"/>
                <w:b/>
              </w:rPr>
            </w:pPr>
            <w:r w:rsidRPr="00C967F2">
              <w:rPr>
                <w:rFonts w:ascii="Arial" w:hAnsi="Arial" w:cs="Arial"/>
                <w:b/>
              </w:rPr>
              <w:t>Age</w:t>
            </w:r>
            <w:r w:rsidR="003948EF">
              <w:rPr>
                <w:rFonts w:ascii="Arial" w:hAnsi="Arial" w:cs="Arial"/>
                <w:b/>
              </w:rPr>
              <w:t xml:space="preserve"> (years)</w:t>
            </w:r>
          </w:p>
        </w:tc>
        <w:tc>
          <w:tcPr>
            <w:tcW w:w="1417" w:type="dxa"/>
            <w:shd w:val="clear" w:color="auto" w:fill="auto"/>
          </w:tcPr>
          <w:p w:rsidR="00C967F2" w:rsidRPr="00C967F2" w:rsidRDefault="00C967F2" w:rsidP="00C967F2">
            <w:pPr>
              <w:rPr>
                <w:rFonts w:ascii="Arial" w:hAnsi="Arial" w:cs="Arial"/>
                <w:b/>
              </w:rPr>
            </w:pPr>
            <w:r w:rsidRPr="00C967F2">
              <w:rPr>
                <w:rFonts w:ascii="Arial" w:hAnsi="Arial" w:cs="Arial"/>
                <w:b/>
              </w:rPr>
              <w:t>Cycle number</w:t>
            </w:r>
          </w:p>
        </w:tc>
        <w:tc>
          <w:tcPr>
            <w:tcW w:w="3828" w:type="dxa"/>
            <w:shd w:val="clear" w:color="auto" w:fill="auto"/>
          </w:tcPr>
          <w:p w:rsidR="00C967F2" w:rsidRPr="007803AD" w:rsidRDefault="00C967F2" w:rsidP="00C967F2">
            <w:pPr>
              <w:rPr>
                <w:rFonts w:ascii="Arial" w:hAnsi="Arial" w:cs="Arial"/>
                <w:b/>
                <w:vertAlign w:val="superscript"/>
              </w:rPr>
            </w:pPr>
            <w:r w:rsidRPr="00C967F2">
              <w:rPr>
                <w:rFonts w:ascii="Arial" w:hAnsi="Arial" w:cs="Arial"/>
                <w:b/>
              </w:rPr>
              <w:t>Quality of embryos</w:t>
            </w:r>
            <w:r w:rsidR="0091439C">
              <w:rPr>
                <w:rFonts w:ascii="Arial" w:hAnsi="Arial" w:cs="Arial"/>
                <w:b/>
                <w:vertAlign w:val="superscript"/>
              </w:rPr>
              <w:t>1</w:t>
            </w:r>
          </w:p>
        </w:tc>
        <w:tc>
          <w:tcPr>
            <w:tcW w:w="2126" w:type="dxa"/>
            <w:shd w:val="clear" w:color="auto" w:fill="auto"/>
          </w:tcPr>
          <w:p w:rsidR="00C967F2" w:rsidRPr="00C967F2" w:rsidRDefault="00C967F2" w:rsidP="0091439C">
            <w:pPr>
              <w:rPr>
                <w:rFonts w:ascii="Arial" w:hAnsi="Arial" w:cs="Arial"/>
                <w:b/>
              </w:rPr>
            </w:pPr>
            <w:r w:rsidRPr="00C967F2">
              <w:rPr>
                <w:rFonts w:ascii="Arial" w:hAnsi="Arial" w:cs="Arial"/>
                <w:b/>
              </w:rPr>
              <w:t>N</w:t>
            </w:r>
            <w:r w:rsidR="0091439C">
              <w:rPr>
                <w:rFonts w:ascii="Arial" w:hAnsi="Arial" w:cs="Arial"/>
                <w:b/>
              </w:rPr>
              <w:t>umber</w:t>
            </w:r>
            <w:r w:rsidRPr="00C967F2">
              <w:rPr>
                <w:rFonts w:ascii="Arial" w:hAnsi="Arial" w:cs="Arial"/>
                <w:b/>
              </w:rPr>
              <w:t xml:space="preserve">. of embryos to </w:t>
            </w:r>
            <w:r w:rsidR="0091439C">
              <w:rPr>
                <w:rFonts w:ascii="Arial" w:hAnsi="Arial" w:cs="Arial"/>
                <w:b/>
              </w:rPr>
              <w:t xml:space="preserve">be </w:t>
            </w:r>
            <w:r w:rsidRPr="00C967F2">
              <w:rPr>
                <w:rFonts w:ascii="Arial" w:hAnsi="Arial" w:cs="Arial"/>
                <w:b/>
              </w:rPr>
              <w:t>transfer</w:t>
            </w:r>
            <w:r w:rsidR="0091439C">
              <w:rPr>
                <w:rFonts w:ascii="Arial" w:hAnsi="Arial" w:cs="Arial"/>
                <w:b/>
              </w:rPr>
              <w:t>red</w:t>
            </w:r>
          </w:p>
        </w:tc>
      </w:tr>
      <w:tr w:rsidR="00C967F2" w:rsidRPr="00C967F2" w:rsidTr="006105F8">
        <w:tc>
          <w:tcPr>
            <w:tcW w:w="1526" w:type="dxa"/>
            <w:shd w:val="clear" w:color="auto" w:fill="auto"/>
          </w:tcPr>
          <w:p w:rsidR="00C967F2" w:rsidRDefault="00C967F2" w:rsidP="00C967F2">
            <w:pPr>
              <w:rPr>
                <w:rFonts w:ascii="Arial" w:hAnsi="Arial" w:cs="Arial"/>
              </w:rPr>
            </w:pPr>
            <w:r w:rsidRPr="00C967F2">
              <w:rPr>
                <w:rFonts w:ascii="Arial" w:hAnsi="Arial" w:cs="Arial"/>
              </w:rPr>
              <w:t>Under 37</w:t>
            </w:r>
          </w:p>
          <w:p w:rsidR="00C967F2" w:rsidRPr="00C967F2" w:rsidRDefault="00C967F2" w:rsidP="00C967F2">
            <w:pPr>
              <w:rPr>
                <w:rFonts w:ascii="Arial" w:hAnsi="Arial" w:cs="Arial"/>
              </w:rPr>
            </w:pPr>
          </w:p>
        </w:tc>
        <w:tc>
          <w:tcPr>
            <w:tcW w:w="1417" w:type="dxa"/>
            <w:shd w:val="clear" w:color="auto" w:fill="auto"/>
          </w:tcPr>
          <w:p w:rsidR="00C967F2" w:rsidRPr="00C967F2" w:rsidRDefault="00C967F2" w:rsidP="00C967F2">
            <w:pPr>
              <w:rPr>
                <w:rFonts w:ascii="Arial" w:hAnsi="Arial" w:cs="Arial"/>
              </w:rPr>
            </w:pPr>
            <w:r w:rsidRPr="00C967F2">
              <w:rPr>
                <w:rFonts w:ascii="Arial" w:hAnsi="Arial" w:cs="Arial"/>
              </w:rPr>
              <w:t>1</w:t>
            </w:r>
            <w:r w:rsidRPr="00C967F2">
              <w:rPr>
                <w:rFonts w:ascii="Arial" w:hAnsi="Arial" w:cs="Arial"/>
                <w:vertAlign w:val="superscript"/>
              </w:rPr>
              <w:t>st</w:t>
            </w:r>
          </w:p>
        </w:tc>
        <w:tc>
          <w:tcPr>
            <w:tcW w:w="3828" w:type="dxa"/>
            <w:shd w:val="clear" w:color="auto" w:fill="auto"/>
          </w:tcPr>
          <w:p w:rsidR="00C967F2" w:rsidRPr="00C967F2" w:rsidRDefault="003C102E" w:rsidP="00C967F2">
            <w:pPr>
              <w:rPr>
                <w:rFonts w:ascii="Arial" w:hAnsi="Arial" w:cs="Arial"/>
              </w:rPr>
            </w:pPr>
            <w:r>
              <w:rPr>
                <w:rFonts w:ascii="Arial" w:hAnsi="Arial" w:cs="Arial"/>
              </w:rPr>
              <w:t>N/A</w:t>
            </w:r>
          </w:p>
        </w:tc>
        <w:tc>
          <w:tcPr>
            <w:tcW w:w="2126" w:type="dxa"/>
            <w:shd w:val="clear" w:color="auto" w:fill="auto"/>
          </w:tcPr>
          <w:p w:rsidR="00C967F2" w:rsidRPr="00C967F2" w:rsidRDefault="003948EF" w:rsidP="00C967F2">
            <w:pPr>
              <w:rPr>
                <w:rFonts w:ascii="Arial" w:hAnsi="Arial" w:cs="Arial"/>
              </w:rPr>
            </w:pPr>
            <w:r>
              <w:rPr>
                <w:rFonts w:ascii="Arial" w:hAnsi="Arial" w:cs="Arial"/>
              </w:rPr>
              <w:t>1</w:t>
            </w:r>
          </w:p>
        </w:tc>
      </w:tr>
      <w:tr w:rsidR="00C967F2" w:rsidRPr="00C967F2" w:rsidTr="006105F8">
        <w:tc>
          <w:tcPr>
            <w:tcW w:w="1526" w:type="dxa"/>
            <w:shd w:val="clear" w:color="auto" w:fill="auto"/>
          </w:tcPr>
          <w:p w:rsidR="00C967F2" w:rsidRPr="00C967F2" w:rsidRDefault="00C967F2" w:rsidP="00C967F2">
            <w:pPr>
              <w:rPr>
                <w:rFonts w:ascii="Arial" w:hAnsi="Arial" w:cs="Arial"/>
              </w:rPr>
            </w:pPr>
            <w:r w:rsidRPr="00C967F2">
              <w:rPr>
                <w:rFonts w:ascii="Arial" w:hAnsi="Arial" w:cs="Arial"/>
              </w:rPr>
              <w:t>Under 37</w:t>
            </w:r>
          </w:p>
        </w:tc>
        <w:tc>
          <w:tcPr>
            <w:tcW w:w="1417" w:type="dxa"/>
            <w:shd w:val="clear" w:color="auto" w:fill="auto"/>
          </w:tcPr>
          <w:p w:rsidR="00C967F2" w:rsidRDefault="00C967F2" w:rsidP="00C967F2">
            <w:pPr>
              <w:rPr>
                <w:rFonts w:ascii="Arial" w:hAnsi="Arial" w:cs="Arial"/>
              </w:rPr>
            </w:pPr>
            <w:r w:rsidRPr="00C967F2">
              <w:rPr>
                <w:rFonts w:ascii="Arial" w:hAnsi="Arial" w:cs="Arial"/>
              </w:rPr>
              <w:t>2</w:t>
            </w:r>
            <w:r w:rsidRPr="00C967F2">
              <w:rPr>
                <w:rFonts w:ascii="Arial" w:hAnsi="Arial" w:cs="Arial"/>
                <w:vertAlign w:val="superscript"/>
              </w:rPr>
              <w:t>nd</w:t>
            </w:r>
          </w:p>
          <w:p w:rsidR="00C967F2" w:rsidRDefault="00C967F2" w:rsidP="00C967F2">
            <w:pPr>
              <w:rPr>
                <w:rFonts w:ascii="Arial" w:hAnsi="Arial" w:cs="Arial"/>
              </w:rPr>
            </w:pPr>
          </w:p>
          <w:p w:rsidR="00C967F2" w:rsidRPr="00C967F2" w:rsidRDefault="00C967F2" w:rsidP="00C967F2">
            <w:pPr>
              <w:rPr>
                <w:rFonts w:ascii="Arial" w:hAnsi="Arial" w:cs="Arial"/>
              </w:rPr>
            </w:pPr>
          </w:p>
        </w:tc>
        <w:tc>
          <w:tcPr>
            <w:tcW w:w="3828" w:type="dxa"/>
            <w:shd w:val="clear" w:color="auto" w:fill="auto"/>
          </w:tcPr>
          <w:p w:rsidR="00C967F2" w:rsidRPr="00C967F2" w:rsidRDefault="00C967F2" w:rsidP="00C967F2">
            <w:pPr>
              <w:rPr>
                <w:rFonts w:ascii="Arial" w:hAnsi="Arial" w:cs="Arial"/>
              </w:rPr>
            </w:pPr>
            <w:r w:rsidRPr="00C967F2">
              <w:rPr>
                <w:rFonts w:ascii="Arial" w:hAnsi="Arial" w:cs="Arial"/>
              </w:rPr>
              <w:t>1 or more top quality embryos available.</w:t>
            </w:r>
          </w:p>
        </w:tc>
        <w:tc>
          <w:tcPr>
            <w:tcW w:w="2126" w:type="dxa"/>
            <w:shd w:val="clear" w:color="auto" w:fill="auto"/>
          </w:tcPr>
          <w:p w:rsidR="00C967F2" w:rsidRPr="00C967F2" w:rsidRDefault="003948EF" w:rsidP="00C967F2">
            <w:pPr>
              <w:rPr>
                <w:rFonts w:ascii="Arial" w:hAnsi="Arial" w:cs="Arial"/>
              </w:rPr>
            </w:pPr>
            <w:r>
              <w:rPr>
                <w:rFonts w:ascii="Arial" w:hAnsi="Arial" w:cs="Arial"/>
              </w:rPr>
              <w:t>1</w:t>
            </w:r>
          </w:p>
        </w:tc>
      </w:tr>
      <w:tr w:rsidR="00095FF0" w:rsidRPr="00C967F2" w:rsidTr="006105F8">
        <w:tc>
          <w:tcPr>
            <w:tcW w:w="1526" w:type="dxa"/>
            <w:shd w:val="clear" w:color="auto" w:fill="auto"/>
          </w:tcPr>
          <w:p w:rsidR="00095FF0" w:rsidRPr="00C967F2" w:rsidRDefault="00095FF0" w:rsidP="00C967F2">
            <w:pPr>
              <w:rPr>
                <w:rFonts w:ascii="Arial" w:hAnsi="Arial" w:cs="Arial"/>
              </w:rPr>
            </w:pPr>
            <w:r w:rsidRPr="00095FF0">
              <w:rPr>
                <w:rFonts w:ascii="Arial" w:hAnsi="Arial" w:cs="Arial"/>
              </w:rPr>
              <w:t>Under 37</w:t>
            </w:r>
          </w:p>
        </w:tc>
        <w:tc>
          <w:tcPr>
            <w:tcW w:w="1417" w:type="dxa"/>
            <w:shd w:val="clear" w:color="auto" w:fill="auto"/>
          </w:tcPr>
          <w:p w:rsidR="00095FF0" w:rsidRPr="00095FF0" w:rsidRDefault="00095FF0" w:rsidP="00095FF0">
            <w:pPr>
              <w:rPr>
                <w:rFonts w:ascii="Arial" w:hAnsi="Arial" w:cs="Arial"/>
              </w:rPr>
            </w:pPr>
            <w:r w:rsidRPr="00095FF0">
              <w:rPr>
                <w:rFonts w:ascii="Arial" w:hAnsi="Arial" w:cs="Arial"/>
              </w:rPr>
              <w:t>2</w:t>
            </w:r>
            <w:r w:rsidRPr="00095FF0">
              <w:rPr>
                <w:rFonts w:ascii="Arial" w:hAnsi="Arial" w:cs="Arial"/>
                <w:vertAlign w:val="superscript"/>
              </w:rPr>
              <w:t>nd</w:t>
            </w:r>
          </w:p>
          <w:p w:rsidR="00095FF0" w:rsidRPr="00C967F2" w:rsidRDefault="00095FF0" w:rsidP="00C967F2">
            <w:pPr>
              <w:rPr>
                <w:rFonts w:ascii="Arial" w:hAnsi="Arial" w:cs="Arial"/>
              </w:rPr>
            </w:pPr>
          </w:p>
        </w:tc>
        <w:tc>
          <w:tcPr>
            <w:tcW w:w="3828" w:type="dxa"/>
            <w:shd w:val="clear" w:color="auto" w:fill="auto"/>
          </w:tcPr>
          <w:p w:rsidR="00095FF0" w:rsidRDefault="00095FF0" w:rsidP="003C102E">
            <w:pPr>
              <w:rPr>
                <w:rFonts w:ascii="Arial" w:hAnsi="Arial" w:cs="Arial"/>
              </w:rPr>
            </w:pPr>
            <w:r>
              <w:rPr>
                <w:rFonts w:ascii="Arial" w:hAnsi="Arial" w:cs="Arial"/>
              </w:rPr>
              <w:t>If no top quality embryos are available.</w:t>
            </w:r>
          </w:p>
        </w:tc>
        <w:tc>
          <w:tcPr>
            <w:tcW w:w="2126" w:type="dxa"/>
            <w:shd w:val="clear" w:color="auto" w:fill="auto"/>
          </w:tcPr>
          <w:p w:rsidR="00095FF0" w:rsidRPr="00C967F2" w:rsidRDefault="00095FF0" w:rsidP="00C967F2">
            <w:pPr>
              <w:rPr>
                <w:rFonts w:ascii="Arial" w:hAnsi="Arial" w:cs="Arial"/>
              </w:rPr>
            </w:pPr>
            <w:r w:rsidRPr="00095FF0">
              <w:rPr>
                <w:rFonts w:ascii="Arial" w:hAnsi="Arial" w:cs="Arial"/>
              </w:rPr>
              <w:t>No more than 2</w:t>
            </w:r>
          </w:p>
        </w:tc>
      </w:tr>
      <w:tr w:rsidR="00C967F2" w:rsidRPr="00C967F2" w:rsidTr="006105F8">
        <w:tc>
          <w:tcPr>
            <w:tcW w:w="1526" w:type="dxa"/>
            <w:shd w:val="clear" w:color="auto" w:fill="auto"/>
          </w:tcPr>
          <w:p w:rsidR="00C967F2" w:rsidRPr="00C967F2" w:rsidRDefault="00C967F2" w:rsidP="00C967F2">
            <w:pPr>
              <w:rPr>
                <w:rFonts w:ascii="Arial" w:hAnsi="Arial" w:cs="Arial"/>
              </w:rPr>
            </w:pPr>
            <w:r w:rsidRPr="00C967F2">
              <w:rPr>
                <w:rFonts w:ascii="Arial" w:hAnsi="Arial" w:cs="Arial"/>
              </w:rPr>
              <w:t>Under 37</w:t>
            </w:r>
          </w:p>
        </w:tc>
        <w:tc>
          <w:tcPr>
            <w:tcW w:w="1417" w:type="dxa"/>
            <w:shd w:val="clear" w:color="auto" w:fill="auto"/>
          </w:tcPr>
          <w:p w:rsidR="00C967F2" w:rsidRDefault="00C967F2" w:rsidP="00C967F2">
            <w:pPr>
              <w:rPr>
                <w:rFonts w:ascii="Arial" w:hAnsi="Arial" w:cs="Arial"/>
              </w:rPr>
            </w:pPr>
            <w:r w:rsidRPr="00C967F2">
              <w:rPr>
                <w:rFonts w:ascii="Arial" w:hAnsi="Arial" w:cs="Arial"/>
              </w:rPr>
              <w:t>3</w:t>
            </w:r>
            <w:r w:rsidRPr="00C967F2">
              <w:rPr>
                <w:rFonts w:ascii="Arial" w:hAnsi="Arial" w:cs="Arial"/>
                <w:vertAlign w:val="superscript"/>
              </w:rPr>
              <w:t>rd</w:t>
            </w:r>
          </w:p>
          <w:p w:rsidR="00C967F2" w:rsidRPr="00C967F2" w:rsidRDefault="00C967F2" w:rsidP="00C967F2">
            <w:pPr>
              <w:rPr>
                <w:rFonts w:ascii="Arial" w:hAnsi="Arial" w:cs="Arial"/>
              </w:rPr>
            </w:pPr>
          </w:p>
        </w:tc>
        <w:tc>
          <w:tcPr>
            <w:tcW w:w="3828" w:type="dxa"/>
            <w:shd w:val="clear" w:color="auto" w:fill="auto"/>
          </w:tcPr>
          <w:p w:rsidR="00C967F2" w:rsidRPr="00C967F2" w:rsidRDefault="003C102E" w:rsidP="003C102E">
            <w:pPr>
              <w:rPr>
                <w:rFonts w:ascii="Arial" w:hAnsi="Arial" w:cs="Arial"/>
              </w:rPr>
            </w:pPr>
            <w:r>
              <w:rPr>
                <w:rFonts w:ascii="Arial" w:hAnsi="Arial" w:cs="Arial"/>
              </w:rPr>
              <w:t>N/A</w:t>
            </w:r>
          </w:p>
        </w:tc>
        <w:tc>
          <w:tcPr>
            <w:tcW w:w="2126" w:type="dxa"/>
            <w:shd w:val="clear" w:color="auto" w:fill="auto"/>
          </w:tcPr>
          <w:p w:rsidR="00C967F2" w:rsidRPr="00C967F2" w:rsidRDefault="00C967F2" w:rsidP="00C967F2">
            <w:pPr>
              <w:rPr>
                <w:rFonts w:ascii="Arial" w:hAnsi="Arial" w:cs="Arial"/>
              </w:rPr>
            </w:pPr>
            <w:r w:rsidRPr="00C967F2">
              <w:rPr>
                <w:rFonts w:ascii="Arial" w:hAnsi="Arial" w:cs="Arial"/>
              </w:rPr>
              <w:t>No more than 2</w:t>
            </w:r>
          </w:p>
        </w:tc>
      </w:tr>
      <w:tr w:rsidR="00C967F2" w:rsidRPr="00C967F2" w:rsidTr="006105F8">
        <w:tc>
          <w:tcPr>
            <w:tcW w:w="1526" w:type="dxa"/>
            <w:shd w:val="clear" w:color="auto" w:fill="auto"/>
          </w:tcPr>
          <w:p w:rsidR="00C967F2" w:rsidRPr="00C967F2" w:rsidRDefault="00C967F2" w:rsidP="00C967F2">
            <w:pPr>
              <w:rPr>
                <w:rFonts w:ascii="Arial" w:hAnsi="Arial" w:cs="Arial"/>
              </w:rPr>
            </w:pPr>
            <w:r w:rsidRPr="00C967F2">
              <w:rPr>
                <w:rFonts w:ascii="Arial" w:hAnsi="Arial" w:cs="Arial"/>
              </w:rPr>
              <w:t>37</w:t>
            </w:r>
            <w:r w:rsidR="0091439C" w:rsidRPr="0091439C">
              <w:rPr>
                <w:rFonts w:ascii="Arial" w:hAnsi="Arial" w:cs="Arial"/>
              </w:rPr>
              <w:t>–</w:t>
            </w:r>
            <w:r w:rsidRPr="00C967F2">
              <w:rPr>
                <w:rFonts w:ascii="Arial" w:hAnsi="Arial" w:cs="Arial"/>
              </w:rPr>
              <w:t>39</w:t>
            </w:r>
          </w:p>
        </w:tc>
        <w:tc>
          <w:tcPr>
            <w:tcW w:w="1417" w:type="dxa"/>
            <w:shd w:val="clear" w:color="auto" w:fill="auto"/>
          </w:tcPr>
          <w:p w:rsidR="00C967F2" w:rsidRDefault="00C967F2" w:rsidP="00C967F2">
            <w:pPr>
              <w:rPr>
                <w:rFonts w:ascii="Arial" w:hAnsi="Arial" w:cs="Arial"/>
              </w:rPr>
            </w:pPr>
            <w:r w:rsidRPr="00C967F2">
              <w:rPr>
                <w:rFonts w:ascii="Arial" w:hAnsi="Arial" w:cs="Arial"/>
              </w:rPr>
              <w:t>1</w:t>
            </w:r>
            <w:r w:rsidRPr="00C967F2">
              <w:rPr>
                <w:rFonts w:ascii="Arial" w:hAnsi="Arial" w:cs="Arial"/>
                <w:vertAlign w:val="superscript"/>
              </w:rPr>
              <w:t>st</w:t>
            </w:r>
            <w:r w:rsidRPr="00C967F2">
              <w:rPr>
                <w:rFonts w:ascii="Arial" w:hAnsi="Arial" w:cs="Arial"/>
              </w:rPr>
              <w:t xml:space="preserve"> or 2</w:t>
            </w:r>
            <w:r w:rsidRPr="00C967F2">
              <w:rPr>
                <w:rFonts w:ascii="Arial" w:hAnsi="Arial" w:cs="Arial"/>
                <w:vertAlign w:val="superscript"/>
              </w:rPr>
              <w:t>nd</w:t>
            </w:r>
          </w:p>
          <w:p w:rsidR="00C967F2" w:rsidRPr="00C967F2" w:rsidRDefault="00C967F2" w:rsidP="00C967F2">
            <w:pPr>
              <w:rPr>
                <w:rFonts w:ascii="Arial" w:hAnsi="Arial" w:cs="Arial"/>
              </w:rPr>
            </w:pPr>
          </w:p>
        </w:tc>
        <w:tc>
          <w:tcPr>
            <w:tcW w:w="3828" w:type="dxa"/>
            <w:shd w:val="clear" w:color="auto" w:fill="auto"/>
          </w:tcPr>
          <w:p w:rsidR="00C967F2" w:rsidRDefault="00C967F2" w:rsidP="00C967F2">
            <w:pPr>
              <w:rPr>
                <w:rFonts w:ascii="Arial" w:hAnsi="Arial" w:cs="Arial"/>
              </w:rPr>
            </w:pPr>
            <w:r w:rsidRPr="00C967F2">
              <w:rPr>
                <w:rFonts w:ascii="Arial" w:hAnsi="Arial" w:cs="Arial"/>
              </w:rPr>
              <w:t>1 or more top quality embryos available.</w:t>
            </w:r>
          </w:p>
          <w:p w:rsidR="00C967F2" w:rsidRPr="00C967F2" w:rsidRDefault="00C967F2" w:rsidP="00C967F2">
            <w:pPr>
              <w:rPr>
                <w:rFonts w:ascii="Arial" w:hAnsi="Arial" w:cs="Arial"/>
              </w:rPr>
            </w:pPr>
          </w:p>
        </w:tc>
        <w:tc>
          <w:tcPr>
            <w:tcW w:w="2126" w:type="dxa"/>
            <w:shd w:val="clear" w:color="auto" w:fill="auto"/>
          </w:tcPr>
          <w:p w:rsidR="00C967F2" w:rsidRPr="00C967F2" w:rsidRDefault="003948EF" w:rsidP="00C967F2">
            <w:pPr>
              <w:rPr>
                <w:rFonts w:ascii="Arial" w:hAnsi="Arial" w:cs="Arial"/>
              </w:rPr>
            </w:pPr>
            <w:r>
              <w:rPr>
                <w:rFonts w:ascii="Arial" w:hAnsi="Arial" w:cs="Arial"/>
              </w:rPr>
              <w:t>1</w:t>
            </w:r>
          </w:p>
        </w:tc>
      </w:tr>
      <w:tr w:rsidR="00095FF0" w:rsidRPr="00C967F2" w:rsidTr="006105F8">
        <w:tc>
          <w:tcPr>
            <w:tcW w:w="1526" w:type="dxa"/>
            <w:shd w:val="clear" w:color="auto" w:fill="auto"/>
          </w:tcPr>
          <w:p w:rsidR="00095FF0" w:rsidRPr="00C967F2" w:rsidRDefault="00095FF0" w:rsidP="00C967F2">
            <w:pPr>
              <w:rPr>
                <w:rFonts w:ascii="Arial" w:hAnsi="Arial" w:cs="Arial"/>
              </w:rPr>
            </w:pPr>
            <w:r w:rsidRPr="00095FF0">
              <w:rPr>
                <w:rFonts w:ascii="Arial" w:hAnsi="Arial" w:cs="Arial"/>
              </w:rPr>
              <w:t>37–39</w:t>
            </w:r>
          </w:p>
        </w:tc>
        <w:tc>
          <w:tcPr>
            <w:tcW w:w="1417" w:type="dxa"/>
            <w:shd w:val="clear" w:color="auto" w:fill="auto"/>
          </w:tcPr>
          <w:p w:rsidR="00095FF0" w:rsidRPr="00095FF0" w:rsidRDefault="00095FF0" w:rsidP="00095FF0">
            <w:pPr>
              <w:rPr>
                <w:rFonts w:ascii="Arial" w:hAnsi="Arial" w:cs="Arial"/>
              </w:rPr>
            </w:pPr>
            <w:r w:rsidRPr="00095FF0">
              <w:rPr>
                <w:rFonts w:ascii="Arial" w:hAnsi="Arial" w:cs="Arial"/>
              </w:rPr>
              <w:t>1</w:t>
            </w:r>
            <w:r w:rsidRPr="00095FF0">
              <w:rPr>
                <w:rFonts w:ascii="Arial" w:hAnsi="Arial" w:cs="Arial"/>
                <w:vertAlign w:val="superscript"/>
              </w:rPr>
              <w:t>st</w:t>
            </w:r>
            <w:r w:rsidRPr="00095FF0">
              <w:rPr>
                <w:rFonts w:ascii="Arial" w:hAnsi="Arial" w:cs="Arial"/>
              </w:rPr>
              <w:t xml:space="preserve"> or 2</w:t>
            </w:r>
            <w:r w:rsidRPr="00095FF0">
              <w:rPr>
                <w:rFonts w:ascii="Arial" w:hAnsi="Arial" w:cs="Arial"/>
                <w:vertAlign w:val="superscript"/>
              </w:rPr>
              <w:t>nd</w:t>
            </w:r>
          </w:p>
          <w:p w:rsidR="00095FF0" w:rsidRPr="00C967F2" w:rsidRDefault="00095FF0" w:rsidP="00C967F2">
            <w:pPr>
              <w:rPr>
                <w:rFonts w:ascii="Arial" w:hAnsi="Arial" w:cs="Arial"/>
              </w:rPr>
            </w:pPr>
          </w:p>
        </w:tc>
        <w:tc>
          <w:tcPr>
            <w:tcW w:w="3828" w:type="dxa"/>
            <w:shd w:val="clear" w:color="auto" w:fill="auto"/>
          </w:tcPr>
          <w:p w:rsidR="00095FF0" w:rsidRPr="00C967F2" w:rsidRDefault="00095FF0" w:rsidP="00C967F2">
            <w:pPr>
              <w:rPr>
                <w:rFonts w:ascii="Arial" w:hAnsi="Arial" w:cs="Arial"/>
              </w:rPr>
            </w:pPr>
            <w:r w:rsidRPr="00095FF0">
              <w:rPr>
                <w:rFonts w:ascii="Arial" w:hAnsi="Arial" w:cs="Arial"/>
              </w:rPr>
              <w:t>If no top quality embryos are available.</w:t>
            </w:r>
          </w:p>
        </w:tc>
        <w:tc>
          <w:tcPr>
            <w:tcW w:w="2126" w:type="dxa"/>
            <w:shd w:val="clear" w:color="auto" w:fill="auto"/>
          </w:tcPr>
          <w:p w:rsidR="00095FF0" w:rsidRDefault="00095FF0" w:rsidP="00C967F2">
            <w:pPr>
              <w:rPr>
                <w:rFonts w:ascii="Arial" w:hAnsi="Arial" w:cs="Arial"/>
              </w:rPr>
            </w:pPr>
            <w:r w:rsidRPr="00095FF0">
              <w:rPr>
                <w:rFonts w:ascii="Arial" w:hAnsi="Arial" w:cs="Arial"/>
              </w:rPr>
              <w:t>No more than 2</w:t>
            </w:r>
          </w:p>
        </w:tc>
      </w:tr>
      <w:tr w:rsidR="00C967F2" w:rsidRPr="00C967F2" w:rsidTr="006105F8">
        <w:tc>
          <w:tcPr>
            <w:tcW w:w="1526" w:type="dxa"/>
            <w:shd w:val="clear" w:color="auto" w:fill="auto"/>
          </w:tcPr>
          <w:p w:rsidR="00C967F2" w:rsidRPr="00C967F2" w:rsidRDefault="00C967F2" w:rsidP="00C967F2">
            <w:pPr>
              <w:rPr>
                <w:rFonts w:ascii="Arial" w:hAnsi="Arial" w:cs="Arial"/>
              </w:rPr>
            </w:pPr>
            <w:r w:rsidRPr="00C967F2">
              <w:rPr>
                <w:rFonts w:ascii="Arial" w:hAnsi="Arial" w:cs="Arial"/>
              </w:rPr>
              <w:t>37</w:t>
            </w:r>
            <w:r w:rsidR="0091439C" w:rsidRPr="0091439C">
              <w:rPr>
                <w:rFonts w:ascii="Arial" w:hAnsi="Arial" w:cs="Arial"/>
              </w:rPr>
              <w:t>–</w:t>
            </w:r>
            <w:r w:rsidRPr="00C967F2">
              <w:rPr>
                <w:rFonts w:ascii="Arial" w:hAnsi="Arial" w:cs="Arial"/>
              </w:rPr>
              <w:t>39</w:t>
            </w:r>
          </w:p>
        </w:tc>
        <w:tc>
          <w:tcPr>
            <w:tcW w:w="1417" w:type="dxa"/>
            <w:shd w:val="clear" w:color="auto" w:fill="auto"/>
          </w:tcPr>
          <w:p w:rsidR="00C967F2" w:rsidRDefault="00C967F2" w:rsidP="00C967F2">
            <w:pPr>
              <w:rPr>
                <w:rFonts w:ascii="Arial" w:hAnsi="Arial" w:cs="Arial"/>
              </w:rPr>
            </w:pPr>
            <w:r w:rsidRPr="00C967F2">
              <w:rPr>
                <w:rFonts w:ascii="Arial" w:hAnsi="Arial" w:cs="Arial"/>
              </w:rPr>
              <w:t>3</w:t>
            </w:r>
            <w:r w:rsidRPr="00C967F2">
              <w:rPr>
                <w:rFonts w:ascii="Arial" w:hAnsi="Arial" w:cs="Arial"/>
                <w:vertAlign w:val="superscript"/>
              </w:rPr>
              <w:t>rd</w:t>
            </w:r>
          </w:p>
          <w:p w:rsidR="00C967F2" w:rsidRPr="00C967F2" w:rsidRDefault="00C967F2" w:rsidP="00C967F2">
            <w:pPr>
              <w:rPr>
                <w:rFonts w:ascii="Arial" w:hAnsi="Arial" w:cs="Arial"/>
              </w:rPr>
            </w:pPr>
          </w:p>
        </w:tc>
        <w:tc>
          <w:tcPr>
            <w:tcW w:w="3828" w:type="dxa"/>
            <w:shd w:val="clear" w:color="auto" w:fill="auto"/>
          </w:tcPr>
          <w:p w:rsidR="00C967F2" w:rsidRPr="00C967F2" w:rsidRDefault="003C102E" w:rsidP="003C102E">
            <w:pPr>
              <w:rPr>
                <w:rFonts w:ascii="Arial" w:hAnsi="Arial" w:cs="Arial"/>
              </w:rPr>
            </w:pPr>
            <w:r>
              <w:rPr>
                <w:rFonts w:ascii="Arial" w:hAnsi="Arial" w:cs="Arial"/>
              </w:rPr>
              <w:t>N/A</w:t>
            </w:r>
          </w:p>
        </w:tc>
        <w:tc>
          <w:tcPr>
            <w:tcW w:w="2126" w:type="dxa"/>
            <w:shd w:val="clear" w:color="auto" w:fill="auto"/>
          </w:tcPr>
          <w:p w:rsidR="00C967F2" w:rsidRPr="00C967F2" w:rsidRDefault="00C967F2" w:rsidP="00C967F2">
            <w:pPr>
              <w:rPr>
                <w:rFonts w:ascii="Arial" w:hAnsi="Arial" w:cs="Arial"/>
              </w:rPr>
            </w:pPr>
            <w:r w:rsidRPr="00C967F2">
              <w:rPr>
                <w:rFonts w:ascii="Arial" w:hAnsi="Arial" w:cs="Arial"/>
              </w:rPr>
              <w:t>No more than 2</w:t>
            </w:r>
          </w:p>
        </w:tc>
      </w:tr>
      <w:tr w:rsidR="00C967F2" w:rsidRPr="00C967F2" w:rsidTr="006105F8">
        <w:tc>
          <w:tcPr>
            <w:tcW w:w="1526" w:type="dxa"/>
            <w:shd w:val="clear" w:color="auto" w:fill="auto"/>
          </w:tcPr>
          <w:p w:rsidR="00C967F2" w:rsidRPr="00C967F2" w:rsidRDefault="00C967F2" w:rsidP="00C967F2">
            <w:pPr>
              <w:rPr>
                <w:rFonts w:ascii="Arial" w:hAnsi="Arial" w:cs="Arial"/>
              </w:rPr>
            </w:pPr>
            <w:r w:rsidRPr="00C967F2">
              <w:rPr>
                <w:rFonts w:ascii="Arial" w:hAnsi="Arial" w:cs="Arial"/>
              </w:rPr>
              <w:t>40</w:t>
            </w:r>
            <w:r w:rsidR="0091439C" w:rsidRPr="0091439C">
              <w:rPr>
                <w:rFonts w:ascii="Arial" w:hAnsi="Arial" w:cs="Arial"/>
              </w:rPr>
              <w:t>–</w:t>
            </w:r>
            <w:r w:rsidRPr="00C967F2">
              <w:rPr>
                <w:rFonts w:ascii="Arial" w:hAnsi="Arial" w:cs="Arial"/>
              </w:rPr>
              <w:t>42</w:t>
            </w:r>
          </w:p>
        </w:tc>
        <w:tc>
          <w:tcPr>
            <w:tcW w:w="1417" w:type="dxa"/>
            <w:shd w:val="clear" w:color="auto" w:fill="auto"/>
          </w:tcPr>
          <w:p w:rsidR="00C967F2" w:rsidRDefault="0091439C" w:rsidP="00C967F2">
            <w:pPr>
              <w:rPr>
                <w:rFonts w:ascii="Arial" w:hAnsi="Arial" w:cs="Arial"/>
              </w:rPr>
            </w:pPr>
            <w:r>
              <w:rPr>
                <w:rFonts w:ascii="Arial" w:hAnsi="Arial" w:cs="Arial"/>
              </w:rPr>
              <w:t>N/A</w:t>
            </w:r>
          </w:p>
          <w:p w:rsidR="00C967F2" w:rsidRPr="00C967F2" w:rsidRDefault="00C967F2" w:rsidP="00C967F2">
            <w:pPr>
              <w:rPr>
                <w:rFonts w:ascii="Arial" w:hAnsi="Arial" w:cs="Arial"/>
              </w:rPr>
            </w:pPr>
          </w:p>
        </w:tc>
        <w:tc>
          <w:tcPr>
            <w:tcW w:w="3828" w:type="dxa"/>
            <w:shd w:val="clear" w:color="auto" w:fill="auto"/>
          </w:tcPr>
          <w:p w:rsidR="00C967F2" w:rsidRPr="00C967F2" w:rsidRDefault="003C102E" w:rsidP="00C967F2">
            <w:pPr>
              <w:rPr>
                <w:rFonts w:ascii="Arial" w:hAnsi="Arial" w:cs="Arial"/>
              </w:rPr>
            </w:pPr>
            <w:r>
              <w:rPr>
                <w:rFonts w:ascii="Arial" w:hAnsi="Arial" w:cs="Arial"/>
              </w:rPr>
              <w:t>N/A</w:t>
            </w:r>
          </w:p>
        </w:tc>
        <w:tc>
          <w:tcPr>
            <w:tcW w:w="2126" w:type="dxa"/>
            <w:shd w:val="clear" w:color="auto" w:fill="auto"/>
          </w:tcPr>
          <w:p w:rsidR="00C967F2" w:rsidRPr="00C967F2" w:rsidRDefault="00C967F2" w:rsidP="00C967F2">
            <w:pPr>
              <w:rPr>
                <w:rFonts w:ascii="Arial" w:hAnsi="Arial" w:cs="Arial"/>
              </w:rPr>
            </w:pPr>
            <w:r w:rsidRPr="00C967F2">
              <w:rPr>
                <w:rFonts w:ascii="Arial" w:hAnsi="Arial" w:cs="Arial"/>
              </w:rPr>
              <w:t>No more than 2</w:t>
            </w:r>
          </w:p>
        </w:tc>
      </w:tr>
      <w:tr w:rsidR="00C967F2" w:rsidRPr="00C967F2" w:rsidTr="006105F8">
        <w:tc>
          <w:tcPr>
            <w:tcW w:w="1526" w:type="dxa"/>
            <w:shd w:val="clear" w:color="auto" w:fill="auto"/>
          </w:tcPr>
          <w:p w:rsidR="00C967F2" w:rsidRPr="00C967F2" w:rsidRDefault="00C967F2" w:rsidP="00C967F2">
            <w:pPr>
              <w:rPr>
                <w:rFonts w:ascii="Arial" w:hAnsi="Arial" w:cs="Arial"/>
              </w:rPr>
            </w:pPr>
            <w:r w:rsidRPr="00C967F2">
              <w:rPr>
                <w:rFonts w:ascii="Arial" w:hAnsi="Arial" w:cs="Arial"/>
              </w:rPr>
              <w:t>n/a</w:t>
            </w:r>
          </w:p>
        </w:tc>
        <w:tc>
          <w:tcPr>
            <w:tcW w:w="1417" w:type="dxa"/>
            <w:shd w:val="clear" w:color="auto" w:fill="auto"/>
          </w:tcPr>
          <w:p w:rsidR="00C967F2" w:rsidRDefault="0091439C" w:rsidP="00C967F2">
            <w:pPr>
              <w:rPr>
                <w:rFonts w:ascii="Arial" w:hAnsi="Arial" w:cs="Arial"/>
              </w:rPr>
            </w:pPr>
            <w:r>
              <w:rPr>
                <w:rFonts w:ascii="Arial" w:hAnsi="Arial" w:cs="Arial"/>
              </w:rPr>
              <w:t>N/A</w:t>
            </w:r>
          </w:p>
          <w:p w:rsidR="00C967F2" w:rsidRPr="00C967F2" w:rsidRDefault="00C967F2" w:rsidP="00C967F2">
            <w:pPr>
              <w:rPr>
                <w:rFonts w:ascii="Arial" w:hAnsi="Arial" w:cs="Arial"/>
              </w:rPr>
            </w:pPr>
          </w:p>
        </w:tc>
        <w:tc>
          <w:tcPr>
            <w:tcW w:w="3828" w:type="dxa"/>
            <w:shd w:val="clear" w:color="auto" w:fill="auto"/>
          </w:tcPr>
          <w:p w:rsidR="00C967F2" w:rsidRPr="00C967F2" w:rsidRDefault="00C967F2" w:rsidP="003948EF">
            <w:pPr>
              <w:rPr>
                <w:rFonts w:ascii="Arial" w:hAnsi="Arial" w:cs="Arial"/>
              </w:rPr>
            </w:pPr>
            <w:r w:rsidRPr="00C967F2">
              <w:rPr>
                <w:rFonts w:ascii="Arial" w:hAnsi="Arial" w:cs="Arial"/>
              </w:rPr>
              <w:t>Top quality blastocyst available.</w:t>
            </w:r>
          </w:p>
        </w:tc>
        <w:tc>
          <w:tcPr>
            <w:tcW w:w="2126" w:type="dxa"/>
            <w:shd w:val="clear" w:color="auto" w:fill="auto"/>
          </w:tcPr>
          <w:p w:rsidR="00C967F2" w:rsidRPr="00C967F2" w:rsidRDefault="003948EF" w:rsidP="00C967F2">
            <w:pPr>
              <w:rPr>
                <w:rFonts w:ascii="Arial" w:hAnsi="Arial" w:cs="Arial"/>
              </w:rPr>
            </w:pPr>
            <w:r>
              <w:rPr>
                <w:rFonts w:ascii="Arial" w:hAnsi="Arial" w:cs="Arial"/>
              </w:rPr>
              <w:t>1</w:t>
            </w:r>
          </w:p>
        </w:tc>
      </w:tr>
      <w:tr w:rsidR="0091439C" w:rsidRPr="00C967F2" w:rsidTr="00F537DB">
        <w:tc>
          <w:tcPr>
            <w:tcW w:w="8897" w:type="dxa"/>
            <w:gridSpan w:val="4"/>
            <w:shd w:val="clear" w:color="auto" w:fill="auto"/>
          </w:tcPr>
          <w:p w:rsidR="0091439C" w:rsidRPr="0091439C" w:rsidDel="003948EF" w:rsidRDefault="0091439C" w:rsidP="00C967F2">
            <w:pPr>
              <w:rPr>
                <w:rFonts w:ascii="Arial" w:hAnsi="Arial" w:cs="Arial"/>
                <w:sz w:val="20"/>
                <w:szCs w:val="20"/>
              </w:rPr>
            </w:pPr>
            <w:r w:rsidRPr="0091439C">
              <w:rPr>
                <w:sz w:val="20"/>
                <w:szCs w:val="20"/>
                <w:vertAlign w:val="superscript"/>
              </w:rPr>
              <w:t xml:space="preserve">1 </w:t>
            </w:r>
            <w:r w:rsidRPr="0091439C">
              <w:rPr>
                <w:rFonts w:ascii="Arial" w:hAnsi="Arial" w:cs="Arial"/>
                <w:sz w:val="20"/>
                <w:szCs w:val="20"/>
              </w:rPr>
              <w:t>Embryo quality is evaluated at both cleavage and blastocyst stages, according to the Association of Clinical Embryologists (ACE) and UK National External Quality Assessment Service (UK NEQAS) for Reproductive Science Embryo and Blastocyst Grading schematic.</w:t>
            </w:r>
          </w:p>
        </w:tc>
      </w:tr>
    </w:tbl>
    <w:p w:rsidR="009659F9" w:rsidRDefault="009659F9"/>
    <w:sectPr w:rsidR="009659F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C2" w:rsidRDefault="00C863C2" w:rsidP="00C863C2">
      <w:r>
        <w:separator/>
      </w:r>
    </w:p>
  </w:endnote>
  <w:endnote w:type="continuationSeparator" w:id="0">
    <w:p w:rsidR="00C863C2" w:rsidRDefault="00C863C2" w:rsidP="00C8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C2" w:rsidRPr="00C863C2" w:rsidRDefault="00C967F2" w:rsidP="00C863C2">
    <w:pPr>
      <w:pStyle w:val="Footer"/>
      <w:rPr>
        <w:rFonts w:ascii="Arial" w:hAnsi="Arial" w:cs="Arial"/>
        <w:sz w:val="20"/>
        <w:szCs w:val="20"/>
      </w:rPr>
    </w:pPr>
    <w:r>
      <w:rPr>
        <w:rFonts w:ascii="Arial" w:hAnsi="Arial" w:cs="Arial"/>
        <w:sz w:val="20"/>
        <w:szCs w:val="20"/>
      </w:rPr>
      <w:t>Fertility</w:t>
    </w:r>
    <w:r w:rsidR="004073F8">
      <w:rPr>
        <w:rFonts w:ascii="Arial" w:hAnsi="Arial" w:cs="Arial"/>
        <w:sz w:val="20"/>
        <w:szCs w:val="20"/>
      </w:rPr>
      <w:t xml:space="preserve"> NICE</w:t>
    </w:r>
    <w:r w:rsidR="00263D23">
      <w:rPr>
        <w:rFonts w:ascii="Arial" w:hAnsi="Arial" w:cs="Arial"/>
        <w:sz w:val="20"/>
        <w:szCs w:val="20"/>
      </w:rPr>
      <w:t xml:space="preserve"> Quality standard 73</w:t>
    </w:r>
    <w:r>
      <w:rPr>
        <w:rFonts w:ascii="Arial" w:hAnsi="Arial" w:cs="Arial"/>
        <w:sz w:val="20"/>
        <w:szCs w:val="20"/>
      </w:rPr>
      <w:t xml:space="preserve"> and clinical guideline 156 (October</w:t>
    </w:r>
    <w:r w:rsidR="00C863C2" w:rsidRPr="00C863C2">
      <w:rPr>
        <w:rFonts w:ascii="Arial" w:hAnsi="Arial" w:cs="Arial"/>
        <w:sz w:val="20"/>
        <w:szCs w:val="20"/>
      </w:rPr>
      <w:t xml:space="preserve"> 2014).</w:t>
    </w:r>
  </w:p>
  <w:p w:rsidR="00C863C2" w:rsidRPr="00C863C2" w:rsidRDefault="00C863C2" w:rsidP="00C863C2">
    <w:pPr>
      <w:pStyle w:val="Footer"/>
      <w:rPr>
        <w:rFonts w:ascii="Arial" w:hAnsi="Arial" w:cs="Arial"/>
        <w:sz w:val="20"/>
        <w:szCs w:val="20"/>
      </w:rPr>
    </w:pPr>
  </w:p>
  <w:p w:rsidR="00C863C2" w:rsidRPr="00C863C2" w:rsidRDefault="00C863C2" w:rsidP="00C863C2">
    <w:pPr>
      <w:pStyle w:val="Footer"/>
      <w:rPr>
        <w:rFonts w:ascii="Arial" w:hAnsi="Arial" w:cs="Arial"/>
      </w:rPr>
    </w:pPr>
    <w:r w:rsidRPr="00C863C2">
      <w:rPr>
        <w:rFonts w:ascii="Arial" w:hAnsi="Arial" w:cs="Arial"/>
        <w:sz w:val="20"/>
        <w:szCs w:val="20"/>
      </w:rPr>
      <w:t xml:space="preserve"> © National Institute for Health and Care Excellence 2014. All rights reserved.</w:t>
    </w:r>
    <w:r w:rsidRPr="00C863C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C2" w:rsidRDefault="00C863C2" w:rsidP="00C863C2">
      <w:r>
        <w:separator/>
      </w:r>
    </w:p>
  </w:footnote>
  <w:footnote w:type="continuationSeparator" w:id="0">
    <w:p w:rsidR="00C863C2" w:rsidRDefault="00C863C2" w:rsidP="00C86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C2" w:rsidRPr="00C863C2" w:rsidRDefault="00C863C2" w:rsidP="00C863C2">
    <w:pPr>
      <w:pStyle w:val="Header"/>
    </w:pPr>
    <w:r>
      <w:rPr>
        <w:noProof/>
        <w:lang w:eastAsia="en-GB"/>
      </w:rPr>
      <w:drawing>
        <wp:inline distT="0" distB="0" distL="0" distR="0">
          <wp:extent cx="23717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28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E2"/>
    <w:rsid w:val="00095FF0"/>
    <w:rsid w:val="000A267E"/>
    <w:rsid w:val="000E2BB5"/>
    <w:rsid w:val="0022661F"/>
    <w:rsid w:val="00263D23"/>
    <w:rsid w:val="003948EF"/>
    <w:rsid w:val="003C102E"/>
    <w:rsid w:val="004073F8"/>
    <w:rsid w:val="006077E2"/>
    <w:rsid w:val="00686138"/>
    <w:rsid w:val="00717799"/>
    <w:rsid w:val="007652E9"/>
    <w:rsid w:val="007803AD"/>
    <w:rsid w:val="00877365"/>
    <w:rsid w:val="00906E2F"/>
    <w:rsid w:val="0091439C"/>
    <w:rsid w:val="009659F9"/>
    <w:rsid w:val="009E4EF8"/>
    <w:rsid w:val="00AA4F41"/>
    <w:rsid w:val="00C31B2E"/>
    <w:rsid w:val="00C863C2"/>
    <w:rsid w:val="00C967F2"/>
    <w:rsid w:val="00D33574"/>
    <w:rsid w:val="00E30DA7"/>
    <w:rsid w:val="00EC0180"/>
    <w:rsid w:val="00F85A2A"/>
    <w:rsid w:val="00FF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E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7E2"/>
    <w:pPr>
      <w:keepNext/>
      <w:spacing w:before="240" w:after="60" w:line="360"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77E2"/>
    <w:rPr>
      <w:rFonts w:ascii="Arial" w:eastAsia="Times New Roman" w:hAnsi="Arial" w:cs="Arial"/>
      <w:b/>
      <w:bCs/>
      <w:sz w:val="24"/>
      <w:szCs w:val="24"/>
    </w:rPr>
  </w:style>
  <w:style w:type="paragraph" w:customStyle="1" w:styleId="Tabletext">
    <w:name w:val="Table text"/>
    <w:basedOn w:val="Normal"/>
    <w:rsid w:val="006077E2"/>
    <w:pPr>
      <w:keepNext/>
      <w:spacing w:after="60"/>
    </w:pPr>
    <w:rPr>
      <w:rFonts w:ascii="Arial" w:hAnsi="Arial"/>
      <w:sz w:val="22"/>
    </w:rPr>
  </w:style>
  <w:style w:type="paragraph" w:styleId="NormalWeb">
    <w:name w:val="Normal (Web)"/>
    <w:basedOn w:val="Normal"/>
    <w:uiPriority w:val="99"/>
    <w:unhideWhenUsed/>
    <w:rsid w:val="006077E2"/>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6077E2"/>
    <w:rPr>
      <w:rFonts w:ascii="Tahoma" w:hAnsi="Tahoma" w:cs="Tahoma"/>
      <w:sz w:val="16"/>
      <w:szCs w:val="16"/>
    </w:rPr>
  </w:style>
  <w:style w:type="character" w:customStyle="1" w:styleId="BalloonTextChar">
    <w:name w:val="Balloon Text Char"/>
    <w:basedOn w:val="DefaultParagraphFont"/>
    <w:link w:val="BalloonText"/>
    <w:uiPriority w:val="99"/>
    <w:semiHidden/>
    <w:rsid w:val="006077E2"/>
    <w:rPr>
      <w:rFonts w:ascii="Tahoma" w:eastAsia="Times New Roman" w:hAnsi="Tahoma" w:cs="Tahoma"/>
      <w:sz w:val="16"/>
      <w:szCs w:val="16"/>
    </w:rPr>
  </w:style>
  <w:style w:type="paragraph" w:styleId="Header">
    <w:name w:val="header"/>
    <w:basedOn w:val="Normal"/>
    <w:link w:val="HeaderChar"/>
    <w:uiPriority w:val="99"/>
    <w:unhideWhenUsed/>
    <w:rsid w:val="00C863C2"/>
    <w:pPr>
      <w:tabs>
        <w:tab w:val="center" w:pos="4513"/>
        <w:tab w:val="right" w:pos="9026"/>
      </w:tabs>
    </w:pPr>
  </w:style>
  <w:style w:type="character" w:customStyle="1" w:styleId="HeaderChar">
    <w:name w:val="Header Char"/>
    <w:basedOn w:val="DefaultParagraphFont"/>
    <w:link w:val="Header"/>
    <w:uiPriority w:val="99"/>
    <w:rsid w:val="00C863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3C2"/>
    <w:pPr>
      <w:tabs>
        <w:tab w:val="center" w:pos="4513"/>
        <w:tab w:val="right" w:pos="9026"/>
      </w:tabs>
    </w:pPr>
  </w:style>
  <w:style w:type="character" w:customStyle="1" w:styleId="FooterChar">
    <w:name w:val="Footer Char"/>
    <w:basedOn w:val="DefaultParagraphFont"/>
    <w:link w:val="Footer"/>
    <w:uiPriority w:val="99"/>
    <w:rsid w:val="00C863C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0DA7"/>
    <w:rPr>
      <w:sz w:val="16"/>
      <w:szCs w:val="16"/>
    </w:rPr>
  </w:style>
  <w:style w:type="paragraph" w:styleId="CommentText">
    <w:name w:val="annotation text"/>
    <w:basedOn w:val="Normal"/>
    <w:link w:val="CommentTextChar"/>
    <w:uiPriority w:val="99"/>
    <w:semiHidden/>
    <w:unhideWhenUsed/>
    <w:rsid w:val="00E30DA7"/>
    <w:rPr>
      <w:sz w:val="20"/>
      <w:szCs w:val="20"/>
    </w:rPr>
  </w:style>
  <w:style w:type="character" w:customStyle="1" w:styleId="CommentTextChar">
    <w:name w:val="Comment Text Char"/>
    <w:basedOn w:val="DefaultParagraphFont"/>
    <w:link w:val="CommentText"/>
    <w:uiPriority w:val="99"/>
    <w:semiHidden/>
    <w:rsid w:val="00E30D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0DA7"/>
    <w:rPr>
      <w:b/>
      <w:bCs/>
    </w:rPr>
  </w:style>
  <w:style w:type="character" w:customStyle="1" w:styleId="CommentSubjectChar">
    <w:name w:val="Comment Subject Char"/>
    <w:basedOn w:val="CommentTextChar"/>
    <w:link w:val="CommentSubject"/>
    <w:uiPriority w:val="99"/>
    <w:semiHidden/>
    <w:rsid w:val="00E30DA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E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7E2"/>
    <w:pPr>
      <w:keepNext/>
      <w:spacing w:before="240" w:after="60" w:line="360"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77E2"/>
    <w:rPr>
      <w:rFonts w:ascii="Arial" w:eastAsia="Times New Roman" w:hAnsi="Arial" w:cs="Arial"/>
      <w:b/>
      <w:bCs/>
      <w:sz w:val="24"/>
      <w:szCs w:val="24"/>
    </w:rPr>
  </w:style>
  <w:style w:type="paragraph" w:customStyle="1" w:styleId="Tabletext">
    <w:name w:val="Table text"/>
    <w:basedOn w:val="Normal"/>
    <w:rsid w:val="006077E2"/>
    <w:pPr>
      <w:keepNext/>
      <w:spacing w:after="60"/>
    </w:pPr>
    <w:rPr>
      <w:rFonts w:ascii="Arial" w:hAnsi="Arial"/>
      <w:sz w:val="22"/>
    </w:rPr>
  </w:style>
  <w:style w:type="paragraph" w:styleId="NormalWeb">
    <w:name w:val="Normal (Web)"/>
    <w:basedOn w:val="Normal"/>
    <w:uiPriority w:val="99"/>
    <w:unhideWhenUsed/>
    <w:rsid w:val="006077E2"/>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6077E2"/>
    <w:rPr>
      <w:rFonts w:ascii="Tahoma" w:hAnsi="Tahoma" w:cs="Tahoma"/>
      <w:sz w:val="16"/>
      <w:szCs w:val="16"/>
    </w:rPr>
  </w:style>
  <w:style w:type="character" w:customStyle="1" w:styleId="BalloonTextChar">
    <w:name w:val="Balloon Text Char"/>
    <w:basedOn w:val="DefaultParagraphFont"/>
    <w:link w:val="BalloonText"/>
    <w:uiPriority w:val="99"/>
    <w:semiHidden/>
    <w:rsid w:val="006077E2"/>
    <w:rPr>
      <w:rFonts w:ascii="Tahoma" w:eastAsia="Times New Roman" w:hAnsi="Tahoma" w:cs="Tahoma"/>
      <w:sz w:val="16"/>
      <w:szCs w:val="16"/>
    </w:rPr>
  </w:style>
  <w:style w:type="paragraph" w:styleId="Header">
    <w:name w:val="header"/>
    <w:basedOn w:val="Normal"/>
    <w:link w:val="HeaderChar"/>
    <w:uiPriority w:val="99"/>
    <w:unhideWhenUsed/>
    <w:rsid w:val="00C863C2"/>
    <w:pPr>
      <w:tabs>
        <w:tab w:val="center" w:pos="4513"/>
        <w:tab w:val="right" w:pos="9026"/>
      </w:tabs>
    </w:pPr>
  </w:style>
  <w:style w:type="character" w:customStyle="1" w:styleId="HeaderChar">
    <w:name w:val="Header Char"/>
    <w:basedOn w:val="DefaultParagraphFont"/>
    <w:link w:val="Header"/>
    <w:uiPriority w:val="99"/>
    <w:rsid w:val="00C863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3C2"/>
    <w:pPr>
      <w:tabs>
        <w:tab w:val="center" w:pos="4513"/>
        <w:tab w:val="right" w:pos="9026"/>
      </w:tabs>
    </w:pPr>
  </w:style>
  <w:style w:type="character" w:customStyle="1" w:styleId="FooterChar">
    <w:name w:val="Footer Char"/>
    <w:basedOn w:val="DefaultParagraphFont"/>
    <w:link w:val="Footer"/>
    <w:uiPriority w:val="99"/>
    <w:rsid w:val="00C863C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0DA7"/>
    <w:rPr>
      <w:sz w:val="16"/>
      <w:szCs w:val="16"/>
    </w:rPr>
  </w:style>
  <w:style w:type="paragraph" w:styleId="CommentText">
    <w:name w:val="annotation text"/>
    <w:basedOn w:val="Normal"/>
    <w:link w:val="CommentTextChar"/>
    <w:uiPriority w:val="99"/>
    <w:semiHidden/>
    <w:unhideWhenUsed/>
    <w:rsid w:val="00E30DA7"/>
    <w:rPr>
      <w:sz w:val="20"/>
      <w:szCs w:val="20"/>
    </w:rPr>
  </w:style>
  <w:style w:type="character" w:customStyle="1" w:styleId="CommentTextChar">
    <w:name w:val="Comment Text Char"/>
    <w:basedOn w:val="DefaultParagraphFont"/>
    <w:link w:val="CommentText"/>
    <w:uiPriority w:val="99"/>
    <w:semiHidden/>
    <w:rsid w:val="00E30D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0DA7"/>
    <w:rPr>
      <w:b/>
      <w:bCs/>
    </w:rPr>
  </w:style>
  <w:style w:type="character" w:customStyle="1" w:styleId="CommentSubjectChar">
    <w:name w:val="Comment Subject Char"/>
    <w:basedOn w:val="CommentTextChar"/>
    <w:link w:val="CommentSubject"/>
    <w:uiPriority w:val="99"/>
    <w:semiHidden/>
    <w:rsid w:val="00E30DA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89D1D6F4</Template>
  <TotalTime>17</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Unsworth</dc:creator>
  <cp:lastModifiedBy>Alexa Biesty</cp:lastModifiedBy>
  <cp:revision>4</cp:revision>
  <cp:lastPrinted>2014-07-24T08:47:00Z</cp:lastPrinted>
  <dcterms:created xsi:type="dcterms:W3CDTF">2014-09-26T12:37:00Z</dcterms:created>
  <dcterms:modified xsi:type="dcterms:W3CDTF">2014-10-09T10:06:00Z</dcterms:modified>
</cp:coreProperties>
</file>