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8694B" w14:textId="0E80A4FF" w:rsidR="00C9475C" w:rsidRDefault="00C209B6" w:rsidP="00D71447">
      <w:pPr>
        <w:pStyle w:val="Title"/>
      </w:pPr>
      <w:r>
        <w:t xml:space="preserve">Highly </w:t>
      </w:r>
      <w:r w:rsidR="00C9475C">
        <w:t>S</w:t>
      </w:r>
      <w:r>
        <w:t xml:space="preserve">pecialised </w:t>
      </w:r>
      <w:r w:rsidR="00C9475C">
        <w:t>T</w:t>
      </w:r>
      <w:r>
        <w:t>echnologies (HST)</w:t>
      </w:r>
      <w:r w:rsidR="00C9475C">
        <w:t xml:space="preserve"> c</w:t>
      </w:r>
      <w:r w:rsidR="00995EEA">
        <w:t>riteria checklist</w:t>
      </w:r>
    </w:p>
    <w:p w14:paraId="2A38D048" w14:textId="527DC42E" w:rsidR="00443081" w:rsidRDefault="00142270" w:rsidP="00D71447">
      <w:pPr>
        <w:pStyle w:val="Title"/>
        <w:tabs>
          <w:tab w:val="center" w:pos="4513"/>
          <w:tab w:val="left" w:pos="7350"/>
        </w:tabs>
      </w:pPr>
      <w:r>
        <w:t xml:space="preserve">ID3932 </w:t>
      </w:r>
      <w:bookmarkStart w:id="0" w:name="_Hlk118894980"/>
      <w:r w:rsidRPr="00142270">
        <w:t xml:space="preserve">Belzutifan for treating </w:t>
      </w:r>
      <w:r w:rsidR="00D1703B">
        <w:t>tumours associated with</w:t>
      </w:r>
      <w:r w:rsidRPr="00142270">
        <w:t xml:space="preserve"> von Hippel-Lindau disease</w:t>
      </w:r>
      <w:bookmarkEnd w:id="0"/>
    </w:p>
    <w:p w14:paraId="41AEE3BC" w14:textId="77777777" w:rsidR="0053717B" w:rsidRDefault="0053717B" w:rsidP="00F90BB8">
      <w:pPr>
        <w:rPr>
          <w:rFonts w:ascii="Arial" w:hAnsi="Arial" w:cs="Arial"/>
          <w:b/>
          <w:bCs/>
        </w:rPr>
      </w:pPr>
    </w:p>
    <w:p w14:paraId="15240EDA" w14:textId="60ECF423" w:rsidR="006A2A61" w:rsidRDefault="00995EEA" w:rsidP="006A2A61">
      <w:pPr>
        <w:pStyle w:val="Heading3"/>
      </w:pPr>
      <w:r w:rsidRPr="00E74106">
        <w:t>Introduction</w:t>
      </w:r>
    </w:p>
    <w:p w14:paraId="4740A469" w14:textId="4AD86A4D" w:rsidR="00E74106" w:rsidRPr="00E74106" w:rsidRDefault="00D96736" w:rsidP="00F90BB8">
      <w:pPr>
        <w:rPr>
          <w:rFonts w:ascii="Arial" w:hAnsi="Arial" w:cs="Arial"/>
        </w:rPr>
      </w:pPr>
      <w:r w:rsidRPr="00E74106">
        <w:rPr>
          <w:rFonts w:ascii="Arial" w:hAnsi="Arial" w:cs="Arial"/>
        </w:rPr>
        <w:t>The NICE HST</w:t>
      </w:r>
      <w:r w:rsidR="00C209B6" w:rsidRPr="00E74106">
        <w:rPr>
          <w:rFonts w:ascii="Arial" w:hAnsi="Arial" w:cs="Arial"/>
        </w:rPr>
        <w:t xml:space="preserve"> criteria</w:t>
      </w:r>
      <w:r w:rsidRPr="00E74106">
        <w:rPr>
          <w:rFonts w:ascii="Arial" w:hAnsi="Arial" w:cs="Arial"/>
        </w:rPr>
        <w:t xml:space="preserve"> checklist is to highlight where a technology meets</w:t>
      </w:r>
      <w:r w:rsidR="00C670DD" w:rsidRPr="00E74106">
        <w:rPr>
          <w:rFonts w:ascii="Arial" w:hAnsi="Arial" w:cs="Arial"/>
        </w:rPr>
        <w:t xml:space="preserve"> or </w:t>
      </w:r>
      <w:r w:rsidRPr="00E74106">
        <w:rPr>
          <w:rFonts w:ascii="Arial" w:hAnsi="Arial" w:cs="Arial"/>
        </w:rPr>
        <w:t>does not meet the criteria for routing to the HST programme. Its purpose is to show the details of why a technology may not be appropriate for HST evaluation, but also where i</w:t>
      </w:r>
      <w:r w:rsidR="007955CD" w:rsidRPr="00E74106">
        <w:rPr>
          <w:rFonts w:ascii="Arial" w:hAnsi="Arial" w:cs="Arial"/>
        </w:rPr>
        <w:t>t</w:t>
      </w:r>
      <w:r w:rsidRPr="00E74106">
        <w:rPr>
          <w:rFonts w:ascii="Arial" w:hAnsi="Arial" w:cs="Arial"/>
        </w:rPr>
        <w:t xml:space="preserve"> has been identified as suitable.</w:t>
      </w:r>
      <w:r w:rsidR="00DF772E">
        <w:rPr>
          <w:rFonts w:ascii="Arial" w:hAnsi="Arial" w:cs="Arial"/>
        </w:rPr>
        <w:t xml:space="preserve"> </w:t>
      </w:r>
      <w:r w:rsidR="00DF772E" w:rsidRPr="00DF772E">
        <w:rPr>
          <w:rFonts w:ascii="Arial" w:hAnsi="Arial" w:cs="Arial"/>
        </w:rPr>
        <w:t xml:space="preserve">For more information, please see </w:t>
      </w:r>
      <w:hyperlink r:id="rId8" w:history="1">
        <w:r w:rsidR="00DF772E" w:rsidRPr="00DF772E">
          <w:rPr>
            <w:rStyle w:val="Hyperlink"/>
            <w:rFonts w:ascii="Arial" w:hAnsi="Arial" w:cs="Arial"/>
          </w:rPr>
          <w:t>section 7 of NICE health technology evaluation topic selection: the manual</w:t>
        </w:r>
      </w:hyperlink>
    </w:p>
    <w:p w14:paraId="0A986CA0" w14:textId="14D840F5" w:rsidR="00857CBD" w:rsidRDefault="00E74106" w:rsidP="00F90BB8">
      <w:pPr>
        <w:rPr>
          <w:rFonts w:ascii="Arial" w:hAnsi="Arial" w:cs="Arial"/>
          <w:b/>
          <w:bCs/>
        </w:rPr>
      </w:pPr>
      <w:r>
        <w:rPr>
          <w:rFonts w:ascii="Arial" w:hAnsi="Arial" w:cs="Arial"/>
          <w:b/>
          <w:bCs/>
        </w:rPr>
        <w:t xml:space="preserve"> </w:t>
      </w:r>
    </w:p>
    <w:p w14:paraId="6CD715DE" w14:textId="77B855C1" w:rsidR="00E74106" w:rsidRPr="00715265" w:rsidRDefault="00715265" w:rsidP="00CA055B">
      <w:pPr>
        <w:pStyle w:val="Heading3"/>
      </w:pPr>
      <w:r>
        <w:t>Key –</w:t>
      </w:r>
      <w:r w:rsidR="00E337A3">
        <w:t xml:space="preserve"> </w:t>
      </w:r>
      <w:r>
        <w:t xml:space="preserve">Please </w:t>
      </w:r>
      <w:r w:rsidR="00BC66C6">
        <w:t xml:space="preserve">use the </w:t>
      </w:r>
      <w:r>
        <w:t xml:space="preserve">colour </w:t>
      </w:r>
      <w:r w:rsidR="00BC66C6">
        <w:t>key</w:t>
      </w:r>
      <w:r>
        <w:t xml:space="preserve"> </w:t>
      </w:r>
      <w:r w:rsidR="00BC66C6">
        <w:t>to advise if the technology meets the criteria</w:t>
      </w:r>
      <w:r>
        <w:t xml:space="preserve"> </w:t>
      </w:r>
    </w:p>
    <w:tbl>
      <w:tblPr>
        <w:tblStyle w:val="TableGrid"/>
        <w:tblW w:w="0" w:type="auto"/>
        <w:tblInd w:w="-5" w:type="dxa"/>
        <w:tblLook w:val="04A0" w:firstRow="1" w:lastRow="0" w:firstColumn="1" w:lastColumn="0" w:noHBand="0" w:noVBand="1"/>
      </w:tblPr>
      <w:tblGrid>
        <w:gridCol w:w="975"/>
        <w:gridCol w:w="8097"/>
      </w:tblGrid>
      <w:tr w:rsidR="00E74106" w:rsidRPr="006D6093" w14:paraId="37C101A8" w14:textId="77777777" w:rsidTr="00D71447">
        <w:trPr>
          <w:trHeight w:val="280"/>
        </w:trPr>
        <w:tc>
          <w:tcPr>
            <w:tcW w:w="975" w:type="dxa"/>
            <w:shd w:val="clear" w:color="auto" w:fill="92D050"/>
          </w:tcPr>
          <w:p w14:paraId="7B200E30" w14:textId="49C24FC9" w:rsidR="00E74106" w:rsidRPr="00E74106" w:rsidRDefault="00E74106">
            <w:pPr>
              <w:spacing w:after="240" w:line="276" w:lineRule="auto"/>
              <w:jc w:val="both"/>
              <w:rPr>
                <w:rFonts w:ascii="Arial" w:eastAsia="Times New Roman" w:hAnsi="Arial"/>
                <w:lang w:eastAsia="en-GB"/>
              </w:rPr>
            </w:pPr>
            <w:r>
              <w:rPr>
                <w:rFonts w:ascii="Arial" w:eastAsia="Times New Roman" w:hAnsi="Arial"/>
                <w:lang w:eastAsia="en-GB"/>
              </w:rPr>
              <w:t xml:space="preserve">Met </w:t>
            </w:r>
          </w:p>
        </w:tc>
        <w:tc>
          <w:tcPr>
            <w:tcW w:w="8097" w:type="dxa"/>
          </w:tcPr>
          <w:p w14:paraId="17CD3D9A" w14:textId="2A7CF90D" w:rsidR="00E74106" w:rsidRPr="00E74106" w:rsidRDefault="00E74106">
            <w:pPr>
              <w:spacing w:after="240" w:line="276" w:lineRule="auto"/>
              <w:rPr>
                <w:rFonts w:ascii="Arial" w:eastAsia="Times New Roman" w:hAnsi="Arial"/>
                <w:lang w:eastAsia="en-GB"/>
              </w:rPr>
            </w:pPr>
            <w:r>
              <w:rPr>
                <w:rFonts w:ascii="Arial" w:eastAsia="Times New Roman" w:hAnsi="Arial"/>
                <w:lang w:eastAsia="en-GB"/>
              </w:rPr>
              <w:t xml:space="preserve">There is </w:t>
            </w:r>
            <w:r w:rsidR="00D71447">
              <w:rPr>
                <w:rFonts w:ascii="Arial" w:eastAsia="Times New Roman" w:hAnsi="Arial"/>
                <w:lang w:eastAsia="en-GB"/>
              </w:rPr>
              <w:t xml:space="preserve">clear and strong </w:t>
            </w:r>
            <w:r>
              <w:rPr>
                <w:rFonts w:ascii="Arial" w:eastAsia="Times New Roman" w:hAnsi="Arial"/>
                <w:lang w:eastAsia="en-GB"/>
              </w:rPr>
              <w:t xml:space="preserve">evidence that </w:t>
            </w:r>
            <w:r w:rsidR="00D71447">
              <w:rPr>
                <w:rFonts w:ascii="Arial" w:eastAsia="Times New Roman" w:hAnsi="Arial"/>
                <w:lang w:eastAsia="en-GB"/>
              </w:rPr>
              <w:t>th</w:t>
            </w:r>
            <w:r w:rsidR="00E337A3">
              <w:rPr>
                <w:rFonts w:ascii="Arial" w:eastAsia="Times New Roman" w:hAnsi="Arial"/>
                <w:lang w:eastAsia="en-GB"/>
              </w:rPr>
              <w:t xml:space="preserve">e </w:t>
            </w:r>
            <w:r w:rsidR="00D71447">
              <w:rPr>
                <w:rFonts w:ascii="Arial" w:eastAsia="Times New Roman" w:hAnsi="Arial"/>
                <w:lang w:eastAsia="en-GB"/>
              </w:rPr>
              <w:t>criterion</w:t>
            </w:r>
            <w:r>
              <w:rPr>
                <w:rFonts w:ascii="Arial" w:eastAsia="Times New Roman" w:hAnsi="Arial"/>
                <w:lang w:eastAsia="en-GB"/>
              </w:rPr>
              <w:t xml:space="preserve"> is met</w:t>
            </w:r>
          </w:p>
        </w:tc>
      </w:tr>
      <w:tr w:rsidR="00E74106" w:rsidRPr="006D6093" w14:paraId="2C33E2C1" w14:textId="77777777" w:rsidTr="00D71447">
        <w:trPr>
          <w:trHeight w:val="343"/>
        </w:trPr>
        <w:tc>
          <w:tcPr>
            <w:tcW w:w="975" w:type="dxa"/>
            <w:shd w:val="clear" w:color="auto" w:fill="FF0000"/>
          </w:tcPr>
          <w:p w14:paraId="1D95A0BE" w14:textId="004DFD77" w:rsidR="00E74106" w:rsidRPr="00E74106" w:rsidRDefault="00E74106">
            <w:pPr>
              <w:spacing w:after="240" w:line="276" w:lineRule="auto"/>
              <w:jc w:val="both"/>
              <w:rPr>
                <w:rFonts w:ascii="Arial" w:eastAsia="Times New Roman" w:hAnsi="Arial"/>
                <w:lang w:eastAsia="en-GB"/>
              </w:rPr>
            </w:pPr>
            <w:r>
              <w:rPr>
                <w:rFonts w:ascii="Arial" w:eastAsia="Times New Roman" w:hAnsi="Arial"/>
                <w:lang w:eastAsia="en-GB"/>
              </w:rPr>
              <w:t>Not met</w:t>
            </w:r>
          </w:p>
        </w:tc>
        <w:tc>
          <w:tcPr>
            <w:tcW w:w="8097" w:type="dxa"/>
          </w:tcPr>
          <w:p w14:paraId="6E680CFE" w14:textId="77777777" w:rsidR="00D83F31" w:rsidRDefault="00D83F31" w:rsidP="00D83F31">
            <w:pPr>
              <w:spacing w:after="240" w:line="276" w:lineRule="auto"/>
              <w:rPr>
                <w:rFonts w:ascii="Arial" w:eastAsia="Times New Roman" w:hAnsi="Arial"/>
                <w:lang w:eastAsia="en-GB"/>
              </w:rPr>
            </w:pPr>
            <w:r>
              <w:rPr>
                <w:rFonts w:ascii="Arial" w:eastAsia="Times New Roman" w:hAnsi="Arial"/>
                <w:lang w:eastAsia="en-GB"/>
              </w:rPr>
              <w:t xml:space="preserve">There is some, but not enough clear evidence that the criterion is met or </w:t>
            </w:r>
          </w:p>
          <w:p w14:paraId="10446DC5" w14:textId="28C764AF" w:rsidR="00E74106" w:rsidRPr="00E74106" w:rsidRDefault="00D83F31" w:rsidP="00D83F31">
            <w:pPr>
              <w:spacing w:after="240" w:line="276" w:lineRule="auto"/>
              <w:rPr>
                <w:rFonts w:ascii="Arial" w:eastAsia="Times New Roman" w:hAnsi="Arial"/>
                <w:lang w:eastAsia="en-GB"/>
              </w:rPr>
            </w:pPr>
            <w:r>
              <w:rPr>
                <w:rFonts w:ascii="Arial" w:eastAsia="Times New Roman" w:hAnsi="Arial"/>
                <w:lang w:eastAsia="en-GB"/>
              </w:rPr>
              <w:t xml:space="preserve">There is no evidence or limited evidence that the criterion is met.  </w:t>
            </w:r>
          </w:p>
        </w:tc>
      </w:tr>
    </w:tbl>
    <w:p w14:paraId="5D8EC4D4" w14:textId="77777777" w:rsidR="00E74106" w:rsidRDefault="00E74106" w:rsidP="00E74106">
      <w:pPr>
        <w:rPr>
          <w:rFonts w:ascii="Arial" w:hAnsi="Arial" w:cs="Arial"/>
          <w:b/>
          <w:bCs/>
        </w:rPr>
      </w:pPr>
    </w:p>
    <w:p w14:paraId="554B65FC" w14:textId="77777777" w:rsidR="00E74106" w:rsidRPr="00C9475C" w:rsidRDefault="00E74106" w:rsidP="00F90BB8">
      <w:pPr>
        <w:rPr>
          <w:rFonts w:ascii="Arial" w:hAnsi="Arial" w:cs="Arial"/>
          <w:b/>
          <w:bCs/>
        </w:rPr>
      </w:pPr>
    </w:p>
    <w:p w14:paraId="0DFC252C" w14:textId="77777777" w:rsidR="00881683" w:rsidRPr="00132D10" w:rsidRDefault="00C9475C" w:rsidP="00881683">
      <w:pPr>
        <w:rPr>
          <w:rFonts w:ascii="Arial" w:hAnsi="Arial" w:cs="Arial"/>
          <w:b/>
          <w:bCs/>
        </w:rPr>
      </w:pPr>
      <w:r w:rsidRPr="00132D10">
        <w:rPr>
          <w:rFonts w:ascii="Arial" w:hAnsi="Arial" w:cs="Arial"/>
        </w:rPr>
        <w:t>MA wording:</w:t>
      </w:r>
      <w:r w:rsidRPr="00132D10">
        <w:t xml:space="preserve"> </w:t>
      </w:r>
      <w:r w:rsidR="00881683" w:rsidRPr="00132D10">
        <w:rPr>
          <w:rFonts w:ascii="Arial" w:hAnsi="Arial" w:cs="Arial"/>
        </w:rPr>
        <w:t>Belzutifan for the treatment of adult patients with VHL disease who require therapy for VHL-associated renal cell carcinoma (RCC), central nervous system (CNS) hemangioblastomas, or pancreatic neuroendocrine tumours (pNET), and for whom localised procedures are unsuitable or undesirable</w:t>
      </w:r>
    </w:p>
    <w:p w14:paraId="3E95E146" w14:textId="4AEEE884" w:rsidR="00C9475C" w:rsidRPr="00132D10" w:rsidRDefault="00C9475C" w:rsidP="00CA055B">
      <w:pPr>
        <w:pStyle w:val="Heading3"/>
        <w:rPr>
          <w:rFonts w:cs="Arial"/>
          <w:b w:val="0"/>
          <w:bCs w:val="0"/>
          <w:szCs w:val="22"/>
        </w:rPr>
      </w:pPr>
    </w:p>
    <w:p w14:paraId="3E1A304B" w14:textId="080D7B1D" w:rsidR="00FD1677" w:rsidRPr="00B33819" w:rsidRDefault="00881683" w:rsidP="00FD1677">
      <w:pPr>
        <w:rPr>
          <w:rFonts w:ascii="Arial" w:hAnsi="Arial" w:cs="Arial"/>
        </w:rPr>
      </w:pPr>
      <w:r w:rsidRPr="00132D10">
        <w:rPr>
          <w:rFonts w:ascii="Arial" w:hAnsi="Arial" w:cs="Arial"/>
        </w:rPr>
        <w:t>Previous MA wording (for clarity only):</w:t>
      </w:r>
      <w:r w:rsidRPr="00132D10">
        <w:t xml:space="preserve"> </w:t>
      </w:r>
      <w:r w:rsidR="00FD1677" w:rsidRPr="00132D10">
        <w:rPr>
          <w:rFonts w:ascii="Arial" w:hAnsi="Arial" w:cs="Arial"/>
        </w:rPr>
        <w:t>Belzutifan for the treatment of von Hippel-Lindau disease-associated clear cell renal carcinoma.</w:t>
      </w:r>
      <w:r w:rsidR="00B33819" w:rsidRPr="00132D10">
        <w:rPr>
          <w:rFonts w:ascii="Arial" w:hAnsi="Arial" w:cs="Arial"/>
          <w:u w:val="single"/>
        </w:rPr>
        <w:t xml:space="preserve"> </w:t>
      </w:r>
      <w:r w:rsidR="00B33819" w:rsidRPr="00132D10">
        <w:rPr>
          <w:rFonts w:ascii="Arial" w:hAnsi="Arial" w:cs="Arial"/>
        </w:rPr>
        <w:t>(as per</w:t>
      </w:r>
      <w:r w:rsidR="00B33819" w:rsidRPr="00B33819">
        <w:rPr>
          <w:rFonts w:ascii="Arial" w:hAnsi="Arial" w:cs="Arial"/>
        </w:rPr>
        <w:t xml:space="preserve"> company response sent to TS in February 2021</w:t>
      </w:r>
      <w:r w:rsidR="00B33819">
        <w:rPr>
          <w:rFonts w:ascii="Arial" w:hAnsi="Arial" w:cs="Arial"/>
        </w:rPr>
        <w:t xml:space="preserve">, also indication noted on sps on 11 May 2022: </w:t>
      </w:r>
      <w:hyperlink r:id="rId9" w:history="1">
        <w:r w:rsidR="00DC5214" w:rsidRPr="00440161">
          <w:rPr>
            <w:rStyle w:val="Hyperlink"/>
            <w:rFonts w:ascii="Arial" w:hAnsi="Arial" w:cs="Arial"/>
          </w:rPr>
          <w:t>https://www.sps.nhs.uk/medicines/belzutifan/</w:t>
        </w:r>
      </w:hyperlink>
      <w:r w:rsidR="00DC5214">
        <w:rPr>
          <w:rFonts w:ascii="Arial" w:hAnsi="Arial" w:cs="Arial"/>
        </w:rPr>
        <w:t xml:space="preserve"> and scoping report, where the mini workshop took part 30 July 2021</w:t>
      </w:r>
      <w:r w:rsidR="00B33819" w:rsidRPr="00B33819">
        <w:rPr>
          <w:rFonts w:ascii="Arial" w:hAnsi="Arial" w:cs="Arial"/>
        </w:rPr>
        <w:t>)</w:t>
      </w:r>
    </w:p>
    <w:p w14:paraId="5DE853F9" w14:textId="34EA6C45" w:rsidR="000D3405" w:rsidRDefault="000D3405" w:rsidP="00F90BB8">
      <w:pPr>
        <w:rPr>
          <w:rFonts w:ascii="Arial" w:hAnsi="Arial" w:cs="Arial"/>
          <w:b/>
          <w:bCs/>
        </w:rPr>
      </w:pPr>
    </w:p>
    <w:tbl>
      <w:tblPr>
        <w:tblW w:w="5000" w:type="pct"/>
        <w:tblCellMar>
          <w:left w:w="0" w:type="dxa"/>
          <w:right w:w="0" w:type="dxa"/>
        </w:tblCellMar>
        <w:tblLook w:val="04A0" w:firstRow="1" w:lastRow="0" w:firstColumn="1" w:lastColumn="0" w:noHBand="0" w:noVBand="1"/>
      </w:tblPr>
      <w:tblGrid>
        <w:gridCol w:w="981"/>
        <w:gridCol w:w="3178"/>
        <w:gridCol w:w="7518"/>
        <w:gridCol w:w="2261"/>
      </w:tblGrid>
      <w:tr w:rsidR="002977F9" w:rsidRPr="00C9475C" w14:paraId="604A78F5" w14:textId="1D838B5C" w:rsidTr="00BA127D">
        <w:trPr>
          <w:tblHeader/>
        </w:trPr>
        <w:tc>
          <w:tcPr>
            <w:tcW w:w="352"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68C6630" w14:textId="77777777" w:rsidR="000D3405" w:rsidRPr="00C9475C" w:rsidRDefault="000D3405" w:rsidP="00E74106">
            <w:pPr>
              <w:ind w:firstLine="128"/>
              <w:rPr>
                <w:rFonts w:ascii="Arial" w:hAnsi="Arial" w:cs="Arial"/>
                <w:b/>
                <w:bCs/>
              </w:rPr>
            </w:pPr>
            <w:r>
              <w:rPr>
                <w:rFonts w:ascii="Arial" w:hAnsi="Arial" w:cs="Arial"/>
                <w:b/>
                <w:bCs/>
              </w:rPr>
              <w:lastRenderedPageBreak/>
              <w:t>Number</w:t>
            </w:r>
          </w:p>
        </w:tc>
        <w:tc>
          <w:tcPr>
            <w:tcW w:w="1140"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338FB15" w14:textId="77777777" w:rsidR="000D3405" w:rsidRDefault="000D3405" w:rsidP="00E74106">
            <w:pPr>
              <w:ind w:firstLine="175"/>
              <w:rPr>
                <w:rFonts w:ascii="Arial" w:hAnsi="Arial" w:cs="Arial"/>
                <w:b/>
                <w:bCs/>
              </w:rPr>
            </w:pPr>
            <w:r w:rsidRPr="00C9475C">
              <w:rPr>
                <w:rFonts w:ascii="Arial" w:hAnsi="Arial" w:cs="Arial"/>
                <w:b/>
                <w:bCs/>
              </w:rPr>
              <w:t>Criterion</w:t>
            </w:r>
          </w:p>
          <w:p w14:paraId="5C051E95" w14:textId="77777777" w:rsidR="000D3405" w:rsidRPr="00C9475C" w:rsidRDefault="000D3405">
            <w:pPr>
              <w:rPr>
                <w:rFonts w:ascii="Arial" w:hAnsi="Arial" w:cs="Arial"/>
                <w:b/>
                <w:bCs/>
              </w:rPr>
            </w:pPr>
          </w:p>
        </w:tc>
        <w:tc>
          <w:tcPr>
            <w:tcW w:w="2697"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459AAB6" w14:textId="77777777" w:rsidR="000D3405" w:rsidRDefault="000D3405" w:rsidP="00E74106">
            <w:pPr>
              <w:ind w:firstLine="261"/>
              <w:rPr>
                <w:rFonts w:ascii="Arial" w:hAnsi="Arial" w:cs="Arial"/>
                <w:b/>
                <w:bCs/>
              </w:rPr>
            </w:pPr>
            <w:r w:rsidRPr="000D3405">
              <w:rPr>
                <w:rFonts w:ascii="Arial" w:hAnsi="Arial" w:cs="Arial"/>
                <w:b/>
                <w:bCs/>
              </w:rPr>
              <w:t xml:space="preserve">Description of how the technology meets the criteria </w:t>
            </w:r>
          </w:p>
          <w:p w14:paraId="1A6CF046" w14:textId="7BB686AE" w:rsidR="000D3405" w:rsidRPr="00C9475C" w:rsidRDefault="000D3405">
            <w:pPr>
              <w:rPr>
                <w:rFonts w:ascii="Arial" w:hAnsi="Arial" w:cs="Arial"/>
                <w:b/>
                <w:bCs/>
              </w:rPr>
            </w:pPr>
          </w:p>
        </w:tc>
        <w:tc>
          <w:tcPr>
            <w:tcW w:w="812"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F4D1F1" w14:textId="4277D0E5" w:rsidR="00E74106" w:rsidRDefault="00D71447" w:rsidP="00D71447">
            <w:pPr>
              <w:ind w:left="288" w:right="188"/>
              <w:rPr>
                <w:rFonts w:ascii="Arial" w:hAnsi="Arial" w:cs="Arial"/>
                <w:b/>
                <w:bCs/>
              </w:rPr>
            </w:pPr>
            <w:r>
              <w:rPr>
                <w:rFonts w:ascii="Arial" w:hAnsi="Arial" w:cs="Arial"/>
                <w:b/>
                <w:bCs/>
              </w:rPr>
              <w:t>Does the technology meet the criteria?</w:t>
            </w:r>
          </w:p>
          <w:p w14:paraId="5A8606B0" w14:textId="0995B0FE" w:rsidR="000D3405" w:rsidRPr="00D71447" w:rsidRDefault="000D3405" w:rsidP="00D71447">
            <w:pPr>
              <w:ind w:right="188"/>
              <w:rPr>
                <w:rFonts w:ascii="Arial" w:hAnsi="Arial" w:cs="Arial"/>
              </w:rPr>
            </w:pPr>
          </w:p>
        </w:tc>
      </w:tr>
      <w:tr w:rsidR="002977F9" w:rsidRPr="00C9475C" w14:paraId="71E5DCF4" w14:textId="62BB659A" w:rsidTr="00D83F31">
        <w:tc>
          <w:tcPr>
            <w:tcW w:w="352" w:type="pct"/>
            <w:tcBorders>
              <w:top w:val="nil"/>
              <w:left w:val="single" w:sz="8" w:space="0" w:color="auto"/>
              <w:bottom w:val="single" w:sz="8" w:space="0" w:color="auto"/>
              <w:right w:val="single" w:sz="8" w:space="0" w:color="auto"/>
            </w:tcBorders>
          </w:tcPr>
          <w:p w14:paraId="240F2C71" w14:textId="77777777" w:rsidR="000D3405" w:rsidRPr="00D71447" w:rsidRDefault="000D3405" w:rsidP="000D3405">
            <w:pPr>
              <w:pStyle w:val="ListParagraph"/>
              <w:numPr>
                <w:ilvl w:val="0"/>
                <w:numId w:val="30"/>
              </w:numPr>
              <w:rPr>
                <w:rFonts w:ascii="Arial" w:hAnsi="Arial" w:cs="Arial"/>
              </w:rPr>
            </w:pPr>
          </w:p>
        </w:tc>
        <w:tc>
          <w:tcPr>
            <w:tcW w:w="11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8B1EE" w14:textId="7126FA4C" w:rsidR="000D3405" w:rsidRPr="00D71447" w:rsidRDefault="000D3405">
            <w:pPr>
              <w:rPr>
                <w:rFonts w:ascii="Arial" w:hAnsi="Arial" w:cs="Arial"/>
              </w:rPr>
            </w:pPr>
            <w:r w:rsidRPr="00D71447">
              <w:rPr>
                <w:rFonts w:ascii="Arial" w:hAnsi="Arial" w:cs="Arial"/>
              </w:rPr>
              <w:t xml:space="preserve">The </w:t>
            </w:r>
            <w:r w:rsidR="00CB7A88">
              <w:rPr>
                <w:rFonts w:ascii="Arial" w:hAnsi="Arial" w:cs="Arial"/>
              </w:rPr>
              <w:t xml:space="preserve">disease </w:t>
            </w:r>
            <w:r w:rsidRPr="00D71447">
              <w:rPr>
                <w:rFonts w:ascii="Arial" w:hAnsi="Arial" w:cs="Arial"/>
              </w:rPr>
              <w:t xml:space="preserve">is very rare defined by 1:50,000 in England </w:t>
            </w:r>
          </w:p>
          <w:p w14:paraId="4AB8D1A0" w14:textId="77777777" w:rsidR="000D3405" w:rsidRPr="00D71447" w:rsidRDefault="000D3405">
            <w:pPr>
              <w:rPr>
                <w:rFonts w:ascii="Arial" w:hAnsi="Arial" w:cs="Arial"/>
              </w:rPr>
            </w:pPr>
          </w:p>
          <w:p w14:paraId="2F4ED0A0" w14:textId="77777777" w:rsidR="000D3405" w:rsidRPr="00D71447" w:rsidRDefault="000D3405">
            <w:pPr>
              <w:rPr>
                <w:rFonts w:ascii="Arial" w:hAnsi="Arial" w:cs="Arial"/>
              </w:rPr>
            </w:pPr>
          </w:p>
        </w:tc>
        <w:tc>
          <w:tcPr>
            <w:tcW w:w="2697" w:type="pct"/>
            <w:tcBorders>
              <w:top w:val="nil"/>
              <w:left w:val="single" w:sz="8" w:space="0" w:color="auto"/>
              <w:bottom w:val="single" w:sz="8" w:space="0" w:color="auto"/>
              <w:right w:val="single" w:sz="8" w:space="0" w:color="auto"/>
            </w:tcBorders>
          </w:tcPr>
          <w:p w14:paraId="792BDE41" w14:textId="763CC3A0" w:rsidR="00B33819" w:rsidRDefault="0028189A" w:rsidP="00B33819">
            <w:pPr>
              <w:rPr>
                <w:rFonts w:ascii="Arial" w:hAnsi="Arial" w:cs="Arial"/>
              </w:rPr>
            </w:pPr>
            <w:r>
              <w:rPr>
                <w:rFonts w:ascii="Arial" w:hAnsi="Arial" w:cs="Arial"/>
              </w:rPr>
              <w:t xml:space="preserve">The </w:t>
            </w:r>
            <w:r w:rsidR="0095389B">
              <w:rPr>
                <w:rFonts w:ascii="Arial" w:hAnsi="Arial" w:cs="Arial"/>
              </w:rPr>
              <w:t xml:space="preserve">disease in the </w:t>
            </w:r>
            <w:r w:rsidR="00757265">
              <w:rPr>
                <w:rFonts w:ascii="Arial" w:hAnsi="Arial" w:cs="Arial"/>
              </w:rPr>
              <w:t xml:space="preserve">anticipated marketing authorisation </w:t>
            </w:r>
            <w:r w:rsidR="0095389B">
              <w:rPr>
                <w:rFonts w:ascii="Arial" w:hAnsi="Arial" w:cs="Arial"/>
              </w:rPr>
              <w:t>is</w:t>
            </w:r>
            <w:r>
              <w:rPr>
                <w:rFonts w:ascii="Arial" w:hAnsi="Arial" w:cs="Arial"/>
              </w:rPr>
              <w:t xml:space="preserve"> </w:t>
            </w:r>
            <w:r w:rsidR="00757265">
              <w:rPr>
                <w:rFonts w:ascii="Arial" w:hAnsi="Arial" w:cs="Arial"/>
              </w:rPr>
              <w:t>‘</w:t>
            </w:r>
            <w:r w:rsidR="00757265" w:rsidRPr="00757265">
              <w:rPr>
                <w:rFonts w:ascii="Arial" w:hAnsi="Arial" w:cs="Arial"/>
              </w:rPr>
              <w:t>von Hippel-Lindau disease</w:t>
            </w:r>
            <w:r w:rsidR="00757265">
              <w:rPr>
                <w:rFonts w:ascii="Arial" w:hAnsi="Arial" w:cs="Arial"/>
              </w:rPr>
              <w:t>’ (VHL)</w:t>
            </w:r>
            <w:r w:rsidR="0095389B">
              <w:rPr>
                <w:rFonts w:ascii="Arial" w:hAnsi="Arial" w:cs="Arial"/>
              </w:rPr>
              <w:t xml:space="preserve"> – a genetic</w:t>
            </w:r>
            <w:r w:rsidR="00A012C2">
              <w:rPr>
                <w:rFonts w:ascii="Arial" w:hAnsi="Arial" w:cs="Arial"/>
              </w:rPr>
              <w:t xml:space="preserve"> condition characterised by blood vessel growth in various areas of the body</w:t>
            </w:r>
            <w:r w:rsidR="00757265">
              <w:rPr>
                <w:rFonts w:ascii="Arial" w:hAnsi="Arial" w:cs="Arial"/>
              </w:rPr>
              <w:t>. Its use is expected to be related to</w:t>
            </w:r>
            <w:r>
              <w:rPr>
                <w:rFonts w:ascii="Arial" w:hAnsi="Arial" w:cs="Arial"/>
              </w:rPr>
              <w:t xml:space="preserve"> three </w:t>
            </w:r>
            <w:r w:rsidR="008103FB">
              <w:rPr>
                <w:rFonts w:ascii="Arial" w:hAnsi="Arial" w:cs="Arial"/>
              </w:rPr>
              <w:t xml:space="preserve">tumour types, which are associated with </w:t>
            </w:r>
            <w:r>
              <w:rPr>
                <w:rFonts w:ascii="Arial" w:hAnsi="Arial" w:cs="Arial"/>
              </w:rPr>
              <w:t>VHL.</w:t>
            </w:r>
            <w:r w:rsidR="00757265">
              <w:rPr>
                <w:rFonts w:ascii="Arial" w:hAnsi="Arial" w:cs="Arial"/>
              </w:rPr>
              <w:t xml:space="preserve"> For this criterion, the disease is VHL, </w:t>
            </w:r>
            <w:r w:rsidR="00A012C2">
              <w:rPr>
                <w:rFonts w:ascii="Arial" w:hAnsi="Arial" w:cs="Arial"/>
              </w:rPr>
              <w:t xml:space="preserve">as the genetic condition targeted by the therapy. </w:t>
            </w:r>
          </w:p>
          <w:p w14:paraId="1429D753" w14:textId="24364AEB" w:rsidR="00A012C2" w:rsidRDefault="00A012C2" w:rsidP="00B33819">
            <w:pPr>
              <w:rPr>
                <w:rFonts w:ascii="Arial" w:hAnsi="Arial" w:cs="Arial"/>
              </w:rPr>
            </w:pPr>
          </w:p>
          <w:p w14:paraId="51E4E2F3" w14:textId="5AE0CA7F" w:rsidR="00A012C2" w:rsidRDefault="00A012C2" w:rsidP="00B33819">
            <w:pPr>
              <w:rPr>
                <w:rFonts w:ascii="Arial" w:hAnsi="Arial" w:cs="Arial"/>
              </w:rPr>
            </w:pPr>
            <w:r>
              <w:rPr>
                <w:rFonts w:ascii="Arial" w:hAnsi="Arial" w:cs="Arial"/>
              </w:rPr>
              <w:t>VHL has a penetrance of 87</w:t>
            </w:r>
            <w:r w:rsidR="002F7289">
              <w:rPr>
                <w:rFonts w:ascii="Arial" w:hAnsi="Arial" w:cs="Arial"/>
              </w:rPr>
              <w:t>% by age 60 in one study</w:t>
            </w:r>
            <w:r w:rsidR="002F7289">
              <w:rPr>
                <w:rFonts w:ascii="Arial" w:hAnsi="Arial" w:cs="Arial"/>
                <w:vertAlign w:val="superscript"/>
              </w:rPr>
              <w:t>4</w:t>
            </w:r>
            <w:r w:rsidR="002F7289">
              <w:rPr>
                <w:rFonts w:ascii="Arial" w:hAnsi="Arial" w:cs="Arial"/>
              </w:rPr>
              <w:t xml:space="preserve"> – meaning there are people with diagnosed VHL who do not have manifestations. This complicates interpretation of prevalence data.</w:t>
            </w:r>
          </w:p>
          <w:p w14:paraId="6B8A0CAD" w14:textId="12EA40F8" w:rsidR="00B33819" w:rsidRDefault="00B33819" w:rsidP="00B33819">
            <w:pPr>
              <w:rPr>
                <w:rFonts w:ascii="Arial" w:hAnsi="Arial" w:cs="Arial"/>
              </w:rPr>
            </w:pPr>
          </w:p>
          <w:p w14:paraId="3FCB2AAF" w14:textId="6F80CDD0" w:rsidR="00E17667" w:rsidRDefault="00E17667" w:rsidP="00B33819">
            <w:pPr>
              <w:rPr>
                <w:rFonts w:ascii="Arial" w:hAnsi="Arial" w:cs="Arial"/>
              </w:rPr>
            </w:pPr>
            <w:r>
              <w:rPr>
                <w:rFonts w:ascii="Arial" w:hAnsi="Arial" w:cs="Arial"/>
              </w:rPr>
              <w:t>As per</w:t>
            </w:r>
            <w:r w:rsidRPr="00DC5214">
              <w:rPr>
                <w:rFonts w:ascii="Arial" w:hAnsi="Arial" w:cs="Arial"/>
              </w:rPr>
              <w:t xml:space="preserve"> </w:t>
            </w:r>
            <w:r w:rsidRPr="008549CB">
              <w:rPr>
                <w:rFonts w:ascii="Arial" w:hAnsi="Arial" w:cs="Arial"/>
              </w:rPr>
              <w:t xml:space="preserve">scoping report </w:t>
            </w:r>
            <w:r>
              <w:rPr>
                <w:rFonts w:ascii="Arial" w:hAnsi="Arial" w:cs="Arial"/>
              </w:rPr>
              <w:t>from August 2021, the pre</w:t>
            </w:r>
            <w:r w:rsidR="002F7289">
              <w:rPr>
                <w:rFonts w:ascii="Arial" w:hAnsi="Arial" w:cs="Arial"/>
              </w:rPr>
              <w:t>v</w:t>
            </w:r>
            <w:r>
              <w:rPr>
                <w:rFonts w:ascii="Arial" w:hAnsi="Arial" w:cs="Arial"/>
              </w:rPr>
              <w:t>alence of VHL in the EU is approximately 0.3 per 10,000, which is about 1,300 adults in England (1.5 per 50,000). This data has been taken from the European medicines agency (EMA)</w:t>
            </w:r>
            <w:r>
              <w:rPr>
                <w:rFonts w:ascii="Arial" w:hAnsi="Arial" w:cs="Arial"/>
              </w:rPr>
              <w:fldChar w:fldCharType="begin" w:fldLock="1"/>
            </w:r>
            <w:r>
              <w:rPr>
                <w:rFonts w:ascii="Arial" w:hAnsi="Arial" w:cs="Arial"/>
              </w:rPr>
              <w:instrText>ADDIN CSL_CITATION {"citationItems":[{"id":"ITEM-1","itemData":{"URL":"https://www.ema.europa.eu/en/medicines/human/orphan-designations/eu3202324#about-section","accessed":{"date-parts":[["2022","5","23"]]},"author":[{"dropping-particle":"","family":"European Medicines Agency","given":"","non-dropping-particle":"","parse-names":false,"suffix":""}],"container-title":"Science Medicines Health","id":"ITEM-1","issued":{"date-parts":[["2022"]]},"title":"EU/3/20/2324: Orphan designation for the treatment of von Hippel-Lindau disease","type":"webpage"},"uris":["http://www.mendeley.com/documents/?uuid=91d0eed5-bf2b-48b9-83c7-9fae7bd4892a"]}],"mendeley":{"formattedCitation":"&lt;sup&gt;1&lt;/sup&gt;","plainTextFormattedCitation":"1","previouslyFormattedCitation":"&lt;sup&gt;1&lt;/sup&gt;"},"properties":{"noteIndex":0},"schema":"https://github.com/citation-style-language/schema/raw/master/csl-citation.json"}</w:instrText>
            </w:r>
            <w:r>
              <w:rPr>
                <w:rFonts w:ascii="Arial" w:hAnsi="Arial" w:cs="Arial"/>
              </w:rPr>
              <w:fldChar w:fldCharType="separate"/>
            </w:r>
            <w:r w:rsidRPr="003279E2">
              <w:rPr>
                <w:rFonts w:ascii="Arial" w:hAnsi="Arial" w:cs="Arial"/>
                <w:noProof/>
                <w:vertAlign w:val="superscript"/>
              </w:rPr>
              <w:t>1</w:t>
            </w:r>
            <w:r>
              <w:rPr>
                <w:rFonts w:ascii="Arial" w:hAnsi="Arial" w:cs="Arial"/>
              </w:rPr>
              <w:fldChar w:fldCharType="end"/>
            </w:r>
            <w:r>
              <w:rPr>
                <w:rFonts w:ascii="Arial" w:hAnsi="Arial" w:cs="Arial"/>
              </w:rPr>
              <w:t>. The company c</w:t>
            </w:r>
            <w:r w:rsidR="001E6673">
              <w:rPr>
                <w:rFonts w:ascii="Arial" w:hAnsi="Arial" w:cs="Arial"/>
              </w:rPr>
              <w:t>onsiders</w:t>
            </w:r>
            <w:r>
              <w:rPr>
                <w:rFonts w:ascii="Arial" w:hAnsi="Arial" w:cs="Arial"/>
              </w:rPr>
              <w:t xml:space="preserve"> that a new study showed that the prevalence is lower, of between 1 in 77,340 to 1 in 68,493 in England, according to Maher </w:t>
            </w:r>
            <w:r w:rsidRPr="009B5CC9">
              <w:rPr>
                <w:rFonts w:ascii="Arial" w:hAnsi="Arial" w:cs="Arial"/>
                <w:i/>
                <w:iCs/>
              </w:rPr>
              <w:t>et al.</w:t>
            </w:r>
            <w:r>
              <w:rPr>
                <w:rFonts w:ascii="Arial" w:hAnsi="Arial" w:cs="Arial"/>
                <w:i/>
                <w:iCs/>
              </w:rPr>
              <w:fldChar w:fldCharType="begin" w:fldLock="1"/>
            </w:r>
            <w:r>
              <w:rPr>
                <w:rFonts w:ascii="Arial" w:hAnsi="Arial" w:cs="Arial"/>
                <w:i/>
                <w:iCs/>
              </w:rPr>
              <w:instrText>ADDIN CSL_CITATION {"citationItems":[{"id":"ITEM-1","itemData":{"DOI":"10.1038/s41416-022-01724-7","ISSN":"1532-1827 (Electronic)","PMID":"35184155","abstract":"BACKGROUND: Von Hippel-Lindau (VHL) disease is an inherited tumour predisposition  syndrome and a paradigm for the importance of early diagnosis and surveillance. However, there is limited information on the \"real world\" management of VHL disease. METHODS: A national audit of VHL disease in the United Kingdom. RESULTS: VHL disease was managed mostly via specialist clinics coordinated through regional clinical genetics services (but frequently involving additional specialties). Over the study period, 19 genetic centres saw 842 individuals (393 males, 449 females) with a clinical and/or molecular diagnosis of VHL disease and 74 individuals (35 male, 39 female) with a prior risk of 50% (affected parent). All centres offered retinal, central nervous system and abdominal surveillance to affected individuals and at-risk relatives though surveillance details differed between centres (but complied with international recommendations). Renal lesions detected on the first surveillance scan were, on average, larger than those detected during subsequent scans and the larger the diameter at detection the greater the likelihood of early intervention. CONCLUSIONS: In a state-funded health care system individuals with a rare inherited cancer predisposition syndrome are generally able to access appropriate surveillance and patient management is improved compared to historical data. The \"real world\" data from this study will inform the future development of VHL management protocols.","author":[{"dropping-particle":"","family":"Maher","given":"Eamonn R","non-dropping-particle":"","parse-names":false,"suffix":""},{"dropping-particle":"","family":"Adlard","given":"Julian","non-dropping-particle":"","parse-names":false,"suffix":""},{"dropping-particle":"","family":"Barwell","given":"Julian","non-dropping-particle":"","parse-names":false,"suffix":""},{"dropping-particle":"","family":"Brady","given":"Angela F","non-dropping-particle":"","parse-names":false,"suffix":""},{"dropping-particle":"","family":"Brennan","given":"Paul","non-dropping-particle":"","parse-names":false,"suffix":""},{"dropping-particle":"","family":"Cook","given":"Jackie","non-dropping-particle":"","parse-names":false,"suffix":""},{"dropping-particle":"","family":"Crawford","given":"Gillian S","non-dropping-particle":"","parse-names":false,"suffix":""},{"dropping-particle":"","family":"Dabir","given":"Tabib","non-dropping-particle":"","parse-names":false,"suffix":""},{"dropping-particle":"","family":"Davidson","given":"Rosemarie","non-dropping-particle":"","parse-names":false,"suffix":""},{"dropping-particle":"","family":"Dyer","given":"Rebecca","non-dropping-particle":"","parse-names":false,"suffix":""},{"dropping-particle":"","family":"Harrison","given":"Rachel","non-dropping-particle":"","parse-names":false,"suffix":""},{"dropping-particle":"","family":"Forde","given":"Claire","non-dropping-particle":"","parse-names":false,"suffix":""},{"dropping-particle":"","family":"Halliday","given":"Dorothy","non-dropping-particle":"","parse-names":false,"suffix":""},{"dropping-particle":"","family":"Hanson","given":"Helen","non-dropping-particle":"","parse-names":false,"suffix":""},{"dropping-particle":"","family":"Hay","given":"Eleanor","non-dropping-particle":"","parse-names":false,"suffix":""},{"dropping-particle":"","family":"Higgs","given":"Jenny","non-dropping-particle":"","parse-names":false,"suffix":""},{"dropping-particle":"","family":"Jones","given":"Mari","non-dropping-particle":"","parse-names":false,"suffix":""},{"dropping-particle":"","family":"Lalloo","given":"Fiona","non-dropping-particle":"","parse-names":false,"suffix":""},{"dropping-particle":"","family":"Miedzybrodzka","given":"Zosia","non-dropping-particle":"","parse-names":false,"suffix":""},{"dropping-particle":"","family":"Ong","given":"Kai Ren","non-dropping-particle":"","parse-names":false,"suffix":""},{"dropping-particle":"","family":"Pelz","given":"Frauke","non-dropping-particle":"","parse-names":false,"suffix":""},{"dropping-particle":"","family":"Ruddy","given":"Deborah","non-dropping-particle":"","parse-names":false,"suffix":""},{"dropping-particle":"","family":"Snape","given":"Katie","non-dropping-particle":"","parse-names":false,"suffix":""},{"dropping-particle":"","family":"Whitworth","given":"James","non-dropping-particle":"","parse-names":false,"suffix":""},{"dropping-particle":"","family":"Sandford","given":"Richard N","non-dropping-particle":"","parse-names":false,"suffix":""}],"container-title":"British journal of cancer","id":"ITEM-1","issue":"9","issued":{"date-parts":[["2022","5"]]},"language":"eng","page":"1339-1345","title":"Evaluation of tumour surveillance protocols and outcomes in von Hippel-Lindau  disease in a national health service.","type":"article-journal","volume":"126"},"uris":["http://www.mendeley.com/documents/?uuid=bc29a990-b972-4bab-991e-f2765f4ecfc8"]}],"mendeley":{"formattedCitation":"&lt;sup&gt;2&lt;/sup&gt;","plainTextFormattedCitation":"2","previouslyFormattedCitation":"&lt;sup&gt;2&lt;/sup&gt;"},"properties":{"noteIndex":0},"schema":"https://github.com/citation-style-language/schema/raw/master/csl-citation.json"}</w:instrText>
            </w:r>
            <w:r>
              <w:rPr>
                <w:rFonts w:ascii="Arial" w:hAnsi="Arial" w:cs="Arial"/>
                <w:i/>
                <w:iCs/>
              </w:rPr>
              <w:fldChar w:fldCharType="separate"/>
            </w:r>
            <w:r w:rsidRPr="003279E2">
              <w:rPr>
                <w:rFonts w:ascii="Arial" w:hAnsi="Arial" w:cs="Arial"/>
                <w:iCs/>
                <w:noProof/>
                <w:vertAlign w:val="superscript"/>
              </w:rPr>
              <w:t>2</w:t>
            </w:r>
            <w:r>
              <w:rPr>
                <w:rFonts w:ascii="Arial" w:hAnsi="Arial" w:cs="Arial"/>
                <w:i/>
                <w:iCs/>
              </w:rPr>
              <w:fldChar w:fldCharType="end"/>
            </w:r>
            <w:r>
              <w:rPr>
                <w:rFonts w:ascii="Arial" w:hAnsi="Arial" w:cs="Arial"/>
              </w:rPr>
              <w:t xml:space="preserve"> This would equate to </w:t>
            </w:r>
            <w:r w:rsidR="001E6673">
              <w:rPr>
                <w:rFonts w:ascii="Arial" w:hAnsi="Arial" w:cs="Arial"/>
              </w:rPr>
              <w:t>approximately</w:t>
            </w:r>
            <w:r>
              <w:rPr>
                <w:rFonts w:ascii="Arial" w:hAnsi="Arial" w:cs="Arial"/>
              </w:rPr>
              <w:t xml:space="preserve"> 620 people.</w:t>
            </w:r>
            <w:r w:rsidR="00815A17">
              <w:rPr>
                <w:rFonts w:ascii="Arial" w:hAnsi="Arial" w:cs="Arial"/>
              </w:rPr>
              <w:t xml:space="preserve"> One study included the entire</w:t>
            </w:r>
            <w:r w:rsidR="00815A17" w:rsidRPr="00815A17">
              <w:rPr>
                <w:rFonts w:ascii="Arial" w:hAnsi="Arial" w:cs="Arial"/>
              </w:rPr>
              <w:t xml:space="preserve"> Danish cohort</w:t>
            </w:r>
            <w:r w:rsidR="00815A17">
              <w:rPr>
                <w:rFonts w:ascii="Arial" w:hAnsi="Arial" w:cs="Arial"/>
              </w:rPr>
              <w:t xml:space="preserve"> of people with VHL and calculated this</w:t>
            </w:r>
            <w:r w:rsidR="00815A17" w:rsidRPr="00815A17">
              <w:rPr>
                <w:rFonts w:ascii="Arial" w:hAnsi="Arial" w:cs="Arial"/>
              </w:rPr>
              <w:t xml:space="preserve"> at 1</w:t>
            </w:r>
            <w:r w:rsidR="00815A17">
              <w:rPr>
                <w:rFonts w:ascii="Arial" w:hAnsi="Arial" w:cs="Arial"/>
              </w:rPr>
              <w:t xml:space="preserve"> in</w:t>
            </w:r>
            <w:r w:rsidR="00815A17" w:rsidRPr="00815A17">
              <w:rPr>
                <w:rFonts w:ascii="Arial" w:hAnsi="Arial" w:cs="Arial"/>
              </w:rPr>
              <w:t xml:space="preserve"> 46,900 including undiagnosed</w:t>
            </w:r>
            <w:r w:rsidR="00815A17">
              <w:rPr>
                <w:rFonts w:ascii="Arial" w:hAnsi="Arial" w:cs="Arial"/>
              </w:rPr>
              <w:t xml:space="preserve"> patients</w:t>
            </w:r>
            <w:r w:rsidR="00CC55DD">
              <w:rPr>
                <w:rFonts w:ascii="Arial" w:hAnsi="Arial" w:cs="Arial"/>
              </w:rPr>
              <w:t xml:space="preserve"> which also seemed a plausible population-level estimate.</w:t>
            </w:r>
            <w:r w:rsidR="00815A17">
              <w:rPr>
                <w:rFonts w:ascii="Arial" w:hAnsi="Arial" w:cs="Arial"/>
              </w:rPr>
              <w:t xml:space="preserve"> </w:t>
            </w:r>
            <w:r w:rsidR="00927547">
              <w:rPr>
                <w:rFonts w:ascii="Arial" w:hAnsi="Arial" w:cs="Arial"/>
              </w:rPr>
              <w:t>VHL UK and Ireland consider the birth prevalence to be 1 in 36,000 people.</w:t>
            </w:r>
          </w:p>
          <w:p w14:paraId="2C9468A3" w14:textId="77777777" w:rsidR="00E17667" w:rsidRDefault="00E17667" w:rsidP="00B33819">
            <w:pPr>
              <w:rPr>
                <w:rFonts w:ascii="Arial" w:hAnsi="Arial" w:cs="Arial"/>
              </w:rPr>
            </w:pPr>
          </w:p>
          <w:p w14:paraId="473EDEF6" w14:textId="7E5B7DCA" w:rsidR="00E17667" w:rsidRDefault="00E17667" w:rsidP="00B33819">
            <w:pPr>
              <w:rPr>
                <w:rFonts w:ascii="Arial" w:hAnsi="Arial" w:cs="Arial"/>
              </w:rPr>
            </w:pPr>
            <w:r>
              <w:rPr>
                <w:rFonts w:ascii="Arial" w:hAnsi="Arial" w:cs="Arial"/>
              </w:rPr>
              <w:t xml:space="preserve">The company </w:t>
            </w:r>
            <w:r w:rsidR="002F7289">
              <w:rPr>
                <w:rFonts w:ascii="Arial" w:hAnsi="Arial" w:cs="Arial"/>
              </w:rPr>
              <w:t>have provided a non-systematic literature review that shows a wide range of prevalence estimates.</w:t>
            </w:r>
            <w:r w:rsidR="00815A17">
              <w:rPr>
                <w:rFonts w:ascii="Arial" w:hAnsi="Arial" w:cs="Arial"/>
              </w:rPr>
              <w:t xml:space="preserve"> </w:t>
            </w:r>
            <w:r w:rsidR="001043D6">
              <w:rPr>
                <w:rFonts w:ascii="Arial" w:hAnsi="Arial" w:cs="Arial"/>
              </w:rPr>
              <w:t>The estimates span the range that includes 1:50,000 patients in England</w:t>
            </w:r>
            <w:r w:rsidR="001E6673">
              <w:rPr>
                <w:rFonts w:ascii="Arial" w:hAnsi="Arial" w:cs="Arial"/>
              </w:rPr>
              <w:t xml:space="preserve">. Therefore, there is some evidence this criterion would be met, but </w:t>
            </w:r>
            <w:r w:rsidR="001F33A3">
              <w:rPr>
                <w:rFonts w:ascii="Arial" w:hAnsi="Arial" w:cs="Arial"/>
              </w:rPr>
              <w:t xml:space="preserve">it is not clear because of </w:t>
            </w:r>
            <w:r w:rsidR="00815A17">
              <w:rPr>
                <w:rFonts w:ascii="Arial" w:hAnsi="Arial" w:cs="Arial"/>
              </w:rPr>
              <w:t xml:space="preserve">substantial </w:t>
            </w:r>
            <w:r w:rsidR="001E6673">
              <w:rPr>
                <w:rFonts w:ascii="Arial" w:hAnsi="Arial" w:cs="Arial"/>
              </w:rPr>
              <w:t>uncertainty around the total number of people with VHL in England.</w:t>
            </w:r>
          </w:p>
          <w:p w14:paraId="7DA65A5F" w14:textId="4651F41A" w:rsidR="000D3405" w:rsidRPr="008179CD" w:rsidRDefault="000D3405" w:rsidP="001043D6">
            <w:pPr>
              <w:rPr>
                <w:rFonts w:ascii="Arial" w:hAnsi="Arial" w:cs="Arial"/>
              </w:rPr>
            </w:pPr>
          </w:p>
        </w:tc>
        <w:tc>
          <w:tcPr>
            <w:tcW w:w="812" w:type="pct"/>
            <w:tcBorders>
              <w:top w:val="nil"/>
              <w:left w:val="single" w:sz="8" w:space="0" w:color="auto"/>
              <w:bottom w:val="single" w:sz="8" w:space="0" w:color="auto"/>
              <w:right w:val="single" w:sz="8" w:space="0" w:color="auto"/>
            </w:tcBorders>
            <w:shd w:val="clear" w:color="auto" w:fill="FF0000"/>
          </w:tcPr>
          <w:p w14:paraId="55C7D72A" w14:textId="3AC960C6" w:rsidR="00E74106" w:rsidRPr="00D71447" w:rsidRDefault="00D83F31" w:rsidP="00D71447">
            <w:pPr>
              <w:ind w:left="288" w:right="188"/>
              <w:rPr>
                <w:rFonts w:ascii="Arial" w:hAnsi="Arial" w:cs="Arial"/>
              </w:rPr>
            </w:pPr>
            <w:r>
              <w:rPr>
                <w:rFonts w:ascii="Arial" w:hAnsi="Arial" w:cs="Arial"/>
              </w:rPr>
              <w:t>Not met</w:t>
            </w:r>
          </w:p>
          <w:p w14:paraId="4A35B2B7" w14:textId="3B59D2A6" w:rsidR="00D71447" w:rsidRPr="00EF3DC0" w:rsidRDefault="00D71447" w:rsidP="00792782">
            <w:pPr>
              <w:ind w:left="288" w:right="188"/>
              <w:jc w:val="center"/>
              <w:rPr>
                <w:rFonts w:ascii="Arial" w:hAnsi="Arial" w:cs="Arial"/>
                <w:b/>
                <w:bCs/>
              </w:rPr>
            </w:pPr>
          </w:p>
        </w:tc>
      </w:tr>
      <w:tr w:rsidR="002977F9" w:rsidRPr="00C9475C" w14:paraId="6BCC6689" w14:textId="0915F44B" w:rsidTr="00BA127D">
        <w:tc>
          <w:tcPr>
            <w:tcW w:w="352" w:type="pct"/>
            <w:tcBorders>
              <w:top w:val="nil"/>
              <w:left w:val="single" w:sz="8" w:space="0" w:color="auto"/>
              <w:bottom w:val="single" w:sz="8" w:space="0" w:color="auto"/>
              <w:right w:val="single" w:sz="8" w:space="0" w:color="auto"/>
            </w:tcBorders>
          </w:tcPr>
          <w:p w14:paraId="1A5A72F4" w14:textId="77777777" w:rsidR="000D3405" w:rsidRPr="00D71447" w:rsidRDefault="000D3405" w:rsidP="0063769A">
            <w:pPr>
              <w:pStyle w:val="ListParagraph"/>
              <w:numPr>
                <w:ilvl w:val="0"/>
                <w:numId w:val="30"/>
              </w:numPr>
              <w:spacing w:after="240"/>
              <w:rPr>
                <w:rFonts w:ascii="Arial" w:hAnsi="Arial" w:cs="Arial"/>
              </w:rPr>
            </w:pPr>
          </w:p>
        </w:tc>
        <w:tc>
          <w:tcPr>
            <w:tcW w:w="114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A4FA471" w14:textId="77777777" w:rsidR="000D3405" w:rsidRDefault="000D3405" w:rsidP="0063769A">
            <w:pPr>
              <w:spacing w:after="240"/>
              <w:rPr>
                <w:rFonts w:ascii="Arial" w:hAnsi="Arial" w:cs="Arial"/>
              </w:rPr>
            </w:pPr>
            <w:r w:rsidRPr="00D71447">
              <w:rPr>
                <w:rFonts w:ascii="Arial" w:hAnsi="Arial" w:cs="Arial"/>
              </w:rPr>
              <w:t xml:space="preserve">Normally no more than 300 people in England are eligible for the technology in its licensed indication and no </w:t>
            </w:r>
            <w:r w:rsidRPr="00D71447">
              <w:rPr>
                <w:rFonts w:ascii="Arial" w:hAnsi="Arial" w:cs="Arial"/>
              </w:rPr>
              <w:lastRenderedPageBreak/>
              <w:t xml:space="preserve">more than 500 across all its indications </w:t>
            </w:r>
          </w:p>
          <w:p w14:paraId="55E850C5" w14:textId="442AD58F" w:rsidR="00D71447" w:rsidRPr="00D71447" w:rsidRDefault="00D71447" w:rsidP="0063769A">
            <w:pPr>
              <w:spacing w:after="240"/>
              <w:rPr>
                <w:rFonts w:ascii="Arial" w:hAnsi="Arial" w:cs="Arial"/>
              </w:rPr>
            </w:pPr>
          </w:p>
        </w:tc>
        <w:tc>
          <w:tcPr>
            <w:tcW w:w="2697" w:type="pct"/>
            <w:tcBorders>
              <w:top w:val="nil"/>
              <w:left w:val="single" w:sz="8" w:space="0" w:color="auto"/>
              <w:bottom w:val="single" w:sz="8" w:space="0" w:color="auto"/>
              <w:right w:val="single" w:sz="8" w:space="0" w:color="auto"/>
            </w:tcBorders>
          </w:tcPr>
          <w:p w14:paraId="6F0AAD4B" w14:textId="07A70AFD" w:rsidR="00503B03" w:rsidRDefault="00503B03" w:rsidP="0063769A">
            <w:pPr>
              <w:spacing w:after="240"/>
              <w:rPr>
                <w:rFonts w:ascii="Arial" w:hAnsi="Arial" w:cs="Arial"/>
              </w:rPr>
            </w:pPr>
            <w:r>
              <w:rPr>
                <w:rFonts w:ascii="Arial" w:hAnsi="Arial" w:cs="Arial"/>
              </w:rPr>
              <w:lastRenderedPageBreak/>
              <w:t>The total number of people with VHL is estimated to be 1300 using the EMA estimate or 620 as per the estimate provided by the company using the Maher et al study.</w:t>
            </w:r>
          </w:p>
          <w:p w14:paraId="599FF16D" w14:textId="4161B1FC" w:rsidR="00C14B5A" w:rsidRPr="008E35C0" w:rsidRDefault="00C14B5A" w:rsidP="0063769A">
            <w:pPr>
              <w:spacing w:after="240"/>
              <w:rPr>
                <w:rFonts w:ascii="Arial" w:hAnsi="Arial" w:cs="Arial"/>
              </w:rPr>
            </w:pPr>
            <w:r>
              <w:rPr>
                <w:rFonts w:ascii="Arial" w:hAnsi="Arial" w:cs="Arial"/>
              </w:rPr>
              <w:lastRenderedPageBreak/>
              <w:t xml:space="preserve">Using the refined MA wording, to </w:t>
            </w:r>
            <w:r w:rsidR="00190F86">
              <w:rPr>
                <w:rFonts w:ascii="Arial" w:hAnsi="Arial" w:cs="Arial"/>
              </w:rPr>
              <w:t>be</w:t>
            </w:r>
            <w:r>
              <w:rPr>
                <w:rFonts w:ascii="Arial" w:hAnsi="Arial" w:cs="Arial"/>
              </w:rPr>
              <w:t xml:space="preserve"> eligible for belzutifan, peop</w:t>
            </w:r>
            <w:r w:rsidR="008E35C0">
              <w:rPr>
                <w:rFonts w:ascii="Arial" w:hAnsi="Arial" w:cs="Arial"/>
              </w:rPr>
              <w:t xml:space="preserve">le must have VHL disease </w:t>
            </w:r>
            <w:r w:rsidR="008E35C0" w:rsidRPr="008E35C0">
              <w:rPr>
                <w:rFonts w:ascii="Arial" w:hAnsi="Arial" w:cs="Arial"/>
                <w:u w:val="single"/>
              </w:rPr>
              <w:t>and</w:t>
            </w:r>
            <w:r w:rsidR="008E35C0">
              <w:rPr>
                <w:rFonts w:ascii="Arial" w:hAnsi="Arial" w:cs="Arial"/>
              </w:rPr>
              <w:t xml:space="preserve"> as one of the tumours (renal cell carcinoma, central nervous system hemangioblastomas or pancreatic neuroendocrine tumours) </w:t>
            </w:r>
            <w:r w:rsidR="008E35C0" w:rsidRPr="008E35C0">
              <w:rPr>
                <w:rFonts w:ascii="Arial" w:hAnsi="Arial" w:cs="Arial"/>
                <w:u w:val="single"/>
              </w:rPr>
              <w:t>and</w:t>
            </w:r>
            <w:r w:rsidR="008E35C0">
              <w:rPr>
                <w:rFonts w:ascii="Arial" w:hAnsi="Arial" w:cs="Arial"/>
              </w:rPr>
              <w:t xml:space="preserve"> not suitable for localised procedures, such as surgery.</w:t>
            </w:r>
          </w:p>
          <w:p w14:paraId="7194ED3C" w14:textId="02AD4937" w:rsidR="00C14B5A" w:rsidRDefault="008E35C0" w:rsidP="0063769A">
            <w:pPr>
              <w:pStyle w:val="ListParagraph"/>
              <w:numPr>
                <w:ilvl w:val="0"/>
                <w:numId w:val="36"/>
              </w:numPr>
              <w:spacing w:after="240"/>
              <w:rPr>
                <w:rFonts w:ascii="Arial" w:hAnsi="Arial" w:cs="Arial"/>
              </w:rPr>
            </w:pPr>
            <w:r>
              <w:rPr>
                <w:rFonts w:ascii="Arial" w:hAnsi="Arial" w:cs="Arial"/>
              </w:rPr>
              <w:t xml:space="preserve">46% of people with VHL have one of the three tumours, although this is likely to be an </w:t>
            </w:r>
            <w:r w:rsidR="009F175F">
              <w:rPr>
                <w:rFonts w:ascii="Arial" w:hAnsi="Arial" w:cs="Arial"/>
              </w:rPr>
              <w:t>over</w:t>
            </w:r>
            <w:r>
              <w:rPr>
                <w:rFonts w:ascii="Arial" w:hAnsi="Arial" w:cs="Arial"/>
              </w:rPr>
              <w:t>estimate as some people with VHL will have more than one tumour at the same time</w:t>
            </w:r>
            <w:r w:rsidR="000B552E">
              <w:rPr>
                <w:rFonts w:ascii="Arial" w:hAnsi="Arial" w:cs="Arial"/>
              </w:rPr>
              <w:t xml:space="preserve">. This percentage is based on the audit published by Maher </w:t>
            </w:r>
            <w:r w:rsidR="000B552E" w:rsidRPr="000B552E">
              <w:rPr>
                <w:rFonts w:ascii="Arial" w:hAnsi="Arial" w:cs="Arial"/>
                <w:i/>
                <w:iCs/>
              </w:rPr>
              <w:t>et al</w:t>
            </w:r>
            <w:r w:rsidR="000B552E">
              <w:rPr>
                <w:rFonts w:ascii="Arial" w:hAnsi="Arial" w:cs="Arial"/>
              </w:rPr>
              <w:t xml:space="preserve">. </w:t>
            </w:r>
          </w:p>
          <w:p w14:paraId="69839CE2" w14:textId="4CDE72A2" w:rsidR="008E35C0" w:rsidRPr="0063769A" w:rsidRDefault="008E35C0" w:rsidP="0063769A">
            <w:pPr>
              <w:pStyle w:val="ListParagraph"/>
              <w:numPr>
                <w:ilvl w:val="0"/>
                <w:numId w:val="36"/>
              </w:numPr>
              <w:spacing w:after="240"/>
              <w:rPr>
                <w:rFonts w:ascii="Arial" w:hAnsi="Arial" w:cs="Arial"/>
              </w:rPr>
            </w:pPr>
            <w:r>
              <w:rPr>
                <w:rFonts w:ascii="Arial" w:hAnsi="Arial" w:cs="Arial"/>
              </w:rPr>
              <w:t>20% of the patient population are ineligible for localised treatment, such as surgery</w:t>
            </w:r>
            <w:r w:rsidR="000B552E">
              <w:rPr>
                <w:rFonts w:ascii="Arial" w:hAnsi="Arial" w:cs="Arial"/>
              </w:rPr>
              <w:t xml:space="preserve"> (based on clinical feedback the company has requested). </w:t>
            </w:r>
          </w:p>
          <w:p w14:paraId="7A1DD088" w14:textId="5D7903CB" w:rsidR="00503B03" w:rsidRDefault="00503B03" w:rsidP="0063769A">
            <w:pPr>
              <w:spacing w:after="240"/>
              <w:rPr>
                <w:rFonts w:ascii="Arial" w:hAnsi="Arial" w:cs="Arial"/>
              </w:rPr>
            </w:pPr>
            <w:r>
              <w:rPr>
                <w:rFonts w:ascii="Arial" w:hAnsi="Arial" w:cs="Arial"/>
              </w:rPr>
              <w:t>This leads to an estimate of between 120 to 55 people eligible for treatment.</w:t>
            </w:r>
          </w:p>
          <w:p w14:paraId="4C6F7AF2" w14:textId="4E5363A1" w:rsidR="001043D6" w:rsidRPr="001043D6" w:rsidRDefault="001043D6" w:rsidP="001043D6">
            <w:pPr>
              <w:spacing w:after="240"/>
              <w:rPr>
                <w:rFonts w:ascii="Arial" w:hAnsi="Arial" w:cs="Arial"/>
              </w:rPr>
            </w:pPr>
            <w:r>
              <w:rPr>
                <w:rFonts w:ascii="Arial" w:hAnsi="Arial" w:cs="Arial"/>
              </w:rPr>
              <w:t xml:space="preserve">Despite uncertainties with eligibility for localised treatment and total population, it is likely that less than 300 people will be eligible for treatment </w:t>
            </w:r>
            <w:r w:rsidR="003277DF">
              <w:rPr>
                <w:rFonts w:ascii="Arial" w:hAnsi="Arial" w:cs="Arial"/>
              </w:rPr>
              <w:t>with belzutifan in this indication</w:t>
            </w:r>
            <w:r w:rsidR="001E6673">
              <w:rPr>
                <w:rFonts w:ascii="Arial" w:hAnsi="Arial" w:cs="Arial"/>
              </w:rPr>
              <w:t xml:space="preserve"> and therefore the criterion is met.</w:t>
            </w:r>
          </w:p>
        </w:tc>
        <w:tc>
          <w:tcPr>
            <w:tcW w:w="812" w:type="pct"/>
            <w:tcBorders>
              <w:top w:val="nil"/>
              <w:left w:val="single" w:sz="8" w:space="0" w:color="auto"/>
              <w:bottom w:val="single" w:sz="8" w:space="0" w:color="auto"/>
              <w:right w:val="single" w:sz="8" w:space="0" w:color="auto"/>
            </w:tcBorders>
            <w:shd w:val="clear" w:color="auto" w:fill="92D050"/>
          </w:tcPr>
          <w:p w14:paraId="7363703A" w14:textId="77777777" w:rsidR="00D71447" w:rsidRPr="00D71447" w:rsidRDefault="00D71447" w:rsidP="0063769A">
            <w:pPr>
              <w:spacing w:after="240"/>
              <w:ind w:left="288" w:right="188"/>
              <w:rPr>
                <w:rFonts w:ascii="Arial" w:hAnsi="Arial" w:cs="Arial"/>
              </w:rPr>
            </w:pPr>
            <w:r w:rsidRPr="00D71447">
              <w:rPr>
                <w:rFonts w:ascii="Arial" w:hAnsi="Arial" w:cs="Arial"/>
              </w:rPr>
              <w:lastRenderedPageBreak/>
              <w:t>Met</w:t>
            </w:r>
          </w:p>
          <w:p w14:paraId="2A49A49C" w14:textId="77777777" w:rsidR="000D3405" w:rsidRPr="00EF3DC0" w:rsidRDefault="000D3405" w:rsidP="0063769A">
            <w:pPr>
              <w:spacing w:after="240"/>
              <w:ind w:left="288" w:right="188"/>
              <w:rPr>
                <w:rFonts w:ascii="Arial" w:hAnsi="Arial" w:cs="Arial"/>
                <w:b/>
                <w:bCs/>
              </w:rPr>
            </w:pPr>
          </w:p>
        </w:tc>
      </w:tr>
      <w:tr w:rsidR="00BA127D" w:rsidRPr="00C9475C" w14:paraId="7C095163" w14:textId="663CB376" w:rsidTr="00815A17">
        <w:tc>
          <w:tcPr>
            <w:tcW w:w="352" w:type="pct"/>
            <w:tcBorders>
              <w:top w:val="nil"/>
              <w:left w:val="single" w:sz="8" w:space="0" w:color="auto"/>
              <w:bottom w:val="single" w:sz="8" w:space="0" w:color="auto"/>
              <w:right w:val="single" w:sz="8" w:space="0" w:color="auto"/>
            </w:tcBorders>
          </w:tcPr>
          <w:p w14:paraId="1B8680B2" w14:textId="77777777" w:rsidR="00BA127D" w:rsidRPr="00D71447" w:rsidRDefault="00BA127D" w:rsidP="000D3405">
            <w:pPr>
              <w:pStyle w:val="ListParagraph"/>
              <w:numPr>
                <w:ilvl w:val="0"/>
                <w:numId w:val="30"/>
              </w:numPr>
              <w:rPr>
                <w:rFonts w:ascii="Arial" w:hAnsi="Arial" w:cs="Arial"/>
              </w:rPr>
            </w:pPr>
          </w:p>
        </w:tc>
        <w:tc>
          <w:tcPr>
            <w:tcW w:w="114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AE5894D" w14:textId="4B48F90F" w:rsidR="00BA127D" w:rsidRPr="00D71447" w:rsidRDefault="00BA127D">
            <w:pPr>
              <w:rPr>
                <w:rFonts w:ascii="Arial" w:hAnsi="Arial" w:cs="Arial"/>
              </w:rPr>
            </w:pPr>
            <w:r w:rsidRPr="00CB7A88">
              <w:rPr>
                <w:rFonts w:ascii="Arial" w:hAnsi="Arial" w:cs="Arial"/>
              </w:rPr>
              <w:t xml:space="preserve">The very rare disease for which the technology is indicated significantly shortens life or severely impairs quality of life </w:t>
            </w:r>
          </w:p>
        </w:tc>
        <w:tc>
          <w:tcPr>
            <w:tcW w:w="2697" w:type="pct"/>
            <w:tcBorders>
              <w:top w:val="nil"/>
              <w:left w:val="single" w:sz="8" w:space="0" w:color="auto"/>
              <w:bottom w:val="single" w:sz="8" w:space="0" w:color="auto"/>
              <w:right w:val="single" w:sz="8" w:space="0" w:color="auto"/>
            </w:tcBorders>
          </w:tcPr>
          <w:p w14:paraId="6A43A7FE" w14:textId="4D6FB116" w:rsidR="00BA127D" w:rsidRDefault="00BA127D" w:rsidP="00BA127D">
            <w:pPr>
              <w:spacing w:after="240"/>
              <w:rPr>
                <w:rFonts w:ascii="Arial" w:hAnsi="Arial" w:cs="Arial"/>
              </w:rPr>
            </w:pPr>
            <w:r>
              <w:rPr>
                <w:rFonts w:ascii="Arial" w:hAnsi="Arial" w:cs="Arial"/>
              </w:rPr>
              <w:t>Onset of</w:t>
            </w:r>
            <w:r w:rsidR="00213853">
              <w:rPr>
                <w:rFonts w:ascii="Arial" w:hAnsi="Arial" w:cs="Arial"/>
              </w:rPr>
              <w:t xml:space="preserve"> symptomatic</w:t>
            </w:r>
            <w:r>
              <w:rPr>
                <w:rFonts w:ascii="Arial" w:hAnsi="Arial" w:cs="Arial"/>
              </w:rPr>
              <w:t xml:space="preserve"> VHL disease typically starts by age 40, with childhood onset being rare. Most often, onset starts in late teens or twenties. However, some people with VHL only develop complications in their fifties or sixties.</w:t>
            </w:r>
            <w:r>
              <w:rPr>
                <w:rFonts w:ascii="Arial" w:hAnsi="Arial" w:cs="Arial"/>
              </w:rPr>
              <w:fldChar w:fldCharType="begin" w:fldLock="1"/>
            </w:r>
            <w:r>
              <w:rPr>
                <w:rFonts w:ascii="Arial" w:hAnsi="Arial" w:cs="Arial"/>
              </w:rPr>
              <w:instrText>ADDIN CSL_CITATION {"citationItems":[{"id":"ITEM-1","itemData":{"DOI":"10.1136/bjo.76.12.743","ISSN":"00071161","PMID":"1486078","author":[{"dropping-particle":"","family":"Oxford University Hospitals NHS Trust","given":"","non-dropping-particle":"","parse-names":false,"suffix":""}],"container-title":"Oxford Regional Genetic Department","id":"ITEM-1","issued":{"date-parts":[["2014"]]},"page":"1-8","title":"Von Hippel-Lindau disease - An information leaflet for patients and families","type":"article"},"uris":["http://www.mendeley.com/documents/?uuid=74f80e18-5211-47ce-96e5-4d61b0976ed0"]}],"mendeley":{"formattedCitation":"&lt;sup&gt;3&lt;/sup&gt;","plainTextFormattedCitation":"3","previouslyFormattedCitation":"&lt;sup&gt;3&lt;/sup&gt;"},"properties":{"noteIndex":0},"schema":"https://github.com/citation-style-language/schema/raw/master/csl-citation.json"}</w:instrText>
            </w:r>
            <w:r>
              <w:rPr>
                <w:rFonts w:ascii="Arial" w:hAnsi="Arial" w:cs="Arial"/>
              </w:rPr>
              <w:fldChar w:fldCharType="separate"/>
            </w:r>
            <w:r w:rsidRPr="007034C2">
              <w:rPr>
                <w:rFonts w:ascii="Arial" w:hAnsi="Arial" w:cs="Arial"/>
                <w:noProof/>
                <w:vertAlign w:val="superscript"/>
              </w:rPr>
              <w:t>3</w:t>
            </w:r>
            <w:r>
              <w:rPr>
                <w:rFonts w:ascii="Arial" w:hAnsi="Arial" w:cs="Arial"/>
              </w:rPr>
              <w:fldChar w:fldCharType="end"/>
            </w:r>
            <w:r>
              <w:rPr>
                <w:rFonts w:ascii="Arial" w:hAnsi="Arial" w:cs="Arial"/>
              </w:rPr>
              <w:t xml:space="preserve"> </w:t>
            </w:r>
            <w:r w:rsidR="003277DF">
              <w:rPr>
                <w:rFonts w:ascii="Arial" w:hAnsi="Arial" w:cs="Arial"/>
              </w:rPr>
              <w:t>VHL</w:t>
            </w:r>
            <w:r w:rsidR="00213853">
              <w:rPr>
                <w:rFonts w:ascii="Arial" w:hAnsi="Arial" w:cs="Arial"/>
              </w:rPr>
              <w:t xml:space="preserve"> disease presentation</w:t>
            </w:r>
            <w:r w:rsidR="001E6673">
              <w:rPr>
                <w:rFonts w:ascii="Arial" w:hAnsi="Arial" w:cs="Arial"/>
              </w:rPr>
              <w:t xml:space="preserve"> and severity</w:t>
            </w:r>
            <w:r w:rsidR="00213853">
              <w:rPr>
                <w:rFonts w:ascii="Arial" w:hAnsi="Arial" w:cs="Arial"/>
              </w:rPr>
              <w:t xml:space="preserve"> is heterogeneous amongst patients</w:t>
            </w:r>
            <w:r w:rsidR="001E6673">
              <w:rPr>
                <w:rFonts w:ascii="Arial" w:hAnsi="Arial" w:cs="Arial"/>
              </w:rPr>
              <w:t xml:space="preserve"> and the organs affected</w:t>
            </w:r>
            <w:r w:rsidR="00213853">
              <w:rPr>
                <w:rFonts w:ascii="Arial" w:hAnsi="Arial" w:cs="Arial"/>
              </w:rPr>
              <w:t xml:space="preserve">. </w:t>
            </w:r>
            <w:r w:rsidR="001E6673">
              <w:rPr>
                <w:rFonts w:ascii="Arial" w:hAnsi="Arial" w:cs="Arial"/>
              </w:rPr>
              <w:t>The natural course of VHL disease can range from asymptomatic or effective surgery</w:t>
            </w:r>
            <w:r w:rsidR="00213853">
              <w:rPr>
                <w:rFonts w:ascii="Arial" w:hAnsi="Arial" w:cs="Arial"/>
              </w:rPr>
              <w:t xml:space="preserve">, </w:t>
            </w:r>
            <w:r w:rsidR="001E6673">
              <w:rPr>
                <w:rFonts w:ascii="Arial" w:hAnsi="Arial" w:cs="Arial"/>
              </w:rPr>
              <w:t>to multisystemic tumour growth, loss of organs and potential metastatic disease.</w:t>
            </w:r>
            <w:r w:rsidR="00213853">
              <w:rPr>
                <w:rFonts w:ascii="Arial" w:hAnsi="Arial" w:cs="Arial"/>
              </w:rPr>
              <w:t xml:space="preserve"> </w:t>
            </w:r>
          </w:p>
          <w:p w14:paraId="6FC1509F" w14:textId="62238D74" w:rsidR="00BA127D" w:rsidRDefault="001E6673" w:rsidP="006041A6">
            <w:pPr>
              <w:spacing w:after="240"/>
              <w:rPr>
                <w:rFonts w:ascii="Arial" w:hAnsi="Arial" w:cs="Arial"/>
              </w:rPr>
            </w:pPr>
            <w:r>
              <w:rPr>
                <w:rFonts w:ascii="Arial" w:hAnsi="Arial" w:cs="Arial"/>
              </w:rPr>
              <w:t xml:space="preserve">Active </w:t>
            </w:r>
            <w:r w:rsidR="00FA001D">
              <w:rPr>
                <w:rFonts w:ascii="Arial" w:hAnsi="Arial" w:cs="Arial"/>
              </w:rPr>
              <w:t>clinical</w:t>
            </w:r>
            <w:r w:rsidR="00213853">
              <w:rPr>
                <w:rFonts w:ascii="Arial" w:hAnsi="Arial" w:cs="Arial"/>
              </w:rPr>
              <w:t xml:space="preserve"> </w:t>
            </w:r>
            <w:r w:rsidR="00FA001D">
              <w:rPr>
                <w:rFonts w:ascii="Arial" w:hAnsi="Arial" w:cs="Arial"/>
              </w:rPr>
              <w:t xml:space="preserve">monitoring of people with VHL disease is </w:t>
            </w:r>
            <w:r>
              <w:rPr>
                <w:rFonts w:ascii="Arial" w:hAnsi="Arial" w:cs="Arial"/>
              </w:rPr>
              <w:t>effective</w:t>
            </w:r>
            <w:r w:rsidR="00FA001D">
              <w:rPr>
                <w:rFonts w:ascii="Arial" w:hAnsi="Arial" w:cs="Arial"/>
              </w:rPr>
              <w:t>, which</w:t>
            </w:r>
            <w:r w:rsidR="001B248A">
              <w:rPr>
                <w:rFonts w:ascii="Arial" w:hAnsi="Arial" w:cs="Arial"/>
              </w:rPr>
              <w:t xml:space="preserve"> means that </w:t>
            </w:r>
            <w:r w:rsidR="00047694">
              <w:rPr>
                <w:rFonts w:ascii="Arial" w:hAnsi="Arial" w:cs="Arial"/>
              </w:rPr>
              <w:t xml:space="preserve">in most cases </w:t>
            </w:r>
            <w:r w:rsidR="001B248A">
              <w:rPr>
                <w:rFonts w:ascii="Arial" w:hAnsi="Arial" w:cs="Arial"/>
              </w:rPr>
              <w:t>VHL disease is managed effectively.</w:t>
            </w:r>
            <w:r w:rsidR="00FA001D">
              <w:rPr>
                <w:rFonts w:ascii="Arial" w:hAnsi="Arial" w:cs="Arial"/>
              </w:rPr>
              <w:t xml:space="preserve"> </w:t>
            </w:r>
            <w:r>
              <w:rPr>
                <w:rFonts w:ascii="Arial" w:hAnsi="Arial" w:cs="Arial"/>
              </w:rPr>
              <w:t xml:space="preserve">The </w:t>
            </w:r>
            <w:r>
              <w:rPr>
                <w:rFonts w:ascii="Arial" w:hAnsi="Arial" w:cs="Arial"/>
              </w:rPr>
              <w:lastRenderedPageBreak/>
              <w:t>technology is indicated only if localised procedures are unsuitable or undesirable.</w:t>
            </w:r>
          </w:p>
          <w:p w14:paraId="1A9E7CB3" w14:textId="053AE380" w:rsidR="006C3E3F" w:rsidRDefault="005056CB" w:rsidP="00BA127D">
            <w:pPr>
              <w:spacing w:after="240"/>
              <w:rPr>
                <w:rFonts w:ascii="Arial" w:hAnsi="Arial" w:cs="Arial"/>
              </w:rPr>
            </w:pPr>
            <w:r>
              <w:rPr>
                <w:rFonts w:ascii="Arial" w:hAnsi="Arial" w:cs="Arial"/>
              </w:rPr>
              <w:t xml:space="preserve">For the indicated population, those whom localised procedures are unsuitable or undesirable, </w:t>
            </w:r>
            <w:r w:rsidR="007E3B06">
              <w:rPr>
                <w:rFonts w:ascii="Arial" w:hAnsi="Arial" w:cs="Arial"/>
              </w:rPr>
              <w:t>quality of life may be considered similar to</w:t>
            </w:r>
            <w:r w:rsidR="00D93038">
              <w:rPr>
                <w:rFonts w:ascii="Arial" w:hAnsi="Arial" w:cs="Arial"/>
              </w:rPr>
              <w:t xml:space="preserve"> patients with end stage renal disease, patients with </w:t>
            </w:r>
            <w:r w:rsidR="003277DF">
              <w:rPr>
                <w:rFonts w:ascii="Arial" w:hAnsi="Arial" w:cs="Arial"/>
              </w:rPr>
              <w:t xml:space="preserve">full or partial </w:t>
            </w:r>
            <w:r w:rsidR="00D93038">
              <w:rPr>
                <w:rFonts w:ascii="Arial" w:hAnsi="Arial" w:cs="Arial"/>
              </w:rPr>
              <w:t>pancreatectomy (</w:t>
            </w:r>
            <w:r w:rsidR="003277DF">
              <w:rPr>
                <w:rFonts w:ascii="Arial" w:hAnsi="Arial" w:cs="Arial"/>
              </w:rPr>
              <w:t xml:space="preserve">including </w:t>
            </w:r>
            <w:r w:rsidR="00D93038">
              <w:rPr>
                <w:rFonts w:ascii="Arial" w:hAnsi="Arial" w:cs="Arial"/>
              </w:rPr>
              <w:t xml:space="preserve">diabetes) or symptomatic </w:t>
            </w:r>
            <w:r w:rsidR="003277DF">
              <w:rPr>
                <w:rFonts w:ascii="Arial" w:hAnsi="Arial" w:cs="Arial"/>
              </w:rPr>
              <w:t xml:space="preserve">CNS </w:t>
            </w:r>
            <w:r w:rsidR="00D93038">
              <w:rPr>
                <w:rFonts w:ascii="Arial" w:hAnsi="Arial" w:cs="Arial"/>
              </w:rPr>
              <w:t>tumours</w:t>
            </w:r>
            <w:r w:rsidR="007E3B06">
              <w:rPr>
                <w:rFonts w:ascii="Arial" w:hAnsi="Arial" w:cs="Arial"/>
              </w:rPr>
              <w:t xml:space="preserve"> for the indicated tumours, although tumours may be present in multiple organs simultaneously.</w:t>
            </w:r>
          </w:p>
          <w:p w14:paraId="21F4EC86" w14:textId="145F723E" w:rsidR="003277DF" w:rsidRDefault="003277DF" w:rsidP="00BA127D">
            <w:pPr>
              <w:spacing w:after="240"/>
              <w:rPr>
                <w:rFonts w:ascii="Arial" w:hAnsi="Arial" w:cs="Arial"/>
              </w:rPr>
            </w:pPr>
            <w:r>
              <w:rPr>
                <w:rFonts w:ascii="Arial" w:hAnsi="Arial" w:cs="Arial"/>
              </w:rPr>
              <w:t>For the indicated population, there may be highly heterogeneous life expectancy and quality of life dependent on tumour site and age when localised procedures are unsuitable</w:t>
            </w:r>
            <w:r w:rsidR="00815A17">
              <w:rPr>
                <w:rFonts w:ascii="Arial" w:hAnsi="Arial" w:cs="Arial"/>
              </w:rPr>
              <w:t xml:space="preserve"> or undesirable</w:t>
            </w:r>
            <w:r>
              <w:rPr>
                <w:rFonts w:ascii="Arial" w:hAnsi="Arial" w:cs="Arial"/>
              </w:rPr>
              <w:t>.</w:t>
            </w:r>
          </w:p>
          <w:p w14:paraId="12D121C6" w14:textId="568321A7" w:rsidR="007E3B06" w:rsidRPr="00BA127D" w:rsidRDefault="00815A17" w:rsidP="00BA127D">
            <w:pPr>
              <w:spacing w:after="240"/>
              <w:rPr>
                <w:rFonts w:ascii="Arial" w:hAnsi="Arial" w:cs="Arial"/>
              </w:rPr>
            </w:pPr>
            <w:r>
              <w:rPr>
                <w:rFonts w:ascii="Arial" w:hAnsi="Arial" w:cs="Arial"/>
              </w:rPr>
              <w:t xml:space="preserve">Despite uncertainty in the </w:t>
            </w:r>
            <w:r w:rsidR="007E3B06">
              <w:rPr>
                <w:rFonts w:ascii="Arial" w:hAnsi="Arial" w:cs="Arial"/>
              </w:rPr>
              <w:t>wide range of potential symptom burden and organ sites affected,</w:t>
            </w:r>
            <w:r>
              <w:rPr>
                <w:rFonts w:ascii="Arial" w:hAnsi="Arial" w:cs="Arial"/>
              </w:rPr>
              <w:t xml:space="preserve"> for those unsuitable for localised procedures, there would likely be a significant reduction in life expectancy</w:t>
            </w:r>
            <w:r w:rsidR="007E3B06">
              <w:rPr>
                <w:rFonts w:ascii="Arial" w:hAnsi="Arial" w:cs="Arial"/>
              </w:rPr>
              <w:t>.</w:t>
            </w:r>
          </w:p>
        </w:tc>
        <w:tc>
          <w:tcPr>
            <w:tcW w:w="812" w:type="pct"/>
            <w:tcBorders>
              <w:top w:val="nil"/>
              <w:left w:val="single" w:sz="8" w:space="0" w:color="auto"/>
              <w:bottom w:val="single" w:sz="8" w:space="0" w:color="auto"/>
              <w:right w:val="single" w:sz="4" w:space="0" w:color="auto"/>
            </w:tcBorders>
            <w:shd w:val="clear" w:color="auto" w:fill="92D050"/>
          </w:tcPr>
          <w:p w14:paraId="41BD97F3" w14:textId="708C6954" w:rsidR="00BA127D" w:rsidRPr="00815A17" w:rsidRDefault="00815A17" w:rsidP="00D71447">
            <w:pPr>
              <w:ind w:left="288" w:right="188"/>
              <w:rPr>
                <w:rFonts w:ascii="Arial" w:hAnsi="Arial" w:cs="Arial"/>
                <w:b/>
                <w:bCs/>
                <w:color w:val="92D050"/>
              </w:rPr>
            </w:pPr>
            <w:r>
              <w:rPr>
                <w:rFonts w:ascii="Arial" w:hAnsi="Arial" w:cs="Arial"/>
              </w:rPr>
              <w:lastRenderedPageBreak/>
              <w:t>Met</w:t>
            </w:r>
          </w:p>
        </w:tc>
      </w:tr>
      <w:tr w:rsidR="002F2A9D" w:rsidRPr="00C9475C" w14:paraId="3926C63E" w14:textId="217B1634" w:rsidTr="00BA127D">
        <w:tc>
          <w:tcPr>
            <w:tcW w:w="352" w:type="pct"/>
            <w:tcBorders>
              <w:top w:val="nil"/>
              <w:left w:val="single" w:sz="8" w:space="0" w:color="auto"/>
              <w:bottom w:val="single" w:sz="8" w:space="0" w:color="auto"/>
              <w:right w:val="single" w:sz="8" w:space="0" w:color="auto"/>
            </w:tcBorders>
          </w:tcPr>
          <w:p w14:paraId="0C844678" w14:textId="77777777" w:rsidR="000D3405" w:rsidRPr="00D71447" w:rsidRDefault="000D3405" w:rsidP="0063769A">
            <w:pPr>
              <w:pStyle w:val="ListParagraph"/>
              <w:numPr>
                <w:ilvl w:val="0"/>
                <w:numId w:val="30"/>
              </w:numPr>
              <w:spacing w:after="240"/>
              <w:rPr>
                <w:rFonts w:ascii="Arial" w:hAnsi="Arial" w:cs="Arial"/>
              </w:rPr>
            </w:pPr>
          </w:p>
        </w:tc>
        <w:tc>
          <w:tcPr>
            <w:tcW w:w="11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014AD" w14:textId="1C64668F" w:rsidR="000D3405" w:rsidRDefault="000D3405" w:rsidP="0063769A">
            <w:pPr>
              <w:spacing w:after="240"/>
              <w:rPr>
                <w:rFonts w:ascii="Arial" w:hAnsi="Arial" w:cs="Arial"/>
              </w:rPr>
            </w:pPr>
            <w:r w:rsidRPr="00D71447">
              <w:rPr>
                <w:rFonts w:ascii="Arial" w:hAnsi="Arial" w:cs="Arial"/>
              </w:rPr>
              <w:t>There are no other satisfactory treatment options, or the technology is likely to offer significant additional benefit over existing treatment options.</w:t>
            </w:r>
          </w:p>
          <w:p w14:paraId="52BF37D1" w14:textId="77777777" w:rsidR="00D71447" w:rsidRPr="00D71447" w:rsidRDefault="00D71447" w:rsidP="0063769A">
            <w:pPr>
              <w:spacing w:after="240"/>
              <w:rPr>
                <w:rFonts w:ascii="Arial" w:hAnsi="Arial" w:cs="Arial"/>
              </w:rPr>
            </w:pPr>
          </w:p>
          <w:p w14:paraId="37761BB2" w14:textId="77777777" w:rsidR="000D3405" w:rsidRPr="00D71447" w:rsidRDefault="000D3405" w:rsidP="0063769A">
            <w:pPr>
              <w:spacing w:after="240"/>
              <w:rPr>
                <w:rFonts w:ascii="Arial" w:hAnsi="Arial" w:cs="Arial"/>
              </w:rPr>
            </w:pPr>
          </w:p>
        </w:tc>
        <w:tc>
          <w:tcPr>
            <w:tcW w:w="2697" w:type="pct"/>
            <w:tcBorders>
              <w:top w:val="nil"/>
              <w:left w:val="single" w:sz="8" w:space="0" w:color="auto"/>
              <w:bottom w:val="single" w:sz="8" w:space="0" w:color="auto"/>
              <w:right w:val="single" w:sz="8" w:space="0" w:color="auto"/>
            </w:tcBorders>
          </w:tcPr>
          <w:p w14:paraId="5C7B2658" w14:textId="1FF0F27D" w:rsidR="00D93038" w:rsidRDefault="00CC55DD" w:rsidP="0063769A">
            <w:pPr>
              <w:spacing w:after="240"/>
              <w:rPr>
                <w:rFonts w:ascii="Arial" w:hAnsi="Arial" w:cs="Arial"/>
              </w:rPr>
            </w:pPr>
            <w:r>
              <w:rPr>
                <w:rFonts w:ascii="Arial" w:hAnsi="Arial" w:cs="Arial"/>
              </w:rPr>
              <w:t>Active t</w:t>
            </w:r>
            <w:r w:rsidR="00D93038">
              <w:rPr>
                <w:rFonts w:ascii="Arial" w:hAnsi="Arial" w:cs="Arial"/>
              </w:rPr>
              <w:t>reatment options for those for whom localised procedures are unsuitable or undesirable are listed by each tumour type:</w:t>
            </w:r>
          </w:p>
          <w:p w14:paraId="13144C65" w14:textId="0D7F9F8D" w:rsidR="00A20DE5" w:rsidRDefault="00D93038" w:rsidP="00D93038">
            <w:pPr>
              <w:pStyle w:val="ListParagraph"/>
              <w:numPr>
                <w:ilvl w:val="0"/>
                <w:numId w:val="40"/>
              </w:numPr>
              <w:spacing w:after="240"/>
              <w:rPr>
                <w:rFonts w:ascii="Arial" w:hAnsi="Arial" w:cs="Arial"/>
              </w:rPr>
            </w:pPr>
            <w:r>
              <w:rPr>
                <w:rFonts w:ascii="Arial" w:hAnsi="Arial" w:cs="Arial"/>
              </w:rPr>
              <w:t>RCC – patients with</w:t>
            </w:r>
            <w:r w:rsidR="00CC55DD" w:rsidRPr="00132D10">
              <w:rPr>
                <w:rFonts w:ascii="Arial" w:hAnsi="Arial" w:cs="Arial"/>
              </w:rPr>
              <w:t xml:space="preserve"> VHL-associated</w:t>
            </w:r>
            <w:r>
              <w:rPr>
                <w:rFonts w:ascii="Arial" w:hAnsi="Arial" w:cs="Arial"/>
              </w:rPr>
              <w:t xml:space="preserve"> RCC would have a full nephrectomy</w:t>
            </w:r>
            <w:r w:rsidR="00CC55DD">
              <w:rPr>
                <w:rFonts w:ascii="Arial" w:hAnsi="Arial" w:cs="Arial"/>
              </w:rPr>
              <w:t xml:space="preserve"> or risk metastasis</w:t>
            </w:r>
            <w:r w:rsidR="00AB4EA7">
              <w:rPr>
                <w:rFonts w:ascii="Arial" w:hAnsi="Arial" w:cs="Arial"/>
              </w:rPr>
              <w:t xml:space="preserve"> – </w:t>
            </w:r>
            <w:r w:rsidR="00CC55DD">
              <w:rPr>
                <w:rFonts w:ascii="Arial" w:hAnsi="Arial" w:cs="Arial"/>
              </w:rPr>
              <w:t>full nephrectomy</w:t>
            </w:r>
            <w:r w:rsidR="00AB4EA7">
              <w:rPr>
                <w:rFonts w:ascii="Arial" w:hAnsi="Arial" w:cs="Arial"/>
              </w:rPr>
              <w:t xml:space="preserve"> is </w:t>
            </w:r>
            <w:r w:rsidR="00176D4A">
              <w:rPr>
                <w:rFonts w:ascii="Arial" w:hAnsi="Arial" w:cs="Arial"/>
              </w:rPr>
              <w:t>comparable to</w:t>
            </w:r>
            <w:r w:rsidR="00AB4EA7">
              <w:rPr>
                <w:rFonts w:ascii="Arial" w:hAnsi="Arial" w:cs="Arial"/>
              </w:rPr>
              <w:t xml:space="preserve"> end stage renal disease and would require dialysis</w:t>
            </w:r>
            <w:r w:rsidR="007E3B06">
              <w:rPr>
                <w:rFonts w:ascii="Arial" w:hAnsi="Arial" w:cs="Arial"/>
              </w:rPr>
              <w:t xml:space="preserve"> if both kidneys are affected</w:t>
            </w:r>
            <w:r w:rsidR="00AB4EA7">
              <w:rPr>
                <w:rFonts w:ascii="Arial" w:hAnsi="Arial" w:cs="Arial"/>
              </w:rPr>
              <w:t xml:space="preserve">. </w:t>
            </w:r>
          </w:p>
          <w:p w14:paraId="176FCDD9" w14:textId="077F3F1A" w:rsidR="00A20DE5" w:rsidRDefault="00A20DE5" w:rsidP="00D93038">
            <w:pPr>
              <w:pStyle w:val="ListParagraph"/>
              <w:numPr>
                <w:ilvl w:val="0"/>
                <w:numId w:val="40"/>
              </w:numPr>
              <w:spacing w:after="240"/>
              <w:rPr>
                <w:rFonts w:ascii="Arial" w:hAnsi="Arial" w:cs="Arial"/>
              </w:rPr>
            </w:pPr>
            <w:r>
              <w:rPr>
                <w:rFonts w:ascii="Arial" w:hAnsi="Arial" w:cs="Arial"/>
              </w:rPr>
              <w:t>pNET – patients with</w:t>
            </w:r>
            <w:r w:rsidR="00CC55DD" w:rsidRPr="00132D10">
              <w:rPr>
                <w:rFonts w:ascii="Arial" w:hAnsi="Arial" w:cs="Arial"/>
              </w:rPr>
              <w:t xml:space="preserve"> VHL-associated</w:t>
            </w:r>
            <w:r>
              <w:rPr>
                <w:rFonts w:ascii="Arial" w:hAnsi="Arial" w:cs="Arial"/>
              </w:rPr>
              <w:t xml:space="preserve"> pNET would have partial or full pancreatectomy</w:t>
            </w:r>
            <w:r w:rsidR="00CC55DD">
              <w:rPr>
                <w:rFonts w:ascii="Arial" w:hAnsi="Arial" w:cs="Arial"/>
              </w:rPr>
              <w:t xml:space="preserve"> or risk metastasis</w:t>
            </w:r>
            <w:r>
              <w:rPr>
                <w:rFonts w:ascii="Arial" w:hAnsi="Arial" w:cs="Arial"/>
              </w:rPr>
              <w:t xml:space="preserve"> – the Whipple procedure would be used for distal parts of the pancreas. Otherwise</w:t>
            </w:r>
            <w:r w:rsidR="003277DF">
              <w:rPr>
                <w:rFonts w:ascii="Arial" w:hAnsi="Arial" w:cs="Arial"/>
              </w:rPr>
              <w:t>,</w:t>
            </w:r>
            <w:r>
              <w:rPr>
                <w:rFonts w:ascii="Arial" w:hAnsi="Arial" w:cs="Arial"/>
              </w:rPr>
              <w:t xml:space="preserve"> loss of the pancreas would </w:t>
            </w:r>
            <w:r w:rsidR="00176D4A">
              <w:rPr>
                <w:rFonts w:ascii="Arial" w:hAnsi="Arial" w:cs="Arial"/>
              </w:rPr>
              <w:t>be comparable to</w:t>
            </w:r>
            <w:r>
              <w:rPr>
                <w:rFonts w:ascii="Arial" w:hAnsi="Arial" w:cs="Arial"/>
              </w:rPr>
              <w:t xml:space="preserve"> diabetes and </w:t>
            </w:r>
            <w:r w:rsidR="00176D4A">
              <w:rPr>
                <w:rFonts w:ascii="Arial" w:hAnsi="Arial" w:cs="Arial"/>
              </w:rPr>
              <w:t xml:space="preserve">introduce </w:t>
            </w:r>
            <w:r>
              <w:rPr>
                <w:rFonts w:ascii="Arial" w:hAnsi="Arial" w:cs="Arial"/>
              </w:rPr>
              <w:t>other morbidities.</w:t>
            </w:r>
          </w:p>
          <w:p w14:paraId="605339E3" w14:textId="118CAF5C" w:rsidR="00A20DE5" w:rsidRDefault="00A20DE5" w:rsidP="00D93038">
            <w:pPr>
              <w:pStyle w:val="ListParagraph"/>
              <w:numPr>
                <w:ilvl w:val="0"/>
                <w:numId w:val="40"/>
              </w:numPr>
              <w:spacing w:after="240"/>
              <w:rPr>
                <w:rFonts w:ascii="Arial" w:hAnsi="Arial" w:cs="Arial"/>
              </w:rPr>
            </w:pPr>
            <w:r>
              <w:rPr>
                <w:rFonts w:ascii="Arial" w:hAnsi="Arial" w:cs="Arial"/>
              </w:rPr>
              <w:t xml:space="preserve">CNS tumours – most patients with CNS tumours are asymptomatic. </w:t>
            </w:r>
            <w:r w:rsidR="00176D4A">
              <w:rPr>
                <w:rFonts w:ascii="Arial" w:hAnsi="Arial" w:cs="Arial"/>
              </w:rPr>
              <w:t xml:space="preserve">There would be no treatment options for those that are unsuitable for surgery. Despite very high success rates of surgery and stereotactic </w:t>
            </w:r>
            <w:r w:rsidR="00176D4A">
              <w:rPr>
                <w:rFonts w:ascii="Arial" w:hAnsi="Arial" w:cs="Arial"/>
              </w:rPr>
              <w:lastRenderedPageBreak/>
              <w:t>radiosurgery</w:t>
            </w:r>
            <w:r w:rsidR="00176D4A" w:rsidRPr="00176D4A">
              <w:rPr>
                <w:rFonts w:ascii="Arial" w:hAnsi="Arial" w:cs="Arial"/>
                <w:vertAlign w:val="superscript"/>
              </w:rPr>
              <w:t>12</w:t>
            </w:r>
            <w:r w:rsidR="00176D4A">
              <w:rPr>
                <w:rFonts w:ascii="Arial" w:hAnsi="Arial" w:cs="Arial"/>
              </w:rPr>
              <w:t>, localised procedures would often seem undesirable because of potential adverse consequences.</w:t>
            </w:r>
          </w:p>
          <w:p w14:paraId="22E72D26" w14:textId="79E5EDE6" w:rsidR="00005BCE" w:rsidRDefault="00A20DE5" w:rsidP="00C4681C">
            <w:pPr>
              <w:spacing w:after="240"/>
              <w:rPr>
                <w:rFonts w:ascii="Arial" w:hAnsi="Arial" w:cs="Arial"/>
              </w:rPr>
            </w:pPr>
            <w:r>
              <w:rPr>
                <w:rFonts w:ascii="Arial" w:hAnsi="Arial" w:cs="Arial"/>
              </w:rPr>
              <w:t>For</w:t>
            </w:r>
            <w:r w:rsidR="00CC55DD" w:rsidRPr="00132D10">
              <w:rPr>
                <w:rFonts w:ascii="Arial" w:hAnsi="Arial" w:cs="Arial"/>
              </w:rPr>
              <w:t xml:space="preserve"> VHL-associated</w:t>
            </w:r>
            <w:r>
              <w:rPr>
                <w:rFonts w:ascii="Arial" w:hAnsi="Arial" w:cs="Arial"/>
              </w:rPr>
              <w:t xml:space="preserve"> RCC and </w:t>
            </w:r>
            <w:r w:rsidR="00E47A98">
              <w:rPr>
                <w:rFonts w:ascii="Arial" w:hAnsi="Arial" w:cs="Arial"/>
              </w:rPr>
              <w:t>pNET</w:t>
            </w:r>
            <w:r w:rsidR="001B40C5">
              <w:rPr>
                <w:rFonts w:ascii="Arial" w:hAnsi="Arial" w:cs="Arial"/>
              </w:rPr>
              <w:t>, t</w:t>
            </w:r>
            <w:r w:rsidR="00E47A98">
              <w:rPr>
                <w:rFonts w:ascii="Arial" w:hAnsi="Arial" w:cs="Arial"/>
              </w:rPr>
              <w:t xml:space="preserve">here are </w:t>
            </w:r>
            <w:r w:rsidR="001B40C5">
              <w:rPr>
                <w:rFonts w:ascii="Arial" w:hAnsi="Arial" w:cs="Arial"/>
              </w:rPr>
              <w:t>treatment options that do not preserve organ function but still have potential for quality of life comparable to other diseases.</w:t>
            </w:r>
            <w:r w:rsidR="00296391">
              <w:rPr>
                <w:rFonts w:ascii="Arial" w:hAnsi="Arial" w:cs="Arial"/>
              </w:rPr>
              <w:t xml:space="preserve"> There are </w:t>
            </w:r>
            <w:r w:rsidR="00005BCE">
              <w:rPr>
                <w:rFonts w:ascii="Arial" w:hAnsi="Arial" w:cs="Arial"/>
              </w:rPr>
              <w:t>no</w:t>
            </w:r>
            <w:r w:rsidR="00296391">
              <w:rPr>
                <w:rFonts w:ascii="Arial" w:hAnsi="Arial" w:cs="Arial"/>
              </w:rPr>
              <w:t xml:space="preserve"> treatment options for CNS if surgery and radiosurgery are unsuitable</w:t>
            </w:r>
            <w:r w:rsidR="00005BCE">
              <w:rPr>
                <w:rFonts w:ascii="Arial" w:hAnsi="Arial" w:cs="Arial"/>
              </w:rPr>
              <w:t xml:space="preserve"> and uncertainty around criteria for those that are undesirable.</w:t>
            </w:r>
          </w:p>
          <w:p w14:paraId="7A56592E" w14:textId="77777777" w:rsidR="001F33A3" w:rsidRDefault="001B40C5" w:rsidP="00C4681C">
            <w:pPr>
              <w:spacing w:after="240"/>
              <w:rPr>
                <w:rFonts w:ascii="Arial" w:hAnsi="Arial" w:cs="Arial"/>
              </w:rPr>
            </w:pPr>
            <w:r>
              <w:rPr>
                <w:rFonts w:ascii="Arial" w:hAnsi="Arial" w:cs="Arial"/>
              </w:rPr>
              <w:t xml:space="preserve">There are also further </w:t>
            </w:r>
            <w:r w:rsidR="00E47A98">
              <w:rPr>
                <w:rFonts w:ascii="Arial" w:hAnsi="Arial" w:cs="Arial"/>
              </w:rPr>
              <w:t>treatment options available if the disease progresses</w:t>
            </w:r>
            <w:r w:rsidR="00992F04">
              <w:rPr>
                <w:rFonts w:ascii="Arial" w:hAnsi="Arial" w:cs="Arial"/>
              </w:rPr>
              <w:t xml:space="preserve"> to metastatic disease, none of which were appraised under </w:t>
            </w:r>
            <w:r w:rsidR="00296391">
              <w:rPr>
                <w:rFonts w:ascii="Arial" w:hAnsi="Arial" w:cs="Arial"/>
              </w:rPr>
              <w:t xml:space="preserve">HST criteria. </w:t>
            </w:r>
          </w:p>
          <w:p w14:paraId="49115641" w14:textId="32D68F2D" w:rsidR="00F8148C" w:rsidRPr="0028189A" w:rsidRDefault="00927547" w:rsidP="00C4681C">
            <w:pPr>
              <w:spacing w:after="240"/>
              <w:rPr>
                <w:rFonts w:ascii="Arial" w:hAnsi="Arial" w:cs="Arial"/>
              </w:rPr>
            </w:pPr>
            <w:r>
              <w:rPr>
                <w:rFonts w:ascii="Arial" w:hAnsi="Arial" w:cs="Arial"/>
              </w:rPr>
              <w:t xml:space="preserve">The mechanism of belzutifan </w:t>
            </w:r>
            <w:r w:rsidR="005B5988">
              <w:rPr>
                <w:rFonts w:ascii="Arial" w:hAnsi="Arial" w:cs="Arial"/>
              </w:rPr>
              <w:t>could delay progression of tumours. The participants in the clinical trial for belzutifan included people for whom localised procedures would be suitable. It is not clear whether belzutifan would offer significant benefits over existing treatment options for the indicated population, and it would not treat the underlying disease.</w:t>
            </w:r>
          </w:p>
        </w:tc>
        <w:tc>
          <w:tcPr>
            <w:tcW w:w="812" w:type="pct"/>
            <w:tcBorders>
              <w:top w:val="nil"/>
              <w:left w:val="single" w:sz="8" w:space="0" w:color="auto"/>
              <w:bottom w:val="single" w:sz="8" w:space="0" w:color="auto"/>
              <w:right w:val="single" w:sz="8" w:space="0" w:color="auto"/>
            </w:tcBorders>
            <w:shd w:val="clear" w:color="auto" w:fill="FF0000"/>
          </w:tcPr>
          <w:p w14:paraId="7EE8CDC4" w14:textId="0D8CD0BC" w:rsidR="00D71447" w:rsidRDefault="00E728DF" w:rsidP="0063769A">
            <w:pPr>
              <w:spacing w:after="240"/>
              <w:ind w:left="288" w:right="188"/>
              <w:rPr>
                <w:rFonts w:ascii="Arial" w:hAnsi="Arial" w:cs="Arial"/>
              </w:rPr>
            </w:pPr>
            <w:r>
              <w:rPr>
                <w:rFonts w:ascii="Arial" w:hAnsi="Arial" w:cs="Arial"/>
              </w:rPr>
              <w:lastRenderedPageBreak/>
              <w:t>Not met</w:t>
            </w:r>
          </w:p>
          <w:p w14:paraId="0A0F82F7" w14:textId="77777777" w:rsidR="000D3405" w:rsidRPr="00EF3DC0" w:rsidRDefault="000D3405" w:rsidP="0063769A">
            <w:pPr>
              <w:spacing w:after="240"/>
              <w:ind w:left="288" w:right="188"/>
              <w:rPr>
                <w:rFonts w:ascii="Arial" w:hAnsi="Arial" w:cs="Arial"/>
                <w:b/>
                <w:bCs/>
              </w:rPr>
            </w:pPr>
          </w:p>
        </w:tc>
      </w:tr>
    </w:tbl>
    <w:p w14:paraId="204873BA" w14:textId="224C1313" w:rsidR="000D3405" w:rsidRDefault="000D3405" w:rsidP="00F90BB8">
      <w:pPr>
        <w:rPr>
          <w:rFonts w:ascii="Arial" w:hAnsi="Arial" w:cs="Arial"/>
          <w:b/>
          <w:bCs/>
        </w:rPr>
      </w:pPr>
    </w:p>
    <w:p w14:paraId="09E75201" w14:textId="6A01E5C9" w:rsidR="007034C2" w:rsidRDefault="007034C2" w:rsidP="00F90BB8">
      <w:pPr>
        <w:rPr>
          <w:rFonts w:ascii="Arial" w:hAnsi="Arial" w:cs="Arial"/>
          <w:b/>
          <w:bCs/>
        </w:rPr>
      </w:pPr>
    </w:p>
    <w:p w14:paraId="65D93DF0" w14:textId="2C8DFF11" w:rsidR="007034C2" w:rsidRDefault="007034C2" w:rsidP="00F90BB8">
      <w:pPr>
        <w:rPr>
          <w:rFonts w:ascii="Arial" w:hAnsi="Arial" w:cs="Arial"/>
          <w:b/>
          <w:bCs/>
        </w:rPr>
      </w:pPr>
    </w:p>
    <w:p w14:paraId="5E7F0677" w14:textId="77777777" w:rsidR="007034C2" w:rsidRDefault="007034C2" w:rsidP="00F90BB8">
      <w:pPr>
        <w:rPr>
          <w:rFonts w:ascii="Arial" w:hAnsi="Arial" w:cs="Arial"/>
          <w:b/>
          <w:bCs/>
        </w:rPr>
      </w:pPr>
    </w:p>
    <w:p w14:paraId="13F7D81E" w14:textId="6DD55796" w:rsidR="007034C2" w:rsidRDefault="007034C2" w:rsidP="00F90BB8">
      <w:pPr>
        <w:rPr>
          <w:rFonts w:ascii="Arial" w:hAnsi="Arial" w:cs="Arial"/>
          <w:b/>
          <w:bCs/>
        </w:rPr>
      </w:pPr>
      <w:r>
        <w:rPr>
          <w:rFonts w:ascii="Arial" w:hAnsi="Arial" w:cs="Arial"/>
          <w:b/>
          <w:bCs/>
        </w:rPr>
        <w:t>References</w:t>
      </w:r>
    </w:p>
    <w:p w14:paraId="4CA36462" w14:textId="334EEFF3" w:rsidR="007034C2" w:rsidRDefault="007034C2" w:rsidP="00F90BB8">
      <w:pPr>
        <w:rPr>
          <w:rFonts w:ascii="Arial" w:hAnsi="Arial" w:cs="Arial"/>
          <w:b/>
          <w:bCs/>
        </w:rPr>
      </w:pPr>
    </w:p>
    <w:p w14:paraId="78699114" w14:textId="3B4B6EF1" w:rsidR="001D64E7" w:rsidRPr="001D64E7" w:rsidRDefault="007034C2" w:rsidP="001D64E7">
      <w:pPr>
        <w:widowControl w:val="0"/>
        <w:autoSpaceDE w:val="0"/>
        <w:autoSpaceDN w:val="0"/>
        <w:adjustRightInd w:val="0"/>
        <w:ind w:left="640" w:hanging="640"/>
        <w:rPr>
          <w:rFonts w:ascii="Arial" w:hAnsi="Arial" w:cs="Arial"/>
          <w:noProof/>
          <w:szCs w:val="24"/>
        </w:rPr>
      </w:pPr>
      <w:r>
        <w:rPr>
          <w:rFonts w:ascii="Arial" w:hAnsi="Arial" w:cs="Arial"/>
          <w:b/>
          <w:bCs/>
        </w:rPr>
        <w:fldChar w:fldCharType="begin" w:fldLock="1"/>
      </w:r>
      <w:r>
        <w:rPr>
          <w:rFonts w:ascii="Arial" w:hAnsi="Arial" w:cs="Arial"/>
          <w:b/>
          <w:bCs/>
        </w:rPr>
        <w:instrText xml:space="preserve">ADDIN Mendeley Bibliography CSL_BIBLIOGRAPHY </w:instrText>
      </w:r>
      <w:r>
        <w:rPr>
          <w:rFonts w:ascii="Arial" w:hAnsi="Arial" w:cs="Arial"/>
          <w:b/>
          <w:bCs/>
        </w:rPr>
        <w:fldChar w:fldCharType="separate"/>
      </w:r>
      <w:r w:rsidR="001D64E7" w:rsidRPr="001D64E7">
        <w:rPr>
          <w:rFonts w:ascii="Arial" w:hAnsi="Arial" w:cs="Arial"/>
          <w:noProof/>
          <w:szCs w:val="24"/>
        </w:rPr>
        <w:t>1</w:t>
      </w:r>
      <w:r w:rsidR="001D64E7" w:rsidRPr="001D64E7">
        <w:rPr>
          <w:rFonts w:ascii="Arial" w:hAnsi="Arial" w:cs="Arial"/>
          <w:noProof/>
          <w:szCs w:val="24"/>
        </w:rPr>
        <w:tab/>
        <w:t>European Medicines Agency. EU/3/20/2324: Orphan designation for the treatment of von Hippel-Lindau disease. Sci. Med. Heal. 2022. https://www.ema.europa.eu/en/medicines/human/orphan-designations/eu3202324#about-section (accessed May 23, 2022).</w:t>
      </w:r>
    </w:p>
    <w:p w14:paraId="04EFAB0C" w14:textId="77777777" w:rsidR="001D64E7" w:rsidRPr="001D64E7" w:rsidRDefault="001D64E7" w:rsidP="001D64E7">
      <w:pPr>
        <w:widowControl w:val="0"/>
        <w:autoSpaceDE w:val="0"/>
        <w:autoSpaceDN w:val="0"/>
        <w:adjustRightInd w:val="0"/>
        <w:ind w:left="640" w:hanging="640"/>
        <w:rPr>
          <w:rFonts w:ascii="Arial" w:hAnsi="Arial" w:cs="Arial"/>
          <w:noProof/>
          <w:szCs w:val="24"/>
        </w:rPr>
      </w:pPr>
      <w:r w:rsidRPr="001D64E7">
        <w:rPr>
          <w:rFonts w:ascii="Arial" w:hAnsi="Arial" w:cs="Arial"/>
          <w:noProof/>
          <w:szCs w:val="24"/>
        </w:rPr>
        <w:t>2</w:t>
      </w:r>
      <w:r w:rsidRPr="001D64E7">
        <w:rPr>
          <w:rFonts w:ascii="Arial" w:hAnsi="Arial" w:cs="Arial"/>
          <w:noProof/>
          <w:szCs w:val="24"/>
        </w:rPr>
        <w:tab/>
        <w:t xml:space="preserve">Maher ER, Adlard J, Barwell J, </w:t>
      </w:r>
      <w:r w:rsidRPr="001D64E7">
        <w:rPr>
          <w:rFonts w:ascii="Arial" w:hAnsi="Arial" w:cs="Arial"/>
          <w:i/>
          <w:iCs/>
          <w:noProof/>
          <w:szCs w:val="24"/>
        </w:rPr>
        <w:t>et al.</w:t>
      </w:r>
      <w:r w:rsidRPr="001D64E7">
        <w:rPr>
          <w:rFonts w:ascii="Arial" w:hAnsi="Arial" w:cs="Arial"/>
          <w:noProof/>
          <w:szCs w:val="24"/>
        </w:rPr>
        <w:t xml:space="preserve"> Evaluation of tumour surveillance protocols and outcomes in von Hippel-Lindau  disease in a national health service. </w:t>
      </w:r>
      <w:r w:rsidRPr="001D64E7">
        <w:rPr>
          <w:rFonts w:ascii="Arial" w:hAnsi="Arial" w:cs="Arial"/>
          <w:i/>
          <w:iCs/>
          <w:noProof/>
          <w:szCs w:val="24"/>
        </w:rPr>
        <w:t>Br J Cancer</w:t>
      </w:r>
      <w:r w:rsidRPr="001D64E7">
        <w:rPr>
          <w:rFonts w:ascii="Arial" w:hAnsi="Arial" w:cs="Arial"/>
          <w:noProof/>
          <w:szCs w:val="24"/>
        </w:rPr>
        <w:t xml:space="preserve"> 2022; </w:t>
      </w:r>
      <w:r w:rsidRPr="001D64E7">
        <w:rPr>
          <w:rFonts w:ascii="Arial" w:hAnsi="Arial" w:cs="Arial"/>
          <w:b/>
          <w:bCs/>
          <w:noProof/>
          <w:szCs w:val="24"/>
        </w:rPr>
        <w:t>126</w:t>
      </w:r>
      <w:r w:rsidRPr="001D64E7">
        <w:rPr>
          <w:rFonts w:ascii="Arial" w:hAnsi="Arial" w:cs="Arial"/>
          <w:noProof/>
          <w:szCs w:val="24"/>
        </w:rPr>
        <w:t>: 1339–45.</w:t>
      </w:r>
    </w:p>
    <w:p w14:paraId="7981ABB8" w14:textId="77777777" w:rsidR="001D64E7" w:rsidRPr="001D64E7" w:rsidRDefault="001D64E7" w:rsidP="001D64E7">
      <w:pPr>
        <w:widowControl w:val="0"/>
        <w:autoSpaceDE w:val="0"/>
        <w:autoSpaceDN w:val="0"/>
        <w:adjustRightInd w:val="0"/>
        <w:ind w:left="640" w:hanging="640"/>
        <w:rPr>
          <w:rFonts w:ascii="Arial" w:hAnsi="Arial" w:cs="Arial"/>
          <w:noProof/>
          <w:szCs w:val="24"/>
        </w:rPr>
      </w:pPr>
      <w:r w:rsidRPr="001D64E7">
        <w:rPr>
          <w:rFonts w:ascii="Arial" w:hAnsi="Arial" w:cs="Arial"/>
          <w:noProof/>
          <w:szCs w:val="24"/>
        </w:rPr>
        <w:t>3</w:t>
      </w:r>
      <w:r w:rsidRPr="001D64E7">
        <w:rPr>
          <w:rFonts w:ascii="Arial" w:hAnsi="Arial" w:cs="Arial"/>
          <w:noProof/>
          <w:szCs w:val="24"/>
        </w:rPr>
        <w:tab/>
        <w:t>Oxford University Hospitals NHS Trust. Von Hippel-Lindau disease - An information leaflet for patients and families. Oxford Reg. Genet. Dep. 2014; : 1–8.</w:t>
      </w:r>
    </w:p>
    <w:p w14:paraId="7EA5B32B" w14:textId="77777777" w:rsidR="001D64E7" w:rsidRPr="001D64E7" w:rsidRDefault="001D64E7" w:rsidP="001D64E7">
      <w:pPr>
        <w:widowControl w:val="0"/>
        <w:autoSpaceDE w:val="0"/>
        <w:autoSpaceDN w:val="0"/>
        <w:adjustRightInd w:val="0"/>
        <w:ind w:left="640" w:hanging="640"/>
        <w:rPr>
          <w:rFonts w:ascii="Arial" w:hAnsi="Arial" w:cs="Arial"/>
          <w:noProof/>
          <w:szCs w:val="24"/>
        </w:rPr>
      </w:pPr>
      <w:r w:rsidRPr="001D64E7">
        <w:rPr>
          <w:rFonts w:ascii="Arial" w:hAnsi="Arial" w:cs="Arial"/>
          <w:noProof/>
          <w:szCs w:val="24"/>
        </w:rPr>
        <w:t>4</w:t>
      </w:r>
      <w:r w:rsidRPr="001D64E7">
        <w:rPr>
          <w:rFonts w:ascii="Arial" w:hAnsi="Arial" w:cs="Arial"/>
          <w:noProof/>
          <w:szCs w:val="24"/>
        </w:rPr>
        <w:tab/>
        <w:t xml:space="preserve">Binderup MLM, Jensen AM, Budtz-Jørgensen E, Bisgaard ML. Survival and causes of death in patients with von Hippel-Lindau disease. </w:t>
      </w:r>
      <w:r w:rsidRPr="001D64E7">
        <w:rPr>
          <w:rFonts w:ascii="Arial" w:hAnsi="Arial" w:cs="Arial"/>
          <w:i/>
          <w:iCs/>
          <w:noProof/>
          <w:szCs w:val="24"/>
        </w:rPr>
        <w:lastRenderedPageBreak/>
        <w:t>J Med Genet</w:t>
      </w:r>
      <w:r w:rsidRPr="001D64E7">
        <w:rPr>
          <w:rFonts w:ascii="Arial" w:hAnsi="Arial" w:cs="Arial"/>
          <w:noProof/>
          <w:szCs w:val="24"/>
        </w:rPr>
        <w:t xml:space="preserve"> 2017; </w:t>
      </w:r>
      <w:r w:rsidRPr="001D64E7">
        <w:rPr>
          <w:rFonts w:ascii="Arial" w:hAnsi="Arial" w:cs="Arial"/>
          <w:b/>
          <w:bCs/>
          <w:noProof/>
          <w:szCs w:val="24"/>
        </w:rPr>
        <w:t>54</w:t>
      </w:r>
      <w:r w:rsidRPr="001D64E7">
        <w:rPr>
          <w:rFonts w:ascii="Arial" w:hAnsi="Arial" w:cs="Arial"/>
          <w:noProof/>
          <w:szCs w:val="24"/>
        </w:rPr>
        <w:t>: 11–8.</w:t>
      </w:r>
    </w:p>
    <w:p w14:paraId="35D7663E" w14:textId="77777777" w:rsidR="001D64E7" w:rsidRPr="001D64E7" w:rsidRDefault="001D64E7" w:rsidP="001D64E7">
      <w:pPr>
        <w:widowControl w:val="0"/>
        <w:autoSpaceDE w:val="0"/>
        <w:autoSpaceDN w:val="0"/>
        <w:adjustRightInd w:val="0"/>
        <w:ind w:left="640" w:hanging="640"/>
        <w:rPr>
          <w:rFonts w:ascii="Arial" w:hAnsi="Arial" w:cs="Arial"/>
          <w:noProof/>
          <w:szCs w:val="24"/>
        </w:rPr>
      </w:pPr>
      <w:r w:rsidRPr="001D64E7">
        <w:rPr>
          <w:rFonts w:ascii="Arial" w:hAnsi="Arial" w:cs="Arial"/>
          <w:noProof/>
          <w:szCs w:val="24"/>
        </w:rPr>
        <w:t>5</w:t>
      </w:r>
      <w:r w:rsidRPr="001D64E7">
        <w:rPr>
          <w:rFonts w:ascii="Arial" w:hAnsi="Arial" w:cs="Arial"/>
          <w:noProof/>
          <w:szCs w:val="24"/>
        </w:rPr>
        <w:tab/>
        <w:t xml:space="preserve">Wilding A, Ingham SL, Lalloo F, </w:t>
      </w:r>
      <w:r w:rsidRPr="001D64E7">
        <w:rPr>
          <w:rFonts w:ascii="Arial" w:hAnsi="Arial" w:cs="Arial"/>
          <w:i/>
          <w:iCs/>
          <w:noProof/>
          <w:szCs w:val="24"/>
        </w:rPr>
        <w:t>et al.</w:t>
      </w:r>
      <w:r w:rsidRPr="001D64E7">
        <w:rPr>
          <w:rFonts w:ascii="Arial" w:hAnsi="Arial" w:cs="Arial"/>
          <w:noProof/>
          <w:szCs w:val="24"/>
        </w:rPr>
        <w:t xml:space="preserve"> Life expectancy in hereditary cancer predisposing diseases: an observational  study. </w:t>
      </w:r>
      <w:r w:rsidRPr="001D64E7">
        <w:rPr>
          <w:rFonts w:ascii="Arial" w:hAnsi="Arial" w:cs="Arial"/>
          <w:i/>
          <w:iCs/>
          <w:noProof/>
          <w:szCs w:val="24"/>
        </w:rPr>
        <w:t>J Med Genet</w:t>
      </w:r>
      <w:r w:rsidRPr="001D64E7">
        <w:rPr>
          <w:rFonts w:ascii="Arial" w:hAnsi="Arial" w:cs="Arial"/>
          <w:noProof/>
          <w:szCs w:val="24"/>
        </w:rPr>
        <w:t xml:space="preserve"> 2012; </w:t>
      </w:r>
      <w:r w:rsidRPr="001D64E7">
        <w:rPr>
          <w:rFonts w:ascii="Arial" w:hAnsi="Arial" w:cs="Arial"/>
          <w:b/>
          <w:bCs/>
          <w:noProof/>
          <w:szCs w:val="24"/>
        </w:rPr>
        <w:t>49</w:t>
      </w:r>
      <w:r w:rsidRPr="001D64E7">
        <w:rPr>
          <w:rFonts w:ascii="Arial" w:hAnsi="Arial" w:cs="Arial"/>
          <w:noProof/>
          <w:szCs w:val="24"/>
        </w:rPr>
        <w:t>: 264–9.</w:t>
      </w:r>
    </w:p>
    <w:p w14:paraId="237A2879" w14:textId="77777777" w:rsidR="001D64E7" w:rsidRPr="001D64E7" w:rsidRDefault="001D64E7" w:rsidP="001D64E7">
      <w:pPr>
        <w:widowControl w:val="0"/>
        <w:autoSpaceDE w:val="0"/>
        <w:autoSpaceDN w:val="0"/>
        <w:adjustRightInd w:val="0"/>
        <w:ind w:left="640" w:hanging="640"/>
        <w:rPr>
          <w:rFonts w:ascii="Arial" w:hAnsi="Arial" w:cs="Arial"/>
          <w:noProof/>
          <w:szCs w:val="24"/>
        </w:rPr>
      </w:pPr>
      <w:r w:rsidRPr="001D64E7">
        <w:rPr>
          <w:rFonts w:ascii="Arial" w:hAnsi="Arial" w:cs="Arial"/>
          <w:noProof/>
          <w:szCs w:val="24"/>
        </w:rPr>
        <w:t>6</w:t>
      </w:r>
      <w:r w:rsidRPr="001D64E7">
        <w:rPr>
          <w:rFonts w:ascii="Arial" w:hAnsi="Arial" w:cs="Arial"/>
          <w:noProof/>
          <w:szCs w:val="24"/>
        </w:rPr>
        <w:tab/>
        <w:t>Office for National Statistics. Regional outlook of life expectancy in England. Life Expect. local areas UK between 2001 to 2003 2017 to 2019. https://www.ons.gov.uk/peoplepopulationandcommunity/healthandsocialcare/healthandlifeexpectancies/bulletins/lifeexpectancyforlocalareasoftheuk/between2001to2003and2017to2019#regional-outlook-of-life-expectancy-in-england (accessed May 23, 2022).</w:t>
      </w:r>
    </w:p>
    <w:p w14:paraId="206F7C88" w14:textId="77777777" w:rsidR="001D64E7" w:rsidRPr="001D64E7" w:rsidRDefault="001D64E7" w:rsidP="001D64E7">
      <w:pPr>
        <w:widowControl w:val="0"/>
        <w:autoSpaceDE w:val="0"/>
        <w:autoSpaceDN w:val="0"/>
        <w:adjustRightInd w:val="0"/>
        <w:ind w:left="640" w:hanging="640"/>
        <w:rPr>
          <w:rFonts w:ascii="Arial" w:hAnsi="Arial" w:cs="Arial"/>
          <w:noProof/>
          <w:szCs w:val="24"/>
        </w:rPr>
      </w:pPr>
      <w:r w:rsidRPr="001D64E7">
        <w:rPr>
          <w:rFonts w:ascii="Arial" w:hAnsi="Arial" w:cs="Arial"/>
          <w:noProof/>
          <w:szCs w:val="24"/>
        </w:rPr>
        <w:t>7</w:t>
      </w:r>
      <w:r w:rsidRPr="001D64E7">
        <w:rPr>
          <w:rFonts w:ascii="Arial" w:hAnsi="Arial" w:cs="Arial"/>
          <w:noProof/>
          <w:szCs w:val="24"/>
        </w:rPr>
        <w:tab/>
        <w:t xml:space="preserve">Feletti A, Anglani M, Scarpa B, </w:t>
      </w:r>
      <w:r w:rsidRPr="001D64E7">
        <w:rPr>
          <w:rFonts w:ascii="Arial" w:hAnsi="Arial" w:cs="Arial"/>
          <w:i/>
          <w:iCs/>
          <w:noProof/>
          <w:szCs w:val="24"/>
        </w:rPr>
        <w:t>et al.</w:t>
      </w:r>
      <w:r w:rsidRPr="001D64E7">
        <w:rPr>
          <w:rFonts w:ascii="Arial" w:hAnsi="Arial" w:cs="Arial"/>
          <w:noProof/>
          <w:szCs w:val="24"/>
        </w:rPr>
        <w:t xml:space="preserve"> Von Hippel-Lindau disease: an evaluation of natural history and functional  disability. </w:t>
      </w:r>
      <w:r w:rsidRPr="001D64E7">
        <w:rPr>
          <w:rFonts w:ascii="Arial" w:hAnsi="Arial" w:cs="Arial"/>
          <w:i/>
          <w:iCs/>
          <w:noProof/>
          <w:szCs w:val="24"/>
        </w:rPr>
        <w:t>Neuro Oncol</w:t>
      </w:r>
      <w:r w:rsidRPr="001D64E7">
        <w:rPr>
          <w:rFonts w:ascii="Arial" w:hAnsi="Arial" w:cs="Arial"/>
          <w:noProof/>
          <w:szCs w:val="24"/>
        </w:rPr>
        <w:t xml:space="preserve"> 2016; </w:t>
      </w:r>
      <w:r w:rsidRPr="001D64E7">
        <w:rPr>
          <w:rFonts w:ascii="Arial" w:hAnsi="Arial" w:cs="Arial"/>
          <w:b/>
          <w:bCs/>
          <w:noProof/>
          <w:szCs w:val="24"/>
        </w:rPr>
        <w:t>18</w:t>
      </w:r>
      <w:r w:rsidRPr="001D64E7">
        <w:rPr>
          <w:rFonts w:ascii="Arial" w:hAnsi="Arial" w:cs="Arial"/>
          <w:noProof/>
          <w:szCs w:val="24"/>
        </w:rPr>
        <w:t>: 1011–20.</w:t>
      </w:r>
    </w:p>
    <w:p w14:paraId="70092753" w14:textId="77777777" w:rsidR="001D64E7" w:rsidRPr="001D64E7" w:rsidRDefault="001D64E7" w:rsidP="001D64E7">
      <w:pPr>
        <w:widowControl w:val="0"/>
        <w:autoSpaceDE w:val="0"/>
        <w:autoSpaceDN w:val="0"/>
        <w:adjustRightInd w:val="0"/>
        <w:ind w:left="640" w:hanging="640"/>
        <w:rPr>
          <w:rFonts w:ascii="Arial" w:hAnsi="Arial" w:cs="Arial"/>
          <w:noProof/>
          <w:szCs w:val="24"/>
        </w:rPr>
      </w:pPr>
      <w:r w:rsidRPr="001D64E7">
        <w:rPr>
          <w:rFonts w:ascii="Arial" w:hAnsi="Arial" w:cs="Arial"/>
          <w:noProof/>
          <w:szCs w:val="24"/>
        </w:rPr>
        <w:t>8</w:t>
      </w:r>
      <w:r w:rsidRPr="001D64E7">
        <w:rPr>
          <w:rFonts w:ascii="Arial" w:hAnsi="Arial" w:cs="Arial"/>
          <w:noProof/>
          <w:szCs w:val="24"/>
        </w:rPr>
        <w:tab/>
        <w:t xml:space="preserve">Lammens CRM, Bleiker EMA, Verhoef S, </w:t>
      </w:r>
      <w:r w:rsidRPr="001D64E7">
        <w:rPr>
          <w:rFonts w:ascii="Arial" w:hAnsi="Arial" w:cs="Arial"/>
          <w:i/>
          <w:iCs/>
          <w:noProof/>
          <w:szCs w:val="24"/>
        </w:rPr>
        <w:t>et al.</w:t>
      </w:r>
      <w:r w:rsidRPr="001D64E7">
        <w:rPr>
          <w:rFonts w:ascii="Arial" w:hAnsi="Arial" w:cs="Arial"/>
          <w:noProof/>
          <w:szCs w:val="24"/>
        </w:rPr>
        <w:t xml:space="preserve"> Psychosocial impact of Von Hippel-Lindau disease: levels and sources of distress. </w:t>
      </w:r>
      <w:r w:rsidRPr="001D64E7">
        <w:rPr>
          <w:rFonts w:ascii="Arial" w:hAnsi="Arial" w:cs="Arial"/>
          <w:i/>
          <w:iCs/>
          <w:noProof/>
          <w:szCs w:val="24"/>
        </w:rPr>
        <w:t>Clin Genet</w:t>
      </w:r>
      <w:r w:rsidRPr="001D64E7">
        <w:rPr>
          <w:rFonts w:ascii="Arial" w:hAnsi="Arial" w:cs="Arial"/>
          <w:noProof/>
          <w:szCs w:val="24"/>
        </w:rPr>
        <w:t xml:space="preserve"> 2010; </w:t>
      </w:r>
      <w:r w:rsidRPr="001D64E7">
        <w:rPr>
          <w:rFonts w:ascii="Arial" w:hAnsi="Arial" w:cs="Arial"/>
          <w:b/>
          <w:bCs/>
          <w:noProof/>
          <w:szCs w:val="24"/>
        </w:rPr>
        <w:t>77</w:t>
      </w:r>
      <w:r w:rsidRPr="001D64E7">
        <w:rPr>
          <w:rFonts w:ascii="Arial" w:hAnsi="Arial" w:cs="Arial"/>
          <w:noProof/>
          <w:szCs w:val="24"/>
        </w:rPr>
        <w:t>: 483–91.</w:t>
      </w:r>
    </w:p>
    <w:p w14:paraId="2A3684A7" w14:textId="3C92D40E" w:rsidR="001D64E7" w:rsidRPr="001D64E7" w:rsidRDefault="001D64E7" w:rsidP="001D64E7">
      <w:pPr>
        <w:widowControl w:val="0"/>
        <w:autoSpaceDE w:val="0"/>
        <w:autoSpaceDN w:val="0"/>
        <w:adjustRightInd w:val="0"/>
        <w:ind w:left="640" w:hanging="640"/>
        <w:rPr>
          <w:rFonts w:ascii="Arial" w:hAnsi="Arial" w:cs="Arial"/>
          <w:noProof/>
        </w:rPr>
      </w:pPr>
      <w:r w:rsidRPr="001D64E7">
        <w:rPr>
          <w:rFonts w:ascii="Arial" w:hAnsi="Arial" w:cs="Arial"/>
          <w:noProof/>
          <w:szCs w:val="24"/>
        </w:rPr>
        <w:t>9</w:t>
      </w:r>
      <w:r w:rsidRPr="001D64E7">
        <w:rPr>
          <w:rFonts w:ascii="Arial" w:hAnsi="Arial" w:cs="Arial"/>
          <w:noProof/>
          <w:szCs w:val="24"/>
        </w:rPr>
        <w:tab/>
        <w:t>National Institute for Health Research (NIHR). Belzutifan for von Hippel-Lindau diseaseassociated clear cell renal cell carcinoma – first line. 2021; 1–7.</w:t>
      </w:r>
    </w:p>
    <w:p w14:paraId="79E856CB" w14:textId="7E139826" w:rsidR="00D23ECE" w:rsidRPr="00D23ECE" w:rsidRDefault="007034C2" w:rsidP="00D23ECE">
      <w:pPr>
        <w:ind w:left="640" w:hanging="640"/>
        <w:rPr>
          <w:rFonts w:ascii="Arial" w:eastAsia="Times New Roman" w:hAnsi="Arial" w:cs="Arial"/>
          <w:color w:val="212529"/>
          <w:lang w:eastAsia="en-GB"/>
        </w:rPr>
      </w:pPr>
      <w:r>
        <w:rPr>
          <w:rFonts w:ascii="Arial" w:hAnsi="Arial" w:cs="Arial"/>
          <w:b/>
          <w:bCs/>
        </w:rPr>
        <w:fldChar w:fldCharType="end"/>
      </w:r>
      <w:r w:rsidR="00D23ECE">
        <w:rPr>
          <w:rFonts w:ascii="Arial" w:hAnsi="Arial" w:cs="Arial"/>
        </w:rPr>
        <w:t>10</w:t>
      </w:r>
      <w:r w:rsidR="00D23ECE">
        <w:rPr>
          <w:rFonts w:ascii="Arial" w:hAnsi="Arial" w:cs="Arial"/>
        </w:rPr>
        <w:tab/>
      </w:r>
      <w:r w:rsidR="00D23ECE" w:rsidRPr="00D23ECE">
        <w:rPr>
          <w:rFonts w:ascii="Arial" w:eastAsia="Times New Roman" w:hAnsi="Arial" w:cs="Arial"/>
          <w:color w:val="212529"/>
          <w:lang w:eastAsia="en-GB"/>
        </w:rPr>
        <w:t xml:space="preserve">Woltering N, Albers A,Müther M, Stummer W, Paulus W, Hasselblatt M,et al. DNA methylation profiling of centralnervous system hemangioblastomas identifies twodistinct subgroups. </w:t>
      </w:r>
      <w:r w:rsidR="00D23ECE" w:rsidRPr="005C6A36">
        <w:rPr>
          <w:rFonts w:ascii="Arial" w:eastAsia="Times New Roman" w:hAnsi="Arial" w:cs="Arial"/>
          <w:i/>
          <w:iCs/>
          <w:color w:val="212529"/>
          <w:lang w:eastAsia="en-GB"/>
        </w:rPr>
        <w:t>Brain Pathology</w:t>
      </w:r>
      <w:r w:rsidR="00D23ECE" w:rsidRPr="00D23ECE">
        <w:rPr>
          <w:rFonts w:ascii="Arial" w:eastAsia="Times New Roman" w:hAnsi="Arial" w:cs="Arial"/>
          <w:color w:val="212529"/>
          <w:lang w:eastAsia="en-GB"/>
        </w:rPr>
        <w:t>. 2022</w:t>
      </w:r>
      <w:r w:rsidR="005C6A36">
        <w:rPr>
          <w:rFonts w:ascii="Arial" w:eastAsia="Times New Roman" w:hAnsi="Arial" w:cs="Arial"/>
          <w:color w:val="212529"/>
          <w:lang w:eastAsia="en-GB"/>
        </w:rPr>
        <w:t>;</w:t>
      </w:r>
      <w:r w:rsidR="00D23ECE" w:rsidRPr="00D23ECE">
        <w:rPr>
          <w:rFonts w:ascii="Arial" w:eastAsia="Times New Roman" w:hAnsi="Arial" w:cs="Arial"/>
          <w:color w:val="212529"/>
          <w:lang w:eastAsia="en-GB"/>
        </w:rPr>
        <w:t xml:space="preserve"> e13083.</w:t>
      </w:r>
      <w:r w:rsidR="00272161">
        <w:rPr>
          <w:rFonts w:ascii="Arial" w:eastAsia="Times New Roman" w:hAnsi="Arial" w:cs="Arial"/>
          <w:color w:val="212529"/>
          <w:lang w:eastAsia="en-GB"/>
        </w:rPr>
        <w:t xml:space="preserve"> h</w:t>
      </w:r>
      <w:r w:rsidR="00272161" w:rsidRPr="00272161">
        <w:rPr>
          <w:rFonts w:ascii="Arial" w:eastAsia="Times New Roman" w:hAnsi="Arial" w:cs="Arial"/>
          <w:color w:val="212529"/>
          <w:lang w:eastAsia="en-GB"/>
        </w:rPr>
        <w:t>ttps://onlinelibrary.wiley.com/doi/10.1111/bpa.13083</w:t>
      </w:r>
    </w:p>
    <w:p w14:paraId="765809C7" w14:textId="2B7AD2E2" w:rsidR="007034C2" w:rsidRDefault="005C6A36" w:rsidP="005C6A36">
      <w:pPr>
        <w:ind w:left="640" w:hanging="640"/>
        <w:rPr>
          <w:rFonts w:ascii="Arial" w:hAnsi="Arial" w:cs="Arial"/>
          <w:color w:val="212121"/>
          <w:shd w:val="clear" w:color="auto" w:fill="FFFFFF"/>
        </w:rPr>
      </w:pPr>
      <w:r>
        <w:rPr>
          <w:rFonts w:ascii="Arial" w:hAnsi="Arial" w:cs="Arial"/>
        </w:rPr>
        <w:t>11</w:t>
      </w:r>
      <w:r>
        <w:rPr>
          <w:rFonts w:ascii="Arial" w:hAnsi="Arial" w:cs="Arial"/>
        </w:rPr>
        <w:tab/>
      </w:r>
      <w:r w:rsidRPr="005C6A36">
        <w:rPr>
          <w:rFonts w:ascii="Arial" w:hAnsi="Arial" w:cs="Arial"/>
          <w:color w:val="212121"/>
          <w:shd w:val="clear" w:color="auto" w:fill="FFFFFF"/>
        </w:rPr>
        <w:t xml:space="preserve">Naber MR, Ahmad S, Verrijn Stuart AA, Giles RH, Valk GD, van Leeuwaarde RS. Is There a Role for Biomarkers in Surveillance of Pancreatic Neuroendocrine Neoplasms in Von Hippel-Lindau Disease? </w:t>
      </w:r>
      <w:r w:rsidRPr="005C6A36">
        <w:rPr>
          <w:rFonts w:ascii="Arial" w:hAnsi="Arial" w:cs="Arial"/>
          <w:i/>
          <w:iCs/>
          <w:color w:val="212121"/>
          <w:shd w:val="clear" w:color="auto" w:fill="FFFFFF"/>
        </w:rPr>
        <w:t>J Endocr Soc.</w:t>
      </w:r>
      <w:r w:rsidRPr="005C6A36">
        <w:rPr>
          <w:rFonts w:ascii="Arial" w:hAnsi="Arial" w:cs="Arial"/>
          <w:color w:val="212121"/>
          <w:shd w:val="clear" w:color="auto" w:fill="FFFFFF"/>
        </w:rPr>
        <w:t xml:space="preserve"> 2021</w:t>
      </w:r>
      <w:r>
        <w:rPr>
          <w:rFonts w:ascii="Arial" w:hAnsi="Arial" w:cs="Arial"/>
          <w:color w:val="212121"/>
          <w:shd w:val="clear" w:color="auto" w:fill="FFFFFF"/>
        </w:rPr>
        <w:t>;</w:t>
      </w:r>
      <w:r w:rsidRPr="005C6A36">
        <w:rPr>
          <w:rFonts w:ascii="Arial" w:hAnsi="Arial" w:cs="Arial"/>
          <w:color w:val="212121"/>
          <w:shd w:val="clear" w:color="auto" w:fill="FFFFFF"/>
        </w:rPr>
        <w:t xml:space="preserve"> Dec </w:t>
      </w:r>
      <w:r w:rsidRPr="005C6A36">
        <w:rPr>
          <w:rFonts w:ascii="Arial" w:hAnsi="Arial" w:cs="Arial"/>
          <w:b/>
          <w:bCs/>
          <w:color w:val="212121"/>
          <w:shd w:val="clear" w:color="auto" w:fill="FFFFFF"/>
        </w:rPr>
        <w:t>22</w:t>
      </w:r>
      <w:r w:rsidRPr="005C6A36">
        <w:rPr>
          <w:rFonts w:ascii="Arial" w:hAnsi="Arial" w:cs="Arial"/>
          <w:color w:val="212121"/>
          <w:shd w:val="clear" w:color="auto" w:fill="FFFFFF"/>
        </w:rPr>
        <w:t>;6(2)</w:t>
      </w:r>
    </w:p>
    <w:p w14:paraId="71DBB838" w14:textId="42C26B20" w:rsidR="00176D4A" w:rsidRDefault="00176D4A" w:rsidP="005C6A36">
      <w:pPr>
        <w:ind w:left="640" w:hanging="640"/>
        <w:rPr>
          <w:rFonts w:ascii="Arial" w:hAnsi="Arial" w:cs="Arial"/>
          <w:color w:val="212121"/>
          <w:shd w:val="clear" w:color="auto" w:fill="FFFFFF"/>
        </w:rPr>
      </w:pPr>
      <w:r>
        <w:rPr>
          <w:rFonts w:ascii="Arial" w:hAnsi="Arial" w:cs="Arial"/>
        </w:rPr>
        <w:t>12</w:t>
      </w:r>
      <w:r>
        <w:rPr>
          <w:rFonts w:ascii="Arial" w:hAnsi="Arial" w:cs="Arial"/>
        </w:rPr>
        <w:tab/>
      </w:r>
      <w:r w:rsidRPr="00176D4A">
        <w:rPr>
          <w:rFonts w:ascii="Arial" w:hAnsi="Arial" w:cs="Arial"/>
        </w:rPr>
        <w:t>Ordookhanian C, Kaloostian PE, Ghostine SS, Spiess PE, Etame AB. Management Strategies and Outcomes for VHL-related Craniospinal Hemangioblastomas. J Kidney Cancer VHL. 2017 Aug 28;4(3):37-44. doi: 10.15586/jkcvhl.2017.90. PMID: 28868236; PMCID: PMC5573741.</w:t>
      </w:r>
    </w:p>
    <w:sectPr w:rsidR="00176D4A" w:rsidSect="000D3405">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11737" w14:textId="77777777" w:rsidR="00363D76" w:rsidRDefault="00363D76" w:rsidP="00446BEE">
      <w:r>
        <w:separator/>
      </w:r>
    </w:p>
  </w:endnote>
  <w:endnote w:type="continuationSeparator" w:id="0">
    <w:p w14:paraId="0BD03670" w14:textId="77777777" w:rsidR="00363D76" w:rsidRDefault="00363D76"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EC32A" w14:textId="77777777" w:rsidR="00B60811" w:rsidRDefault="00B60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461257"/>
      <w:docPartObj>
        <w:docPartGallery w:val="Page Numbers (Bottom of Page)"/>
        <w:docPartUnique/>
      </w:docPartObj>
    </w:sdtPr>
    <w:sdtEndPr>
      <w:rPr>
        <w:noProof/>
      </w:rPr>
    </w:sdtEndPr>
    <w:sdtContent>
      <w:p w14:paraId="3E2D0C58" w14:textId="58540651" w:rsidR="00696A5C" w:rsidRDefault="00696A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13DDC8" w14:textId="08A2C046" w:rsidR="00696A5C" w:rsidRDefault="00684F25">
    <w:pPr>
      <w:pStyle w:val="Footer"/>
    </w:pPr>
    <w:r>
      <w:t>Ju</w:t>
    </w:r>
    <w:r w:rsidR="003D26CB">
      <w:t>ly</w:t>
    </w:r>
    <w:r>
      <w:t xml:space="preserve"> 202</w:t>
    </w:r>
    <w:r w:rsidR="003D26CB">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FD1F" w14:textId="77777777" w:rsidR="00B60811" w:rsidRDefault="00B60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901F0" w14:textId="77777777" w:rsidR="00363D76" w:rsidRDefault="00363D76" w:rsidP="00446BEE">
      <w:r>
        <w:separator/>
      </w:r>
    </w:p>
  </w:footnote>
  <w:footnote w:type="continuationSeparator" w:id="0">
    <w:p w14:paraId="1EECA8DA" w14:textId="77777777" w:rsidR="00363D76" w:rsidRDefault="00363D76"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EAA6" w14:textId="77777777" w:rsidR="00B60811" w:rsidRDefault="00B60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E5CCD" w14:textId="2BD6A156" w:rsidR="002C5E6A" w:rsidRDefault="00696A5C" w:rsidP="00200E38">
    <w:pPr>
      <w:pStyle w:val="Header"/>
      <w:ind w:left="-567"/>
      <w:rPr>
        <w:noProof/>
      </w:rPr>
    </w:pPr>
    <w:r>
      <w:rPr>
        <w:noProof/>
        <w:lang w:eastAsia="en-GB"/>
      </w:rPr>
      <w:drawing>
        <wp:inline distT="0" distB="0" distL="0" distR="0" wp14:anchorId="195691D1" wp14:editId="2924CF7A">
          <wp:extent cx="2484120" cy="2520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252095"/>
                  </a:xfrm>
                  <a:prstGeom prst="rect">
                    <a:avLst/>
                  </a:prstGeom>
                  <a:noFill/>
                </pic:spPr>
              </pic:pic>
            </a:graphicData>
          </a:graphic>
        </wp:inline>
      </w:drawing>
    </w:r>
    <w:r>
      <w:rPr>
        <w:noProof/>
      </w:rPr>
      <w:tab/>
      <w:t xml:space="preserve">      </w:t>
    </w:r>
    <w:r w:rsidR="00B60811">
      <w:rPr>
        <w:noProof/>
      </w:rPr>
      <w:tab/>
    </w:r>
    <w:r w:rsidR="00B60811">
      <w:rPr>
        <w:noProof/>
      </w:rPr>
      <w:tab/>
    </w:r>
    <w:r w:rsidR="00B60811">
      <w:rPr>
        <w:noProof/>
      </w:rPr>
      <w:tab/>
    </w:r>
    <w:r w:rsidR="00B60811">
      <w:rPr>
        <w:noProof/>
      </w:rPr>
      <w:tab/>
    </w:r>
    <w:r w:rsidR="00B60811">
      <w:rPr>
        <w:noProof/>
      </w:rPr>
      <w:tab/>
    </w:r>
    <w:r w:rsidR="00B60811">
      <w:rPr>
        <w:noProof/>
      </w:rPr>
      <w:tab/>
    </w:r>
    <w:r w:rsidR="00B60811">
      <w:rPr>
        <w:noProo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55D4" w14:textId="77777777" w:rsidR="00B60811" w:rsidRDefault="00B60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D0FAC"/>
    <w:multiLevelType w:val="multilevel"/>
    <w:tmpl w:val="5216A7F6"/>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1" w15:restartNumberingAfterBreak="0">
    <w:nsid w:val="08816B4E"/>
    <w:multiLevelType w:val="hybridMultilevel"/>
    <w:tmpl w:val="B91E2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237354"/>
    <w:multiLevelType w:val="hybridMultilevel"/>
    <w:tmpl w:val="E34A2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C055D"/>
    <w:multiLevelType w:val="hybridMultilevel"/>
    <w:tmpl w:val="FB7EC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C22BA8"/>
    <w:multiLevelType w:val="hybridMultilevel"/>
    <w:tmpl w:val="075E1E58"/>
    <w:lvl w:ilvl="0" w:tplc="91780E34">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465304"/>
    <w:multiLevelType w:val="hybridMultilevel"/>
    <w:tmpl w:val="41188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CC3584"/>
    <w:multiLevelType w:val="multilevel"/>
    <w:tmpl w:val="5A20DEEE"/>
    <w:lvl w:ilvl="0">
      <w:start w:val="1"/>
      <w:numFmt w:val="decimal"/>
      <w:pStyle w:val="Numberedheading1"/>
      <w:lvlText w:val="%1"/>
      <w:lvlJc w:val="left"/>
      <w:pPr>
        <w:tabs>
          <w:tab w:val="num" w:pos="1134"/>
        </w:tabs>
        <w:ind w:left="1134" w:hanging="1134"/>
      </w:pPr>
      <w:rPr>
        <w:rFonts w:hint="default"/>
        <w:sz w:val="32"/>
        <w:szCs w:val="32"/>
      </w:rPr>
    </w:lvl>
    <w:lvl w:ilvl="1">
      <w:start w:val="1"/>
      <w:numFmt w:val="decimal"/>
      <w:pStyle w:val="Numberedheading2"/>
      <w:lvlText w:val="%1.%2"/>
      <w:lvlJc w:val="left"/>
      <w:pPr>
        <w:tabs>
          <w:tab w:val="num" w:pos="1134"/>
        </w:tabs>
        <w:ind w:left="1134" w:hanging="1134"/>
      </w:pPr>
      <w:rPr>
        <w:rFonts w:hint="default"/>
      </w:rPr>
    </w:lvl>
    <w:lvl w:ilvl="2">
      <w:start w:val="1"/>
      <w:numFmt w:val="decimal"/>
      <w:lvlText w:val="%3."/>
      <w:lvlJc w:val="left"/>
      <w:rPr>
        <w:rFonts w:hint="default"/>
        <w:strike w:val="0"/>
        <w:sz w:val="24"/>
        <w:szCs w:val="24"/>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9" w15:restartNumberingAfterBreak="0">
    <w:nsid w:val="323A1606"/>
    <w:multiLevelType w:val="hybridMultilevel"/>
    <w:tmpl w:val="4FEC7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770A16"/>
    <w:multiLevelType w:val="hybridMultilevel"/>
    <w:tmpl w:val="4808ED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B9A34FA"/>
    <w:multiLevelType w:val="hybridMultilevel"/>
    <w:tmpl w:val="50123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D504F3"/>
    <w:multiLevelType w:val="hybridMultilevel"/>
    <w:tmpl w:val="2744A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5C7411"/>
    <w:multiLevelType w:val="hybridMultilevel"/>
    <w:tmpl w:val="030C458E"/>
    <w:lvl w:ilvl="0" w:tplc="0809000B">
      <w:start w:val="1"/>
      <w:numFmt w:val="bullet"/>
      <w:pStyle w:val="NICEnormalnumbered"/>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CBA44D2"/>
    <w:multiLevelType w:val="hybridMultilevel"/>
    <w:tmpl w:val="DE0AC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E76F3F"/>
    <w:multiLevelType w:val="hybridMultilevel"/>
    <w:tmpl w:val="54EC74CC"/>
    <w:lvl w:ilvl="0" w:tplc="12ACB5D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8A5F62"/>
    <w:multiLevelType w:val="hybridMultilevel"/>
    <w:tmpl w:val="C0AE4CC6"/>
    <w:lvl w:ilvl="0" w:tplc="0DE43266">
      <w:start w:val="1"/>
      <w:numFmt w:val="bullet"/>
      <w:pStyle w:val="MSDTableBullet1"/>
      <w:lvlText w:val=""/>
      <w:lvlJc w:val="left"/>
      <w:pPr>
        <w:ind w:left="720" w:hanging="360"/>
      </w:pPr>
      <w:rPr>
        <w:rFonts w:ascii="Symbol" w:hAnsi="Symbol" w:hint="default"/>
      </w:rPr>
    </w:lvl>
    <w:lvl w:ilvl="1" w:tplc="A6A462D6">
      <w:start w:val="1"/>
      <w:numFmt w:val="bullet"/>
      <w:pStyle w:val="MSDTableBulle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A841FA"/>
    <w:multiLevelType w:val="hybridMultilevel"/>
    <w:tmpl w:val="C54C6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F60703"/>
    <w:multiLevelType w:val="hybridMultilevel"/>
    <w:tmpl w:val="EB828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96BD8"/>
    <w:multiLevelType w:val="hybridMultilevel"/>
    <w:tmpl w:val="0A4C7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267E21"/>
    <w:multiLevelType w:val="hybridMultilevel"/>
    <w:tmpl w:val="127EF2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7A83C75"/>
    <w:multiLevelType w:val="hybridMultilevel"/>
    <w:tmpl w:val="422ABE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E573185"/>
    <w:multiLevelType w:val="hybridMultilevel"/>
    <w:tmpl w:val="F81AB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934876">
    <w:abstractNumId w:val="28"/>
  </w:num>
  <w:num w:numId="2" w16cid:durableId="1388918807">
    <w:abstractNumId w:val="31"/>
  </w:num>
  <w:num w:numId="3" w16cid:durableId="1868177175">
    <w:abstractNumId w:val="31"/>
    <w:lvlOverride w:ilvl="0">
      <w:startOverride w:val="1"/>
    </w:lvlOverride>
  </w:num>
  <w:num w:numId="4" w16cid:durableId="886526799">
    <w:abstractNumId w:val="31"/>
    <w:lvlOverride w:ilvl="0">
      <w:startOverride w:val="1"/>
    </w:lvlOverride>
  </w:num>
  <w:num w:numId="5" w16cid:durableId="407925102">
    <w:abstractNumId w:val="31"/>
    <w:lvlOverride w:ilvl="0">
      <w:startOverride w:val="1"/>
    </w:lvlOverride>
  </w:num>
  <w:num w:numId="6" w16cid:durableId="367149185">
    <w:abstractNumId w:val="31"/>
    <w:lvlOverride w:ilvl="0">
      <w:startOverride w:val="1"/>
    </w:lvlOverride>
  </w:num>
  <w:num w:numId="7" w16cid:durableId="36469486">
    <w:abstractNumId w:val="31"/>
    <w:lvlOverride w:ilvl="0">
      <w:startOverride w:val="1"/>
    </w:lvlOverride>
  </w:num>
  <w:num w:numId="8" w16cid:durableId="399063427">
    <w:abstractNumId w:val="9"/>
  </w:num>
  <w:num w:numId="9" w16cid:durableId="515389842">
    <w:abstractNumId w:val="7"/>
  </w:num>
  <w:num w:numId="10" w16cid:durableId="1375228198">
    <w:abstractNumId w:val="6"/>
  </w:num>
  <w:num w:numId="11" w16cid:durableId="1630939885">
    <w:abstractNumId w:val="5"/>
  </w:num>
  <w:num w:numId="12" w16cid:durableId="450518972">
    <w:abstractNumId w:val="4"/>
  </w:num>
  <w:num w:numId="13" w16cid:durableId="925845811">
    <w:abstractNumId w:val="8"/>
  </w:num>
  <w:num w:numId="14" w16cid:durableId="1419404821">
    <w:abstractNumId w:val="3"/>
  </w:num>
  <w:num w:numId="15" w16cid:durableId="1827548111">
    <w:abstractNumId w:val="2"/>
  </w:num>
  <w:num w:numId="16" w16cid:durableId="602763492">
    <w:abstractNumId w:val="1"/>
  </w:num>
  <w:num w:numId="17" w16cid:durableId="779684302">
    <w:abstractNumId w:val="0"/>
  </w:num>
  <w:num w:numId="18" w16cid:durableId="1173061444">
    <w:abstractNumId w:val="16"/>
  </w:num>
  <w:num w:numId="19" w16cid:durableId="1173378365">
    <w:abstractNumId w:val="16"/>
    <w:lvlOverride w:ilvl="0">
      <w:startOverride w:val="1"/>
    </w:lvlOverride>
  </w:num>
  <w:num w:numId="20" w16cid:durableId="886911839">
    <w:abstractNumId w:val="12"/>
  </w:num>
  <w:num w:numId="21" w16cid:durableId="1397896374">
    <w:abstractNumId w:val="33"/>
  </w:num>
  <w:num w:numId="22" w16cid:durableId="2031837247">
    <w:abstractNumId w:val="27"/>
  </w:num>
  <w:num w:numId="23" w16cid:durableId="83847511">
    <w:abstractNumId w:val="32"/>
  </w:num>
  <w:num w:numId="24" w16cid:durableId="538781735">
    <w:abstractNumId w:val="30"/>
  </w:num>
  <w:num w:numId="25" w16cid:durableId="620185728">
    <w:abstractNumId w:val="23"/>
  </w:num>
  <w:num w:numId="26" w16cid:durableId="1560020176">
    <w:abstractNumId w:val="21"/>
  </w:num>
  <w:num w:numId="27" w16cid:durableId="1433625401">
    <w:abstractNumId w:val="17"/>
  </w:num>
  <w:num w:numId="28" w16cid:durableId="437678349">
    <w:abstractNumId w:val="13"/>
  </w:num>
  <w:num w:numId="29" w16cid:durableId="1954439426">
    <w:abstractNumId w:val="22"/>
  </w:num>
  <w:num w:numId="30" w16cid:durableId="966277839">
    <w:abstractNumId w:val="34"/>
  </w:num>
  <w:num w:numId="31" w16cid:durableId="1718507162">
    <w:abstractNumId w:val="15"/>
  </w:num>
  <w:num w:numId="32" w16cid:durableId="1540236508">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51023680">
    <w:abstractNumId w:val="10"/>
  </w:num>
  <w:num w:numId="34" w16cid:durableId="756053743">
    <w:abstractNumId w:val="18"/>
  </w:num>
  <w:num w:numId="35" w16cid:durableId="1513302265">
    <w:abstractNumId w:val="25"/>
  </w:num>
  <w:num w:numId="36" w16cid:durableId="338240142">
    <w:abstractNumId w:val="24"/>
  </w:num>
  <w:num w:numId="37" w16cid:durableId="98377055">
    <w:abstractNumId w:val="29"/>
  </w:num>
  <w:num w:numId="38" w16cid:durableId="1746418712">
    <w:abstractNumId w:val="11"/>
  </w:num>
  <w:num w:numId="39" w16cid:durableId="1099638433">
    <w:abstractNumId w:val="26"/>
  </w:num>
  <w:num w:numId="40" w16cid:durableId="67920372">
    <w:abstractNumId w:val="14"/>
  </w:num>
  <w:num w:numId="41" w16cid:durableId="616790842">
    <w:abstractNumId w:val="19"/>
  </w:num>
  <w:num w:numId="42" w16cid:durableId="14506579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7FF"/>
    <w:rsid w:val="000053F8"/>
    <w:rsid w:val="00005BCE"/>
    <w:rsid w:val="00006FAF"/>
    <w:rsid w:val="00021CDF"/>
    <w:rsid w:val="0002332D"/>
    <w:rsid w:val="00024D0A"/>
    <w:rsid w:val="000472DC"/>
    <w:rsid w:val="00047694"/>
    <w:rsid w:val="000567FF"/>
    <w:rsid w:val="000677D3"/>
    <w:rsid w:val="00070065"/>
    <w:rsid w:val="000818BA"/>
    <w:rsid w:val="000A4FEE"/>
    <w:rsid w:val="000B3B3F"/>
    <w:rsid w:val="000B552E"/>
    <w:rsid w:val="000B5939"/>
    <w:rsid w:val="000D1896"/>
    <w:rsid w:val="000D3405"/>
    <w:rsid w:val="000E39C5"/>
    <w:rsid w:val="00102BAD"/>
    <w:rsid w:val="001043D6"/>
    <w:rsid w:val="00111CCE"/>
    <w:rsid w:val="001134E7"/>
    <w:rsid w:val="001153E1"/>
    <w:rsid w:val="00125F18"/>
    <w:rsid w:val="00132D10"/>
    <w:rsid w:val="00132F1A"/>
    <w:rsid w:val="001352EE"/>
    <w:rsid w:val="00142270"/>
    <w:rsid w:val="00145ECC"/>
    <w:rsid w:val="001661EC"/>
    <w:rsid w:val="0017149E"/>
    <w:rsid w:val="0017169E"/>
    <w:rsid w:val="00176D4A"/>
    <w:rsid w:val="00181A4A"/>
    <w:rsid w:val="00187D79"/>
    <w:rsid w:val="00190F86"/>
    <w:rsid w:val="0019381B"/>
    <w:rsid w:val="001A6ABD"/>
    <w:rsid w:val="001B0EE9"/>
    <w:rsid w:val="001B248A"/>
    <w:rsid w:val="001B40C5"/>
    <w:rsid w:val="001B65B3"/>
    <w:rsid w:val="001D64E7"/>
    <w:rsid w:val="001D773E"/>
    <w:rsid w:val="001E6673"/>
    <w:rsid w:val="001F33A3"/>
    <w:rsid w:val="00200E38"/>
    <w:rsid w:val="002029A6"/>
    <w:rsid w:val="00205628"/>
    <w:rsid w:val="00213853"/>
    <w:rsid w:val="0021428D"/>
    <w:rsid w:val="002200A5"/>
    <w:rsid w:val="002408EA"/>
    <w:rsid w:val="00270363"/>
    <w:rsid w:val="00272161"/>
    <w:rsid w:val="0028189A"/>
    <w:rsid w:val="002819D7"/>
    <w:rsid w:val="00291A17"/>
    <w:rsid w:val="00296092"/>
    <w:rsid w:val="00296391"/>
    <w:rsid w:val="002977F9"/>
    <w:rsid w:val="002A0F2F"/>
    <w:rsid w:val="002C1A7E"/>
    <w:rsid w:val="002C474A"/>
    <w:rsid w:val="002C5E6A"/>
    <w:rsid w:val="002D3376"/>
    <w:rsid w:val="002E2CB1"/>
    <w:rsid w:val="002F027C"/>
    <w:rsid w:val="002F2A9D"/>
    <w:rsid w:val="002F7289"/>
    <w:rsid w:val="00311ED0"/>
    <w:rsid w:val="00317191"/>
    <w:rsid w:val="00323D46"/>
    <w:rsid w:val="003262CB"/>
    <w:rsid w:val="003277DF"/>
    <w:rsid w:val="003279E2"/>
    <w:rsid w:val="00331B8B"/>
    <w:rsid w:val="00363D76"/>
    <w:rsid w:val="003648C5"/>
    <w:rsid w:val="003722FA"/>
    <w:rsid w:val="00381580"/>
    <w:rsid w:val="003A0F66"/>
    <w:rsid w:val="003A1032"/>
    <w:rsid w:val="003C7AAF"/>
    <w:rsid w:val="003D26CB"/>
    <w:rsid w:val="003E1E19"/>
    <w:rsid w:val="003E2B00"/>
    <w:rsid w:val="003F41C3"/>
    <w:rsid w:val="003F7FD9"/>
    <w:rsid w:val="00403D41"/>
    <w:rsid w:val="004075B6"/>
    <w:rsid w:val="00411456"/>
    <w:rsid w:val="0041504E"/>
    <w:rsid w:val="00420952"/>
    <w:rsid w:val="00433EFF"/>
    <w:rsid w:val="00443081"/>
    <w:rsid w:val="00446BEE"/>
    <w:rsid w:val="004520EA"/>
    <w:rsid w:val="00482716"/>
    <w:rsid w:val="004E20CB"/>
    <w:rsid w:val="004E58C7"/>
    <w:rsid w:val="0050251C"/>
    <w:rsid w:val="005025A1"/>
    <w:rsid w:val="00503B03"/>
    <w:rsid w:val="005056CB"/>
    <w:rsid w:val="00515F4D"/>
    <w:rsid w:val="005208AE"/>
    <w:rsid w:val="0053172A"/>
    <w:rsid w:val="0053717B"/>
    <w:rsid w:val="005461CB"/>
    <w:rsid w:val="005502C0"/>
    <w:rsid w:val="00566E2A"/>
    <w:rsid w:val="00594095"/>
    <w:rsid w:val="005961D7"/>
    <w:rsid w:val="00596B0A"/>
    <w:rsid w:val="005B41B6"/>
    <w:rsid w:val="005B5988"/>
    <w:rsid w:val="005B610F"/>
    <w:rsid w:val="005C6A36"/>
    <w:rsid w:val="005F169A"/>
    <w:rsid w:val="005F7FAC"/>
    <w:rsid w:val="006041A6"/>
    <w:rsid w:val="00616232"/>
    <w:rsid w:val="00616293"/>
    <w:rsid w:val="006265A4"/>
    <w:rsid w:val="0063769A"/>
    <w:rsid w:val="006618BC"/>
    <w:rsid w:val="00662999"/>
    <w:rsid w:val="00663035"/>
    <w:rsid w:val="00666D2A"/>
    <w:rsid w:val="00682DF6"/>
    <w:rsid w:val="00684F25"/>
    <w:rsid w:val="006921E1"/>
    <w:rsid w:val="00696137"/>
    <w:rsid w:val="00696A5C"/>
    <w:rsid w:val="006A2A61"/>
    <w:rsid w:val="006C0257"/>
    <w:rsid w:val="006C0B36"/>
    <w:rsid w:val="006C3E3F"/>
    <w:rsid w:val="006D4672"/>
    <w:rsid w:val="006D6093"/>
    <w:rsid w:val="006F4B25"/>
    <w:rsid w:val="006F6496"/>
    <w:rsid w:val="007034C2"/>
    <w:rsid w:val="00715265"/>
    <w:rsid w:val="0071526A"/>
    <w:rsid w:val="00720C01"/>
    <w:rsid w:val="00736348"/>
    <w:rsid w:val="00736804"/>
    <w:rsid w:val="00757265"/>
    <w:rsid w:val="00757740"/>
    <w:rsid w:val="00760908"/>
    <w:rsid w:val="00772000"/>
    <w:rsid w:val="00781386"/>
    <w:rsid w:val="00792782"/>
    <w:rsid w:val="007955CD"/>
    <w:rsid w:val="007A3FAC"/>
    <w:rsid w:val="007A7B0A"/>
    <w:rsid w:val="007C06ED"/>
    <w:rsid w:val="007C2458"/>
    <w:rsid w:val="007C7303"/>
    <w:rsid w:val="007E3B06"/>
    <w:rsid w:val="007F09A1"/>
    <w:rsid w:val="007F238D"/>
    <w:rsid w:val="008103FB"/>
    <w:rsid w:val="00815A17"/>
    <w:rsid w:val="008179CD"/>
    <w:rsid w:val="00835AD7"/>
    <w:rsid w:val="00846D80"/>
    <w:rsid w:val="008549CB"/>
    <w:rsid w:val="00857CBD"/>
    <w:rsid w:val="00860835"/>
    <w:rsid w:val="0086172A"/>
    <w:rsid w:val="00861B92"/>
    <w:rsid w:val="008750BA"/>
    <w:rsid w:val="008814FB"/>
    <w:rsid w:val="00881683"/>
    <w:rsid w:val="0089243A"/>
    <w:rsid w:val="008E35C0"/>
    <w:rsid w:val="008F5E30"/>
    <w:rsid w:val="00914D7F"/>
    <w:rsid w:val="00927547"/>
    <w:rsid w:val="009478AE"/>
    <w:rsid w:val="0095389B"/>
    <w:rsid w:val="00953C7B"/>
    <w:rsid w:val="0095529F"/>
    <w:rsid w:val="00957FCE"/>
    <w:rsid w:val="00962555"/>
    <w:rsid w:val="00992F04"/>
    <w:rsid w:val="009930B5"/>
    <w:rsid w:val="00995EEA"/>
    <w:rsid w:val="009A019D"/>
    <w:rsid w:val="009A4432"/>
    <w:rsid w:val="009A60B4"/>
    <w:rsid w:val="009B51BB"/>
    <w:rsid w:val="009B5CC9"/>
    <w:rsid w:val="009E680B"/>
    <w:rsid w:val="009F175F"/>
    <w:rsid w:val="00A012C2"/>
    <w:rsid w:val="00A15A1F"/>
    <w:rsid w:val="00A20DE5"/>
    <w:rsid w:val="00A257F4"/>
    <w:rsid w:val="00A26C9C"/>
    <w:rsid w:val="00A3325A"/>
    <w:rsid w:val="00A43013"/>
    <w:rsid w:val="00A45E52"/>
    <w:rsid w:val="00A95ECE"/>
    <w:rsid w:val="00AA0377"/>
    <w:rsid w:val="00AA7B7C"/>
    <w:rsid w:val="00AB4EA7"/>
    <w:rsid w:val="00AB619D"/>
    <w:rsid w:val="00AF108A"/>
    <w:rsid w:val="00AF2C2B"/>
    <w:rsid w:val="00AF3975"/>
    <w:rsid w:val="00B02E55"/>
    <w:rsid w:val="00B036C1"/>
    <w:rsid w:val="00B12151"/>
    <w:rsid w:val="00B20282"/>
    <w:rsid w:val="00B2074A"/>
    <w:rsid w:val="00B305F0"/>
    <w:rsid w:val="00B33819"/>
    <w:rsid w:val="00B46ABD"/>
    <w:rsid w:val="00B5431F"/>
    <w:rsid w:val="00B556EF"/>
    <w:rsid w:val="00B60811"/>
    <w:rsid w:val="00B77526"/>
    <w:rsid w:val="00B850BA"/>
    <w:rsid w:val="00BA127D"/>
    <w:rsid w:val="00BB144A"/>
    <w:rsid w:val="00BB60B9"/>
    <w:rsid w:val="00BC66C6"/>
    <w:rsid w:val="00BF629E"/>
    <w:rsid w:val="00BF7FE0"/>
    <w:rsid w:val="00C01CA1"/>
    <w:rsid w:val="00C14B5A"/>
    <w:rsid w:val="00C209B6"/>
    <w:rsid w:val="00C300A6"/>
    <w:rsid w:val="00C3089F"/>
    <w:rsid w:val="00C35EC8"/>
    <w:rsid w:val="00C37C6C"/>
    <w:rsid w:val="00C4681C"/>
    <w:rsid w:val="00C670DD"/>
    <w:rsid w:val="00C81104"/>
    <w:rsid w:val="00C85FE2"/>
    <w:rsid w:val="00C9475C"/>
    <w:rsid w:val="00C96411"/>
    <w:rsid w:val="00CA055B"/>
    <w:rsid w:val="00CA78AA"/>
    <w:rsid w:val="00CB5671"/>
    <w:rsid w:val="00CB7A88"/>
    <w:rsid w:val="00CC2C92"/>
    <w:rsid w:val="00CC55DD"/>
    <w:rsid w:val="00CD3014"/>
    <w:rsid w:val="00CE2193"/>
    <w:rsid w:val="00CF58B7"/>
    <w:rsid w:val="00D03583"/>
    <w:rsid w:val="00D1703B"/>
    <w:rsid w:val="00D22C5F"/>
    <w:rsid w:val="00D23ECE"/>
    <w:rsid w:val="00D351C1"/>
    <w:rsid w:val="00D35EFB"/>
    <w:rsid w:val="00D44C15"/>
    <w:rsid w:val="00D504B3"/>
    <w:rsid w:val="00D65FF0"/>
    <w:rsid w:val="00D67C77"/>
    <w:rsid w:val="00D71447"/>
    <w:rsid w:val="00D75F87"/>
    <w:rsid w:val="00D76639"/>
    <w:rsid w:val="00D83F31"/>
    <w:rsid w:val="00D86AC1"/>
    <w:rsid w:val="00D86BF0"/>
    <w:rsid w:val="00D93038"/>
    <w:rsid w:val="00D93F96"/>
    <w:rsid w:val="00D96736"/>
    <w:rsid w:val="00DC3B22"/>
    <w:rsid w:val="00DC5214"/>
    <w:rsid w:val="00DE4DE9"/>
    <w:rsid w:val="00DF772E"/>
    <w:rsid w:val="00E17667"/>
    <w:rsid w:val="00E337A3"/>
    <w:rsid w:val="00E35ECD"/>
    <w:rsid w:val="00E370FB"/>
    <w:rsid w:val="00E47A98"/>
    <w:rsid w:val="00E51920"/>
    <w:rsid w:val="00E64120"/>
    <w:rsid w:val="00E6528D"/>
    <w:rsid w:val="00E660A1"/>
    <w:rsid w:val="00E679F0"/>
    <w:rsid w:val="00E72062"/>
    <w:rsid w:val="00E728DF"/>
    <w:rsid w:val="00E74106"/>
    <w:rsid w:val="00E74B8E"/>
    <w:rsid w:val="00EA3CCF"/>
    <w:rsid w:val="00EC53AC"/>
    <w:rsid w:val="00EC777F"/>
    <w:rsid w:val="00EF3DC0"/>
    <w:rsid w:val="00F00624"/>
    <w:rsid w:val="00F051B3"/>
    <w:rsid w:val="00F055F1"/>
    <w:rsid w:val="00F06D32"/>
    <w:rsid w:val="00F111AE"/>
    <w:rsid w:val="00F43102"/>
    <w:rsid w:val="00F610AF"/>
    <w:rsid w:val="00F8148C"/>
    <w:rsid w:val="00F90BB8"/>
    <w:rsid w:val="00FA001D"/>
    <w:rsid w:val="00FA2C5A"/>
    <w:rsid w:val="00FA3A59"/>
    <w:rsid w:val="00FC2D11"/>
    <w:rsid w:val="00FC6230"/>
    <w:rsid w:val="00FD1677"/>
    <w:rsid w:val="00FF61E7"/>
    <w:rsid w:val="00FF7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B8F90"/>
  <w15:docId w15:val="{FCF0EF18-69F3-4209-9410-E58233AF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67FF"/>
    <w:rPr>
      <w:rFonts w:ascii="Calibri" w:eastAsiaTheme="minorHAnsi" w:hAnsi="Calibri"/>
      <w:sz w:val="22"/>
      <w:szCs w:val="22"/>
      <w:lang w:eastAsia="en-US"/>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Hyperlink">
    <w:name w:val="Hyperlink"/>
    <w:basedOn w:val="DefaultParagraphFont"/>
    <w:uiPriority w:val="99"/>
    <w:unhideWhenUsed/>
    <w:rsid w:val="000567FF"/>
    <w:rPr>
      <w:color w:val="0563C1"/>
      <w:u w:val="single"/>
    </w:rPr>
  </w:style>
  <w:style w:type="paragraph" w:styleId="PlainText">
    <w:name w:val="Plain Text"/>
    <w:basedOn w:val="Normal"/>
    <w:link w:val="PlainTextChar"/>
    <w:uiPriority w:val="99"/>
    <w:semiHidden/>
    <w:unhideWhenUsed/>
    <w:rsid w:val="000567FF"/>
  </w:style>
  <w:style w:type="character" w:customStyle="1" w:styleId="PlainTextChar">
    <w:name w:val="Plain Text Char"/>
    <w:basedOn w:val="DefaultParagraphFont"/>
    <w:link w:val="PlainText"/>
    <w:uiPriority w:val="99"/>
    <w:semiHidden/>
    <w:rsid w:val="000567FF"/>
    <w:rPr>
      <w:rFonts w:ascii="Calibri" w:eastAsiaTheme="minorHAnsi" w:hAnsi="Calibri"/>
      <w:sz w:val="22"/>
      <w:szCs w:val="22"/>
      <w:lang w:eastAsia="en-US"/>
    </w:rPr>
  </w:style>
  <w:style w:type="character" w:styleId="CommentReference">
    <w:name w:val="annotation reference"/>
    <w:basedOn w:val="DefaultParagraphFont"/>
    <w:semiHidden/>
    <w:unhideWhenUsed/>
    <w:rsid w:val="00B46ABD"/>
    <w:rPr>
      <w:sz w:val="16"/>
      <w:szCs w:val="16"/>
    </w:rPr>
  </w:style>
  <w:style w:type="paragraph" w:styleId="CommentText">
    <w:name w:val="annotation text"/>
    <w:basedOn w:val="Normal"/>
    <w:link w:val="CommentTextChar"/>
    <w:unhideWhenUsed/>
    <w:rsid w:val="00B46ABD"/>
    <w:rPr>
      <w:sz w:val="20"/>
      <w:szCs w:val="20"/>
    </w:rPr>
  </w:style>
  <w:style w:type="character" w:customStyle="1" w:styleId="CommentTextChar">
    <w:name w:val="Comment Text Char"/>
    <w:basedOn w:val="DefaultParagraphFont"/>
    <w:link w:val="CommentText"/>
    <w:rsid w:val="00B46ABD"/>
    <w:rPr>
      <w:rFonts w:ascii="Calibri" w:eastAsiaTheme="minorHAnsi" w:hAnsi="Calibri"/>
      <w:lang w:eastAsia="en-US"/>
    </w:rPr>
  </w:style>
  <w:style w:type="paragraph" w:styleId="CommentSubject">
    <w:name w:val="annotation subject"/>
    <w:basedOn w:val="CommentText"/>
    <w:next w:val="CommentText"/>
    <w:link w:val="CommentSubjectChar"/>
    <w:semiHidden/>
    <w:unhideWhenUsed/>
    <w:rsid w:val="00B46ABD"/>
    <w:rPr>
      <w:b/>
      <w:bCs/>
    </w:rPr>
  </w:style>
  <w:style w:type="character" w:customStyle="1" w:styleId="CommentSubjectChar">
    <w:name w:val="Comment Subject Char"/>
    <w:basedOn w:val="CommentTextChar"/>
    <w:link w:val="CommentSubject"/>
    <w:semiHidden/>
    <w:rsid w:val="00B46ABD"/>
    <w:rPr>
      <w:rFonts w:ascii="Calibri" w:eastAsiaTheme="minorHAnsi" w:hAnsi="Calibri"/>
      <w:b/>
      <w:bCs/>
      <w:lang w:eastAsia="en-US"/>
    </w:rPr>
  </w:style>
  <w:style w:type="paragraph" w:styleId="BodyText">
    <w:name w:val="Body Text"/>
    <w:basedOn w:val="Normal"/>
    <w:link w:val="BodyTextChar"/>
    <w:rsid w:val="00291A17"/>
    <w:pPr>
      <w:spacing w:after="240"/>
    </w:pPr>
    <w:rPr>
      <w:rFonts w:ascii="Arial" w:eastAsia="Times New Roman" w:hAnsi="Arial"/>
      <w:sz w:val="24"/>
      <w:szCs w:val="20"/>
      <w:lang w:val="x-none"/>
    </w:rPr>
  </w:style>
  <w:style w:type="character" w:customStyle="1" w:styleId="BodyTextChar">
    <w:name w:val="Body Text Char"/>
    <w:basedOn w:val="DefaultParagraphFont"/>
    <w:link w:val="BodyText"/>
    <w:rsid w:val="00291A17"/>
    <w:rPr>
      <w:rFonts w:ascii="Arial" w:hAnsi="Arial"/>
      <w:sz w:val="24"/>
      <w:lang w:val="x-none" w:eastAsia="en-US"/>
    </w:rPr>
  </w:style>
  <w:style w:type="table" w:styleId="TableGrid">
    <w:name w:val="Table Grid"/>
    <w:basedOn w:val="TableNormal"/>
    <w:rsid w:val="00C94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6A5C"/>
    <w:pPr>
      <w:ind w:left="720"/>
      <w:contextualSpacing/>
    </w:pPr>
  </w:style>
  <w:style w:type="paragraph" w:customStyle="1" w:styleId="Bulletindent1">
    <w:name w:val="Bullet indent 1"/>
    <w:basedOn w:val="Normal"/>
    <w:link w:val="Bulletindent1Char"/>
    <w:qFormat/>
    <w:rsid w:val="00715265"/>
    <w:pPr>
      <w:spacing w:line="360" w:lineRule="auto"/>
    </w:pPr>
    <w:rPr>
      <w:rFonts w:ascii="Arial" w:eastAsia="Times New Roman" w:hAnsi="Arial"/>
      <w:sz w:val="24"/>
      <w:szCs w:val="24"/>
    </w:rPr>
  </w:style>
  <w:style w:type="paragraph" w:customStyle="1" w:styleId="Bulletindent1last">
    <w:name w:val="Bullet indent 1 last"/>
    <w:basedOn w:val="Normal"/>
    <w:next w:val="Normal"/>
    <w:rsid w:val="00715265"/>
    <w:pPr>
      <w:numPr>
        <w:numId w:val="31"/>
      </w:numPr>
      <w:tabs>
        <w:tab w:val="clear" w:pos="1418"/>
        <w:tab w:val="num" w:pos="851"/>
      </w:tabs>
      <w:spacing w:after="240" w:line="360" w:lineRule="auto"/>
      <w:ind w:left="851" w:hanging="425"/>
    </w:pPr>
    <w:rPr>
      <w:rFonts w:ascii="Arial" w:eastAsia="Times New Roman" w:hAnsi="Arial"/>
      <w:sz w:val="24"/>
      <w:szCs w:val="24"/>
    </w:rPr>
  </w:style>
  <w:style w:type="paragraph" w:customStyle="1" w:styleId="Heading3boardreport">
    <w:name w:val="Heading 3 board report"/>
    <w:basedOn w:val="Normal"/>
    <w:next w:val="Normal"/>
    <w:qFormat/>
    <w:rsid w:val="00715265"/>
    <w:pPr>
      <w:keepNext/>
      <w:spacing w:before="120" w:after="60" w:line="360" w:lineRule="auto"/>
      <w:outlineLvl w:val="2"/>
    </w:pPr>
    <w:rPr>
      <w:rFonts w:ascii="Arial" w:eastAsia="Times New Roman" w:hAnsi="Arial" w:cs="Arial"/>
      <w:b/>
      <w:bCs/>
      <w:color w:val="00506A"/>
      <w:sz w:val="26"/>
      <w:szCs w:val="26"/>
    </w:rPr>
  </w:style>
  <w:style w:type="paragraph" w:customStyle="1" w:styleId="NICEnormalnumbered">
    <w:name w:val="NICE normal numbered"/>
    <w:basedOn w:val="Paragraph"/>
    <w:qFormat/>
    <w:rsid w:val="00715265"/>
    <w:pPr>
      <w:numPr>
        <w:numId w:val="25"/>
      </w:numPr>
      <w:tabs>
        <w:tab w:val="clear" w:pos="567"/>
        <w:tab w:val="left" w:pos="426"/>
      </w:tabs>
      <w:spacing w:before="200" w:after="0" w:line="360" w:lineRule="auto"/>
      <w:ind w:left="425" w:hanging="425"/>
    </w:pPr>
    <w:rPr>
      <w:rFonts w:eastAsia="Times New Roman"/>
      <w:sz w:val="24"/>
      <w:szCs w:val="24"/>
      <w:lang w:eastAsia="en-GB"/>
    </w:rPr>
  </w:style>
  <w:style w:type="paragraph" w:customStyle="1" w:styleId="Numberedheading1">
    <w:name w:val="Numbered heading 1"/>
    <w:basedOn w:val="Heading1"/>
    <w:next w:val="Normal"/>
    <w:qFormat/>
    <w:rsid w:val="00EC53AC"/>
    <w:pPr>
      <w:numPr>
        <w:numId w:val="34"/>
      </w:numPr>
      <w:spacing w:before="240" w:line="360" w:lineRule="auto"/>
    </w:pPr>
    <w:rPr>
      <w:rFonts w:eastAsia="Times New Roman" w:cs="Arial"/>
      <w:sz w:val="32"/>
      <w:szCs w:val="24"/>
    </w:rPr>
  </w:style>
  <w:style w:type="paragraph" w:customStyle="1" w:styleId="Numberedheading2">
    <w:name w:val="Numbered heading 2"/>
    <w:basedOn w:val="Heading2"/>
    <w:next w:val="Normal"/>
    <w:qFormat/>
    <w:rsid w:val="00EC53AC"/>
    <w:pPr>
      <w:numPr>
        <w:ilvl w:val="1"/>
        <w:numId w:val="34"/>
      </w:numPr>
      <w:spacing w:before="240" w:after="60" w:line="360" w:lineRule="auto"/>
    </w:pPr>
    <w:rPr>
      <w:rFonts w:eastAsia="Times New Roman" w:cs="Arial"/>
      <w:i w:val="0"/>
      <w:iCs w:val="0"/>
      <w:sz w:val="28"/>
      <w:szCs w:val="28"/>
    </w:rPr>
  </w:style>
  <w:style w:type="paragraph" w:customStyle="1" w:styleId="Numberedlevel4text">
    <w:name w:val="Numbered level 4 text"/>
    <w:basedOn w:val="Normal"/>
    <w:next w:val="Normal"/>
    <w:rsid w:val="00EC53AC"/>
    <w:pPr>
      <w:numPr>
        <w:ilvl w:val="3"/>
        <w:numId w:val="34"/>
      </w:numPr>
      <w:spacing w:after="240" w:line="360" w:lineRule="auto"/>
    </w:pPr>
    <w:rPr>
      <w:rFonts w:ascii="Arial" w:eastAsia="Times New Roman" w:hAnsi="Arial"/>
      <w:sz w:val="24"/>
      <w:szCs w:val="24"/>
    </w:rPr>
  </w:style>
  <w:style w:type="paragraph" w:customStyle="1" w:styleId="Numberedlevel3text">
    <w:name w:val="Numbered level 3 text"/>
    <w:basedOn w:val="Normal"/>
    <w:qFormat/>
    <w:rsid w:val="00EC53AC"/>
    <w:pPr>
      <w:keepNext/>
      <w:spacing w:after="240" w:line="360" w:lineRule="auto"/>
    </w:pPr>
    <w:rPr>
      <w:rFonts w:ascii="Arial" w:eastAsia="Times New Roman" w:hAnsi="Arial" w:cs="Arial"/>
      <w:bCs/>
      <w:sz w:val="24"/>
      <w:szCs w:val="24"/>
    </w:rPr>
  </w:style>
  <w:style w:type="character" w:customStyle="1" w:styleId="Bulletindent1Char">
    <w:name w:val="Bullet indent 1 Char"/>
    <w:link w:val="Bulletindent1"/>
    <w:rsid w:val="00EC53AC"/>
    <w:rPr>
      <w:rFonts w:ascii="Arial" w:hAnsi="Arial"/>
      <w:sz w:val="24"/>
      <w:szCs w:val="24"/>
      <w:lang w:eastAsia="en-US"/>
    </w:rPr>
  </w:style>
  <w:style w:type="character" w:styleId="UnresolvedMention">
    <w:name w:val="Unresolved Mention"/>
    <w:basedOn w:val="DefaultParagraphFont"/>
    <w:uiPriority w:val="99"/>
    <w:semiHidden/>
    <w:unhideWhenUsed/>
    <w:rsid w:val="00DF772E"/>
    <w:rPr>
      <w:color w:val="605E5C"/>
      <w:shd w:val="clear" w:color="auto" w:fill="E1DFDD"/>
    </w:rPr>
  </w:style>
  <w:style w:type="character" w:styleId="FollowedHyperlink">
    <w:name w:val="FollowedHyperlink"/>
    <w:basedOn w:val="DefaultParagraphFont"/>
    <w:semiHidden/>
    <w:unhideWhenUsed/>
    <w:rsid w:val="009B5CC9"/>
    <w:rPr>
      <w:color w:val="800080" w:themeColor="followedHyperlink"/>
      <w:u w:val="single"/>
    </w:rPr>
  </w:style>
  <w:style w:type="paragraph" w:styleId="BodyText2">
    <w:name w:val="Body Text 2"/>
    <w:basedOn w:val="Normal"/>
    <w:link w:val="BodyText2Char"/>
    <w:unhideWhenUsed/>
    <w:rsid w:val="005F7FAC"/>
    <w:pPr>
      <w:spacing w:after="120" w:line="480" w:lineRule="auto"/>
    </w:pPr>
  </w:style>
  <w:style w:type="character" w:customStyle="1" w:styleId="BodyText2Char">
    <w:name w:val="Body Text 2 Char"/>
    <w:basedOn w:val="DefaultParagraphFont"/>
    <w:link w:val="BodyText2"/>
    <w:rsid w:val="005F7FAC"/>
    <w:rPr>
      <w:rFonts w:ascii="Calibri" w:eastAsiaTheme="minorHAnsi" w:hAnsi="Calibri"/>
      <w:sz w:val="22"/>
      <w:szCs w:val="22"/>
      <w:lang w:eastAsia="en-US"/>
    </w:rPr>
  </w:style>
  <w:style w:type="paragraph" w:styleId="Revision">
    <w:name w:val="Revision"/>
    <w:hidden/>
    <w:uiPriority w:val="99"/>
    <w:semiHidden/>
    <w:rsid w:val="00757265"/>
    <w:rPr>
      <w:rFonts w:ascii="Calibri" w:eastAsiaTheme="minorHAnsi" w:hAnsi="Calibri"/>
      <w:sz w:val="22"/>
      <w:szCs w:val="22"/>
      <w:lang w:eastAsia="en-US"/>
    </w:rPr>
  </w:style>
  <w:style w:type="paragraph" w:customStyle="1" w:styleId="MSDCaption">
    <w:name w:val="MSD Caption"/>
    <w:rsid w:val="00E17667"/>
    <w:pPr>
      <w:keepNext/>
      <w:keepLines/>
      <w:spacing w:before="240" w:after="60"/>
    </w:pPr>
    <w:rPr>
      <w:rFonts w:ascii="Arial" w:hAnsi="Arial" w:cs="Arial"/>
      <w:b/>
      <w:bCs/>
      <w:sz w:val="24"/>
      <w:szCs w:val="24"/>
      <w:lang w:eastAsia="en-US"/>
    </w:rPr>
  </w:style>
  <w:style w:type="paragraph" w:customStyle="1" w:styleId="MSDTableHeading">
    <w:name w:val="MSD Table Heading"/>
    <w:rsid w:val="00E17667"/>
    <w:rPr>
      <w:rFonts w:ascii="Arial" w:hAnsi="Arial"/>
      <w:b/>
      <w:bCs/>
      <w:sz w:val="22"/>
      <w:szCs w:val="22"/>
      <w:lang w:eastAsia="en-US"/>
    </w:rPr>
  </w:style>
  <w:style w:type="paragraph" w:customStyle="1" w:styleId="MSDTableText">
    <w:name w:val="MSD Table Text"/>
    <w:link w:val="MSDTableTextChar"/>
    <w:rsid w:val="00E17667"/>
    <w:rPr>
      <w:rFonts w:ascii="Arial" w:hAnsi="Arial"/>
      <w:sz w:val="22"/>
      <w:szCs w:val="22"/>
      <w:lang w:eastAsia="en-US"/>
    </w:rPr>
  </w:style>
  <w:style w:type="character" w:customStyle="1" w:styleId="MSDTableTextChar">
    <w:name w:val="MSD Table Text Char"/>
    <w:basedOn w:val="DefaultParagraphFont"/>
    <w:link w:val="MSDTableText"/>
    <w:rsid w:val="00E17667"/>
    <w:rPr>
      <w:rFonts w:ascii="Arial" w:hAnsi="Arial"/>
      <w:sz w:val="22"/>
      <w:szCs w:val="22"/>
      <w:lang w:eastAsia="en-US"/>
    </w:rPr>
  </w:style>
  <w:style w:type="paragraph" w:customStyle="1" w:styleId="MSDTableBullet1">
    <w:name w:val="MSD Table Bullet 1"/>
    <w:rsid w:val="00021CDF"/>
    <w:pPr>
      <w:numPr>
        <w:numId w:val="39"/>
      </w:numPr>
      <w:ind w:left="460" w:hanging="284"/>
    </w:pPr>
    <w:rPr>
      <w:rFonts w:ascii="Arial" w:hAnsi="Arial"/>
      <w:sz w:val="22"/>
      <w:szCs w:val="22"/>
      <w:lang w:eastAsia="en-US"/>
    </w:rPr>
  </w:style>
  <w:style w:type="paragraph" w:customStyle="1" w:styleId="MSDTableBullet2">
    <w:name w:val="MSD Table Bullet 2"/>
    <w:rsid w:val="00021CDF"/>
    <w:pPr>
      <w:numPr>
        <w:ilvl w:val="1"/>
        <w:numId w:val="39"/>
      </w:numPr>
      <w:ind w:left="743" w:hanging="284"/>
    </w:pPr>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72171">
      <w:bodyDiv w:val="1"/>
      <w:marLeft w:val="0"/>
      <w:marRight w:val="0"/>
      <w:marTop w:val="0"/>
      <w:marBottom w:val="0"/>
      <w:divBdr>
        <w:top w:val="none" w:sz="0" w:space="0" w:color="auto"/>
        <w:left w:val="none" w:sz="0" w:space="0" w:color="auto"/>
        <w:bottom w:val="none" w:sz="0" w:space="0" w:color="auto"/>
        <w:right w:val="none" w:sz="0" w:space="0" w:color="auto"/>
      </w:divBdr>
    </w:div>
    <w:div w:id="431048917">
      <w:bodyDiv w:val="1"/>
      <w:marLeft w:val="0"/>
      <w:marRight w:val="0"/>
      <w:marTop w:val="0"/>
      <w:marBottom w:val="0"/>
      <w:divBdr>
        <w:top w:val="none" w:sz="0" w:space="0" w:color="auto"/>
        <w:left w:val="none" w:sz="0" w:space="0" w:color="auto"/>
        <w:bottom w:val="none" w:sz="0" w:space="0" w:color="auto"/>
        <w:right w:val="none" w:sz="0" w:space="0" w:color="auto"/>
      </w:divBdr>
    </w:div>
    <w:div w:id="788478749">
      <w:bodyDiv w:val="1"/>
      <w:marLeft w:val="0"/>
      <w:marRight w:val="0"/>
      <w:marTop w:val="0"/>
      <w:marBottom w:val="0"/>
      <w:divBdr>
        <w:top w:val="none" w:sz="0" w:space="0" w:color="auto"/>
        <w:left w:val="none" w:sz="0" w:space="0" w:color="auto"/>
        <w:bottom w:val="none" w:sz="0" w:space="0" w:color="auto"/>
        <w:right w:val="none" w:sz="0" w:space="0" w:color="auto"/>
      </w:divBdr>
      <w:divsChild>
        <w:div w:id="588465201">
          <w:marLeft w:val="446"/>
          <w:marRight w:val="0"/>
          <w:marTop w:val="200"/>
          <w:marBottom w:val="0"/>
          <w:divBdr>
            <w:top w:val="none" w:sz="0" w:space="0" w:color="auto"/>
            <w:left w:val="none" w:sz="0" w:space="0" w:color="auto"/>
            <w:bottom w:val="none" w:sz="0" w:space="0" w:color="auto"/>
            <w:right w:val="none" w:sz="0" w:space="0" w:color="auto"/>
          </w:divBdr>
        </w:div>
      </w:divsChild>
    </w:div>
    <w:div w:id="797378473">
      <w:bodyDiv w:val="1"/>
      <w:marLeft w:val="0"/>
      <w:marRight w:val="0"/>
      <w:marTop w:val="0"/>
      <w:marBottom w:val="0"/>
      <w:divBdr>
        <w:top w:val="none" w:sz="0" w:space="0" w:color="auto"/>
        <w:left w:val="none" w:sz="0" w:space="0" w:color="auto"/>
        <w:bottom w:val="none" w:sz="0" w:space="0" w:color="auto"/>
        <w:right w:val="none" w:sz="0" w:space="0" w:color="auto"/>
      </w:divBdr>
    </w:div>
    <w:div w:id="833224785">
      <w:bodyDiv w:val="1"/>
      <w:marLeft w:val="0"/>
      <w:marRight w:val="0"/>
      <w:marTop w:val="0"/>
      <w:marBottom w:val="0"/>
      <w:divBdr>
        <w:top w:val="none" w:sz="0" w:space="0" w:color="auto"/>
        <w:left w:val="none" w:sz="0" w:space="0" w:color="auto"/>
        <w:bottom w:val="none" w:sz="0" w:space="0" w:color="auto"/>
        <w:right w:val="none" w:sz="0" w:space="0" w:color="auto"/>
      </w:divBdr>
    </w:div>
    <w:div w:id="1112745497">
      <w:bodyDiv w:val="1"/>
      <w:marLeft w:val="0"/>
      <w:marRight w:val="0"/>
      <w:marTop w:val="0"/>
      <w:marBottom w:val="0"/>
      <w:divBdr>
        <w:top w:val="none" w:sz="0" w:space="0" w:color="auto"/>
        <w:left w:val="none" w:sz="0" w:space="0" w:color="auto"/>
        <w:bottom w:val="none" w:sz="0" w:space="0" w:color="auto"/>
        <w:right w:val="none" w:sz="0" w:space="0" w:color="auto"/>
      </w:divBdr>
      <w:divsChild>
        <w:div w:id="1652905822">
          <w:marLeft w:val="0"/>
          <w:marRight w:val="0"/>
          <w:marTop w:val="0"/>
          <w:marBottom w:val="0"/>
          <w:divBdr>
            <w:top w:val="none" w:sz="0" w:space="0" w:color="auto"/>
            <w:left w:val="none" w:sz="0" w:space="0" w:color="auto"/>
            <w:bottom w:val="none" w:sz="0" w:space="0" w:color="auto"/>
            <w:right w:val="none" w:sz="0" w:space="0" w:color="auto"/>
          </w:divBdr>
        </w:div>
      </w:divsChild>
    </w:div>
    <w:div w:id="1700400005">
      <w:bodyDiv w:val="1"/>
      <w:marLeft w:val="0"/>
      <w:marRight w:val="0"/>
      <w:marTop w:val="0"/>
      <w:marBottom w:val="0"/>
      <w:divBdr>
        <w:top w:val="none" w:sz="0" w:space="0" w:color="auto"/>
        <w:left w:val="none" w:sz="0" w:space="0" w:color="auto"/>
        <w:bottom w:val="none" w:sz="0" w:space="0" w:color="auto"/>
        <w:right w:val="none" w:sz="0" w:space="0" w:color="auto"/>
      </w:divBdr>
      <w:divsChild>
        <w:div w:id="8912965">
          <w:marLeft w:val="0"/>
          <w:marRight w:val="0"/>
          <w:marTop w:val="0"/>
          <w:marBottom w:val="0"/>
          <w:divBdr>
            <w:top w:val="none" w:sz="0" w:space="0" w:color="auto"/>
            <w:left w:val="none" w:sz="0" w:space="0" w:color="auto"/>
            <w:bottom w:val="none" w:sz="0" w:space="0" w:color="auto"/>
            <w:right w:val="none" w:sz="0" w:space="0" w:color="auto"/>
          </w:divBdr>
        </w:div>
      </w:divsChild>
    </w:div>
    <w:div w:id="1954021910">
      <w:bodyDiv w:val="1"/>
      <w:marLeft w:val="0"/>
      <w:marRight w:val="0"/>
      <w:marTop w:val="0"/>
      <w:marBottom w:val="0"/>
      <w:divBdr>
        <w:top w:val="none" w:sz="0" w:space="0" w:color="auto"/>
        <w:left w:val="none" w:sz="0" w:space="0" w:color="auto"/>
        <w:bottom w:val="none" w:sz="0" w:space="0" w:color="auto"/>
        <w:right w:val="none" w:sz="0" w:space="0" w:color="auto"/>
      </w:divBdr>
    </w:div>
    <w:div w:id="2083091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37/chapter/highly-specialised-technologi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ps.nhs.uk/medicines/belzutifa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7F968-59B7-4D0A-941A-3FA360BFC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6</Pages>
  <Words>2665</Words>
  <Characters>15195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Dent</dc:creator>
  <cp:keywords/>
  <dc:description/>
  <cp:lastModifiedBy>Stephanie Callaghan</cp:lastModifiedBy>
  <cp:revision>3</cp:revision>
  <cp:lastPrinted>2020-02-04T14:39:00Z</cp:lastPrinted>
  <dcterms:created xsi:type="dcterms:W3CDTF">2023-06-30T13:40:00Z</dcterms:created>
  <dcterms:modified xsi:type="dcterms:W3CDTF">2023-08-21T11:44:00Z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e10bccae-8875-3c66-a905-7e9b68c66738</vt:lpwstr>
  </property>
  <property fmtid="{D5CDD505-2E9C-101B-9397-08002B2CF9AE}" pid="4" name="Mendeley Citation Style_1">
    <vt:lpwstr>http://www.zotero.org/styles/the-lancet</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http://www.zotero.org/styles/the-lancet</vt:lpwstr>
  </property>
  <property fmtid="{D5CDD505-2E9C-101B-9397-08002B2CF9AE}" pid="24" name="Mendeley Recent Style Name 9_1">
    <vt:lpwstr>The Lancet</vt:lpwstr>
  </property>
  <property fmtid="{D5CDD505-2E9C-101B-9397-08002B2CF9AE}" pid="25" name="MSIP_Label_c69d85d5-6d9e-4305-a294-1f636ec0f2d6_Enabled">
    <vt:lpwstr>true</vt:lpwstr>
  </property>
  <property fmtid="{D5CDD505-2E9C-101B-9397-08002B2CF9AE}" pid="26" name="MSIP_Label_c69d85d5-6d9e-4305-a294-1f636ec0f2d6_SetDate">
    <vt:lpwstr>2023-06-30T13:40:33Z</vt:lpwstr>
  </property>
  <property fmtid="{D5CDD505-2E9C-101B-9397-08002B2CF9AE}" pid="27" name="MSIP_Label_c69d85d5-6d9e-4305-a294-1f636ec0f2d6_Method">
    <vt:lpwstr>Standard</vt:lpwstr>
  </property>
  <property fmtid="{D5CDD505-2E9C-101B-9397-08002B2CF9AE}" pid="28" name="MSIP_Label_c69d85d5-6d9e-4305-a294-1f636ec0f2d6_Name">
    <vt:lpwstr>OFFICIAL</vt:lpwstr>
  </property>
  <property fmtid="{D5CDD505-2E9C-101B-9397-08002B2CF9AE}" pid="29" name="MSIP_Label_c69d85d5-6d9e-4305-a294-1f636ec0f2d6_SiteId">
    <vt:lpwstr>6030f479-b342-472d-a5dd-740ff7538de9</vt:lpwstr>
  </property>
  <property fmtid="{D5CDD505-2E9C-101B-9397-08002B2CF9AE}" pid="30" name="MSIP_Label_c69d85d5-6d9e-4305-a294-1f636ec0f2d6_ActionId">
    <vt:lpwstr>d61aa854-7175-4366-be3c-58cccd0185e3</vt:lpwstr>
  </property>
  <property fmtid="{D5CDD505-2E9C-101B-9397-08002B2CF9AE}" pid="31" name="MSIP_Label_c69d85d5-6d9e-4305-a294-1f636ec0f2d6_ContentBits">
    <vt:lpwstr>0</vt:lpwstr>
  </property>
</Properties>
</file>