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3022B" w:rsidR="00593F3D" w:rsidP="3146B211" w:rsidRDefault="00593F3D" w14:paraId="6E36A80E" w14:textId="5472BAA1">
      <w:pPr>
        <w:rPr>
          <w:rFonts w:ascii="Arial" w:hAnsi="Arial" w:cs="Arial"/>
          <w:sz w:val="20"/>
          <w:szCs w:val="20"/>
        </w:rPr>
      </w:pPr>
      <w:r w:rsidRPr="3146B211" w:rsidR="00593F3D">
        <w:rPr>
          <w:rFonts w:ascii="Arial" w:hAnsi="Arial" w:cs="Arial"/>
          <w:sz w:val="20"/>
          <w:szCs w:val="20"/>
        </w:rPr>
        <w:t>Sent by e-mail only:</w:t>
      </w:r>
      <w:r w:rsidRPr="3146B211" w:rsidR="00593F3D">
        <w:rPr>
          <w:rFonts w:ascii="Arial" w:hAnsi="Arial" w:cs="Arial"/>
          <w:color w:val="auto"/>
          <w:sz w:val="20"/>
          <w:szCs w:val="20"/>
        </w:rPr>
        <w:t xml:space="preserve"> </w:t>
      </w:r>
      <w:r w:rsidRPr="3146B211" w:rsidR="5DDDC839">
        <w:rPr>
          <w:rFonts w:ascii="Arial" w:hAnsi="Arial" w:cs="Arial"/>
          <w:color w:val="auto"/>
          <w:sz w:val="20"/>
          <w:szCs w:val="20"/>
          <w:highlight w:val="black"/>
        </w:rPr>
        <w:t>XXXXXXXXXXXXX</w:t>
      </w:r>
    </w:p>
    <w:p w:rsidR="00BB16DB" w:rsidP="00F96ED2" w:rsidRDefault="00BB16DB" w14:paraId="41DA0437" w14:textId="49B77D87">
      <w:pPr>
        <w:spacing w:after="0" w:line="240" w:lineRule="auto"/>
        <w:jc w:val="both"/>
        <w:rPr>
          <w:rFonts w:ascii="Arial" w:hAnsi="Arial" w:cs="Arial"/>
          <w:sz w:val="20"/>
          <w:szCs w:val="20"/>
        </w:rPr>
      </w:pPr>
      <w:r w:rsidRPr="3146B211" w:rsidR="00BB16DB">
        <w:rPr>
          <w:rFonts w:ascii="Arial" w:hAnsi="Arial" w:cs="Arial"/>
          <w:sz w:val="20"/>
          <w:szCs w:val="20"/>
        </w:rPr>
        <w:t>FAO</w:t>
      </w:r>
      <w:r w:rsidRPr="3146B211" w:rsidR="792FC949">
        <w:rPr>
          <w:rFonts w:ascii="Arial" w:hAnsi="Arial" w:cs="Arial"/>
          <w:sz w:val="20"/>
          <w:szCs w:val="20"/>
        </w:rPr>
        <w:t xml:space="preserve"> </w:t>
      </w:r>
      <w:r w:rsidRPr="3146B211" w:rsidR="792FC949">
        <w:rPr>
          <w:rFonts w:ascii="Arial" w:hAnsi="Arial" w:cs="Arial"/>
          <w:color w:val="auto"/>
          <w:sz w:val="20"/>
          <w:szCs w:val="20"/>
          <w:highlight w:val="black"/>
        </w:rPr>
        <w:t>XXXXXXXXXXX</w:t>
      </w:r>
    </w:p>
    <w:p w:rsidRPr="00BB16DB" w:rsidR="00F96ED2" w:rsidP="00F96ED2" w:rsidRDefault="00F96ED2" w14:paraId="63E097CE" w14:textId="77777777">
      <w:pPr>
        <w:spacing w:after="0" w:line="240" w:lineRule="auto"/>
        <w:jc w:val="both"/>
        <w:rPr>
          <w:rFonts w:ascii="Arial" w:hAnsi="Arial" w:cs="Arial"/>
          <w:sz w:val="20"/>
          <w:szCs w:val="20"/>
        </w:rPr>
      </w:pPr>
      <w:r>
        <w:rPr>
          <w:rFonts w:ascii="Arial" w:hAnsi="Arial" w:cs="Arial"/>
          <w:sz w:val="20"/>
          <w:szCs w:val="20"/>
        </w:rPr>
        <w:t xml:space="preserve">Chair </w:t>
      </w:r>
      <w:r>
        <w:rPr>
          <w:rFonts w:ascii="Arial" w:hAnsi="Arial" w:cs="Arial"/>
          <w:sz w:val="20"/>
          <w:szCs w:val="20"/>
        </w:rPr>
        <w:br/>
      </w:r>
      <w:r>
        <w:rPr>
          <w:rFonts w:ascii="Arial" w:hAnsi="Arial" w:cs="Arial"/>
          <w:sz w:val="20"/>
          <w:szCs w:val="20"/>
        </w:rPr>
        <w:t>PNH Support</w:t>
      </w:r>
    </w:p>
    <w:p w:rsidRPr="0043022B" w:rsidR="00F24B1D" w:rsidRDefault="00F24B1D" w14:paraId="3A2CB445" w14:textId="77777777">
      <w:pPr>
        <w:rPr>
          <w:rFonts w:ascii="Arial" w:hAnsi="Arial" w:cs="Arial"/>
          <w:sz w:val="20"/>
          <w:szCs w:val="20"/>
        </w:rPr>
      </w:pPr>
    </w:p>
    <w:p w:rsidRPr="0043022B" w:rsidR="00B737D4" w:rsidP="5589D001" w:rsidRDefault="00B737D4" w14:paraId="3AAE8E2F" w14:textId="2716841D">
      <w:pPr>
        <w:pStyle w:val="Normal"/>
        <w:suppressLineNumbers w:val="0"/>
        <w:bidi w:val="0"/>
        <w:spacing w:before="0" w:beforeAutospacing="off" w:after="200" w:afterAutospacing="off" w:line="276" w:lineRule="auto"/>
        <w:ind w:left="0" w:right="0"/>
        <w:jc w:val="left"/>
        <w:rPr>
          <w:rFonts w:ascii="Arial" w:hAnsi="Arial" w:cs="Arial"/>
          <w:sz w:val="20"/>
          <w:szCs w:val="20"/>
        </w:rPr>
      </w:pPr>
      <w:r w:rsidRPr="5589D001" w:rsidR="2282DB7D">
        <w:rPr>
          <w:rFonts w:ascii="Arial" w:hAnsi="Arial" w:cs="Arial"/>
          <w:sz w:val="20"/>
          <w:szCs w:val="20"/>
        </w:rPr>
        <w:t>Monday 11 November 2024</w:t>
      </w:r>
    </w:p>
    <w:p w:rsidRPr="0043022B" w:rsidR="00F24B1D" w:rsidP="3146B211" w:rsidRDefault="00F24B1D" w14:paraId="55916F73" w14:textId="5D05C23D">
      <w:pPr>
        <w:ind w:left="426" w:right="468" w:hanging="426"/>
        <w:jc w:val="both"/>
        <w:rPr>
          <w:rFonts w:ascii="Arial" w:hAnsi="Arial" w:cs="Arial"/>
          <w:noProof/>
          <w:spacing w:val="-3"/>
          <w:sz w:val="20"/>
          <w:szCs w:val="20"/>
          <w:lang w:eastAsia="en-GB"/>
        </w:rPr>
      </w:pPr>
      <w:bookmarkStart w:name="deartext" w:id="0"/>
      <w:r w:rsidRPr="3146B211" w:rsidR="00F24B1D">
        <w:rPr>
          <w:rFonts w:ascii="Arial" w:hAnsi="Arial" w:cs="Arial"/>
          <w:sz w:val="20"/>
          <w:szCs w:val="20"/>
        </w:rPr>
        <w:t>Dear</w:t>
      </w:r>
      <w:bookmarkEnd w:id="0"/>
      <w:r w:rsidRPr="3146B211" w:rsidR="00F24B1D">
        <w:rPr>
          <w:rFonts w:ascii="Arial" w:hAnsi="Arial" w:cs="Arial"/>
          <w:sz w:val="20"/>
          <w:szCs w:val="20"/>
        </w:rPr>
        <w:t xml:space="preserve"> </w:t>
      </w:r>
      <w:r w:rsidRPr="3146B211" w:rsidR="471AB196">
        <w:rPr>
          <w:rFonts w:ascii="Arial" w:hAnsi="Arial" w:cs="Arial"/>
          <w:sz w:val="20"/>
          <w:szCs w:val="20"/>
          <w:highlight w:val="black"/>
        </w:rPr>
        <w:t>XXXXXXXXXX</w:t>
      </w:r>
      <w:bookmarkStart w:name="Sal" w:id="1"/>
      <w:bookmarkEnd w:id="1"/>
    </w:p>
    <w:p w:rsidRPr="0043022B" w:rsidR="00F24B1D" w:rsidP="00F24B1D" w:rsidRDefault="00F24B1D" w14:paraId="476D6877" w14:textId="77777777">
      <w:pPr>
        <w:ind w:left="426" w:right="468" w:hanging="426"/>
        <w:jc w:val="both"/>
        <w:rPr>
          <w:rFonts w:ascii="Arial" w:hAnsi="Arial" w:cs="Arial"/>
          <w:b/>
          <w:sz w:val="20"/>
          <w:szCs w:val="20"/>
        </w:rPr>
      </w:pPr>
      <w:r w:rsidRPr="0043022B">
        <w:rPr>
          <w:rFonts w:ascii="Arial" w:hAnsi="Arial" w:cs="Arial"/>
          <w:noProof/>
          <w:color w:val="333333"/>
          <w:sz w:val="20"/>
          <w:szCs w:val="20"/>
          <w:lang w:eastAsia="en-GB"/>
        </w:rPr>
        <mc:AlternateContent>
          <mc:Choice Requires="wps">
            <w:drawing>
              <wp:anchor distT="4294967294" distB="4294967294" distL="114300" distR="114300" simplePos="0" relativeHeight="251659264" behindDoc="0" locked="0" layoutInCell="1" allowOverlap="1" wp14:anchorId="7393FAB3" wp14:editId="0F05956C">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1923617">
              <v:line id="Straight Connector 2"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505050" strokeweight=".25pt"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w14:anchorId="166D2A6A">
                <o:lock v:ext="edit" shapetype="f"/>
              </v:line>
            </w:pict>
          </mc:Fallback>
        </mc:AlternateContent>
      </w:r>
      <w:r w:rsidRPr="0043022B">
        <w:rPr>
          <w:rFonts w:ascii="Arial" w:hAnsi="Arial" w:cs="Arial"/>
          <w:b/>
          <w:spacing w:val="-3"/>
          <w:sz w:val="20"/>
          <w:szCs w:val="20"/>
        </w:rPr>
        <w:t xml:space="preserve">Re: </w:t>
      </w:r>
      <w:r w:rsidRPr="0043022B">
        <w:rPr>
          <w:rFonts w:ascii="Arial" w:hAnsi="Arial" w:cs="Arial"/>
          <w:b/>
          <w:sz w:val="20"/>
          <w:szCs w:val="20"/>
        </w:rPr>
        <w:t xml:space="preserve">Final </w:t>
      </w:r>
      <w:r w:rsidR="00976623">
        <w:rPr>
          <w:rFonts w:ascii="Arial" w:hAnsi="Arial" w:cs="Arial"/>
          <w:b/>
          <w:sz w:val="20"/>
          <w:szCs w:val="20"/>
        </w:rPr>
        <w:t xml:space="preserve">Draft Guidance ("FDG") – </w:t>
      </w:r>
      <w:proofErr w:type="spellStart"/>
      <w:r w:rsidR="00976623">
        <w:rPr>
          <w:rFonts w:ascii="Arial" w:hAnsi="Arial" w:cs="Arial"/>
          <w:b/>
          <w:sz w:val="20"/>
          <w:szCs w:val="20"/>
        </w:rPr>
        <w:t>Crovalimab</w:t>
      </w:r>
      <w:proofErr w:type="spellEnd"/>
      <w:r w:rsidR="00976623">
        <w:rPr>
          <w:rFonts w:ascii="Arial" w:hAnsi="Arial" w:cs="Arial"/>
          <w:b/>
          <w:sz w:val="20"/>
          <w:szCs w:val="20"/>
        </w:rPr>
        <w:t xml:space="preserve"> for treating paroxysmal nocturnal haemoglobinuria in people 12 years and over [ID6140]</w:t>
      </w:r>
    </w:p>
    <w:p w:rsidRPr="00DB178D" w:rsidR="00DB178D" w:rsidP="00DB178D" w:rsidRDefault="00DB178D" w14:paraId="4B4D8754" w14:textId="77777777">
      <w:pPr>
        <w:spacing w:before="240" w:after="240"/>
        <w:jc w:val="both"/>
        <w:rPr>
          <w:rFonts w:ascii="Arial" w:hAnsi="Arial" w:eastAsia="Times New Roman" w:cs="Arial"/>
          <w:sz w:val="20"/>
          <w:szCs w:val="20"/>
        </w:rPr>
      </w:pPr>
      <w:r w:rsidRPr="00DB178D">
        <w:rPr>
          <w:rFonts w:ascii="Arial" w:hAnsi="Arial" w:eastAsia="Times New Roman" w:cs="Arial"/>
          <w:sz w:val="20"/>
          <w:szCs w:val="20"/>
        </w:rPr>
        <w:t xml:space="preserve">Thank you for your letter of </w:t>
      </w:r>
      <w:r w:rsidR="00976623">
        <w:rPr>
          <w:rFonts w:ascii="Arial" w:hAnsi="Arial" w:eastAsia="Times New Roman" w:cs="Arial"/>
          <w:sz w:val="20"/>
          <w:szCs w:val="20"/>
        </w:rPr>
        <w:t>31 October</w:t>
      </w:r>
      <w:r w:rsidR="00BB16DB">
        <w:rPr>
          <w:rFonts w:ascii="Arial" w:hAnsi="Arial" w:eastAsia="Times New Roman" w:cs="Arial"/>
          <w:sz w:val="20"/>
          <w:szCs w:val="20"/>
        </w:rPr>
        <w:t xml:space="preserve"> 2024</w:t>
      </w:r>
      <w:r w:rsidRPr="00DB178D">
        <w:rPr>
          <w:rFonts w:ascii="Arial" w:hAnsi="Arial" w:eastAsia="Times New Roman" w:cs="Arial"/>
          <w:sz w:val="20"/>
          <w:szCs w:val="20"/>
        </w:rPr>
        <w:t xml:space="preserve"> responding to my initial scrutiny views.  This is my final decision on initial scrutiny.</w:t>
      </w:r>
    </w:p>
    <w:p w:rsidRPr="00243EF5" w:rsidR="00DB178D" w:rsidP="00DB178D" w:rsidRDefault="00DB178D" w14:paraId="784D8325" w14:textId="77777777">
      <w:pPr>
        <w:pStyle w:val="Paragraph"/>
        <w:numPr>
          <w:ilvl w:val="0"/>
          <w:numId w:val="0"/>
        </w:numPr>
        <w:spacing w:before="120"/>
        <w:jc w:val="both"/>
        <w:rPr>
          <w:rFonts w:cs="Arial"/>
          <w:b/>
          <w:i/>
          <w:sz w:val="20"/>
          <w:szCs w:val="20"/>
        </w:rPr>
      </w:pPr>
      <w:r w:rsidRPr="00243EF5">
        <w:rPr>
          <w:rFonts w:cs="Arial"/>
          <w:b/>
          <w:i/>
          <w:sz w:val="20"/>
          <w:szCs w:val="20"/>
        </w:rPr>
        <w:t>Ground 2:</w:t>
      </w:r>
      <w:r w:rsidRPr="00243EF5">
        <w:rPr>
          <w:rFonts w:cs="Arial"/>
          <w:i/>
          <w:sz w:val="20"/>
          <w:szCs w:val="20"/>
        </w:rPr>
        <w:t xml:space="preserve"> </w:t>
      </w:r>
      <w:r w:rsidRPr="00243EF5">
        <w:rPr>
          <w:rFonts w:cs="Arial"/>
          <w:b/>
          <w:i/>
          <w:sz w:val="20"/>
          <w:szCs w:val="20"/>
        </w:rPr>
        <w:t>the recommendation is unreasonable in the light of the evidence submitted to NICE</w:t>
      </w:r>
    </w:p>
    <w:p w:rsidRPr="00041CAF" w:rsidR="00BB16DB" w:rsidP="5589D001" w:rsidRDefault="00BB16DB" w14:paraId="50AD1648" w14:textId="77777777">
      <w:pPr>
        <w:spacing w:before="120" w:after="240"/>
        <w:rPr>
          <w:rFonts w:ascii="Arial" w:hAnsi="Arial" w:cs="Arial"/>
          <w:sz w:val="20"/>
          <w:szCs w:val="20"/>
          <w:highlight w:val="yellow"/>
          <w:u w:val="single"/>
        </w:rPr>
      </w:pPr>
      <w:r w:rsidRPr="5589D001" w:rsidR="00BB16DB">
        <w:rPr>
          <w:rFonts w:ascii="Arial" w:hAnsi="Arial" w:cs="Arial"/>
          <w:b w:val="1"/>
          <w:bCs w:val="1"/>
          <w:sz w:val="20"/>
          <w:szCs w:val="20"/>
          <w:u w:val="single"/>
        </w:rPr>
        <w:t xml:space="preserve">Appeal </w:t>
      </w:r>
      <w:r w:rsidRPr="5589D001" w:rsidR="00BB16DB">
        <w:rPr>
          <w:rFonts w:ascii="Arial" w:hAnsi="Arial" w:cs="Arial"/>
          <w:b w:val="1"/>
          <w:bCs w:val="1"/>
          <w:sz w:val="20"/>
          <w:szCs w:val="20"/>
          <w:u w:val="single"/>
        </w:rPr>
        <w:t>point</w:t>
      </w:r>
      <w:r w:rsidRPr="5589D001" w:rsidR="00BB16DB">
        <w:rPr>
          <w:rFonts w:ascii="Arial" w:hAnsi="Arial" w:cs="Arial"/>
          <w:b w:val="1"/>
          <w:bCs w:val="1"/>
          <w:sz w:val="20"/>
          <w:szCs w:val="20"/>
          <w:u w:val="single"/>
        </w:rPr>
        <w:t xml:space="preserve"> 2.1: </w:t>
      </w:r>
      <w:r w:rsidRPr="5589D001" w:rsidR="00BB16DB">
        <w:rPr>
          <w:rFonts w:ascii="Arial" w:hAnsi="Arial" w:cs="Arial"/>
          <w:sz w:val="20"/>
          <w:szCs w:val="20"/>
          <w:u w:val="single"/>
        </w:rPr>
        <w:t>"</w:t>
      </w:r>
      <w:r w:rsidRPr="5589D001" w:rsidR="00976623">
        <w:rPr>
          <w:rFonts w:ascii="Arial" w:hAnsi="Arial" w:cs="Arial"/>
          <w:sz w:val="20"/>
          <w:szCs w:val="20"/>
          <w:u w:val="single"/>
        </w:rPr>
        <w:t>That the committee's conclusion that "</w:t>
      </w:r>
      <w:r w:rsidRPr="5589D001" w:rsidR="00976623">
        <w:rPr>
          <w:rFonts w:ascii="Arial" w:hAnsi="Arial" w:cs="Arial"/>
          <w:i w:val="1"/>
          <w:iCs w:val="1"/>
          <w:sz w:val="20"/>
          <w:szCs w:val="20"/>
          <w:u w:val="single"/>
        </w:rPr>
        <w:t xml:space="preserve">when switching from eculizumab or </w:t>
      </w:r>
      <w:r w:rsidRPr="5589D001" w:rsidR="00976623">
        <w:rPr>
          <w:rFonts w:ascii="Arial" w:hAnsi="Arial" w:cs="Arial"/>
          <w:i w:val="1"/>
          <w:iCs w:val="1"/>
          <w:sz w:val="20"/>
          <w:szCs w:val="20"/>
          <w:u w:val="single"/>
        </w:rPr>
        <w:t>ravulizumab</w:t>
      </w:r>
      <w:r w:rsidRPr="5589D001" w:rsidR="00976623">
        <w:rPr>
          <w:rFonts w:ascii="Arial" w:hAnsi="Arial" w:cs="Arial"/>
          <w:i w:val="1"/>
          <w:iCs w:val="1"/>
          <w:sz w:val="20"/>
          <w:szCs w:val="20"/>
          <w:u w:val="single"/>
        </w:rPr>
        <w:t xml:space="preserve"> to </w:t>
      </w:r>
      <w:r w:rsidRPr="5589D001" w:rsidR="00976623">
        <w:rPr>
          <w:rFonts w:ascii="Arial" w:hAnsi="Arial" w:cs="Arial"/>
          <w:i w:val="1"/>
          <w:iCs w:val="1"/>
          <w:sz w:val="20"/>
          <w:szCs w:val="20"/>
          <w:u w:val="single"/>
        </w:rPr>
        <w:t>crovalimab</w:t>
      </w:r>
      <w:r w:rsidRPr="5589D001" w:rsidR="00976623">
        <w:rPr>
          <w:rFonts w:ascii="Arial" w:hAnsi="Arial" w:cs="Arial"/>
          <w:i w:val="1"/>
          <w:iCs w:val="1"/>
          <w:sz w:val="20"/>
          <w:szCs w:val="20"/>
          <w:u w:val="single"/>
        </w:rPr>
        <w:t xml:space="preserve"> some people can experience adverse events called transient immune complex reactions. But these usually do not last l</w:t>
      </w:r>
      <w:r w:rsidRPr="5589D001" w:rsidR="00976623">
        <w:rPr>
          <w:rFonts w:ascii="Arial" w:hAnsi="Arial" w:cs="Arial"/>
          <w:i w:val="1"/>
          <w:iCs w:val="1"/>
          <w:sz w:val="20"/>
          <w:szCs w:val="20"/>
          <w:u w:val="single"/>
        </w:rPr>
        <w:t xml:space="preserve">ong and so are not included in the economic model" </w:t>
      </w:r>
      <w:r w:rsidRPr="5589D001" w:rsidR="00976623">
        <w:rPr>
          <w:rFonts w:ascii="Arial" w:hAnsi="Arial" w:cs="Arial"/>
          <w:sz w:val="20"/>
          <w:szCs w:val="20"/>
          <w:u w:val="single"/>
        </w:rPr>
        <w:t xml:space="preserve">is unreasonable </w:t>
      </w:r>
      <w:r w:rsidRPr="5589D001" w:rsidR="00976623">
        <w:rPr>
          <w:rFonts w:ascii="Arial" w:hAnsi="Arial" w:cs="Arial"/>
          <w:sz w:val="20"/>
          <w:szCs w:val="20"/>
          <w:u w:val="single"/>
        </w:rPr>
        <w:t>on the basis of</w:t>
      </w:r>
      <w:r w:rsidRPr="5589D001" w:rsidR="00976623">
        <w:rPr>
          <w:rFonts w:ascii="Arial" w:hAnsi="Arial" w:cs="Arial"/>
          <w:sz w:val="20"/>
          <w:szCs w:val="20"/>
          <w:u w:val="single"/>
        </w:rPr>
        <w:t xml:space="preserve"> the evidence put to the committee regarding "</w:t>
      </w:r>
      <w:r w:rsidRPr="5589D001" w:rsidR="00976623">
        <w:rPr>
          <w:rFonts w:ascii="Arial" w:hAnsi="Arial" w:cs="Arial"/>
          <w:i w:val="1"/>
          <w:iCs w:val="1"/>
          <w:sz w:val="20"/>
          <w:szCs w:val="20"/>
          <w:u w:val="single"/>
        </w:rPr>
        <w:t xml:space="preserve">three patients globally who had serious adverse reactions when switched from </w:t>
      </w:r>
      <w:r w:rsidRPr="5589D001" w:rsidR="00976623">
        <w:rPr>
          <w:rFonts w:ascii="Arial" w:hAnsi="Arial" w:cs="Arial"/>
          <w:i w:val="1"/>
          <w:iCs w:val="1"/>
          <w:sz w:val="20"/>
          <w:szCs w:val="20"/>
          <w:u w:val="single"/>
        </w:rPr>
        <w:t>ravulizumab</w:t>
      </w:r>
      <w:r w:rsidRPr="5589D001" w:rsidR="00976623">
        <w:rPr>
          <w:rFonts w:ascii="Arial" w:hAnsi="Arial" w:cs="Arial"/>
          <w:i w:val="1"/>
          <w:iCs w:val="1"/>
          <w:sz w:val="20"/>
          <w:szCs w:val="20"/>
          <w:u w:val="single"/>
        </w:rPr>
        <w:t xml:space="preserve"> to </w:t>
      </w:r>
      <w:r w:rsidRPr="5589D001" w:rsidR="00976623">
        <w:rPr>
          <w:rFonts w:ascii="Arial" w:hAnsi="Arial" w:cs="Arial"/>
          <w:i w:val="1"/>
          <w:iCs w:val="1"/>
          <w:sz w:val="20"/>
          <w:szCs w:val="20"/>
          <w:u w:val="single"/>
        </w:rPr>
        <w:t>crovalimab</w:t>
      </w:r>
      <w:r w:rsidRPr="5589D001" w:rsidR="00976623">
        <w:rPr>
          <w:rFonts w:ascii="Arial" w:hAnsi="Arial" w:cs="Arial"/>
          <w:sz w:val="20"/>
          <w:szCs w:val="20"/>
          <w:u w:val="single"/>
        </w:rPr>
        <w:t>"."</w:t>
      </w:r>
      <w:r w:rsidRPr="5589D001" w:rsidR="00BB16DB">
        <w:rPr>
          <w:rFonts w:ascii="Arial" w:hAnsi="Arial" w:cs="Arial"/>
          <w:sz w:val="20"/>
          <w:szCs w:val="20"/>
          <w:u w:val="single"/>
        </w:rPr>
        <w:t xml:space="preserve"> </w:t>
      </w:r>
    </w:p>
    <w:p w:rsidRPr="00041CAF" w:rsidR="00575A07" w:rsidP="00D770E0" w:rsidRDefault="00575A07" w14:paraId="1B3C9B1B" w14:textId="77777777">
      <w:pPr>
        <w:spacing w:before="120" w:after="240"/>
        <w:rPr>
          <w:rFonts w:ascii="Arial" w:hAnsi="Arial" w:cs="Arial"/>
          <w:bCs/>
          <w:sz w:val="20"/>
          <w:szCs w:val="20"/>
        </w:rPr>
      </w:pPr>
      <w:r w:rsidRPr="00041CAF">
        <w:rPr>
          <w:rFonts w:ascii="Arial" w:hAnsi="Arial" w:cs="Arial"/>
          <w:bCs/>
          <w:sz w:val="20"/>
          <w:szCs w:val="20"/>
        </w:rPr>
        <w:t>In my letter dated 16 October 2024, I explained why I was not minded to refer this point to the Appeal Panel. I describe</w:t>
      </w:r>
      <w:r w:rsidR="008530D5">
        <w:rPr>
          <w:rFonts w:ascii="Arial" w:hAnsi="Arial" w:cs="Arial"/>
          <w:bCs/>
          <w:sz w:val="20"/>
          <w:szCs w:val="20"/>
        </w:rPr>
        <w:t>d</w:t>
      </w:r>
      <w:r w:rsidRPr="00041CAF">
        <w:rPr>
          <w:rFonts w:ascii="Arial" w:hAnsi="Arial" w:cs="Arial"/>
          <w:bCs/>
          <w:sz w:val="20"/>
          <w:szCs w:val="20"/>
        </w:rPr>
        <w:t xml:space="preserve"> </w:t>
      </w:r>
      <w:r w:rsidRPr="00041CAF" w:rsidR="008E075C">
        <w:rPr>
          <w:rFonts w:ascii="Arial" w:hAnsi="Arial" w:cs="Arial"/>
          <w:bCs/>
          <w:sz w:val="20"/>
          <w:szCs w:val="20"/>
        </w:rPr>
        <w:t xml:space="preserve">that it seemed to me possible for both the statement in the FDG which you sought to challenge to be true, and for three patients (among a larger patient population) to experience long lasting SAEs. </w:t>
      </w:r>
    </w:p>
    <w:p w:rsidRPr="00041CAF" w:rsidR="008E075C" w:rsidP="00D770E0" w:rsidRDefault="008E075C" w14:paraId="7F171134" w14:textId="77777777">
      <w:pPr>
        <w:spacing w:before="120" w:after="240"/>
        <w:rPr>
          <w:rFonts w:ascii="Arial" w:hAnsi="Arial" w:cs="Arial"/>
          <w:bCs/>
          <w:sz w:val="20"/>
          <w:szCs w:val="20"/>
        </w:rPr>
      </w:pPr>
      <w:r w:rsidRPr="00041CAF">
        <w:rPr>
          <w:rFonts w:ascii="Arial" w:hAnsi="Arial" w:cs="Arial"/>
          <w:bCs/>
          <w:sz w:val="20"/>
          <w:szCs w:val="20"/>
        </w:rPr>
        <w:t xml:space="preserve">I now understand from your response to my initial scrutiny letter, that the three patients who experienced SAEs formed part of the 21 patients in the COMMODORE 1 study who switched from </w:t>
      </w:r>
      <w:proofErr w:type="spellStart"/>
      <w:r w:rsidRPr="00041CAF">
        <w:rPr>
          <w:rFonts w:ascii="Arial" w:hAnsi="Arial" w:cs="Arial"/>
          <w:bCs/>
          <w:sz w:val="20"/>
          <w:szCs w:val="20"/>
        </w:rPr>
        <w:t>ravulizumab</w:t>
      </w:r>
      <w:proofErr w:type="spellEnd"/>
      <w:r w:rsidRPr="00041CAF">
        <w:rPr>
          <w:rFonts w:ascii="Arial" w:hAnsi="Arial" w:cs="Arial"/>
          <w:bCs/>
          <w:sz w:val="20"/>
          <w:szCs w:val="20"/>
        </w:rPr>
        <w:t xml:space="preserve"> to </w:t>
      </w:r>
      <w:proofErr w:type="spellStart"/>
      <w:r w:rsidRPr="00041CAF">
        <w:rPr>
          <w:rFonts w:ascii="Arial" w:hAnsi="Arial" w:cs="Arial"/>
          <w:bCs/>
          <w:sz w:val="20"/>
          <w:szCs w:val="20"/>
        </w:rPr>
        <w:t>crovalimab</w:t>
      </w:r>
      <w:proofErr w:type="spellEnd"/>
      <w:r w:rsidRPr="00041CAF">
        <w:rPr>
          <w:rFonts w:ascii="Arial" w:hAnsi="Arial" w:cs="Arial"/>
          <w:bCs/>
          <w:sz w:val="20"/>
          <w:szCs w:val="20"/>
        </w:rPr>
        <w:t>.</w:t>
      </w:r>
    </w:p>
    <w:p w:rsidRPr="00041CAF" w:rsidR="008E075C" w:rsidP="00D770E0" w:rsidRDefault="008E075C" w14:paraId="32FBF326" w14:textId="77777777">
      <w:pPr>
        <w:spacing w:before="120" w:after="240"/>
        <w:rPr>
          <w:rFonts w:ascii="Arial" w:hAnsi="Arial" w:cs="Arial"/>
          <w:b/>
          <w:sz w:val="20"/>
          <w:szCs w:val="20"/>
        </w:rPr>
      </w:pPr>
      <w:r w:rsidRPr="00041CAF">
        <w:rPr>
          <w:rFonts w:ascii="Arial" w:hAnsi="Arial" w:cs="Arial"/>
          <w:bCs/>
          <w:sz w:val="20"/>
          <w:szCs w:val="20"/>
        </w:rPr>
        <w:t xml:space="preserve">In order to refer an appeal point for consideration by an appeal panel, it must be at least arguable that the guidance is </w:t>
      </w:r>
      <w:r w:rsidRPr="00041CAF">
        <w:rPr>
          <w:rFonts w:ascii="Arial" w:hAnsi="Arial" w:cs="Arial"/>
          <w:b/>
          <w:sz w:val="20"/>
          <w:szCs w:val="20"/>
        </w:rPr>
        <w:t xml:space="preserve">obviously and unarguably wrong, illogical, or </w:t>
      </w:r>
      <w:bookmarkStart w:name="_Hlk181985954" w:id="2"/>
      <w:r w:rsidRPr="00041CAF">
        <w:rPr>
          <w:rFonts w:ascii="Arial" w:hAnsi="Arial" w:cs="Arial"/>
          <w:b/>
          <w:sz w:val="20"/>
          <w:szCs w:val="20"/>
        </w:rPr>
        <w:t>so absurd that a reasonable advisory committee could not have reached such conclusion</w:t>
      </w:r>
      <w:bookmarkEnd w:id="2"/>
      <w:r w:rsidRPr="00041CAF">
        <w:rPr>
          <w:rFonts w:ascii="Arial" w:hAnsi="Arial" w:cs="Arial"/>
          <w:b/>
          <w:sz w:val="20"/>
          <w:szCs w:val="20"/>
        </w:rPr>
        <w:t xml:space="preserve">. </w:t>
      </w:r>
    </w:p>
    <w:p w:rsidRPr="00041CAF" w:rsidR="008E075C" w:rsidP="00D770E0" w:rsidRDefault="008E075C" w14:paraId="06ABCB01" w14:textId="77777777">
      <w:pPr>
        <w:spacing w:before="120" w:after="240"/>
        <w:rPr>
          <w:rFonts w:ascii="Arial" w:hAnsi="Arial" w:cs="Arial"/>
          <w:bCs/>
          <w:sz w:val="20"/>
          <w:szCs w:val="20"/>
        </w:rPr>
      </w:pPr>
      <w:r w:rsidRPr="00041CAF">
        <w:rPr>
          <w:rFonts w:ascii="Arial" w:hAnsi="Arial" w:cs="Arial"/>
          <w:bCs/>
          <w:sz w:val="20"/>
          <w:szCs w:val="20"/>
        </w:rPr>
        <w:t xml:space="preserve">I have considered the evidence available to the committee in reaching its decision. </w:t>
      </w:r>
    </w:p>
    <w:p w:rsidRPr="00041CAF" w:rsidR="008E075C" w:rsidP="00041CAF" w:rsidRDefault="006B51D9" w14:paraId="0797A2CF" w14:textId="77777777">
      <w:pPr>
        <w:pStyle w:val="ListParagraph"/>
        <w:numPr>
          <w:ilvl w:val="0"/>
          <w:numId w:val="10"/>
        </w:numPr>
        <w:spacing w:before="120" w:after="240"/>
        <w:rPr>
          <w:rFonts w:cs="Arial"/>
          <w:bCs/>
        </w:rPr>
      </w:pPr>
      <w:r w:rsidRPr="00041CAF">
        <w:rPr>
          <w:rFonts w:cs="Arial"/>
          <w:bCs/>
        </w:rPr>
        <w:t xml:space="preserve">The </w:t>
      </w:r>
      <w:r w:rsidRPr="00041CAF" w:rsidR="008A09C4">
        <w:rPr>
          <w:rFonts w:cs="Arial"/>
          <w:bCs/>
        </w:rPr>
        <w:t xml:space="preserve"> external assessment group's ("EAG") Report to the Committee refers to PNH Support UK's concern regarding </w:t>
      </w:r>
      <w:r w:rsidRPr="00041CAF" w:rsidR="008A09C4">
        <w:rPr>
          <w:rFonts w:cs="Arial"/>
          <w:bCs/>
          <w:i/>
          <w:iCs/>
        </w:rPr>
        <w:t xml:space="preserve">"three patients who had serious adverse reactions when switched from </w:t>
      </w:r>
      <w:proofErr w:type="spellStart"/>
      <w:r w:rsidRPr="00041CAF" w:rsidR="008A09C4">
        <w:rPr>
          <w:rFonts w:cs="Arial"/>
          <w:bCs/>
          <w:i/>
          <w:iCs/>
        </w:rPr>
        <w:t>ravulizumab</w:t>
      </w:r>
      <w:proofErr w:type="spellEnd"/>
      <w:r w:rsidRPr="00041CAF" w:rsidR="008A09C4">
        <w:rPr>
          <w:rFonts w:cs="Arial"/>
          <w:bCs/>
          <w:i/>
          <w:iCs/>
        </w:rPr>
        <w:t xml:space="preserve"> to </w:t>
      </w:r>
      <w:proofErr w:type="spellStart"/>
      <w:r w:rsidRPr="00041CAF" w:rsidR="008A09C4">
        <w:rPr>
          <w:rFonts w:cs="Arial"/>
          <w:bCs/>
          <w:i/>
          <w:iCs/>
        </w:rPr>
        <w:t>crovalimab</w:t>
      </w:r>
      <w:proofErr w:type="spellEnd"/>
      <w:r w:rsidRPr="00041CAF" w:rsidR="008A09C4">
        <w:rPr>
          <w:rFonts w:cs="Arial"/>
          <w:bCs/>
          <w:i/>
          <w:iCs/>
        </w:rPr>
        <w:t xml:space="preserve"> (</w:t>
      </w:r>
      <w:r w:rsidRPr="00041CAF" w:rsidR="008A09C4">
        <w:rPr>
          <w:rFonts w:cs="Arial"/>
          <w:bCs/>
        </w:rPr>
        <w:t xml:space="preserve">at page 271 of the Committee Papers)". </w:t>
      </w:r>
    </w:p>
    <w:p w:rsidRPr="00041CAF" w:rsidR="006B51D9" w:rsidP="00041CAF" w:rsidRDefault="006B51D9" w14:paraId="5F4D9093" w14:textId="77777777">
      <w:pPr>
        <w:pStyle w:val="ListParagraph"/>
        <w:numPr>
          <w:ilvl w:val="0"/>
          <w:numId w:val="10"/>
        </w:numPr>
        <w:spacing w:before="120" w:after="240"/>
        <w:rPr>
          <w:rFonts w:cs="Arial"/>
          <w:bCs/>
        </w:rPr>
      </w:pPr>
      <w:r w:rsidRPr="00041CAF">
        <w:rPr>
          <w:rFonts w:cs="Arial"/>
          <w:bCs/>
        </w:rPr>
        <w:t xml:space="preserve">The Company responded to PNH's clarification question (at page 191 of the Committee Papers), explaining that </w:t>
      </w:r>
      <w:r w:rsidRPr="00041CAF" w:rsidR="00B142A0">
        <w:rPr>
          <w:rFonts w:cs="Arial"/>
          <w:bCs/>
        </w:rPr>
        <w:t>"</w:t>
      </w:r>
      <w:r w:rsidRPr="00041CAF">
        <w:rPr>
          <w:rFonts w:cs="Arial"/>
          <w:bCs/>
          <w:i/>
          <w:iCs/>
        </w:rPr>
        <w:t>the majority of TH3 reactions experienced across the COMMODORE trials were self-limiting, with or without treatment, with no life-threatening or fatal events reported</w:t>
      </w:r>
      <w:r w:rsidRPr="00041CAF" w:rsidR="00B142A0">
        <w:rPr>
          <w:rFonts w:cs="Arial"/>
          <w:bCs/>
          <w:i/>
          <w:iCs/>
        </w:rPr>
        <w:t xml:space="preserve">, and resolved without change in </w:t>
      </w:r>
      <w:proofErr w:type="spellStart"/>
      <w:r w:rsidRPr="00041CAF" w:rsidR="00B142A0">
        <w:rPr>
          <w:rFonts w:cs="Arial"/>
          <w:bCs/>
          <w:i/>
          <w:iCs/>
        </w:rPr>
        <w:t>crovalimab</w:t>
      </w:r>
      <w:proofErr w:type="spellEnd"/>
      <w:r w:rsidRPr="00041CAF" w:rsidR="00B142A0">
        <w:rPr>
          <w:rFonts w:cs="Arial"/>
          <w:bCs/>
          <w:i/>
          <w:iCs/>
        </w:rPr>
        <w:t xml:space="preserve"> treatment</w:t>
      </w:r>
      <w:r w:rsidRPr="00041CAF" w:rsidR="00B142A0">
        <w:rPr>
          <w:rFonts w:cs="Arial"/>
          <w:bCs/>
        </w:rPr>
        <w:t xml:space="preserve">". </w:t>
      </w:r>
    </w:p>
    <w:p w:rsidRPr="00041CAF" w:rsidR="00041CAF" w:rsidP="00041CAF" w:rsidRDefault="00041CAF" w14:paraId="3DB04C24" w14:textId="77777777">
      <w:pPr>
        <w:pStyle w:val="ListParagraph"/>
        <w:numPr>
          <w:ilvl w:val="0"/>
          <w:numId w:val="10"/>
        </w:numPr>
        <w:spacing w:before="120" w:after="240"/>
        <w:rPr>
          <w:rFonts w:cs="Arial"/>
          <w:bCs/>
        </w:rPr>
      </w:pPr>
      <w:r w:rsidRPr="00041CAF">
        <w:rPr>
          <w:rFonts w:cs="Arial"/>
          <w:bCs/>
        </w:rPr>
        <w:t>Notwithstanding the fact that it is redacted, the Committee had the benefit of the section headed "</w:t>
      </w:r>
      <w:r w:rsidRPr="00041CAF">
        <w:rPr>
          <w:rFonts w:cs="Arial"/>
          <w:bCs/>
          <w:i/>
          <w:iCs/>
        </w:rPr>
        <w:t xml:space="preserve">Safety in patients switching from </w:t>
      </w:r>
      <w:proofErr w:type="spellStart"/>
      <w:r w:rsidRPr="00041CAF">
        <w:rPr>
          <w:rFonts w:cs="Arial"/>
          <w:bCs/>
          <w:i/>
          <w:iCs/>
        </w:rPr>
        <w:t>ravulizumab</w:t>
      </w:r>
      <w:proofErr w:type="spellEnd"/>
      <w:r w:rsidRPr="00041CAF">
        <w:rPr>
          <w:rFonts w:cs="Arial"/>
          <w:bCs/>
          <w:i/>
          <w:iCs/>
        </w:rPr>
        <w:t xml:space="preserve"> treatment" </w:t>
      </w:r>
      <w:r w:rsidRPr="00041CAF">
        <w:rPr>
          <w:rFonts w:cs="Arial"/>
          <w:bCs/>
        </w:rPr>
        <w:t xml:space="preserve">at Page 89. </w:t>
      </w:r>
    </w:p>
    <w:p w:rsidRPr="00041CAF" w:rsidR="00041CAF" w:rsidP="00D770E0" w:rsidRDefault="00B142A0" w14:paraId="2F65DAC5" w14:textId="77777777">
      <w:pPr>
        <w:pStyle w:val="ListParagraph"/>
        <w:numPr>
          <w:ilvl w:val="0"/>
          <w:numId w:val="10"/>
        </w:numPr>
        <w:spacing w:before="120" w:after="240"/>
        <w:rPr>
          <w:rFonts w:cs="Arial"/>
          <w:bCs/>
        </w:rPr>
      </w:pPr>
      <w:r w:rsidRPr="00041CAF">
        <w:rPr>
          <w:rFonts w:cs="Arial"/>
          <w:bCs/>
        </w:rPr>
        <w:t xml:space="preserve">The Committee was also presented with your own submission, where you explain the concern of the three patients that had experienced SAEs. </w:t>
      </w:r>
    </w:p>
    <w:p w:rsidR="008530D5" w:rsidP="00041CAF" w:rsidRDefault="00041CAF" w14:paraId="71867B4D" w14:textId="77777777">
      <w:pPr>
        <w:spacing w:before="120" w:after="240"/>
        <w:rPr>
          <w:rFonts w:ascii="Arial" w:hAnsi="Arial" w:cs="Arial"/>
          <w:bCs/>
          <w:sz w:val="20"/>
          <w:szCs w:val="20"/>
        </w:rPr>
      </w:pPr>
      <w:r w:rsidRPr="00041CAF">
        <w:rPr>
          <w:rFonts w:ascii="Arial" w:hAnsi="Arial" w:cs="Arial"/>
          <w:bCs/>
          <w:sz w:val="20"/>
          <w:szCs w:val="20"/>
        </w:rPr>
        <w:t xml:space="preserve">The Committee were presented with evidence relating to the SAEs experienced by three </w:t>
      </w:r>
      <w:proofErr w:type="spellStart"/>
      <w:r w:rsidRPr="00041CAF">
        <w:rPr>
          <w:rFonts w:ascii="Arial" w:hAnsi="Arial" w:cs="Arial"/>
          <w:bCs/>
          <w:sz w:val="20"/>
          <w:szCs w:val="20"/>
        </w:rPr>
        <w:t>rav</w:t>
      </w:r>
      <w:r w:rsidR="008530D5">
        <w:rPr>
          <w:rFonts w:ascii="Arial" w:hAnsi="Arial" w:cs="Arial"/>
          <w:bCs/>
          <w:sz w:val="20"/>
          <w:szCs w:val="20"/>
        </w:rPr>
        <w:t>ul</w:t>
      </w:r>
      <w:r w:rsidRPr="00041CAF">
        <w:rPr>
          <w:rFonts w:ascii="Arial" w:hAnsi="Arial" w:cs="Arial"/>
          <w:bCs/>
          <w:sz w:val="20"/>
          <w:szCs w:val="20"/>
        </w:rPr>
        <w:t>izumab</w:t>
      </w:r>
      <w:proofErr w:type="spellEnd"/>
      <w:r w:rsidRPr="00041CAF">
        <w:rPr>
          <w:rFonts w:ascii="Arial" w:hAnsi="Arial" w:cs="Arial"/>
          <w:bCs/>
          <w:sz w:val="20"/>
          <w:szCs w:val="20"/>
        </w:rPr>
        <w:t xml:space="preserve"> to </w:t>
      </w:r>
      <w:proofErr w:type="spellStart"/>
      <w:r w:rsidRPr="00041CAF">
        <w:rPr>
          <w:rFonts w:ascii="Arial" w:hAnsi="Arial" w:cs="Arial"/>
          <w:bCs/>
          <w:sz w:val="20"/>
          <w:szCs w:val="20"/>
        </w:rPr>
        <w:t>crovalimab</w:t>
      </w:r>
      <w:proofErr w:type="spellEnd"/>
      <w:r w:rsidRPr="00041CAF">
        <w:rPr>
          <w:rFonts w:ascii="Arial" w:hAnsi="Arial" w:cs="Arial"/>
          <w:bCs/>
          <w:sz w:val="20"/>
          <w:szCs w:val="20"/>
        </w:rPr>
        <w:t xml:space="preserve"> switch patients by </w:t>
      </w:r>
      <w:r w:rsidR="00DD42C9">
        <w:rPr>
          <w:rFonts w:ascii="Arial" w:hAnsi="Arial" w:cs="Arial"/>
          <w:bCs/>
          <w:sz w:val="20"/>
          <w:szCs w:val="20"/>
        </w:rPr>
        <w:t>multiple sources on different occasions throughout the appraisal process</w:t>
      </w:r>
      <w:r w:rsidRPr="00041CAF">
        <w:rPr>
          <w:rFonts w:ascii="Arial" w:hAnsi="Arial" w:cs="Arial"/>
          <w:bCs/>
          <w:sz w:val="20"/>
          <w:szCs w:val="20"/>
        </w:rPr>
        <w:t>.</w:t>
      </w:r>
      <w:r w:rsidR="008530D5">
        <w:rPr>
          <w:rFonts w:ascii="Arial" w:hAnsi="Arial" w:cs="Arial"/>
          <w:bCs/>
          <w:sz w:val="20"/>
          <w:szCs w:val="20"/>
        </w:rPr>
        <w:t xml:space="preserve"> The Committee papers also include the total number of patients in the non-randomised Arm C of the COMMODORE 1 who switched from </w:t>
      </w:r>
      <w:proofErr w:type="spellStart"/>
      <w:r w:rsidR="008530D5">
        <w:rPr>
          <w:rFonts w:ascii="Arial" w:hAnsi="Arial" w:cs="Arial"/>
          <w:bCs/>
          <w:sz w:val="20"/>
          <w:szCs w:val="20"/>
        </w:rPr>
        <w:t>ravulizumab</w:t>
      </w:r>
      <w:proofErr w:type="spellEnd"/>
      <w:r w:rsidR="008530D5">
        <w:rPr>
          <w:rFonts w:ascii="Arial" w:hAnsi="Arial" w:cs="Arial"/>
          <w:bCs/>
          <w:sz w:val="20"/>
          <w:szCs w:val="20"/>
        </w:rPr>
        <w:t xml:space="preserve"> to </w:t>
      </w:r>
      <w:proofErr w:type="spellStart"/>
      <w:r w:rsidR="008530D5">
        <w:rPr>
          <w:rFonts w:ascii="Arial" w:hAnsi="Arial" w:cs="Arial"/>
          <w:bCs/>
          <w:sz w:val="20"/>
          <w:szCs w:val="20"/>
        </w:rPr>
        <w:t>crovalimab</w:t>
      </w:r>
      <w:proofErr w:type="spellEnd"/>
      <w:r w:rsidR="008530D5">
        <w:rPr>
          <w:rFonts w:ascii="Arial" w:hAnsi="Arial" w:cs="Arial"/>
          <w:bCs/>
          <w:sz w:val="20"/>
          <w:szCs w:val="20"/>
        </w:rPr>
        <w:t xml:space="preserve">. </w:t>
      </w:r>
    </w:p>
    <w:p w:rsidRPr="00041CAF" w:rsidR="00041CAF" w:rsidP="00041CAF" w:rsidRDefault="00041CAF" w14:paraId="4F351A9B" w14:textId="77777777">
      <w:pPr>
        <w:spacing w:before="120" w:after="240"/>
        <w:rPr>
          <w:rFonts w:ascii="Arial" w:hAnsi="Arial" w:cs="Arial"/>
          <w:bCs/>
          <w:sz w:val="20"/>
          <w:szCs w:val="20"/>
        </w:rPr>
      </w:pPr>
      <w:r w:rsidRPr="00041CAF">
        <w:rPr>
          <w:rFonts w:ascii="Arial" w:hAnsi="Arial" w:cs="Arial"/>
          <w:bCs/>
          <w:sz w:val="20"/>
          <w:szCs w:val="20"/>
        </w:rPr>
        <w:t>I am satisfied that the Committee had enough evidence before to adequately consider whether it was appropriate to include the</w:t>
      </w:r>
      <w:r w:rsidR="008530D5">
        <w:rPr>
          <w:rFonts w:ascii="Arial" w:hAnsi="Arial" w:cs="Arial"/>
          <w:bCs/>
          <w:sz w:val="20"/>
          <w:szCs w:val="20"/>
        </w:rPr>
        <w:t xml:space="preserve"> SAEs experienced by this patient population </w:t>
      </w:r>
      <w:r w:rsidRPr="00041CAF">
        <w:rPr>
          <w:rFonts w:ascii="Arial" w:hAnsi="Arial" w:cs="Arial"/>
          <w:bCs/>
          <w:sz w:val="20"/>
          <w:szCs w:val="20"/>
        </w:rPr>
        <w:t>in the economic model</w:t>
      </w:r>
      <w:r w:rsidR="00B5086C">
        <w:rPr>
          <w:rFonts w:ascii="Arial" w:hAnsi="Arial" w:cs="Arial"/>
          <w:bCs/>
          <w:sz w:val="20"/>
          <w:szCs w:val="20"/>
        </w:rPr>
        <w:t xml:space="preserve">, and that the conclusion it reached could not arguably be said to be so </w:t>
      </w:r>
      <w:r w:rsidRPr="00B5086C" w:rsidR="00B5086C">
        <w:rPr>
          <w:rFonts w:ascii="Arial" w:hAnsi="Arial" w:cs="Arial"/>
          <w:bCs/>
          <w:sz w:val="20"/>
          <w:szCs w:val="20"/>
        </w:rPr>
        <w:t xml:space="preserve">absurd that a reasonable advisory committee could not have reached </w:t>
      </w:r>
      <w:r w:rsidR="00B5086C">
        <w:rPr>
          <w:rFonts w:ascii="Arial" w:hAnsi="Arial" w:cs="Arial"/>
          <w:bCs/>
          <w:sz w:val="20"/>
          <w:szCs w:val="20"/>
        </w:rPr>
        <w:t>it</w:t>
      </w:r>
      <w:r w:rsidR="00DD42C9">
        <w:rPr>
          <w:rFonts w:ascii="Arial" w:hAnsi="Arial" w:cs="Arial"/>
          <w:bCs/>
          <w:sz w:val="20"/>
          <w:szCs w:val="20"/>
        </w:rPr>
        <w:t xml:space="preserve">. </w:t>
      </w:r>
      <w:r w:rsidRPr="00041CAF">
        <w:rPr>
          <w:rFonts w:ascii="Arial" w:hAnsi="Arial" w:cs="Arial"/>
          <w:bCs/>
          <w:sz w:val="20"/>
          <w:szCs w:val="20"/>
        </w:rPr>
        <w:t xml:space="preserve"> </w:t>
      </w:r>
    </w:p>
    <w:p w:rsidRPr="00041CAF" w:rsidR="00B142A0" w:rsidP="00041CAF" w:rsidRDefault="00B142A0" w14:paraId="434A79DC" w14:textId="77777777">
      <w:pPr>
        <w:spacing w:before="120" w:after="240"/>
        <w:rPr>
          <w:rFonts w:ascii="Arial" w:hAnsi="Arial" w:cs="Arial"/>
          <w:bCs/>
          <w:sz w:val="20"/>
          <w:szCs w:val="20"/>
        </w:rPr>
      </w:pPr>
      <w:r w:rsidRPr="00041CAF">
        <w:rPr>
          <w:rFonts w:ascii="Arial" w:hAnsi="Arial" w:cs="Arial"/>
          <w:bCs/>
          <w:sz w:val="20"/>
          <w:szCs w:val="20"/>
        </w:rPr>
        <w:t>You explain in your letter your view that NICE ought to "</w:t>
      </w:r>
      <w:r w:rsidRPr="00041CAF">
        <w:rPr>
          <w:rFonts w:ascii="Arial" w:hAnsi="Arial" w:cs="Arial"/>
          <w:bCs/>
          <w:i/>
          <w:iCs/>
          <w:sz w:val="20"/>
          <w:szCs w:val="20"/>
        </w:rPr>
        <w:t>include the information about these risks in the "Recommendations" section of the FDG"</w:t>
      </w:r>
      <w:r w:rsidRPr="00041CAF">
        <w:rPr>
          <w:rFonts w:ascii="Arial" w:hAnsi="Arial" w:cs="Arial"/>
          <w:bCs/>
          <w:sz w:val="20"/>
          <w:szCs w:val="20"/>
        </w:rPr>
        <w:t>.</w:t>
      </w:r>
      <w:r w:rsidRPr="00041CAF" w:rsidR="009B52FC">
        <w:rPr>
          <w:rFonts w:ascii="Arial" w:hAnsi="Arial" w:cs="Arial"/>
          <w:bCs/>
          <w:sz w:val="20"/>
          <w:szCs w:val="20"/>
        </w:rPr>
        <w:t xml:space="preserve"> </w:t>
      </w:r>
      <w:r w:rsidR="00B5086C">
        <w:rPr>
          <w:rFonts w:ascii="Arial" w:hAnsi="Arial" w:cs="Arial"/>
          <w:bCs/>
          <w:sz w:val="20"/>
          <w:szCs w:val="20"/>
        </w:rPr>
        <w:t xml:space="preserve">You will be aware that </w:t>
      </w:r>
      <w:r w:rsidRPr="00041CAF" w:rsidR="009B52FC">
        <w:rPr>
          <w:rFonts w:ascii="Arial" w:hAnsi="Arial" w:cs="Arial"/>
          <w:bCs/>
          <w:sz w:val="20"/>
          <w:szCs w:val="20"/>
        </w:rPr>
        <w:t xml:space="preserve">NICE's role is to appraise the cost-effectiveness of new technologies within </w:t>
      </w:r>
      <w:r w:rsidR="008530D5">
        <w:rPr>
          <w:rFonts w:ascii="Arial" w:hAnsi="Arial" w:cs="Arial"/>
          <w:bCs/>
          <w:sz w:val="20"/>
          <w:szCs w:val="20"/>
        </w:rPr>
        <w:t>their</w:t>
      </w:r>
      <w:r w:rsidRPr="00041CAF" w:rsidR="009B52FC">
        <w:rPr>
          <w:rFonts w:ascii="Arial" w:hAnsi="Arial" w:cs="Arial"/>
          <w:bCs/>
          <w:sz w:val="20"/>
          <w:szCs w:val="20"/>
        </w:rPr>
        <w:t xml:space="preserve"> Market Authorisation</w:t>
      </w:r>
      <w:r w:rsidRPr="00041CAF" w:rsidR="00041CAF">
        <w:rPr>
          <w:rFonts w:ascii="Arial" w:hAnsi="Arial" w:cs="Arial"/>
          <w:bCs/>
          <w:sz w:val="20"/>
          <w:szCs w:val="20"/>
        </w:rPr>
        <w:t>. It is for the Medicines &amp; Healthcare Products Regulatory Agency ("MHRA") to authorise the technology for use. Wh</w:t>
      </w:r>
      <w:r w:rsidRPr="00041CAF" w:rsidR="009B52FC">
        <w:rPr>
          <w:rFonts w:ascii="Arial" w:hAnsi="Arial" w:cs="Arial"/>
          <w:bCs/>
          <w:sz w:val="20"/>
          <w:szCs w:val="20"/>
        </w:rPr>
        <w:t>ere there are special warnings and precautions for use of a technology within its market authorisation, it is for MHRA to note this in its Summary of Product Characteristic</w:t>
      </w:r>
      <w:r w:rsidR="008530D5">
        <w:rPr>
          <w:rFonts w:ascii="Arial" w:hAnsi="Arial" w:cs="Arial"/>
          <w:bCs/>
          <w:sz w:val="20"/>
          <w:szCs w:val="20"/>
        </w:rPr>
        <w:t xml:space="preserve">s. </w:t>
      </w:r>
    </w:p>
    <w:p w:rsidR="000010E9" w:rsidP="00D770E0" w:rsidRDefault="00DD42C9" w14:paraId="1B31C6B0" w14:textId="77777777">
      <w:pPr>
        <w:spacing w:before="120" w:after="240"/>
        <w:rPr>
          <w:rFonts w:ascii="Arial" w:hAnsi="Arial" w:cs="Arial"/>
          <w:bCs/>
          <w:sz w:val="20"/>
          <w:szCs w:val="20"/>
        </w:rPr>
      </w:pPr>
      <w:r>
        <w:rPr>
          <w:rFonts w:ascii="Arial" w:hAnsi="Arial" w:cs="Arial"/>
          <w:bCs/>
          <w:sz w:val="20"/>
          <w:szCs w:val="20"/>
        </w:rPr>
        <w:t>Taking all of the above together</w:t>
      </w:r>
      <w:r w:rsidRPr="00041CAF" w:rsidR="008E075C">
        <w:rPr>
          <w:rFonts w:ascii="Arial" w:hAnsi="Arial" w:cs="Arial"/>
          <w:bCs/>
          <w:sz w:val="20"/>
          <w:szCs w:val="20"/>
        </w:rPr>
        <w:t xml:space="preserve">, I consider that the statement in the FDG that adverse events "usually do not last long and so are not included in the economic model" is reasonable, and am therefore not persuaded that your appeal point is arguable. </w:t>
      </w:r>
    </w:p>
    <w:p w:rsidRPr="00041CAF" w:rsidR="000010E9" w:rsidP="00D770E0" w:rsidRDefault="000010E9" w14:paraId="5FA018A4" w14:textId="77777777">
      <w:pPr>
        <w:spacing w:before="120" w:after="240"/>
        <w:rPr>
          <w:rFonts w:ascii="Arial" w:hAnsi="Arial" w:cs="Arial"/>
          <w:bCs/>
          <w:sz w:val="20"/>
          <w:szCs w:val="20"/>
        </w:rPr>
      </w:pPr>
      <w:r>
        <w:rPr>
          <w:rFonts w:ascii="Arial" w:hAnsi="Arial" w:cs="Arial"/>
          <w:bCs/>
          <w:sz w:val="20"/>
          <w:szCs w:val="20"/>
        </w:rPr>
        <w:t>I note that you indicate at the end of your letter that updates to clinical efficacy and safety results are planned to be shared at an upcoming meeting (American Society of Haematology Annual Meeting) later in 2024. It may assist you to note that NICE regularly monitor</w:t>
      </w:r>
      <w:r w:rsidR="00B5086C">
        <w:rPr>
          <w:rFonts w:ascii="Arial" w:hAnsi="Arial" w:cs="Arial"/>
          <w:bCs/>
          <w:sz w:val="20"/>
          <w:szCs w:val="20"/>
        </w:rPr>
        <w:t>s</w:t>
      </w:r>
      <w:r>
        <w:rPr>
          <w:rFonts w:ascii="Arial" w:hAnsi="Arial" w:cs="Arial"/>
          <w:bCs/>
          <w:sz w:val="20"/>
          <w:szCs w:val="20"/>
        </w:rPr>
        <w:t xml:space="preserve"> its published technology guidance to check for any new evidence or information that could affect the recommendations. This is explained in further detail at </w:t>
      </w:r>
      <w:r w:rsidRPr="000010E9">
        <w:rPr>
          <w:rFonts w:ascii="Arial" w:hAnsi="Arial" w:cs="Arial"/>
          <w:bCs/>
          <w:sz w:val="20"/>
          <w:szCs w:val="20"/>
        </w:rPr>
        <w:t>Section 8 of NICE's Health Technology Evaluations Manual</w:t>
      </w:r>
      <w:r>
        <w:rPr>
          <w:rFonts w:ascii="Arial" w:hAnsi="Arial" w:cs="Arial"/>
          <w:bCs/>
          <w:sz w:val="20"/>
          <w:szCs w:val="20"/>
        </w:rPr>
        <w:t xml:space="preserve">.  </w:t>
      </w:r>
    </w:p>
    <w:p w:rsidRPr="00771051" w:rsidR="005A7A7D" w:rsidP="005A7A7D" w:rsidRDefault="005A7A7D" w14:paraId="1BDE2917" w14:textId="77777777">
      <w:pPr>
        <w:spacing w:before="120" w:after="240"/>
        <w:jc w:val="both"/>
        <w:rPr>
          <w:rFonts w:ascii="Arial" w:hAnsi="Arial" w:eastAsia="Times New Roman" w:cs="Arial"/>
          <w:sz w:val="20"/>
          <w:szCs w:val="20"/>
          <w:u w:val="single"/>
        </w:rPr>
      </w:pPr>
      <w:r w:rsidRPr="00771051">
        <w:rPr>
          <w:rFonts w:ascii="Arial" w:hAnsi="Arial" w:eastAsia="Times New Roman" w:cs="Arial"/>
          <w:sz w:val="20"/>
          <w:szCs w:val="20"/>
          <w:u w:val="single"/>
        </w:rPr>
        <w:t>Conclusion</w:t>
      </w:r>
    </w:p>
    <w:p w:rsidR="000010E9" w:rsidP="005A7A7D" w:rsidRDefault="00B82CA4" w14:paraId="34DB2535" w14:textId="77777777">
      <w:pPr>
        <w:spacing w:before="120" w:after="240"/>
        <w:jc w:val="both"/>
        <w:rPr>
          <w:rFonts w:ascii="Arial" w:hAnsi="Arial" w:eastAsia="Times New Roman" w:cs="Arial"/>
          <w:sz w:val="20"/>
          <w:szCs w:val="20"/>
        </w:rPr>
      </w:pPr>
      <w:r>
        <w:rPr>
          <w:rFonts w:ascii="Arial" w:hAnsi="Arial" w:eastAsia="Times New Roman" w:cs="Arial"/>
          <w:sz w:val="20"/>
          <w:szCs w:val="20"/>
        </w:rPr>
        <w:t xml:space="preserve">For the reasons set out above, I will not refer your appeal point for consideration at an appeal hearing. This letter therefore brings NICE's internal appeal process to a close. </w:t>
      </w:r>
    </w:p>
    <w:p w:rsidRPr="00B82CA4" w:rsidR="005A7A7D" w:rsidP="005A7A7D" w:rsidRDefault="00B82CA4" w14:paraId="562F3187" w14:textId="77777777">
      <w:pPr>
        <w:spacing w:before="120" w:after="240"/>
        <w:jc w:val="both"/>
        <w:rPr>
          <w:rFonts w:ascii="Arial" w:hAnsi="Arial" w:eastAsia="Times New Roman" w:cs="Arial"/>
          <w:sz w:val="20"/>
          <w:szCs w:val="20"/>
        </w:rPr>
      </w:pPr>
      <w:r>
        <w:rPr>
          <w:rFonts w:ascii="Arial" w:hAnsi="Arial" w:eastAsia="Times New Roman" w:cs="Arial"/>
          <w:sz w:val="20"/>
          <w:szCs w:val="20"/>
        </w:rPr>
        <w:t xml:space="preserve">Thank you for your comments and engagement in the appeals process. </w:t>
      </w:r>
    </w:p>
    <w:p w:rsidRPr="00771051" w:rsidR="005A7A7D" w:rsidP="005A7A7D" w:rsidRDefault="005A7A7D" w14:paraId="6B8BE8A0" w14:textId="77777777">
      <w:pPr>
        <w:spacing w:before="120" w:after="240"/>
        <w:jc w:val="both"/>
        <w:rPr>
          <w:rFonts w:ascii="Arial" w:hAnsi="Arial" w:eastAsia="Times New Roman" w:cs="Arial"/>
          <w:sz w:val="20"/>
          <w:szCs w:val="20"/>
        </w:rPr>
      </w:pPr>
      <w:r w:rsidRPr="5589D001" w:rsidR="005A7A7D">
        <w:rPr>
          <w:rFonts w:ascii="Arial" w:hAnsi="Arial" w:eastAsia="Times New Roman" w:cs="Arial"/>
          <w:sz w:val="20"/>
          <w:szCs w:val="20"/>
        </w:rPr>
        <w:t>Yours sincerely</w:t>
      </w:r>
    </w:p>
    <w:p w:rsidR="5589D001" w:rsidP="5589D001" w:rsidRDefault="5589D001" w14:paraId="2199E41E" w14:textId="478F7EB5">
      <w:pPr>
        <w:spacing w:before="120" w:after="240"/>
        <w:jc w:val="both"/>
        <w:rPr>
          <w:rFonts w:ascii="Arial" w:hAnsi="Arial" w:eastAsia="Times New Roman" w:cs="Arial"/>
          <w:sz w:val="20"/>
          <w:szCs w:val="20"/>
        </w:rPr>
      </w:pPr>
    </w:p>
    <w:p w:rsidR="708E3D62" w:rsidP="5589D001" w:rsidRDefault="708E3D62" w14:paraId="49E70ECC" w14:textId="4231A47E">
      <w:pPr>
        <w:pStyle w:val="Normal"/>
        <w:spacing w:before="120" w:after="240"/>
        <w:jc w:val="both"/>
      </w:pPr>
      <w:r w:rsidRPr="3146B211" w:rsidR="6AAC600D">
        <w:rPr>
          <w:highlight w:val="black"/>
        </w:rPr>
        <w:t>XXXXXXXXXXXXXXXXXXX</w:t>
      </w:r>
      <w:r>
        <w:br/>
      </w:r>
    </w:p>
    <w:p w:rsidRPr="00771051" w:rsidR="005A7A7D" w:rsidP="005A7A7D" w:rsidRDefault="00976623" w14:paraId="71682122" w14:textId="77777777">
      <w:pPr>
        <w:spacing w:before="120" w:after="240"/>
        <w:jc w:val="both"/>
        <w:rPr>
          <w:rFonts w:ascii="Arial" w:hAnsi="Arial" w:eastAsia="Times New Roman" w:cs="Arial"/>
          <w:sz w:val="20"/>
          <w:szCs w:val="20"/>
        </w:rPr>
      </w:pPr>
      <w:r>
        <w:rPr>
          <w:rFonts w:ascii="Arial" w:hAnsi="Arial" w:eastAsia="Times New Roman" w:cs="Arial"/>
          <w:sz w:val="20"/>
          <w:szCs w:val="20"/>
        </w:rPr>
        <w:t>Sharmila Nebhrajani OBE</w:t>
      </w:r>
    </w:p>
    <w:p w:rsidRPr="00771051" w:rsidR="005A7A7D" w:rsidP="005A7A7D" w:rsidRDefault="005A7A7D" w14:paraId="42CBFB7B" w14:textId="77777777">
      <w:pPr>
        <w:spacing w:before="120" w:after="240"/>
        <w:jc w:val="both"/>
        <w:rPr>
          <w:rFonts w:ascii="Arial" w:hAnsi="Arial" w:eastAsia="Times New Roman" w:cs="Arial"/>
          <w:sz w:val="20"/>
          <w:szCs w:val="20"/>
        </w:rPr>
      </w:pPr>
      <w:r w:rsidRPr="00771051">
        <w:rPr>
          <w:rFonts w:ascii="Arial" w:hAnsi="Arial" w:eastAsia="Times New Roman" w:cs="Arial"/>
          <w:sz w:val="20"/>
          <w:szCs w:val="20"/>
        </w:rPr>
        <w:t>Chairman</w:t>
      </w:r>
      <w:r w:rsidR="00481964">
        <w:rPr>
          <w:rFonts w:ascii="Arial" w:hAnsi="Arial" w:eastAsia="Times New Roman" w:cs="Arial"/>
          <w:sz w:val="20"/>
          <w:szCs w:val="20"/>
        </w:rPr>
        <w:t xml:space="preserve"> and Non-executive director</w:t>
      </w:r>
    </w:p>
    <w:p w:rsidRPr="00771051" w:rsidR="005A7A7D" w:rsidP="005A7A7D" w:rsidRDefault="005A7A7D" w14:paraId="267B6757" w14:textId="77777777">
      <w:pPr>
        <w:spacing w:before="120" w:after="240"/>
        <w:jc w:val="both"/>
        <w:rPr>
          <w:rFonts w:ascii="Arial" w:hAnsi="Arial" w:eastAsia="Times New Roman" w:cs="Arial"/>
          <w:sz w:val="20"/>
          <w:szCs w:val="20"/>
        </w:rPr>
      </w:pPr>
      <w:r w:rsidRPr="00771051">
        <w:rPr>
          <w:rFonts w:ascii="Arial" w:hAnsi="Arial" w:eastAsia="Times New Roman" w:cs="Arial"/>
          <w:sz w:val="20"/>
          <w:szCs w:val="20"/>
        </w:rPr>
        <w:t>National Institute for Health and Care Excellence</w:t>
      </w:r>
    </w:p>
    <w:p w:rsidRPr="0043022B" w:rsidR="000B36E1" w:rsidP="002B6A0D" w:rsidRDefault="000B36E1" w14:paraId="67383D49" w14:textId="77777777">
      <w:pPr>
        <w:spacing w:line="360" w:lineRule="auto"/>
        <w:rPr>
          <w:rFonts w:ascii="Arial" w:hAnsi="Arial" w:cs="Arial"/>
          <w:sz w:val="20"/>
          <w:szCs w:val="20"/>
        </w:rPr>
      </w:pPr>
    </w:p>
    <w:sectPr w:rsidRPr="0043022B" w:rsidR="000B36E1" w:rsidSect="000B36E1">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2185" w:rsidP="000B352B" w:rsidRDefault="00D12185" w14:paraId="232CBA7E" w14:textId="77777777">
      <w:pPr>
        <w:spacing w:after="0" w:line="240" w:lineRule="auto"/>
      </w:pPr>
      <w:r>
        <w:separator/>
      </w:r>
    </w:p>
  </w:endnote>
  <w:endnote w:type="continuationSeparator" w:id="0">
    <w:p w:rsidR="00D12185" w:rsidP="000B352B" w:rsidRDefault="00D12185" w14:paraId="143979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6DB" w:rsidRDefault="00BB16DB" w14:paraId="24CFCD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36E1" w:rsidP="000B36E1" w:rsidRDefault="000B36E1" w14:paraId="0B23980A" w14:textId="77777777">
    <w:pPr>
      <w:pStyle w:val="Footer"/>
      <w:tabs>
        <w:tab w:val="clear" w:pos="4513"/>
        <w:tab w:val="clear" w:pos="9026"/>
        <w:tab w:val="left" w:pos="1758"/>
      </w:tabs>
      <w:rPr>
        <w:noProof/>
      </w:rPr>
    </w:pPr>
    <w:r>
      <w:tab/>
    </w:r>
    <w:r>
      <w:t xml:space="preserve">                                                                                                                                 Page | </w:t>
    </w:r>
    <w:r>
      <w:fldChar w:fldCharType="begin"/>
    </w:r>
    <w:r>
      <w:instrText xml:space="preserve"> PAGE   \* MERGEFORMAT </w:instrText>
    </w:r>
    <w:r>
      <w:fldChar w:fldCharType="separate"/>
    </w:r>
    <w:r w:rsidR="002B6A0D">
      <w:rPr>
        <w:noProof/>
      </w:rPr>
      <w:t>2</w:t>
    </w:r>
    <w:r>
      <w:rPr>
        <w:noProof/>
      </w:rPr>
      <w:fldChar w:fldCharType="end"/>
    </w:r>
  </w:p>
  <w:p w:rsidR="000B36E1" w:rsidP="000B36E1" w:rsidRDefault="000B36E1" w14:paraId="6F8C663C" w14:textId="77777777">
    <w:pPr>
      <w:pStyle w:val="Footer"/>
      <w:tabs>
        <w:tab w:val="clear" w:pos="4513"/>
        <w:tab w:val="clear" w:pos="9026"/>
        <w:tab w:val="left" w:pos="175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B36E1" w:rsidRDefault="000B36E1" w14:paraId="0058B556" w14:textId="77777777">
    <w:pPr>
      <w:pStyle w:val="Footer"/>
    </w:pPr>
    <w:r>
      <w:rPr>
        <w:noProof/>
        <w:lang w:eastAsia="en-GB"/>
      </w:rPr>
      <w:drawing>
        <wp:anchor distT="0" distB="0" distL="114300" distR="114300" simplePos="0" relativeHeight="251664384" behindDoc="0" locked="0" layoutInCell="1" allowOverlap="1" wp14:anchorId="5AD94582" wp14:editId="5C4C71FA">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2185" w:rsidP="000B352B" w:rsidRDefault="00D12185" w14:paraId="563B9044" w14:textId="77777777">
      <w:pPr>
        <w:spacing w:after="0" w:line="240" w:lineRule="auto"/>
      </w:pPr>
      <w:r>
        <w:separator/>
      </w:r>
    </w:p>
  </w:footnote>
  <w:footnote w:type="continuationSeparator" w:id="0">
    <w:p w:rsidR="00D12185" w:rsidP="000B352B" w:rsidRDefault="00D12185" w14:paraId="7FB96E0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6DB" w:rsidRDefault="00BB16DB" w14:paraId="61218C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E0434" w:rsidR="009E2F15" w:rsidP="003A79BD" w:rsidRDefault="009E2F15" w14:paraId="72F6158E" w14:textId="77777777">
    <w:pPr>
      <w:pStyle w:val="Header"/>
      <w:ind w:right="-1"/>
      <w:rPr>
        <w:rFonts w:ascii="Arial" w:hAnsi="Arial" w:cs="Arial"/>
        <w:color w:val="0E0E0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B36E1" w:rsidP="000B36E1" w:rsidRDefault="000B36E1" w14:paraId="0C2B6F0B" w14:textId="77777777">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52001F98" wp14:editId="69C8E3D5">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Pr="0003729F" w:rsid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rsidRPr="005E0434" w:rsidR="0003729F" w:rsidP="000B36E1" w:rsidRDefault="0003729F" w14:paraId="794FB5E9" w14:textId="77777777">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rsidRPr="005E0434" w:rsidR="000B36E1" w:rsidP="000B36E1" w:rsidRDefault="000B36E1" w14:paraId="02029F57" w14:textId="77777777">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rsidRPr="005E0434" w:rsidR="000B36E1" w:rsidP="000B36E1" w:rsidRDefault="0003729F" w14:paraId="39A76B1A" w14:textId="77777777">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rsidRPr="005E0434" w:rsidR="000B36E1" w:rsidP="000B36E1" w:rsidRDefault="000B36E1" w14:paraId="66C49B83" w14:textId="77777777">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rsidRPr="005E0434" w:rsidR="000B36E1" w:rsidP="000B36E1" w:rsidRDefault="000B36E1" w14:paraId="1F8EE3FB" w14:textId="77777777">
    <w:pPr>
      <w:pStyle w:val="Header"/>
      <w:tabs>
        <w:tab w:val="clear" w:pos="9026"/>
        <w:tab w:val="right" w:pos="10065"/>
      </w:tabs>
      <w:ind w:right="-1039"/>
      <w:jc w:val="right"/>
      <w:rPr>
        <w:rFonts w:ascii="Arial" w:hAnsi="Arial" w:cs="Arial"/>
        <w:color w:val="0E0E0E"/>
        <w:sz w:val="20"/>
        <w:szCs w:val="20"/>
      </w:rPr>
    </w:pPr>
  </w:p>
  <w:p w:rsidRPr="003A3E2E" w:rsidR="000B36E1" w:rsidP="003A3E2E" w:rsidRDefault="003A3E2E" w14:paraId="47CCE388" w14:textId="77777777">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rsidR="000B36E1" w:rsidP="000B36E1" w:rsidRDefault="000B36E1" w14:paraId="1A41BFF6" w14:textId="77777777">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F600FB"/>
    <w:multiLevelType w:val="hybridMultilevel"/>
    <w:tmpl w:val="ACE682C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C41087"/>
    <w:multiLevelType w:val="hybridMultilevel"/>
    <w:tmpl w:val="D2ACA6B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4" w15:restartNumberingAfterBreak="0">
    <w:nsid w:val="342F1D0C"/>
    <w:multiLevelType w:val="hybridMultilevel"/>
    <w:tmpl w:val="79C26A16"/>
    <w:lvl w:ilvl="0" w:tplc="B0DA353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E42DB3"/>
    <w:multiLevelType w:val="hybridMultilevel"/>
    <w:tmpl w:val="4538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1A545E2"/>
    <w:multiLevelType w:val="hybridMultilevel"/>
    <w:tmpl w:val="9028B44C"/>
    <w:lvl w:ilvl="0" w:tplc="A6907310">
      <w:start w:val="1"/>
      <w:numFmt w:val="lowerRoman"/>
      <w:lvlText w:val="(%1)"/>
      <w:lvlJc w:val="left"/>
      <w:pPr>
        <w:ind w:left="330" w:hanging="720"/>
      </w:pPr>
      <w:rPr>
        <w:rFonts w:hint="default"/>
      </w:rPr>
    </w:lvl>
    <w:lvl w:ilvl="1" w:tplc="08090019" w:tentative="1">
      <w:start w:val="1"/>
      <w:numFmt w:val="lowerLetter"/>
      <w:lvlText w:val="%2."/>
      <w:lvlJc w:val="left"/>
      <w:pPr>
        <w:ind w:left="690" w:hanging="360"/>
      </w:pPr>
    </w:lvl>
    <w:lvl w:ilvl="2" w:tplc="0809001B" w:tentative="1">
      <w:start w:val="1"/>
      <w:numFmt w:val="lowerRoman"/>
      <w:lvlText w:val="%3."/>
      <w:lvlJc w:val="right"/>
      <w:pPr>
        <w:ind w:left="1410" w:hanging="180"/>
      </w:pPr>
    </w:lvl>
    <w:lvl w:ilvl="3" w:tplc="0809000F" w:tentative="1">
      <w:start w:val="1"/>
      <w:numFmt w:val="decimal"/>
      <w:lvlText w:val="%4."/>
      <w:lvlJc w:val="left"/>
      <w:pPr>
        <w:ind w:left="2130" w:hanging="360"/>
      </w:pPr>
    </w:lvl>
    <w:lvl w:ilvl="4" w:tplc="08090019" w:tentative="1">
      <w:start w:val="1"/>
      <w:numFmt w:val="lowerLetter"/>
      <w:lvlText w:val="%5."/>
      <w:lvlJc w:val="left"/>
      <w:pPr>
        <w:ind w:left="2850" w:hanging="360"/>
      </w:pPr>
    </w:lvl>
    <w:lvl w:ilvl="5" w:tplc="0809001B" w:tentative="1">
      <w:start w:val="1"/>
      <w:numFmt w:val="lowerRoman"/>
      <w:lvlText w:val="%6."/>
      <w:lvlJc w:val="right"/>
      <w:pPr>
        <w:ind w:left="3570" w:hanging="180"/>
      </w:pPr>
    </w:lvl>
    <w:lvl w:ilvl="6" w:tplc="0809000F" w:tentative="1">
      <w:start w:val="1"/>
      <w:numFmt w:val="decimal"/>
      <w:lvlText w:val="%7."/>
      <w:lvlJc w:val="left"/>
      <w:pPr>
        <w:ind w:left="4290" w:hanging="360"/>
      </w:pPr>
    </w:lvl>
    <w:lvl w:ilvl="7" w:tplc="08090019" w:tentative="1">
      <w:start w:val="1"/>
      <w:numFmt w:val="lowerLetter"/>
      <w:lvlText w:val="%8."/>
      <w:lvlJc w:val="left"/>
      <w:pPr>
        <w:ind w:left="5010" w:hanging="360"/>
      </w:pPr>
    </w:lvl>
    <w:lvl w:ilvl="8" w:tplc="0809001B" w:tentative="1">
      <w:start w:val="1"/>
      <w:numFmt w:val="lowerRoman"/>
      <w:lvlText w:val="%9."/>
      <w:lvlJc w:val="right"/>
      <w:pPr>
        <w:ind w:left="5730" w:hanging="180"/>
      </w:pPr>
    </w:lvl>
  </w:abstractNum>
  <w:abstractNum w:abstractNumId="8" w15:restartNumberingAfterBreak="0">
    <w:nsid w:val="742D3DD1"/>
    <w:multiLevelType w:val="hybridMultilevel"/>
    <w:tmpl w:val="896A2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4081330">
    <w:abstractNumId w:val="2"/>
  </w:num>
  <w:num w:numId="2" w16cid:durableId="1239897750">
    <w:abstractNumId w:val="6"/>
  </w:num>
  <w:num w:numId="3" w16cid:durableId="724110161">
    <w:abstractNumId w:val="3"/>
  </w:num>
  <w:num w:numId="4" w16cid:durableId="99180155">
    <w:abstractNumId w:val="7"/>
  </w:num>
  <w:num w:numId="5" w16cid:durableId="1481845086">
    <w:abstractNumId w:val="0"/>
  </w:num>
  <w:num w:numId="6" w16cid:durableId="423919277">
    <w:abstractNumId w:val="4"/>
  </w:num>
  <w:num w:numId="7" w16cid:durableId="2008357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738768">
    <w:abstractNumId w:val="5"/>
  </w:num>
  <w:num w:numId="9" w16cid:durableId="1504122631">
    <w:abstractNumId w:val="8"/>
  </w:num>
  <w:num w:numId="10" w16cid:durableId="132566931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010E9"/>
    <w:rsid w:val="0003729F"/>
    <w:rsid w:val="00041CAF"/>
    <w:rsid w:val="000468DC"/>
    <w:rsid w:val="000641E7"/>
    <w:rsid w:val="00085181"/>
    <w:rsid w:val="000B104A"/>
    <w:rsid w:val="000B352B"/>
    <w:rsid w:val="000B36E1"/>
    <w:rsid w:val="00144F73"/>
    <w:rsid w:val="0014732A"/>
    <w:rsid w:val="00176AA4"/>
    <w:rsid w:val="0017794A"/>
    <w:rsid w:val="001D5BD2"/>
    <w:rsid w:val="001E0317"/>
    <w:rsid w:val="001F3962"/>
    <w:rsid w:val="0022689E"/>
    <w:rsid w:val="002B6A0D"/>
    <w:rsid w:val="00320722"/>
    <w:rsid w:val="00321B75"/>
    <w:rsid w:val="00361D78"/>
    <w:rsid w:val="00371B99"/>
    <w:rsid w:val="003936B7"/>
    <w:rsid w:val="003A3E2E"/>
    <w:rsid w:val="003A79BD"/>
    <w:rsid w:val="003B2535"/>
    <w:rsid w:val="003D614E"/>
    <w:rsid w:val="0040409D"/>
    <w:rsid w:val="004215D9"/>
    <w:rsid w:val="00427E93"/>
    <w:rsid w:val="0043022B"/>
    <w:rsid w:val="00447486"/>
    <w:rsid w:val="00453738"/>
    <w:rsid w:val="00453774"/>
    <w:rsid w:val="00480405"/>
    <w:rsid w:val="00481964"/>
    <w:rsid w:val="00490CDB"/>
    <w:rsid w:val="00493D2F"/>
    <w:rsid w:val="004C2D22"/>
    <w:rsid w:val="004E4493"/>
    <w:rsid w:val="004F29D7"/>
    <w:rsid w:val="004F39B0"/>
    <w:rsid w:val="004F4332"/>
    <w:rsid w:val="00545445"/>
    <w:rsid w:val="00575A07"/>
    <w:rsid w:val="00593F3D"/>
    <w:rsid w:val="005A42E5"/>
    <w:rsid w:val="005A7A7D"/>
    <w:rsid w:val="005B078B"/>
    <w:rsid w:val="005C388B"/>
    <w:rsid w:val="005C7480"/>
    <w:rsid w:val="005E0434"/>
    <w:rsid w:val="005E2A58"/>
    <w:rsid w:val="00641CEB"/>
    <w:rsid w:val="006628FF"/>
    <w:rsid w:val="00671EF3"/>
    <w:rsid w:val="0069376C"/>
    <w:rsid w:val="006B51D9"/>
    <w:rsid w:val="006D0C62"/>
    <w:rsid w:val="006F031D"/>
    <w:rsid w:val="0072577F"/>
    <w:rsid w:val="00732227"/>
    <w:rsid w:val="0079326E"/>
    <w:rsid w:val="007B36FA"/>
    <w:rsid w:val="007C64C6"/>
    <w:rsid w:val="007D4914"/>
    <w:rsid w:val="008530D5"/>
    <w:rsid w:val="00866617"/>
    <w:rsid w:val="008A09C4"/>
    <w:rsid w:val="008C081A"/>
    <w:rsid w:val="008E075C"/>
    <w:rsid w:val="008E4AE4"/>
    <w:rsid w:val="00961369"/>
    <w:rsid w:val="00976623"/>
    <w:rsid w:val="009A01FD"/>
    <w:rsid w:val="009B52FC"/>
    <w:rsid w:val="009E2F15"/>
    <w:rsid w:val="009E5151"/>
    <w:rsid w:val="009F0476"/>
    <w:rsid w:val="00A0226C"/>
    <w:rsid w:val="00A84AF4"/>
    <w:rsid w:val="00AD3112"/>
    <w:rsid w:val="00AD62DD"/>
    <w:rsid w:val="00AD7658"/>
    <w:rsid w:val="00AE303D"/>
    <w:rsid w:val="00AE670F"/>
    <w:rsid w:val="00B142A0"/>
    <w:rsid w:val="00B24360"/>
    <w:rsid w:val="00B32B71"/>
    <w:rsid w:val="00B5086C"/>
    <w:rsid w:val="00B737D4"/>
    <w:rsid w:val="00B82CA4"/>
    <w:rsid w:val="00BB16DB"/>
    <w:rsid w:val="00BB69CF"/>
    <w:rsid w:val="00BC7BE7"/>
    <w:rsid w:val="00C85906"/>
    <w:rsid w:val="00C96687"/>
    <w:rsid w:val="00CB4563"/>
    <w:rsid w:val="00CE085C"/>
    <w:rsid w:val="00D12185"/>
    <w:rsid w:val="00D22D3F"/>
    <w:rsid w:val="00D37DEC"/>
    <w:rsid w:val="00D43C5C"/>
    <w:rsid w:val="00D755E3"/>
    <w:rsid w:val="00D770E0"/>
    <w:rsid w:val="00DB178D"/>
    <w:rsid w:val="00DB4076"/>
    <w:rsid w:val="00DD42C9"/>
    <w:rsid w:val="00DD43C2"/>
    <w:rsid w:val="00E00373"/>
    <w:rsid w:val="00E03263"/>
    <w:rsid w:val="00E467E2"/>
    <w:rsid w:val="00E60FCF"/>
    <w:rsid w:val="00E622D7"/>
    <w:rsid w:val="00E67BD1"/>
    <w:rsid w:val="00E70F23"/>
    <w:rsid w:val="00E7772A"/>
    <w:rsid w:val="00EA3919"/>
    <w:rsid w:val="00EE6553"/>
    <w:rsid w:val="00F04994"/>
    <w:rsid w:val="00F1265E"/>
    <w:rsid w:val="00F233EA"/>
    <w:rsid w:val="00F24B1D"/>
    <w:rsid w:val="00F3229D"/>
    <w:rsid w:val="00F47A04"/>
    <w:rsid w:val="00F70A40"/>
    <w:rsid w:val="00F96ED2"/>
    <w:rsid w:val="00FB225B"/>
    <w:rsid w:val="00FC0EF1"/>
    <w:rsid w:val="00FE3296"/>
    <w:rsid w:val="2282DB7D"/>
    <w:rsid w:val="3146B211"/>
    <w:rsid w:val="471AB196"/>
    <w:rsid w:val="5589D001"/>
    <w:rsid w:val="5DDDC839"/>
    <w:rsid w:val="67DE9728"/>
    <w:rsid w:val="6AAC600D"/>
    <w:rsid w:val="708E3D62"/>
    <w:rsid w:val="792FC949"/>
    <w:rsid w:val="7C90B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601D7"/>
  <w15:docId w15:val="{5E5192C4-7C1C-460D-BFA5-1A9E65B2B1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68DC"/>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0B352B"/>
    <w:rPr>
      <w:rFonts w:ascii="Tahoma" w:hAnsi="Tahoma" w:cs="Tahoma"/>
      <w:sz w:val="16"/>
      <w:szCs w:val="16"/>
    </w:rPr>
  </w:style>
  <w:style w:type="paragraph" w:styleId="Paragraph" w:customStyle="1">
    <w:name w:val="Paragraph"/>
    <w:basedOn w:val="Normal"/>
    <w:uiPriority w:val="4"/>
    <w:qFormat/>
    <w:rsid w:val="009A01FD"/>
    <w:pPr>
      <w:numPr>
        <w:numId w:val="2"/>
      </w:numPr>
      <w:spacing w:before="240" w:after="240"/>
    </w:pPr>
    <w:rPr>
      <w:rFonts w:ascii="Arial" w:hAnsi="Arial" w:eastAsia="Times New Roman"/>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1" w:customStyle="1">
    <w:name w:val="Unresolved Mention1"/>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hAnsi="Arial" w:eastAsia="Times New Roman"/>
      <w:sz w:val="20"/>
      <w:szCs w:val="20"/>
    </w:rPr>
  </w:style>
  <w:style w:type="character" w:styleId="CommentReference">
    <w:name w:val="annotation reference"/>
    <w:basedOn w:val="DefaultParagraphFont"/>
    <w:uiPriority w:val="99"/>
    <w:semiHidden/>
    <w:unhideWhenUsed/>
    <w:rsid w:val="00E467E2"/>
    <w:rPr>
      <w:sz w:val="16"/>
      <w:szCs w:val="16"/>
    </w:rPr>
  </w:style>
  <w:style w:type="paragraph" w:styleId="CommentText">
    <w:name w:val="annotation text"/>
    <w:basedOn w:val="Normal"/>
    <w:link w:val="CommentTextChar"/>
    <w:uiPriority w:val="99"/>
    <w:semiHidden/>
    <w:unhideWhenUsed/>
    <w:rsid w:val="00E467E2"/>
    <w:pPr>
      <w:spacing w:line="240" w:lineRule="auto"/>
    </w:pPr>
    <w:rPr>
      <w:sz w:val="20"/>
      <w:szCs w:val="20"/>
    </w:rPr>
  </w:style>
  <w:style w:type="character" w:styleId="CommentTextChar" w:customStyle="1">
    <w:name w:val="Comment Text Char"/>
    <w:basedOn w:val="DefaultParagraphFont"/>
    <w:link w:val="CommentText"/>
    <w:uiPriority w:val="99"/>
    <w:semiHidden/>
    <w:rsid w:val="00E467E2"/>
    <w:rPr>
      <w:lang w:eastAsia="en-US"/>
    </w:rPr>
  </w:style>
  <w:style w:type="paragraph" w:styleId="CommentSubject">
    <w:name w:val="annotation subject"/>
    <w:basedOn w:val="CommentText"/>
    <w:next w:val="CommentText"/>
    <w:link w:val="CommentSubjectChar"/>
    <w:uiPriority w:val="99"/>
    <w:semiHidden/>
    <w:unhideWhenUsed/>
    <w:rsid w:val="00E467E2"/>
    <w:rPr>
      <w:b/>
      <w:bCs/>
    </w:rPr>
  </w:style>
  <w:style w:type="character" w:styleId="CommentSubjectChar" w:customStyle="1">
    <w:name w:val="Comment Subject Char"/>
    <w:basedOn w:val="CommentTextChar"/>
    <w:link w:val="CommentSubject"/>
    <w:uiPriority w:val="99"/>
    <w:semiHidden/>
    <w:rsid w:val="00E467E2"/>
    <w:rPr>
      <w:b/>
      <w:bCs/>
      <w:lang w:eastAsia="en-US"/>
    </w:rPr>
  </w:style>
  <w:style w:type="paragraph" w:styleId="Revision">
    <w:name w:val="Revision"/>
    <w:hidden/>
    <w:uiPriority w:val="99"/>
    <w:semiHidden/>
    <w:rsid w:val="00F70A40"/>
    <w:rPr>
      <w:sz w:val="22"/>
      <w:szCs w:val="22"/>
      <w:lang w:eastAsia="en-US"/>
    </w:rPr>
  </w:style>
  <w:style w:type="paragraph" w:styleId="BodyText">
    <w:name w:val="Body Text"/>
    <w:basedOn w:val="Normal"/>
    <w:link w:val="BodyTextChar"/>
    <w:rsid w:val="00671EF3"/>
    <w:pPr>
      <w:spacing w:line="288" w:lineRule="auto"/>
    </w:pPr>
    <w:rPr>
      <w:rFonts w:ascii="Arial" w:hAnsi="Arial" w:eastAsia="Times New Roman"/>
      <w:color w:val="333333"/>
      <w:sz w:val="20"/>
      <w:szCs w:val="20"/>
    </w:rPr>
  </w:style>
  <w:style w:type="character" w:styleId="BodyTextChar" w:customStyle="1">
    <w:name w:val="Body Text Char"/>
    <w:basedOn w:val="DefaultParagraphFont"/>
    <w:link w:val="BodyText"/>
    <w:rsid w:val="00671EF3"/>
    <w:rPr>
      <w:rFonts w:ascii="Arial" w:hAnsi="Arial" w:eastAsia="Times New Roman"/>
      <w:color w:val="333333"/>
      <w:lang w:eastAsia="en-US"/>
    </w:rPr>
  </w:style>
  <w:style w:type="character" w:styleId="UnresolvedMention">
    <w:name w:val="Unresolved Mention"/>
    <w:basedOn w:val="DefaultParagraphFont"/>
    <w:uiPriority w:val="99"/>
    <w:semiHidden/>
    <w:unhideWhenUsed/>
    <w:rsid w:val="00F96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7571">
      <w:bodyDiv w:val="1"/>
      <w:marLeft w:val="0"/>
      <w:marRight w:val="0"/>
      <w:marTop w:val="0"/>
      <w:marBottom w:val="0"/>
      <w:divBdr>
        <w:top w:val="none" w:sz="0" w:space="0" w:color="auto"/>
        <w:left w:val="none" w:sz="0" w:space="0" w:color="auto"/>
        <w:bottom w:val="none" w:sz="0" w:space="0" w:color="auto"/>
        <w:right w:val="none" w:sz="0" w:space="0" w:color="auto"/>
      </w:divBdr>
    </w:div>
    <w:div w:id="429393891">
      <w:bodyDiv w:val="1"/>
      <w:marLeft w:val="0"/>
      <w:marRight w:val="0"/>
      <w:marTop w:val="0"/>
      <w:marBottom w:val="0"/>
      <w:divBdr>
        <w:top w:val="none" w:sz="0" w:space="0" w:color="auto"/>
        <w:left w:val="none" w:sz="0" w:space="0" w:color="auto"/>
        <w:bottom w:val="none" w:sz="0" w:space="0" w:color="auto"/>
        <w:right w:val="none" w:sz="0" w:space="0" w:color="auto"/>
      </w:divBdr>
    </w:div>
    <w:div w:id="862284590">
      <w:bodyDiv w:val="1"/>
      <w:marLeft w:val="0"/>
      <w:marRight w:val="0"/>
      <w:marTop w:val="0"/>
      <w:marBottom w:val="0"/>
      <w:divBdr>
        <w:top w:val="none" w:sz="0" w:space="0" w:color="auto"/>
        <w:left w:val="none" w:sz="0" w:space="0" w:color="auto"/>
        <w:bottom w:val="none" w:sz="0" w:space="0" w:color="auto"/>
        <w:right w:val="none" w:sz="0" w:space="0" w:color="auto"/>
      </w:divBdr>
    </w:div>
    <w:div w:id="1069428360">
      <w:bodyDiv w:val="1"/>
      <w:marLeft w:val="0"/>
      <w:marRight w:val="0"/>
      <w:marTop w:val="0"/>
      <w:marBottom w:val="0"/>
      <w:divBdr>
        <w:top w:val="none" w:sz="0" w:space="0" w:color="auto"/>
        <w:left w:val="none" w:sz="0" w:space="0" w:color="auto"/>
        <w:bottom w:val="none" w:sz="0" w:space="0" w:color="auto"/>
        <w:right w:val="none" w:sz="0" w:space="0" w:color="auto"/>
      </w:divBdr>
    </w:div>
    <w:div w:id="1076708101">
      <w:bodyDiv w:val="1"/>
      <w:marLeft w:val="0"/>
      <w:marRight w:val="0"/>
      <w:marTop w:val="0"/>
      <w:marBottom w:val="0"/>
      <w:divBdr>
        <w:top w:val="none" w:sz="0" w:space="0" w:color="auto"/>
        <w:left w:val="none" w:sz="0" w:space="0" w:color="auto"/>
        <w:bottom w:val="none" w:sz="0" w:space="0" w:color="auto"/>
        <w:right w:val="none" w:sz="0" w:space="0" w:color="auto"/>
      </w:divBdr>
    </w:div>
    <w:div w:id="1169326003">
      <w:bodyDiv w:val="1"/>
      <w:marLeft w:val="0"/>
      <w:marRight w:val="0"/>
      <w:marTop w:val="0"/>
      <w:marBottom w:val="0"/>
      <w:divBdr>
        <w:top w:val="none" w:sz="0" w:space="0" w:color="auto"/>
        <w:left w:val="none" w:sz="0" w:space="0" w:color="auto"/>
        <w:bottom w:val="none" w:sz="0" w:space="0" w:color="auto"/>
        <w:right w:val="none" w:sz="0" w:space="0" w:color="auto"/>
      </w:divBdr>
    </w:div>
    <w:div w:id="1740320705">
      <w:bodyDiv w:val="1"/>
      <w:marLeft w:val="0"/>
      <w:marRight w:val="0"/>
      <w:marTop w:val="0"/>
      <w:marBottom w:val="0"/>
      <w:divBdr>
        <w:top w:val="none" w:sz="0" w:space="0" w:color="auto"/>
        <w:left w:val="none" w:sz="0" w:space="0" w:color="auto"/>
        <w:bottom w:val="none" w:sz="0" w:space="0" w:color="auto"/>
        <w:right w:val="none" w:sz="0" w:space="0" w:color="auto"/>
      </w:divBdr>
    </w:div>
    <w:div w:id="21305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Active1!157909481.1</documentid>
  <senderid>AWNE</senderid>
  <senderemail>AEDWARDS@DACBEACHCROFT.COM</senderemail>
  <lastmodified>2024-11-11T13:56:00.0000000+00:00</lastmodified>
  <database>Active1</database>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0A597-8F84-48C1-908A-9EB82AF44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9D9CB-E420-44A6-BDD6-D0499A48D646}">
  <ds:schemaRefs>
    <ds:schemaRef ds:uri="http://schemas.openxmlformats.org/officeDocument/2006/bibliography"/>
    <ds:schemaRef ds:uri="http://www.imanage.com/work/xmlschema"/>
  </ds:schemaRefs>
</ds:datastoreItem>
</file>

<file path=customXml/itemProps3.xml><?xml version="1.0" encoding="utf-8"?>
<ds:datastoreItem xmlns:ds="http://schemas.openxmlformats.org/officeDocument/2006/customXml" ds:itemID="{754ABE4A-40E2-45D7-9247-0894373E32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77F7CE-5AF8-4966-AD9B-9DC3D125EF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Lyn Davies</lastModifiedBy>
  <revision>5</revision>
  <lastPrinted>1900-01-01T08:00:00.0000000Z</lastPrinted>
  <dcterms:created xsi:type="dcterms:W3CDTF">2024-11-11T14:23:00.0000000Z</dcterms:created>
  <dcterms:modified xsi:type="dcterms:W3CDTF">2024-11-14T12:09:59.3096106Z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MSIP_Label_c69d85d5-6d9e-4305-a294-1f636ec0f2d6_Enabled">
    <vt:lpwstr>true</vt:lpwstr>
  </property>
  <property fmtid="{D5CDD505-2E9C-101B-9397-08002B2CF9AE}" pid="4" name="MSIP_Label_c69d85d5-6d9e-4305-a294-1f636ec0f2d6_SetDate">
    <vt:lpwstr>2024-11-11T14:23:05Z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0507041b-4d56-4c02-90b0-b58cbb36d61a</vt:lpwstr>
  </property>
  <property fmtid="{D5CDD505-2E9C-101B-9397-08002B2CF9AE}" pid="9" name="MSIP_Label_c69d85d5-6d9e-4305-a294-1f636ec0f2d6_ContentBits">
    <vt:lpwstr>0</vt:lpwstr>
  </property>
</Properties>
</file>