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9EA8" w14:textId="77777777" w:rsidR="00AA768B" w:rsidRDefault="00C33C41">
      <w:pPr>
        <w:pStyle w:val="Title"/>
      </w:pPr>
      <w:r>
        <w:rPr>
          <w:noProof/>
          <w:lang w:val="en-US"/>
        </w:rPr>
        <w:pict w14:anchorId="216C0FEE">
          <v:line id="_x0000_s2052" style="position:absolute;z-index:251656704" from="-136.95pt,-66.9pt" to="408.3pt,-66.9pt" stroked="f"/>
        </w:pict>
      </w:r>
      <w:r>
        <w:rPr>
          <w:noProof/>
          <w:lang w:val="en-US"/>
        </w:rPr>
        <w:pict w14:anchorId="49ABEBE9">
          <v:shapetype id="_x0000_t202" coordsize="21600,21600" o:spt="202" path="m,l,21600r21600,l21600,xe">
            <v:stroke joinstyle="miter"/>
            <v:path gradientshapeok="t" o:connecttype="rect"/>
          </v:shapetype>
          <v:shape id="_x0000_s2053" type="#_x0000_t202" style="position:absolute;margin-left:39.7pt;margin-top:36.45pt;width:226pt;height:73.2pt;z-index:-251660800;mso-wrap-edited:f;mso-position-horizontal-relative:page;mso-position-vertical-relative:page" wrapcoords="0 0 21600 0 21600 21600 0 21600 0 0" filled="f" fillcolor="#36f" stroked="f">
            <v:textbox style="mso-next-textbox:#_x0000_s2053" inset="0,0,0,0">
              <w:txbxContent>
                <w:p w14:paraId="034E97BB" w14:textId="77777777" w:rsidR="00AA768B" w:rsidRDefault="00AA768B">
                  <w:pPr>
                    <w:spacing w:after="170"/>
                    <w:rPr>
                      <w:b/>
                      <w:bCs/>
                      <w:color w:val="003893"/>
                    </w:rPr>
                  </w:pPr>
                  <w:r>
                    <w:rPr>
                      <w:b/>
                      <w:bCs/>
                    </w:rPr>
                    <w:t>Dyddiad cyhoeddi:</w:t>
                  </w:r>
                  <w:r>
                    <w:rPr>
                      <w:color w:val="003798"/>
                    </w:rPr>
                    <w:t xml:space="preserve"> </w:t>
                  </w:r>
                  <w:r>
                    <w:rPr>
                      <w:color w:val="003893"/>
                    </w:rPr>
                    <w:t xml:space="preserve">Awst 2010 </w:t>
                  </w:r>
                  <w:r>
                    <w:rPr>
                      <w:color w:val="003893"/>
                    </w:rPr>
                    <w:tab/>
                  </w:r>
                </w:p>
                <w:p w14:paraId="791F84E5" w14:textId="77777777" w:rsidR="00AA768B" w:rsidRDefault="00AA768B">
                  <w:pPr>
                    <w:pStyle w:val="Heading3"/>
                    <w:spacing w:after="170" w:line="320" w:lineRule="exact"/>
                    <w:rPr>
                      <w:sz w:val="30"/>
                      <w:szCs w:val="30"/>
                    </w:rPr>
                  </w:pPr>
                  <w:r>
                    <w:rPr>
                      <w:sz w:val="30"/>
                      <w:szCs w:val="30"/>
                    </w:rPr>
                    <w:t>Deall canllawiau NICE</w:t>
                  </w:r>
                </w:p>
                <w:p w14:paraId="493A4C97" w14:textId="77777777" w:rsidR="00AA768B" w:rsidRDefault="00AA768B">
                  <w:pPr>
                    <w:rPr>
                      <w:b/>
                      <w:bCs/>
                      <w:color w:val="003797"/>
                    </w:rPr>
                  </w:pPr>
                  <w:r>
                    <w:rPr>
                      <w:b/>
                      <w:bCs/>
                    </w:rPr>
                    <w:t>Gwybodaeth i bobl sy’n defnyddio gwasanaethau’r GIG</w:t>
                  </w:r>
                </w:p>
              </w:txbxContent>
            </v:textbox>
            <w10:wrap anchorx="page" anchory="page"/>
            <w10:anchorlock/>
          </v:shape>
        </w:pict>
      </w:r>
      <w:r w:rsidR="00AA768B">
        <w:t xml:space="preserve">Adalimumab, etanercept, infliximab, rituximab ac abatacept i drin arthritis gwynegol </w:t>
      </w:r>
    </w:p>
    <w:p w14:paraId="2EBF8898" w14:textId="77777777" w:rsidR="00AA768B" w:rsidRDefault="00C33C41">
      <w:pPr>
        <w:pStyle w:val="Bodycopy"/>
      </w:pPr>
      <w:r>
        <w:rPr>
          <w:noProof/>
          <w:lang w:val="en-US"/>
        </w:rPr>
        <w:pict w14:anchorId="63862A4D">
          <v:shape id="_x0000_s2054" type="#_x0000_t202" style="position:absolute;margin-left:39.7pt;margin-top:2pt;width:112.4pt;height:196.2pt;z-index:251659776;mso-position-horizontal-relative:page" filled="f" fillcolor="#36f" stroked="f">
            <v:textbox style="mso-next-textbox:#_x0000_s2054" inset="0,0,0,0">
              <w:txbxContent>
                <w:p w14:paraId="7705C7F9" w14:textId="77777777" w:rsidR="00AA768B" w:rsidRDefault="00AA768B">
                  <w:pPr>
                    <w:pStyle w:val="Pulloutcopy"/>
                  </w:pPr>
                  <w:r>
                    <w:t>Mae ‘canllawiau arfarnu technoleg’ NICE yn rhoi cyngor ar sut a phryd y dylid defnyddio cyffuriau a thriniaethau eraill yn y GIG.</w:t>
                  </w:r>
                </w:p>
                <w:p w14:paraId="33D58E79" w14:textId="77777777" w:rsidR="00AA768B" w:rsidRDefault="00AA768B">
                  <w:pPr>
                    <w:pStyle w:val="Pulloutcopy"/>
                    <w:rPr>
                      <w:highlight w:val="cyan"/>
                    </w:rPr>
                  </w:pPr>
                </w:p>
              </w:txbxContent>
            </v:textbox>
            <w10:wrap anchorx="page"/>
          </v:shape>
        </w:pict>
      </w:r>
      <w:r w:rsidR="00AA768B">
        <w:t>Mae’r daflen hon yn ymwneud â phryd y dylid defnyddio adalimumab, etanercept, infliximab, rituximab ac abatacept i drin arthritis gwynegol yn y GIG yng Nghymru a Lloegr. Mae’n egluro’r canllawiau (cyngor) gan NICE (y Sefydliad Cenedlaethol dros Iechyd a Rhagoriaeth Glinigol). Fe'i hysgrifennwyd ar gyfer pobl sydd ag arthritis gwynegol ond gallai hefyd fod yn ddefnyddiol i’w teuluoedd neu ofalwyr neu unrhyw un sydd â diddordeb yn y cyflwr.</w:t>
      </w:r>
    </w:p>
    <w:p w14:paraId="04E808D6" w14:textId="77777777" w:rsidR="00AA768B" w:rsidRDefault="00AA768B">
      <w:pPr>
        <w:pStyle w:val="Bodycopy"/>
        <w:rPr>
          <w:highlight w:val="cyan"/>
        </w:rPr>
        <w:sectPr w:rsidR="00AA768B">
          <w:pgSz w:w="11906" w:h="16838" w:code="9"/>
          <w:pgMar w:top="2835" w:right="794" w:bottom="1701" w:left="3459" w:header="709" w:footer="709" w:gutter="0"/>
          <w:pgNumType w:start="1"/>
          <w:cols w:space="708"/>
          <w:docGrid w:linePitch="360"/>
        </w:sectPr>
      </w:pPr>
      <w:r>
        <w:t>Nid yw'n disgrifio arthritis gwynegol na'r triniaethau'n fanwl - dylai clinigydd drafod y rhain gyda chi. Gallwch gael rhagor o wybodaeth gan y sefydliadau a restrir ar dudalen 5.</w:t>
      </w:r>
    </w:p>
    <w:tbl>
      <w:tblPr>
        <w:tblW w:w="7592" w:type="dxa"/>
        <w:tblInd w:w="170" w:type="dxa"/>
        <w:tblBorders>
          <w:top w:val="single" w:sz="18" w:space="0" w:color="003893"/>
          <w:left w:val="single" w:sz="18" w:space="0" w:color="003893"/>
          <w:bottom w:val="single" w:sz="18" w:space="0" w:color="003893"/>
          <w:right w:val="single" w:sz="18" w:space="0" w:color="003893"/>
          <w:insideH w:val="single" w:sz="18" w:space="0" w:color="003893"/>
          <w:insideV w:val="single" w:sz="18" w:space="0" w:color="003893"/>
        </w:tblBorders>
        <w:tblLayout w:type="fixed"/>
        <w:tblLook w:val="0000" w:firstRow="0" w:lastRow="0" w:firstColumn="0" w:lastColumn="0" w:noHBand="0" w:noVBand="0"/>
      </w:tblPr>
      <w:tblGrid>
        <w:gridCol w:w="7592"/>
      </w:tblGrid>
      <w:tr w:rsidR="00AA768B" w:rsidRPr="00AA768B" w14:paraId="56ED567B" w14:textId="77777777">
        <w:trPr>
          <w:trHeight w:val="5033"/>
        </w:trPr>
        <w:tc>
          <w:tcPr>
            <w:tcW w:w="7592" w:type="dxa"/>
            <w:shd w:val="clear" w:color="auto" w:fill="F0EFF6"/>
            <w:noWrap/>
            <w:tcMar>
              <w:top w:w="170" w:type="dxa"/>
              <w:left w:w="170" w:type="dxa"/>
              <w:bottom w:w="0" w:type="dxa"/>
              <w:right w:w="170" w:type="dxa"/>
            </w:tcMar>
          </w:tcPr>
          <w:p w14:paraId="54A7B682" w14:textId="77777777" w:rsidR="00AA768B" w:rsidRPr="00AA768B" w:rsidRDefault="00C33C41">
            <w:pPr>
              <w:pStyle w:val="Heading1"/>
            </w:pPr>
            <w:r>
              <w:rPr>
                <w:noProof/>
                <w:lang w:val="en-US"/>
              </w:rPr>
              <w:lastRenderedPageBreak/>
              <w:pict w14:anchorId="2D11B1F4">
                <v:shape id="_x0000_s2055" type="#_x0000_t202" style="position:absolute;margin-left:-133.95pt;margin-top:6.8pt;width:112.4pt;height:196.2pt;z-index:251658752;mso-position-horizontal-relative:page" filled="f" fillcolor="#36f" stroked="f">
                  <v:textbox style="mso-next-textbox:#_x0000_s2055" inset="0,0,0,0">
                    <w:txbxContent>
                      <w:p w14:paraId="5C289CAE" w14:textId="77777777" w:rsidR="00AA768B" w:rsidRDefault="00AA768B">
                        <w:pPr>
                          <w:pStyle w:val="Pulloutcopy"/>
                        </w:pPr>
                        <w:bookmarkStart w:id="0" w:name="_What_has_NICE"/>
                        <w:bookmarkEnd w:id="0"/>
                        <w:r>
                          <w:t xml:space="preserve">Efallai nad dyma fydd yr unig driniaethau posibl ar gyfer arthritis gwynegol. Dylai eich tîm gofal iechyd siarad â chi ynghylch p’un a ydynt yn addas i chi ac am y triniaethau eraill sydd ar gael.  </w:t>
                        </w:r>
                      </w:p>
                      <w:p w14:paraId="1D0F941B" w14:textId="77777777" w:rsidR="00AA768B" w:rsidRDefault="00AA768B">
                        <w:pPr>
                          <w:pStyle w:val="Pulloutcopy"/>
                          <w:rPr>
                            <w:highlight w:val="cyan"/>
                          </w:rPr>
                        </w:pPr>
                      </w:p>
                    </w:txbxContent>
                  </v:textbox>
                  <w10:wrap anchorx="page"/>
                </v:shape>
              </w:pict>
            </w:r>
            <w:r>
              <w:rPr>
                <w:noProof/>
                <w:lang w:val="en-US"/>
              </w:rPr>
              <w:pict w14:anchorId="1AE49949">
                <v:line id="_x0000_s2056" style="position:absolute;z-index:251657728" from="372.3pt,-136.65pt" to="372.3pt,632.6pt" stroked="f"/>
              </w:pict>
            </w:r>
            <w:r w:rsidR="00AA768B" w:rsidRPr="00AA768B">
              <w:rPr>
                <w:sz w:val="22"/>
                <w:szCs w:val="22"/>
              </w:rPr>
              <w:br w:type="page"/>
            </w:r>
            <w:r w:rsidR="00AA768B" w:rsidRPr="00AA768B">
              <w:t>Beth y mae NICE wedi'i ddweud?</w:t>
            </w:r>
          </w:p>
          <w:p w14:paraId="41117EFB" w14:textId="77777777" w:rsidR="00AA768B" w:rsidRPr="00AA768B" w:rsidRDefault="00AA768B">
            <w:pPr>
              <w:pStyle w:val="Bodycopy"/>
            </w:pPr>
            <w:r w:rsidRPr="00AA768B">
              <w:t xml:space="preserve">Mae NICE yn argymell rituximab, adalimumab, etanercept, infliximab ac abatacept fel opsiynau posibl i drin rhai oedolion sydd ag arthritis gwynegol gweithredol difrifol. </w:t>
            </w:r>
          </w:p>
          <w:p w14:paraId="57413049" w14:textId="77777777" w:rsidR="00AA768B" w:rsidRPr="00AA768B" w:rsidRDefault="00AA768B">
            <w:pPr>
              <w:pStyle w:val="Heading2"/>
            </w:pPr>
            <w:bookmarkStart w:id="1" w:name="_Who_can_have"/>
            <w:bookmarkEnd w:id="1"/>
            <w:r w:rsidRPr="00AA768B">
              <w:t xml:space="preserve">Pwy all gael rituximab? </w:t>
            </w:r>
          </w:p>
          <w:p w14:paraId="7AE636D5" w14:textId="77777777" w:rsidR="00AA768B" w:rsidRPr="00AA768B" w:rsidRDefault="00AA768B">
            <w:pPr>
              <w:pStyle w:val="Bodycopy"/>
            </w:pPr>
            <w:r w:rsidRPr="00AA768B">
              <w:t xml:space="preserve">Mae angen rhoi rituximab ar y cyd â methotrexate, cyffur arall a ddefnyddir i drin arthritis gwynegol. Dylech allu cael therapi rituximab os ydych eisoes wedi rhoi cynnig ar gyffuriau a elwir yn gyffuriau gwrth-wynegol sy'n addasu clefydau (DMARDau), gan gynnwys o leiaf un 'atalydd TNF', ond nad yw'r cyffuriau hyn wedi gweithio neu bu'n rhaid i chi roi'r gorau i'w cymryd am resymau meddygol. </w:t>
            </w:r>
          </w:p>
          <w:p w14:paraId="6CD2932B" w14:textId="77777777" w:rsidR="00AA768B" w:rsidRPr="00AA768B" w:rsidRDefault="00AA768B">
            <w:pPr>
              <w:pStyle w:val="Heading2"/>
            </w:pPr>
            <w:r w:rsidRPr="00AA768B">
              <w:t>Pwy all gael adalimumab, etanercept, infliximab neu abatacept?</w:t>
            </w:r>
          </w:p>
          <w:p w14:paraId="6564DA52" w14:textId="77777777" w:rsidR="00AA768B" w:rsidRPr="00AA768B" w:rsidRDefault="00AA768B">
            <w:pPr>
              <w:pStyle w:val="Bodycopy"/>
            </w:pPr>
            <w:r w:rsidRPr="00AA768B">
              <w:t xml:space="preserve">Dylech allu cael adalimumab, etanercept, infliximab neu abatacept (ar y cyd â methotrexate) os na allwch gymryd therapi rituximab am resymau meddygol neu os bu'n rhaid i chi roi'r gorau i'w gymryd oherwydd i chi gael adwaith gwael iddo. Os na allwch gael therapi rituximab am nad yw rituximab ei hun yn addas i chi, yna dylech allu cael adalimumab, etanercept, infliximab neu abatacept (ar y cyd â methotrexate). Os na allwch gael therapi rituximab am nad yw methotrexate yn addas i chi, dylech allu cael adalimumab neu etanercept a gymerir ar ei ben ei hun.  </w:t>
            </w:r>
          </w:p>
          <w:p w14:paraId="691865CF" w14:textId="77777777" w:rsidR="00AA768B" w:rsidRPr="00AA768B" w:rsidRDefault="00AA768B">
            <w:pPr>
              <w:pStyle w:val="Bodycopy"/>
            </w:pPr>
            <w:r w:rsidRPr="00AA768B">
              <w:t>Ar ôl y chwe mis cyntaf dim ond os yw'n glir bod y driniaeth yn gwella eich arthritis gwynegol y dylech allu parhau i gael eich trin â rituximab, adalimumab, etanercept, infliximab neu abatacept.</w:t>
            </w:r>
          </w:p>
          <w:p w14:paraId="6806B739" w14:textId="77777777" w:rsidR="00AA768B" w:rsidRPr="00AA768B" w:rsidRDefault="00AA768B">
            <w:pPr>
              <w:pStyle w:val="Heading2"/>
            </w:pPr>
          </w:p>
          <w:p w14:paraId="64AFFDAA" w14:textId="77777777" w:rsidR="00AA768B" w:rsidRPr="00AA768B" w:rsidRDefault="00AA768B">
            <w:pPr>
              <w:pStyle w:val="Heading2"/>
            </w:pPr>
            <w:r w:rsidRPr="00AA768B">
              <w:lastRenderedPageBreak/>
              <w:t>Pam fod NICE wedi dweud hyn?</w:t>
            </w:r>
          </w:p>
          <w:p w14:paraId="4EA35B8B" w14:textId="77777777" w:rsidR="00AA768B" w:rsidRPr="00AA768B" w:rsidRDefault="00AA768B">
            <w:pPr>
              <w:pStyle w:val="Bodycopy"/>
            </w:pPr>
            <w:r w:rsidRPr="00AA768B">
              <w:t>Mae NICE yn edrych ar ba mor dda y mae triniaethau yn gweithio yn ogystal â pha mor dda y maent yn gweithio mewn perthynas â'u cost i'r GIG.</w:t>
            </w:r>
          </w:p>
          <w:p w14:paraId="6BFBB5D7" w14:textId="77777777" w:rsidR="00AA768B" w:rsidRPr="00AA768B" w:rsidRDefault="00AA768B">
            <w:pPr>
              <w:pStyle w:val="Bodycopy"/>
            </w:pPr>
            <w:r w:rsidRPr="00AA768B">
              <w:t xml:space="preserve">Mae NICE wedi argymell rituximab (ar y cyd â methotrexate) oherwydd dangoswyd ei fod yn gweithio ac mae'n rhoi gwerth am arian.   </w:t>
            </w:r>
          </w:p>
          <w:p w14:paraId="327BEAD9" w14:textId="77777777" w:rsidR="00AA768B" w:rsidRPr="00AA768B" w:rsidRDefault="00AA768B">
            <w:pPr>
              <w:pStyle w:val="Bodycopy"/>
              <w:rPr>
                <w:sz w:val="22"/>
                <w:szCs w:val="22"/>
              </w:rPr>
            </w:pPr>
            <w:r w:rsidRPr="00AA768B">
              <w:t>Mae trin ag adalimumab, etanercept, infliximab neu abatacept yn costio mwy na thrin â rituximab (ar y cyd â methotrexate). Felly dim ond i bobl na allant gymryd rituximab neu methotrexate yr argymhellodd NICE y cyffuriau hyn.</w:t>
            </w:r>
          </w:p>
        </w:tc>
      </w:tr>
    </w:tbl>
    <w:p w14:paraId="6A1B89BE" w14:textId="77777777" w:rsidR="00AA768B" w:rsidRDefault="00AA768B">
      <w:pPr>
        <w:pStyle w:val="Bodycopy"/>
      </w:pPr>
    </w:p>
    <w:p w14:paraId="3D802ECA" w14:textId="77777777" w:rsidR="00AA768B" w:rsidRDefault="00AA768B">
      <w:pPr>
        <w:pStyle w:val="Heading1"/>
      </w:pPr>
      <w:bookmarkStart w:id="2" w:name="_[Indication]"/>
      <w:bookmarkEnd w:id="2"/>
      <w:r>
        <w:t>Arthritis gwynegol</w:t>
      </w:r>
    </w:p>
    <w:p w14:paraId="798FE361" w14:textId="77777777" w:rsidR="00AA768B" w:rsidRDefault="00AA768B">
      <w:pPr>
        <w:pStyle w:val="Heading1"/>
        <w:spacing w:line="360" w:lineRule="auto"/>
        <w:rPr>
          <w:color w:val="auto"/>
          <w:sz w:val="24"/>
          <w:szCs w:val="24"/>
        </w:rPr>
      </w:pPr>
      <w:r>
        <w:rPr>
          <w:color w:val="auto"/>
          <w:sz w:val="24"/>
          <w:szCs w:val="24"/>
        </w:rPr>
        <w:t>Afiechyd yw arthritis gwynegol lle bydd system imiwnedd y corff, sydd fel arfer yn ymladd yn erbyn heintiau, yn mynd o'i le ac yn dechrau ymosod ar gymalau iach. Mae'r cymalau'n chwyddo, yn stiffio ac yn boenus, ac yn y pen draw gallant roi'r gorau i weithio'n iawn. Mae gan bobl sydd ag arthritis gwynegol 'gweithredol difrifol' gymalau chwyddedig a phoenus iawn a all wneud gweithgareddau bob dydd yn anodd.</w:t>
      </w:r>
      <w:r>
        <w:rPr>
          <w:color w:val="auto"/>
          <w:sz w:val="24"/>
          <w:szCs w:val="24"/>
        </w:rPr>
        <w:br/>
      </w:r>
    </w:p>
    <w:p w14:paraId="201304F0" w14:textId="77777777" w:rsidR="00AA768B" w:rsidRDefault="00AA768B">
      <w:pPr>
        <w:pStyle w:val="Heading1"/>
        <w:keepNext w:val="0"/>
      </w:pPr>
      <w:r>
        <w:t xml:space="preserve">Rituximab, adalimumab, etanercept, infliximab ac abatacept </w:t>
      </w:r>
    </w:p>
    <w:p w14:paraId="14B1390A" w14:textId="77777777" w:rsidR="00AA768B" w:rsidRDefault="00AA768B">
      <w:pPr>
        <w:pStyle w:val="Heading1"/>
        <w:keepNext w:val="0"/>
        <w:spacing w:line="360" w:lineRule="auto"/>
        <w:rPr>
          <w:color w:val="auto"/>
          <w:sz w:val="24"/>
          <w:szCs w:val="24"/>
        </w:rPr>
      </w:pPr>
      <w:r>
        <w:rPr>
          <w:color w:val="auto"/>
          <w:sz w:val="24"/>
          <w:szCs w:val="24"/>
        </w:rPr>
        <w:t xml:space="preserve">Mae rituximab (a elwir hefyd yn MabThera), adalimumab (a elwir hefyd yn Humira), etanercept (a elwir hefyd yn Enbrel), infliximab (a elwir hefyd yn Remicade) ac abatacept (a elwir hefyd yn Orencia) yn gweithio mewn ffyrdd gwahanol ond maent i gyd yn helpu i atal system imiwnedd </w:t>
      </w:r>
      <w:r>
        <w:rPr>
          <w:color w:val="auto"/>
          <w:sz w:val="24"/>
          <w:szCs w:val="24"/>
        </w:rPr>
        <w:lastRenderedPageBreak/>
        <w:t xml:space="preserve">y corff rhag ymosod ar y cymalau. Mae hyn yn helpu i leihau chwyddo a niwed i gymalau pobl ag arthritis gwynegol. Mae angen cymryd rituximab, infliximab ac abatacept ar y cyd â chyffur arall a elwir yn methotrexate. Gellir cymryd adalimumab ac etanercept ar y cyd â methotrexate ac ar eu pen eu hunain hefyd.  </w:t>
      </w:r>
    </w:p>
    <w:p w14:paraId="6DE603E8" w14:textId="77777777" w:rsidR="00AA768B" w:rsidRDefault="00AA768B">
      <w:pPr>
        <w:pStyle w:val="Bodycopy"/>
        <w:rPr>
          <w:highlight w:val="cyan"/>
        </w:rPr>
      </w:pPr>
      <w:bookmarkStart w:id="3" w:name="_What_does_this"/>
      <w:bookmarkEnd w:id="3"/>
    </w:p>
    <w:tbl>
      <w:tblPr>
        <w:tblpPr w:leftFromText="180" w:rightFromText="180" w:vertAnchor="text" w:horzAnchor="margin" w:tblpY="-66"/>
        <w:tblW w:w="7881" w:type="dxa"/>
        <w:tblBorders>
          <w:top w:val="single" w:sz="18" w:space="0" w:color="003893"/>
          <w:left w:val="single" w:sz="18" w:space="0" w:color="003893"/>
          <w:bottom w:val="single" w:sz="18" w:space="0" w:color="003893"/>
          <w:right w:val="single" w:sz="18" w:space="0" w:color="003893"/>
          <w:insideH w:val="single" w:sz="18" w:space="0" w:color="003893"/>
          <w:insideV w:val="single" w:sz="18" w:space="0" w:color="003893"/>
        </w:tblBorders>
        <w:tblLayout w:type="fixed"/>
        <w:tblCellMar>
          <w:top w:w="170" w:type="dxa"/>
          <w:left w:w="170" w:type="dxa"/>
          <w:bottom w:w="113" w:type="dxa"/>
          <w:right w:w="170" w:type="dxa"/>
        </w:tblCellMar>
        <w:tblLook w:val="0000" w:firstRow="0" w:lastRow="0" w:firstColumn="0" w:lastColumn="0" w:noHBand="0" w:noVBand="0"/>
      </w:tblPr>
      <w:tblGrid>
        <w:gridCol w:w="7881"/>
      </w:tblGrid>
      <w:tr w:rsidR="00AA768B" w:rsidRPr="00AA768B" w14:paraId="402FAD7E" w14:textId="77777777">
        <w:trPr>
          <w:trHeight w:hRule="exact" w:val="7870"/>
        </w:trPr>
        <w:tc>
          <w:tcPr>
            <w:tcW w:w="7881" w:type="dxa"/>
            <w:shd w:val="clear" w:color="auto" w:fill="F0EFF6"/>
            <w:noWrap/>
            <w:tcMar>
              <w:top w:w="170" w:type="dxa"/>
              <w:left w:w="170" w:type="dxa"/>
              <w:bottom w:w="0" w:type="dxa"/>
              <w:right w:w="170" w:type="dxa"/>
            </w:tcMar>
          </w:tcPr>
          <w:p w14:paraId="2C30BBDE" w14:textId="77777777" w:rsidR="00AA768B" w:rsidRPr="00AA768B" w:rsidRDefault="00AA768B">
            <w:pPr>
              <w:pStyle w:val="Heading1"/>
            </w:pPr>
            <w:r w:rsidRPr="00AA768B">
              <w:t>Beth mae hyn yn ei olygu i mi?</w:t>
            </w:r>
          </w:p>
          <w:p w14:paraId="64A3EC5E" w14:textId="77777777" w:rsidR="00AA768B" w:rsidRPr="00AA768B" w:rsidRDefault="00AA768B">
            <w:pPr>
              <w:pStyle w:val="Bodycopy"/>
            </w:pPr>
            <w:r w:rsidRPr="00AA768B">
              <w:t xml:space="preserve">Pan fydd NICE yn argymell triniaeth, rhaid i’r GIG sicrhau ei bod ar gael i’r bobl hynny y gallai eu helpu, a hynny fel arfer o fewn tri mis i gyhoeddi’r canllawiau. </w:t>
            </w:r>
          </w:p>
          <w:p w14:paraId="7FAFBF3E" w14:textId="77777777" w:rsidR="00AA768B" w:rsidRPr="00AA768B" w:rsidRDefault="00AA768B">
            <w:pPr>
              <w:pStyle w:val="Bodycopy"/>
            </w:pPr>
            <w:r w:rsidRPr="00AA768B">
              <w:t xml:space="preserve">Felly, os oes gennych arthritis gwynegol, a bod eich meddyg a chi yn credu mai rituximab (ar y cyd â methotrexate) yw’r driniaeth gywir i chi (gweler 'Beth y mae NICE wedi'i ddweud?' ar dudalen 2), dylech allu cael y driniaeth ar y GIG. </w:t>
            </w:r>
          </w:p>
          <w:p w14:paraId="14489959" w14:textId="77777777" w:rsidR="00AA768B" w:rsidRPr="00AA768B" w:rsidRDefault="00AA768B">
            <w:pPr>
              <w:pStyle w:val="Bodycopy"/>
            </w:pPr>
            <w:r w:rsidRPr="00AA768B">
              <w:t xml:space="preserve">Dylech allu cael adalimumab, etanercept, infliximab neu abatacept (pob un ar y cyd â methotrexate) os na allwch gymryd therapi rituximab am resymau meddygol neu os bu'n rhaid i chi roi'r gorau i'w gymryd oherwydd i chi gael adwaith gwael iddo. Os na allwch gael therapi rituximab am nad yw methotrexate yn addas i chi, dylech allu cael adalimumab neu etanercept (cymerir y naill a'r llall ar ei ben ei hun) ar y GIG. Gweler </w:t>
            </w:r>
            <w:hyperlink r:id="rId7" w:history="1">
              <w:r w:rsidRPr="00AA768B">
                <w:rPr>
                  <w:rStyle w:val="Hyperlink"/>
                  <w:rFonts w:ascii="Arial" w:hAnsi="Arial" w:cs="Arial"/>
                </w:rPr>
                <w:t>www.nice.org.uk/aboutguidance</w:t>
              </w:r>
            </w:hyperlink>
            <w:r w:rsidRPr="00AA768B">
              <w:t xml:space="preserve"> os ydych o'r farn eich bod yn gymwys i gael y driniaeth ond nad yw ar gael.</w:t>
            </w:r>
          </w:p>
        </w:tc>
      </w:tr>
    </w:tbl>
    <w:p w14:paraId="001FA387" w14:textId="77777777" w:rsidR="00AA768B" w:rsidRDefault="00AA768B">
      <w:pPr>
        <w:pStyle w:val="Heading1"/>
      </w:pPr>
      <w:r>
        <w:br w:type="page"/>
      </w:r>
      <w:r>
        <w:lastRenderedPageBreak/>
        <w:t xml:space="preserve">Rhagor o wybodaeth </w:t>
      </w:r>
    </w:p>
    <w:p w14:paraId="58D122F8" w14:textId="77777777" w:rsidR="00AA768B" w:rsidRDefault="00AA768B">
      <w:pPr>
        <w:pStyle w:val="Bodycopy"/>
        <w:rPr>
          <w:highlight w:val="cyan"/>
        </w:rPr>
      </w:pPr>
      <w:r>
        <w:t>Gall y sefydliadau isod roi rhagor o wybodaeth a chymorth i bobl sydd ag arthritis gwynegol. Nid yw NICE yn gyfrifol am ansawdd na chywirdeb unrhyw wybodaeth neu gyngor a roddir gan y sefydliadau hyn.</w:t>
      </w:r>
    </w:p>
    <w:p w14:paraId="6A377562" w14:textId="606AAEE4" w:rsidR="00776E7E" w:rsidRDefault="00C33C41" w:rsidP="00776E7E">
      <w:pPr>
        <w:pStyle w:val="Bulletedbody"/>
      </w:pPr>
      <w:hyperlink r:id="rId8" w:history="1">
        <w:r w:rsidRPr="00C33C41">
          <w:rPr>
            <w:rStyle w:val="Hyperlink"/>
            <w:rFonts w:ascii="Arial" w:hAnsi="Arial" w:cs="Arial"/>
          </w:rPr>
          <w:t>National Rheumatoid Arthritis Society</w:t>
        </w:r>
      </w:hyperlink>
      <w:r w:rsidR="00776E7E">
        <w:t>, 0800 298 7650</w:t>
      </w:r>
    </w:p>
    <w:p w14:paraId="6C9F3167" w14:textId="3D910EFE" w:rsidR="00AA768B" w:rsidRDefault="00C33C41">
      <w:pPr>
        <w:pStyle w:val="Bulletedbody"/>
      </w:pPr>
      <w:hyperlink r:id="rId9" w:history="1">
        <w:r w:rsidRPr="00C33C41">
          <w:rPr>
            <w:rStyle w:val="Hyperlink"/>
            <w:rFonts w:ascii="Arial" w:hAnsi="Arial" w:cs="Arial"/>
          </w:rPr>
          <w:t>Versus Arthritis</w:t>
        </w:r>
      </w:hyperlink>
      <w:r w:rsidR="00AA768B">
        <w:t>, 080</w:t>
      </w:r>
      <w:r w:rsidR="0054035D">
        <w:t>0</w:t>
      </w:r>
      <w:r w:rsidR="00AA768B">
        <w:t xml:space="preserve"> </w:t>
      </w:r>
      <w:r w:rsidR="00776E7E">
        <w:t>520</w:t>
      </w:r>
      <w:r w:rsidR="00AA768B">
        <w:t xml:space="preserve"> </w:t>
      </w:r>
      <w:r w:rsidR="00776E7E">
        <w:t>0520</w:t>
      </w:r>
    </w:p>
    <w:p w14:paraId="32371F79" w14:textId="77777777" w:rsidR="00AA768B" w:rsidRDefault="00AA768B">
      <w:pPr>
        <w:pStyle w:val="Bodycopy"/>
      </w:pPr>
      <w:r>
        <w:t>Gall NHS Choices (</w:t>
      </w:r>
      <w:hyperlink r:id="rId10" w:history="1">
        <w:r w:rsidR="005E35FB" w:rsidRPr="005E35FB">
          <w:rPr>
            <w:rStyle w:val="Hyperlink"/>
            <w:rFonts w:ascii="Arial" w:hAnsi="Arial" w:cs="Arial"/>
          </w:rPr>
          <w:t>www.nhsdirect.wales.nhs.uk</w:t>
        </w:r>
      </w:hyperlink>
      <w:r>
        <w:t>) fod yn fan da i gael gwybod mwy. Efallai y gall eich gwasanaeth cyngor a chysylltiadau cleifion (a elwir yn 'PALS' fel arfer) lleol roi rhagor o wybodaeth a chymorth i chi. Os ydych yn byw yng Nghymru dylech siarad â Galw Iechyd Cymru i gael gwybodaeth am bwy i gysylltu â nhw.</w:t>
      </w:r>
    </w:p>
    <w:tbl>
      <w:tblPr>
        <w:tblW w:w="0" w:type="auto"/>
        <w:tblInd w:w="170" w:type="dxa"/>
        <w:tblBorders>
          <w:top w:val="single" w:sz="18" w:space="0" w:color="003893"/>
          <w:left w:val="single" w:sz="18" w:space="0" w:color="003893"/>
          <w:bottom w:val="single" w:sz="18" w:space="0" w:color="003893"/>
          <w:right w:val="single" w:sz="18" w:space="0" w:color="003893"/>
          <w:insideH w:val="single" w:sz="18" w:space="0" w:color="003893"/>
          <w:insideV w:val="single" w:sz="18" w:space="0" w:color="003893"/>
        </w:tblBorders>
        <w:tblLayout w:type="fixed"/>
        <w:tblCellMar>
          <w:top w:w="170" w:type="dxa"/>
          <w:left w:w="170" w:type="dxa"/>
          <w:right w:w="170" w:type="dxa"/>
        </w:tblCellMar>
        <w:tblLook w:val="0000" w:firstRow="0" w:lastRow="0" w:firstColumn="0" w:lastColumn="0" w:noHBand="0" w:noVBand="0"/>
      </w:tblPr>
      <w:tblGrid>
        <w:gridCol w:w="7614"/>
      </w:tblGrid>
      <w:tr w:rsidR="00AA768B" w:rsidRPr="00AA768B" w14:paraId="3158AD81" w14:textId="77777777">
        <w:trPr>
          <w:cantSplit/>
          <w:trHeight w:hRule="exact" w:val="8658"/>
        </w:trPr>
        <w:tc>
          <w:tcPr>
            <w:tcW w:w="7614" w:type="dxa"/>
            <w:noWrap/>
            <w:tcMar>
              <w:top w:w="170" w:type="dxa"/>
              <w:left w:w="170" w:type="dxa"/>
              <w:bottom w:w="0" w:type="dxa"/>
              <w:right w:w="170" w:type="dxa"/>
            </w:tcMar>
          </w:tcPr>
          <w:p w14:paraId="07BF43E5" w14:textId="77777777" w:rsidR="00AA768B" w:rsidRPr="00AA768B" w:rsidRDefault="00AA768B">
            <w:pPr>
              <w:pStyle w:val="Heading1"/>
              <w:spacing w:before="120"/>
            </w:pPr>
            <w:r w:rsidRPr="00AA768B">
              <w:rPr>
                <w:i/>
                <w:iCs/>
              </w:rPr>
              <w:lastRenderedPageBreak/>
              <w:br w:type="page"/>
            </w:r>
            <w:r w:rsidRPr="00AA768B">
              <w:br w:type="page"/>
              <w:t>NICE</w:t>
            </w:r>
          </w:p>
          <w:p w14:paraId="4F9C60FD" w14:textId="77777777" w:rsidR="00AA768B" w:rsidRPr="00AA768B" w:rsidRDefault="00AA768B">
            <w:pPr>
              <w:pStyle w:val="Bodycopy"/>
            </w:pPr>
            <w:r w:rsidRPr="00AA768B">
              <w:t>Mae NICE yn llunio canllawiau (cyngor) i’r GIG ynglŷn ag atal, canfod a thrin cyflyrau meddygol. Ysgrifennir y canllawiau gan arbenigwyr annibynnol gan gynnwys gweithwyr gofal iechyd proffesiynol a phobl sy’n cynrychioli cleifion a gofalwyr. Maent yn ystyried y dystiolaeth sydd ar gael am y cyflwr a'r triniaethau, barn cleifion a gofalwyr a phrofiadau meddygon, nyrsys a gweithwyr gofal iechyd proffesiynol eraill, ac yn ystyried y costau sydd ynghlwm. Disgwylir i staff sy’n gweithio yn y GIG ddilyn y canllawiau hyn.</w:t>
            </w:r>
          </w:p>
          <w:p w14:paraId="3D41979C" w14:textId="77777777" w:rsidR="00AA768B" w:rsidRPr="00AA768B" w:rsidRDefault="00AA768B">
            <w:pPr>
              <w:pStyle w:val="Bodycopy"/>
              <w:rPr>
                <w:i/>
                <w:iCs/>
              </w:rPr>
            </w:pPr>
            <w:r w:rsidRPr="00AA768B">
              <w:rPr>
                <w:i/>
                <w:iCs/>
              </w:rPr>
              <w:t xml:space="preserve">I gael rhagor o wybodaeth am NICE, ei waith a sut y mae’n gwneud penderfyniadau, ewch i </w:t>
            </w:r>
            <w:hyperlink r:id="rId11" w:history="1">
              <w:r w:rsidRPr="00AA768B">
                <w:rPr>
                  <w:rStyle w:val="Hyperlink"/>
                  <w:rFonts w:ascii="Arial" w:hAnsi="Arial" w:cs="Arial"/>
                  <w:i/>
                  <w:iCs/>
                </w:rPr>
                <w:t>www.nice.org.uk/aboutguidance</w:t>
              </w:r>
            </w:hyperlink>
          </w:p>
          <w:p w14:paraId="18622360" w14:textId="77777777" w:rsidR="00AA768B" w:rsidRPr="00AA768B" w:rsidRDefault="00AA768B">
            <w:pPr>
              <w:pStyle w:val="Bodycopy"/>
              <w:rPr>
                <w:i/>
                <w:iCs/>
              </w:rPr>
            </w:pPr>
            <w:r w:rsidRPr="00AA768B">
              <w:rPr>
                <w:i/>
                <w:iCs/>
              </w:rPr>
              <w:t xml:space="preserve">Mae'r daflen hon a fersiynau eraill o'r canllawiau a anelir at weithwyr gofal iechyd proffesiynol ar gael yn </w:t>
            </w:r>
            <w:hyperlink r:id="rId12" w:history="1">
              <w:r w:rsidRPr="00AA768B">
                <w:rPr>
                  <w:rStyle w:val="Hyperlink"/>
                  <w:rFonts w:ascii="Arial" w:hAnsi="Arial" w:cs="Arial"/>
                  <w:i/>
                  <w:iCs/>
                </w:rPr>
                <w:t>www.nice.org.uk/guidance/TA195</w:t>
              </w:r>
            </w:hyperlink>
          </w:p>
          <w:p w14:paraId="07F3DC57" w14:textId="77777777" w:rsidR="00AA768B" w:rsidRPr="00AA768B" w:rsidRDefault="00AA768B">
            <w:pPr>
              <w:pStyle w:val="Bodycopy"/>
              <w:rPr>
                <w:i/>
                <w:iCs/>
              </w:rPr>
            </w:pPr>
            <w:r w:rsidRPr="00AA768B">
              <w:rPr>
                <w:i/>
                <w:iCs/>
              </w:rPr>
              <w:t>Rydym yn annog y GIG a sefydliadau gwirfoddol i ddefnyddio testun o'r daflen hon yn eu gwybodaeth eu hunain am arthritis gwynegol.</w:t>
            </w:r>
          </w:p>
        </w:tc>
      </w:tr>
    </w:tbl>
    <w:p w14:paraId="3204F4AC" w14:textId="77777777" w:rsidR="00AA768B" w:rsidRDefault="00AA768B">
      <w:pPr>
        <w:pStyle w:val="Bodycopy"/>
      </w:pPr>
    </w:p>
    <w:p w14:paraId="032B36EA" w14:textId="77777777" w:rsidR="005E35FB" w:rsidRDefault="005E35FB">
      <w:pPr>
        <w:pStyle w:val="Addressandcopyright"/>
        <w:rPr>
          <w:b/>
          <w:bCs/>
        </w:rPr>
      </w:pPr>
    </w:p>
    <w:p w14:paraId="2BE66CFA" w14:textId="77777777" w:rsidR="005E35FB" w:rsidRDefault="005E35FB">
      <w:pPr>
        <w:pStyle w:val="Addressandcopyright"/>
        <w:rPr>
          <w:b/>
          <w:bCs/>
        </w:rPr>
      </w:pPr>
    </w:p>
    <w:p w14:paraId="41EF6E9E" w14:textId="77777777" w:rsidR="005E35FB" w:rsidRDefault="005E35FB">
      <w:pPr>
        <w:pStyle w:val="Addressandcopyright"/>
        <w:rPr>
          <w:b/>
          <w:bCs/>
        </w:rPr>
      </w:pPr>
    </w:p>
    <w:p w14:paraId="19736BEF" w14:textId="77777777" w:rsidR="005E35FB" w:rsidRDefault="005E35FB">
      <w:pPr>
        <w:pStyle w:val="Addressandcopyright"/>
        <w:rPr>
          <w:b/>
          <w:bCs/>
        </w:rPr>
      </w:pPr>
    </w:p>
    <w:p w14:paraId="7C005CB4" w14:textId="77777777" w:rsidR="005E35FB" w:rsidRDefault="005E35FB">
      <w:pPr>
        <w:pStyle w:val="Addressandcopyright"/>
        <w:rPr>
          <w:b/>
          <w:bCs/>
        </w:rPr>
      </w:pPr>
    </w:p>
    <w:p w14:paraId="34F15E07" w14:textId="77777777" w:rsidR="00AA768B" w:rsidRDefault="00AA768B">
      <w:pPr>
        <w:pStyle w:val="Addressandcopyright"/>
      </w:pPr>
      <w:r>
        <w:rPr>
          <w:b/>
          <w:bCs/>
        </w:rPr>
        <w:lastRenderedPageBreak/>
        <w:t>National Institute for Health and Clinical Excellence</w:t>
      </w:r>
      <w:r>
        <w:br/>
        <w:t xml:space="preserve">MidCity Place, 71 High Holborn, London, WC1V 6NA; </w:t>
      </w:r>
      <w:hyperlink r:id="rId13" w:history="1">
        <w:r>
          <w:t>www.nice.org.uk</w:t>
        </w:r>
      </w:hyperlink>
      <w:r>
        <w:br/>
      </w:r>
    </w:p>
    <w:p w14:paraId="2AB0F71B" w14:textId="77777777" w:rsidR="00AA768B" w:rsidRDefault="00AA768B">
      <w:pPr>
        <w:pStyle w:val="Addressandcopyright"/>
        <w:jc w:val="right"/>
      </w:pPr>
      <w:r>
        <w:t xml:space="preserve">ISBN </w:t>
      </w:r>
      <w:r w:rsidR="005A5CDB">
        <w:t>978-</w:t>
      </w:r>
      <w:r>
        <w:t>1-84936-3</w:t>
      </w:r>
      <w:r w:rsidR="00A02D06">
        <w:t>62-4</w:t>
      </w:r>
      <w:r>
        <w:t xml:space="preserve"> </w:t>
      </w:r>
      <w:r>
        <w:br/>
        <w:t>N2</w:t>
      </w:r>
      <w:r w:rsidR="00A02D06">
        <w:t>308</w:t>
      </w:r>
      <w:r>
        <w:t xml:space="preserve"> POD 1P A</w:t>
      </w:r>
      <w:r w:rsidR="00A02D06">
        <w:t>ugust</w:t>
      </w:r>
      <w:r>
        <w:t xml:space="preserve"> 10</w:t>
      </w:r>
    </w:p>
    <w:p w14:paraId="62048200" w14:textId="77777777" w:rsidR="00AA768B" w:rsidRDefault="00AA768B">
      <w:pPr>
        <w:pStyle w:val="Addressandcopyright"/>
      </w:pPr>
    </w:p>
    <w:p w14:paraId="61FC26DE" w14:textId="77777777" w:rsidR="00AA768B" w:rsidRDefault="00AA768B" w:rsidP="00776E7E">
      <w:pPr>
        <w:pStyle w:val="Addressandcopyright"/>
      </w:pPr>
      <w:r>
        <w:t>© National Institute for Health and Clinical Excellence, 2010. All rights reserved. This material may be freely reproduced for educational and not-for-profit purposes. No reproduction by or for commercial organisations, or for commercial purposes, is allowed without the express written permission of NICE.</w:t>
      </w:r>
      <w:bookmarkStart w:id="4" w:name="_Examples_of_‘Who"/>
      <w:bookmarkStart w:id="5" w:name="_Examples_of_‘Why"/>
      <w:bookmarkStart w:id="6" w:name="_Text_for_‘What"/>
      <w:bookmarkStart w:id="7" w:name="_Examples_of_brief"/>
      <w:bookmarkEnd w:id="4"/>
      <w:bookmarkEnd w:id="5"/>
      <w:bookmarkEnd w:id="6"/>
      <w:bookmarkEnd w:id="7"/>
    </w:p>
    <w:sectPr w:rsidR="00AA768B">
      <w:headerReference w:type="default" r:id="rId14"/>
      <w:pgSz w:w="11906" w:h="16838" w:code="9"/>
      <w:pgMar w:top="2835" w:right="794" w:bottom="1701" w:left="3459"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6E996" w14:textId="77777777" w:rsidR="000B03E7" w:rsidRDefault="000B03E7">
      <w:r>
        <w:separator/>
      </w:r>
    </w:p>
  </w:endnote>
  <w:endnote w:type="continuationSeparator" w:id="0">
    <w:p w14:paraId="2895F3EC" w14:textId="77777777" w:rsidR="000B03E7" w:rsidRDefault="000B0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94F79" w14:textId="77777777" w:rsidR="000B03E7" w:rsidRDefault="000B03E7">
      <w:r>
        <w:separator/>
      </w:r>
    </w:p>
  </w:footnote>
  <w:footnote w:type="continuationSeparator" w:id="0">
    <w:p w14:paraId="593BA749" w14:textId="77777777" w:rsidR="000B03E7" w:rsidRDefault="000B0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566C" w14:textId="77777777" w:rsidR="00AA768B" w:rsidRDefault="00AA7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12E057C4"/>
    <w:lvl w:ilvl="0">
      <w:start w:val="1"/>
      <w:numFmt w:val="bullet"/>
      <w:pStyle w:val="Bulletindent1"/>
      <w:lvlText w:val="−"/>
      <w:lvlJc w:val="left"/>
      <w:pPr>
        <w:tabs>
          <w:tab w:val="num" w:pos="1418"/>
        </w:tabs>
        <w:ind w:left="1418" w:hanging="284"/>
      </w:pPr>
      <w:rPr>
        <w:rFonts w:ascii="Arial" w:hAnsi="Arial" w:cs="Arial" w:hint="default"/>
        <w:color w:val="auto"/>
      </w:rPr>
    </w:lvl>
    <w:lvl w:ilvl="1">
      <w:start w:val="1"/>
      <w:numFmt w:val="bullet"/>
      <w:lvlText w:val=""/>
      <w:lvlJc w:val="left"/>
      <w:pPr>
        <w:tabs>
          <w:tab w:val="num" w:pos="1701"/>
        </w:tabs>
        <w:ind w:left="1701" w:hanging="283"/>
      </w:pPr>
      <w:rPr>
        <w:rFonts w:ascii="Symbol" w:hAnsi="Symbol" w:cs="Symbol" w:hint="default"/>
      </w:rPr>
    </w:lvl>
    <w:lvl w:ilvl="2">
      <w:start w:val="1"/>
      <w:numFmt w:val="bullet"/>
      <w:lvlText w:val=""/>
      <w:lvlJc w:val="left"/>
      <w:pPr>
        <w:tabs>
          <w:tab w:val="num" w:pos="1985"/>
        </w:tabs>
        <w:ind w:left="1985" w:hanging="284"/>
      </w:pPr>
      <w:rPr>
        <w:rFonts w:ascii="Symbol" w:hAnsi="Symbol" w:cs="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cs="Symbol" w:hint="default"/>
        <w:color w:val="auto"/>
      </w:rPr>
    </w:lvl>
    <w:lvl w:ilvl="1">
      <w:start w:val="1"/>
      <w:numFmt w:val="bullet"/>
      <w:pStyle w:val="Bulletleft2"/>
      <w:lvlText w:val=""/>
      <w:lvlJc w:val="left"/>
      <w:pPr>
        <w:tabs>
          <w:tab w:val="num" w:pos="567"/>
        </w:tabs>
        <w:ind w:left="567" w:hanging="283"/>
      </w:pPr>
      <w:rPr>
        <w:rFonts w:ascii="Symbol" w:hAnsi="Symbol" w:cs="Symbol" w:hint="default"/>
      </w:rPr>
    </w:lvl>
    <w:lvl w:ilvl="2">
      <w:start w:val="1"/>
      <w:numFmt w:val="bullet"/>
      <w:lvlText w:val=""/>
      <w:lvlJc w:val="left"/>
      <w:pPr>
        <w:tabs>
          <w:tab w:val="num" w:pos="1364"/>
        </w:tabs>
        <w:ind w:left="1364" w:hanging="360"/>
      </w:pPr>
      <w:rPr>
        <w:rFonts w:ascii="Symbol" w:hAnsi="Symbol" w:cs="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0C74676E"/>
    <w:multiLevelType w:val="multilevel"/>
    <w:tmpl w:val="755A68DA"/>
    <w:lvl w:ilvl="0">
      <w:start w:val="1"/>
      <w:numFmt w:val="bullet"/>
      <w:lvlText w:val=""/>
      <w:lvlJc w:val="left"/>
      <w:pPr>
        <w:tabs>
          <w:tab w:val="num" w:pos="530"/>
        </w:tabs>
        <w:ind w:left="284"/>
      </w:pPr>
      <w:rPr>
        <w:rFonts w:ascii="Symbol" w:hAnsi="Symbol" w:cs="Symbol" w:hint="default"/>
        <w:b w:val="0"/>
        <w:bCs w:val="0"/>
        <w:i w:val="0"/>
        <w:iCs w:val="0"/>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FE08B7"/>
    <w:multiLevelType w:val="hybridMultilevel"/>
    <w:tmpl w:val="18247632"/>
    <w:lvl w:ilvl="0" w:tplc="FFFFFFFF">
      <w:start w:val="1"/>
      <w:numFmt w:val="bullet"/>
      <w:lvlText w:val=""/>
      <w:lvlJc w:val="left"/>
      <w:pPr>
        <w:tabs>
          <w:tab w:val="num" w:pos="284"/>
        </w:tabs>
        <w:ind w:left="444" w:hanging="160"/>
      </w:pPr>
      <w:rPr>
        <w:rFonts w:ascii="Symbol" w:hAnsi="Symbol" w:cs="Symbol" w:hint="default"/>
        <w:b w:val="0"/>
        <w:bCs w:val="0"/>
        <w:i w:val="0"/>
        <w:iCs w:val="0"/>
        <w:color w:val="003798"/>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F921769"/>
    <w:multiLevelType w:val="multilevel"/>
    <w:tmpl w:val="F99C76F6"/>
    <w:lvl w:ilvl="0">
      <w:start w:val="1"/>
      <w:numFmt w:val="bullet"/>
      <w:lvlText w:val=""/>
      <w:lvlJc w:val="left"/>
      <w:pPr>
        <w:tabs>
          <w:tab w:val="num" w:pos="530"/>
        </w:tabs>
        <w:ind w:left="284"/>
      </w:pPr>
      <w:rPr>
        <w:rFonts w:ascii="Symbol" w:hAnsi="Symbol" w:cs="Symbol" w:hint="default"/>
        <w:b w:val="0"/>
        <w:bCs w:val="0"/>
        <w:i w:val="0"/>
        <w:iCs w:val="0"/>
        <w:color w:val="003798"/>
        <w:sz w:val="24"/>
        <w:szCs w:val="24"/>
      </w:rPr>
    </w:lvl>
    <w:lvl w:ilvl="1">
      <w:start w:val="1"/>
      <w:numFmt w:val="bullet"/>
      <w:lvlText w:val="o"/>
      <w:lvlJc w:val="left"/>
      <w:pPr>
        <w:tabs>
          <w:tab w:val="num" w:pos="1600"/>
        </w:tabs>
        <w:ind w:left="1600" w:hanging="360"/>
      </w:pPr>
      <w:rPr>
        <w:rFonts w:ascii="Courier New" w:hAnsi="Courier New" w:cs="Courier New" w:hint="default"/>
      </w:rPr>
    </w:lvl>
    <w:lvl w:ilvl="2">
      <w:start w:val="1"/>
      <w:numFmt w:val="bullet"/>
      <w:lvlText w:val=""/>
      <w:lvlJc w:val="left"/>
      <w:pPr>
        <w:tabs>
          <w:tab w:val="num" w:pos="2320"/>
        </w:tabs>
        <w:ind w:left="2320" w:hanging="360"/>
      </w:pPr>
      <w:rPr>
        <w:rFonts w:ascii="Wingdings" w:hAnsi="Wingdings" w:cs="Wingdings" w:hint="default"/>
      </w:rPr>
    </w:lvl>
    <w:lvl w:ilvl="3">
      <w:start w:val="1"/>
      <w:numFmt w:val="bullet"/>
      <w:lvlText w:val=""/>
      <w:lvlJc w:val="left"/>
      <w:pPr>
        <w:tabs>
          <w:tab w:val="num" w:pos="3040"/>
        </w:tabs>
        <w:ind w:left="3040" w:hanging="360"/>
      </w:pPr>
      <w:rPr>
        <w:rFonts w:ascii="Symbol" w:hAnsi="Symbol" w:cs="Symbol" w:hint="default"/>
      </w:rPr>
    </w:lvl>
    <w:lvl w:ilvl="4">
      <w:start w:val="1"/>
      <w:numFmt w:val="bullet"/>
      <w:lvlText w:val="o"/>
      <w:lvlJc w:val="left"/>
      <w:pPr>
        <w:tabs>
          <w:tab w:val="num" w:pos="3760"/>
        </w:tabs>
        <w:ind w:left="3760" w:hanging="360"/>
      </w:pPr>
      <w:rPr>
        <w:rFonts w:ascii="Courier New" w:hAnsi="Courier New" w:cs="Courier New" w:hint="default"/>
      </w:rPr>
    </w:lvl>
    <w:lvl w:ilvl="5">
      <w:start w:val="1"/>
      <w:numFmt w:val="bullet"/>
      <w:lvlText w:val=""/>
      <w:lvlJc w:val="left"/>
      <w:pPr>
        <w:tabs>
          <w:tab w:val="num" w:pos="4480"/>
        </w:tabs>
        <w:ind w:left="4480" w:hanging="360"/>
      </w:pPr>
      <w:rPr>
        <w:rFonts w:ascii="Wingdings" w:hAnsi="Wingdings" w:cs="Wingdings" w:hint="default"/>
      </w:rPr>
    </w:lvl>
    <w:lvl w:ilvl="6">
      <w:start w:val="1"/>
      <w:numFmt w:val="bullet"/>
      <w:lvlText w:val=""/>
      <w:lvlJc w:val="left"/>
      <w:pPr>
        <w:tabs>
          <w:tab w:val="num" w:pos="5200"/>
        </w:tabs>
        <w:ind w:left="5200" w:hanging="360"/>
      </w:pPr>
      <w:rPr>
        <w:rFonts w:ascii="Symbol" w:hAnsi="Symbol" w:cs="Symbol" w:hint="default"/>
      </w:rPr>
    </w:lvl>
    <w:lvl w:ilvl="7">
      <w:start w:val="1"/>
      <w:numFmt w:val="bullet"/>
      <w:lvlText w:val="o"/>
      <w:lvlJc w:val="left"/>
      <w:pPr>
        <w:tabs>
          <w:tab w:val="num" w:pos="5920"/>
        </w:tabs>
        <w:ind w:left="5920" w:hanging="360"/>
      </w:pPr>
      <w:rPr>
        <w:rFonts w:ascii="Courier New" w:hAnsi="Courier New" w:cs="Courier New" w:hint="default"/>
      </w:rPr>
    </w:lvl>
    <w:lvl w:ilvl="8">
      <w:start w:val="1"/>
      <w:numFmt w:val="bullet"/>
      <w:lvlText w:val=""/>
      <w:lvlJc w:val="left"/>
      <w:pPr>
        <w:tabs>
          <w:tab w:val="num" w:pos="6640"/>
        </w:tabs>
        <w:ind w:left="6640" w:hanging="360"/>
      </w:pPr>
      <w:rPr>
        <w:rFonts w:ascii="Wingdings" w:hAnsi="Wingdings" w:cs="Wingdings" w:hint="default"/>
      </w:rPr>
    </w:lvl>
  </w:abstractNum>
  <w:abstractNum w:abstractNumId="5" w15:restartNumberingAfterBreak="0">
    <w:nsid w:val="123B16B9"/>
    <w:multiLevelType w:val="multilevel"/>
    <w:tmpl w:val="993C0806"/>
    <w:lvl w:ilvl="0">
      <w:start w:val="1"/>
      <w:numFmt w:val="bullet"/>
      <w:lvlText w:val=""/>
      <w:lvlJc w:val="left"/>
      <w:pPr>
        <w:tabs>
          <w:tab w:val="num" w:pos="200"/>
        </w:tabs>
        <w:ind w:left="200"/>
      </w:pPr>
      <w:rPr>
        <w:rFonts w:ascii="Symbol" w:hAnsi="Symbol" w:cs="Symbol" w:hint="default"/>
        <w:b w:val="0"/>
        <w:bCs w:val="0"/>
        <w:i w:val="0"/>
        <w:iCs w:val="0"/>
        <w:color w:val="003798"/>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cs="Symbol" w:hint="default"/>
        <w:color w:val="auto"/>
      </w:rPr>
    </w:lvl>
    <w:lvl w:ilvl="1">
      <w:start w:val="1"/>
      <w:numFmt w:val="bullet"/>
      <w:lvlText w:val=""/>
      <w:lvlJc w:val="left"/>
      <w:pPr>
        <w:tabs>
          <w:tab w:val="num" w:pos="567"/>
        </w:tabs>
        <w:ind w:left="567" w:hanging="283"/>
      </w:pPr>
      <w:rPr>
        <w:rFonts w:ascii="Symbol" w:hAnsi="Symbol" w:cs="Symbol" w:hint="default"/>
      </w:rPr>
    </w:lvl>
    <w:lvl w:ilvl="2">
      <w:start w:val="1"/>
      <w:numFmt w:val="bullet"/>
      <w:lvlText w:val=""/>
      <w:lvlJc w:val="left"/>
      <w:pPr>
        <w:tabs>
          <w:tab w:val="num" w:pos="851"/>
        </w:tabs>
        <w:ind w:left="851" w:hanging="284"/>
      </w:pPr>
      <w:rPr>
        <w:rFonts w:ascii="Symbol" w:hAnsi="Symbol" w:cs="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17AC5F5A"/>
    <w:multiLevelType w:val="hybridMultilevel"/>
    <w:tmpl w:val="993C0806"/>
    <w:lvl w:ilvl="0" w:tplc="FFFFFFFF">
      <w:start w:val="1"/>
      <w:numFmt w:val="bullet"/>
      <w:lvlText w:val=""/>
      <w:lvlJc w:val="left"/>
      <w:pPr>
        <w:tabs>
          <w:tab w:val="num" w:pos="200"/>
        </w:tabs>
        <w:ind w:left="200"/>
      </w:pPr>
      <w:rPr>
        <w:rFonts w:ascii="Symbol" w:hAnsi="Symbol" w:cs="Symbol" w:hint="default"/>
        <w:b w:val="0"/>
        <w:bCs w:val="0"/>
        <w:i w:val="0"/>
        <w:iCs w:val="0"/>
        <w:color w:val="003798"/>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7B81AB6"/>
    <w:multiLevelType w:val="multilevel"/>
    <w:tmpl w:val="ECAADE70"/>
    <w:lvl w:ilvl="0">
      <w:start w:val="1"/>
      <w:numFmt w:val="bullet"/>
      <w:lvlText w:val=""/>
      <w:lvlJc w:val="left"/>
      <w:pPr>
        <w:tabs>
          <w:tab w:val="num" w:pos="690"/>
        </w:tabs>
        <w:ind w:left="444"/>
      </w:pPr>
      <w:rPr>
        <w:rFonts w:ascii="Symbol" w:hAnsi="Symbol" w:cs="Symbol" w:hint="default"/>
        <w:b w:val="0"/>
        <w:bCs w:val="0"/>
        <w:i w:val="0"/>
        <w:iCs w:val="0"/>
        <w:color w:val="auto"/>
        <w:sz w:val="24"/>
        <w:szCs w:val="24"/>
      </w:rPr>
    </w:lvl>
    <w:lvl w:ilvl="1">
      <w:start w:val="1"/>
      <w:numFmt w:val="bullet"/>
      <w:lvlText w:val="o"/>
      <w:lvlJc w:val="left"/>
      <w:pPr>
        <w:tabs>
          <w:tab w:val="num" w:pos="1600"/>
        </w:tabs>
        <w:ind w:left="1600" w:hanging="360"/>
      </w:pPr>
      <w:rPr>
        <w:rFonts w:ascii="Courier New" w:hAnsi="Courier New" w:cs="Courier New" w:hint="default"/>
      </w:rPr>
    </w:lvl>
    <w:lvl w:ilvl="2">
      <w:start w:val="1"/>
      <w:numFmt w:val="bullet"/>
      <w:lvlText w:val=""/>
      <w:lvlJc w:val="left"/>
      <w:pPr>
        <w:tabs>
          <w:tab w:val="num" w:pos="2320"/>
        </w:tabs>
        <w:ind w:left="2320" w:hanging="360"/>
      </w:pPr>
      <w:rPr>
        <w:rFonts w:ascii="Wingdings" w:hAnsi="Wingdings" w:cs="Wingdings" w:hint="default"/>
      </w:rPr>
    </w:lvl>
    <w:lvl w:ilvl="3">
      <w:start w:val="1"/>
      <w:numFmt w:val="bullet"/>
      <w:lvlText w:val=""/>
      <w:lvlJc w:val="left"/>
      <w:pPr>
        <w:tabs>
          <w:tab w:val="num" w:pos="3040"/>
        </w:tabs>
        <w:ind w:left="3040" w:hanging="360"/>
      </w:pPr>
      <w:rPr>
        <w:rFonts w:ascii="Symbol" w:hAnsi="Symbol" w:cs="Symbol" w:hint="default"/>
      </w:rPr>
    </w:lvl>
    <w:lvl w:ilvl="4">
      <w:start w:val="1"/>
      <w:numFmt w:val="bullet"/>
      <w:lvlText w:val="o"/>
      <w:lvlJc w:val="left"/>
      <w:pPr>
        <w:tabs>
          <w:tab w:val="num" w:pos="3760"/>
        </w:tabs>
        <w:ind w:left="3760" w:hanging="360"/>
      </w:pPr>
      <w:rPr>
        <w:rFonts w:ascii="Courier New" w:hAnsi="Courier New" w:cs="Courier New" w:hint="default"/>
      </w:rPr>
    </w:lvl>
    <w:lvl w:ilvl="5">
      <w:start w:val="1"/>
      <w:numFmt w:val="bullet"/>
      <w:lvlText w:val=""/>
      <w:lvlJc w:val="left"/>
      <w:pPr>
        <w:tabs>
          <w:tab w:val="num" w:pos="4480"/>
        </w:tabs>
        <w:ind w:left="4480" w:hanging="360"/>
      </w:pPr>
      <w:rPr>
        <w:rFonts w:ascii="Wingdings" w:hAnsi="Wingdings" w:cs="Wingdings" w:hint="default"/>
      </w:rPr>
    </w:lvl>
    <w:lvl w:ilvl="6">
      <w:start w:val="1"/>
      <w:numFmt w:val="bullet"/>
      <w:lvlText w:val=""/>
      <w:lvlJc w:val="left"/>
      <w:pPr>
        <w:tabs>
          <w:tab w:val="num" w:pos="5200"/>
        </w:tabs>
        <w:ind w:left="5200" w:hanging="360"/>
      </w:pPr>
      <w:rPr>
        <w:rFonts w:ascii="Symbol" w:hAnsi="Symbol" w:cs="Symbol" w:hint="default"/>
      </w:rPr>
    </w:lvl>
    <w:lvl w:ilvl="7">
      <w:start w:val="1"/>
      <w:numFmt w:val="bullet"/>
      <w:lvlText w:val="o"/>
      <w:lvlJc w:val="left"/>
      <w:pPr>
        <w:tabs>
          <w:tab w:val="num" w:pos="5920"/>
        </w:tabs>
        <w:ind w:left="5920" w:hanging="360"/>
      </w:pPr>
      <w:rPr>
        <w:rFonts w:ascii="Courier New" w:hAnsi="Courier New" w:cs="Courier New" w:hint="default"/>
      </w:rPr>
    </w:lvl>
    <w:lvl w:ilvl="8">
      <w:start w:val="1"/>
      <w:numFmt w:val="bullet"/>
      <w:lvlText w:val=""/>
      <w:lvlJc w:val="left"/>
      <w:pPr>
        <w:tabs>
          <w:tab w:val="num" w:pos="6640"/>
        </w:tabs>
        <w:ind w:left="6640" w:hanging="360"/>
      </w:pPr>
      <w:rPr>
        <w:rFonts w:ascii="Wingdings" w:hAnsi="Wingdings" w:cs="Wingdings" w:hint="default"/>
      </w:rPr>
    </w:lvl>
  </w:abstractNum>
  <w:abstractNum w:abstractNumId="9"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cs="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DA9241A"/>
    <w:multiLevelType w:val="hybridMultilevel"/>
    <w:tmpl w:val="755A68DA"/>
    <w:lvl w:ilvl="0" w:tplc="FFFFFFFF">
      <w:start w:val="1"/>
      <w:numFmt w:val="bullet"/>
      <w:lvlText w:val=""/>
      <w:lvlJc w:val="left"/>
      <w:pPr>
        <w:tabs>
          <w:tab w:val="num" w:pos="530"/>
        </w:tabs>
        <w:ind w:left="284"/>
      </w:pPr>
      <w:rPr>
        <w:rFonts w:ascii="Symbol" w:hAnsi="Symbol" w:cs="Symbol" w:hint="default"/>
        <w:b w:val="0"/>
        <w:bCs w:val="0"/>
        <w:i w:val="0"/>
        <w:iCs w:val="0"/>
        <w:color w:val="auto"/>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0EC4064"/>
    <w:multiLevelType w:val="hybridMultilevel"/>
    <w:tmpl w:val="0BD692F8"/>
    <w:lvl w:ilvl="0" w:tplc="B5F636DC">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22914B50"/>
    <w:multiLevelType w:val="multilevel"/>
    <w:tmpl w:val="124E9706"/>
    <w:lvl w:ilvl="0">
      <w:start w:val="1"/>
      <w:numFmt w:val="bullet"/>
      <w:lvlText w:val=""/>
      <w:lvlJc w:val="left"/>
      <w:pPr>
        <w:tabs>
          <w:tab w:val="num" w:pos="284"/>
        </w:tabs>
        <w:ind w:left="444" w:hanging="160"/>
      </w:pPr>
      <w:rPr>
        <w:rFonts w:ascii="Symbol" w:hAnsi="Symbol" w:cs="Symbol" w:hint="default"/>
        <w:b w:val="0"/>
        <w:bCs w:val="0"/>
        <w:i w:val="0"/>
        <w:iCs w:val="0"/>
        <w:color w:val="003798"/>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2C22BA8"/>
    <w:multiLevelType w:val="hybridMultilevel"/>
    <w:tmpl w:val="191A4934"/>
    <w:lvl w:ilvl="0" w:tplc="6B96DAE0">
      <w:start w:val="4"/>
      <w:numFmt w:val="bullet"/>
      <w:pStyle w:val="Bulletindent1last"/>
      <w:lvlText w:val=""/>
      <w:lvlJc w:val="left"/>
      <w:pPr>
        <w:tabs>
          <w:tab w:val="num" w:pos="1418"/>
        </w:tabs>
        <w:ind w:left="1418" w:hanging="284"/>
      </w:pPr>
      <w:rPr>
        <w:rFonts w:ascii="Symbol" w:hAnsi="Symbol" w:cs="Symbol" w:hint="default"/>
        <w:color w:val="auto"/>
        <w:sz w:val="24"/>
        <w:szCs w:val="24"/>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cs="Wingdings" w:hint="default"/>
      </w:rPr>
    </w:lvl>
    <w:lvl w:ilvl="3" w:tplc="0809000F">
      <w:start w:val="1"/>
      <w:numFmt w:val="bullet"/>
      <w:lvlText w:val=""/>
      <w:lvlJc w:val="left"/>
      <w:pPr>
        <w:tabs>
          <w:tab w:val="num" w:pos="2880"/>
        </w:tabs>
        <w:ind w:left="2880" w:hanging="360"/>
      </w:pPr>
      <w:rPr>
        <w:rFonts w:ascii="Symbol" w:hAnsi="Symbol" w:cs="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cs="Wingdings" w:hint="default"/>
      </w:rPr>
    </w:lvl>
    <w:lvl w:ilvl="6" w:tplc="0809000F">
      <w:start w:val="1"/>
      <w:numFmt w:val="bullet"/>
      <w:lvlText w:val=""/>
      <w:lvlJc w:val="left"/>
      <w:pPr>
        <w:tabs>
          <w:tab w:val="num" w:pos="5040"/>
        </w:tabs>
        <w:ind w:left="5040" w:hanging="360"/>
      </w:pPr>
      <w:rPr>
        <w:rFonts w:ascii="Symbol" w:hAnsi="Symbol" w:cs="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3DC72FD"/>
    <w:multiLevelType w:val="multilevel"/>
    <w:tmpl w:val="993C0806"/>
    <w:lvl w:ilvl="0">
      <w:start w:val="1"/>
      <w:numFmt w:val="bullet"/>
      <w:lvlText w:val=""/>
      <w:lvlJc w:val="left"/>
      <w:pPr>
        <w:tabs>
          <w:tab w:val="num" w:pos="200"/>
        </w:tabs>
        <w:ind w:left="200"/>
      </w:pPr>
      <w:rPr>
        <w:rFonts w:ascii="Symbol" w:hAnsi="Symbol" w:cs="Symbol" w:hint="default"/>
        <w:b w:val="0"/>
        <w:bCs w:val="0"/>
        <w:i w:val="0"/>
        <w:iCs w:val="0"/>
        <w:color w:val="003798"/>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6402A62"/>
    <w:multiLevelType w:val="multilevel"/>
    <w:tmpl w:val="18247632"/>
    <w:lvl w:ilvl="0">
      <w:start w:val="1"/>
      <w:numFmt w:val="bullet"/>
      <w:lvlText w:val=""/>
      <w:lvlJc w:val="left"/>
      <w:pPr>
        <w:tabs>
          <w:tab w:val="num" w:pos="284"/>
        </w:tabs>
        <w:ind w:left="444" w:hanging="160"/>
      </w:pPr>
      <w:rPr>
        <w:rFonts w:ascii="Symbol" w:hAnsi="Symbol" w:cs="Symbol" w:hint="default"/>
        <w:b w:val="0"/>
        <w:bCs w:val="0"/>
        <w:i w:val="0"/>
        <w:iCs w:val="0"/>
        <w:color w:val="003798"/>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7" w15:restartNumberingAfterBreak="0">
    <w:nsid w:val="2C921B75"/>
    <w:multiLevelType w:val="hybridMultilevel"/>
    <w:tmpl w:val="75ACDEC8"/>
    <w:lvl w:ilvl="0" w:tplc="2586FA2A">
      <w:start w:val="1"/>
      <w:numFmt w:val="bullet"/>
      <w:lvlText w:val=""/>
      <w:lvlJc w:val="left"/>
      <w:pPr>
        <w:tabs>
          <w:tab w:val="num" w:pos="0"/>
        </w:tabs>
        <w:ind w:left="300"/>
      </w:pPr>
      <w:rPr>
        <w:rFonts w:ascii="Symbol" w:hAnsi="Symbol" w:cs="Symbol" w:hint="default"/>
        <w:b w:val="0"/>
        <w:bCs w:val="0"/>
        <w:i w:val="0"/>
        <w:iCs w:val="0"/>
        <w:color w:val="003798"/>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D6825E9"/>
    <w:multiLevelType w:val="hybridMultilevel"/>
    <w:tmpl w:val="507E506C"/>
    <w:lvl w:ilvl="0" w:tplc="CFC8B158">
      <w:start w:val="1"/>
      <w:numFmt w:val="bullet"/>
      <w:pStyle w:val="Bulletedbody"/>
      <w:lvlText w:val=""/>
      <w:lvlJc w:val="left"/>
      <w:pPr>
        <w:tabs>
          <w:tab w:val="num" w:pos="397"/>
        </w:tabs>
        <w:ind w:left="397" w:hanging="397"/>
      </w:pPr>
      <w:rPr>
        <w:rFonts w:ascii="Symbol" w:hAnsi="Symbol" w:cs="Symbol" w:hint="default"/>
        <w:b w:val="0"/>
        <w:bCs w:val="0"/>
        <w:i w:val="0"/>
        <w:iCs w:val="0"/>
        <w:color w:val="003893"/>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0764D80"/>
    <w:multiLevelType w:val="hybridMultilevel"/>
    <w:tmpl w:val="ECAADE70"/>
    <w:lvl w:ilvl="0" w:tplc="FFFFFFFF">
      <w:start w:val="1"/>
      <w:numFmt w:val="bullet"/>
      <w:lvlText w:val=""/>
      <w:lvlJc w:val="left"/>
      <w:pPr>
        <w:tabs>
          <w:tab w:val="num" w:pos="690"/>
        </w:tabs>
        <w:ind w:left="444"/>
      </w:pPr>
      <w:rPr>
        <w:rFonts w:ascii="Symbol" w:hAnsi="Symbol" w:cs="Symbol" w:hint="default"/>
        <w:b w:val="0"/>
        <w:bCs w:val="0"/>
        <w:i w:val="0"/>
        <w:iCs w:val="0"/>
        <w:color w:val="auto"/>
        <w:sz w:val="24"/>
        <w:szCs w:val="24"/>
      </w:rPr>
    </w:lvl>
    <w:lvl w:ilvl="1" w:tplc="FFFFFFFF">
      <w:start w:val="1"/>
      <w:numFmt w:val="bullet"/>
      <w:lvlText w:val="o"/>
      <w:lvlJc w:val="left"/>
      <w:pPr>
        <w:tabs>
          <w:tab w:val="num" w:pos="1600"/>
        </w:tabs>
        <w:ind w:left="1600" w:hanging="360"/>
      </w:pPr>
      <w:rPr>
        <w:rFonts w:ascii="Courier New" w:hAnsi="Courier New" w:cs="Courier New" w:hint="default"/>
      </w:rPr>
    </w:lvl>
    <w:lvl w:ilvl="2" w:tplc="FFFFFFFF">
      <w:start w:val="1"/>
      <w:numFmt w:val="bullet"/>
      <w:lvlText w:val=""/>
      <w:lvlJc w:val="left"/>
      <w:pPr>
        <w:tabs>
          <w:tab w:val="num" w:pos="2320"/>
        </w:tabs>
        <w:ind w:left="2320" w:hanging="360"/>
      </w:pPr>
      <w:rPr>
        <w:rFonts w:ascii="Wingdings" w:hAnsi="Wingdings" w:cs="Wingdings" w:hint="default"/>
      </w:rPr>
    </w:lvl>
    <w:lvl w:ilvl="3" w:tplc="FFFFFFFF">
      <w:start w:val="1"/>
      <w:numFmt w:val="bullet"/>
      <w:lvlText w:val=""/>
      <w:lvlJc w:val="left"/>
      <w:pPr>
        <w:tabs>
          <w:tab w:val="num" w:pos="3040"/>
        </w:tabs>
        <w:ind w:left="3040" w:hanging="360"/>
      </w:pPr>
      <w:rPr>
        <w:rFonts w:ascii="Symbol" w:hAnsi="Symbol" w:cs="Symbol" w:hint="default"/>
      </w:rPr>
    </w:lvl>
    <w:lvl w:ilvl="4" w:tplc="FFFFFFFF">
      <w:start w:val="1"/>
      <w:numFmt w:val="bullet"/>
      <w:lvlText w:val="o"/>
      <w:lvlJc w:val="left"/>
      <w:pPr>
        <w:tabs>
          <w:tab w:val="num" w:pos="3760"/>
        </w:tabs>
        <w:ind w:left="3760" w:hanging="360"/>
      </w:pPr>
      <w:rPr>
        <w:rFonts w:ascii="Courier New" w:hAnsi="Courier New" w:cs="Courier New" w:hint="default"/>
      </w:rPr>
    </w:lvl>
    <w:lvl w:ilvl="5" w:tplc="FFFFFFFF">
      <w:start w:val="1"/>
      <w:numFmt w:val="bullet"/>
      <w:lvlText w:val=""/>
      <w:lvlJc w:val="left"/>
      <w:pPr>
        <w:tabs>
          <w:tab w:val="num" w:pos="4480"/>
        </w:tabs>
        <w:ind w:left="4480" w:hanging="360"/>
      </w:pPr>
      <w:rPr>
        <w:rFonts w:ascii="Wingdings" w:hAnsi="Wingdings" w:cs="Wingdings" w:hint="default"/>
      </w:rPr>
    </w:lvl>
    <w:lvl w:ilvl="6" w:tplc="FFFFFFFF">
      <w:start w:val="1"/>
      <w:numFmt w:val="bullet"/>
      <w:lvlText w:val=""/>
      <w:lvlJc w:val="left"/>
      <w:pPr>
        <w:tabs>
          <w:tab w:val="num" w:pos="5200"/>
        </w:tabs>
        <w:ind w:left="5200" w:hanging="360"/>
      </w:pPr>
      <w:rPr>
        <w:rFonts w:ascii="Symbol" w:hAnsi="Symbol" w:cs="Symbol" w:hint="default"/>
      </w:rPr>
    </w:lvl>
    <w:lvl w:ilvl="7" w:tplc="FFFFFFFF">
      <w:start w:val="1"/>
      <w:numFmt w:val="bullet"/>
      <w:lvlText w:val="o"/>
      <w:lvlJc w:val="left"/>
      <w:pPr>
        <w:tabs>
          <w:tab w:val="num" w:pos="5920"/>
        </w:tabs>
        <w:ind w:left="5920" w:hanging="360"/>
      </w:pPr>
      <w:rPr>
        <w:rFonts w:ascii="Courier New" w:hAnsi="Courier New" w:cs="Courier New" w:hint="default"/>
      </w:rPr>
    </w:lvl>
    <w:lvl w:ilvl="8" w:tplc="FFFFFFFF">
      <w:start w:val="1"/>
      <w:numFmt w:val="bullet"/>
      <w:lvlText w:val=""/>
      <w:lvlJc w:val="left"/>
      <w:pPr>
        <w:tabs>
          <w:tab w:val="num" w:pos="6640"/>
        </w:tabs>
        <w:ind w:left="6640" w:hanging="360"/>
      </w:pPr>
      <w:rPr>
        <w:rFonts w:ascii="Wingdings" w:hAnsi="Wingdings" w:cs="Wingdings" w:hint="default"/>
      </w:rPr>
    </w:lvl>
  </w:abstractNum>
  <w:abstractNum w:abstractNumId="20" w15:restartNumberingAfterBreak="0">
    <w:nsid w:val="338A6CFE"/>
    <w:multiLevelType w:val="hybridMultilevel"/>
    <w:tmpl w:val="516AA892"/>
    <w:lvl w:ilvl="0" w:tplc="2192478C">
      <w:start w:val="1"/>
      <w:numFmt w:val="bullet"/>
      <w:lvlText w:val=""/>
      <w:lvlJc w:val="left"/>
      <w:pPr>
        <w:tabs>
          <w:tab w:val="num" w:pos="300"/>
        </w:tabs>
        <w:ind w:left="300"/>
      </w:pPr>
      <w:rPr>
        <w:rFonts w:ascii="Symbol" w:hAnsi="Symbol" w:cs="Symbol" w:hint="default"/>
        <w:b w:val="0"/>
        <w:bCs w:val="0"/>
        <w:i w:val="0"/>
        <w:iCs w:val="0"/>
        <w:color w:val="003798"/>
        <w:sz w:val="24"/>
        <w:szCs w:val="24"/>
      </w:rPr>
    </w:lvl>
    <w:lvl w:ilvl="1" w:tplc="08090003">
      <w:start w:val="1"/>
      <w:numFmt w:val="bullet"/>
      <w:lvlText w:val="o"/>
      <w:lvlJc w:val="left"/>
      <w:pPr>
        <w:tabs>
          <w:tab w:val="num" w:pos="1540"/>
        </w:tabs>
        <w:ind w:left="1540" w:hanging="360"/>
      </w:pPr>
      <w:rPr>
        <w:rFonts w:ascii="Courier New" w:hAnsi="Courier New" w:cs="Courier New" w:hint="default"/>
      </w:rPr>
    </w:lvl>
    <w:lvl w:ilvl="2" w:tplc="08090005">
      <w:start w:val="1"/>
      <w:numFmt w:val="bullet"/>
      <w:lvlText w:val=""/>
      <w:lvlJc w:val="left"/>
      <w:pPr>
        <w:tabs>
          <w:tab w:val="num" w:pos="2260"/>
        </w:tabs>
        <w:ind w:left="2260" w:hanging="360"/>
      </w:pPr>
      <w:rPr>
        <w:rFonts w:ascii="Wingdings" w:hAnsi="Wingdings" w:cs="Wingdings" w:hint="default"/>
      </w:rPr>
    </w:lvl>
    <w:lvl w:ilvl="3" w:tplc="08090001">
      <w:start w:val="1"/>
      <w:numFmt w:val="bullet"/>
      <w:lvlText w:val=""/>
      <w:lvlJc w:val="left"/>
      <w:pPr>
        <w:tabs>
          <w:tab w:val="num" w:pos="2980"/>
        </w:tabs>
        <w:ind w:left="2980" w:hanging="360"/>
      </w:pPr>
      <w:rPr>
        <w:rFonts w:ascii="Symbol" w:hAnsi="Symbol" w:cs="Symbol" w:hint="default"/>
      </w:rPr>
    </w:lvl>
    <w:lvl w:ilvl="4" w:tplc="08090003">
      <w:start w:val="1"/>
      <w:numFmt w:val="bullet"/>
      <w:lvlText w:val="o"/>
      <w:lvlJc w:val="left"/>
      <w:pPr>
        <w:tabs>
          <w:tab w:val="num" w:pos="3700"/>
        </w:tabs>
        <w:ind w:left="3700" w:hanging="360"/>
      </w:pPr>
      <w:rPr>
        <w:rFonts w:ascii="Courier New" w:hAnsi="Courier New" w:cs="Courier New" w:hint="default"/>
      </w:rPr>
    </w:lvl>
    <w:lvl w:ilvl="5" w:tplc="08090005">
      <w:start w:val="1"/>
      <w:numFmt w:val="bullet"/>
      <w:lvlText w:val=""/>
      <w:lvlJc w:val="left"/>
      <w:pPr>
        <w:tabs>
          <w:tab w:val="num" w:pos="4420"/>
        </w:tabs>
        <w:ind w:left="4420" w:hanging="360"/>
      </w:pPr>
      <w:rPr>
        <w:rFonts w:ascii="Wingdings" w:hAnsi="Wingdings" w:cs="Wingdings" w:hint="default"/>
      </w:rPr>
    </w:lvl>
    <w:lvl w:ilvl="6" w:tplc="08090001">
      <w:start w:val="1"/>
      <w:numFmt w:val="bullet"/>
      <w:lvlText w:val=""/>
      <w:lvlJc w:val="left"/>
      <w:pPr>
        <w:tabs>
          <w:tab w:val="num" w:pos="5140"/>
        </w:tabs>
        <w:ind w:left="5140" w:hanging="360"/>
      </w:pPr>
      <w:rPr>
        <w:rFonts w:ascii="Symbol" w:hAnsi="Symbol" w:cs="Symbol" w:hint="default"/>
      </w:rPr>
    </w:lvl>
    <w:lvl w:ilvl="7" w:tplc="08090003">
      <w:start w:val="1"/>
      <w:numFmt w:val="bullet"/>
      <w:lvlText w:val="o"/>
      <w:lvlJc w:val="left"/>
      <w:pPr>
        <w:tabs>
          <w:tab w:val="num" w:pos="5860"/>
        </w:tabs>
        <w:ind w:left="5860" w:hanging="360"/>
      </w:pPr>
      <w:rPr>
        <w:rFonts w:ascii="Courier New" w:hAnsi="Courier New" w:cs="Courier New" w:hint="default"/>
      </w:rPr>
    </w:lvl>
    <w:lvl w:ilvl="8" w:tplc="08090005">
      <w:start w:val="1"/>
      <w:numFmt w:val="bullet"/>
      <w:lvlText w:val=""/>
      <w:lvlJc w:val="left"/>
      <w:pPr>
        <w:tabs>
          <w:tab w:val="num" w:pos="6580"/>
        </w:tabs>
        <w:ind w:left="6580" w:hanging="360"/>
      </w:pPr>
      <w:rPr>
        <w:rFonts w:ascii="Wingdings" w:hAnsi="Wingdings" w:cs="Wingdings" w:hint="default"/>
      </w:rPr>
    </w:lvl>
  </w:abstractNum>
  <w:abstractNum w:abstractNumId="21" w15:restartNumberingAfterBreak="0">
    <w:nsid w:val="34D92B76"/>
    <w:multiLevelType w:val="hybridMultilevel"/>
    <w:tmpl w:val="124E9706"/>
    <w:lvl w:ilvl="0" w:tplc="FFFFFFFF">
      <w:start w:val="1"/>
      <w:numFmt w:val="bullet"/>
      <w:lvlText w:val=""/>
      <w:lvlJc w:val="left"/>
      <w:pPr>
        <w:tabs>
          <w:tab w:val="num" w:pos="284"/>
        </w:tabs>
        <w:ind w:left="444" w:hanging="160"/>
      </w:pPr>
      <w:rPr>
        <w:rFonts w:ascii="Symbol" w:hAnsi="Symbol" w:cs="Symbol" w:hint="default"/>
        <w:b w:val="0"/>
        <w:bCs w:val="0"/>
        <w:i w:val="0"/>
        <w:iCs w:val="0"/>
        <w:color w:val="003798"/>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5220A78"/>
    <w:multiLevelType w:val="hybridMultilevel"/>
    <w:tmpl w:val="ED1004C2"/>
    <w:lvl w:ilvl="0" w:tplc="F6EA0C2E">
      <w:start w:val="1"/>
      <w:numFmt w:val="bullet"/>
      <w:lvlText w:val=""/>
      <w:lvlJc w:val="left"/>
      <w:pPr>
        <w:tabs>
          <w:tab w:val="num" w:pos="100"/>
        </w:tabs>
        <w:ind w:left="400"/>
      </w:pPr>
      <w:rPr>
        <w:rFonts w:ascii="Symbol" w:hAnsi="Symbol" w:cs="Symbol" w:hint="default"/>
        <w:b w:val="0"/>
        <w:bCs w:val="0"/>
        <w:i w:val="0"/>
        <w:iCs w:val="0"/>
        <w:color w:val="003798"/>
        <w:sz w:val="24"/>
        <w:szCs w:val="24"/>
      </w:rPr>
    </w:lvl>
    <w:lvl w:ilvl="1" w:tplc="08090003">
      <w:start w:val="1"/>
      <w:numFmt w:val="bullet"/>
      <w:lvlText w:val="o"/>
      <w:lvlJc w:val="left"/>
      <w:pPr>
        <w:tabs>
          <w:tab w:val="num" w:pos="1540"/>
        </w:tabs>
        <w:ind w:left="1540" w:hanging="360"/>
      </w:pPr>
      <w:rPr>
        <w:rFonts w:ascii="Courier New" w:hAnsi="Courier New" w:cs="Courier New" w:hint="default"/>
      </w:rPr>
    </w:lvl>
    <w:lvl w:ilvl="2" w:tplc="08090005">
      <w:start w:val="1"/>
      <w:numFmt w:val="bullet"/>
      <w:lvlText w:val=""/>
      <w:lvlJc w:val="left"/>
      <w:pPr>
        <w:tabs>
          <w:tab w:val="num" w:pos="2260"/>
        </w:tabs>
        <w:ind w:left="2260" w:hanging="360"/>
      </w:pPr>
      <w:rPr>
        <w:rFonts w:ascii="Wingdings" w:hAnsi="Wingdings" w:cs="Wingdings" w:hint="default"/>
      </w:rPr>
    </w:lvl>
    <w:lvl w:ilvl="3" w:tplc="08090001">
      <w:start w:val="1"/>
      <w:numFmt w:val="bullet"/>
      <w:lvlText w:val=""/>
      <w:lvlJc w:val="left"/>
      <w:pPr>
        <w:tabs>
          <w:tab w:val="num" w:pos="2980"/>
        </w:tabs>
        <w:ind w:left="2980" w:hanging="360"/>
      </w:pPr>
      <w:rPr>
        <w:rFonts w:ascii="Symbol" w:hAnsi="Symbol" w:cs="Symbol" w:hint="default"/>
      </w:rPr>
    </w:lvl>
    <w:lvl w:ilvl="4" w:tplc="08090003">
      <w:start w:val="1"/>
      <w:numFmt w:val="bullet"/>
      <w:lvlText w:val="o"/>
      <w:lvlJc w:val="left"/>
      <w:pPr>
        <w:tabs>
          <w:tab w:val="num" w:pos="3700"/>
        </w:tabs>
        <w:ind w:left="3700" w:hanging="360"/>
      </w:pPr>
      <w:rPr>
        <w:rFonts w:ascii="Courier New" w:hAnsi="Courier New" w:cs="Courier New" w:hint="default"/>
      </w:rPr>
    </w:lvl>
    <w:lvl w:ilvl="5" w:tplc="08090005">
      <w:start w:val="1"/>
      <w:numFmt w:val="bullet"/>
      <w:lvlText w:val=""/>
      <w:lvlJc w:val="left"/>
      <w:pPr>
        <w:tabs>
          <w:tab w:val="num" w:pos="4420"/>
        </w:tabs>
        <w:ind w:left="4420" w:hanging="360"/>
      </w:pPr>
      <w:rPr>
        <w:rFonts w:ascii="Wingdings" w:hAnsi="Wingdings" w:cs="Wingdings" w:hint="default"/>
      </w:rPr>
    </w:lvl>
    <w:lvl w:ilvl="6" w:tplc="08090001">
      <w:start w:val="1"/>
      <w:numFmt w:val="bullet"/>
      <w:lvlText w:val=""/>
      <w:lvlJc w:val="left"/>
      <w:pPr>
        <w:tabs>
          <w:tab w:val="num" w:pos="5140"/>
        </w:tabs>
        <w:ind w:left="5140" w:hanging="360"/>
      </w:pPr>
      <w:rPr>
        <w:rFonts w:ascii="Symbol" w:hAnsi="Symbol" w:cs="Symbol" w:hint="default"/>
      </w:rPr>
    </w:lvl>
    <w:lvl w:ilvl="7" w:tplc="08090003">
      <w:start w:val="1"/>
      <w:numFmt w:val="bullet"/>
      <w:lvlText w:val="o"/>
      <w:lvlJc w:val="left"/>
      <w:pPr>
        <w:tabs>
          <w:tab w:val="num" w:pos="5860"/>
        </w:tabs>
        <w:ind w:left="5860" w:hanging="360"/>
      </w:pPr>
      <w:rPr>
        <w:rFonts w:ascii="Courier New" w:hAnsi="Courier New" w:cs="Courier New" w:hint="default"/>
      </w:rPr>
    </w:lvl>
    <w:lvl w:ilvl="8" w:tplc="08090005">
      <w:start w:val="1"/>
      <w:numFmt w:val="bullet"/>
      <w:lvlText w:val=""/>
      <w:lvlJc w:val="left"/>
      <w:pPr>
        <w:tabs>
          <w:tab w:val="num" w:pos="6580"/>
        </w:tabs>
        <w:ind w:left="6580" w:hanging="360"/>
      </w:pPr>
      <w:rPr>
        <w:rFonts w:ascii="Wingdings" w:hAnsi="Wingdings" w:cs="Wingdings" w:hint="default"/>
      </w:rPr>
    </w:lvl>
  </w:abstractNum>
  <w:abstractNum w:abstractNumId="23" w15:restartNumberingAfterBreak="0">
    <w:nsid w:val="38AC6CB7"/>
    <w:multiLevelType w:val="multilevel"/>
    <w:tmpl w:val="993C0806"/>
    <w:lvl w:ilvl="0">
      <w:start w:val="1"/>
      <w:numFmt w:val="bullet"/>
      <w:lvlText w:val=""/>
      <w:lvlJc w:val="left"/>
      <w:pPr>
        <w:tabs>
          <w:tab w:val="num" w:pos="200"/>
        </w:tabs>
        <w:ind w:left="200"/>
      </w:pPr>
      <w:rPr>
        <w:rFonts w:ascii="Symbol" w:hAnsi="Symbol" w:cs="Symbol" w:hint="default"/>
        <w:b w:val="0"/>
        <w:bCs w:val="0"/>
        <w:i w:val="0"/>
        <w:iCs w:val="0"/>
        <w:color w:val="003798"/>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C5B2FE3"/>
    <w:multiLevelType w:val="hybridMultilevel"/>
    <w:tmpl w:val="CA7458A4"/>
    <w:lvl w:ilvl="0" w:tplc="FFFFFFFF">
      <w:start w:val="1"/>
      <w:numFmt w:val="bullet"/>
      <w:lvlText w:val=""/>
      <w:lvlJc w:val="left"/>
      <w:pPr>
        <w:tabs>
          <w:tab w:val="num" w:pos="530"/>
        </w:tabs>
        <w:ind w:left="284"/>
      </w:pPr>
      <w:rPr>
        <w:rFonts w:ascii="Symbol" w:hAnsi="Symbol" w:cs="Symbol" w:hint="default"/>
        <w:b w:val="0"/>
        <w:bCs w:val="0"/>
        <w:i w:val="0"/>
        <w:iCs w:val="0"/>
        <w:color w:val="003798"/>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14F1666"/>
    <w:multiLevelType w:val="hybridMultilevel"/>
    <w:tmpl w:val="38FA2918"/>
    <w:lvl w:ilvl="0" w:tplc="BB0E9ADA">
      <w:start w:val="1"/>
      <w:numFmt w:val="bullet"/>
      <w:lvlText w:val=""/>
      <w:lvlJc w:val="left"/>
      <w:pPr>
        <w:ind w:left="113" w:hanging="113"/>
      </w:pPr>
      <w:rPr>
        <w:rFonts w:ascii="Symbol" w:hAnsi="Symbol" w:cs="Symbol" w:hint="default"/>
      </w:rPr>
    </w:lvl>
    <w:lvl w:ilvl="1" w:tplc="9C76F684">
      <w:start w:val="1"/>
      <w:numFmt w:val="bullet"/>
      <w:lvlText w:val="­"/>
      <w:lvlJc w:val="left"/>
      <w:pPr>
        <w:ind w:left="340" w:hanging="17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6" w15:restartNumberingAfterBreak="0">
    <w:nsid w:val="60CF3E26"/>
    <w:multiLevelType w:val="hybridMultilevel"/>
    <w:tmpl w:val="D25C9ECC"/>
    <w:lvl w:ilvl="0" w:tplc="FFFFFFFF">
      <w:start w:val="1"/>
      <w:numFmt w:val="bullet"/>
      <w:lvlText w:val=""/>
      <w:lvlJc w:val="left"/>
      <w:pPr>
        <w:tabs>
          <w:tab w:val="num" w:pos="690"/>
        </w:tabs>
        <w:ind w:left="444"/>
      </w:pPr>
      <w:rPr>
        <w:rFonts w:ascii="Symbol" w:hAnsi="Symbol" w:cs="Symbol" w:hint="default"/>
        <w:b w:val="0"/>
        <w:bCs w:val="0"/>
        <w:i w:val="0"/>
        <w:iCs w:val="0"/>
        <w:color w:val="003798"/>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55A7396"/>
    <w:multiLevelType w:val="multilevel"/>
    <w:tmpl w:val="977AA684"/>
    <w:lvl w:ilvl="0">
      <w:start w:val="1"/>
      <w:numFmt w:val="bullet"/>
      <w:lvlText w:val=""/>
      <w:lvlJc w:val="left"/>
      <w:pPr>
        <w:tabs>
          <w:tab w:val="num" w:pos="360"/>
        </w:tabs>
      </w:pPr>
      <w:rPr>
        <w:rFonts w:ascii="Symbol" w:hAnsi="Symbol" w:cs="Symbol" w:hint="default"/>
        <w:b w:val="0"/>
        <w:bCs w:val="0"/>
        <w:i w:val="0"/>
        <w:iCs w:val="0"/>
        <w:color w:val="003893"/>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11502C8"/>
    <w:multiLevelType w:val="hybridMultilevel"/>
    <w:tmpl w:val="E6B0B316"/>
    <w:lvl w:ilvl="0" w:tplc="F2DA1CD2">
      <w:start w:val="1"/>
      <w:numFmt w:val="bullet"/>
      <w:lvlText w:val=""/>
      <w:lvlJc w:val="left"/>
      <w:pPr>
        <w:tabs>
          <w:tab w:val="num" w:pos="796"/>
        </w:tabs>
        <w:ind w:left="796" w:hanging="360"/>
      </w:pPr>
      <w:rPr>
        <w:rFonts w:ascii="Symbol" w:hAnsi="Symbol" w:cs="Symbol" w:hint="default"/>
        <w:color w:val="003797"/>
      </w:rPr>
    </w:lvl>
    <w:lvl w:ilvl="1" w:tplc="04090003">
      <w:start w:val="1"/>
      <w:numFmt w:val="bullet"/>
      <w:lvlText w:val="o"/>
      <w:lvlJc w:val="left"/>
      <w:pPr>
        <w:tabs>
          <w:tab w:val="num" w:pos="1478"/>
        </w:tabs>
        <w:ind w:left="1478" w:hanging="360"/>
      </w:pPr>
      <w:rPr>
        <w:rFonts w:ascii="Courier New" w:hAnsi="Courier New" w:cs="Courier New" w:hint="default"/>
      </w:rPr>
    </w:lvl>
    <w:lvl w:ilvl="2" w:tplc="04090005">
      <w:start w:val="1"/>
      <w:numFmt w:val="bullet"/>
      <w:lvlText w:val=""/>
      <w:lvlJc w:val="left"/>
      <w:pPr>
        <w:tabs>
          <w:tab w:val="num" w:pos="2198"/>
        </w:tabs>
        <w:ind w:left="2198" w:hanging="360"/>
      </w:pPr>
      <w:rPr>
        <w:rFonts w:ascii="Wingdings" w:hAnsi="Wingdings" w:cs="Wingdings" w:hint="default"/>
      </w:rPr>
    </w:lvl>
    <w:lvl w:ilvl="3" w:tplc="04090001">
      <w:start w:val="1"/>
      <w:numFmt w:val="bullet"/>
      <w:lvlText w:val=""/>
      <w:lvlJc w:val="left"/>
      <w:pPr>
        <w:tabs>
          <w:tab w:val="num" w:pos="2918"/>
        </w:tabs>
        <w:ind w:left="2918" w:hanging="360"/>
      </w:pPr>
      <w:rPr>
        <w:rFonts w:ascii="Symbol" w:hAnsi="Symbol" w:cs="Symbol" w:hint="default"/>
      </w:rPr>
    </w:lvl>
    <w:lvl w:ilvl="4" w:tplc="04090003">
      <w:start w:val="1"/>
      <w:numFmt w:val="bullet"/>
      <w:lvlText w:val="o"/>
      <w:lvlJc w:val="left"/>
      <w:pPr>
        <w:tabs>
          <w:tab w:val="num" w:pos="3638"/>
        </w:tabs>
        <w:ind w:left="3638" w:hanging="360"/>
      </w:pPr>
      <w:rPr>
        <w:rFonts w:ascii="Courier New" w:hAnsi="Courier New" w:cs="Courier New" w:hint="default"/>
      </w:rPr>
    </w:lvl>
    <w:lvl w:ilvl="5" w:tplc="04090005">
      <w:start w:val="1"/>
      <w:numFmt w:val="bullet"/>
      <w:lvlText w:val=""/>
      <w:lvlJc w:val="left"/>
      <w:pPr>
        <w:tabs>
          <w:tab w:val="num" w:pos="4358"/>
        </w:tabs>
        <w:ind w:left="4358" w:hanging="360"/>
      </w:pPr>
      <w:rPr>
        <w:rFonts w:ascii="Wingdings" w:hAnsi="Wingdings" w:cs="Wingdings" w:hint="default"/>
      </w:rPr>
    </w:lvl>
    <w:lvl w:ilvl="6" w:tplc="04090001">
      <w:start w:val="1"/>
      <w:numFmt w:val="bullet"/>
      <w:lvlText w:val=""/>
      <w:lvlJc w:val="left"/>
      <w:pPr>
        <w:tabs>
          <w:tab w:val="num" w:pos="5078"/>
        </w:tabs>
        <w:ind w:left="5078" w:hanging="360"/>
      </w:pPr>
      <w:rPr>
        <w:rFonts w:ascii="Symbol" w:hAnsi="Symbol" w:cs="Symbol" w:hint="default"/>
      </w:rPr>
    </w:lvl>
    <w:lvl w:ilvl="7" w:tplc="04090003">
      <w:start w:val="1"/>
      <w:numFmt w:val="bullet"/>
      <w:lvlText w:val="o"/>
      <w:lvlJc w:val="left"/>
      <w:pPr>
        <w:tabs>
          <w:tab w:val="num" w:pos="5798"/>
        </w:tabs>
        <w:ind w:left="5798" w:hanging="360"/>
      </w:pPr>
      <w:rPr>
        <w:rFonts w:ascii="Courier New" w:hAnsi="Courier New" w:cs="Courier New" w:hint="default"/>
      </w:rPr>
    </w:lvl>
    <w:lvl w:ilvl="8" w:tplc="04090005">
      <w:start w:val="1"/>
      <w:numFmt w:val="bullet"/>
      <w:lvlText w:val=""/>
      <w:lvlJc w:val="left"/>
      <w:pPr>
        <w:tabs>
          <w:tab w:val="num" w:pos="6518"/>
        </w:tabs>
        <w:ind w:left="6518" w:hanging="360"/>
      </w:pPr>
      <w:rPr>
        <w:rFonts w:ascii="Wingdings" w:hAnsi="Wingdings" w:cs="Wingdings" w:hint="default"/>
      </w:rPr>
    </w:lvl>
  </w:abstractNum>
  <w:abstractNum w:abstractNumId="29" w15:restartNumberingAfterBreak="0">
    <w:nsid w:val="715F1C47"/>
    <w:multiLevelType w:val="hybridMultilevel"/>
    <w:tmpl w:val="0300715A"/>
    <w:lvl w:ilvl="0" w:tplc="FFFFFFFF">
      <w:start w:val="1"/>
      <w:numFmt w:val="bullet"/>
      <w:lvlText w:val=""/>
      <w:lvlJc w:val="left"/>
      <w:pPr>
        <w:tabs>
          <w:tab w:val="num" w:pos="284"/>
        </w:tabs>
        <w:ind w:left="510" w:hanging="226"/>
      </w:pPr>
      <w:rPr>
        <w:rFonts w:ascii="Symbol" w:hAnsi="Symbol" w:cs="Symbol" w:hint="default"/>
        <w:b w:val="0"/>
        <w:bCs w:val="0"/>
        <w:i w:val="0"/>
        <w:iCs w:val="0"/>
        <w:color w:val="003798"/>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23C3A51"/>
    <w:multiLevelType w:val="multilevel"/>
    <w:tmpl w:val="993C0806"/>
    <w:lvl w:ilvl="0">
      <w:start w:val="1"/>
      <w:numFmt w:val="bullet"/>
      <w:lvlText w:val=""/>
      <w:lvlJc w:val="left"/>
      <w:pPr>
        <w:tabs>
          <w:tab w:val="num" w:pos="200"/>
        </w:tabs>
        <w:ind w:left="200"/>
      </w:pPr>
      <w:rPr>
        <w:rFonts w:ascii="Symbol" w:hAnsi="Symbol" w:cs="Symbol" w:hint="default"/>
        <w:b w:val="0"/>
        <w:bCs w:val="0"/>
        <w:i w:val="0"/>
        <w:iCs w:val="0"/>
        <w:color w:val="003798"/>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4A10B92"/>
    <w:multiLevelType w:val="hybridMultilevel"/>
    <w:tmpl w:val="B7E67394"/>
    <w:lvl w:ilvl="0" w:tplc="87425436">
      <w:start w:val="1"/>
      <w:numFmt w:val="bullet"/>
      <w:lvlText w:val=""/>
      <w:lvlJc w:val="left"/>
      <w:pPr>
        <w:tabs>
          <w:tab w:val="num" w:pos="720"/>
        </w:tabs>
        <w:ind w:left="720" w:hanging="360"/>
      </w:pPr>
      <w:rPr>
        <w:rFonts w:ascii="Symbol" w:hAnsi="Symbol" w:cs="Symbol" w:hint="default"/>
        <w:color w:val="003797"/>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66A23D9"/>
    <w:multiLevelType w:val="multilevel"/>
    <w:tmpl w:val="516AA892"/>
    <w:lvl w:ilvl="0">
      <w:start w:val="1"/>
      <w:numFmt w:val="bullet"/>
      <w:lvlText w:val=""/>
      <w:lvlJc w:val="left"/>
      <w:pPr>
        <w:tabs>
          <w:tab w:val="num" w:pos="300"/>
        </w:tabs>
        <w:ind w:left="300"/>
      </w:pPr>
      <w:rPr>
        <w:rFonts w:ascii="Symbol" w:hAnsi="Symbol" w:cs="Symbol" w:hint="default"/>
        <w:b w:val="0"/>
        <w:bCs w:val="0"/>
        <w:i w:val="0"/>
        <w:iCs w:val="0"/>
        <w:color w:val="003798"/>
        <w:sz w:val="24"/>
        <w:szCs w:val="24"/>
      </w:rPr>
    </w:lvl>
    <w:lvl w:ilvl="1">
      <w:start w:val="1"/>
      <w:numFmt w:val="bullet"/>
      <w:lvlText w:val="o"/>
      <w:lvlJc w:val="left"/>
      <w:pPr>
        <w:tabs>
          <w:tab w:val="num" w:pos="1540"/>
        </w:tabs>
        <w:ind w:left="1540" w:hanging="360"/>
      </w:pPr>
      <w:rPr>
        <w:rFonts w:ascii="Courier New" w:hAnsi="Courier New" w:cs="Courier New" w:hint="default"/>
      </w:rPr>
    </w:lvl>
    <w:lvl w:ilvl="2">
      <w:start w:val="1"/>
      <w:numFmt w:val="bullet"/>
      <w:lvlText w:val=""/>
      <w:lvlJc w:val="left"/>
      <w:pPr>
        <w:tabs>
          <w:tab w:val="num" w:pos="2260"/>
        </w:tabs>
        <w:ind w:left="2260" w:hanging="360"/>
      </w:pPr>
      <w:rPr>
        <w:rFonts w:ascii="Wingdings" w:hAnsi="Wingdings" w:cs="Wingdings" w:hint="default"/>
      </w:rPr>
    </w:lvl>
    <w:lvl w:ilvl="3">
      <w:start w:val="1"/>
      <w:numFmt w:val="bullet"/>
      <w:lvlText w:val=""/>
      <w:lvlJc w:val="left"/>
      <w:pPr>
        <w:tabs>
          <w:tab w:val="num" w:pos="2980"/>
        </w:tabs>
        <w:ind w:left="2980" w:hanging="360"/>
      </w:pPr>
      <w:rPr>
        <w:rFonts w:ascii="Symbol" w:hAnsi="Symbol" w:cs="Symbol" w:hint="default"/>
      </w:rPr>
    </w:lvl>
    <w:lvl w:ilvl="4">
      <w:start w:val="1"/>
      <w:numFmt w:val="bullet"/>
      <w:lvlText w:val="o"/>
      <w:lvlJc w:val="left"/>
      <w:pPr>
        <w:tabs>
          <w:tab w:val="num" w:pos="3700"/>
        </w:tabs>
        <w:ind w:left="3700" w:hanging="360"/>
      </w:pPr>
      <w:rPr>
        <w:rFonts w:ascii="Courier New" w:hAnsi="Courier New" w:cs="Courier New" w:hint="default"/>
      </w:rPr>
    </w:lvl>
    <w:lvl w:ilvl="5">
      <w:start w:val="1"/>
      <w:numFmt w:val="bullet"/>
      <w:lvlText w:val=""/>
      <w:lvlJc w:val="left"/>
      <w:pPr>
        <w:tabs>
          <w:tab w:val="num" w:pos="4420"/>
        </w:tabs>
        <w:ind w:left="4420" w:hanging="360"/>
      </w:pPr>
      <w:rPr>
        <w:rFonts w:ascii="Wingdings" w:hAnsi="Wingdings" w:cs="Wingdings" w:hint="default"/>
      </w:rPr>
    </w:lvl>
    <w:lvl w:ilvl="6">
      <w:start w:val="1"/>
      <w:numFmt w:val="bullet"/>
      <w:lvlText w:val=""/>
      <w:lvlJc w:val="left"/>
      <w:pPr>
        <w:tabs>
          <w:tab w:val="num" w:pos="5140"/>
        </w:tabs>
        <w:ind w:left="5140" w:hanging="360"/>
      </w:pPr>
      <w:rPr>
        <w:rFonts w:ascii="Symbol" w:hAnsi="Symbol" w:cs="Symbol" w:hint="default"/>
      </w:rPr>
    </w:lvl>
    <w:lvl w:ilvl="7">
      <w:start w:val="1"/>
      <w:numFmt w:val="bullet"/>
      <w:lvlText w:val="o"/>
      <w:lvlJc w:val="left"/>
      <w:pPr>
        <w:tabs>
          <w:tab w:val="num" w:pos="5860"/>
        </w:tabs>
        <w:ind w:left="5860" w:hanging="360"/>
      </w:pPr>
      <w:rPr>
        <w:rFonts w:ascii="Courier New" w:hAnsi="Courier New" w:cs="Courier New" w:hint="default"/>
      </w:rPr>
    </w:lvl>
    <w:lvl w:ilvl="8">
      <w:start w:val="1"/>
      <w:numFmt w:val="bullet"/>
      <w:lvlText w:val=""/>
      <w:lvlJc w:val="left"/>
      <w:pPr>
        <w:tabs>
          <w:tab w:val="num" w:pos="6580"/>
        </w:tabs>
        <w:ind w:left="6580" w:hanging="360"/>
      </w:pPr>
      <w:rPr>
        <w:rFonts w:ascii="Wingdings" w:hAnsi="Wingdings" w:cs="Wingdings" w:hint="default"/>
      </w:rPr>
    </w:lvl>
  </w:abstractNum>
  <w:abstractNum w:abstractNumId="33" w15:restartNumberingAfterBreak="0">
    <w:nsid w:val="7C7B5087"/>
    <w:multiLevelType w:val="multilevel"/>
    <w:tmpl w:val="977AA684"/>
    <w:lvl w:ilvl="0">
      <w:start w:val="1"/>
      <w:numFmt w:val="bullet"/>
      <w:lvlText w:val=""/>
      <w:lvlJc w:val="left"/>
      <w:pPr>
        <w:tabs>
          <w:tab w:val="num" w:pos="0"/>
        </w:tabs>
        <w:ind w:left="300"/>
      </w:pPr>
      <w:rPr>
        <w:rFonts w:ascii="Symbol" w:hAnsi="Symbol" w:cs="Symbol"/>
        <w:color w:val="003798"/>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EDE6DE3"/>
    <w:multiLevelType w:val="hybridMultilevel"/>
    <w:tmpl w:val="F99C76F6"/>
    <w:lvl w:ilvl="0" w:tplc="FFFFFFFF">
      <w:start w:val="1"/>
      <w:numFmt w:val="bullet"/>
      <w:lvlText w:val=""/>
      <w:lvlJc w:val="left"/>
      <w:pPr>
        <w:tabs>
          <w:tab w:val="num" w:pos="530"/>
        </w:tabs>
        <w:ind w:left="284"/>
      </w:pPr>
      <w:rPr>
        <w:rFonts w:ascii="Symbol" w:hAnsi="Symbol" w:cs="Symbol" w:hint="default"/>
        <w:b w:val="0"/>
        <w:bCs w:val="0"/>
        <w:i w:val="0"/>
        <w:iCs w:val="0"/>
        <w:color w:val="003798"/>
        <w:sz w:val="24"/>
        <w:szCs w:val="24"/>
      </w:rPr>
    </w:lvl>
    <w:lvl w:ilvl="1" w:tplc="FFFFFFFF">
      <w:start w:val="1"/>
      <w:numFmt w:val="bullet"/>
      <w:lvlText w:val="o"/>
      <w:lvlJc w:val="left"/>
      <w:pPr>
        <w:tabs>
          <w:tab w:val="num" w:pos="1600"/>
        </w:tabs>
        <w:ind w:left="1600" w:hanging="360"/>
      </w:pPr>
      <w:rPr>
        <w:rFonts w:ascii="Courier New" w:hAnsi="Courier New" w:cs="Courier New" w:hint="default"/>
      </w:rPr>
    </w:lvl>
    <w:lvl w:ilvl="2" w:tplc="FFFFFFFF">
      <w:start w:val="1"/>
      <w:numFmt w:val="bullet"/>
      <w:lvlText w:val=""/>
      <w:lvlJc w:val="left"/>
      <w:pPr>
        <w:tabs>
          <w:tab w:val="num" w:pos="2320"/>
        </w:tabs>
        <w:ind w:left="2320" w:hanging="360"/>
      </w:pPr>
      <w:rPr>
        <w:rFonts w:ascii="Wingdings" w:hAnsi="Wingdings" w:cs="Wingdings" w:hint="default"/>
      </w:rPr>
    </w:lvl>
    <w:lvl w:ilvl="3" w:tplc="FFFFFFFF">
      <w:start w:val="1"/>
      <w:numFmt w:val="bullet"/>
      <w:lvlText w:val=""/>
      <w:lvlJc w:val="left"/>
      <w:pPr>
        <w:tabs>
          <w:tab w:val="num" w:pos="3040"/>
        </w:tabs>
        <w:ind w:left="3040" w:hanging="360"/>
      </w:pPr>
      <w:rPr>
        <w:rFonts w:ascii="Symbol" w:hAnsi="Symbol" w:cs="Symbol" w:hint="default"/>
      </w:rPr>
    </w:lvl>
    <w:lvl w:ilvl="4" w:tplc="FFFFFFFF">
      <w:start w:val="1"/>
      <w:numFmt w:val="bullet"/>
      <w:lvlText w:val="o"/>
      <w:lvlJc w:val="left"/>
      <w:pPr>
        <w:tabs>
          <w:tab w:val="num" w:pos="3760"/>
        </w:tabs>
        <w:ind w:left="3760" w:hanging="360"/>
      </w:pPr>
      <w:rPr>
        <w:rFonts w:ascii="Courier New" w:hAnsi="Courier New" w:cs="Courier New" w:hint="default"/>
      </w:rPr>
    </w:lvl>
    <w:lvl w:ilvl="5" w:tplc="FFFFFFFF">
      <w:start w:val="1"/>
      <w:numFmt w:val="bullet"/>
      <w:lvlText w:val=""/>
      <w:lvlJc w:val="left"/>
      <w:pPr>
        <w:tabs>
          <w:tab w:val="num" w:pos="4480"/>
        </w:tabs>
        <w:ind w:left="4480" w:hanging="360"/>
      </w:pPr>
      <w:rPr>
        <w:rFonts w:ascii="Wingdings" w:hAnsi="Wingdings" w:cs="Wingdings" w:hint="default"/>
      </w:rPr>
    </w:lvl>
    <w:lvl w:ilvl="6" w:tplc="FFFFFFFF">
      <w:start w:val="1"/>
      <w:numFmt w:val="bullet"/>
      <w:lvlText w:val=""/>
      <w:lvlJc w:val="left"/>
      <w:pPr>
        <w:tabs>
          <w:tab w:val="num" w:pos="5200"/>
        </w:tabs>
        <w:ind w:left="5200" w:hanging="360"/>
      </w:pPr>
      <w:rPr>
        <w:rFonts w:ascii="Symbol" w:hAnsi="Symbol" w:cs="Symbol" w:hint="default"/>
      </w:rPr>
    </w:lvl>
    <w:lvl w:ilvl="7" w:tplc="FFFFFFFF">
      <w:start w:val="1"/>
      <w:numFmt w:val="bullet"/>
      <w:lvlText w:val="o"/>
      <w:lvlJc w:val="left"/>
      <w:pPr>
        <w:tabs>
          <w:tab w:val="num" w:pos="5920"/>
        </w:tabs>
        <w:ind w:left="5920" w:hanging="360"/>
      </w:pPr>
      <w:rPr>
        <w:rFonts w:ascii="Courier New" w:hAnsi="Courier New" w:cs="Courier New" w:hint="default"/>
      </w:rPr>
    </w:lvl>
    <w:lvl w:ilvl="8" w:tplc="FFFFFFFF">
      <w:start w:val="1"/>
      <w:numFmt w:val="bullet"/>
      <w:lvlText w:val=""/>
      <w:lvlJc w:val="left"/>
      <w:pPr>
        <w:tabs>
          <w:tab w:val="num" w:pos="6640"/>
        </w:tabs>
        <w:ind w:left="6640" w:hanging="360"/>
      </w:pPr>
      <w:rPr>
        <w:rFonts w:ascii="Wingdings" w:hAnsi="Wingdings" w:cs="Wingdings" w:hint="default"/>
      </w:rPr>
    </w:lvl>
  </w:abstractNum>
  <w:num w:numId="1" w16cid:durableId="1935241173">
    <w:abstractNumId w:val="10"/>
  </w:num>
  <w:num w:numId="2" w16cid:durableId="496531072">
    <w:abstractNumId w:val="19"/>
  </w:num>
  <w:num w:numId="3" w16cid:durableId="1461192657">
    <w:abstractNumId w:val="8"/>
  </w:num>
  <w:num w:numId="4" w16cid:durableId="400951816">
    <w:abstractNumId w:val="34"/>
  </w:num>
  <w:num w:numId="5" w16cid:durableId="1958902504">
    <w:abstractNumId w:val="2"/>
  </w:num>
  <w:num w:numId="6" w16cid:durableId="2036076373">
    <w:abstractNumId w:val="24"/>
  </w:num>
  <w:num w:numId="7" w16cid:durableId="1618947616">
    <w:abstractNumId w:val="26"/>
  </w:num>
  <w:num w:numId="8" w16cid:durableId="777682863">
    <w:abstractNumId w:val="3"/>
  </w:num>
  <w:num w:numId="9" w16cid:durableId="1138306534">
    <w:abstractNumId w:val="15"/>
  </w:num>
  <w:num w:numId="10" w16cid:durableId="488862886">
    <w:abstractNumId w:val="21"/>
  </w:num>
  <w:num w:numId="11" w16cid:durableId="1692493119">
    <w:abstractNumId w:val="12"/>
  </w:num>
  <w:num w:numId="12" w16cid:durableId="1609971894">
    <w:abstractNumId w:val="29"/>
  </w:num>
  <w:num w:numId="13" w16cid:durableId="1413547265">
    <w:abstractNumId w:val="7"/>
  </w:num>
  <w:num w:numId="14" w16cid:durableId="708803446">
    <w:abstractNumId w:val="5"/>
  </w:num>
  <w:num w:numId="15" w16cid:durableId="1098871780">
    <w:abstractNumId w:val="30"/>
  </w:num>
  <w:num w:numId="16" w16cid:durableId="1289894386">
    <w:abstractNumId w:val="23"/>
  </w:num>
  <w:num w:numId="17" w16cid:durableId="753094394">
    <w:abstractNumId w:val="14"/>
  </w:num>
  <w:num w:numId="18" w16cid:durableId="285351515">
    <w:abstractNumId w:val="4"/>
  </w:num>
  <w:num w:numId="19" w16cid:durableId="1313829103">
    <w:abstractNumId w:val="31"/>
  </w:num>
  <w:num w:numId="20" w16cid:durableId="1083840245">
    <w:abstractNumId w:val="28"/>
  </w:num>
  <w:num w:numId="21" w16cid:durableId="1910649497">
    <w:abstractNumId w:val="20"/>
  </w:num>
  <w:num w:numId="22" w16cid:durableId="1569415455">
    <w:abstractNumId w:val="32"/>
  </w:num>
  <w:num w:numId="23" w16cid:durableId="584804497">
    <w:abstractNumId w:val="22"/>
  </w:num>
  <w:num w:numId="24" w16cid:durableId="1492334262">
    <w:abstractNumId w:val="18"/>
  </w:num>
  <w:num w:numId="25" w16cid:durableId="607809882">
    <w:abstractNumId w:val="33"/>
  </w:num>
  <w:num w:numId="26" w16cid:durableId="1787696098">
    <w:abstractNumId w:val="17"/>
  </w:num>
  <w:num w:numId="27" w16cid:durableId="1918903919">
    <w:abstractNumId w:val="27"/>
  </w:num>
  <w:num w:numId="28" w16cid:durableId="452989357">
    <w:abstractNumId w:val="11"/>
  </w:num>
  <w:num w:numId="29" w16cid:durableId="1433669417">
    <w:abstractNumId w:val="0"/>
  </w:num>
  <w:num w:numId="30" w16cid:durableId="1314673778">
    <w:abstractNumId w:val="13"/>
  </w:num>
  <w:num w:numId="31" w16cid:durableId="1465270438">
    <w:abstractNumId w:val="16"/>
  </w:num>
  <w:num w:numId="32" w16cid:durableId="1724252259">
    <w:abstractNumId w:val="18"/>
  </w:num>
  <w:num w:numId="33" w16cid:durableId="2038892613">
    <w:abstractNumId w:val="18"/>
  </w:num>
  <w:num w:numId="34" w16cid:durableId="1940941683">
    <w:abstractNumId w:val="18"/>
  </w:num>
  <w:num w:numId="35" w16cid:durableId="1470710542">
    <w:abstractNumId w:val="0"/>
  </w:num>
  <w:num w:numId="36" w16cid:durableId="943463227">
    <w:abstractNumId w:val="18"/>
  </w:num>
  <w:num w:numId="37" w16cid:durableId="1237015889">
    <w:abstractNumId w:val="9"/>
  </w:num>
  <w:num w:numId="38" w16cid:durableId="1040671905">
    <w:abstractNumId w:val="25"/>
  </w:num>
  <w:num w:numId="39" w16cid:durableId="1056852838">
    <w:abstractNumId w:val="1"/>
  </w:num>
  <w:num w:numId="40" w16cid:durableId="1505054365">
    <w:abstractNumId w:val="6"/>
  </w:num>
  <w:num w:numId="41" w16cid:durableId="478232623">
    <w:abstractNumId w:val="18"/>
  </w:num>
  <w:num w:numId="42" w16cid:durableId="467935599">
    <w:abstractNumId w:val="18"/>
  </w:num>
  <w:num w:numId="43" w16cid:durableId="16701341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oNotTrackMoves/>
  <w:defaultTabStop w:val="720"/>
  <w:drawingGridHorizontalSpacing w:val="100"/>
  <w:drawingGridVerticalSpacing w:val="181"/>
  <w:displayHorizontalDrawingGridEvery w:val="2"/>
  <w:displayVerticalDrawingGridEvery w:val="2"/>
  <w:characterSpacingControl w:val="doNotCompress"/>
  <w:doNotValidateAgainstSchema/>
  <w:doNotDemarcateInvalidXml/>
  <w:hdrShapeDefaults>
    <o:shapedefaults v:ext="edit" spidmax="2058"/>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3CC5"/>
    <w:rsid w:val="00001C46"/>
    <w:rsid w:val="000B03E7"/>
    <w:rsid w:val="001252A3"/>
    <w:rsid w:val="00316BE4"/>
    <w:rsid w:val="00374810"/>
    <w:rsid w:val="0054035D"/>
    <w:rsid w:val="0054172D"/>
    <w:rsid w:val="005A5CDB"/>
    <w:rsid w:val="005B3451"/>
    <w:rsid w:val="005E35FB"/>
    <w:rsid w:val="006F6DD5"/>
    <w:rsid w:val="00776E7E"/>
    <w:rsid w:val="007C1F5D"/>
    <w:rsid w:val="00A02D06"/>
    <w:rsid w:val="00AA768B"/>
    <w:rsid w:val="00C33C41"/>
    <w:rsid w:val="00C33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B4FD6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lang w:val="cy-GB" w:eastAsia="cy-GB"/>
    </w:rPr>
  </w:style>
  <w:style w:type="paragraph" w:styleId="Heading1">
    <w:name w:val="heading 1"/>
    <w:basedOn w:val="Normal"/>
    <w:next w:val="Normal"/>
    <w:link w:val="Heading1Char"/>
    <w:uiPriority w:val="99"/>
    <w:qFormat/>
    <w:pPr>
      <w:keepNext/>
      <w:spacing w:before="170" w:after="113" w:line="340" w:lineRule="exact"/>
      <w:outlineLvl w:val="0"/>
    </w:pPr>
    <w:rPr>
      <w:color w:val="003893"/>
      <w:sz w:val="30"/>
      <w:szCs w:val="30"/>
      <w:lang w:eastAsia="en-US"/>
    </w:rPr>
  </w:style>
  <w:style w:type="paragraph" w:styleId="Heading2">
    <w:name w:val="heading 2"/>
    <w:basedOn w:val="Normal"/>
    <w:next w:val="Normal"/>
    <w:link w:val="Heading2Char"/>
    <w:uiPriority w:val="99"/>
    <w:qFormat/>
    <w:pPr>
      <w:keepNext/>
      <w:spacing w:before="170" w:after="113" w:line="320" w:lineRule="exact"/>
      <w:outlineLvl w:val="1"/>
    </w:pPr>
    <w:rPr>
      <w:color w:val="003893"/>
      <w:sz w:val="27"/>
      <w:szCs w:val="27"/>
      <w:lang w:eastAsia="en-US"/>
    </w:rPr>
  </w:style>
  <w:style w:type="paragraph" w:styleId="Heading3">
    <w:name w:val="heading 3"/>
    <w:basedOn w:val="Normal"/>
    <w:next w:val="Normal"/>
    <w:link w:val="Heading3Char"/>
    <w:uiPriority w:val="99"/>
    <w:qFormat/>
    <w:pPr>
      <w:keepNext/>
      <w:spacing w:before="170" w:after="113" w:line="300" w:lineRule="exact"/>
      <w:outlineLvl w:val="2"/>
    </w:pPr>
    <w:rPr>
      <w:b/>
      <w:bCs/>
      <w:sz w:val="25"/>
      <w:szCs w:val="25"/>
      <w:lang w:eastAsia="en-US"/>
    </w:rPr>
  </w:style>
  <w:style w:type="paragraph" w:styleId="Heading4">
    <w:name w:val="heading 4"/>
    <w:basedOn w:val="Normal"/>
    <w:next w:val="Normal"/>
    <w:link w:val="Heading4Char"/>
    <w:uiPriority w:val="99"/>
    <w:qFormat/>
    <w:pPr>
      <w:keepNext/>
      <w:spacing w:after="113" w:line="280" w:lineRule="exact"/>
      <w:outlineLvl w:val="3"/>
    </w:pPr>
    <w:rPr>
      <w:color w:val="003893"/>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Arial" w:hAnsi="Arial" w:cs="Arial"/>
      <w:color w:val="003893"/>
      <w:sz w:val="30"/>
      <w:szCs w:val="30"/>
      <w:lang w:val="cy-GB" w:eastAsia="en-US"/>
    </w:rPr>
  </w:style>
  <w:style w:type="character" w:customStyle="1" w:styleId="Heading2Char">
    <w:name w:val="Heading 2 Char"/>
    <w:link w:val="Heading2"/>
    <w:uiPriority w:val="99"/>
    <w:rPr>
      <w:rFonts w:ascii="Arial" w:hAnsi="Arial" w:cs="Arial"/>
      <w:color w:val="003893"/>
      <w:sz w:val="27"/>
      <w:szCs w:val="27"/>
      <w:lang w:val="cy-GB" w:eastAsia="en-US"/>
    </w:rPr>
  </w:style>
  <w:style w:type="character" w:customStyle="1" w:styleId="Heading3Char">
    <w:name w:val="Heading 3 Char"/>
    <w:link w:val="Heading3"/>
    <w:uiPriority w:val="9"/>
    <w:semiHidden/>
    <w:rPr>
      <w:rFonts w:ascii="Cambria" w:eastAsia="Times New Roman" w:hAnsi="Cambria" w:cs="Times New Roman"/>
      <w:b/>
      <w:bCs/>
      <w:sz w:val="26"/>
      <w:szCs w:val="26"/>
      <w:lang w:val="cy-GB" w:eastAsia="cy-GB"/>
    </w:rPr>
  </w:style>
  <w:style w:type="character" w:customStyle="1" w:styleId="Heading4Char">
    <w:name w:val="Heading 4 Char"/>
    <w:link w:val="Heading4"/>
    <w:uiPriority w:val="9"/>
    <w:semiHidden/>
    <w:rPr>
      <w:b/>
      <w:bCs/>
      <w:sz w:val="28"/>
      <w:szCs w:val="28"/>
      <w:lang w:val="cy-GB" w:eastAsia="cy-GB"/>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Arial" w:hAnsi="Arial" w:cs="Arial"/>
      <w:sz w:val="20"/>
      <w:szCs w:val="20"/>
      <w:lang w:val="cy-GB" w:eastAsia="cy-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Pr>
      <w:rFonts w:ascii="Arial" w:hAnsi="Arial" w:cs="Arial"/>
      <w:sz w:val="20"/>
      <w:szCs w:val="20"/>
      <w:lang w:val="cy-GB" w:eastAsia="cy-GB"/>
    </w:rPr>
  </w:style>
  <w:style w:type="paragraph" w:customStyle="1" w:styleId="Bodycopy">
    <w:name w:val="Body copy"/>
    <w:uiPriority w:val="99"/>
    <w:pPr>
      <w:spacing w:after="120" w:line="360" w:lineRule="auto"/>
    </w:pPr>
    <w:rPr>
      <w:rFonts w:ascii="Arial" w:hAnsi="Arial" w:cs="Arial"/>
      <w:sz w:val="24"/>
      <w:szCs w:val="24"/>
      <w:lang w:val="cy-GB" w:eastAsia="en-US"/>
    </w:rPr>
  </w:style>
  <w:style w:type="paragraph" w:customStyle="1" w:styleId="Pulloutcopy">
    <w:name w:val="Pullout copy"/>
    <w:uiPriority w:val="99"/>
    <w:pPr>
      <w:spacing w:line="320" w:lineRule="exact"/>
    </w:pPr>
    <w:rPr>
      <w:rFonts w:ascii="Arial" w:hAnsi="Arial" w:cs="Arial"/>
      <w:i/>
      <w:iCs/>
      <w:color w:val="003893"/>
      <w:sz w:val="26"/>
      <w:szCs w:val="26"/>
      <w:lang w:val="cy-GB" w:eastAsia="en-US"/>
    </w:rPr>
  </w:style>
  <w:style w:type="character" w:styleId="PageNumber">
    <w:name w:val="page number"/>
    <w:basedOn w:val="DefaultParagraphFont"/>
    <w:uiPriority w:val="99"/>
  </w:style>
  <w:style w:type="character" w:styleId="Hyperlink">
    <w:name w:val="Hyperlink"/>
    <w:uiPriority w:val="99"/>
    <w:rPr>
      <w:rFonts w:ascii="Helvetica" w:hAnsi="Helvetica" w:cs="Helvetica"/>
      <w:color w:val="003893"/>
      <w:sz w:val="24"/>
      <w:szCs w:val="24"/>
      <w:u w:val="single"/>
    </w:rPr>
  </w:style>
  <w:style w:type="paragraph" w:customStyle="1" w:styleId="Addressandcopyright">
    <w:name w:val="Address and copyright"/>
    <w:basedOn w:val="Bodycopy"/>
    <w:uiPriority w:val="99"/>
    <w:rPr>
      <w:sz w:val="22"/>
      <w:szCs w:val="2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cy-GB" w:eastAsia="cy-GB"/>
    </w:rPr>
  </w:style>
  <w:style w:type="paragraph" w:customStyle="1" w:styleId="Lastitembullet">
    <w:name w:val="Last item bullet"/>
    <w:basedOn w:val="Bulletedbody"/>
    <w:uiPriority w:val="99"/>
    <w:pPr>
      <w:spacing w:after="170"/>
    </w:pPr>
  </w:style>
  <w:style w:type="paragraph" w:customStyle="1" w:styleId="Bulletedbody">
    <w:name w:val="Bulleted body"/>
    <w:basedOn w:val="Bodycopy"/>
    <w:autoRedefine/>
    <w:uiPriority w:val="99"/>
    <w:pPr>
      <w:numPr>
        <w:numId w:val="24"/>
      </w:numPr>
      <w:spacing w:after="85"/>
    </w:pPr>
  </w:style>
  <w:style w:type="paragraph" w:styleId="CommentText">
    <w:name w:val="annotation text"/>
    <w:basedOn w:val="Normal"/>
    <w:link w:val="CommentTextChar"/>
    <w:uiPriority w:val="99"/>
  </w:style>
  <w:style w:type="character" w:customStyle="1" w:styleId="CommentTextChar">
    <w:name w:val="Comment Text Char"/>
    <w:link w:val="CommentText"/>
    <w:uiPriority w:val="99"/>
    <w:rPr>
      <w:rFonts w:ascii="Arial" w:hAnsi="Arial" w:cs="Arial"/>
    </w:rPr>
  </w:style>
  <w:style w:type="paragraph" w:styleId="Title">
    <w:name w:val="Title"/>
    <w:basedOn w:val="Normal"/>
    <w:link w:val="TitleChar"/>
    <w:uiPriority w:val="99"/>
    <w:qFormat/>
    <w:pPr>
      <w:spacing w:after="113" w:line="500" w:lineRule="atLeast"/>
      <w:outlineLvl w:val="0"/>
    </w:pPr>
    <w:rPr>
      <w:b/>
      <w:bCs/>
      <w:color w:val="003893"/>
      <w:kern w:val="28"/>
      <w:sz w:val="46"/>
      <w:szCs w:val="46"/>
      <w:lang w:eastAsia="en-US"/>
    </w:rPr>
  </w:style>
  <w:style w:type="character" w:customStyle="1" w:styleId="TitleChar">
    <w:name w:val="Title Char"/>
    <w:link w:val="Title"/>
    <w:uiPriority w:val="10"/>
    <w:rPr>
      <w:rFonts w:ascii="Cambria" w:eastAsia="Times New Roman" w:hAnsi="Cambria" w:cs="Times New Roman"/>
      <w:b/>
      <w:bCs/>
      <w:kern w:val="28"/>
      <w:sz w:val="32"/>
      <w:szCs w:val="32"/>
      <w:lang w:val="cy-GB" w:eastAsia="cy-GB"/>
    </w:rPr>
  </w:style>
  <w:style w:type="character" w:styleId="CommentReference">
    <w:name w:val="annotation reference"/>
    <w:uiPriority w:val="99"/>
    <w:rPr>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semiHidden/>
    <w:rPr>
      <w:rFonts w:ascii="Arial" w:hAnsi="Arial" w:cs="Arial"/>
      <w:b/>
      <w:bCs/>
      <w:sz w:val="20"/>
      <w:szCs w:val="20"/>
      <w:lang w:val="cy-GB" w:eastAsia="cy-GB"/>
    </w:rPr>
  </w:style>
  <w:style w:type="paragraph" w:styleId="Revision">
    <w:name w:val="Revision"/>
    <w:hidden/>
    <w:uiPriority w:val="99"/>
    <w:rPr>
      <w:rFonts w:ascii="Arial" w:hAnsi="Arial" w:cs="Arial"/>
      <w:lang w:val="cy-GB" w:eastAsia="cy-GB"/>
    </w:rPr>
  </w:style>
  <w:style w:type="paragraph" w:customStyle="1" w:styleId="Numberedheading1">
    <w:name w:val="Numbered heading 1"/>
    <w:basedOn w:val="Heading1"/>
    <w:next w:val="Normal"/>
    <w:uiPriority w:val="99"/>
    <w:pPr>
      <w:numPr>
        <w:numId w:val="31"/>
      </w:numPr>
      <w:spacing w:before="240" w:after="120" w:line="360" w:lineRule="auto"/>
    </w:pPr>
    <w:rPr>
      <w:b/>
      <w:bCs/>
      <w:color w:val="auto"/>
      <w:kern w:val="32"/>
      <w:sz w:val="32"/>
      <w:szCs w:val="32"/>
    </w:rPr>
  </w:style>
  <w:style w:type="paragraph" w:customStyle="1" w:styleId="Numberedheading2">
    <w:name w:val="Numbered heading 2"/>
    <w:basedOn w:val="Heading2"/>
    <w:next w:val="Normal"/>
    <w:autoRedefine/>
    <w:uiPriority w:val="99"/>
    <w:pPr>
      <w:numPr>
        <w:ilvl w:val="1"/>
        <w:numId w:val="31"/>
      </w:numPr>
      <w:spacing w:before="240" w:after="60" w:line="360" w:lineRule="auto"/>
    </w:pPr>
    <w:rPr>
      <w:b/>
      <w:bCs/>
      <w:i/>
      <w:iCs/>
      <w:color w:val="auto"/>
      <w:sz w:val="28"/>
      <w:szCs w:val="28"/>
    </w:rPr>
  </w:style>
  <w:style w:type="paragraph" w:customStyle="1" w:styleId="Numberedheading3">
    <w:name w:val="Numbered heading 3"/>
    <w:basedOn w:val="Heading3"/>
    <w:next w:val="Normal"/>
    <w:uiPriority w:val="99"/>
    <w:pPr>
      <w:numPr>
        <w:ilvl w:val="2"/>
        <w:numId w:val="31"/>
      </w:numPr>
      <w:spacing w:before="240" w:after="60" w:line="360" w:lineRule="auto"/>
    </w:pPr>
    <w:rPr>
      <w:sz w:val="26"/>
      <w:szCs w:val="26"/>
    </w:rPr>
  </w:style>
  <w:style w:type="paragraph" w:customStyle="1" w:styleId="Numberedlevel4text">
    <w:name w:val="Numbered level 4 text"/>
    <w:basedOn w:val="Normal"/>
    <w:next w:val="Normal"/>
    <w:uiPriority w:val="99"/>
    <w:pPr>
      <w:numPr>
        <w:ilvl w:val="3"/>
        <w:numId w:val="31"/>
      </w:numPr>
      <w:spacing w:after="240" w:line="360" w:lineRule="auto"/>
    </w:pPr>
    <w:rPr>
      <w:sz w:val="24"/>
      <w:szCs w:val="24"/>
      <w:lang w:val="en-US" w:eastAsia="en-US"/>
    </w:rPr>
  </w:style>
  <w:style w:type="paragraph" w:customStyle="1" w:styleId="Bulletindent1">
    <w:name w:val="Bullet indent 1"/>
    <w:basedOn w:val="Normal"/>
    <w:uiPriority w:val="99"/>
    <w:pPr>
      <w:numPr>
        <w:numId w:val="29"/>
      </w:numPr>
      <w:spacing w:line="360" w:lineRule="auto"/>
    </w:pPr>
    <w:rPr>
      <w:sz w:val="24"/>
      <w:szCs w:val="24"/>
      <w:lang w:val="en-US" w:eastAsia="en-US"/>
    </w:rPr>
  </w:style>
  <w:style w:type="paragraph" w:customStyle="1" w:styleId="Numberedlevel2text">
    <w:name w:val="Numbered level 2 text"/>
    <w:basedOn w:val="Numberedheading2"/>
    <w:uiPriority w:val="99"/>
    <w:pPr>
      <w:keepNext w:val="0"/>
      <w:spacing w:before="0" w:after="240"/>
    </w:pPr>
    <w:rPr>
      <w:b w:val="0"/>
      <w:bCs w:val="0"/>
      <w:i w:val="0"/>
      <w:iCs w:val="0"/>
      <w:sz w:val="24"/>
      <w:szCs w:val="24"/>
    </w:rPr>
  </w:style>
  <w:style w:type="paragraph" w:customStyle="1" w:styleId="Bulletindent1last">
    <w:name w:val="Bullet indent 1 last"/>
    <w:basedOn w:val="Normal"/>
    <w:next w:val="Normal"/>
    <w:uiPriority w:val="99"/>
    <w:pPr>
      <w:numPr>
        <w:numId w:val="30"/>
      </w:numPr>
      <w:spacing w:after="240" w:line="360" w:lineRule="auto"/>
    </w:pPr>
    <w:rPr>
      <w:sz w:val="24"/>
      <w:szCs w:val="24"/>
      <w:lang w:val="en-US" w:eastAsia="en-US"/>
    </w:rPr>
  </w:style>
  <w:style w:type="paragraph" w:customStyle="1" w:styleId="NICEnormalindented">
    <w:name w:val="NICE normal indented"/>
    <w:basedOn w:val="Normal"/>
    <w:uiPriority w:val="99"/>
    <w:pPr>
      <w:tabs>
        <w:tab w:val="left" w:pos="1134"/>
      </w:tabs>
      <w:spacing w:after="240" w:line="360" w:lineRule="auto"/>
      <w:ind w:left="1134"/>
    </w:pPr>
    <w:rPr>
      <w:sz w:val="24"/>
      <w:szCs w:val="24"/>
      <w:lang w:val="en-US" w:eastAsia="en-US"/>
    </w:rPr>
  </w:style>
  <w:style w:type="character" w:customStyle="1" w:styleId="Bulletindent1Char">
    <w:name w:val="Bullet indent 1 Char"/>
    <w:uiPriority w:val="99"/>
    <w:rPr>
      <w:rFonts w:ascii="Arial" w:hAnsi="Arial" w:cs="Arial"/>
      <w:sz w:val="24"/>
      <w:szCs w:val="24"/>
      <w:lang w:val="en-US" w:eastAsia="en-US"/>
    </w:rPr>
  </w:style>
  <w:style w:type="paragraph" w:styleId="ListParagraph">
    <w:name w:val="List Paragraph"/>
    <w:basedOn w:val="Normal"/>
    <w:uiPriority w:val="99"/>
    <w:qFormat/>
    <w:pPr>
      <w:ind w:left="720"/>
    </w:pPr>
  </w:style>
  <w:style w:type="paragraph" w:customStyle="1" w:styleId="Bulletleft1last">
    <w:name w:val="Bullet left 1 last"/>
    <w:basedOn w:val="Normal"/>
    <w:uiPriority w:val="99"/>
    <w:pPr>
      <w:numPr>
        <w:numId w:val="37"/>
      </w:numPr>
      <w:spacing w:after="240" w:line="360" w:lineRule="auto"/>
    </w:pPr>
    <w:rPr>
      <w:sz w:val="24"/>
      <w:szCs w:val="24"/>
      <w:lang w:val="en-US" w:eastAsia="en-US"/>
    </w:rPr>
  </w:style>
  <w:style w:type="character" w:styleId="FollowedHyperlink">
    <w:name w:val="FollowedHyperlink"/>
    <w:uiPriority w:val="99"/>
    <w:rPr>
      <w:color w:val="800080"/>
      <w:u w:val="single"/>
    </w:rPr>
  </w:style>
  <w:style w:type="paragraph" w:customStyle="1" w:styleId="Bulletleft1">
    <w:name w:val="Bullet left 1"/>
    <w:basedOn w:val="Normal"/>
    <w:uiPriority w:val="99"/>
    <w:pPr>
      <w:numPr>
        <w:numId w:val="40"/>
      </w:numPr>
      <w:spacing w:line="360" w:lineRule="auto"/>
    </w:pPr>
    <w:rPr>
      <w:sz w:val="24"/>
      <w:szCs w:val="24"/>
      <w:lang w:val="en-US" w:eastAsia="en-US"/>
    </w:rPr>
  </w:style>
  <w:style w:type="paragraph" w:customStyle="1" w:styleId="Bulletleft2">
    <w:name w:val="Bullet left 2"/>
    <w:basedOn w:val="Normal"/>
    <w:uiPriority w:val="99"/>
    <w:pPr>
      <w:numPr>
        <w:ilvl w:val="1"/>
        <w:numId w:val="39"/>
      </w:numPr>
      <w:spacing w:line="360" w:lineRule="auto"/>
      <w:ind w:left="568" w:hanging="284"/>
    </w:pPr>
    <w:rPr>
      <w:sz w:val="24"/>
      <w:szCs w:val="24"/>
      <w:lang w:val="en-US" w:eastAsia="en-US"/>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link w:val="DocumentMap"/>
    <w:uiPriority w:val="99"/>
    <w:rPr>
      <w:rFonts w:ascii="Tahoma" w:hAnsi="Tahoma" w:cs="Tahoma"/>
      <w:sz w:val="16"/>
      <w:szCs w:val="16"/>
    </w:rPr>
  </w:style>
  <w:style w:type="character" w:customStyle="1" w:styleId="Bulletleft1Char">
    <w:name w:val="Bullet left 1 Char"/>
    <w:uiPriority w:val="99"/>
    <w:rPr>
      <w:rFonts w:ascii="Arial" w:hAnsi="Arial" w:cs="Arial"/>
      <w:sz w:val="24"/>
      <w:szCs w:val="24"/>
      <w:lang w:val="en-US" w:eastAsia="en-US"/>
    </w:rPr>
  </w:style>
  <w:style w:type="character" w:styleId="UnresolvedMention">
    <w:name w:val="Unresolved Mention"/>
    <w:basedOn w:val="DefaultParagraphFont"/>
    <w:uiPriority w:val="99"/>
    <w:semiHidden/>
    <w:unhideWhenUsed/>
    <w:rsid w:val="00C33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ras.org.uk/" TargetMode="External"/><Relationship Id="rId13" Type="http://schemas.openxmlformats.org/officeDocument/2006/relationships/hyperlink" Target="http://www.nice.org.uk" TargetMode="External"/><Relationship Id="rId3" Type="http://schemas.openxmlformats.org/officeDocument/2006/relationships/settings" Target="settings.xml"/><Relationship Id="rId7" Type="http://schemas.openxmlformats.org/officeDocument/2006/relationships/hyperlink" Target="http://www.nice.org.uk/aboutguidance" TargetMode="External"/><Relationship Id="rId12" Type="http://schemas.openxmlformats.org/officeDocument/2006/relationships/hyperlink" Target="http://www.nice.org.uk/guidance/TA19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ce.org.uk/aboutnice/whatwedo/corporatepublications/OtherPublications.js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hsdirect.wales.nhs.uk" TargetMode="External"/><Relationship Id="rId4" Type="http://schemas.openxmlformats.org/officeDocument/2006/relationships/webSettings" Target="webSettings.xml"/><Relationship Id="rId9" Type="http://schemas.openxmlformats.org/officeDocument/2006/relationships/hyperlink" Target="http://www.versusarthritis.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Adalimumab, etanercept, infliximab, rituximab and abatacept for rheumatoid arthritis: Welsh Information for the public</vt:lpstr>
    </vt:vector>
  </TitlesOfParts>
  <Company/>
  <LinksUpToDate>false</LinksUpToDate>
  <CharactersWithSpaces>7133</CharactersWithSpaces>
  <SharedDoc>false</SharedDoc>
  <HLinks>
    <vt:vector size="42" baseType="variant">
      <vt:variant>
        <vt:i4>4128801</vt:i4>
      </vt:variant>
      <vt:variant>
        <vt:i4>18</vt:i4>
      </vt:variant>
      <vt:variant>
        <vt:i4>0</vt:i4>
      </vt:variant>
      <vt:variant>
        <vt:i4>5</vt:i4>
      </vt:variant>
      <vt:variant>
        <vt:lpwstr>http://www.nice.org.uk/</vt:lpwstr>
      </vt:variant>
      <vt:variant>
        <vt:lpwstr/>
      </vt:variant>
      <vt:variant>
        <vt:i4>4456529</vt:i4>
      </vt:variant>
      <vt:variant>
        <vt:i4>15</vt:i4>
      </vt:variant>
      <vt:variant>
        <vt:i4>0</vt:i4>
      </vt:variant>
      <vt:variant>
        <vt:i4>5</vt:i4>
      </vt:variant>
      <vt:variant>
        <vt:lpwstr>http://www.nice.org.uk/guidance/TA195</vt:lpwstr>
      </vt:variant>
      <vt:variant>
        <vt:lpwstr/>
      </vt:variant>
      <vt:variant>
        <vt:i4>1638472</vt:i4>
      </vt:variant>
      <vt:variant>
        <vt:i4>12</vt:i4>
      </vt:variant>
      <vt:variant>
        <vt:i4>0</vt:i4>
      </vt:variant>
      <vt:variant>
        <vt:i4>5</vt:i4>
      </vt:variant>
      <vt:variant>
        <vt:lpwstr>http://www.nice.org.uk/aboutnice/whatwedo/corporatepublications/OtherPublications.jsp</vt:lpwstr>
      </vt:variant>
      <vt:variant>
        <vt:lpwstr/>
      </vt:variant>
      <vt:variant>
        <vt:i4>6357092</vt:i4>
      </vt:variant>
      <vt:variant>
        <vt:i4>9</vt:i4>
      </vt:variant>
      <vt:variant>
        <vt:i4>0</vt:i4>
      </vt:variant>
      <vt:variant>
        <vt:i4>5</vt:i4>
      </vt:variant>
      <vt:variant>
        <vt:lpwstr>http://www.nhsdirect.wales.nhs.uk/</vt:lpwstr>
      </vt:variant>
      <vt:variant>
        <vt:lpwstr/>
      </vt:variant>
      <vt:variant>
        <vt:i4>3276842</vt:i4>
      </vt:variant>
      <vt:variant>
        <vt:i4>6</vt:i4>
      </vt:variant>
      <vt:variant>
        <vt:i4>0</vt:i4>
      </vt:variant>
      <vt:variant>
        <vt:i4>5</vt:i4>
      </vt:variant>
      <vt:variant>
        <vt:lpwstr>http://www.www.versusarthritis.org/</vt:lpwstr>
      </vt:variant>
      <vt:variant>
        <vt:lpwstr/>
      </vt:variant>
      <vt:variant>
        <vt:i4>3997740</vt:i4>
      </vt:variant>
      <vt:variant>
        <vt:i4>3</vt:i4>
      </vt:variant>
      <vt:variant>
        <vt:i4>0</vt:i4>
      </vt:variant>
      <vt:variant>
        <vt:i4>5</vt:i4>
      </vt:variant>
      <vt:variant>
        <vt:lpwstr>http://www.nras.org.uk/</vt:lpwstr>
      </vt:variant>
      <vt:variant>
        <vt:lpwstr/>
      </vt:variant>
      <vt:variant>
        <vt:i4>6225941</vt:i4>
      </vt:variant>
      <vt:variant>
        <vt:i4>0</vt:i4>
      </vt:variant>
      <vt:variant>
        <vt:i4>0</vt:i4>
      </vt:variant>
      <vt:variant>
        <vt:i4>5</vt:i4>
      </vt:variant>
      <vt:variant>
        <vt:lpwstr>http://www.nice.org.uk/aboutguidance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Adalimumab, etanercept, infliximab, rituximab and abatacept for rheumatoid arthritis: Welsh Information for the public</dc:title>
  <dc:subject/>
  <dc:creator/>
  <cp:keywords/>
  <dc:description/>
  <cp:lastModifiedBy/>
  <cp:revision>1</cp:revision>
  <dcterms:created xsi:type="dcterms:W3CDTF">2023-03-13T14:23:00Z</dcterms:created>
  <dcterms:modified xsi:type="dcterms:W3CDTF">2023-03-14T09:36:00Z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2023-03-13T14:23:54Z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9f0b5be5-6a60-44ff-950f-8142846a0f25</vt:lpwstr>
  </property>
  <property fmtid="{D5CDD505-2E9C-101B-9397-08002B2CF9AE}" pid="8" name="MSIP_Label_c69d85d5-6d9e-4305-a294-1f636ec0f2d6_ContentBits">
    <vt:lpwstr>0</vt:lpwstr>
  </property>
</Properties>
</file>