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B7" w:rsidRDefault="00C40DDA" w:rsidP="003607F6">
      <w:pPr>
        <w:pStyle w:val="Title"/>
        <w:ind w:left="-540"/>
        <w:rPr>
          <w:sz w:val="28"/>
          <w:szCs w:val="28"/>
          <w:lang w:val="en-GB"/>
        </w:rPr>
      </w:pPr>
      <w:r w:rsidRPr="003607F6">
        <w:rPr>
          <w:sz w:val="28"/>
          <w:szCs w:val="28"/>
        </w:rPr>
        <w:t xml:space="preserve">NATIONAL INSTITUTE FOR </w:t>
      </w:r>
      <w:r w:rsidRPr="003607F6">
        <w:rPr>
          <w:sz w:val="28"/>
          <w:szCs w:val="28"/>
          <w:lang w:val="en-GB"/>
        </w:rPr>
        <w:t>HEALTH AND CARE</w:t>
      </w:r>
      <w:r w:rsidR="00B016B7" w:rsidRPr="003607F6">
        <w:rPr>
          <w:sz w:val="28"/>
          <w:szCs w:val="28"/>
        </w:rPr>
        <w:t xml:space="preserve"> EXCELLENCE</w:t>
      </w:r>
    </w:p>
    <w:p w:rsidR="003607F6" w:rsidRPr="003607F6" w:rsidRDefault="003607F6" w:rsidP="003607F6">
      <w:pPr>
        <w:pStyle w:val="Title"/>
        <w:ind w:left="-540"/>
        <w:rPr>
          <w:rFonts w:cs="Arial"/>
          <w:b w:val="0"/>
          <w:bCs w:val="0"/>
          <w:lang w:val="en-GB"/>
        </w:rPr>
      </w:pPr>
    </w:p>
    <w:p w:rsidR="003607F6" w:rsidRDefault="00A27EAC" w:rsidP="003607F6">
      <w:pPr>
        <w:pStyle w:val="Subtitle"/>
        <w:ind w:left="-540"/>
      </w:pPr>
      <w:r w:rsidRPr="003607F6">
        <w:t>Review Proposal Project</w:t>
      </w:r>
    </w:p>
    <w:p w:rsidR="003607F6" w:rsidRDefault="003607F6" w:rsidP="003607F6">
      <w:pPr>
        <w:pStyle w:val="Subtitle"/>
        <w:ind w:left="-540"/>
      </w:pPr>
    </w:p>
    <w:p w:rsidR="00432E7D" w:rsidRDefault="00A27EAC" w:rsidP="00432E7D">
      <w:pPr>
        <w:pStyle w:val="Subtitle"/>
        <w:ind w:left="-540"/>
      </w:pPr>
      <w:r w:rsidRPr="003607F6">
        <w:t>NICE Technology Appraisal</w:t>
      </w:r>
      <w:r w:rsidR="00DE4C92" w:rsidRPr="003607F6">
        <w:t xml:space="preserve"> </w:t>
      </w:r>
      <w:r w:rsidR="00E17533" w:rsidRPr="003607F6">
        <w:t>No.</w:t>
      </w:r>
      <w:r w:rsidR="00432E7D">
        <w:t>284</w:t>
      </w:r>
      <w:r w:rsidR="0037528C" w:rsidRPr="003607F6">
        <w:t xml:space="preserve">; </w:t>
      </w:r>
      <w:r w:rsidR="00432E7D" w:rsidRPr="00432E7D">
        <w:t>Bevacizumab in combination with paclitaxel and carboplatin for the first-line treatment of ovarian cancer</w:t>
      </w:r>
      <w:r w:rsidR="00432E7D">
        <w:t xml:space="preserve"> and </w:t>
      </w:r>
      <w:r w:rsidR="00432E7D" w:rsidRPr="003607F6">
        <w:t>No.</w:t>
      </w:r>
      <w:r w:rsidR="00432E7D">
        <w:t>285</w:t>
      </w:r>
      <w:r w:rsidR="00432E7D" w:rsidRPr="003607F6">
        <w:t>;</w:t>
      </w:r>
      <w:r w:rsidR="00432E7D">
        <w:t xml:space="preserve"> Bevacizumab for the treatment of recurrent or advanced </w:t>
      </w:r>
    </w:p>
    <w:p w:rsidR="00E17533" w:rsidRPr="003607F6" w:rsidRDefault="003751F7" w:rsidP="00432E7D">
      <w:pPr>
        <w:pStyle w:val="Subtitle"/>
        <w:ind w:left="-540"/>
      </w:pPr>
      <w:r>
        <w:t>o</w:t>
      </w:r>
      <w:r w:rsidR="00432E7D">
        <w:t>varian cancer</w:t>
      </w:r>
    </w:p>
    <w:p w:rsidR="00B016B7" w:rsidRPr="003607F6" w:rsidRDefault="00B016B7" w:rsidP="003607F6">
      <w:pPr>
        <w:ind w:left="-540"/>
        <w:jc w:val="center"/>
        <w:rPr>
          <w:rFonts w:ascii="Arial" w:hAnsi="Arial" w:cs="Arial"/>
          <w:b/>
          <w:bCs/>
        </w:rPr>
      </w:pPr>
    </w:p>
    <w:p w:rsidR="00B016B7" w:rsidRPr="003607F6" w:rsidRDefault="0061652B" w:rsidP="003607F6">
      <w:pPr>
        <w:ind w:left="-540"/>
        <w:jc w:val="center"/>
      </w:pPr>
      <w:r w:rsidRPr="003607F6">
        <w:rPr>
          <w:rFonts w:ascii="Arial" w:hAnsi="Arial" w:cs="Arial"/>
          <w:b/>
          <w:bCs/>
        </w:rPr>
        <w:t>M</w:t>
      </w:r>
      <w:r w:rsidR="00B016B7" w:rsidRPr="003607F6">
        <w:rPr>
          <w:rFonts w:ascii="Arial" w:hAnsi="Arial" w:cs="Arial"/>
          <w:b/>
          <w:bCs/>
        </w:rPr>
        <w:t>atrix of consultees and commentators</w:t>
      </w:r>
    </w:p>
    <w:p w:rsidR="00B016B7" w:rsidRPr="003607F6" w:rsidRDefault="00B016B7" w:rsidP="003607F6">
      <w:pPr>
        <w:rPr>
          <w:rFonts w:ascii="Arial" w:hAnsi="Arial" w:cs="Arial"/>
          <w:b/>
          <w:bCs/>
        </w:rPr>
      </w:pP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860"/>
      </w:tblGrid>
      <w:tr w:rsidR="00B016B7" w:rsidRPr="003607F6" w:rsidTr="00C972CA">
        <w:trPr>
          <w:jc w:val="center"/>
        </w:trPr>
        <w:tc>
          <w:tcPr>
            <w:tcW w:w="4680" w:type="dxa"/>
          </w:tcPr>
          <w:p w:rsidR="00B016B7" w:rsidRPr="003607F6" w:rsidRDefault="00B016B7">
            <w:pPr>
              <w:rPr>
                <w:rFonts w:ascii="Arial" w:hAnsi="Arial" w:cs="Arial"/>
                <w:b/>
                <w:bCs/>
              </w:rPr>
            </w:pPr>
            <w:r w:rsidRPr="003607F6">
              <w:rPr>
                <w:rFonts w:ascii="Arial" w:hAnsi="Arial" w:cs="Arial"/>
                <w:b/>
                <w:bCs/>
              </w:rPr>
              <w:t>Consultees</w:t>
            </w:r>
          </w:p>
        </w:tc>
        <w:tc>
          <w:tcPr>
            <w:tcW w:w="4860" w:type="dxa"/>
          </w:tcPr>
          <w:p w:rsidR="00B016B7" w:rsidRPr="003607F6" w:rsidRDefault="00B016B7" w:rsidP="00BC0BE9">
            <w:pPr>
              <w:rPr>
                <w:rFonts w:ascii="Arial" w:hAnsi="Arial" w:cs="Arial"/>
                <w:b/>
                <w:bCs/>
              </w:rPr>
            </w:pPr>
            <w:r w:rsidRPr="003607F6">
              <w:rPr>
                <w:rFonts w:ascii="Arial" w:hAnsi="Arial" w:cs="Arial"/>
                <w:b/>
                <w:bCs/>
              </w:rPr>
              <w:t>Commentators (no right to submit or appeal)</w:t>
            </w:r>
          </w:p>
        </w:tc>
      </w:tr>
      <w:tr w:rsidR="00B016B7" w:rsidRPr="003607F6" w:rsidTr="00C972CA">
        <w:trPr>
          <w:jc w:val="center"/>
        </w:trPr>
        <w:tc>
          <w:tcPr>
            <w:tcW w:w="4680" w:type="dxa"/>
          </w:tcPr>
          <w:p w:rsidR="00B016B7" w:rsidRPr="003607F6" w:rsidRDefault="006B1205">
            <w:pPr>
              <w:rPr>
                <w:rFonts w:ascii="Arial" w:hAnsi="Arial" w:cs="Arial"/>
                <w:u w:val="single"/>
              </w:rPr>
            </w:pPr>
            <w:r w:rsidRPr="003607F6">
              <w:rPr>
                <w:rFonts w:ascii="Arial" w:hAnsi="Arial" w:cs="Arial"/>
                <w:u w:val="single"/>
              </w:rPr>
              <w:t>Company</w:t>
            </w:r>
            <w:r w:rsidR="0061652B" w:rsidRPr="003607F6">
              <w:rPr>
                <w:rFonts w:ascii="Arial" w:hAnsi="Arial" w:cs="Arial"/>
                <w:u w:val="single"/>
              </w:rPr>
              <w:t>/sponsor</w:t>
            </w:r>
          </w:p>
          <w:p w:rsidR="00B00CBF" w:rsidRPr="00725FBB" w:rsidRDefault="00065165" w:rsidP="00065165">
            <w:pPr>
              <w:numPr>
                <w:ilvl w:val="0"/>
                <w:numId w:val="24"/>
              </w:numPr>
              <w:rPr>
                <w:rFonts w:ascii="Arial" w:hAnsi="Arial" w:cs="Arial"/>
              </w:rPr>
            </w:pPr>
            <w:r w:rsidRPr="00725FBB">
              <w:rPr>
                <w:rFonts w:ascii="Arial" w:hAnsi="Arial" w:cs="Arial"/>
              </w:rPr>
              <w:t xml:space="preserve">Roche Products </w:t>
            </w:r>
            <w:r w:rsidR="00E34BC0">
              <w:rPr>
                <w:rFonts w:ascii="Arial" w:hAnsi="Arial" w:cs="Arial"/>
              </w:rPr>
              <w:t>(bevacizumab)</w:t>
            </w:r>
          </w:p>
          <w:p w:rsidR="00B016B7" w:rsidRPr="003607F6" w:rsidRDefault="00B016B7">
            <w:pPr>
              <w:rPr>
                <w:rFonts w:ascii="Arial" w:hAnsi="Arial" w:cs="Arial"/>
                <w:u w:val="single"/>
              </w:rPr>
            </w:pPr>
          </w:p>
          <w:p w:rsidR="00B016B7" w:rsidRPr="003607F6" w:rsidRDefault="00B016B7">
            <w:pPr>
              <w:rPr>
                <w:rFonts w:ascii="Arial" w:hAnsi="Arial" w:cs="Arial"/>
                <w:u w:val="single"/>
              </w:rPr>
            </w:pPr>
            <w:r w:rsidRPr="003607F6">
              <w:rPr>
                <w:rFonts w:ascii="Arial" w:hAnsi="Arial" w:cs="Arial"/>
                <w:u w:val="single"/>
              </w:rPr>
              <w:t>Patient/carer groups</w:t>
            </w:r>
          </w:p>
          <w:p w:rsidR="00065165" w:rsidRPr="00065165" w:rsidRDefault="00065165" w:rsidP="00065165">
            <w:pPr>
              <w:numPr>
                <w:ilvl w:val="0"/>
                <w:numId w:val="24"/>
              </w:numPr>
              <w:rPr>
                <w:rFonts w:ascii="Arial" w:hAnsi="Arial" w:cs="Arial"/>
              </w:rPr>
            </w:pPr>
            <w:r w:rsidRPr="00065165">
              <w:rPr>
                <w:rFonts w:ascii="Arial" w:hAnsi="Arial" w:cs="Arial"/>
              </w:rPr>
              <w:t>Black Health Agency</w:t>
            </w:r>
          </w:p>
          <w:p w:rsidR="00065165" w:rsidRPr="00065165" w:rsidRDefault="00065165" w:rsidP="00065165">
            <w:pPr>
              <w:numPr>
                <w:ilvl w:val="0"/>
                <w:numId w:val="24"/>
              </w:numPr>
              <w:tabs>
                <w:tab w:val="left" w:pos="2126"/>
              </w:tabs>
              <w:rPr>
                <w:rFonts w:ascii="Arial" w:hAnsi="Arial" w:cs="Arial"/>
              </w:rPr>
            </w:pPr>
            <w:r w:rsidRPr="00065165">
              <w:rPr>
                <w:rFonts w:ascii="Arial" w:hAnsi="Arial" w:cs="Arial"/>
              </w:rPr>
              <w:t>Cancer 52</w:t>
            </w:r>
          </w:p>
          <w:p w:rsidR="00065165" w:rsidRPr="00065165" w:rsidRDefault="00065165" w:rsidP="00065165">
            <w:pPr>
              <w:numPr>
                <w:ilvl w:val="0"/>
                <w:numId w:val="24"/>
              </w:numPr>
              <w:tabs>
                <w:tab w:val="left" w:pos="2126"/>
              </w:tabs>
              <w:rPr>
                <w:rFonts w:ascii="Arial" w:hAnsi="Arial" w:cs="Arial"/>
              </w:rPr>
            </w:pPr>
            <w:r w:rsidRPr="00065165">
              <w:rPr>
                <w:rFonts w:ascii="Arial" w:hAnsi="Arial" w:cs="Arial"/>
              </w:rPr>
              <w:t>Cancer Black Care</w:t>
            </w:r>
          </w:p>
          <w:p w:rsidR="00065165" w:rsidRPr="00065165" w:rsidRDefault="00065165" w:rsidP="00065165">
            <w:pPr>
              <w:numPr>
                <w:ilvl w:val="0"/>
                <w:numId w:val="24"/>
              </w:numPr>
              <w:tabs>
                <w:tab w:val="left" w:pos="2126"/>
              </w:tabs>
              <w:rPr>
                <w:rFonts w:ascii="Arial" w:hAnsi="Arial" w:cs="Arial"/>
              </w:rPr>
            </w:pPr>
            <w:r w:rsidRPr="00065165">
              <w:rPr>
                <w:rFonts w:ascii="Arial" w:hAnsi="Arial" w:cs="Arial"/>
              </w:rPr>
              <w:t>Cancer Equality</w:t>
            </w:r>
          </w:p>
          <w:p w:rsidR="00725FBB" w:rsidRPr="00065165" w:rsidRDefault="00725FBB" w:rsidP="00065165">
            <w:pPr>
              <w:numPr>
                <w:ilvl w:val="0"/>
                <w:numId w:val="24"/>
              </w:numPr>
              <w:rPr>
                <w:rFonts w:ascii="Arial" w:hAnsi="Arial" w:cs="Arial"/>
              </w:rPr>
            </w:pPr>
            <w:r>
              <w:rPr>
                <w:rFonts w:ascii="Arial" w:hAnsi="Arial" w:cs="Arial"/>
              </w:rPr>
              <w:t>Eve Appeal</w:t>
            </w:r>
          </w:p>
          <w:p w:rsidR="00725FBB" w:rsidRPr="00065165" w:rsidRDefault="00725FBB" w:rsidP="00065165">
            <w:pPr>
              <w:numPr>
                <w:ilvl w:val="0"/>
                <w:numId w:val="24"/>
              </w:numPr>
              <w:spacing w:before="100" w:beforeAutospacing="1" w:after="100" w:afterAutospacing="1"/>
              <w:rPr>
                <w:rFonts w:ascii="Arial" w:hAnsi="Arial" w:cs="Arial"/>
              </w:rPr>
            </w:pPr>
            <w:r>
              <w:rPr>
                <w:rFonts w:ascii="Arial" w:hAnsi="Arial" w:cs="Arial"/>
                <w:color w:val="000000"/>
              </w:rPr>
              <w:t>HAWC</w:t>
            </w:r>
          </w:p>
          <w:p w:rsidR="00065165" w:rsidRDefault="00065165" w:rsidP="00065165">
            <w:pPr>
              <w:numPr>
                <w:ilvl w:val="0"/>
                <w:numId w:val="24"/>
              </w:numPr>
              <w:rPr>
                <w:rFonts w:ascii="Arial" w:hAnsi="Arial" w:cs="Arial"/>
                <w:color w:val="000000"/>
              </w:rPr>
            </w:pPr>
            <w:r w:rsidRPr="00065165">
              <w:rPr>
                <w:rFonts w:ascii="Arial" w:hAnsi="Arial" w:cs="Arial"/>
                <w:color w:val="000000"/>
              </w:rPr>
              <w:t>Helen Rollason Cancer Charity</w:t>
            </w:r>
          </w:p>
          <w:p w:rsidR="00725FBB" w:rsidRPr="00065165" w:rsidRDefault="00725FBB" w:rsidP="00725FBB">
            <w:pPr>
              <w:numPr>
                <w:ilvl w:val="0"/>
                <w:numId w:val="24"/>
              </w:numPr>
              <w:rPr>
                <w:rFonts w:ascii="Arial" w:hAnsi="Arial" w:cs="Arial"/>
                <w:color w:val="000000"/>
              </w:rPr>
            </w:pPr>
            <w:r w:rsidRPr="00725FBB">
              <w:rPr>
                <w:rFonts w:ascii="Arial" w:hAnsi="Arial" w:cs="Arial"/>
                <w:color w:val="000000"/>
              </w:rPr>
              <w:t>Independent Cancer Patients Voice</w:t>
            </w:r>
          </w:p>
          <w:p w:rsidR="00065165" w:rsidRPr="00065165" w:rsidRDefault="00065165" w:rsidP="00065165">
            <w:pPr>
              <w:numPr>
                <w:ilvl w:val="0"/>
                <w:numId w:val="24"/>
              </w:numPr>
              <w:rPr>
                <w:rFonts w:ascii="Arial" w:hAnsi="Arial" w:cs="Arial"/>
              </w:rPr>
            </w:pPr>
            <w:r w:rsidRPr="00065165">
              <w:rPr>
                <w:rFonts w:ascii="Arial" w:hAnsi="Arial" w:cs="Arial"/>
                <w:color w:val="000000"/>
              </w:rPr>
              <w:t>Macmill</w:t>
            </w:r>
            <w:r w:rsidRPr="00065165">
              <w:rPr>
                <w:rFonts w:ascii="Arial" w:hAnsi="Arial" w:cs="Arial"/>
              </w:rPr>
              <w:t>an Cancer Support</w:t>
            </w:r>
          </w:p>
          <w:p w:rsidR="00065165" w:rsidRPr="00065165" w:rsidRDefault="00065165" w:rsidP="00065165">
            <w:pPr>
              <w:numPr>
                <w:ilvl w:val="0"/>
                <w:numId w:val="24"/>
              </w:numPr>
              <w:tabs>
                <w:tab w:val="left" w:pos="2126"/>
              </w:tabs>
              <w:rPr>
                <w:rFonts w:ascii="Arial" w:hAnsi="Arial" w:cs="Arial"/>
              </w:rPr>
            </w:pPr>
            <w:r w:rsidRPr="00065165">
              <w:rPr>
                <w:rFonts w:ascii="Arial" w:hAnsi="Arial" w:cs="Arial"/>
              </w:rPr>
              <w:t>Maggie’s Centres</w:t>
            </w:r>
          </w:p>
          <w:p w:rsidR="00065165" w:rsidRPr="00065165" w:rsidRDefault="00065165" w:rsidP="00065165">
            <w:pPr>
              <w:numPr>
                <w:ilvl w:val="0"/>
                <w:numId w:val="24"/>
              </w:numPr>
              <w:rPr>
                <w:rFonts w:ascii="Arial" w:hAnsi="Arial" w:cs="Arial"/>
              </w:rPr>
            </w:pPr>
            <w:r w:rsidRPr="00065165">
              <w:rPr>
                <w:rFonts w:ascii="Arial" w:hAnsi="Arial" w:cs="Arial"/>
              </w:rPr>
              <w:t xml:space="preserve">Marie Curie </w:t>
            </w:r>
          </w:p>
          <w:p w:rsidR="00065165" w:rsidRPr="00065165" w:rsidRDefault="00065165" w:rsidP="00065165">
            <w:pPr>
              <w:numPr>
                <w:ilvl w:val="0"/>
                <w:numId w:val="24"/>
              </w:numPr>
              <w:rPr>
                <w:rFonts w:ascii="Arial" w:hAnsi="Arial" w:cs="Arial"/>
              </w:rPr>
            </w:pPr>
            <w:r w:rsidRPr="00065165">
              <w:rPr>
                <w:rFonts w:ascii="Arial" w:hAnsi="Arial" w:cs="Arial"/>
              </w:rPr>
              <w:t>Muslim Council of Britain</w:t>
            </w:r>
          </w:p>
          <w:p w:rsidR="00065165" w:rsidRPr="00065165" w:rsidRDefault="00065165" w:rsidP="00065165">
            <w:pPr>
              <w:numPr>
                <w:ilvl w:val="0"/>
                <w:numId w:val="24"/>
              </w:numPr>
              <w:rPr>
                <w:rFonts w:ascii="Arial" w:hAnsi="Arial" w:cs="Arial"/>
              </w:rPr>
            </w:pPr>
            <w:r w:rsidRPr="00065165">
              <w:rPr>
                <w:rFonts w:ascii="Arial" w:hAnsi="Arial" w:cs="Arial"/>
              </w:rPr>
              <w:t>Ovacome</w:t>
            </w:r>
          </w:p>
          <w:p w:rsidR="00065165" w:rsidRPr="00065165" w:rsidRDefault="00065165" w:rsidP="00065165">
            <w:pPr>
              <w:numPr>
                <w:ilvl w:val="0"/>
                <w:numId w:val="24"/>
              </w:numPr>
              <w:rPr>
                <w:rFonts w:ascii="Arial" w:hAnsi="Arial" w:cs="Arial"/>
              </w:rPr>
            </w:pPr>
            <w:r w:rsidRPr="00065165">
              <w:rPr>
                <w:rFonts w:ascii="Arial" w:hAnsi="Arial" w:cs="Arial"/>
              </w:rPr>
              <w:t>Ovarian Canc</w:t>
            </w:r>
            <w:bookmarkStart w:id="0" w:name="_GoBack"/>
            <w:bookmarkEnd w:id="0"/>
            <w:r w:rsidRPr="00065165">
              <w:rPr>
                <w:rFonts w:ascii="Arial" w:hAnsi="Arial" w:cs="Arial"/>
              </w:rPr>
              <w:t>er Action</w:t>
            </w:r>
          </w:p>
          <w:p w:rsidR="00065165" w:rsidRPr="00065165" w:rsidRDefault="00065165" w:rsidP="00065165">
            <w:pPr>
              <w:numPr>
                <w:ilvl w:val="0"/>
                <w:numId w:val="24"/>
              </w:numPr>
              <w:rPr>
                <w:rFonts w:ascii="Arial" w:hAnsi="Arial" w:cs="Arial"/>
              </w:rPr>
            </w:pPr>
            <w:r w:rsidRPr="00065165">
              <w:rPr>
                <w:rFonts w:ascii="Arial" w:hAnsi="Arial" w:cs="Arial"/>
              </w:rPr>
              <w:t>Rarer Cancers Foundation</w:t>
            </w:r>
          </w:p>
          <w:p w:rsidR="00065165" w:rsidRPr="00065165" w:rsidRDefault="00065165" w:rsidP="00065165">
            <w:pPr>
              <w:numPr>
                <w:ilvl w:val="0"/>
                <w:numId w:val="24"/>
              </w:numPr>
              <w:rPr>
                <w:rFonts w:ascii="Arial" w:hAnsi="Arial" w:cs="Arial"/>
              </w:rPr>
            </w:pPr>
            <w:r w:rsidRPr="00065165">
              <w:rPr>
                <w:rFonts w:ascii="Arial" w:hAnsi="Arial" w:cs="Arial"/>
              </w:rPr>
              <w:t>South Asian Health Foundation</w:t>
            </w:r>
          </w:p>
          <w:p w:rsidR="00065165" w:rsidRPr="00065165" w:rsidRDefault="00065165" w:rsidP="00065165">
            <w:pPr>
              <w:numPr>
                <w:ilvl w:val="0"/>
                <w:numId w:val="24"/>
              </w:numPr>
              <w:rPr>
                <w:rFonts w:ascii="Arial" w:hAnsi="Arial" w:cs="Arial"/>
              </w:rPr>
            </w:pPr>
            <w:r w:rsidRPr="00065165">
              <w:rPr>
                <w:rFonts w:ascii="Arial" w:hAnsi="Arial" w:cs="Arial"/>
              </w:rPr>
              <w:t>Specialised Healthcare Alliance</w:t>
            </w:r>
          </w:p>
          <w:p w:rsidR="00065165" w:rsidRPr="00065165" w:rsidRDefault="00065165" w:rsidP="00065165">
            <w:pPr>
              <w:numPr>
                <w:ilvl w:val="0"/>
                <w:numId w:val="24"/>
              </w:numPr>
              <w:tabs>
                <w:tab w:val="left" w:pos="2126"/>
              </w:tabs>
              <w:rPr>
                <w:rFonts w:ascii="Arial" w:hAnsi="Arial" w:cs="Arial"/>
              </w:rPr>
            </w:pPr>
            <w:r w:rsidRPr="00065165">
              <w:rPr>
                <w:rFonts w:ascii="Arial" w:hAnsi="Arial" w:cs="Arial"/>
              </w:rPr>
              <w:t>Target Ovarian Cancer</w:t>
            </w:r>
          </w:p>
          <w:p w:rsidR="00065165" w:rsidRDefault="00065165" w:rsidP="00065165">
            <w:pPr>
              <w:numPr>
                <w:ilvl w:val="0"/>
                <w:numId w:val="24"/>
              </w:numPr>
              <w:rPr>
                <w:rFonts w:ascii="Arial" w:hAnsi="Arial" w:cs="Arial"/>
              </w:rPr>
            </w:pPr>
            <w:r w:rsidRPr="00065165">
              <w:rPr>
                <w:rFonts w:ascii="Arial" w:hAnsi="Arial" w:cs="Arial"/>
              </w:rPr>
              <w:t xml:space="preserve">Tenovus </w:t>
            </w:r>
            <w:r w:rsidR="00725FBB">
              <w:rPr>
                <w:rFonts w:ascii="Arial" w:hAnsi="Arial" w:cs="Arial"/>
              </w:rPr>
              <w:t>Cancer Care</w:t>
            </w:r>
          </w:p>
          <w:p w:rsidR="00725FBB" w:rsidRPr="00065165" w:rsidRDefault="00725FBB" w:rsidP="00725FBB">
            <w:pPr>
              <w:numPr>
                <w:ilvl w:val="0"/>
                <w:numId w:val="24"/>
              </w:numPr>
              <w:rPr>
                <w:rFonts w:ascii="Arial" w:hAnsi="Arial" w:cs="Arial"/>
              </w:rPr>
            </w:pPr>
            <w:r w:rsidRPr="00725FBB">
              <w:rPr>
                <w:rFonts w:ascii="Arial" w:hAnsi="Arial" w:cs="Arial"/>
              </w:rPr>
              <w:t>The Robin Cancer Trust</w:t>
            </w:r>
          </w:p>
          <w:p w:rsidR="00065165" w:rsidRPr="00065165" w:rsidRDefault="00065165" w:rsidP="00065165">
            <w:pPr>
              <w:numPr>
                <w:ilvl w:val="0"/>
                <w:numId w:val="24"/>
              </w:numPr>
              <w:rPr>
                <w:rFonts w:ascii="Arial" w:hAnsi="Arial" w:cs="Arial"/>
              </w:rPr>
            </w:pPr>
            <w:r w:rsidRPr="00065165">
              <w:rPr>
                <w:rFonts w:ascii="Arial" w:hAnsi="Arial" w:cs="Arial"/>
              </w:rPr>
              <w:t xml:space="preserve">Wellbeing of Women </w:t>
            </w:r>
          </w:p>
          <w:p w:rsidR="00B00CBF" w:rsidRPr="00065165" w:rsidRDefault="00065165" w:rsidP="00065165">
            <w:pPr>
              <w:numPr>
                <w:ilvl w:val="0"/>
                <w:numId w:val="24"/>
              </w:numPr>
              <w:rPr>
                <w:rFonts w:ascii="Arial" w:hAnsi="Arial" w:cs="Arial"/>
              </w:rPr>
            </w:pPr>
            <w:r w:rsidRPr="00065165">
              <w:rPr>
                <w:rFonts w:ascii="Arial" w:hAnsi="Arial" w:cs="Arial"/>
              </w:rPr>
              <w:t xml:space="preserve">Women’s Health Concern </w:t>
            </w:r>
          </w:p>
          <w:p w:rsidR="00C62AEC" w:rsidRPr="00065165" w:rsidRDefault="00C62AEC" w:rsidP="00C62AEC">
            <w:pPr>
              <w:tabs>
                <w:tab w:val="left" w:pos="2126"/>
              </w:tabs>
              <w:rPr>
                <w:rFonts w:ascii="Arial" w:hAnsi="Arial" w:cs="Arial"/>
              </w:rPr>
            </w:pPr>
          </w:p>
          <w:p w:rsidR="00B016B7" w:rsidRPr="00065165" w:rsidRDefault="00B016B7">
            <w:pPr>
              <w:rPr>
                <w:rFonts w:ascii="Arial" w:hAnsi="Arial" w:cs="Arial"/>
                <w:u w:val="single"/>
              </w:rPr>
            </w:pPr>
            <w:r w:rsidRPr="00065165">
              <w:rPr>
                <w:rFonts w:ascii="Arial" w:hAnsi="Arial" w:cs="Arial"/>
                <w:u w:val="single"/>
              </w:rPr>
              <w:t>Professional groups</w:t>
            </w:r>
          </w:p>
          <w:p w:rsidR="00462956" w:rsidRDefault="00462956" w:rsidP="00065165">
            <w:pPr>
              <w:numPr>
                <w:ilvl w:val="0"/>
                <w:numId w:val="24"/>
              </w:numPr>
              <w:rPr>
                <w:rFonts w:ascii="Arial" w:hAnsi="Arial" w:cs="Arial"/>
              </w:rPr>
            </w:pPr>
            <w:r>
              <w:rPr>
                <w:rFonts w:ascii="Arial" w:hAnsi="Arial" w:cs="Arial"/>
              </w:rPr>
              <w:t xml:space="preserve">Association of Anaesthetists </w:t>
            </w:r>
          </w:p>
          <w:p w:rsidR="00065165" w:rsidRPr="00065165" w:rsidRDefault="00065165" w:rsidP="00065165">
            <w:pPr>
              <w:numPr>
                <w:ilvl w:val="0"/>
                <w:numId w:val="24"/>
              </w:numPr>
              <w:rPr>
                <w:rFonts w:ascii="Arial" w:hAnsi="Arial" w:cs="Arial"/>
              </w:rPr>
            </w:pPr>
            <w:r w:rsidRPr="00065165">
              <w:rPr>
                <w:rFonts w:ascii="Arial" w:hAnsi="Arial" w:cs="Arial"/>
              </w:rPr>
              <w:t>Association of Cancer Physicians</w:t>
            </w:r>
          </w:p>
          <w:p w:rsidR="00065165" w:rsidRPr="00065165" w:rsidRDefault="00065165" w:rsidP="00065165">
            <w:pPr>
              <w:numPr>
                <w:ilvl w:val="0"/>
                <w:numId w:val="24"/>
              </w:numPr>
              <w:rPr>
                <w:rFonts w:ascii="Arial" w:hAnsi="Arial" w:cs="Arial"/>
              </w:rPr>
            </w:pPr>
            <w:r w:rsidRPr="00065165">
              <w:rPr>
                <w:rFonts w:ascii="Arial" w:hAnsi="Arial" w:cs="Arial"/>
              </w:rPr>
              <w:t>Association of Surgeons of Great Britain and Ireland</w:t>
            </w:r>
          </w:p>
          <w:p w:rsidR="00065165" w:rsidRPr="00065165" w:rsidRDefault="00065165" w:rsidP="00065165">
            <w:pPr>
              <w:numPr>
                <w:ilvl w:val="0"/>
                <w:numId w:val="24"/>
              </w:numPr>
              <w:rPr>
                <w:rFonts w:ascii="Arial" w:hAnsi="Arial" w:cs="Arial"/>
              </w:rPr>
            </w:pPr>
            <w:r w:rsidRPr="00065165">
              <w:rPr>
                <w:rFonts w:ascii="Arial" w:hAnsi="Arial" w:cs="Arial"/>
              </w:rPr>
              <w:t>British Geriatrics Society</w:t>
            </w:r>
          </w:p>
          <w:p w:rsidR="00065165" w:rsidRPr="00065165" w:rsidRDefault="00065165" w:rsidP="00065165">
            <w:pPr>
              <w:numPr>
                <w:ilvl w:val="0"/>
                <w:numId w:val="24"/>
              </w:numPr>
              <w:rPr>
                <w:rFonts w:ascii="Arial" w:hAnsi="Arial" w:cs="Arial"/>
              </w:rPr>
            </w:pPr>
            <w:r w:rsidRPr="00065165">
              <w:rPr>
                <w:rFonts w:ascii="Arial" w:hAnsi="Arial" w:cs="Arial"/>
              </w:rPr>
              <w:lastRenderedPageBreak/>
              <w:t>British Gynaecological Cancer Society</w:t>
            </w:r>
          </w:p>
          <w:p w:rsidR="00065165" w:rsidRPr="0018455C" w:rsidRDefault="00065165" w:rsidP="00065165">
            <w:pPr>
              <w:numPr>
                <w:ilvl w:val="0"/>
                <w:numId w:val="24"/>
              </w:numPr>
              <w:rPr>
                <w:rFonts w:ascii="Arial" w:hAnsi="Arial" w:cs="Arial"/>
              </w:rPr>
            </w:pPr>
            <w:r w:rsidRPr="0018455C">
              <w:rPr>
                <w:rFonts w:ascii="Arial" w:hAnsi="Arial" w:cs="Arial"/>
              </w:rPr>
              <w:t xml:space="preserve">British Institute </w:t>
            </w:r>
            <w:r w:rsidR="007B4696" w:rsidRPr="0018455C">
              <w:rPr>
                <w:rFonts w:ascii="Arial" w:hAnsi="Arial" w:cs="Arial"/>
              </w:rPr>
              <w:t>of</w:t>
            </w:r>
            <w:r w:rsidRPr="0018455C">
              <w:rPr>
                <w:rFonts w:ascii="Arial" w:hAnsi="Arial" w:cs="Arial"/>
              </w:rPr>
              <w:t xml:space="preserve"> Radiology</w:t>
            </w:r>
          </w:p>
          <w:p w:rsidR="007B4696" w:rsidRPr="0018455C" w:rsidRDefault="00065165" w:rsidP="00065165">
            <w:pPr>
              <w:numPr>
                <w:ilvl w:val="0"/>
                <w:numId w:val="24"/>
              </w:numPr>
              <w:rPr>
                <w:rFonts w:ascii="Arial" w:hAnsi="Arial" w:cs="Arial"/>
              </w:rPr>
            </w:pPr>
            <w:r w:rsidRPr="0018455C">
              <w:rPr>
                <w:rFonts w:ascii="Arial" w:hAnsi="Arial" w:cs="Arial"/>
              </w:rPr>
              <w:t>British Psychosocial Oncology Society</w:t>
            </w:r>
          </w:p>
          <w:p w:rsidR="00065165" w:rsidRPr="0018455C" w:rsidRDefault="007B4696" w:rsidP="007B4696">
            <w:pPr>
              <w:numPr>
                <w:ilvl w:val="0"/>
                <w:numId w:val="24"/>
              </w:numPr>
              <w:rPr>
                <w:rFonts w:ascii="Arial" w:hAnsi="Arial" w:cs="Arial"/>
              </w:rPr>
            </w:pPr>
            <w:r w:rsidRPr="0018455C">
              <w:rPr>
                <w:rFonts w:ascii="Arial" w:hAnsi="Arial" w:cs="Arial"/>
              </w:rPr>
              <w:t>British Society of Urogynaecology</w:t>
            </w:r>
          </w:p>
          <w:p w:rsidR="00065165" w:rsidRPr="0018455C" w:rsidRDefault="00065165" w:rsidP="00065165">
            <w:pPr>
              <w:numPr>
                <w:ilvl w:val="0"/>
                <w:numId w:val="24"/>
              </w:numPr>
              <w:rPr>
                <w:rFonts w:ascii="Arial" w:hAnsi="Arial" w:cs="Arial"/>
              </w:rPr>
            </w:pPr>
            <w:r w:rsidRPr="0018455C">
              <w:rPr>
                <w:rFonts w:ascii="Arial" w:hAnsi="Arial" w:cs="Arial"/>
              </w:rPr>
              <w:t>Cancer Research UK</w:t>
            </w:r>
          </w:p>
          <w:p w:rsidR="00065165" w:rsidRPr="0018455C" w:rsidRDefault="00065165" w:rsidP="00065165">
            <w:pPr>
              <w:numPr>
                <w:ilvl w:val="0"/>
                <w:numId w:val="24"/>
              </w:numPr>
              <w:rPr>
                <w:rFonts w:ascii="Arial" w:hAnsi="Arial" w:cs="Arial"/>
              </w:rPr>
            </w:pPr>
            <w:r w:rsidRPr="0018455C">
              <w:rPr>
                <w:rFonts w:ascii="Arial" w:hAnsi="Arial" w:cs="Arial"/>
              </w:rPr>
              <w:t>National Forum of Gynaecological Oncology Nurses</w:t>
            </w:r>
          </w:p>
          <w:p w:rsidR="00065165" w:rsidRPr="0018455C" w:rsidRDefault="00065165" w:rsidP="00065165">
            <w:pPr>
              <w:numPr>
                <w:ilvl w:val="0"/>
                <w:numId w:val="24"/>
              </w:numPr>
              <w:rPr>
                <w:rFonts w:ascii="Arial" w:hAnsi="Arial" w:cs="Arial"/>
              </w:rPr>
            </w:pPr>
            <w:r w:rsidRPr="0018455C">
              <w:rPr>
                <w:rFonts w:ascii="Arial" w:hAnsi="Arial" w:cs="Arial"/>
              </w:rPr>
              <w:t>Royal College of Anaesthetists</w:t>
            </w:r>
          </w:p>
          <w:p w:rsidR="00065165" w:rsidRPr="0018455C" w:rsidRDefault="00065165" w:rsidP="00065165">
            <w:pPr>
              <w:numPr>
                <w:ilvl w:val="0"/>
                <w:numId w:val="24"/>
              </w:numPr>
              <w:rPr>
                <w:rFonts w:ascii="Arial" w:hAnsi="Arial" w:cs="Arial"/>
              </w:rPr>
            </w:pPr>
            <w:r w:rsidRPr="0018455C">
              <w:rPr>
                <w:rFonts w:ascii="Arial" w:hAnsi="Arial" w:cs="Arial"/>
              </w:rPr>
              <w:t>Royal College of General Practitioners</w:t>
            </w:r>
          </w:p>
          <w:p w:rsidR="00065165" w:rsidRPr="0018455C" w:rsidRDefault="00065165" w:rsidP="00065165">
            <w:pPr>
              <w:numPr>
                <w:ilvl w:val="0"/>
                <w:numId w:val="24"/>
              </w:numPr>
              <w:rPr>
                <w:rFonts w:ascii="Arial" w:hAnsi="Arial" w:cs="Arial"/>
              </w:rPr>
            </w:pPr>
            <w:r w:rsidRPr="0018455C">
              <w:rPr>
                <w:rFonts w:ascii="Arial" w:hAnsi="Arial" w:cs="Arial"/>
              </w:rPr>
              <w:t>Royal College of Nursing</w:t>
            </w:r>
          </w:p>
          <w:p w:rsidR="00065165" w:rsidRPr="0018455C" w:rsidRDefault="00065165" w:rsidP="00065165">
            <w:pPr>
              <w:numPr>
                <w:ilvl w:val="0"/>
                <w:numId w:val="24"/>
              </w:numPr>
              <w:rPr>
                <w:rFonts w:ascii="Arial" w:hAnsi="Arial" w:cs="Arial"/>
              </w:rPr>
            </w:pPr>
            <w:r w:rsidRPr="0018455C">
              <w:rPr>
                <w:rFonts w:ascii="Arial" w:hAnsi="Arial" w:cs="Arial"/>
              </w:rPr>
              <w:t>Royal College of Obstetricians &amp; Gynaecologists</w:t>
            </w:r>
          </w:p>
          <w:p w:rsidR="00065165" w:rsidRPr="0018455C" w:rsidRDefault="00065165" w:rsidP="00065165">
            <w:pPr>
              <w:numPr>
                <w:ilvl w:val="0"/>
                <w:numId w:val="24"/>
              </w:numPr>
              <w:rPr>
                <w:rFonts w:ascii="Arial" w:hAnsi="Arial" w:cs="Arial"/>
              </w:rPr>
            </w:pPr>
            <w:r w:rsidRPr="0018455C">
              <w:rPr>
                <w:rFonts w:ascii="Arial" w:hAnsi="Arial" w:cs="Arial"/>
              </w:rPr>
              <w:t xml:space="preserve">Royal College of Pathologists </w:t>
            </w:r>
          </w:p>
          <w:p w:rsidR="00065165" w:rsidRPr="0018455C" w:rsidRDefault="00065165" w:rsidP="00065165">
            <w:pPr>
              <w:numPr>
                <w:ilvl w:val="0"/>
                <w:numId w:val="24"/>
              </w:numPr>
              <w:rPr>
                <w:rFonts w:ascii="Arial" w:hAnsi="Arial" w:cs="Arial"/>
              </w:rPr>
            </w:pPr>
            <w:r w:rsidRPr="0018455C">
              <w:rPr>
                <w:rFonts w:ascii="Arial" w:hAnsi="Arial" w:cs="Arial"/>
              </w:rPr>
              <w:t>Royal College of Physicians</w:t>
            </w:r>
          </w:p>
          <w:p w:rsidR="00065165" w:rsidRPr="0018455C" w:rsidRDefault="00065165" w:rsidP="00065165">
            <w:pPr>
              <w:numPr>
                <w:ilvl w:val="0"/>
                <w:numId w:val="24"/>
              </w:numPr>
              <w:rPr>
                <w:rFonts w:ascii="Arial" w:hAnsi="Arial" w:cs="Arial"/>
              </w:rPr>
            </w:pPr>
            <w:r w:rsidRPr="0018455C">
              <w:rPr>
                <w:rFonts w:ascii="Arial" w:hAnsi="Arial" w:cs="Arial"/>
              </w:rPr>
              <w:t>Royal College of Radiologists</w:t>
            </w:r>
          </w:p>
          <w:p w:rsidR="00065165" w:rsidRPr="0018455C" w:rsidRDefault="00065165" w:rsidP="00065165">
            <w:pPr>
              <w:numPr>
                <w:ilvl w:val="0"/>
                <w:numId w:val="24"/>
              </w:numPr>
              <w:rPr>
                <w:rFonts w:ascii="Arial" w:hAnsi="Arial" w:cs="Arial"/>
              </w:rPr>
            </w:pPr>
            <w:r w:rsidRPr="0018455C">
              <w:rPr>
                <w:rFonts w:ascii="Arial" w:hAnsi="Arial" w:cs="Arial"/>
              </w:rPr>
              <w:t>Royal College of Surgeons</w:t>
            </w:r>
          </w:p>
          <w:p w:rsidR="00065165" w:rsidRPr="0018455C" w:rsidRDefault="00065165" w:rsidP="00065165">
            <w:pPr>
              <w:numPr>
                <w:ilvl w:val="0"/>
                <w:numId w:val="24"/>
              </w:numPr>
              <w:rPr>
                <w:rFonts w:ascii="Arial" w:hAnsi="Arial" w:cs="Arial"/>
              </w:rPr>
            </w:pPr>
            <w:r w:rsidRPr="0018455C">
              <w:rPr>
                <w:rFonts w:ascii="Arial" w:hAnsi="Arial" w:cs="Arial"/>
              </w:rPr>
              <w:t>Royal Pharmaceutical Society</w:t>
            </w:r>
          </w:p>
          <w:p w:rsidR="00065165" w:rsidRPr="0018455C" w:rsidRDefault="00065165" w:rsidP="00065165">
            <w:pPr>
              <w:numPr>
                <w:ilvl w:val="0"/>
                <w:numId w:val="24"/>
              </w:numPr>
              <w:rPr>
                <w:rFonts w:ascii="Arial" w:hAnsi="Arial" w:cs="Arial"/>
              </w:rPr>
            </w:pPr>
            <w:r w:rsidRPr="0018455C">
              <w:rPr>
                <w:rFonts w:ascii="Arial" w:hAnsi="Arial" w:cs="Arial"/>
              </w:rPr>
              <w:t xml:space="preserve">Royal Society of Medicine </w:t>
            </w:r>
          </w:p>
          <w:p w:rsidR="00065165" w:rsidRPr="0018455C" w:rsidRDefault="00065165" w:rsidP="00065165">
            <w:pPr>
              <w:numPr>
                <w:ilvl w:val="0"/>
                <w:numId w:val="24"/>
              </w:numPr>
              <w:rPr>
                <w:rFonts w:ascii="Arial" w:hAnsi="Arial" w:cs="Arial"/>
              </w:rPr>
            </w:pPr>
            <w:r w:rsidRPr="0018455C">
              <w:rPr>
                <w:rFonts w:ascii="Arial" w:hAnsi="Arial" w:cs="Arial"/>
              </w:rPr>
              <w:t xml:space="preserve">Society and College of Radiographers </w:t>
            </w:r>
          </w:p>
          <w:p w:rsidR="00065165" w:rsidRPr="0018455C" w:rsidRDefault="007B4696" w:rsidP="00065165">
            <w:pPr>
              <w:numPr>
                <w:ilvl w:val="0"/>
                <w:numId w:val="24"/>
              </w:numPr>
              <w:rPr>
                <w:rFonts w:ascii="Arial" w:hAnsi="Arial" w:cs="Arial"/>
              </w:rPr>
            </w:pPr>
            <w:r w:rsidRPr="0018455C">
              <w:rPr>
                <w:rFonts w:ascii="Arial" w:hAnsi="Arial" w:cs="Arial"/>
              </w:rPr>
              <w:t>UK</w:t>
            </w:r>
            <w:r w:rsidR="00065165" w:rsidRPr="0018455C">
              <w:rPr>
                <w:rFonts w:ascii="Arial" w:hAnsi="Arial" w:cs="Arial"/>
              </w:rPr>
              <w:t xml:space="preserve"> Clinical Pharmacy Association</w:t>
            </w:r>
          </w:p>
          <w:p w:rsidR="007B4696" w:rsidRPr="0018455C" w:rsidRDefault="007B4696" w:rsidP="007B4696">
            <w:pPr>
              <w:numPr>
                <w:ilvl w:val="0"/>
                <w:numId w:val="24"/>
              </w:numPr>
              <w:rPr>
                <w:rFonts w:ascii="Arial" w:hAnsi="Arial" w:cs="Arial"/>
              </w:rPr>
            </w:pPr>
            <w:r w:rsidRPr="0018455C">
              <w:rPr>
                <w:rFonts w:ascii="Arial" w:hAnsi="Arial" w:cs="Arial"/>
              </w:rPr>
              <w:t>UK Health Forum</w:t>
            </w:r>
          </w:p>
          <w:p w:rsidR="00D52783" w:rsidRPr="0018455C" w:rsidRDefault="007B4696" w:rsidP="00065165">
            <w:pPr>
              <w:numPr>
                <w:ilvl w:val="0"/>
                <w:numId w:val="24"/>
              </w:numPr>
              <w:rPr>
                <w:rFonts w:ascii="Arial" w:hAnsi="Arial" w:cs="Arial"/>
              </w:rPr>
            </w:pPr>
            <w:r w:rsidRPr="0018455C">
              <w:rPr>
                <w:rFonts w:ascii="Arial" w:hAnsi="Arial" w:cs="Arial"/>
              </w:rPr>
              <w:t>UK</w:t>
            </w:r>
            <w:r w:rsidR="00065165" w:rsidRPr="0018455C">
              <w:rPr>
                <w:rFonts w:ascii="Arial" w:hAnsi="Arial" w:cs="Arial"/>
              </w:rPr>
              <w:t xml:space="preserve"> Oncology Nursing Society</w:t>
            </w:r>
          </w:p>
          <w:p w:rsidR="00B016B7" w:rsidRPr="003607F6" w:rsidRDefault="00B016B7">
            <w:pPr>
              <w:rPr>
                <w:rFonts w:ascii="Arial" w:hAnsi="Arial" w:cs="Arial"/>
                <w:u w:val="single"/>
              </w:rPr>
            </w:pPr>
          </w:p>
          <w:p w:rsidR="00B016B7" w:rsidRPr="003607F6" w:rsidRDefault="00B016B7">
            <w:pPr>
              <w:rPr>
                <w:rFonts w:ascii="Arial" w:hAnsi="Arial" w:cs="Arial"/>
                <w:u w:val="single"/>
              </w:rPr>
            </w:pPr>
            <w:r w:rsidRPr="003607F6">
              <w:rPr>
                <w:rFonts w:ascii="Arial" w:hAnsi="Arial" w:cs="Arial"/>
                <w:u w:val="single"/>
              </w:rPr>
              <w:t>Others</w:t>
            </w:r>
          </w:p>
          <w:p w:rsidR="00E95530" w:rsidRPr="00DE6EF8" w:rsidRDefault="00E95530" w:rsidP="00065165">
            <w:pPr>
              <w:pStyle w:val="Bulletlist"/>
              <w:numPr>
                <w:ilvl w:val="0"/>
                <w:numId w:val="24"/>
              </w:numPr>
              <w:rPr>
                <w:rFonts w:ascii="Arial" w:hAnsi="Arial" w:cs="Arial"/>
              </w:rPr>
            </w:pPr>
            <w:r w:rsidRPr="00DE6EF8">
              <w:rPr>
                <w:rFonts w:ascii="Arial" w:hAnsi="Arial" w:cs="Arial"/>
              </w:rPr>
              <w:t>Department of Health</w:t>
            </w:r>
          </w:p>
          <w:p w:rsidR="00E95530" w:rsidRDefault="00E95530" w:rsidP="00065165">
            <w:pPr>
              <w:numPr>
                <w:ilvl w:val="0"/>
                <w:numId w:val="24"/>
              </w:numPr>
              <w:rPr>
                <w:rFonts w:ascii="Arial" w:hAnsi="Arial" w:cs="Arial"/>
              </w:rPr>
            </w:pPr>
            <w:r>
              <w:rPr>
                <w:rFonts w:ascii="Arial" w:hAnsi="Arial" w:cs="Arial"/>
              </w:rPr>
              <w:t>NHS England</w:t>
            </w:r>
          </w:p>
          <w:p w:rsidR="0018455C" w:rsidRDefault="0018455C" w:rsidP="0018455C">
            <w:pPr>
              <w:numPr>
                <w:ilvl w:val="0"/>
                <w:numId w:val="24"/>
              </w:numPr>
              <w:rPr>
                <w:rFonts w:ascii="Arial" w:hAnsi="Arial" w:cs="Arial"/>
              </w:rPr>
            </w:pPr>
            <w:r w:rsidRPr="0018455C">
              <w:rPr>
                <w:rFonts w:ascii="Arial" w:hAnsi="Arial" w:cs="Arial"/>
              </w:rPr>
              <w:t>NHS Rotherham CCG</w:t>
            </w:r>
          </w:p>
          <w:p w:rsidR="0018455C" w:rsidRDefault="0018455C" w:rsidP="0018455C">
            <w:pPr>
              <w:numPr>
                <w:ilvl w:val="0"/>
                <w:numId w:val="24"/>
              </w:numPr>
              <w:rPr>
                <w:rFonts w:ascii="Arial" w:hAnsi="Arial" w:cs="Arial"/>
              </w:rPr>
            </w:pPr>
            <w:r w:rsidRPr="0018455C">
              <w:rPr>
                <w:rFonts w:ascii="Arial" w:hAnsi="Arial" w:cs="Arial"/>
              </w:rPr>
              <w:t>NHS Surrey Downs CCG</w:t>
            </w:r>
          </w:p>
          <w:p w:rsidR="00B016B7" w:rsidRPr="003607F6" w:rsidRDefault="00E95530" w:rsidP="00065165">
            <w:pPr>
              <w:numPr>
                <w:ilvl w:val="0"/>
                <w:numId w:val="24"/>
              </w:numPr>
              <w:rPr>
                <w:rFonts w:ascii="Arial" w:hAnsi="Arial" w:cs="Arial"/>
              </w:rPr>
            </w:pPr>
            <w:r w:rsidRPr="007B6870">
              <w:rPr>
                <w:rFonts w:ascii="Arial" w:hAnsi="Arial" w:cs="Arial"/>
              </w:rPr>
              <w:t>Welsh Government</w:t>
            </w:r>
          </w:p>
        </w:tc>
        <w:tc>
          <w:tcPr>
            <w:tcW w:w="4860" w:type="dxa"/>
          </w:tcPr>
          <w:p w:rsidR="00B016B7" w:rsidRPr="003607F6" w:rsidRDefault="00B016B7">
            <w:pPr>
              <w:rPr>
                <w:rFonts w:ascii="Arial" w:hAnsi="Arial" w:cs="Arial"/>
                <w:u w:val="single"/>
                <w:lang w:val="en-US"/>
              </w:rPr>
            </w:pPr>
            <w:r w:rsidRPr="003607F6">
              <w:rPr>
                <w:rFonts w:ascii="Arial" w:hAnsi="Arial" w:cs="Arial"/>
                <w:u w:val="single"/>
                <w:lang w:val="en-US"/>
              </w:rPr>
              <w:lastRenderedPageBreak/>
              <w:t>General</w:t>
            </w:r>
            <w:r w:rsidR="0061652B" w:rsidRPr="003607F6">
              <w:rPr>
                <w:rFonts w:ascii="Arial" w:hAnsi="Arial" w:cs="Arial"/>
                <w:u w:val="single"/>
                <w:lang w:val="en-US"/>
              </w:rPr>
              <w:t xml:space="preserve"> commentators</w:t>
            </w:r>
          </w:p>
          <w:p w:rsidR="00E95530" w:rsidRPr="009962F6" w:rsidRDefault="00E95530" w:rsidP="00E95530">
            <w:pPr>
              <w:numPr>
                <w:ilvl w:val="0"/>
                <w:numId w:val="20"/>
              </w:numPr>
              <w:tabs>
                <w:tab w:val="left" w:pos="432"/>
              </w:tabs>
              <w:rPr>
                <w:rFonts w:ascii="Arial" w:hAnsi="Arial" w:cs="Arial"/>
              </w:rPr>
            </w:pPr>
            <w:r w:rsidRPr="009962F6">
              <w:rPr>
                <w:rFonts w:ascii="Arial" w:hAnsi="Arial" w:cs="Arial"/>
              </w:rPr>
              <w:t>Allied Health Professionals Federation</w:t>
            </w:r>
          </w:p>
          <w:p w:rsidR="00E95530" w:rsidRPr="009962F6" w:rsidRDefault="00E95530" w:rsidP="00E95530">
            <w:pPr>
              <w:numPr>
                <w:ilvl w:val="0"/>
                <w:numId w:val="20"/>
              </w:numPr>
              <w:tabs>
                <w:tab w:val="left" w:pos="432"/>
              </w:tabs>
              <w:rPr>
                <w:rFonts w:ascii="Arial" w:hAnsi="Arial" w:cs="Arial"/>
              </w:rPr>
            </w:pPr>
            <w:r w:rsidRPr="009962F6">
              <w:rPr>
                <w:rFonts w:ascii="Arial" w:hAnsi="Arial" w:cs="Arial"/>
              </w:rPr>
              <w:t>Board of Community Health Councils in Wales</w:t>
            </w:r>
          </w:p>
          <w:p w:rsidR="00E95530" w:rsidRPr="009962F6" w:rsidRDefault="00E95530" w:rsidP="00E95530">
            <w:pPr>
              <w:numPr>
                <w:ilvl w:val="0"/>
                <w:numId w:val="20"/>
              </w:numPr>
              <w:tabs>
                <w:tab w:val="left" w:pos="432"/>
              </w:tabs>
              <w:rPr>
                <w:rFonts w:ascii="Arial" w:hAnsi="Arial" w:cs="Arial"/>
              </w:rPr>
            </w:pPr>
            <w:r w:rsidRPr="009962F6">
              <w:rPr>
                <w:rFonts w:ascii="Arial" w:hAnsi="Arial" w:cs="Arial"/>
              </w:rPr>
              <w:t>British National Formulary</w:t>
            </w:r>
          </w:p>
          <w:p w:rsidR="00E95530" w:rsidRPr="009962F6" w:rsidRDefault="00E95530" w:rsidP="00E95530">
            <w:pPr>
              <w:numPr>
                <w:ilvl w:val="0"/>
                <w:numId w:val="20"/>
              </w:numPr>
              <w:tabs>
                <w:tab w:val="left" w:pos="432"/>
              </w:tabs>
              <w:rPr>
                <w:rFonts w:ascii="Arial" w:hAnsi="Arial" w:cs="Arial"/>
              </w:rPr>
            </w:pPr>
            <w:r w:rsidRPr="009962F6">
              <w:rPr>
                <w:rFonts w:ascii="Arial" w:hAnsi="Arial" w:cs="Arial"/>
              </w:rPr>
              <w:t>Care Quality Commission</w:t>
            </w:r>
          </w:p>
          <w:p w:rsidR="00E95530" w:rsidRPr="009962F6" w:rsidRDefault="00E95530" w:rsidP="00E95530">
            <w:pPr>
              <w:numPr>
                <w:ilvl w:val="0"/>
                <w:numId w:val="20"/>
              </w:numPr>
              <w:tabs>
                <w:tab w:val="left" w:pos="432"/>
              </w:tabs>
              <w:rPr>
                <w:rFonts w:ascii="Arial" w:hAnsi="Arial" w:cs="Arial"/>
              </w:rPr>
            </w:pPr>
            <w:r w:rsidRPr="009962F6">
              <w:rPr>
                <w:rFonts w:ascii="Arial" w:hAnsi="Arial" w:cs="Arial"/>
              </w:rPr>
              <w:t>Department of Health, Social Services and Public Safety for Northern Ireland</w:t>
            </w:r>
          </w:p>
          <w:p w:rsidR="00E95530" w:rsidRPr="009962F6" w:rsidRDefault="00E95530" w:rsidP="00E95530">
            <w:pPr>
              <w:numPr>
                <w:ilvl w:val="0"/>
                <w:numId w:val="20"/>
              </w:numPr>
              <w:tabs>
                <w:tab w:val="left" w:pos="432"/>
              </w:tabs>
              <w:rPr>
                <w:rFonts w:ascii="Arial" w:hAnsi="Arial" w:cs="Arial"/>
              </w:rPr>
            </w:pPr>
            <w:r w:rsidRPr="009962F6">
              <w:rPr>
                <w:rFonts w:ascii="Arial" w:hAnsi="Arial" w:cs="Arial"/>
              </w:rPr>
              <w:t xml:space="preserve">Healthcare Improvement Scotland </w:t>
            </w:r>
          </w:p>
          <w:p w:rsidR="00E95530" w:rsidRPr="009962F6" w:rsidRDefault="00E95530" w:rsidP="00E95530">
            <w:pPr>
              <w:numPr>
                <w:ilvl w:val="0"/>
                <w:numId w:val="20"/>
              </w:numPr>
              <w:tabs>
                <w:tab w:val="left" w:pos="432"/>
              </w:tabs>
              <w:rPr>
                <w:rFonts w:ascii="Arial" w:hAnsi="Arial" w:cs="Arial"/>
              </w:rPr>
            </w:pPr>
            <w:r w:rsidRPr="009962F6">
              <w:rPr>
                <w:rFonts w:ascii="Arial" w:hAnsi="Arial" w:cs="Arial"/>
              </w:rPr>
              <w:t xml:space="preserve">Medicines and Healthcare Products Regulatory Agency </w:t>
            </w:r>
          </w:p>
          <w:p w:rsidR="00E95530" w:rsidRPr="009962F6" w:rsidRDefault="00E95530" w:rsidP="00E95530">
            <w:pPr>
              <w:numPr>
                <w:ilvl w:val="0"/>
                <w:numId w:val="20"/>
              </w:numPr>
              <w:tabs>
                <w:tab w:val="left" w:pos="432"/>
              </w:tabs>
              <w:rPr>
                <w:rFonts w:ascii="Arial" w:hAnsi="Arial" w:cs="Arial"/>
              </w:rPr>
            </w:pPr>
            <w:r w:rsidRPr="009962F6">
              <w:rPr>
                <w:rFonts w:ascii="Arial" w:hAnsi="Arial" w:cs="Arial"/>
              </w:rPr>
              <w:t>National Association of Primary Care</w:t>
            </w:r>
          </w:p>
          <w:p w:rsidR="00E95530" w:rsidRPr="009962F6" w:rsidRDefault="00E95530" w:rsidP="00E95530">
            <w:pPr>
              <w:numPr>
                <w:ilvl w:val="0"/>
                <w:numId w:val="20"/>
              </w:numPr>
              <w:tabs>
                <w:tab w:val="left" w:pos="432"/>
              </w:tabs>
              <w:rPr>
                <w:rFonts w:ascii="Arial" w:hAnsi="Arial" w:cs="Arial"/>
              </w:rPr>
            </w:pPr>
            <w:r w:rsidRPr="009962F6">
              <w:rPr>
                <w:rFonts w:ascii="Arial" w:hAnsi="Arial" w:cs="Arial"/>
              </w:rPr>
              <w:t>National Pharmacy Association</w:t>
            </w:r>
          </w:p>
          <w:p w:rsidR="00E95530" w:rsidRPr="009962F6" w:rsidRDefault="00E95530" w:rsidP="00E95530">
            <w:pPr>
              <w:numPr>
                <w:ilvl w:val="0"/>
                <w:numId w:val="20"/>
              </w:numPr>
              <w:tabs>
                <w:tab w:val="left" w:pos="432"/>
              </w:tabs>
              <w:rPr>
                <w:rFonts w:ascii="Arial" w:hAnsi="Arial" w:cs="Arial"/>
              </w:rPr>
            </w:pPr>
            <w:r w:rsidRPr="009962F6">
              <w:rPr>
                <w:rFonts w:ascii="Arial" w:hAnsi="Arial" w:cs="Arial"/>
              </w:rPr>
              <w:t>NHS Alliance</w:t>
            </w:r>
          </w:p>
          <w:p w:rsidR="00E95530" w:rsidRPr="009962F6" w:rsidRDefault="00E95530" w:rsidP="00E95530">
            <w:pPr>
              <w:numPr>
                <w:ilvl w:val="0"/>
                <w:numId w:val="20"/>
              </w:numPr>
              <w:tabs>
                <w:tab w:val="left" w:pos="432"/>
              </w:tabs>
              <w:rPr>
                <w:rFonts w:ascii="Arial" w:hAnsi="Arial" w:cs="Arial"/>
              </w:rPr>
            </w:pPr>
            <w:r w:rsidRPr="009962F6">
              <w:rPr>
                <w:rFonts w:ascii="Arial" w:hAnsi="Arial" w:cs="Arial"/>
              </w:rPr>
              <w:t xml:space="preserve">NHS Commercial Medicines Unit </w:t>
            </w:r>
          </w:p>
          <w:p w:rsidR="00E95530" w:rsidRDefault="00E95530" w:rsidP="00E95530">
            <w:pPr>
              <w:numPr>
                <w:ilvl w:val="0"/>
                <w:numId w:val="20"/>
              </w:numPr>
              <w:tabs>
                <w:tab w:val="left" w:pos="432"/>
              </w:tabs>
              <w:rPr>
                <w:rFonts w:ascii="Arial" w:hAnsi="Arial" w:cs="Arial"/>
              </w:rPr>
            </w:pPr>
            <w:r w:rsidRPr="009962F6">
              <w:rPr>
                <w:rFonts w:ascii="Arial" w:hAnsi="Arial" w:cs="Arial"/>
              </w:rPr>
              <w:t>NHS Confederation</w:t>
            </w:r>
          </w:p>
          <w:p w:rsidR="0037528C" w:rsidRPr="00E95530" w:rsidRDefault="00E95530" w:rsidP="00E95530">
            <w:pPr>
              <w:numPr>
                <w:ilvl w:val="0"/>
                <w:numId w:val="20"/>
              </w:numPr>
              <w:tabs>
                <w:tab w:val="left" w:pos="432"/>
              </w:tabs>
              <w:rPr>
                <w:rFonts w:ascii="Arial" w:hAnsi="Arial" w:cs="Arial"/>
              </w:rPr>
            </w:pPr>
            <w:r w:rsidRPr="007B6870">
              <w:rPr>
                <w:rFonts w:ascii="Arial" w:hAnsi="Arial" w:cs="Arial"/>
              </w:rPr>
              <w:t>Scottish Medicines Consortium</w:t>
            </w:r>
          </w:p>
          <w:p w:rsidR="00B53794" w:rsidRPr="003607F6" w:rsidRDefault="00B53794" w:rsidP="00B53794">
            <w:pPr>
              <w:tabs>
                <w:tab w:val="left" w:pos="432"/>
              </w:tabs>
              <w:ind w:left="360"/>
              <w:rPr>
                <w:rFonts w:ascii="Arial" w:hAnsi="Arial" w:cs="Arial"/>
              </w:rPr>
            </w:pPr>
          </w:p>
          <w:p w:rsidR="00B016B7" w:rsidRPr="003607F6" w:rsidRDefault="003607F6">
            <w:pPr>
              <w:rPr>
                <w:rFonts w:ascii="Arial" w:hAnsi="Arial" w:cs="Arial"/>
                <w:u w:val="single"/>
              </w:rPr>
            </w:pPr>
            <w:r>
              <w:rPr>
                <w:rFonts w:ascii="Arial" w:hAnsi="Arial" w:cs="Arial"/>
                <w:u w:val="single"/>
              </w:rPr>
              <w:t>Comparators</w:t>
            </w:r>
          </w:p>
          <w:p w:rsidR="003A7F63" w:rsidRPr="003A7F63" w:rsidRDefault="003A7F63" w:rsidP="003A7F63">
            <w:pPr>
              <w:numPr>
                <w:ilvl w:val="0"/>
                <w:numId w:val="20"/>
              </w:numPr>
              <w:rPr>
                <w:rFonts w:ascii="Arial" w:hAnsi="Arial" w:cs="Arial"/>
              </w:rPr>
            </w:pPr>
            <w:r w:rsidRPr="003A7F63">
              <w:rPr>
                <w:rFonts w:ascii="Arial" w:hAnsi="Arial" w:cs="Arial"/>
              </w:rPr>
              <w:t>Accord Healthcare (carboplatin, cisplatin, gemcitabine, pegylated liposomal doxorubicin hydrochloride, topotecan)</w:t>
            </w:r>
          </w:p>
          <w:p w:rsidR="003A7F63" w:rsidRPr="003A7F63" w:rsidRDefault="003A7F63" w:rsidP="003A7F63">
            <w:pPr>
              <w:numPr>
                <w:ilvl w:val="0"/>
                <w:numId w:val="20"/>
              </w:numPr>
              <w:rPr>
                <w:rFonts w:ascii="Arial" w:hAnsi="Arial" w:cs="Arial"/>
              </w:rPr>
            </w:pPr>
            <w:r w:rsidRPr="003A7F63">
              <w:rPr>
                <w:rFonts w:ascii="Arial" w:hAnsi="Arial" w:cs="Arial"/>
              </w:rPr>
              <w:t>Allergan (gemcitabine, topotecan)</w:t>
            </w:r>
          </w:p>
          <w:p w:rsidR="003A7F63" w:rsidRPr="003A7F63" w:rsidRDefault="003A7F63" w:rsidP="003A7F63">
            <w:pPr>
              <w:numPr>
                <w:ilvl w:val="0"/>
                <w:numId w:val="20"/>
              </w:numPr>
              <w:rPr>
                <w:rFonts w:ascii="Arial" w:hAnsi="Arial" w:cs="Arial"/>
              </w:rPr>
            </w:pPr>
            <w:r w:rsidRPr="003A7F63">
              <w:rPr>
                <w:rFonts w:ascii="Arial" w:hAnsi="Arial" w:cs="Arial"/>
              </w:rPr>
              <w:t>AstraZeneca (olaparib)</w:t>
            </w:r>
          </w:p>
          <w:p w:rsidR="003A7F63" w:rsidRPr="003A7F63" w:rsidRDefault="003A7F63" w:rsidP="003A7F63">
            <w:pPr>
              <w:numPr>
                <w:ilvl w:val="0"/>
                <w:numId w:val="20"/>
              </w:numPr>
              <w:rPr>
                <w:rFonts w:ascii="Arial" w:hAnsi="Arial" w:cs="Arial"/>
              </w:rPr>
            </w:pPr>
            <w:r w:rsidRPr="003A7F63">
              <w:rPr>
                <w:rFonts w:ascii="Arial" w:hAnsi="Arial" w:cs="Arial"/>
              </w:rPr>
              <w:t xml:space="preserve">Celgene (paclitaxel) </w:t>
            </w:r>
          </w:p>
          <w:p w:rsidR="003A7F63" w:rsidRPr="003A7F63" w:rsidRDefault="003A7F63" w:rsidP="003A7F63">
            <w:pPr>
              <w:numPr>
                <w:ilvl w:val="0"/>
                <w:numId w:val="20"/>
              </w:numPr>
              <w:rPr>
                <w:rFonts w:ascii="Arial" w:hAnsi="Arial" w:cs="Arial"/>
              </w:rPr>
            </w:pPr>
            <w:r w:rsidRPr="003A7F63">
              <w:rPr>
                <w:rFonts w:ascii="Arial" w:hAnsi="Arial" w:cs="Arial"/>
              </w:rPr>
              <w:t>Eli Lilly (gemcitabine)</w:t>
            </w:r>
          </w:p>
          <w:p w:rsidR="003A7F63" w:rsidRPr="003A7F63" w:rsidRDefault="003A7F63" w:rsidP="003A7F63">
            <w:pPr>
              <w:numPr>
                <w:ilvl w:val="0"/>
                <w:numId w:val="20"/>
              </w:numPr>
              <w:rPr>
                <w:rFonts w:ascii="Arial" w:hAnsi="Arial" w:cs="Arial"/>
              </w:rPr>
            </w:pPr>
            <w:r w:rsidRPr="003A7F63">
              <w:rPr>
                <w:rFonts w:ascii="Arial" w:hAnsi="Arial" w:cs="Arial"/>
              </w:rPr>
              <w:t>Hospira UK (carboplatin, cisplatin, gemcitabine, topotecan)</w:t>
            </w:r>
          </w:p>
          <w:p w:rsidR="003A7F63" w:rsidRPr="003A7F63" w:rsidRDefault="003A7F63" w:rsidP="003A7F63">
            <w:pPr>
              <w:numPr>
                <w:ilvl w:val="0"/>
                <w:numId w:val="20"/>
              </w:numPr>
              <w:rPr>
                <w:rFonts w:ascii="Arial" w:hAnsi="Arial" w:cs="Arial"/>
              </w:rPr>
            </w:pPr>
            <w:r w:rsidRPr="003A7F63">
              <w:rPr>
                <w:rFonts w:ascii="Arial" w:hAnsi="Arial" w:cs="Arial"/>
              </w:rPr>
              <w:t>Janssen-Cilag (pegylated liposomal doxorubicin hydrochloride)</w:t>
            </w:r>
          </w:p>
          <w:p w:rsidR="003A7F63" w:rsidRPr="003A7F63" w:rsidRDefault="003A7F63" w:rsidP="003A7F63">
            <w:pPr>
              <w:numPr>
                <w:ilvl w:val="0"/>
                <w:numId w:val="20"/>
              </w:numPr>
              <w:rPr>
                <w:rFonts w:ascii="Arial" w:hAnsi="Arial" w:cs="Arial"/>
              </w:rPr>
            </w:pPr>
            <w:r w:rsidRPr="003A7F63">
              <w:rPr>
                <w:rFonts w:ascii="Arial" w:hAnsi="Arial" w:cs="Arial"/>
              </w:rPr>
              <w:t xml:space="preserve">Medac (gemcitabine, pegylated liposomal doxorubicin hydrochloride, </w:t>
            </w:r>
            <w:r w:rsidRPr="003A7F63">
              <w:rPr>
                <w:rFonts w:ascii="Arial" w:hAnsi="Arial" w:cs="Arial"/>
              </w:rPr>
              <w:lastRenderedPageBreak/>
              <w:t>topotecan)</w:t>
            </w:r>
          </w:p>
          <w:p w:rsidR="003A7F63" w:rsidRPr="003A7F63" w:rsidRDefault="003A7F63" w:rsidP="003A7F63">
            <w:pPr>
              <w:numPr>
                <w:ilvl w:val="0"/>
                <w:numId w:val="20"/>
              </w:numPr>
              <w:rPr>
                <w:rFonts w:ascii="Arial" w:hAnsi="Arial" w:cs="Arial"/>
              </w:rPr>
            </w:pPr>
            <w:r w:rsidRPr="003A7F63">
              <w:rPr>
                <w:rFonts w:ascii="Arial" w:hAnsi="Arial" w:cs="Arial"/>
              </w:rPr>
              <w:t>Novartis (topotecan)</w:t>
            </w:r>
          </w:p>
          <w:p w:rsidR="003A7F63" w:rsidRPr="003A7F63" w:rsidRDefault="003A7F63" w:rsidP="003A7F63">
            <w:pPr>
              <w:numPr>
                <w:ilvl w:val="0"/>
                <w:numId w:val="20"/>
              </w:numPr>
              <w:rPr>
                <w:rFonts w:ascii="Arial" w:hAnsi="Arial" w:cs="Arial"/>
              </w:rPr>
            </w:pPr>
            <w:r w:rsidRPr="003A7F63">
              <w:rPr>
                <w:rFonts w:ascii="Arial" w:hAnsi="Arial" w:cs="Arial"/>
              </w:rPr>
              <w:t>Pfizer (pegylated liposomal doxorubicin hydrochloride)</w:t>
            </w:r>
          </w:p>
          <w:p w:rsidR="003A7F63" w:rsidRPr="003A7F63" w:rsidRDefault="003A7F63" w:rsidP="003A7F63">
            <w:pPr>
              <w:numPr>
                <w:ilvl w:val="0"/>
                <w:numId w:val="20"/>
              </w:numPr>
              <w:rPr>
                <w:rFonts w:ascii="Arial" w:hAnsi="Arial" w:cs="Arial"/>
              </w:rPr>
            </w:pPr>
            <w:r w:rsidRPr="003A7F63">
              <w:rPr>
                <w:rFonts w:ascii="Arial" w:hAnsi="Arial" w:cs="Arial"/>
              </w:rPr>
              <w:t>Sandoz (cisplatin)</w:t>
            </w:r>
          </w:p>
          <w:p w:rsidR="003A7F63" w:rsidRPr="003A7F63" w:rsidRDefault="003A7F63" w:rsidP="003A7F63">
            <w:pPr>
              <w:numPr>
                <w:ilvl w:val="0"/>
                <w:numId w:val="20"/>
              </w:numPr>
              <w:rPr>
                <w:rFonts w:ascii="Arial" w:hAnsi="Arial" w:cs="Arial"/>
              </w:rPr>
            </w:pPr>
            <w:r w:rsidRPr="003A7F63">
              <w:rPr>
                <w:rFonts w:ascii="Arial" w:hAnsi="Arial" w:cs="Arial"/>
              </w:rPr>
              <w:t>Sun pharmaceuticals (carboplatin, gemcitabine)</w:t>
            </w:r>
          </w:p>
          <w:p w:rsidR="00B016B7" w:rsidRDefault="003A7F63" w:rsidP="003751F7">
            <w:pPr>
              <w:numPr>
                <w:ilvl w:val="0"/>
                <w:numId w:val="20"/>
              </w:numPr>
              <w:rPr>
                <w:rFonts w:ascii="Arial" w:hAnsi="Arial" w:cs="Arial"/>
                <w:b/>
                <w:bCs/>
              </w:rPr>
            </w:pPr>
            <w:r w:rsidRPr="003A7F63">
              <w:rPr>
                <w:rFonts w:ascii="Arial" w:hAnsi="Arial" w:cs="Arial"/>
              </w:rPr>
              <w:t>Teva (pegylated liposomal doxorubicin hydrochloride)</w:t>
            </w:r>
          </w:p>
          <w:p w:rsidR="003751F7" w:rsidRPr="003751F7" w:rsidRDefault="003751F7" w:rsidP="003751F7">
            <w:pPr>
              <w:ind w:left="360"/>
              <w:rPr>
                <w:rFonts w:ascii="Arial" w:hAnsi="Arial" w:cs="Arial"/>
                <w:b/>
                <w:bCs/>
              </w:rPr>
            </w:pPr>
          </w:p>
          <w:p w:rsidR="00B016B7" w:rsidRPr="003607F6" w:rsidRDefault="00B016B7">
            <w:pPr>
              <w:rPr>
                <w:rFonts w:ascii="Arial" w:hAnsi="Arial" w:cs="Arial"/>
                <w:u w:val="single"/>
              </w:rPr>
            </w:pPr>
            <w:r w:rsidRPr="003607F6">
              <w:rPr>
                <w:rFonts w:ascii="Arial" w:hAnsi="Arial" w:cs="Arial"/>
                <w:u w:val="single"/>
              </w:rPr>
              <w:t>Relevant research groups</w:t>
            </w:r>
          </w:p>
          <w:p w:rsidR="007B4696" w:rsidRPr="007B4696" w:rsidRDefault="007B4696" w:rsidP="007B4696">
            <w:pPr>
              <w:numPr>
                <w:ilvl w:val="0"/>
                <w:numId w:val="2"/>
              </w:numPr>
              <w:tabs>
                <w:tab w:val="num" w:pos="720"/>
              </w:tabs>
              <w:rPr>
                <w:rFonts w:ascii="Arial" w:hAnsi="Arial" w:cs="Arial"/>
                <w:lang w:val="en-US"/>
              </w:rPr>
            </w:pPr>
            <w:r w:rsidRPr="007B4696">
              <w:rPr>
                <w:rFonts w:ascii="Arial" w:hAnsi="Arial" w:cs="Arial"/>
                <w:lang w:val="en-US"/>
              </w:rPr>
              <w:t>Cochrane Gynaecological Cancer Group</w:t>
            </w:r>
          </w:p>
          <w:p w:rsidR="00065165" w:rsidRPr="007B4696" w:rsidRDefault="00065165" w:rsidP="00065165">
            <w:pPr>
              <w:numPr>
                <w:ilvl w:val="0"/>
                <w:numId w:val="2"/>
              </w:numPr>
              <w:tabs>
                <w:tab w:val="num" w:pos="720"/>
              </w:tabs>
              <w:rPr>
                <w:rFonts w:ascii="Arial" w:hAnsi="Arial" w:cs="Arial"/>
                <w:lang w:val="en-US"/>
              </w:rPr>
            </w:pPr>
            <w:r w:rsidRPr="00065165">
              <w:rPr>
                <w:rFonts w:ascii="Arial" w:hAnsi="Arial" w:cs="Arial"/>
              </w:rPr>
              <w:t>Institute of Cancer Research</w:t>
            </w:r>
          </w:p>
          <w:p w:rsidR="00567C1B" w:rsidRPr="007B4696" w:rsidRDefault="00567C1B" w:rsidP="00567C1B">
            <w:pPr>
              <w:numPr>
                <w:ilvl w:val="0"/>
                <w:numId w:val="2"/>
              </w:numPr>
              <w:tabs>
                <w:tab w:val="num" w:pos="720"/>
              </w:tabs>
              <w:rPr>
                <w:rFonts w:ascii="Arial" w:hAnsi="Arial" w:cs="Arial"/>
                <w:lang w:val="en-US"/>
              </w:rPr>
            </w:pPr>
            <w:r w:rsidRPr="007B4696">
              <w:rPr>
                <w:rFonts w:ascii="Arial" w:hAnsi="Arial" w:cs="Arial"/>
                <w:lang w:val="en-US"/>
              </w:rPr>
              <w:t>MRC Clinical Trials Unit</w:t>
            </w:r>
          </w:p>
          <w:p w:rsidR="00567C1B" w:rsidRPr="00065165" w:rsidRDefault="00567C1B" w:rsidP="00567C1B">
            <w:pPr>
              <w:numPr>
                <w:ilvl w:val="0"/>
                <w:numId w:val="2"/>
              </w:numPr>
              <w:tabs>
                <w:tab w:val="num" w:pos="720"/>
              </w:tabs>
              <w:rPr>
                <w:rFonts w:ascii="Arial" w:hAnsi="Arial" w:cs="Arial"/>
                <w:lang w:val="en-US"/>
              </w:rPr>
            </w:pPr>
            <w:r w:rsidRPr="00065165">
              <w:rPr>
                <w:rFonts w:ascii="Arial" w:hAnsi="Arial" w:cs="Arial"/>
              </w:rPr>
              <w:t>National Cancer Research Institute</w:t>
            </w:r>
          </w:p>
          <w:p w:rsidR="00567C1B" w:rsidRPr="00065165" w:rsidRDefault="00567C1B" w:rsidP="00567C1B">
            <w:pPr>
              <w:numPr>
                <w:ilvl w:val="0"/>
                <w:numId w:val="2"/>
              </w:numPr>
              <w:tabs>
                <w:tab w:val="num" w:pos="720"/>
              </w:tabs>
              <w:rPr>
                <w:rFonts w:ascii="Arial" w:hAnsi="Arial" w:cs="Arial"/>
                <w:lang w:val="en-US"/>
              </w:rPr>
            </w:pPr>
            <w:r w:rsidRPr="00065165">
              <w:rPr>
                <w:rFonts w:ascii="Arial" w:hAnsi="Arial" w:cs="Arial"/>
              </w:rPr>
              <w:t>National Cancer Research Network</w:t>
            </w:r>
          </w:p>
          <w:p w:rsidR="00567C1B" w:rsidRPr="00567C1B" w:rsidRDefault="00567C1B" w:rsidP="00567C1B">
            <w:pPr>
              <w:numPr>
                <w:ilvl w:val="0"/>
                <w:numId w:val="2"/>
              </w:numPr>
              <w:tabs>
                <w:tab w:val="num" w:pos="720"/>
              </w:tabs>
              <w:rPr>
                <w:rFonts w:ascii="Arial" w:hAnsi="Arial" w:cs="Arial"/>
                <w:lang w:val="en-US"/>
              </w:rPr>
            </w:pPr>
            <w:r w:rsidRPr="00065165">
              <w:rPr>
                <w:rFonts w:ascii="Arial" w:hAnsi="Arial" w:cs="Arial"/>
              </w:rPr>
              <w:t>National Institute for Health Research</w:t>
            </w:r>
          </w:p>
          <w:p w:rsidR="007B4696" w:rsidRPr="00065165" w:rsidRDefault="007B4696" w:rsidP="007B4696">
            <w:pPr>
              <w:numPr>
                <w:ilvl w:val="0"/>
                <w:numId w:val="2"/>
              </w:numPr>
              <w:tabs>
                <w:tab w:val="num" w:pos="720"/>
              </w:tabs>
              <w:rPr>
                <w:rFonts w:ascii="Arial" w:hAnsi="Arial" w:cs="Arial"/>
                <w:lang w:val="en-US"/>
              </w:rPr>
            </w:pPr>
            <w:r w:rsidRPr="007B4696">
              <w:rPr>
                <w:rFonts w:ascii="Arial" w:hAnsi="Arial" w:cs="Arial"/>
                <w:lang w:val="en-US"/>
              </w:rPr>
              <w:t>Ovarian &amp; Prostate Cancer Research Trust</w:t>
            </w:r>
          </w:p>
          <w:p w:rsidR="002841CF" w:rsidRPr="003607F6" w:rsidRDefault="002841CF" w:rsidP="003F27E6">
            <w:pPr>
              <w:rPr>
                <w:rFonts w:ascii="Arial" w:hAnsi="Arial" w:cs="Arial"/>
              </w:rPr>
            </w:pPr>
          </w:p>
          <w:p w:rsidR="002841CF" w:rsidRPr="003607F6" w:rsidRDefault="002841CF" w:rsidP="00C62AEC">
            <w:pPr>
              <w:rPr>
                <w:rFonts w:ascii="Arial" w:hAnsi="Arial" w:cs="Arial"/>
                <w:u w:val="single"/>
              </w:rPr>
            </w:pPr>
            <w:r w:rsidRPr="003607F6">
              <w:rPr>
                <w:rFonts w:ascii="Arial" w:hAnsi="Arial" w:cs="Arial"/>
                <w:u w:val="single"/>
              </w:rPr>
              <w:t>Associated Public Health Groups</w:t>
            </w:r>
          </w:p>
          <w:p w:rsidR="00E95530" w:rsidRPr="009962F6" w:rsidRDefault="00E95530" w:rsidP="00E95530">
            <w:pPr>
              <w:numPr>
                <w:ilvl w:val="0"/>
                <w:numId w:val="20"/>
              </w:numPr>
              <w:rPr>
                <w:rFonts w:ascii="Arial" w:hAnsi="Arial" w:cs="Arial"/>
              </w:rPr>
            </w:pPr>
            <w:r w:rsidRPr="009962F6">
              <w:rPr>
                <w:rFonts w:ascii="Arial" w:hAnsi="Arial" w:cs="Arial"/>
              </w:rPr>
              <w:t>Public Health England</w:t>
            </w:r>
          </w:p>
          <w:p w:rsidR="00B016B7" w:rsidRPr="00E95530" w:rsidRDefault="00E95530" w:rsidP="00E95530">
            <w:pPr>
              <w:numPr>
                <w:ilvl w:val="0"/>
                <w:numId w:val="20"/>
              </w:numPr>
              <w:rPr>
                <w:rFonts w:ascii="Arial" w:hAnsi="Arial" w:cs="Arial"/>
              </w:rPr>
            </w:pPr>
            <w:r w:rsidRPr="009962F6">
              <w:rPr>
                <w:rFonts w:ascii="Arial" w:hAnsi="Arial" w:cs="Arial"/>
              </w:rPr>
              <w:t>Public Health Wales</w:t>
            </w:r>
          </w:p>
        </w:tc>
      </w:tr>
    </w:tbl>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B016B7" w:rsidRDefault="00C95DE6">
      <w:pPr>
        <w:jc w:val="cente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57728" behindDoc="0" locked="0" layoutInCell="1" allowOverlap="1" wp14:anchorId="433E94A3" wp14:editId="52D90AE7">
                <wp:simplePos x="0" y="0"/>
                <wp:positionH relativeFrom="column">
                  <wp:posOffset>-182245</wp:posOffset>
                </wp:positionH>
                <wp:positionV relativeFrom="paragraph">
                  <wp:posOffset>64135</wp:posOffset>
                </wp:positionV>
                <wp:extent cx="6047105" cy="1017905"/>
                <wp:effectExtent l="8255" t="8890" r="1206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1017905"/>
                        </a:xfrm>
                        <a:prstGeom prst="rect">
                          <a:avLst/>
                        </a:prstGeom>
                        <a:solidFill>
                          <a:srgbClr val="FFFFFF"/>
                        </a:solidFill>
                        <a:ln w="9525">
                          <a:solidFill>
                            <a:srgbClr val="000000"/>
                          </a:solidFill>
                          <a:miter lim="800000"/>
                          <a:headEnd/>
                          <a:tailEnd/>
                        </a:ln>
                      </wps:spPr>
                      <wps:txbx>
                        <w:txbxContent>
                          <w:p w:rsidR="00432E44" w:rsidRPr="00C972CA" w:rsidRDefault="00432E44" w:rsidP="00C972CA">
                            <w:pPr>
                              <w:jc w:val="center"/>
                              <w:rPr>
                                <w:rFonts w:ascii="Arial" w:hAnsi="Arial" w:cs="Arial"/>
                              </w:rPr>
                            </w:pPr>
                            <w:r w:rsidRPr="00C972CA">
                              <w:rPr>
                                <w:rFonts w:ascii="Arial" w:hAnsi="Arial" w:cs="Arial"/>
                              </w:rPr>
                              <w:t>NICE is committed to promoting equality, eliminating unlawful discrimination and fostering good relations between people who share a protected characteristic and those who do not. Please let us know if we have missed any important organisations from the lists in the matrix, and which organisations we should include that have a particular focus on relevant equality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5pt;margin-top:5.05pt;width:476.15pt;height:8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lSKgIAAFEEAAAOAAAAZHJzL2Uyb0RvYy54bWysVFFv0zAQfkfiP1h+p0mqdl2jptPoKEIa&#10;A2njBziO01jYPmO7Tcav5+x0XQQ8IfJg+Xznz999d5fNzaAVOQnnJZiKFrOcEmE4NNIcKvrtaf/u&#10;mhIfmGmYAiMq+iw8vdm+fbPpbSnm0IFqhCMIYnzZ24p2IdgyyzzvhGZ+BlYYdLbgNAtoukPWONYj&#10;ulbZPM+vsh5cYx1w4T2e3o1Ouk34bSt4+NK2XgSiKorcQlpdWuu4ZtsNKw+O2U7yMw32Dyw0kwYf&#10;vUDdscDI0ck/oLTkDjy0YcZBZ9C2kouUA2ZT5L9l89gxK1IuKI63F5n8/4PlD6evjsgGa0eJYRpL&#10;9CSGQN7DQOZRnd76EoMeLYaFAY9jZMzU23vg3z0xsOuYOYhb56DvBGuQXRFvZpOrI46PIHX/GRp8&#10;hh0DJKChdToCohgE0bFKz5fKRCocD6/yxarIl5Rw9BV5sVqjEd9g5ct163z4KECTuKmow9IneHa6&#10;92EMfQlJ9EHJZi+VSoY71DvlyIlhm+zTd0b30zBlSF/R9XK+HBWY+vwUIk/f3yC0DNjvSuqKXl+C&#10;WBl1+2AapMnKwKQa95idMmcho3ajimGoBwyM6tbQPKOkDsa+xjnETQfuJyU99nRF/Y8jc4IS9clg&#10;WdbFYhGHIBmL5WqOhpt66qmHGY5QFQ2UjNtdGAfnaJ08dPjS2AgGbrGUrUwiv7I688a+TWU6z1gc&#10;jKmdol7/BNtfAAAA//8DAFBLAwQUAAYACAAAACEAFJtPpeAAAAAKAQAADwAAAGRycy9kb3ducmV2&#10;LnhtbEyPwU7DMAyG70i8Q2QkLmhL1k1tV5pOCAkEtzHQds2arK1onJJkXXl7zAmO9v/p9+dyM9me&#10;jcaHzqGExVwAM1g73WEj4eP9aZYDC1GhVr1DI+HbBNhU11elKrS74JsZd7FhVIKhUBLaGIeC81C3&#10;xqowd4NByk7OWxVp9A3XXl2o3PY8ESLlVnVIF1o1mMfW1J+7s5WQr17GQ3hdbvd1eurX8S4bn7+8&#10;lLc308M9sGim+AfDrz6pQ0VOR3dGHVgvYZbkGaEUiAUwAtbJMgV2pEUmVsCrkv9/ofoBAAD//wMA&#10;UEsBAi0AFAAGAAgAAAAhALaDOJL+AAAA4QEAABMAAAAAAAAAAAAAAAAAAAAAAFtDb250ZW50X1R5&#10;cGVzXS54bWxQSwECLQAUAAYACAAAACEAOP0h/9YAAACUAQAACwAAAAAAAAAAAAAAAAAvAQAAX3Jl&#10;bHMvLnJlbHNQSwECLQAUAAYACAAAACEAuk15UioCAABRBAAADgAAAAAAAAAAAAAAAAAuAgAAZHJz&#10;L2Uyb0RvYy54bWxQSwECLQAUAAYACAAAACEAFJtPpeAAAAAKAQAADwAAAAAAAAAAAAAAAACEBAAA&#10;ZHJzL2Rvd25yZXYueG1sUEsFBgAAAAAEAAQA8wAAAJEFAAAAAA==&#10;">
                <v:textbox>
                  <w:txbxContent>
                    <w:p w:rsidR="00432E44" w:rsidRPr="00C972CA" w:rsidRDefault="00432E44" w:rsidP="00C972CA">
                      <w:pPr>
                        <w:jc w:val="center"/>
                        <w:rPr>
                          <w:rFonts w:ascii="Arial" w:hAnsi="Arial" w:cs="Arial"/>
                        </w:rPr>
                      </w:pPr>
                      <w:r w:rsidRPr="00C972CA">
                        <w:rPr>
                          <w:rFonts w:ascii="Arial" w:hAnsi="Arial" w:cs="Arial"/>
                        </w:rPr>
                        <w:t>NICE is committed to promoting equality, eliminating unlawful discrimination and fostering good relations between people who share a protected characteristic and those who do not. Please let us know if we have missed any important organisations from the lists in the matrix, and which organisations we should include that have a particular focus on relevant equality issues.</w:t>
                      </w:r>
                    </w:p>
                  </w:txbxContent>
                </v:textbox>
              </v:shape>
            </w:pict>
          </mc:Fallback>
        </mc:AlternateContent>
      </w:r>
    </w:p>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432E44" w:rsidRDefault="00432E44">
      <w:pPr>
        <w:jc w:val="center"/>
        <w:rPr>
          <w:rFonts w:ascii="Arial" w:hAnsi="Arial" w:cs="Arial"/>
          <w:b/>
          <w:bCs/>
        </w:rPr>
      </w:pPr>
    </w:p>
    <w:p w:rsidR="00B53794" w:rsidRPr="00B53794" w:rsidRDefault="00432E44" w:rsidP="00B53794">
      <w:pPr>
        <w:pStyle w:val="Title"/>
        <w:rPr>
          <w:sz w:val="20"/>
          <w:szCs w:val="20"/>
          <w:lang w:val="en-GB"/>
        </w:rPr>
      </w:pPr>
      <w:r w:rsidRPr="00C972CA">
        <w:rPr>
          <w:sz w:val="20"/>
          <w:szCs w:val="20"/>
        </w:rPr>
        <w:t>PTO FOR DEFINITIONS OF CONSULTEES AND COMMENTATORS</w:t>
      </w:r>
    </w:p>
    <w:p w:rsidR="00462956" w:rsidRDefault="00462956">
      <w:pPr>
        <w:rPr>
          <w:rFonts w:ascii="Arial" w:hAnsi="Arial"/>
          <w:b/>
          <w:bCs/>
          <w:lang w:val="x-none"/>
        </w:rPr>
      </w:pPr>
      <w:r>
        <w:br w:type="page"/>
      </w:r>
    </w:p>
    <w:p w:rsidR="00E95530" w:rsidRDefault="00E95530" w:rsidP="00E95530">
      <w:pPr>
        <w:pStyle w:val="Title"/>
        <w:jc w:val="left"/>
        <w:rPr>
          <w:lang w:val="en-GB"/>
        </w:rPr>
      </w:pPr>
      <w:r w:rsidRPr="00BC7780">
        <w:lastRenderedPageBreak/>
        <w:t>MTA Definitions:</w:t>
      </w:r>
    </w:p>
    <w:p w:rsidR="00E95530" w:rsidRPr="00E95530" w:rsidRDefault="00E95530" w:rsidP="00E95530">
      <w:pPr>
        <w:pStyle w:val="Title"/>
        <w:jc w:val="left"/>
        <w:rPr>
          <w:lang w:val="en-GB"/>
        </w:rPr>
      </w:pPr>
    </w:p>
    <w:p w:rsidR="00E95530" w:rsidRPr="008C44A0" w:rsidRDefault="00E95530" w:rsidP="00E95530">
      <w:pPr>
        <w:pStyle w:val="Title"/>
        <w:jc w:val="left"/>
        <w:rPr>
          <w:b w:val="0"/>
          <w:u w:val="single"/>
        </w:rPr>
      </w:pPr>
      <w:r w:rsidRPr="008C44A0">
        <w:rPr>
          <w:b w:val="0"/>
          <w:u w:val="single"/>
        </w:rPr>
        <w:t>Consultees</w:t>
      </w:r>
    </w:p>
    <w:p w:rsidR="00E95530" w:rsidRDefault="00E95530" w:rsidP="00E95530">
      <w:pPr>
        <w:pStyle w:val="Title"/>
        <w:jc w:val="left"/>
        <w:rPr>
          <w:b w:val="0"/>
        </w:rPr>
      </w:pPr>
      <w:r w:rsidRPr="00083E84">
        <w:rPr>
          <w:b w:val="0"/>
        </w:rPr>
        <w:t xml:space="preserve">Organisations that accept an invitation to participate in the appraisal; the </w:t>
      </w:r>
      <w:r>
        <w:rPr>
          <w:b w:val="0"/>
        </w:rPr>
        <w:t>company that markets</w:t>
      </w:r>
      <w:r w:rsidRPr="00083E84">
        <w:rPr>
          <w:b w:val="0"/>
        </w:rPr>
        <w:t xml:space="preserve"> the technology; national professional organisations; national patient organisations; the Department of Health and the Welsh Government and relevant NHS organisations in England.</w:t>
      </w:r>
    </w:p>
    <w:p w:rsidR="00E95530" w:rsidRDefault="00E95530" w:rsidP="00E95530">
      <w:pPr>
        <w:rPr>
          <w:rFonts w:ascii="Arial" w:hAnsi="Arial" w:cs="Arial"/>
        </w:rPr>
      </w:pPr>
    </w:p>
    <w:p w:rsidR="00E95530" w:rsidRPr="004075D8" w:rsidRDefault="00E95530" w:rsidP="00E95530">
      <w:pPr>
        <w:rPr>
          <w:rFonts w:ascii="Arial" w:hAnsi="Arial" w:cs="Arial"/>
          <w:bCs/>
        </w:rPr>
      </w:pPr>
      <w:r w:rsidRPr="004075D8">
        <w:rPr>
          <w:rFonts w:ascii="Arial" w:hAnsi="Arial" w:cs="Arial"/>
        </w:rPr>
        <w:t xml:space="preserve">The </w:t>
      </w:r>
      <w:r>
        <w:rPr>
          <w:rFonts w:ascii="Arial" w:hAnsi="Arial" w:cs="Arial"/>
          <w:bCs/>
        </w:rPr>
        <w:t xml:space="preserve">company that markets </w:t>
      </w:r>
      <w:r w:rsidRPr="004075D8">
        <w:rPr>
          <w:rFonts w:ascii="Arial" w:hAnsi="Arial" w:cs="Arial"/>
        </w:rPr>
        <w:t xml:space="preserve">the technology </w:t>
      </w:r>
      <w:r>
        <w:rPr>
          <w:rFonts w:ascii="Arial" w:hAnsi="Arial" w:cs="Arial"/>
        </w:rPr>
        <w:t xml:space="preserve">is </w:t>
      </w:r>
      <w:r w:rsidRPr="004075D8">
        <w:rPr>
          <w:rFonts w:ascii="Arial" w:hAnsi="Arial" w:cs="Arial"/>
        </w:rPr>
        <w:t>invited to prepare a submission dossier</w:t>
      </w:r>
      <w:r>
        <w:rPr>
          <w:rFonts w:ascii="Arial" w:hAnsi="Arial" w:cs="Arial"/>
        </w:rPr>
        <w:t xml:space="preserve">, can </w:t>
      </w:r>
      <w:r w:rsidRPr="004075D8">
        <w:rPr>
          <w:rFonts w:ascii="Arial" w:hAnsi="Arial" w:cs="Arial"/>
        </w:rPr>
        <w:t xml:space="preserve">respond to consultations, </w:t>
      </w:r>
      <w:r w:rsidRPr="004075D8">
        <w:rPr>
          <w:rFonts w:ascii="Arial" w:hAnsi="Arial" w:cs="Arial"/>
          <w:bCs/>
        </w:rPr>
        <w:t xml:space="preserve">nominate clinical </w:t>
      </w:r>
      <w:r>
        <w:rPr>
          <w:rFonts w:ascii="Arial" w:hAnsi="Arial" w:cs="Arial"/>
          <w:bCs/>
        </w:rPr>
        <w:t>experts</w:t>
      </w:r>
      <w:r w:rsidRPr="004075D8">
        <w:rPr>
          <w:rFonts w:ascii="Arial" w:hAnsi="Arial" w:cs="Arial"/>
          <w:bCs/>
        </w:rPr>
        <w:t xml:space="preserve"> and has the right to appeal against the Final Appraisal Determination (FAD).</w:t>
      </w:r>
    </w:p>
    <w:p w:rsidR="00E95530" w:rsidRDefault="00E95530" w:rsidP="00E95530">
      <w:pPr>
        <w:pStyle w:val="Title"/>
        <w:jc w:val="left"/>
        <w:rPr>
          <w:b w:val="0"/>
          <w:lang w:val="en-GB"/>
        </w:rPr>
      </w:pPr>
    </w:p>
    <w:p w:rsidR="00E95530" w:rsidRDefault="00E95530" w:rsidP="00E95530">
      <w:pPr>
        <w:pStyle w:val="Title"/>
        <w:jc w:val="left"/>
        <w:rPr>
          <w:b w:val="0"/>
          <w:lang w:val="en-GB"/>
        </w:rPr>
      </w:pPr>
      <w:r>
        <w:rPr>
          <w:b w:val="0"/>
        </w:rPr>
        <w:t>All non- company c</w:t>
      </w:r>
      <w:r w:rsidRPr="00083E84">
        <w:rPr>
          <w:b w:val="0"/>
        </w:rPr>
        <w:t>onsultees</w:t>
      </w:r>
      <w:r>
        <w:rPr>
          <w:b w:val="0"/>
        </w:rPr>
        <w:t xml:space="preserve"> </w:t>
      </w:r>
      <w:r w:rsidRPr="00083E84">
        <w:rPr>
          <w:b w:val="0"/>
        </w:rPr>
        <w:t>are invited to prepare a submission dossier</w:t>
      </w:r>
      <w:r>
        <w:rPr>
          <w:b w:val="0"/>
        </w:rPr>
        <w:t xml:space="preserve"> respond to consultations </w:t>
      </w:r>
      <w:r w:rsidRPr="00083E84">
        <w:rPr>
          <w:b w:val="0"/>
        </w:rPr>
        <w:t>on the draft scope, the Assessment Report and the Appraisal Consultation Document</w:t>
      </w:r>
      <w:r>
        <w:rPr>
          <w:b w:val="0"/>
        </w:rPr>
        <w:t>.</w:t>
      </w:r>
      <w:r w:rsidRPr="00083E84">
        <w:rPr>
          <w:b w:val="0"/>
        </w:rPr>
        <w:t xml:space="preserve"> </w:t>
      </w:r>
      <w:r>
        <w:rPr>
          <w:b w:val="0"/>
        </w:rPr>
        <w:t xml:space="preserve">They can </w:t>
      </w:r>
      <w:r w:rsidRPr="00083E84">
        <w:rPr>
          <w:b w:val="0"/>
        </w:rPr>
        <w:t xml:space="preserve">nominate clinical </w:t>
      </w:r>
      <w:r>
        <w:rPr>
          <w:b w:val="0"/>
        </w:rPr>
        <w:t>or</w:t>
      </w:r>
      <w:r w:rsidRPr="00083E84">
        <w:rPr>
          <w:b w:val="0"/>
        </w:rPr>
        <w:t xml:space="preserve"> patient</w:t>
      </w:r>
      <w:r>
        <w:rPr>
          <w:b w:val="0"/>
        </w:rPr>
        <w:t xml:space="preserve"> experts and have the right </w:t>
      </w:r>
      <w:r w:rsidRPr="00083E84">
        <w:rPr>
          <w:b w:val="0"/>
        </w:rPr>
        <w:t>to appeal against the Final Appraisal Determination (FAD).</w:t>
      </w:r>
    </w:p>
    <w:p w:rsidR="00E95530" w:rsidRPr="00E95530" w:rsidRDefault="00E95530" w:rsidP="00E95530">
      <w:pPr>
        <w:pStyle w:val="Title"/>
        <w:jc w:val="left"/>
        <w:rPr>
          <w:b w:val="0"/>
          <w:lang w:val="en-GB"/>
        </w:rPr>
      </w:pPr>
    </w:p>
    <w:p w:rsidR="00E95530" w:rsidRPr="008C44A0" w:rsidRDefault="00E95530" w:rsidP="00E95530">
      <w:pPr>
        <w:pStyle w:val="Title"/>
        <w:jc w:val="left"/>
        <w:rPr>
          <w:b w:val="0"/>
          <w:u w:val="single"/>
        </w:rPr>
      </w:pPr>
      <w:r w:rsidRPr="008C44A0">
        <w:rPr>
          <w:b w:val="0"/>
          <w:u w:val="single"/>
        </w:rPr>
        <w:t>Commentators</w:t>
      </w:r>
    </w:p>
    <w:p w:rsidR="00E95530" w:rsidRDefault="00E95530" w:rsidP="00E95530">
      <w:pPr>
        <w:pStyle w:val="Title"/>
        <w:jc w:val="left"/>
        <w:rPr>
          <w:b w:val="0"/>
          <w:lang w:val="en-GB"/>
        </w:rPr>
      </w:pPr>
      <w:r w:rsidRPr="00083E84">
        <w:rPr>
          <w:b w:val="0"/>
        </w:rPr>
        <w:t>Organisations that engage in the appraisal process but are not asked to prepare a submission dossier</w:t>
      </w:r>
      <w:r>
        <w:rPr>
          <w:b w:val="0"/>
        </w:rPr>
        <w:t>.  Commentators</w:t>
      </w:r>
      <w:r w:rsidRPr="00083E84">
        <w:rPr>
          <w:b w:val="0"/>
        </w:rPr>
        <w:t xml:space="preserve"> </w:t>
      </w:r>
      <w:r w:rsidRPr="004075D8">
        <w:rPr>
          <w:rFonts w:cs="Arial"/>
          <w:b w:val="0"/>
          <w:bCs w:val="0"/>
        </w:rPr>
        <w:t>are able to respond to consultations</w:t>
      </w:r>
      <w:r w:rsidRPr="00FE3DF2">
        <w:rPr>
          <w:rFonts w:cs="Arial"/>
          <w:bCs w:val="0"/>
        </w:rPr>
        <w:t xml:space="preserve"> </w:t>
      </w:r>
      <w:r w:rsidRPr="00083E84">
        <w:rPr>
          <w:b w:val="0"/>
        </w:rPr>
        <w:t>and th</w:t>
      </w:r>
      <w:r>
        <w:rPr>
          <w:b w:val="0"/>
        </w:rPr>
        <w:t>ey</w:t>
      </w:r>
      <w:r w:rsidRPr="00083E84">
        <w:rPr>
          <w:b w:val="0"/>
        </w:rPr>
        <w:t xml:space="preserve"> receive the FAD for information only, without right of appeal.  These organisations are: </w:t>
      </w:r>
      <w:r>
        <w:rPr>
          <w:b w:val="0"/>
        </w:rPr>
        <w:t>companies that market</w:t>
      </w:r>
      <w:r w:rsidRPr="00083E84">
        <w:rPr>
          <w:b w:val="0"/>
        </w:rPr>
        <w:t xml:space="preserve"> comparator technologies; </w:t>
      </w:r>
      <w:r w:rsidRPr="004075D8">
        <w:rPr>
          <w:rFonts w:cs="Arial"/>
          <w:b w:val="0"/>
        </w:rPr>
        <w:t>Healthcare Improvement Scotland</w:t>
      </w:r>
      <w:r w:rsidRPr="00083E84">
        <w:rPr>
          <w:b w:val="0"/>
        </w:rPr>
        <w:t>; related research groups where appropriate (for example, the Medical Research Council [MRC], National Cancer Research Institute); other groups (for example, the NHS Confederation, NHS Alliance and NHS Commercial Medicines Unit, and the British National Formulary.</w:t>
      </w:r>
    </w:p>
    <w:p w:rsidR="00E95530" w:rsidRPr="00E95530" w:rsidRDefault="00E95530" w:rsidP="00E95530">
      <w:pPr>
        <w:pStyle w:val="Title"/>
        <w:jc w:val="left"/>
        <w:rPr>
          <w:b w:val="0"/>
          <w:lang w:val="en-GB"/>
        </w:rPr>
      </w:pPr>
    </w:p>
    <w:p w:rsidR="00E95530" w:rsidRPr="00083E84" w:rsidRDefault="00E95530" w:rsidP="00E95530">
      <w:pPr>
        <w:pStyle w:val="Title"/>
        <w:jc w:val="left"/>
        <w:rPr>
          <w:b w:val="0"/>
        </w:rPr>
      </w:pPr>
      <w:r w:rsidRPr="00083E84">
        <w:rPr>
          <w:b w:val="0"/>
        </w:rPr>
        <w:t>All non-</w:t>
      </w:r>
      <w:r>
        <w:rPr>
          <w:b w:val="0"/>
        </w:rPr>
        <w:t>company</w:t>
      </w:r>
      <w:r w:rsidRPr="00083E84">
        <w:rPr>
          <w:b w:val="0"/>
        </w:rPr>
        <w:t xml:space="preserve"> organisations can nominate clinical</w:t>
      </w:r>
      <w:r>
        <w:rPr>
          <w:b w:val="0"/>
        </w:rPr>
        <w:t xml:space="preserve"> or</w:t>
      </w:r>
      <w:r w:rsidRPr="00083E84">
        <w:rPr>
          <w:b w:val="0"/>
        </w:rPr>
        <w:t xml:space="preserve"> patient experts to present their personal views to the Appraisal Committee.</w:t>
      </w:r>
    </w:p>
    <w:p w:rsidR="00AA09B2" w:rsidRPr="00CE1DC7" w:rsidRDefault="00AA09B2" w:rsidP="003607F6">
      <w:pPr>
        <w:pStyle w:val="Title"/>
        <w:jc w:val="left"/>
        <w:rPr>
          <w:b w:val="0"/>
        </w:rPr>
      </w:pPr>
    </w:p>
    <w:p w:rsidR="00B016B7" w:rsidRPr="00356346" w:rsidRDefault="00B016B7">
      <w:pPr>
        <w:jc w:val="center"/>
        <w:rPr>
          <w:rFonts w:ascii="Arial" w:hAnsi="Arial" w:cs="Arial"/>
          <w:b/>
          <w:bCs/>
        </w:rPr>
      </w:pPr>
    </w:p>
    <w:sectPr w:rsidR="00B016B7" w:rsidRPr="00356346" w:rsidSect="00C972CA">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530" w:rsidRDefault="00E95530">
      <w:r>
        <w:separator/>
      </w:r>
    </w:p>
  </w:endnote>
  <w:endnote w:type="continuationSeparator" w:id="0">
    <w:p w:rsidR="00E95530" w:rsidRDefault="00E9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695267394"/>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18455C" w:rsidRPr="0018455C" w:rsidRDefault="0018455C" w:rsidP="0018455C">
            <w:pPr>
              <w:pStyle w:val="Footer"/>
              <w:tabs>
                <w:tab w:val="right" w:pos="9000"/>
              </w:tabs>
              <w:ind w:left="-540"/>
              <w:rPr>
                <w:rFonts w:ascii="Arial" w:hAnsi="Arial" w:cs="Arial"/>
                <w:sz w:val="20"/>
                <w:szCs w:val="20"/>
              </w:rPr>
            </w:pPr>
            <w:r>
              <w:rPr>
                <w:rFonts w:ascii="Arial" w:hAnsi="Arial" w:cs="Arial"/>
                <w:sz w:val="20"/>
                <w:szCs w:val="20"/>
              </w:rPr>
              <w:t>NICE Technology Appraisal</w:t>
            </w:r>
            <w:r w:rsidR="0061652B" w:rsidRPr="00807FEC">
              <w:rPr>
                <w:rFonts w:ascii="Arial" w:hAnsi="Arial" w:cs="Arial"/>
                <w:sz w:val="20"/>
                <w:szCs w:val="20"/>
              </w:rPr>
              <w:t xml:space="preserve"> </w:t>
            </w:r>
            <w:r w:rsidRPr="0018455C">
              <w:rPr>
                <w:rFonts w:ascii="Arial" w:hAnsi="Arial" w:cs="Arial"/>
                <w:sz w:val="20"/>
                <w:szCs w:val="20"/>
              </w:rPr>
              <w:t xml:space="preserve">No.284; Bevacizumab in combination with paclitaxel and carboplatin for the first-line treatment of ovarian cancer and No.285; Bevacizumab for the treatment of recurrent or advanced </w:t>
            </w:r>
          </w:p>
          <w:p w:rsidR="0061652B" w:rsidRPr="00A83588" w:rsidRDefault="0018455C" w:rsidP="0018455C">
            <w:pPr>
              <w:pStyle w:val="Footer"/>
              <w:tabs>
                <w:tab w:val="clear" w:pos="8306"/>
                <w:tab w:val="right" w:pos="9000"/>
              </w:tabs>
              <w:ind w:left="-540"/>
              <w:rPr>
                <w:rFonts w:ascii="Arial" w:hAnsi="Arial" w:cs="Arial"/>
                <w:sz w:val="20"/>
                <w:szCs w:val="20"/>
              </w:rPr>
            </w:pPr>
            <w:r w:rsidRPr="0018455C">
              <w:rPr>
                <w:rFonts w:ascii="Arial" w:hAnsi="Arial" w:cs="Arial"/>
                <w:sz w:val="20"/>
                <w:szCs w:val="20"/>
              </w:rPr>
              <w:t>Ovarian cancer</w:t>
            </w:r>
          </w:p>
          <w:p w:rsidR="0061652B" w:rsidRDefault="0061652B" w:rsidP="0061652B">
            <w:pPr>
              <w:pStyle w:val="Footer"/>
              <w:tabs>
                <w:tab w:val="clear" w:pos="8306"/>
                <w:tab w:val="right" w:pos="9000"/>
              </w:tabs>
              <w:ind w:left="-540"/>
              <w:rPr>
                <w:b/>
                <w:sz w:val="20"/>
                <w:szCs w:val="20"/>
              </w:rPr>
            </w:pPr>
            <w:r w:rsidRPr="0061652B">
              <w:rPr>
                <w:rFonts w:ascii="Arial" w:hAnsi="Arial" w:cs="Arial"/>
                <w:sz w:val="20"/>
                <w:szCs w:val="20"/>
              </w:rPr>
              <w:t>Issue date:</w:t>
            </w:r>
            <w:r w:rsidR="0018455C">
              <w:rPr>
                <w:rFonts w:ascii="Arial" w:hAnsi="Arial" w:cs="Arial"/>
                <w:sz w:val="20"/>
                <w:szCs w:val="20"/>
              </w:rPr>
              <w:t xml:space="preserve"> </w:t>
            </w:r>
            <w:r w:rsidR="00462956">
              <w:rPr>
                <w:rFonts w:ascii="Arial" w:hAnsi="Arial" w:cs="Arial"/>
                <w:sz w:val="20"/>
                <w:szCs w:val="20"/>
              </w:rPr>
              <w:t xml:space="preserve">April </w:t>
            </w:r>
            <w:r w:rsidR="0018455C">
              <w:rPr>
                <w:rFonts w:ascii="Arial" w:hAnsi="Arial" w:cs="Arial"/>
                <w:sz w:val="20"/>
                <w:szCs w:val="20"/>
              </w:rPr>
              <w:t>2016</w:t>
            </w:r>
          </w:p>
          <w:p w:rsidR="0061652B" w:rsidRPr="0061652B" w:rsidRDefault="0061652B" w:rsidP="0061652B">
            <w:pPr>
              <w:pStyle w:val="Footer"/>
              <w:jc w:val="right"/>
              <w:rPr>
                <w:rFonts w:ascii="Arial" w:hAnsi="Arial" w:cs="Arial"/>
                <w:sz w:val="20"/>
                <w:szCs w:val="20"/>
              </w:rPr>
            </w:pPr>
            <w:r w:rsidRPr="0061652B">
              <w:rPr>
                <w:rFonts w:ascii="Arial" w:hAnsi="Arial" w:cs="Arial"/>
                <w:sz w:val="20"/>
                <w:szCs w:val="20"/>
              </w:rPr>
              <w:t xml:space="preserve">Page </w:t>
            </w:r>
            <w:r w:rsidRPr="0061652B">
              <w:rPr>
                <w:rFonts w:ascii="Arial" w:hAnsi="Arial" w:cs="Arial"/>
                <w:b/>
                <w:bCs/>
                <w:sz w:val="20"/>
                <w:szCs w:val="20"/>
              </w:rPr>
              <w:fldChar w:fldCharType="begin"/>
            </w:r>
            <w:r w:rsidRPr="0061652B">
              <w:rPr>
                <w:rFonts w:ascii="Arial" w:hAnsi="Arial" w:cs="Arial"/>
                <w:b/>
                <w:bCs/>
                <w:sz w:val="20"/>
                <w:szCs w:val="20"/>
              </w:rPr>
              <w:instrText xml:space="preserve"> PAGE </w:instrText>
            </w:r>
            <w:r w:rsidRPr="0061652B">
              <w:rPr>
                <w:rFonts w:ascii="Arial" w:hAnsi="Arial" w:cs="Arial"/>
                <w:b/>
                <w:bCs/>
                <w:sz w:val="20"/>
                <w:szCs w:val="20"/>
              </w:rPr>
              <w:fldChar w:fldCharType="separate"/>
            </w:r>
            <w:r w:rsidR="001A7CAE">
              <w:rPr>
                <w:rFonts w:ascii="Arial" w:hAnsi="Arial" w:cs="Arial"/>
                <w:b/>
                <w:bCs/>
                <w:noProof/>
                <w:sz w:val="20"/>
                <w:szCs w:val="20"/>
              </w:rPr>
              <w:t>1</w:t>
            </w:r>
            <w:r w:rsidRPr="0061652B">
              <w:rPr>
                <w:rFonts w:ascii="Arial" w:hAnsi="Arial" w:cs="Arial"/>
                <w:b/>
                <w:bCs/>
                <w:sz w:val="20"/>
                <w:szCs w:val="20"/>
              </w:rPr>
              <w:fldChar w:fldCharType="end"/>
            </w:r>
            <w:r w:rsidRPr="0061652B">
              <w:rPr>
                <w:rFonts w:ascii="Arial" w:hAnsi="Arial" w:cs="Arial"/>
                <w:sz w:val="20"/>
                <w:szCs w:val="20"/>
              </w:rPr>
              <w:t xml:space="preserve"> of </w:t>
            </w:r>
            <w:r w:rsidRPr="0061652B">
              <w:rPr>
                <w:rFonts w:ascii="Arial" w:hAnsi="Arial" w:cs="Arial"/>
                <w:b/>
                <w:bCs/>
                <w:sz w:val="20"/>
                <w:szCs w:val="20"/>
              </w:rPr>
              <w:fldChar w:fldCharType="begin"/>
            </w:r>
            <w:r w:rsidRPr="0061652B">
              <w:rPr>
                <w:rFonts w:ascii="Arial" w:hAnsi="Arial" w:cs="Arial"/>
                <w:b/>
                <w:bCs/>
                <w:sz w:val="20"/>
                <w:szCs w:val="20"/>
              </w:rPr>
              <w:instrText xml:space="preserve"> NUMPAGES  </w:instrText>
            </w:r>
            <w:r w:rsidRPr="0061652B">
              <w:rPr>
                <w:rFonts w:ascii="Arial" w:hAnsi="Arial" w:cs="Arial"/>
                <w:b/>
                <w:bCs/>
                <w:sz w:val="20"/>
                <w:szCs w:val="20"/>
              </w:rPr>
              <w:fldChar w:fldCharType="separate"/>
            </w:r>
            <w:r w:rsidR="001A7CAE">
              <w:rPr>
                <w:rFonts w:ascii="Arial" w:hAnsi="Arial" w:cs="Arial"/>
                <w:b/>
                <w:bCs/>
                <w:noProof/>
                <w:sz w:val="20"/>
                <w:szCs w:val="20"/>
              </w:rPr>
              <w:t>3</w:t>
            </w:r>
            <w:r w:rsidRPr="0061652B">
              <w:rPr>
                <w:rFonts w:ascii="Arial" w:hAnsi="Arial" w:cs="Arial"/>
                <w:b/>
                <w:bCs/>
                <w:sz w:val="20"/>
                <w:szCs w:val="20"/>
              </w:rPr>
              <w:fldChar w:fldCharType="end"/>
            </w:r>
          </w:p>
        </w:sdtContent>
      </w:sdt>
    </w:sdtContent>
  </w:sdt>
  <w:p w:rsidR="002D6C05" w:rsidRPr="00356346" w:rsidRDefault="002D6C05" w:rsidP="0061652B">
    <w:pPr>
      <w:pStyle w:val="Heading2"/>
      <w:jc w:val="lef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530" w:rsidRDefault="00E95530">
      <w:r>
        <w:separator/>
      </w:r>
    </w:p>
  </w:footnote>
  <w:footnote w:type="continuationSeparator" w:id="0">
    <w:p w:rsidR="00E95530" w:rsidRDefault="00E95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05" w:rsidRDefault="002D6C05">
    <w:pPr>
      <w:pStyle w:val="Header"/>
      <w:jc w:val="right"/>
      <w:rPr>
        <w:rFonts w:ascii="Arial" w:hAnsi="Arial" w:cs="Arial"/>
        <w:b/>
        <w:bCs/>
      </w:rPr>
    </w:pPr>
    <w:r>
      <w:rPr>
        <w:rFonts w:ascii="Arial" w:hAnsi="Arial" w:cs="Arial"/>
        <w:b/>
        <w:bCs/>
      </w:rP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472"/>
    <w:multiLevelType w:val="hybridMultilevel"/>
    <w:tmpl w:val="6EF2BC30"/>
    <w:lvl w:ilvl="0" w:tplc="00000000">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1">
    <w:nsid w:val="0485187C"/>
    <w:multiLevelType w:val="hybridMultilevel"/>
    <w:tmpl w:val="E74017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02618C"/>
    <w:multiLevelType w:val="hybridMultilevel"/>
    <w:tmpl w:val="2904D400"/>
    <w:lvl w:ilvl="0" w:tplc="08090001">
      <w:start w:val="1"/>
      <w:numFmt w:val="bullet"/>
      <w:lvlText w:val=""/>
      <w:lvlJc w:val="left"/>
      <w:pPr>
        <w:tabs>
          <w:tab w:val="num" w:pos="720"/>
        </w:tabs>
        <w:ind w:left="720" w:hanging="360"/>
      </w:pPr>
      <w:rPr>
        <w:rFonts w:ascii="Symbol" w:hAnsi="Symbol" w:hint="default"/>
      </w:rPr>
    </w:lvl>
    <w:lvl w:ilvl="1" w:tplc="0000000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6E0E42"/>
    <w:multiLevelType w:val="hybridMultilevel"/>
    <w:tmpl w:val="846A7F2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ABA2A20"/>
    <w:multiLevelType w:val="hybridMultilevel"/>
    <w:tmpl w:val="91702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FB29CF"/>
    <w:multiLevelType w:val="hybridMultilevel"/>
    <w:tmpl w:val="671AA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AB7BBC"/>
    <w:multiLevelType w:val="hybridMultilevel"/>
    <w:tmpl w:val="3F38D1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F177444"/>
    <w:multiLevelType w:val="hybridMultilevel"/>
    <w:tmpl w:val="028C23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5B36B3B"/>
    <w:multiLevelType w:val="multilevel"/>
    <w:tmpl w:val="E79496E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7AC1AC6"/>
    <w:multiLevelType w:val="multilevel"/>
    <w:tmpl w:val="5B74F6B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C851AF"/>
    <w:multiLevelType w:val="hybridMultilevel"/>
    <w:tmpl w:val="D41AA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3C7930"/>
    <w:multiLevelType w:val="hybridMultilevel"/>
    <w:tmpl w:val="E79496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86113BB"/>
    <w:multiLevelType w:val="hybridMultilevel"/>
    <w:tmpl w:val="37485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AF52F2"/>
    <w:multiLevelType w:val="hybridMultilevel"/>
    <w:tmpl w:val="BBC4E1BC"/>
    <w:lvl w:ilvl="0" w:tplc="F41EC528">
      <w:start w:val="1"/>
      <w:numFmt w:val="bullet"/>
      <w:pStyle w:val="Bulletlis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7007B1"/>
    <w:multiLevelType w:val="hybridMultilevel"/>
    <w:tmpl w:val="A5BC93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2EE6A94"/>
    <w:multiLevelType w:val="hybridMultilevel"/>
    <w:tmpl w:val="0DCA7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DD746B"/>
    <w:multiLevelType w:val="hybridMultilevel"/>
    <w:tmpl w:val="5BDA241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4A6C76"/>
    <w:multiLevelType w:val="hybridMultilevel"/>
    <w:tmpl w:val="5B74F6B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EAA5DE2"/>
    <w:multiLevelType w:val="hybridMultilevel"/>
    <w:tmpl w:val="E2E2B63C"/>
    <w:lvl w:ilvl="0" w:tplc="0000000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9BE65A9"/>
    <w:multiLevelType w:val="hybridMultilevel"/>
    <w:tmpl w:val="9A80A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C2751BB"/>
    <w:multiLevelType w:val="hybridMultilevel"/>
    <w:tmpl w:val="707A9B3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E53408A"/>
    <w:multiLevelType w:val="hybridMultilevel"/>
    <w:tmpl w:val="69FA303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707807"/>
    <w:multiLevelType w:val="multilevel"/>
    <w:tmpl w:val="707A9B3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FA673F5"/>
    <w:multiLevelType w:val="hybridMultilevel"/>
    <w:tmpl w:val="28744D60"/>
    <w:lvl w:ilvl="0" w:tplc="79F8BC2E">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52D0B60"/>
    <w:multiLevelType w:val="hybridMultilevel"/>
    <w:tmpl w:val="2A30CC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C0634E2"/>
    <w:multiLevelType w:val="hybridMultilevel"/>
    <w:tmpl w:val="1C58E11E"/>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6">
    <w:nsid w:val="7D225517"/>
    <w:multiLevelType w:val="hybridMultilevel"/>
    <w:tmpl w:val="C3AC553A"/>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EF379DF"/>
    <w:multiLevelType w:val="hybridMultilevel"/>
    <w:tmpl w:val="815C45C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4"/>
  </w:num>
  <w:num w:numId="6">
    <w:abstractNumId w:val="12"/>
  </w:num>
  <w:num w:numId="7">
    <w:abstractNumId w:val="15"/>
  </w:num>
  <w:num w:numId="8">
    <w:abstractNumId w:val="26"/>
  </w:num>
  <w:num w:numId="9">
    <w:abstractNumId w:val="27"/>
  </w:num>
  <w:num w:numId="10">
    <w:abstractNumId w:val="11"/>
  </w:num>
  <w:num w:numId="11">
    <w:abstractNumId w:val="8"/>
  </w:num>
  <w:num w:numId="12">
    <w:abstractNumId w:val="2"/>
  </w:num>
  <w:num w:numId="13">
    <w:abstractNumId w:val="23"/>
  </w:num>
  <w:num w:numId="14">
    <w:abstractNumId w:val="17"/>
  </w:num>
  <w:num w:numId="15">
    <w:abstractNumId w:val="9"/>
  </w:num>
  <w:num w:numId="16">
    <w:abstractNumId w:val="18"/>
  </w:num>
  <w:num w:numId="17">
    <w:abstractNumId w:val="20"/>
  </w:num>
  <w:num w:numId="18">
    <w:abstractNumId w:val="22"/>
  </w:num>
  <w:num w:numId="19">
    <w:abstractNumId w:val="0"/>
  </w:num>
  <w:num w:numId="20">
    <w:abstractNumId w:val="3"/>
  </w:num>
  <w:num w:numId="21">
    <w:abstractNumId w:val="13"/>
  </w:num>
  <w:num w:numId="22">
    <w:abstractNumId w:val="25"/>
  </w:num>
  <w:num w:numId="23">
    <w:abstractNumId w:val="24"/>
  </w:num>
  <w:num w:numId="24">
    <w:abstractNumId w:val="21"/>
  </w:num>
  <w:num w:numId="25">
    <w:abstractNumId w:val="19"/>
  </w:num>
  <w:num w:numId="26">
    <w:abstractNumId w:val="16"/>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30"/>
    <w:rsid w:val="00027FA4"/>
    <w:rsid w:val="00046DA1"/>
    <w:rsid w:val="00047752"/>
    <w:rsid w:val="00065165"/>
    <w:rsid w:val="00066BE7"/>
    <w:rsid w:val="00093C88"/>
    <w:rsid w:val="000A31DA"/>
    <w:rsid w:val="000B4E18"/>
    <w:rsid w:val="000C5FAF"/>
    <w:rsid w:val="000E4AFB"/>
    <w:rsid w:val="000F7833"/>
    <w:rsid w:val="001052B4"/>
    <w:rsid w:val="00115CE4"/>
    <w:rsid w:val="00122352"/>
    <w:rsid w:val="00136726"/>
    <w:rsid w:val="0018291A"/>
    <w:rsid w:val="0018455C"/>
    <w:rsid w:val="001A7CAE"/>
    <w:rsid w:val="001C76C7"/>
    <w:rsid w:val="00207556"/>
    <w:rsid w:val="00214E81"/>
    <w:rsid w:val="00214FAB"/>
    <w:rsid w:val="00224231"/>
    <w:rsid w:val="00270290"/>
    <w:rsid w:val="002841CF"/>
    <w:rsid w:val="00291D54"/>
    <w:rsid w:val="002A40AC"/>
    <w:rsid w:val="002B57F7"/>
    <w:rsid w:val="002C0DB3"/>
    <w:rsid w:val="002C3C31"/>
    <w:rsid w:val="002D6C05"/>
    <w:rsid w:val="002E2C83"/>
    <w:rsid w:val="00300078"/>
    <w:rsid w:val="00302138"/>
    <w:rsid w:val="00307812"/>
    <w:rsid w:val="003267B7"/>
    <w:rsid w:val="0034513F"/>
    <w:rsid w:val="00356346"/>
    <w:rsid w:val="003607F6"/>
    <w:rsid w:val="00373015"/>
    <w:rsid w:val="003751F7"/>
    <w:rsid w:val="0037528C"/>
    <w:rsid w:val="003A79F4"/>
    <w:rsid w:val="003A7F63"/>
    <w:rsid w:val="003F27E6"/>
    <w:rsid w:val="003F6F8A"/>
    <w:rsid w:val="00406552"/>
    <w:rsid w:val="00424AD8"/>
    <w:rsid w:val="00432E44"/>
    <w:rsid w:val="00432E7D"/>
    <w:rsid w:val="00437634"/>
    <w:rsid w:val="00462956"/>
    <w:rsid w:val="00472D4A"/>
    <w:rsid w:val="004757B6"/>
    <w:rsid w:val="00482802"/>
    <w:rsid w:val="004A6908"/>
    <w:rsid w:val="004D3A61"/>
    <w:rsid w:val="00541165"/>
    <w:rsid w:val="00542739"/>
    <w:rsid w:val="00557C90"/>
    <w:rsid w:val="00567C1B"/>
    <w:rsid w:val="0057788E"/>
    <w:rsid w:val="00582770"/>
    <w:rsid w:val="005872B3"/>
    <w:rsid w:val="005B782E"/>
    <w:rsid w:val="0061652B"/>
    <w:rsid w:val="006340FC"/>
    <w:rsid w:val="00641C64"/>
    <w:rsid w:val="00650AB9"/>
    <w:rsid w:val="006577D1"/>
    <w:rsid w:val="00665200"/>
    <w:rsid w:val="00680215"/>
    <w:rsid w:val="006B1205"/>
    <w:rsid w:val="006B16D2"/>
    <w:rsid w:val="006B5C39"/>
    <w:rsid w:val="006C2518"/>
    <w:rsid w:val="007072BF"/>
    <w:rsid w:val="00725FBB"/>
    <w:rsid w:val="00744D20"/>
    <w:rsid w:val="00762972"/>
    <w:rsid w:val="007B3860"/>
    <w:rsid w:val="007B4696"/>
    <w:rsid w:val="007F7DB3"/>
    <w:rsid w:val="00807FEC"/>
    <w:rsid w:val="008100B9"/>
    <w:rsid w:val="00846957"/>
    <w:rsid w:val="00861DA6"/>
    <w:rsid w:val="00866630"/>
    <w:rsid w:val="00883C40"/>
    <w:rsid w:val="00894A35"/>
    <w:rsid w:val="008A3489"/>
    <w:rsid w:val="008C2BE4"/>
    <w:rsid w:val="008D57B8"/>
    <w:rsid w:val="008E1DFF"/>
    <w:rsid w:val="008F6499"/>
    <w:rsid w:val="00917709"/>
    <w:rsid w:val="009A78FE"/>
    <w:rsid w:val="009B36E2"/>
    <w:rsid w:val="009B5FBA"/>
    <w:rsid w:val="009D1618"/>
    <w:rsid w:val="009E45DA"/>
    <w:rsid w:val="009F6465"/>
    <w:rsid w:val="00A02E5D"/>
    <w:rsid w:val="00A27EAC"/>
    <w:rsid w:val="00A3189F"/>
    <w:rsid w:val="00A3242D"/>
    <w:rsid w:val="00A35F6A"/>
    <w:rsid w:val="00A83588"/>
    <w:rsid w:val="00A84F0D"/>
    <w:rsid w:val="00AA09B2"/>
    <w:rsid w:val="00AC6C34"/>
    <w:rsid w:val="00AE3D3C"/>
    <w:rsid w:val="00AF738E"/>
    <w:rsid w:val="00B00CBF"/>
    <w:rsid w:val="00B016B7"/>
    <w:rsid w:val="00B03127"/>
    <w:rsid w:val="00B13244"/>
    <w:rsid w:val="00B3208A"/>
    <w:rsid w:val="00B53794"/>
    <w:rsid w:val="00B72994"/>
    <w:rsid w:val="00B833A2"/>
    <w:rsid w:val="00B846B3"/>
    <w:rsid w:val="00B944BB"/>
    <w:rsid w:val="00BA6243"/>
    <w:rsid w:val="00BB210E"/>
    <w:rsid w:val="00BC0BE9"/>
    <w:rsid w:val="00BD2EB5"/>
    <w:rsid w:val="00BF70B8"/>
    <w:rsid w:val="00C0179F"/>
    <w:rsid w:val="00C1654D"/>
    <w:rsid w:val="00C40DDA"/>
    <w:rsid w:val="00C47A8A"/>
    <w:rsid w:val="00C55CE4"/>
    <w:rsid w:val="00C57FF1"/>
    <w:rsid w:val="00C62AEC"/>
    <w:rsid w:val="00C95DE6"/>
    <w:rsid w:val="00C972CA"/>
    <w:rsid w:val="00CB6164"/>
    <w:rsid w:val="00CC5AAF"/>
    <w:rsid w:val="00CC5B00"/>
    <w:rsid w:val="00CD1088"/>
    <w:rsid w:val="00CF7035"/>
    <w:rsid w:val="00D13346"/>
    <w:rsid w:val="00D1668F"/>
    <w:rsid w:val="00D52783"/>
    <w:rsid w:val="00D8405E"/>
    <w:rsid w:val="00DA3046"/>
    <w:rsid w:val="00DB07F7"/>
    <w:rsid w:val="00DC236A"/>
    <w:rsid w:val="00DC3923"/>
    <w:rsid w:val="00DD37E7"/>
    <w:rsid w:val="00DE4C92"/>
    <w:rsid w:val="00E10163"/>
    <w:rsid w:val="00E17533"/>
    <w:rsid w:val="00E30C46"/>
    <w:rsid w:val="00E34BC0"/>
    <w:rsid w:val="00E4417A"/>
    <w:rsid w:val="00E83C4F"/>
    <w:rsid w:val="00E91D02"/>
    <w:rsid w:val="00E95530"/>
    <w:rsid w:val="00EA208A"/>
    <w:rsid w:val="00EE4A9E"/>
    <w:rsid w:val="00EF470F"/>
    <w:rsid w:val="00F060B4"/>
    <w:rsid w:val="00F428CE"/>
    <w:rsid w:val="00F63F74"/>
    <w:rsid w:val="00F7753F"/>
    <w:rsid w:val="00F86A40"/>
    <w:rsid w:val="00F86F81"/>
    <w:rsid w:val="00FA194E"/>
    <w:rsid w:val="00FA2BEA"/>
    <w:rsid w:val="00FF6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right="1718"/>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bCs/>
      <w:lang w:val="x-non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pPr>
      <w:spacing w:before="100" w:beforeAutospacing="1" w:after="100" w:afterAutospacing="1"/>
    </w:pPr>
    <w:rPr>
      <w:color w:val="003399"/>
    </w:rPr>
  </w:style>
  <w:style w:type="paragraph" w:styleId="Subtitle">
    <w:name w:val="Subtitle"/>
    <w:basedOn w:val="Normal"/>
    <w:link w:val="SubtitleChar"/>
    <w:qFormat/>
    <w:pPr>
      <w:jc w:val="center"/>
    </w:pPr>
    <w:rPr>
      <w:rFonts w:ascii="Arial" w:hAnsi="Arial" w:cs="Arial"/>
      <w:b/>
      <w:bCs/>
    </w:rPr>
  </w:style>
  <w:style w:type="paragraph" w:customStyle="1" w:styleId="Bulletlist">
    <w:name w:val="Bullet list"/>
    <w:basedOn w:val="Normal"/>
    <w:rsid w:val="00A27EAC"/>
    <w:pPr>
      <w:numPr>
        <w:numId w:val="21"/>
      </w:numPr>
    </w:pPr>
  </w:style>
  <w:style w:type="paragraph" w:customStyle="1" w:styleId="NICEnormal">
    <w:name w:val="NICE normal"/>
    <w:rsid w:val="00356346"/>
    <w:pPr>
      <w:spacing w:after="240" w:line="360" w:lineRule="auto"/>
    </w:pPr>
    <w:rPr>
      <w:rFonts w:ascii="Arial" w:hAnsi="Arial"/>
      <w:sz w:val="24"/>
      <w:szCs w:val="24"/>
      <w:lang w:val="en-US" w:eastAsia="en-US"/>
    </w:rPr>
  </w:style>
  <w:style w:type="character" w:customStyle="1" w:styleId="TitleChar">
    <w:name w:val="Title Char"/>
    <w:link w:val="Title"/>
    <w:rsid w:val="00AA09B2"/>
    <w:rPr>
      <w:rFonts w:ascii="Arial" w:hAnsi="Arial" w:cs="Arial"/>
      <w:b/>
      <w:bCs/>
      <w:sz w:val="24"/>
      <w:szCs w:val="24"/>
      <w:lang w:eastAsia="en-US"/>
    </w:rPr>
  </w:style>
  <w:style w:type="paragraph" w:styleId="BalloonText">
    <w:name w:val="Balloon Text"/>
    <w:basedOn w:val="Normal"/>
    <w:link w:val="BalloonTextChar"/>
    <w:rsid w:val="00214E81"/>
    <w:rPr>
      <w:rFonts w:ascii="Tahoma" w:hAnsi="Tahoma"/>
      <w:sz w:val="16"/>
      <w:szCs w:val="16"/>
      <w:lang w:val="x-none"/>
    </w:rPr>
  </w:style>
  <w:style w:type="character" w:customStyle="1" w:styleId="BalloonTextChar">
    <w:name w:val="Balloon Text Char"/>
    <w:link w:val="BalloonText"/>
    <w:rsid w:val="00214E81"/>
    <w:rPr>
      <w:rFonts w:ascii="Tahoma" w:hAnsi="Tahoma" w:cs="Tahoma"/>
      <w:sz w:val="16"/>
      <w:szCs w:val="16"/>
      <w:lang w:eastAsia="en-US"/>
    </w:rPr>
  </w:style>
  <w:style w:type="character" w:styleId="CommentReference">
    <w:name w:val="annotation reference"/>
    <w:rsid w:val="00BC0BE9"/>
    <w:rPr>
      <w:sz w:val="16"/>
      <w:szCs w:val="16"/>
    </w:rPr>
  </w:style>
  <w:style w:type="paragraph" w:styleId="CommentText">
    <w:name w:val="annotation text"/>
    <w:basedOn w:val="Normal"/>
    <w:link w:val="CommentTextChar"/>
    <w:rsid w:val="00BC0BE9"/>
    <w:rPr>
      <w:sz w:val="20"/>
      <w:szCs w:val="20"/>
    </w:rPr>
  </w:style>
  <w:style w:type="character" w:customStyle="1" w:styleId="CommentTextChar">
    <w:name w:val="Comment Text Char"/>
    <w:link w:val="CommentText"/>
    <w:rsid w:val="00BC0BE9"/>
    <w:rPr>
      <w:lang w:eastAsia="en-US"/>
    </w:rPr>
  </w:style>
  <w:style w:type="paragraph" w:styleId="CommentSubject">
    <w:name w:val="annotation subject"/>
    <w:basedOn w:val="CommentText"/>
    <w:next w:val="CommentText"/>
    <w:link w:val="CommentSubjectChar"/>
    <w:rsid w:val="00BC0BE9"/>
    <w:rPr>
      <w:b/>
      <w:bCs/>
    </w:rPr>
  </w:style>
  <w:style w:type="character" w:customStyle="1" w:styleId="CommentSubjectChar">
    <w:name w:val="Comment Subject Char"/>
    <w:link w:val="CommentSubject"/>
    <w:rsid w:val="00BC0BE9"/>
    <w:rPr>
      <w:b/>
      <w:bCs/>
      <w:lang w:eastAsia="en-US"/>
    </w:rPr>
  </w:style>
  <w:style w:type="character" w:customStyle="1" w:styleId="SubtitleChar">
    <w:name w:val="Subtitle Char"/>
    <w:link w:val="Subtitle"/>
    <w:rsid w:val="00E17533"/>
    <w:rPr>
      <w:rFonts w:ascii="Arial" w:hAnsi="Arial" w:cs="Arial"/>
      <w:b/>
      <w:bCs/>
      <w:sz w:val="24"/>
      <w:szCs w:val="24"/>
      <w:lang w:eastAsia="en-US"/>
    </w:rPr>
  </w:style>
  <w:style w:type="paragraph" w:styleId="FootnoteText">
    <w:name w:val="footnote text"/>
    <w:basedOn w:val="Normal"/>
    <w:link w:val="FootnoteTextChar"/>
    <w:rsid w:val="00C95DE6"/>
    <w:rPr>
      <w:sz w:val="20"/>
      <w:szCs w:val="20"/>
    </w:rPr>
  </w:style>
  <w:style w:type="character" w:customStyle="1" w:styleId="FootnoteTextChar">
    <w:name w:val="Footnote Text Char"/>
    <w:basedOn w:val="DefaultParagraphFont"/>
    <w:link w:val="FootnoteText"/>
    <w:rsid w:val="00C95DE6"/>
    <w:rPr>
      <w:lang w:eastAsia="en-US"/>
    </w:rPr>
  </w:style>
  <w:style w:type="character" w:styleId="FootnoteReference">
    <w:name w:val="footnote reference"/>
    <w:rsid w:val="00C95DE6"/>
    <w:rPr>
      <w:vertAlign w:val="superscript"/>
    </w:rPr>
  </w:style>
  <w:style w:type="character" w:customStyle="1" w:styleId="FooterChar">
    <w:name w:val="Footer Char"/>
    <w:basedOn w:val="DefaultParagraphFont"/>
    <w:link w:val="Footer"/>
    <w:uiPriority w:val="99"/>
    <w:rsid w:val="0061652B"/>
    <w:rPr>
      <w:sz w:val="24"/>
      <w:szCs w:val="24"/>
      <w:lang w:eastAsia="en-US"/>
    </w:rPr>
  </w:style>
  <w:style w:type="character" w:styleId="Hyperlink">
    <w:name w:val="Hyperlink"/>
    <w:basedOn w:val="DefaultParagraphFont"/>
    <w:rsid w:val="00582770"/>
    <w:rPr>
      <w:color w:val="0000FF" w:themeColor="hyperlink"/>
      <w:u w:val="single"/>
    </w:rPr>
  </w:style>
  <w:style w:type="character" w:styleId="FollowedHyperlink">
    <w:name w:val="FollowedHyperlink"/>
    <w:basedOn w:val="DefaultParagraphFont"/>
    <w:rsid w:val="00E95530"/>
    <w:rPr>
      <w:color w:val="800080" w:themeColor="followedHyperlink"/>
      <w:u w:val="single"/>
    </w:rPr>
  </w:style>
  <w:style w:type="paragraph" w:styleId="Revision">
    <w:name w:val="Revision"/>
    <w:hidden/>
    <w:uiPriority w:val="99"/>
    <w:semiHidden/>
    <w:rsid w:val="00E34BC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right="1718"/>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bCs/>
      <w:lang w:val="x-non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pPr>
      <w:spacing w:before="100" w:beforeAutospacing="1" w:after="100" w:afterAutospacing="1"/>
    </w:pPr>
    <w:rPr>
      <w:color w:val="003399"/>
    </w:rPr>
  </w:style>
  <w:style w:type="paragraph" w:styleId="Subtitle">
    <w:name w:val="Subtitle"/>
    <w:basedOn w:val="Normal"/>
    <w:link w:val="SubtitleChar"/>
    <w:qFormat/>
    <w:pPr>
      <w:jc w:val="center"/>
    </w:pPr>
    <w:rPr>
      <w:rFonts w:ascii="Arial" w:hAnsi="Arial" w:cs="Arial"/>
      <w:b/>
      <w:bCs/>
    </w:rPr>
  </w:style>
  <w:style w:type="paragraph" w:customStyle="1" w:styleId="Bulletlist">
    <w:name w:val="Bullet list"/>
    <w:basedOn w:val="Normal"/>
    <w:rsid w:val="00A27EAC"/>
    <w:pPr>
      <w:numPr>
        <w:numId w:val="21"/>
      </w:numPr>
    </w:pPr>
  </w:style>
  <w:style w:type="paragraph" w:customStyle="1" w:styleId="NICEnormal">
    <w:name w:val="NICE normal"/>
    <w:rsid w:val="00356346"/>
    <w:pPr>
      <w:spacing w:after="240" w:line="360" w:lineRule="auto"/>
    </w:pPr>
    <w:rPr>
      <w:rFonts w:ascii="Arial" w:hAnsi="Arial"/>
      <w:sz w:val="24"/>
      <w:szCs w:val="24"/>
      <w:lang w:val="en-US" w:eastAsia="en-US"/>
    </w:rPr>
  </w:style>
  <w:style w:type="character" w:customStyle="1" w:styleId="TitleChar">
    <w:name w:val="Title Char"/>
    <w:link w:val="Title"/>
    <w:rsid w:val="00AA09B2"/>
    <w:rPr>
      <w:rFonts w:ascii="Arial" w:hAnsi="Arial" w:cs="Arial"/>
      <w:b/>
      <w:bCs/>
      <w:sz w:val="24"/>
      <w:szCs w:val="24"/>
      <w:lang w:eastAsia="en-US"/>
    </w:rPr>
  </w:style>
  <w:style w:type="paragraph" w:styleId="BalloonText">
    <w:name w:val="Balloon Text"/>
    <w:basedOn w:val="Normal"/>
    <w:link w:val="BalloonTextChar"/>
    <w:rsid w:val="00214E81"/>
    <w:rPr>
      <w:rFonts w:ascii="Tahoma" w:hAnsi="Tahoma"/>
      <w:sz w:val="16"/>
      <w:szCs w:val="16"/>
      <w:lang w:val="x-none"/>
    </w:rPr>
  </w:style>
  <w:style w:type="character" w:customStyle="1" w:styleId="BalloonTextChar">
    <w:name w:val="Balloon Text Char"/>
    <w:link w:val="BalloonText"/>
    <w:rsid w:val="00214E81"/>
    <w:rPr>
      <w:rFonts w:ascii="Tahoma" w:hAnsi="Tahoma" w:cs="Tahoma"/>
      <w:sz w:val="16"/>
      <w:szCs w:val="16"/>
      <w:lang w:eastAsia="en-US"/>
    </w:rPr>
  </w:style>
  <w:style w:type="character" w:styleId="CommentReference">
    <w:name w:val="annotation reference"/>
    <w:rsid w:val="00BC0BE9"/>
    <w:rPr>
      <w:sz w:val="16"/>
      <w:szCs w:val="16"/>
    </w:rPr>
  </w:style>
  <w:style w:type="paragraph" w:styleId="CommentText">
    <w:name w:val="annotation text"/>
    <w:basedOn w:val="Normal"/>
    <w:link w:val="CommentTextChar"/>
    <w:rsid w:val="00BC0BE9"/>
    <w:rPr>
      <w:sz w:val="20"/>
      <w:szCs w:val="20"/>
    </w:rPr>
  </w:style>
  <w:style w:type="character" w:customStyle="1" w:styleId="CommentTextChar">
    <w:name w:val="Comment Text Char"/>
    <w:link w:val="CommentText"/>
    <w:rsid w:val="00BC0BE9"/>
    <w:rPr>
      <w:lang w:eastAsia="en-US"/>
    </w:rPr>
  </w:style>
  <w:style w:type="paragraph" w:styleId="CommentSubject">
    <w:name w:val="annotation subject"/>
    <w:basedOn w:val="CommentText"/>
    <w:next w:val="CommentText"/>
    <w:link w:val="CommentSubjectChar"/>
    <w:rsid w:val="00BC0BE9"/>
    <w:rPr>
      <w:b/>
      <w:bCs/>
    </w:rPr>
  </w:style>
  <w:style w:type="character" w:customStyle="1" w:styleId="CommentSubjectChar">
    <w:name w:val="Comment Subject Char"/>
    <w:link w:val="CommentSubject"/>
    <w:rsid w:val="00BC0BE9"/>
    <w:rPr>
      <w:b/>
      <w:bCs/>
      <w:lang w:eastAsia="en-US"/>
    </w:rPr>
  </w:style>
  <w:style w:type="character" w:customStyle="1" w:styleId="SubtitleChar">
    <w:name w:val="Subtitle Char"/>
    <w:link w:val="Subtitle"/>
    <w:rsid w:val="00E17533"/>
    <w:rPr>
      <w:rFonts w:ascii="Arial" w:hAnsi="Arial" w:cs="Arial"/>
      <w:b/>
      <w:bCs/>
      <w:sz w:val="24"/>
      <w:szCs w:val="24"/>
      <w:lang w:eastAsia="en-US"/>
    </w:rPr>
  </w:style>
  <w:style w:type="paragraph" w:styleId="FootnoteText">
    <w:name w:val="footnote text"/>
    <w:basedOn w:val="Normal"/>
    <w:link w:val="FootnoteTextChar"/>
    <w:rsid w:val="00C95DE6"/>
    <w:rPr>
      <w:sz w:val="20"/>
      <w:szCs w:val="20"/>
    </w:rPr>
  </w:style>
  <w:style w:type="character" w:customStyle="1" w:styleId="FootnoteTextChar">
    <w:name w:val="Footnote Text Char"/>
    <w:basedOn w:val="DefaultParagraphFont"/>
    <w:link w:val="FootnoteText"/>
    <w:rsid w:val="00C95DE6"/>
    <w:rPr>
      <w:lang w:eastAsia="en-US"/>
    </w:rPr>
  </w:style>
  <w:style w:type="character" w:styleId="FootnoteReference">
    <w:name w:val="footnote reference"/>
    <w:rsid w:val="00C95DE6"/>
    <w:rPr>
      <w:vertAlign w:val="superscript"/>
    </w:rPr>
  </w:style>
  <w:style w:type="character" w:customStyle="1" w:styleId="FooterChar">
    <w:name w:val="Footer Char"/>
    <w:basedOn w:val="DefaultParagraphFont"/>
    <w:link w:val="Footer"/>
    <w:uiPriority w:val="99"/>
    <w:rsid w:val="0061652B"/>
    <w:rPr>
      <w:sz w:val="24"/>
      <w:szCs w:val="24"/>
      <w:lang w:eastAsia="en-US"/>
    </w:rPr>
  </w:style>
  <w:style w:type="character" w:styleId="Hyperlink">
    <w:name w:val="Hyperlink"/>
    <w:basedOn w:val="DefaultParagraphFont"/>
    <w:rsid w:val="00582770"/>
    <w:rPr>
      <w:color w:val="0000FF" w:themeColor="hyperlink"/>
      <w:u w:val="single"/>
    </w:rPr>
  </w:style>
  <w:style w:type="character" w:styleId="FollowedHyperlink">
    <w:name w:val="FollowedHyperlink"/>
    <w:basedOn w:val="DefaultParagraphFont"/>
    <w:rsid w:val="00E95530"/>
    <w:rPr>
      <w:color w:val="800080" w:themeColor="followedHyperlink"/>
      <w:u w:val="single"/>
    </w:rPr>
  </w:style>
  <w:style w:type="paragraph" w:styleId="Revision">
    <w:name w:val="Revision"/>
    <w:hidden/>
    <w:uiPriority w:val="99"/>
    <w:semiHidden/>
    <w:rsid w:val="00E34BC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1735">
      <w:bodyDiv w:val="1"/>
      <w:marLeft w:val="0"/>
      <w:marRight w:val="0"/>
      <w:marTop w:val="0"/>
      <w:marBottom w:val="0"/>
      <w:divBdr>
        <w:top w:val="none" w:sz="0" w:space="0" w:color="auto"/>
        <w:left w:val="none" w:sz="0" w:space="0" w:color="auto"/>
        <w:bottom w:val="none" w:sz="0" w:space="0" w:color="auto"/>
        <w:right w:val="none" w:sz="0" w:space="0" w:color="auto"/>
      </w:divBdr>
    </w:div>
    <w:div w:id="643660362">
      <w:bodyDiv w:val="1"/>
      <w:marLeft w:val="0"/>
      <w:marRight w:val="0"/>
      <w:marTop w:val="0"/>
      <w:marBottom w:val="0"/>
      <w:divBdr>
        <w:top w:val="none" w:sz="0" w:space="0" w:color="auto"/>
        <w:left w:val="none" w:sz="0" w:space="0" w:color="auto"/>
        <w:bottom w:val="none" w:sz="0" w:space="0" w:color="auto"/>
        <w:right w:val="none" w:sz="0" w:space="0" w:color="auto"/>
      </w:divBdr>
    </w:div>
    <w:div w:id="716316003">
      <w:bodyDiv w:val="1"/>
      <w:marLeft w:val="0"/>
      <w:marRight w:val="0"/>
      <w:marTop w:val="0"/>
      <w:marBottom w:val="0"/>
      <w:divBdr>
        <w:top w:val="none" w:sz="0" w:space="0" w:color="auto"/>
        <w:left w:val="none" w:sz="0" w:space="0" w:color="auto"/>
        <w:bottom w:val="none" w:sz="0" w:space="0" w:color="auto"/>
        <w:right w:val="none" w:sz="0" w:space="0" w:color="auto"/>
      </w:divBdr>
    </w:div>
    <w:div w:id="937299110">
      <w:bodyDiv w:val="1"/>
      <w:marLeft w:val="0"/>
      <w:marRight w:val="0"/>
      <w:marTop w:val="0"/>
      <w:marBottom w:val="0"/>
      <w:divBdr>
        <w:top w:val="none" w:sz="0" w:space="0" w:color="auto"/>
        <w:left w:val="none" w:sz="0" w:space="0" w:color="auto"/>
        <w:bottom w:val="none" w:sz="0" w:space="0" w:color="auto"/>
        <w:right w:val="none" w:sz="0" w:space="0" w:color="auto"/>
      </w:divBdr>
    </w:div>
    <w:div w:id="1135295681">
      <w:bodyDiv w:val="1"/>
      <w:marLeft w:val="0"/>
      <w:marRight w:val="0"/>
      <w:marTop w:val="0"/>
      <w:marBottom w:val="0"/>
      <w:divBdr>
        <w:top w:val="none" w:sz="0" w:space="0" w:color="auto"/>
        <w:left w:val="none" w:sz="0" w:space="0" w:color="auto"/>
        <w:bottom w:val="none" w:sz="0" w:space="0" w:color="auto"/>
        <w:right w:val="none" w:sz="0" w:space="0" w:color="auto"/>
      </w:divBdr>
    </w:div>
    <w:div w:id="12624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Appraisals\Templates\RPP\RPP%20matrices\RPP%20matrix%20template%20November%202015%20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9C83-49D6-4772-9A80-F470D175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RPP matrix template November 2015 AK</Template>
  <TotalTime>0</TotalTime>
  <Pages>3</Pages>
  <Words>621</Words>
  <Characters>4270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Gavin Kenny</dc:creator>
  <cp:lastModifiedBy>Gavin Kenny</cp:lastModifiedBy>
  <cp:revision>2</cp:revision>
  <cp:lastPrinted>2013-05-02T11:53:00Z</cp:lastPrinted>
  <dcterms:created xsi:type="dcterms:W3CDTF">2016-03-17T16:59:00Z</dcterms:created>
  <dcterms:modified xsi:type="dcterms:W3CDTF">2016-03-17T16:59:00Z</dcterms:modified>
</cp:coreProperties>
</file>