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28AC2" w14:textId="77777777" w:rsidR="007D7F83" w:rsidRPr="007D7F83" w:rsidRDefault="007D7F83" w:rsidP="0044624B">
      <w:pPr>
        <w:pStyle w:val="Title2"/>
      </w:pPr>
      <w:r w:rsidRPr="007D7F83">
        <w:t>NATIONAL INSTITUTE FOR HEALTH AND C</w:t>
      </w:r>
      <w:r w:rsidR="00B12F36">
        <w:t>ARE</w:t>
      </w:r>
      <w:r w:rsidRPr="007D7F83">
        <w:t xml:space="preserve"> EXCELLENCE</w:t>
      </w:r>
    </w:p>
    <w:p w14:paraId="6FB21475" w14:textId="6E598097" w:rsidR="007D7F83" w:rsidRPr="007D7F83" w:rsidRDefault="00E728F5" w:rsidP="005D712B">
      <w:pPr>
        <w:pStyle w:val="Title2"/>
      </w:pPr>
      <w:r>
        <w:t>Final appraisal</w:t>
      </w:r>
      <w:r w:rsidR="007D7F83" w:rsidRPr="007D7F83">
        <w:t xml:space="preserve"> document</w:t>
      </w:r>
    </w:p>
    <w:p w14:paraId="1DC7C07F" w14:textId="66EE8884" w:rsidR="007D7F83" w:rsidRDefault="004E240A" w:rsidP="00BB7835">
      <w:pPr>
        <w:pStyle w:val="Title1"/>
      </w:pPr>
      <w:r>
        <w:t>Liposomal cytarabine</w:t>
      </w:r>
      <w:r w:rsidR="00730C03">
        <w:t>–</w:t>
      </w:r>
      <w:r>
        <w:t>daunorubicin for untreated acute myeloid leukaemia</w:t>
      </w:r>
    </w:p>
    <w:p w14:paraId="3DD60E83" w14:textId="6ACB8BB6" w:rsidR="007D7F83" w:rsidRPr="001A656A" w:rsidRDefault="000A1888" w:rsidP="001A656A">
      <w:pPr>
        <w:pStyle w:val="Numberedheading1"/>
      </w:pPr>
      <w:r w:rsidRPr="001A656A">
        <w:t>R</w:t>
      </w:r>
      <w:r w:rsidR="007D7F83" w:rsidRPr="001A656A">
        <w:t>ecommendations</w:t>
      </w:r>
    </w:p>
    <w:p w14:paraId="32D947D3" w14:textId="1CFB31DC" w:rsidR="00576DA5" w:rsidRPr="00624103" w:rsidRDefault="00576DA5" w:rsidP="00624103">
      <w:pPr>
        <w:pStyle w:val="Numberedlevel2text"/>
        <w:rPr>
          <w:szCs w:val="24"/>
        </w:rPr>
      </w:pPr>
      <w:r w:rsidRPr="00624103">
        <w:t>Liposomal cytarabine</w:t>
      </w:r>
      <w:r w:rsidR="00730C03">
        <w:rPr>
          <w:lang w:val="en-GB"/>
        </w:rPr>
        <w:t>–</w:t>
      </w:r>
      <w:r w:rsidRPr="00624103">
        <w:t>daunorubicin</w:t>
      </w:r>
      <w:r w:rsidR="00FC2893" w:rsidRPr="00981B9F">
        <w:t xml:space="preserve"> is recommended</w:t>
      </w:r>
      <w:r w:rsidR="00FC2893">
        <w:t>,</w:t>
      </w:r>
      <w:r w:rsidR="00FC2893" w:rsidRPr="00981B9F">
        <w:t xml:space="preserve"> within its marketing authorisation</w:t>
      </w:r>
      <w:r w:rsidR="00FC2893">
        <w:t>,</w:t>
      </w:r>
      <w:r w:rsidR="00FC2893" w:rsidRPr="00981B9F">
        <w:t xml:space="preserve"> </w:t>
      </w:r>
      <w:r w:rsidR="00624103">
        <w:rPr>
          <w:lang w:val="en-GB"/>
        </w:rPr>
        <w:t xml:space="preserve">as an option </w:t>
      </w:r>
      <w:r w:rsidR="00FC2893" w:rsidRPr="00981B9F">
        <w:t xml:space="preserve">for </w:t>
      </w:r>
      <w:r w:rsidR="00415D7E">
        <w:rPr>
          <w:lang w:val="en-GB"/>
        </w:rPr>
        <w:t>untreated</w:t>
      </w:r>
      <w:r w:rsidRPr="00624103">
        <w:t xml:space="preserve"> therapy-related acute myeloid leukaemia </w:t>
      </w:r>
      <w:r w:rsidR="00FF5B01" w:rsidRPr="00624103">
        <w:t>or acute myeloid leukaemia</w:t>
      </w:r>
      <w:r w:rsidRPr="00624103">
        <w:t xml:space="preserve"> with myelodysplasia-related changes in adults</w:t>
      </w:r>
      <w:r w:rsidR="00247E0B">
        <w:rPr>
          <w:lang w:val="en-GB"/>
        </w:rPr>
        <w:t>. It is recommended</w:t>
      </w:r>
      <w:r w:rsidR="00624103" w:rsidRPr="00624103">
        <w:t xml:space="preserve"> </w:t>
      </w:r>
      <w:r w:rsidR="00624103">
        <w:t>only if</w:t>
      </w:r>
      <w:r w:rsidR="00624103" w:rsidRPr="00981B9F">
        <w:t xml:space="preserve"> the </w:t>
      </w:r>
      <w:r w:rsidR="00624103">
        <w:t>company</w:t>
      </w:r>
      <w:r w:rsidR="00624103" w:rsidRPr="00981B9F">
        <w:t xml:space="preserve"> provides </w:t>
      </w:r>
      <w:r w:rsidR="00645F34">
        <w:rPr>
          <w:rStyle w:val="Numberedlevel2textChar"/>
          <w:bCs/>
          <w:iCs/>
          <w:lang w:val="en-GB"/>
        </w:rPr>
        <w:t>it</w:t>
      </w:r>
      <w:r w:rsidR="00624103">
        <w:rPr>
          <w:rStyle w:val="Numberedlevel2textChar"/>
          <w:bCs/>
          <w:iCs/>
          <w:lang w:val="en-GB"/>
        </w:rPr>
        <w:t xml:space="preserve"> </w:t>
      </w:r>
      <w:r w:rsidR="00624103">
        <w:t>according to the commercial arrangement (see section</w:t>
      </w:r>
      <w:r w:rsidR="003772C9">
        <w:rPr>
          <w:lang w:val="en-GB"/>
        </w:rPr>
        <w:t> </w:t>
      </w:r>
      <w:r w:rsidR="008F7C6B">
        <w:fldChar w:fldCharType="begin"/>
      </w:r>
      <w:r w:rsidR="008F7C6B">
        <w:instrText xml:space="preserve"> REF _Ref526329966 \r \h </w:instrText>
      </w:r>
      <w:r w:rsidR="008F7C6B">
        <w:fldChar w:fldCharType="separate"/>
      </w:r>
      <w:r w:rsidR="008F7C6B">
        <w:t>2</w:t>
      </w:r>
      <w:r w:rsidR="008F7C6B">
        <w:fldChar w:fldCharType="end"/>
      </w:r>
      <w:r w:rsidR="00624103">
        <w:t>).</w:t>
      </w:r>
    </w:p>
    <w:p w14:paraId="5758DF8E" w14:textId="77777777" w:rsidR="00AD5B3A" w:rsidRPr="0023030F" w:rsidRDefault="00AD5B3A" w:rsidP="0023030F">
      <w:pPr>
        <w:pStyle w:val="NICEnormal"/>
        <w:rPr>
          <w:b/>
        </w:rPr>
      </w:pPr>
      <w:r w:rsidRPr="0023030F">
        <w:rPr>
          <w:b/>
        </w:rPr>
        <w:t>Why the committee made these recommendations</w:t>
      </w:r>
    </w:p>
    <w:p w14:paraId="16D006C5" w14:textId="6BB490AC" w:rsidR="00A96236" w:rsidRDefault="00A96236" w:rsidP="00A96236">
      <w:pPr>
        <w:pStyle w:val="NICEnormalindented"/>
      </w:pPr>
      <w:r>
        <w:t>Current treatment for</w:t>
      </w:r>
      <w:r w:rsidR="005868A8" w:rsidRPr="005868A8">
        <w:t xml:space="preserve"> </w:t>
      </w:r>
      <w:r w:rsidR="005868A8">
        <w:t xml:space="preserve">therapy-related acute myeloid leukaemia and acute myeloid leukaemia with myelodysplasia-related changes </w:t>
      </w:r>
      <w:r>
        <w:t xml:space="preserve">is chemotherapy. </w:t>
      </w:r>
      <w:r w:rsidR="007F598E">
        <w:t>Clinical trial evidence</w:t>
      </w:r>
      <w:r>
        <w:t xml:space="preserve"> shows that people having liposomal cytarabine</w:t>
      </w:r>
      <w:r w:rsidR="0013058D">
        <w:t>–</w:t>
      </w:r>
      <w:r>
        <w:t xml:space="preserve">daunorubicin live longer than people </w:t>
      </w:r>
      <w:r w:rsidR="00661C87">
        <w:t xml:space="preserve">having </w:t>
      </w:r>
      <w:r>
        <w:t>standard chemotherapy.</w:t>
      </w:r>
    </w:p>
    <w:p w14:paraId="078539C9" w14:textId="6706EB4B" w:rsidR="00AD5B3A" w:rsidRPr="00AD5B3A" w:rsidRDefault="009726D1" w:rsidP="00BA41DC">
      <w:pPr>
        <w:pStyle w:val="NICEnormalindented"/>
      </w:pPr>
      <w:r>
        <w:t>Liposomal cytarabine</w:t>
      </w:r>
      <w:r w:rsidR="0013058D">
        <w:t>–</w:t>
      </w:r>
      <w:r>
        <w:t xml:space="preserve">daunorubicin meets NICE’s criteria for being a life-extending treatment at the end of life. </w:t>
      </w:r>
      <w:r w:rsidR="00DA2799">
        <w:t>Using</w:t>
      </w:r>
      <w:r>
        <w:t xml:space="preserve"> the most plausible assumptions and the price</w:t>
      </w:r>
      <w:r w:rsidR="00C74877">
        <w:t xml:space="preserve"> discount</w:t>
      </w:r>
      <w:r>
        <w:t>, the cost-effectiveness estimates of liposomal cytarabine</w:t>
      </w:r>
      <w:r w:rsidR="0013058D">
        <w:t>–</w:t>
      </w:r>
      <w:r>
        <w:t xml:space="preserve">daunorubicin compared with standard </w:t>
      </w:r>
      <w:r w:rsidR="00E14A95">
        <w:t>chemotherapy</w:t>
      </w:r>
      <w:r>
        <w:t xml:space="preserve"> are within the range that NICE normally considers a cost-effective use of NHS resources</w:t>
      </w:r>
      <w:r w:rsidR="00A20651">
        <w:t xml:space="preserve"> for end-of-life treatments</w:t>
      </w:r>
      <w:r w:rsidR="00C74877">
        <w:t>. S</w:t>
      </w:r>
      <w:r>
        <w:t>o liposomal cytarabine</w:t>
      </w:r>
      <w:r w:rsidR="0013058D">
        <w:t>–</w:t>
      </w:r>
      <w:r>
        <w:t>daunorubicin is recommended.</w:t>
      </w:r>
    </w:p>
    <w:p w14:paraId="1D06766A" w14:textId="0F7D8FDD" w:rsidR="007D7F83" w:rsidRPr="007D7F83" w:rsidRDefault="00D37DC2" w:rsidP="001A656A">
      <w:pPr>
        <w:pStyle w:val="Numberedheading1"/>
      </w:pPr>
      <w:bookmarkStart w:id="0" w:name="_Ref526329966"/>
      <w:r>
        <w:lastRenderedPageBreak/>
        <w:t xml:space="preserve">Information about </w:t>
      </w:r>
      <w:r w:rsidR="001C4555">
        <w:t>liposomal cytarabine</w:t>
      </w:r>
      <w:r w:rsidR="0013058D">
        <w:t>–</w:t>
      </w:r>
      <w:r w:rsidR="001C4555">
        <w:t>daunorubicin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444"/>
      </w:tblGrid>
      <w:tr w:rsidR="00BC053C" w14:paraId="32DEAADA" w14:textId="77777777" w:rsidTr="00FB6CBF">
        <w:tc>
          <w:tcPr>
            <w:tcW w:w="3085" w:type="dxa"/>
            <w:shd w:val="clear" w:color="auto" w:fill="auto"/>
          </w:tcPr>
          <w:p w14:paraId="1BF9824C" w14:textId="37048518" w:rsidR="00BC053C" w:rsidRPr="00FB6CBF" w:rsidRDefault="00B47F0E" w:rsidP="00FB6CBF">
            <w:pPr>
              <w:pStyle w:val="Tabletext"/>
              <w:rPr>
                <w:b/>
              </w:rPr>
            </w:pPr>
            <w:r>
              <w:rPr>
                <w:b/>
              </w:rPr>
              <w:t>M</w:t>
            </w:r>
            <w:r w:rsidR="00636DB2" w:rsidRPr="00636DB2">
              <w:rPr>
                <w:b/>
              </w:rPr>
              <w:t>arketing authorisation indication</w:t>
            </w:r>
          </w:p>
        </w:tc>
        <w:tc>
          <w:tcPr>
            <w:tcW w:w="5444" w:type="dxa"/>
            <w:shd w:val="clear" w:color="auto" w:fill="auto"/>
          </w:tcPr>
          <w:p w14:paraId="4E086384" w14:textId="5F04CF2D" w:rsidR="00B51F04" w:rsidRDefault="00636DB2" w:rsidP="0013058D">
            <w:pPr>
              <w:pStyle w:val="Tabletext"/>
            </w:pPr>
            <w:r>
              <w:t>Liposomal cytarabine</w:t>
            </w:r>
            <w:r w:rsidR="0013058D">
              <w:t>–</w:t>
            </w:r>
            <w:r>
              <w:t>daunorubicin</w:t>
            </w:r>
            <w:r w:rsidRPr="00981494">
              <w:t xml:space="preserve"> </w:t>
            </w:r>
            <w:r>
              <w:t>(Vyxeos, Jazz Pharmaceuticals) is i</w:t>
            </w:r>
            <w:r w:rsidRPr="00636DB2">
              <w:t xml:space="preserve">ndicated for </w:t>
            </w:r>
            <w:r w:rsidR="00A66593">
              <w:t>‘</w:t>
            </w:r>
            <w:r w:rsidRPr="00636DB2">
              <w:t>the treatme</w:t>
            </w:r>
            <w:r>
              <w:t>nt of adults with newly diagnos</w:t>
            </w:r>
            <w:r w:rsidRPr="00636DB2">
              <w:t>ed</w:t>
            </w:r>
            <w:r>
              <w:t>, therapy-related acute myeloid leukaemia (t-AML) or AML with myelodysplasia-related changes (AML-MRC)</w:t>
            </w:r>
            <w:r w:rsidR="00A66593">
              <w:t>’</w:t>
            </w:r>
            <w:r>
              <w:t>.</w:t>
            </w:r>
            <w:r w:rsidR="00B51F04">
              <w:t xml:space="preserve"> </w:t>
            </w:r>
          </w:p>
        </w:tc>
      </w:tr>
      <w:tr w:rsidR="00BC053C" w14:paraId="7AE37963" w14:textId="77777777" w:rsidTr="00FB6CBF">
        <w:tc>
          <w:tcPr>
            <w:tcW w:w="3085" w:type="dxa"/>
            <w:shd w:val="clear" w:color="auto" w:fill="auto"/>
          </w:tcPr>
          <w:p w14:paraId="234D3641" w14:textId="77777777" w:rsidR="00BC053C" w:rsidRPr="00FB6CBF" w:rsidRDefault="00D37DC2" w:rsidP="00FB6CBF">
            <w:pPr>
              <w:pStyle w:val="Tabletext"/>
              <w:rPr>
                <w:b/>
              </w:rPr>
            </w:pPr>
            <w:r>
              <w:rPr>
                <w:b/>
              </w:rPr>
              <w:t>Dosage in the marketing authorisation</w:t>
            </w:r>
          </w:p>
        </w:tc>
        <w:tc>
          <w:tcPr>
            <w:tcW w:w="5444" w:type="dxa"/>
            <w:shd w:val="clear" w:color="auto" w:fill="auto"/>
          </w:tcPr>
          <w:p w14:paraId="642712E9" w14:textId="568CCC89" w:rsidR="008D3491" w:rsidRDefault="008D3491" w:rsidP="00B51F04">
            <w:pPr>
              <w:pStyle w:val="Tabletext"/>
              <w:rPr>
                <w:rFonts w:cs="Arial"/>
              </w:rPr>
            </w:pPr>
            <w:r>
              <w:t>The company’s submission states that liposomal cytarabine</w:t>
            </w:r>
            <w:r w:rsidR="0013058D">
              <w:t>–</w:t>
            </w:r>
            <w:r>
              <w:t>daunorubicin</w:t>
            </w:r>
            <w:r w:rsidRPr="00981494">
              <w:t xml:space="preserve"> </w:t>
            </w:r>
            <w:r>
              <w:t xml:space="preserve">is </w:t>
            </w:r>
            <w:r w:rsidR="00572880">
              <w:rPr>
                <w:rFonts w:cs="Arial"/>
              </w:rPr>
              <w:t>given</w:t>
            </w:r>
            <w:r w:rsidR="00572880" w:rsidRPr="00805480">
              <w:rPr>
                <w:rFonts w:cs="Arial"/>
              </w:rPr>
              <w:t xml:space="preserve"> </w:t>
            </w:r>
            <w:r w:rsidRPr="00805480">
              <w:rPr>
                <w:rFonts w:cs="Arial"/>
              </w:rPr>
              <w:t xml:space="preserve">by intravenous infusion over </w:t>
            </w:r>
            <w:r w:rsidR="00572880" w:rsidRPr="00805480">
              <w:rPr>
                <w:rFonts w:cs="Arial"/>
              </w:rPr>
              <w:t>90</w:t>
            </w:r>
            <w:r w:rsidR="00572880">
              <w:rPr>
                <w:rFonts w:cs="Arial"/>
              </w:rPr>
              <w:t> </w:t>
            </w:r>
            <w:r w:rsidRPr="00805480">
              <w:rPr>
                <w:rFonts w:cs="Arial"/>
              </w:rPr>
              <w:t>minutes</w:t>
            </w:r>
            <w:r w:rsidR="00E2592E">
              <w:rPr>
                <w:rFonts w:cs="Arial"/>
              </w:rPr>
              <w:t>. The dose is based on the patient’s body surface area, according to the following schedule:</w:t>
            </w:r>
          </w:p>
          <w:p w14:paraId="4A0D506E" w14:textId="0625F799" w:rsidR="00E2592E" w:rsidRDefault="00E2592E" w:rsidP="00E2592E">
            <w:pPr>
              <w:pStyle w:val="Tabletext"/>
              <w:numPr>
                <w:ilvl w:val="0"/>
                <w:numId w:val="27"/>
              </w:numPr>
            </w:pPr>
            <w:r>
              <w:t xml:space="preserve">For induction of remission: daunorubicin </w:t>
            </w:r>
            <w:r w:rsidR="00572880">
              <w:t>44 </w:t>
            </w:r>
            <w:r>
              <w:t>mg/m</w:t>
            </w:r>
            <w:r w:rsidRPr="00E2592E">
              <w:rPr>
                <w:vertAlign w:val="superscript"/>
              </w:rPr>
              <w:t>2</w:t>
            </w:r>
            <w:r>
              <w:t xml:space="preserve"> and cytarabine </w:t>
            </w:r>
            <w:r w:rsidR="00572880">
              <w:t>100 </w:t>
            </w:r>
            <w:r>
              <w:t>mg/m</w:t>
            </w:r>
            <w:r w:rsidRPr="00E2592E">
              <w:rPr>
                <w:vertAlign w:val="superscript"/>
              </w:rPr>
              <w:t>2</w:t>
            </w:r>
            <w:r>
              <w:t xml:space="preserve"> on days</w:t>
            </w:r>
            <w:r w:rsidR="003772C9">
              <w:t> </w:t>
            </w:r>
            <w:r>
              <w:t>1, 3 and 5 for the first course and on days</w:t>
            </w:r>
            <w:r w:rsidR="003772C9">
              <w:t> </w:t>
            </w:r>
            <w:r>
              <w:t>1 and 3 for subsequent courses, if needed.</w:t>
            </w:r>
          </w:p>
          <w:p w14:paraId="7BD3795A" w14:textId="79985742" w:rsidR="00E2592E" w:rsidRDefault="00E2592E" w:rsidP="003772C9">
            <w:pPr>
              <w:pStyle w:val="Tabletext"/>
              <w:numPr>
                <w:ilvl w:val="0"/>
                <w:numId w:val="27"/>
              </w:numPr>
            </w:pPr>
            <w:r>
              <w:t xml:space="preserve">For consolidation (5 to </w:t>
            </w:r>
            <w:r w:rsidR="00572880">
              <w:t>8 </w:t>
            </w:r>
            <w:r>
              <w:t xml:space="preserve">weeks after the start of the last induction): daunorubicin </w:t>
            </w:r>
            <w:r w:rsidR="00572880">
              <w:t>29 </w:t>
            </w:r>
            <w:r>
              <w:t>mg/m</w:t>
            </w:r>
            <w:r w:rsidRPr="00E2592E">
              <w:rPr>
                <w:vertAlign w:val="superscript"/>
              </w:rPr>
              <w:t>2</w:t>
            </w:r>
            <w:r>
              <w:t xml:space="preserve"> and cytarabine 65</w:t>
            </w:r>
            <w:r w:rsidR="00572880">
              <w:t> </w:t>
            </w:r>
            <w:r>
              <w:t>mg/m</w:t>
            </w:r>
            <w:r w:rsidRPr="00E2592E">
              <w:rPr>
                <w:vertAlign w:val="superscript"/>
              </w:rPr>
              <w:t>2</w:t>
            </w:r>
            <w:r>
              <w:t xml:space="preserve"> on days</w:t>
            </w:r>
            <w:r w:rsidR="003772C9">
              <w:t> </w:t>
            </w:r>
            <w:r>
              <w:t xml:space="preserve">1 and 3. </w:t>
            </w:r>
            <w:r w:rsidRPr="00805480">
              <w:rPr>
                <w:rFonts w:cs="Arial"/>
              </w:rPr>
              <w:t xml:space="preserve">A subsequent course of consolidation may be </w:t>
            </w:r>
            <w:r w:rsidR="00572880">
              <w:rPr>
                <w:rFonts w:cs="Arial"/>
              </w:rPr>
              <w:t>given</w:t>
            </w:r>
            <w:r w:rsidR="00572880" w:rsidRPr="00805480">
              <w:rPr>
                <w:rFonts w:cs="Arial"/>
              </w:rPr>
              <w:t xml:space="preserve"> </w:t>
            </w:r>
            <w:r w:rsidR="00C2104E">
              <w:rPr>
                <w:rFonts w:cs="Arial"/>
              </w:rPr>
              <w:t>when there is no</w:t>
            </w:r>
            <w:r w:rsidR="00A92DAB">
              <w:rPr>
                <w:rFonts w:cs="Arial"/>
              </w:rPr>
              <w:t xml:space="preserve"> </w:t>
            </w:r>
            <w:r w:rsidRPr="00805480">
              <w:rPr>
                <w:rFonts w:cs="Arial"/>
              </w:rPr>
              <w:t>disease progression or unacceptable toxicity.</w:t>
            </w:r>
          </w:p>
        </w:tc>
      </w:tr>
      <w:tr w:rsidR="00BC053C" w14:paraId="7D590EA4" w14:textId="77777777" w:rsidTr="00FB6CBF">
        <w:tc>
          <w:tcPr>
            <w:tcW w:w="3085" w:type="dxa"/>
            <w:shd w:val="clear" w:color="auto" w:fill="auto"/>
          </w:tcPr>
          <w:p w14:paraId="03B4C95F" w14:textId="77777777" w:rsidR="00BC053C" w:rsidRPr="00FB6CBF" w:rsidRDefault="00BC053C" w:rsidP="00FB6CBF">
            <w:pPr>
              <w:pStyle w:val="Tabletext"/>
              <w:rPr>
                <w:b/>
              </w:rPr>
            </w:pPr>
            <w:r w:rsidRPr="00FB6CBF">
              <w:rPr>
                <w:b/>
              </w:rPr>
              <w:t>Price</w:t>
            </w:r>
          </w:p>
        </w:tc>
        <w:tc>
          <w:tcPr>
            <w:tcW w:w="5444" w:type="dxa"/>
            <w:shd w:val="clear" w:color="auto" w:fill="auto"/>
          </w:tcPr>
          <w:p w14:paraId="4E44C321" w14:textId="33026ECD" w:rsidR="0038498B" w:rsidRDefault="00C76231" w:rsidP="00FB6CBF">
            <w:pPr>
              <w:pStyle w:val="Tabletext"/>
            </w:pPr>
            <w:r>
              <w:t>The company stated that the list price of liposomal cytarabine</w:t>
            </w:r>
            <w:r w:rsidR="0013058D">
              <w:t>–</w:t>
            </w:r>
            <w:r>
              <w:t xml:space="preserve">daunorubicin is £4,581 per </w:t>
            </w:r>
            <w:r w:rsidR="004B3DFB">
              <w:t>50</w:t>
            </w:r>
            <w:r w:rsidR="003772C9">
              <w:t> </w:t>
            </w:r>
            <w:r w:rsidR="004B3DFB">
              <w:t xml:space="preserve">ml </w:t>
            </w:r>
            <w:r>
              <w:t>vial.</w:t>
            </w:r>
          </w:p>
          <w:p w14:paraId="5034316D" w14:textId="7F6172A7" w:rsidR="00000574" w:rsidRDefault="00A30741" w:rsidP="0013058D">
            <w:pPr>
              <w:pStyle w:val="Tabletext"/>
            </w:pPr>
            <w:r>
              <w:t>The company has a commercial arrangement</w:t>
            </w:r>
            <w:r w:rsidR="00624103">
              <w:t xml:space="preserve"> (simple discount patient access scheme).</w:t>
            </w:r>
            <w:r w:rsidR="00E6615E">
              <w:t xml:space="preserve"> </w:t>
            </w:r>
            <w:r w:rsidR="00624103">
              <w:t>This</w:t>
            </w:r>
            <w:r w:rsidR="00624103" w:rsidRPr="00B520D8">
              <w:t xml:space="preserve"> makes </w:t>
            </w:r>
            <w:r w:rsidR="00624103">
              <w:t>liposomal cytarabine</w:t>
            </w:r>
            <w:r w:rsidR="0013058D">
              <w:t>–</w:t>
            </w:r>
            <w:r w:rsidR="00624103">
              <w:t xml:space="preserve">daunorubicin </w:t>
            </w:r>
            <w:r w:rsidR="00624103" w:rsidRPr="00B520D8">
              <w:t>available to the NHS with a discount. The size of the discount is commercial in confidence. It is the company</w:t>
            </w:r>
            <w:r w:rsidR="00624103">
              <w:t>’s responsibility</w:t>
            </w:r>
            <w:r w:rsidR="00624103" w:rsidRPr="00B520D8">
              <w:t xml:space="preserve"> to </w:t>
            </w:r>
            <w:r w:rsidR="00624103">
              <w:t>let</w:t>
            </w:r>
            <w:r w:rsidR="00624103" w:rsidRPr="00B520D8">
              <w:t xml:space="preserve"> relevant NHS organisations</w:t>
            </w:r>
            <w:r w:rsidR="00624103">
              <w:t xml:space="preserve"> know details of the discount.</w:t>
            </w:r>
          </w:p>
        </w:tc>
      </w:tr>
    </w:tbl>
    <w:p w14:paraId="5C93A6EF" w14:textId="77777777" w:rsidR="00FD17B1" w:rsidRDefault="007D7F83" w:rsidP="001A656A">
      <w:pPr>
        <w:pStyle w:val="Numberedheading1"/>
      </w:pPr>
      <w:r w:rsidRPr="007D7F83">
        <w:t>Co</w:t>
      </w:r>
      <w:r w:rsidR="00D30C4A">
        <w:t>mmittee discussion</w:t>
      </w:r>
    </w:p>
    <w:p w14:paraId="2777F452" w14:textId="60B63700" w:rsidR="006032BF" w:rsidRPr="00AE3728" w:rsidRDefault="006032BF" w:rsidP="00941AF4">
      <w:pPr>
        <w:pStyle w:val="NICEnormal"/>
        <w:rPr>
          <w:lang w:val="en-US"/>
        </w:rPr>
      </w:pPr>
      <w:r w:rsidRPr="007D7F83">
        <w:t xml:space="preserve">The </w:t>
      </w:r>
      <w:r>
        <w:t>a</w:t>
      </w:r>
      <w:r w:rsidRPr="007D7F83">
        <w:t xml:space="preserve">ppraisal </w:t>
      </w:r>
      <w:r>
        <w:t>c</w:t>
      </w:r>
      <w:r w:rsidRPr="007D7F83">
        <w:t xml:space="preserve">ommittee </w:t>
      </w:r>
      <w:r>
        <w:t>(</w:t>
      </w:r>
      <w:r w:rsidR="00572880">
        <w:t>section </w:t>
      </w:r>
      <w:r w:rsidR="008F7C6B">
        <w:fldChar w:fldCharType="begin"/>
      </w:r>
      <w:r w:rsidR="008F7C6B">
        <w:instrText xml:space="preserve"> REF _Ref526329982 \r \h </w:instrText>
      </w:r>
      <w:r w:rsidR="008F7C6B">
        <w:fldChar w:fldCharType="separate"/>
      </w:r>
      <w:r w:rsidR="008F7C6B">
        <w:t>6</w:t>
      </w:r>
      <w:r w:rsidR="008F7C6B">
        <w:fldChar w:fldCharType="end"/>
      </w:r>
      <w:r>
        <w:t xml:space="preserve">) </w:t>
      </w:r>
      <w:r w:rsidRPr="007D7F83">
        <w:t xml:space="preserve">considered evidence </w:t>
      </w:r>
      <w:r w:rsidRPr="006032BF">
        <w:t>submitted</w:t>
      </w:r>
      <w:r w:rsidRPr="007D7F83">
        <w:t xml:space="preserve"> by </w:t>
      </w:r>
      <w:r w:rsidR="00F12C15">
        <w:t>Jazz Pharmaceuticals</w:t>
      </w:r>
      <w:r w:rsidRPr="00981B9F">
        <w:t xml:space="preserve"> </w:t>
      </w:r>
      <w:r w:rsidRPr="007D7F83">
        <w:t xml:space="preserve">and a review of this submission by the </w:t>
      </w:r>
      <w:r>
        <w:t>e</w:t>
      </w:r>
      <w:r w:rsidRPr="007D7F83">
        <w:t xml:space="preserve">vidence </w:t>
      </w:r>
      <w:r>
        <w:t>r</w:t>
      </w:r>
      <w:r w:rsidRPr="007D7F83">
        <w:t xml:space="preserve">eview </w:t>
      </w:r>
      <w:r>
        <w:t>g</w:t>
      </w:r>
      <w:r w:rsidRPr="007D7F83">
        <w:t>roup (ERG).</w:t>
      </w:r>
      <w:r>
        <w:t xml:space="preserve"> See the </w:t>
      </w:r>
      <w:hyperlink r:id="rId8" w:history="1">
        <w:r>
          <w:rPr>
            <w:rStyle w:val="Hyperlink"/>
          </w:rPr>
          <w:t>committee papers</w:t>
        </w:r>
      </w:hyperlink>
      <w:r>
        <w:t xml:space="preserve"> for full details of the evidence.</w:t>
      </w:r>
    </w:p>
    <w:p w14:paraId="30B299DC" w14:textId="01B53ABA" w:rsidR="007D4925" w:rsidRDefault="00327D74" w:rsidP="0070286B">
      <w:pPr>
        <w:pStyle w:val="Heading2"/>
      </w:pPr>
      <w:r>
        <w:lastRenderedPageBreak/>
        <w:t>Potential n</w:t>
      </w:r>
      <w:r w:rsidR="004126F2">
        <w:t>ew treatment option</w:t>
      </w:r>
    </w:p>
    <w:p w14:paraId="4EC554B4" w14:textId="665FBA6F" w:rsidR="007D4925" w:rsidRDefault="004126F2" w:rsidP="00654F74">
      <w:pPr>
        <w:pStyle w:val="Heading3"/>
        <w:rPr>
          <w:rStyle w:val="Numberedlevel2textChar"/>
          <w:rFonts w:cs="Times New Roman"/>
          <w:iCs w:val="0"/>
        </w:rPr>
      </w:pPr>
      <w:r>
        <w:t xml:space="preserve">People with </w:t>
      </w:r>
      <w:r w:rsidRPr="00576DA5">
        <w:rPr>
          <w:rStyle w:val="Numberedlevel2textChar"/>
          <w:rFonts w:cs="Times New Roman"/>
          <w:iCs w:val="0"/>
        </w:rPr>
        <w:t>acute myeloid leukaemia</w:t>
      </w:r>
      <w:r w:rsidR="003505C6">
        <w:rPr>
          <w:rStyle w:val="Numberedlevel2textChar"/>
          <w:rFonts w:cs="Times New Roman"/>
          <w:iCs w:val="0"/>
        </w:rPr>
        <w:t xml:space="preserve"> that is </w:t>
      </w:r>
      <w:r w:rsidR="003505C6" w:rsidRPr="00576DA5">
        <w:rPr>
          <w:rStyle w:val="Numberedlevel2textChar"/>
          <w:rFonts w:cs="Times New Roman"/>
          <w:iCs w:val="0"/>
        </w:rPr>
        <w:t>therapy-related</w:t>
      </w:r>
      <w:r w:rsidRPr="00576DA5">
        <w:rPr>
          <w:rStyle w:val="Numberedlevel2textChar"/>
          <w:rFonts w:cs="Times New Roman"/>
          <w:iCs w:val="0"/>
        </w:rPr>
        <w:t xml:space="preserve"> </w:t>
      </w:r>
      <w:r w:rsidR="00FF5B01">
        <w:rPr>
          <w:rStyle w:val="Numberedlevel2textChar"/>
          <w:rFonts w:cs="Times New Roman"/>
          <w:iCs w:val="0"/>
        </w:rPr>
        <w:t xml:space="preserve">or </w:t>
      </w:r>
      <w:r w:rsidRPr="00576DA5">
        <w:rPr>
          <w:rStyle w:val="Numberedlevel2textChar"/>
          <w:rFonts w:cs="Times New Roman"/>
          <w:iCs w:val="0"/>
        </w:rPr>
        <w:t>with myelodysplasia-related changes</w:t>
      </w:r>
      <w:r>
        <w:rPr>
          <w:rStyle w:val="Numberedlevel2textChar"/>
          <w:rFonts w:cs="Times New Roman"/>
          <w:iCs w:val="0"/>
        </w:rPr>
        <w:t xml:space="preserve"> would welcome a new treatment option</w:t>
      </w:r>
    </w:p>
    <w:p w14:paraId="76D77132" w14:textId="2BCB9C34" w:rsidR="00FF5B01" w:rsidRPr="00FF5B01" w:rsidRDefault="004A47ED" w:rsidP="00CB5FAF">
      <w:pPr>
        <w:pStyle w:val="Numberedlevel2text"/>
      </w:pPr>
      <w:r>
        <w:t xml:space="preserve">Therapy-related acute myeloid leukaemia and acute myeloid leukaemia with myelodysplasia-related changes </w:t>
      </w:r>
      <w:r w:rsidR="00FF5B01">
        <w:t>are high-risk types of acute myeloid</w:t>
      </w:r>
      <w:r w:rsidR="00185157">
        <w:t xml:space="preserve"> leukaemia with poor survival outcomes. Patient experts </w:t>
      </w:r>
      <w:r w:rsidR="008E2459">
        <w:t>describ</w:t>
      </w:r>
      <w:r w:rsidR="00185157">
        <w:t xml:space="preserve">ed that the most common symptoms include fatigue, feeling weak or breathless, loss of memory and concentration, bruising and bleeding, and nausea or vomiting. They also </w:t>
      </w:r>
      <w:r w:rsidR="008E2459">
        <w:t>highlighted</w:t>
      </w:r>
      <w:r w:rsidR="00185157">
        <w:t xml:space="preserve"> that the diagnosis has an emotional and financial </w:t>
      </w:r>
      <w:r w:rsidR="00572880">
        <w:rPr>
          <w:lang w:val="en-GB"/>
        </w:rPr>
        <w:t>effect</w:t>
      </w:r>
      <w:r w:rsidR="00572880">
        <w:t xml:space="preserve"> </w:t>
      </w:r>
      <w:r w:rsidR="00185157">
        <w:t xml:space="preserve">on patients and their families and carers. </w:t>
      </w:r>
      <w:r w:rsidR="00572880">
        <w:rPr>
          <w:lang w:val="en-GB"/>
        </w:rPr>
        <w:t>Both the</w:t>
      </w:r>
      <w:r w:rsidR="00572880">
        <w:t xml:space="preserve"> </w:t>
      </w:r>
      <w:r w:rsidR="008E2459">
        <w:t xml:space="preserve">patient and clinical experts explained that patients would welcome a treatment that helps them </w:t>
      </w:r>
      <w:r w:rsidR="00346B9B">
        <w:rPr>
          <w:lang w:val="en-GB"/>
        </w:rPr>
        <w:t>be well enough to have</w:t>
      </w:r>
      <w:r w:rsidR="008E2459">
        <w:t xml:space="preserve"> a stem cell transplant, which is potentially a curative treatment. The committee concluded that people with therapy-related acute myeloid leukaemia and acute myeloid leukaemia with myelodysplasia-related changes would welcome a new treatment that could improve survival, quality of life, and the chance of getting a stem cell transplant.</w:t>
      </w:r>
    </w:p>
    <w:p w14:paraId="034F57AF" w14:textId="4DC65ECA" w:rsidR="00D05704" w:rsidRDefault="00CB5FAF" w:rsidP="0070286B">
      <w:pPr>
        <w:pStyle w:val="Heading2"/>
      </w:pPr>
      <w:r>
        <w:t>Clinical management</w:t>
      </w:r>
    </w:p>
    <w:p w14:paraId="15E38355" w14:textId="2043C4FD" w:rsidR="00114549" w:rsidRDefault="00D135B0" w:rsidP="00426086">
      <w:pPr>
        <w:pStyle w:val="Heading3"/>
      </w:pPr>
      <w:r>
        <w:t>Current t</w:t>
      </w:r>
      <w:r w:rsidR="00CB5FAF">
        <w:t>reatment is chemotherapy</w:t>
      </w:r>
    </w:p>
    <w:p w14:paraId="09C33CF5" w14:textId="3D8D5F87" w:rsidR="00CB5FAF" w:rsidRPr="00ED2498" w:rsidRDefault="00CB5FAF" w:rsidP="00ED2498">
      <w:pPr>
        <w:pStyle w:val="Numberedlevel2text"/>
        <w:rPr>
          <w:lang w:val="en-GB"/>
        </w:rPr>
      </w:pPr>
      <w:bookmarkStart w:id="1" w:name="_Ref521415134"/>
      <w:r>
        <w:t>Current treatment for</w:t>
      </w:r>
      <w:r w:rsidR="00DD647D">
        <w:t xml:space="preserve"> therapy-related acute myeloid leukaemia and acute myeloid leukaemia with myelodysplasia-related changes is intensive chemotherapy, for people who are </w:t>
      </w:r>
      <w:r w:rsidR="00FB1FC9">
        <w:rPr>
          <w:lang w:val="en-GB"/>
        </w:rPr>
        <w:t>well</w:t>
      </w:r>
      <w:r w:rsidR="00FB1FC9">
        <w:t xml:space="preserve"> </w:t>
      </w:r>
      <w:r w:rsidR="00DD647D">
        <w:t>enough to have it.</w:t>
      </w:r>
      <w:r w:rsidR="00605EE9">
        <w:t xml:space="preserve"> This usually involve</w:t>
      </w:r>
      <w:r w:rsidR="009E74C3">
        <w:rPr>
          <w:lang w:val="en-GB"/>
        </w:rPr>
        <w:t>s</w:t>
      </w:r>
      <w:r w:rsidR="00605EE9">
        <w:t xml:space="preserve"> a first induction course, and </w:t>
      </w:r>
      <w:r w:rsidR="00E4589E">
        <w:rPr>
          <w:lang w:val="en-GB"/>
        </w:rPr>
        <w:t>2</w:t>
      </w:r>
      <w:r w:rsidR="00BD0A1A">
        <w:rPr>
          <w:lang w:val="en-GB"/>
        </w:rPr>
        <w:t> </w:t>
      </w:r>
      <w:r w:rsidR="00605EE9">
        <w:t>or</w:t>
      </w:r>
      <w:r w:rsidR="00BD0A1A">
        <w:rPr>
          <w:lang w:val="en-GB"/>
        </w:rPr>
        <w:t> </w:t>
      </w:r>
      <w:r w:rsidR="00E4589E">
        <w:rPr>
          <w:lang w:val="en-GB"/>
        </w:rPr>
        <w:t>3</w:t>
      </w:r>
      <w:r w:rsidR="00605EE9">
        <w:t xml:space="preserve"> </w:t>
      </w:r>
      <w:r w:rsidR="009D3ECF">
        <w:rPr>
          <w:lang w:val="en-GB"/>
        </w:rPr>
        <w:t xml:space="preserve">further </w:t>
      </w:r>
      <w:r w:rsidR="00605EE9">
        <w:t>courses of standard daunorubicin and cytarabine</w:t>
      </w:r>
      <w:r w:rsidR="004A47ED">
        <w:rPr>
          <w:lang w:val="en-GB"/>
        </w:rPr>
        <w:t xml:space="preserve"> to treat</w:t>
      </w:r>
      <w:r w:rsidR="009D3ECF">
        <w:rPr>
          <w:lang w:val="en-GB"/>
        </w:rPr>
        <w:t xml:space="preserve"> any remaining </w:t>
      </w:r>
      <w:r w:rsidR="00801E58">
        <w:rPr>
          <w:lang w:val="en-GB"/>
        </w:rPr>
        <w:t xml:space="preserve">cancer </w:t>
      </w:r>
      <w:r w:rsidR="009D3ECF">
        <w:rPr>
          <w:lang w:val="en-GB"/>
        </w:rPr>
        <w:t>cells (consolidation therapy)</w:t>
      </w:r>
      <w:r w:rsidR="00605EE9">
        <w:t xml:space="preserve">. </w:t>
      </w:r>
      <w:r w:rsidR="00ED2498">
        <w:rPr>
          <w:lang w:val="en-GB"/>
        </w:rPr>
        <w:t xml:space="preserve">In the NHS, the first induction course is usually given </w:t>
      </w:r>
      <w:r w:rsidR="00E6774D">
        <w:rPr>
          <w:lang w:val="en-GB"/>
        </w:rPr>
        <w:t>as 3</w:t>
      </w:r>
      <w:r w:rsidR="009D3ECF">
        <w:rPr>
          <w:lang w:val="en-GB"/>
        </w:rPr>
        <w:t> </w:t>
      </w:r>
      <w:r w:rsidR="00E6774D">
        <w:rPr>
          <w:lang w:val="en-GB"/>
        </w:rPr>
        <w:t>days of daunorubicin and 10</w:t>
      </w:r>
      <w:r w:rsidR="009D3ECF">
        <w:rPr>
          <w:lang w:val="en-GB"/>
        </w:rPr>
        <w:t> </w:t>
      </w:r>
      <w:r w:rsidR="00E6774D">
        <w:rPr>
          <w:lang w:val="en-GB"/>
        </w:rPr>
        <w:t xml:space="preserve">days of cytarabine (known as </w:t>
      </w:r>
      <w:r w:rsidR="004A47ED">
        <w:rPr>
          <w:lang w:val="en-GB"/>
        </w:rPr>
        <w:t>DA</w:t>
      </w:r>
      <w:r w:rsidR="00CE2077">
        <w:rPr>
          <w:lang w:val="en-GB"/>
        </w:rPr>
        <w:t> </w:t>
      </w:r>
      <w:r w:rsidR="00E6774D">
        <w:rPr>
          <w:lang w:val="en-GB"/>
        </w:rPr>
        <w:t>3+10)</w:t>
      </w:r>
      <w:r w:rsidR="00ED2498">
        <w:rPr>
          <w:lang w:val="en-GB"/>
        </w:rPr>
        <w:t xml:space="preserve">. </w:t>
      </w:r>
      <w:r w:rsidR="00605EE9">
        <w:t xml:space="preserve">The clinical experts highlighted that some younger patients may </w:t>
      </w:r>
      <w:r w:rsidR="009D3ECF">
        <w:rPr>
          <w:lang w:val="en-GB"/>
        </w:rPr>
        <w:t>have</w:t>
      </w:r>
      <w:r w:rsidR="009D3ECF">
        <w:t xml:space="preserve"> </w:t>
      </w:r>
      <w:r w:rsidR="00605EE9">
        <w:t>FLAG-Ida (fludarabine, cytarabine, granulocyte-colony stimulating factor and idarubicin) chemotherapy instead.</w:t>
      </w:r>
      <w:r w:rsidR="006A5DC1">
        <w:t xml:space="preserve"> The committee understood that liposomal cytarabine</w:t>
      </w:r>
      <w:r w:rsidR="0013058D">
        <w:rPr>
          <w:lang w:val="en-GB"/>
        </w:rPr>
        <w:t>–</w:t>
      </w:r>
      <w:r w:rsidR="006A5DC1">
        <w:t xml:space="preserve">daunorubicin is a liposomal </w:t>
      </w:r>
      <w:r w:rsidR="006A5DC1">
        <w:lastRenderedPageBreak/>
        <w:t>formulation of standard cytarabine an</w:t>
      </w:r>
      <w:r w:rsidR="00636952">
        <w:t>d daunorubicin chemotherapy</w:t>
      </w:r>
      <w:r w:rsidR="00F61FFE">
        <w:rPr>
          <w:lang w:val="en-GB"/>
        </w:rPr>
        <w:t>.</w:t>
      </w:r>
      <w:r w:rsidR="000E7C25">
        <w:rPr>
          <w:lang w:val="en-GB"/>
        </w:rPr>
        <w:t xml:space="preserve"> </w:t>
      </w:r>
      <w:r w:rsidR="00F61FFE">
        <w:rPr>
          <w:lang w:val="en-GB"/>
        </w:rPr>
        <w:t>This</w:t>
      </w:r>
      <w:r w:rsidR="006A5DC1">
        <w:t xml:space="preserve"> could be used </w:t>
      </w:r>
      <w:r w:rsidR="000E7C25">
        <w:rPr>
          <w:lang w:val="en-GB"/>
        </w:rPr>
        <w:t>as an alternative</w:t>
      </w:r>
      <w:r w:rsidR="000E7C25">
        <w:t xml:space="preserve"> </w:t>
      </w:r>
      <w:r w:rsidR="006A5DC1">
        <w:t xml:space="preserve">in clinical practice. </w:t>
      </w:r>
      <w:r w:rsidR="00ED2498" w:rsidRPr="00ED2498">
        <w:rPr>
          <w:lang w:val="en-GB"/>
        </w:rPr>
        <w:t xml:space="preserve">The committee was aware that diagnosing some types of high-risk acute myeloid leukaemia, particularly </w:t>
      </w:r>
      <w:r w:rsidR="00ED2498" w:rsidRPr="00AF43CD">
        <w:t>de novo</w:t>
      </w:r>
      <w:r w:rsidR="00ED2498" w:rsidRPr="00ED2498">
        <w:rPr>
          <w:lang w:val="en-GB"/>
        </w:rPr>
        <w:t xml:space="preserve"> acute myeloid leukaemia with </w:t>
      </w:r>
      <w:r w:rsidR="000E7C25">
        <w:t>myelodysplas</w:t>
      </w:r>
      <w:r w:rsidR="000E7C25">
        <w:rPr>
          <w:lang w:val="en-GB"/>
        </w:rPr>
        <w:t>tic</w:t>
      </w:r>
      <w:r w:rsidR="000E7C25">
        <w:t xml:space="preserve"> syndrome</w:t>
      </w:r>
      <w:r w:rsidR="00ED2498" w:rsidRPr="00ED2498">
        <w:rPr>
          <w:lang w:val="en-GB"/>
        </w:rPr>
        <w:t xml:space="preserve">-associated karyotypic changes, </w:t>
      </w:r>
      <w:r w:rsidR="00F61FFE">
        <w:rPr>
          <w:lang w:val="en-GB"/>
        </w:rPr>
        <w:t>involves</w:t>
      </w:r>
      <w:r w:rsidR="00F61FFE" w:rsidRPr="00ED2498">
        <w:rPr>
          <w:lang w:val="en-GB"/>
        </w:rPr>
        <w:t xml:space="preserve"> </w:t>
      </w:r>
      <w:r w:rsidR="00ED2498" w:rsidRPr="00ED2498">
        <w:rPr>
          <w:lang w:val="en-GB"/>
        </w:rPr>
        <w:t xml:space="preserve">genetic testing. In England, </w:t>
      </w:r>
      <w:r w:rsidR="00C67E3A">
        <w:rPr>
          <w:lang w:val="en-GB"/>
        </w:rPr>
        <w:t xml:space="preserve">genetic test </w:t>
      </w:r>
      <w:r w:rsidR="00ED2498" w:rsidRPr="00ED2498">
        <w:rPr>
          <w:lang w:val="en-GB"/>
        </w:rPr>
        <w:t>results may not be available for 7</w:t>
      </w:r>
      <w:r w:rsidR="00BD0A1A">
        <w:rPr>
          <w:lang w:val="en-GB"/>
        </w:rPr>
        <w:t> </w:t>
      </w:r>
      <w:r w:rsidR="00F61FFE">
        <w:rPr>
          <w:lang w:val="en-GB"/>
        </w:rPr>
        <w:t xml:space="preserve">to </w:t>
      </w:r>
      <w:r w:rsidR="00F61FFE" w:rsidRPr="00ED2498">
        <w:rPr>
          <w:lang w:val="en-GB"/>
        </w:rPr>
        <w:t>10</w:t>
      </w:r>
      <w:r w:rsidR="00F61FFE">
        <w:rPr>
          <w:lang w:val="en-GB"/>
        </w:rPr>
        <w:t> </w:t>
      </w:r>
      <w:r w:rsidR="00ED2498" w:rsidRPr="00ED2498">
        <w:rPr>
          <w:lang w:val="en-GB"/>
        </w:rPr>
        <w:t>days. The clinical experts adv</w:t>
      </w:r>
      <w:r w:rsidR="00ED2498">
        <w:rPr>
          <w:lang w:val="en-GB"/>
        </w:rPr>
        <w:t xml:space="preserve">ised that </w:t>
      </w:r>
      <w:r w:rsidR="00F61FFE">
        <w:rPr>
          <w:lang w:val="en-GB"/>
        </w:rPr>
        <w:t>it is becoming more common for</w:t>
      </w:r>
      <w:r w:rsidR="00ED2498">
        <w:rPr>
          <w:lang w:val="en-GB"/>
        </w:rPr>
        <w:t xml:space="preserve"> clinicians </w:t>
      </w:r>
      <w:r w:rsidR="00F61FFE">
        <w:rPr>
          <w:lang w:val="en-GB"/>
        </w:rPr>
        <w:t>to wait for</w:t>
      </w:r>
      <w:r w:rsidR="00ED2498" w:rsidRPr="00ED2498">
        <w:rPr>
          <w:lang w:val="en-GB"/>
        </w:rPr>
        <w:t xml:space="preserve"> the</w:t>
      </w:r>
      <w:r w:rsidR="00C67E3A">
        <w:rPr>
          <w:lang w:val="en-GB"/>
        </w:rPr>
        <w:t>se test</w:t>
      </w:r>
      <w:r w:rsidR="00ED2498" w:rsidRPr="00ED2498">
        <w:rPr>
          <w:lang w:val="en-GB"/>
        </w:rPr>
        <w:t xml:space="preserve"> result</w:t>
      </w:r>
      <w:r w:rsidR="00F61FFE">
        <w:rPr>
          <w:lang w:val="en-GB"/>
        </w:rPr>
        <w:t>s</w:t>
      </w:r>
      <w:r w:rsidR="00ED2498" w:rsidRPr="00ED2498">
        <w:rPr>
          <w:lang w:val="en-GB"/>
        </w:rPr>
        <w:t xml:space="preserve"> before starting treatment. A small </w:t>
      </w:r>
      <w:r w:rsidR="00F61FFE">
        <w:rPr>
          <w:lang w:val="en-GB"/>
        </w:rPr>
        <w:t>number</w:t>
      </w:r>
      <w:r w:rsidR="00F61FFE" w:rsidRPr="00ED2498">
        <w:rPr>
          <w:lang w:val="en-GB"/>
        </w:rPr>
        <w:t xml:space="preserve"> </w:t>
      </w:r>
      <w:r w:rsidR="00ED2498" w:rsidRPr="00ED2498">
        <w:rPr>
          <w:lang w:val="en-GB"/>
        </w:rPr>
        <w:t xml:space="preserve">of patients </w:t>
      </w:r>
      <w:r w:rsidR="00D461ED">
        <w:rPr>
          <w:lang w:val="en-GB"/>
        </w:rPr>
        <w:t>with</w:t>
      </w:r>
      <w:r w:rsidR="00ED2498" w:rsidRPr="00ED2498">
        <w:rPr>
          <w:lang w:val="en-GB"/>
        </w:rPr>
        <w:t xml:space="preserve"> more aggressive disease </w:t>
      </w:r>
      <w:r w:rsidR="00F61FFE">
        <w:rPr>
          <w:lang w:val="en-GB"/>
        </w:rPr>
        <w:t>would</w:t>
      </w:r>
      <w:r w:rsidR="00ED2498" w:rsidRPr="00ED2498">
        <w:rPr>
          <w:lang w:val="en-GB"/>
        </w:rPr>
        <w:t xml:space="preserve"> need </w:t>
      </w:r>
      <w:r w:rsidR="00BD0A1A">
        <w:rPr>
          <w:lang w:val="en-GB"/>
        </w:rPr>
        <w:t xml:space="preserve">to start </w:t>
      </w:r>
      <w:r w:rsidR="00F61FFE">
        <w:rPr>
          <w:lang w:val="en-GB"/>
        </w:rPr>
        <w:t xml:space="preserve">treatment </w:t>
      </w:r>
      <w:r w:rsidR="00867675">
        <w:rPr>
          <w:lang w:val="en-GB"/>
        </w:rPr>
        <w:t>sooner</w:t>
      </w:r>
      <w:r w:rsidR="00ED2498" w:rsidRPr="00ED2498">
        <w:rPr>
          <w:lang w:val="en-GB"/>
        </w:rPr>
        <w:t xml:space="preserve">. The committee agreed </w:t>
      </w:r>
      <w:r w:rsidR="002471DF">
        <w:rPr>
          <w:lang w:val="en-GB"/>
        </w:rPr>
        <w:t xml:space="preserve">that </w:t>
      </w:r>
      <w:r w:rsidR="00ED2498" w:rsidRPr="00ED2498">
        <w:rPr>
          <w:lang w:val="en-GB"/>
        </w:rPr>
        <w:t>no change in practice would be needed for most people who would be eligible for liposomal cytarabine</w:t>
      </w:r>
      <w:r w:rsidR="0013058D">
        <w:rPr>
          <w:lang w:val="en-GB"/>
        </w:rPr>
        <w:t>–</w:t>
      </w:r>
      <w:r w:rsidR="00ED2498" w:rsidRPr="00ED2498">
        <w:rPr>
          <w:lang w:val="en-GB"/>
        </w:rPr>
        <w:t>daunorubicin, if it were to recommend the treatment.</w:t>
      </w:r>
      <w:r w:rsidR="00ED2498">
        <w:rPr>
          <w:lang w:val="en-GB"/>
        </w:rPr>
        <w:t xml:space="preserve"> </w:t>
      </w:r>
      <w:r w:rsidR="006A5DC1" w:rsidRPr="00ED2498">
        <w:rPr>
          <w:lang w:val="en-GB"/>
        </w:rPr>
        <w:t xml:space="preserve">The committee concluded that </w:t>
      </w:r>
      <w:r w:rsidR="00636952" w:rsidRPr="00ED2498">
        <w:rPr>
          <w:lang w:val="en-GB"/>
        </w:rPr>
        <w:t xml:space="preserve">standard </w:t>
      </w:r>
      <w:r w:rsidR="006A5DC1" w:rsidRPr="00ED2498">
        <w:rPr>
          <w:lang w:val="en-GB"/>
        </w:rPr>
        <w:t>cytarabine and daun</w:t>
      </w:r>
      <w:r w:rsidR="00636952" w:rsidRPr="00ED2498">
        <w:rPr>
          <w:lang w:val="en-GB"/>
        </w:rPr>
        <w:t xml:space="preserve">orubicin chemotherapy </w:t>
      </w:r>
      <w:r w:rsidR="006A5DC1" w:rsidRPr="00ED2498">
        <w:rPr>
          <w:lang w:val="en-GB"/>
        </w:rPr>
        <w:t>is the relevant comparator for this appraisal.</w:t>
      </w:r>
      <w:bookmarkEnd w:id="1"/>
    </w:p>
    <w:p w14:paraId="5432148B" w14:textId="166B4352" w:rsidR="00114549" w:rsidRDefault="00636952" w:rsidP="009666F6">
      <w:pPr>
        <w:pStyle w:val="Heading2"/>
      </w:pPr>
      <w:r>
        <w:t>Clinical evidence</w:t>
      </w:r>
    </w:p>
    <w:p w14:paraId="204AFFF9" w14:textId="7396A19F" w:rsidR="00114549" w:rsidRDefault="00636952" w:rsidP="00426086">
      <w:pPr>
        <w:pStyle w:val="Heading3"/>
      </w:pPr>
      <w:r>
        <w:t>The clinical</w:t>
      </w:r>
      <w:r w:rsidR="006602D8">
        <w:t xml:space="preserve"> </w:t>
      </w:r>
      <w:r>
        <w:t>effectiveness</w:t>
      </w:r>
      <w:r w:rsidR="00B57BD2">
        <w:t xml:space="preserve"> evidence</w:t>
      </w:r>
      <w:r>
        <w:t xml:space="preserve"> is relevant to NHS clinical practice in England</w:t>
      </w:r>
    </w:p>
    <w:p w14:paraId="068EE9A8" w14:textId="3B65184C" w:rsidR="00636952" w:rsidRPr="00636952" w:rsidRDefault="00636952" w:rsidP="00636952">
      <w:pPr>
        <w:pStyle w:val="Numberedlevel2text"/>
      </w:pPr>
      <w:r>
        <w:rPr>
          <w:lang w:val="en-GB"/>
        </w:rPr>
        <w:t>The evidence for liposomal cytarabine</w:t>
      </w:r>
      <w:r w:rsidR="0013058D">
        <w:rPr>
          <w:lang w:val="en-GB"/>
        </w:rPr>
        <w:t>–</w:t>
      </w:r>
      <w:r w:rsidR="00052ECD">
        <w:rPr>
          <w:lang w:val="en-GB"/>
        </w:rPr>
        <w:t>daunorubicin came from Study</w:t>
      </w:r>
      <w:r w:rsidR="009A7E35">
        <w:rPr>
          <w:lang w:val="en-GB"/>
        </w:rPr>
        <w:t> </w:t>
      </w:r>
      <w:r w:rsidR="00052ECD">
        <w:rPr>
          <w:lang w:val="en-GB"/>
        </w:rPr>
        <w:t>301</w:t>
      </w:r>
      <w:r w:rsidR="009A7E35">
        <w:rPr>
          <w:lang w:val="en-GB"/>
        </w:rPr>
        <w:t>. This was</w:t>
      </w:r>
      <w:r w:rsidR="00052ECD">
        <w:rPr>
          <w:lang w:val="en-GB"/>
        </w:rPr>
        <w:t xml:space="preserve"> a phase</w:t>
      </w:r>
      <w:r w:rsidR="006602D8">
        <w:rPr>
          <w:lang w:val="en-GB"/>
        </w:rPr>
        <w:t> </w:t>
      </w:r>
      <w:r w:rsidR="00052ECD">
        <w:rPr>
          <w:lang w:val="en-GB"/>
        </w:rPr>
        <w:t>3, multicentre, open</w:t>
      </w:r>
      <w:r w:rsidR="00B57BD2">
        <w:rPr>
          <w:lang w:val="en-GB"/>
        </w:rPr>
        <w:t>-</w:t>
      </w:r>
      <w:r w:rsidR="00052ECD">
        <w:rPr>
          <w:lang w:val="en-GB"/>
        </w:rPr>
        <w:t xml:space="preserve">label, randomised </w:t>
      </w:r>
      <w:r w:rsidR="00C6165D">
        <w:rPr>
          <w:lang w:val="en-GB"/>
        </w:rPr>
        <w:t>trial</w:t>
      </w:r>
      <w:r w:rsidR="00DA6DB8">
        <w:rPr>
          <w:lang w:val="en-GB"/>
        </w:rPr>
        <w:t>. It</w:t>
      </w:r>
      <w:r w:rsidR="00C6165D">
        <w:rPr>
          <w:lang w:val="en-GB"/>
        </w:rPr>
        <w:t xml:space="preserve"> included </w:t>
      </w:r>
      <w:r w:rsidR="009A7E35">
        <w:rPr>
          <w:lang w:val="en-GB"/>
        </w:rPr>
        <w:t>309</w:t>
      </w:r>
      <w:r w:rsidR="006602D8">
        <w:rPr>
          <w:lang w:val="en-GB"/>
        </w:rPr>
        <w:t> </w:t>
      </w:r>
      <w:r w:rsidR="00C6165D">
        <w:rPr>
          <w:lang w:val="en-GB"/>
        </w:rPr>
        <w:t xml:space="preserve">adults aged 60 to </w:t>
      </w:r>
      <w:r w:rsidR="009A7E35">
        <w:rPr>
          <w:lang w:val="en-GB"/>
        </w:rPr>
        <w:t>75 </w:t>
      </w:r>
      <w:r w:rsidR="00C6165D">
        <w:rPr>
          <w:lang w:val="en-GB"/>
        </w:rPr>
        <w:t>years</w:t>
      </w:r>
      <w:r w:rsidR="00052ECD">
        <w:rPr>
          <w:lang w:val="en-GB"/>
        </w:rPr>
        <w:t xml:space="preserve"> with </w:t>
      </w:r>
      <w:r w:rsidR="000E7C25">
        <w:rPr>
          <w:lang w:val="en-GB"/>
        </w:rPr>
        <w:t>high-</w:t>
      </w:r>
      <w:r w:rsidR="00052ECD">
        <w:rPr>
          <w:lang w:val="en-GB"/>
        </w:rPr>
        <w:t xml:space="preserve">risk acute myeloid leukaemia. </w:t>
      </w:r>
      <w:r w:rsidR="009A7E35">
        <w:rPr>
          <w:lang w:val="en-GB"/>
        </w:rPr>
        <w:t>High-</w:t>
      </w:r>
      <w:r w:rsidR="00052ECD">
        <w:rPr>
          <w:lang w:val="en-GB"/>
        </w:rPr>
        <w:t xml:space="preserve">risk acute myeloid leukaemia was defined as </w:t>
      </w:r>
      <w:r w:rsidR="00052ECD">
        <w:t>therapy-related acute myeloid leukaemia</w:t>
      </w:r>
      <w:r w:rsidR="00052ECD">
        <w:rPr>
          <w:lang w:val="en-GB"/>
        </w:rPr>
        <w:t>,</w:t>
      </w:r>
      <w:r w:rsidR="00052ECD">
        <w:t xml:space="preserve"> acute myeloid leukaemia with myelodysplas</w:t>
      </w:r>
      <w:r w:rsidR="00052ECD">
        <w:rPr>
          <w:lang w:val="en-GB"/>
        </w:rPr>
        <w:t>tic</w:t>
      </w:r>
      <w:r w:rsidR="00052ECD">
        <w:t xml:space="preserve"> </w:t>
      </w:r>
      <w:r w:rsidR="004A47ED">
        <w:t>syndrome</w:t>
      </w:r>
      <w:r w:rsidR="00052ECD">
        <w:rPr>
          <w:lang w:val="en-GB"/>
        </w:rPr>
        <w:t xml:space="preserve">, </w:t>
      </w:r>
      <w:r w:rsidR="00052ECD" w:rsidRPr="00AF43CD">
        <w:t>de novo acute</w:t>
      </w:r>
      <w:r w:rsidR="00052ECD">
        <w:rPr>
          <w:lang w:val="en-GB"/>
        </w:rPr>
        <w:t xml:space="preserve"> myeloid leukaemia with </w:t>
      </w:r>
      <w:r w:rsidR="009A7E35">
        <w:t>myelodysplas</w:t>
      </w:r>
      <w:r w:rsidR="009A7E35">
        <w:rPr>
          <w:lang w:val="en-GB"/>
        </w:rPr>
        <w:t>tic</w:t>
      </w:r>
      <w:r w:rsidR="009A7E35">
        <w:t xml:space="preserve"> syndrome</w:t>
      </w:r>
      <w:r w:rsidR="00201C74">
        <w:rPr>
          <w:lang w:val="en-GB"/>
        </w:rPr>
        <w:t>-</w:t>
      </w:r>
      <w:r w:rsidR="00052ECD">
        <w:rPr>
          <w:lang w:val="en-GB"/>
        </w:rPr>
        <w:t>associated karyotypic changes and chronic myelomonocytic leukaemia.</w:t>
      </w:r>
      <w:r w:rsidR="00C6165D">
        <w:rPr>
          <w:lang w:val="en-GB"/>
        </w:rPr>
        <w:t xml:space="preserve"> </w:t>
      </w:r>
      <w:r w:rsidR="00AB7773">
        <w:rPr>
          <w:lang w:val="en-GB"/>
        </w:rPr>
        <w:t>The trial compared liposomal cytarabine</w:t>
      </w:r>
      <w:r w:rsidR="0013058D">
        <w:rPr>
          <w:lang w:val="en-GB"/>
        </w:rPr>
        <w:t>–</w:t>
      </w:r>
      <w:r w:rsidR="00AB7773">
        <w:rPr>
          <w:lang w:val="en-GB"/>
        </w:rPr>
        <w:t>daunorubicin (n=153) with standard cytarabine and daunorubicin chemotherapy (n=156)</w:t>
      </w:r>
      <w:r w:rsidR="00E00C4F">
        <w:rPr>
          <w:lang w:val="en-GB"/>
        </w:rPr>
        <w:t>, in a 3+7 schedule</w:t>
      </w:r>
      <w:r w:rsidR="000E7C25">
        <w:rPr>
          <w:lang w:val="en-GB"/>
        </w:rPr>
        <w:t xml:space="preserve"> (3 days of cytarabine then 7 days of daunorubicin)</w:t>
      </w:r>
      <w:r w:rsidR="00AB7773">
        <w:rPr>
          <w:lang w:val="en-GB"/>
        </w:rPr>
        <w:t xml:space="preserve">. </w:t>
      </w:r>
      <w:r w:rsidR="00E00C4F">
        <w:rPr>
          <w:lang w:val="en-GB"/>
        </w:rPr>
        <w:t xml:space="preserve">The clinical experts confirmed that it was reasonable to assume equivalence between the 3+7 schedule in the trial and the 3+10 schedule normally used in the UK. They also confirmed that although the trial was </w:t>
      </w:r>
      <w:r w:rsidR="000E7C25">
        <w:rPr>
          <w:lang w:val="en-GB"/>
        </w:rPr>
        <w:t xml:space="preserve">done </w:t>
      </w:r>
      <w:r w:rsidR="00E00C4F">
        <w:rPr>
          <w:lang w:val="en-GB"/>
        </w:rPr>
        <w:t>in</w:t>
      </w:r>
      <w:r w:rsidR="00AF43CD">
        <w:rPr>
          <w:lang w:val="en-GB"/>
        </w:rPr>
        <w:t xml:space="preserve"> the US and Canada</w:t>
      </w:r>
      <w:r w:rsidR="00E00C4F">
        <w:rPr>
          <w:lang w:val="en-GB"/>
        </w:rPr>
        <w:t xml:space="preserve">, the baseline </w:t>
      </w:r>
      <w:r w:rsidR="00E00C4F">
        <w:rPr>
          <w:lang w:val="en-GB"/>
        </w:rPr>
        <w:lastRenderedPageBreak/>
        <w:t>characteristics of people in the trial were representative of people in the UK who would be eligible for liposomal cytarabine</w:t>
      </w:r>
      <w:r w:rsidR="0013058D">
        <w:rPr>
          <w:lang w:val="en-GB"/>
        </w:rPr>
        <w:t>–</w:t>
      </w:r>
      <w:r w:rsidR="00E00C4F">
        <w:rPr>
          <w:lang w:val="en-GB"/>
        </w:rPr>
        <w:t xml:space="preserve">daunorubicin. </w:t>
      </w:r>
      <w:r w:rsidR="00AB7773">
        <w:rPr>
          <w:lang w:val="en-GB"/>
        </w:rPr>
        <w:t xml:space="preserve">The clinical experts explained that about a quarter of patients who would be eligible for treatment in England would be under </w:t>
      </w:r>
      <w:r w:rsidR="007B2F48">
        <w:rPr>
          <w:lang w:val="en-GB"/>
        </w:rPr>
        <w:t>60 </w:t>
      </w:r>
      <w:r w:rsidR="00AB7773">
        <w:rPr>
          <w:lang w:val="en-GB"/>
        </w:rPr>
        <w:t>years</w:t>
      </w:r>
      <w:r w:rsidR="007B2F48">
        <w:rPr>
          <w:lang w:val="en-GB"/>
        </w:rPr>
        <w:t>.</w:t>
      </w:r>
      <w:r w:rsidR="00A92DAB">
        <w:rPr>
          <w:lang w:val="en-GB"/>
        </w:rPr>
        <w:t xml:space="preserve"> </w:t>
      </w:r>
      <w:r w:rsidR="00C25ECF">
        <w:rPr>
          <w:lang w:val="en-GB"/>
        </w:rPr>
        <w:t>T</w:t>
      </w:r>
      <w:r w:rsidR="00AB7773">
        <w:rPr>
          <w:lang w:val="en-GB"/>
        </w:rPr>
        <w:t xml:space="preserve">here </w:t>
      </w:r>
      <w:r w:rsidR="00D461ED">
        <w:rPr>
          <w:lang w:val="en-GB"/>
        </w:rPr>
        <w:t>wa</w:t>
      </w:r>
      <w:r w:rsidR="007B2F48">
        <w:rPr>
          <w:lang w:val="en-GB"/>
        </w:rPr>
        <w:t xml:space="preserve">s </w:t>
      </w:r>
      <w:r w:rsidR="00AB7773">
        <w:rPr>
          <w:lang w:val="en-GB"/>
        </w:rPr>
        <w:t xml:space="preserve">no biological reason to expect </w:t>
      </w:r>
      <w:r w:rsidR="00E13AFB">
        <w:rPr>
          <w:lang w:val="en-GB"/>
        </w:rPr>
        <w:t xml:space="preserve">treatment </w:t>
      </w:r>
      <w:r w:rsidR="00AB7773">
        <w:rPr>
          <w:lang w:val="en-GB"/>
        </w:rPr>
        <w:t>benefit to be any different t</w:t>
      </w:r>
      <w:r w:rsidR="00D461ED">
        <w:rPr>
          <w:lang w:val="en-GB"/>
        </w:rPr>
        <w:t>o</w:t>
      </w:r>
      <w:r w:rsidR="00AB7773">
        <w:rPr>
          <w:lang w:val="en-GB"/>
        </w:rPr>
        <w:t xml:space="preserve"> </w:t>
      </w:r>
      <w:r w:rsidR="00E13AFB">
        <w:rPr>
          <w:lang w:val="en-GB"/>
        </w:rPr>
        <w:t>that</w:t>
      </w:r>
      <w:r w:rsidR="00AB7773">
        <w:rPr>
          <w:lang w:val="en-GB"/>
        </w:rPr>
        <w:t xml:space="preserve"> seen in people aged 65 to </w:t>
      </w:r>
      <w:r w:rsidR="007B2F48">
        <w:rPr>
          <w:lang w:val="en-GB"/>
        </w:rPr>
        <w:t>70 </w:t>
      </w:r>
      <w:r w:rsidR="00AB7773">
        <w:rPr>
          <w:lang w:val="en-GB"/>
        </w:rPr>
        <w:t>years</w:t>
      </w:r>
      <w:r w:rsidR="007B2F48">
        <w:rPr>
          <w:lang w:val="en-GB"/>
        </w:rPr>
        <w:t xml:space="preserve"> in the trial</w:t>
      </w:r>
      <w:r w:rsidR="00AB7773">
        <w:rPr>
          <w:lang w:val="en-GB"/>
        </w:rPr>
        <w:t>.</w:t>
      </w:r>
      <w:r w:rsidR="00A27495">
        <w:rPr>
          <w:lang w:val="en-GB"/>
        </w:rPr>
        <w:t xml:space="preserve"> </w:t>
      </w:r>
      <w:r w:rsidR="00E00C4F">
        <w:rPr>
          <w:lang w:val="en-GB"/>
        </w:rPr>
        <w:t>The committee</w:t>
      </w:r>
      <w:r w:rsidR="00A27495">
        <w:rPr>
          <w:lang w:val="en-GB"/>
        </w:rPr>
        <w:t xml:space="preserve"> concluded that the clinical</w:t>
      </w:r>
      <w:r w:rsidR="006602D8">
        <w:rPr>
          <w:lang w:val="en-GB"/>
        </w:rPr>
        <w:t xml:space="preserve"> </w:t>
      </w:r>
      <w:r w:rsidR="00A27495">
        <w:rPr>
          <w:lang w:val="en-GB"/>
        </w:rPr>
        <w:t>effectiveness evidence from Study</w:t>
      </w:r>
      <w:r w:rsidR="007B2F48">
        <w:rPr>
          <w:lang w:val="en-GB"/>
        </w:rPr>
        <w:t> </w:t>
      </w:r>
      <w:r w:rsidR="00A27495">
        <w:rPr>
          <w:lang w:val="en-GB"/>
        </w:rPr>
        <w:t>301 was relevant to clinical practice in England.</w:t>
      </w:r>
    </w:p>
    <w:p w14:paraId="67CF987F" w14:textId="0836352D" w:rsidR="009C3E56" w:rsidRDefault="007C1AEB" w:rsidP="00426086">
      <w:pPr>
        <w:pStyle w:val="Heading3"/>
      </w:pPr>
      <w:r>
        <w:t>Liposomal cytarabine</w:t>
      </w:r>
      <w:r w:rsidR="0013058D">
        <w:t>–</w:t>
      </w:r>
      <w:r>
        <w:t xml:space="preserve">daunorubicin improves overall survival </w:t>
      </w:r>
      <w:r w:rsidR="0061680C">
        <w:t>compared with standard cytarabine and daunorubicin</w:t>
      </w:r>
    </w:p>
    <w:p w14:paraId="6C263433" w14:textId="7AFD636E" w:rsidR="0099093F" w:rsidRPr="007E0371" w:rsidRDefault="0099093F" w:rsidP="00A7745D">
      <w:pPr>
        <w:pStyle w:val="Numberedlevel2text"/>
        <w:rPr>
          <w:rFonts w:cs="Arial"/>
          <w:szCs w:val="24"/>
        </w:rPr>
      </w:pPr>
      <w:bookmarkStart w:id="2" w:name="_Ref521415157"/>
      <w:r w:rsidRPr="00A7745D">
        <w:rPr>
          <w:rFonts w:cs="Arial"/>
          <w:szCs w:val="24"/>
          <w:lang w:val="en-GB"/>
        </w:rPr>
        <w:t>The primary outcome measure in Study</w:t>
      </w:r>
      <w:r w:rsidR="007B2F48" w:rsidRPr="00A7745D">
        <w:rPr>
          <w:rFonts w:cs="Arial"/>
          <w:lang w:val="en-GB"/>
        </w:rPr>
        <w:t> </w:t>
      </w:r>
      <w:r w:rsidRPr="00A7745D">
        <w:rPr>
          <w:rFonts w:cs="Arial"/>
          <w:lang w:val="en-GB"/>
        </w:rPr>
        <w:t>301 was overall survival.</w:t>
      </w:r>
      <w:r w:rsidR="00F96D83" w:rsidRPr="00A7745D">
        <w:rPr>
          <w:rFonts w:cs="Arial"/>
          <w:lang w:val="en-GB"/>
        </w:rPr>
        <w:t xml:space="preserve"> Treatment with liposomal cytarabine</w:t>
      </w:r>
      <w:r w:rsidR="0013058D" w:rsidRPr="00A7745D">
        <w:rPr>
          <w:lang w:val="en-GB"/>
        </w:rPr>
        <w:t>–</w:t>
      </w:r>
      <w:r w:rsidR="00F96D83" w:rsidRPr="00A7745D">
        <w:rPr>
          <w:lang w:val="en-GB"/>
        </w:rPr>
        <w:t xml:space="preserve">daunorubicin increased </w:t>
      </w:r>
      <w:r w:rsidR="00F94595" w:rsidRPr="00A7745D">
        <w:rPr>
          <w:lang w:val="en-GB"/>
        </w:rPr>
        <w:t xml:space="preserve">median </w:t>
      </w:r>
      <w:r w:rsidR="00F96D83" w:rsidRPr="00A7745D">
        <w:rPr>
          <w:lang w:val="en-GB"/>
        </w:rPr>
        <w:t xml:space="preserve">overall survival compared </w:t>
      </w:r>
      <w:r w:rsidR="00F96D83" w:rsidRPr="00A7745D">
        <w:rPr>
          <w:rFonts w:cs="Arial"/>
          <w:szCs w:val="24"/>
          <w:lang w:val="en-GB"/>
        </w:rPr>
        <w:t>with standard cytarabine and daunorubicin</w:t>
      </w:r>
      <w:r w:rsidR="007A1CF5" w:rsidRPr="00520CE7">
        <w:rPr>
          <w:rFonts w:cs="Arial"/>
          <w:szCs w:val="24"/>
          <w:lang w:val="en-GB"/>
        </w:rPr>
        <w:t>,</w:t>
      </w:r>
      <w:r w:rsidR="00F96D83" w:rsidRPr="00520CE7">
        <w:rPr>
          <w:rFonts w:cs="Arial"/>
          <w:szCs w:val="24"/>
          <w:lang w:val="en-GB"/>
        </w:rPr>
        <w:t xml:space="preserve"> from 5.95</w:t>
      </w:r>
      <w:r w:rsidR="007B2F48" w:rsidRPr="00520CE7">
        <w:rPr>
          <w:rFonts w:cs="Arial"/>
          <w:szCs w:val="24"/>
          <w:lang w:val="en-GB"/>
        </w:rPr>
        <w:t> </w:t>
      </w:r>
      <w:r w:rsidR="00F96D83" w:rsidRPr="00D05235">
        <w:rPr>
          <w:rFonts w:cs="Arial"/>
          <w:szCs w:val="24"/>
          <w:lang w:val="en-GB"/>
        </w:rPr>
        <w:t>months to 9.56</w:t>
      </w:r>
      <w:r w:rsidR="007B2F48" w:rsidRPr="00D05235">
        <w:rPr>
          <w:rFonts w:cs="Arial"/>
          <w:szCs w:val="24"/>
          <w:lang w:val="en-GB"/>
        </w:rPr>
        <w:t> </w:t>
      </w:r>
      <w:r w:rsidR="00F96D83" w:rsidRPr="00D05235">
        <w:rPr>
          <w:rFonts w:cs="Arial"/>
          <w:szCs w:val="24"/>
          <w:lang w:val="en-GB"/>
        </w:rPr>
        <w:t>months (hazard ratio [HR] 0.69; 95% confidence interval [CI] 0.52 to 0.90, p=0.005).</w:t>
      </w:r>
      <w:r w:rsidR="00871A62" w:rsidRPr="00163DA6">
        <w:rPr>
          <w:rFonts w:cs="Arial"/>
          <w:szCs w:val="24"/>
          <w:lang w:val="en-GB"/>
        </w:rPr>
        <w:t xml:space="preserve"> The company also presented results from a post-hoc analysis of overall survival from the time of stem cell transplant. </w:t>
      </w:r>
      <w:r w:rsidR="00A96236" w:rsidRPr="007E0371">
        <w:rPr>
          <w:rFonts w:cs="Arial"/>
          <w:szCs w:val="24"/>
          <w:lang w:val="en-GB"/>
        </w:rPr>
        <w:t xml:space="preserve">Fifty-two </w:t>
      </w:r>
      <w:r w:rsidR="00871A62" w:rsidRPr="007E0371">
        <w:rPr>
          <w:rFonts w:cs="Arial"/>
          <w:szCs w:val="24"/>
          <w:lang w:val="en-GB"/>
        </w:rPr>
        <w:t>people in the liposomal cytarabine</w:t>
      </w:r>
      <w:r w:rsidR="0013058D" w:rsidRPr="007E0371">
        <w:rPr>
          <w:rFonts w:cs="Arial"/>
          <w:szCs w:val="24"/>
          <w:lang w:val="en-GB"/>
        </w:rPr>
        <w:t>–</w:t>
      </w:r>
      <w:r w:rsidR="00871A62" w:rsidRPr="007E0371">
        <w:rPr>
          <w:rFonts w:cs="Arial"/>
          <w:szCs w:val="24"/>
          <w:lang w:val="en-GB"/>
        </w:rPr>
        <w:t>daunorubicin group and 39</w:t>
      </w:r>
      <w:r w:rsidR="00993F61" w:rsidRPr="007E0371">
        <w:rPr>
          <w:rFonts w:cs="Arial"/>
          <w:szCs w:val="24"/>
          <w:lang w:val="en-GB"/>
        </w:rPr>
        <w:t> </w:t>
      </w:r>
      <w:r w:rsidR="00871A62" w:rsidRPr="007E0371">
        <w:rPr>
          <w:rFonts w:cs="Arial"/>
          <w:szCs w:val="24"/>
          <w:lang w:val="en-GB"/>
        </w:rPr>
        <w:t>people in the standard cytarabine and daunorubicin group had a stem cell transplant and were included in this analysis.</w:t>
      </w:r>
      <w:r w:rsidR="003B4891" w:rsidRPr="007E0371">
        <w:rPr>
          <w:rFonts w:cs="Arial"/>
          <w:szCs w:val="24"/>
          <w:lang w:val="en-GB"/>
        </w:rPr>
        <w:t xml:space="preserve"> </w:t>
      </w:r>
      <w:r w:rsidR="00A66B41" w:rsidRPr="007E0371">
        <w:rPr>
          <w:rFonts w:cs="Arial"/>
          <w:szCs w:val="24"/>
          <w:lang w:val="en-GB"/>
        </w:rPr>
        <w:t>Median overall survival was 10.25</w:t>
      </w:r>
      <w:r w:rsidR="00993F61" w:rsidRPr="007E0371">
        <w:rPr>
          <w:rFonts w:cs="Arial"/>
          <w:szCs w:val="24"/>
          <w:lang w:val="en-GB"/>
        </w:rPr>
        <w:t> </w:t>
      </w:r>
      <w:r w:rsidR="00A66B41" w:rsidRPr="007E0371">
        <w:rPr>
          <w:rFonts w:cs="Arial"/>
          <w:szCs w:val="24"/>
          <w:lang w:val="en-GB"/>
        </w:rPr>
        <w:t>months in the standard cytarabine and daunorubicin group and was not reached in the liposomal cytarabine</w:t>
      </w:r>
      <w:r w:rsidR="0013058D" w:rsidRPr="007E0371">
        <w:rPr>
          <w:rFonts w:cs="Arial"/>
          <w:szCs w:val="24"/>
          <w:lang w:val="en-GB"/>
        </w:rPr>
        <w:t>–</w:t>
      </w:r>
      <w:r w:rsidR="00A66B41" w:rsidRPr="007E0371">
        <w:rPr>
          <w:rFonts w:cs="Arial"/>
          <w:szCs w:val="24"/>
          <w:lang w:val="en-GB"/>
        </w:rPr>
        <w:t xml:space="preserve">daunorubicin group (HR 0.46; 95% </w:t>
      </w:r>
      <w:r w:rsidR="00A96236" w:rsidRPr="007E0371">
        <w:rPr>
          <w:rFonts w:cs="Arial"/>
          <w:szCs w:val="24"/>
          <w:lang w:val="en-GB"/>
        </w:rPr>
        <w:t>CI</w:t>
      </w:r>
      <w:r w:rsidR="00A66B41" w:rsidRPr="007E0371">
        <w:rPr>
          <w:rFonts w:cs="Arial"/>
          <w:szCs w:val="24"/>
          <w:lang w:val="en-GB"/>
        </w:rPr>
        <w:t xml:space="preserve"> 0.24 to 0.89, p=0.0046). </w:t>
      </w:r>
      <w:r w:rsidR="003B4891" w:rsidRPr="007E0371">
        <w:rPr>
          <w:rFonts w:cs="Arial"/>
          <w:szCs w:val="24"/>
          <w:lang w:val="en-GB"/>
        </w:rPr>
        <w:t>The committee noted that</w:t>
      </w:r>
      <w:r w:rsidR="00E26C20" w:rsidRPr="007E0371">
        <w:rPr>
          <w:rFonts w:cs="Arial"/>
          <w:szCs w:val="24"/>
          <w:lang w:val="en-GB"/>
        </w:rPr>
        <w:t xml:space="preserve"> </w:t>
      </w:r>
      <w:r w:rsidR="005506A8" w:rsidRPr="007E0371">
        <w:rPr>
          <w:rFonts w:cs="Arial"/>
          <w:szCs w:val="24"/>
          <w:lang w:val="en-GB"/>
        </w:rPr>
        <w:t xml:space="preserve">there was a plateau in </w:t>
      </w:r>
      <w:r w:rsidR="00E26C20" w:rsidRPr="007E0371">
        <w:rPr>
          <w:rFonts w:cs="Arial"/>
          <w:szCs w:val="24"/>
          <w:lang w:val="en-GB"/>
        </w:rPr>
        <w:t xml:space="preserve">the Kaplan–Meier </w:t>
      </w:r>
      <w:r w:rsidR="006B53D7" w:rsidRPr="007E0371">
        <w:rPr>
          <w:rFonts w:cs="Arial"/>
          <w:szCs w:val="24"/>
          <w:lang w:val="en-GB"/>
        </w:rPr>
        <w:t xml:space="preserve">graphs </w:t>
      </w:r>
      <w:r w:rsidR="005506A8" w:rsidRPr="007E0371">
        <w:rPr>
          <w:rFonts w:cs="Arial"/>
          <w:szCs w:val="24"/>
          <w:lang w:val="en-GB"/>
        </w:rPr>
        <w:t>for</w:t>
      </w:r>
      <w:r w:rsidR="00B53B17" w:rsidRPr="007E0371">
        <w:rPr>
          <w:rFonts w:cs="Arial"/>
          <w:szCs w:val="24"/>
          <w:lang w:val="en-GB"/>
        </w:rPr>
        <w:t xml:space="preserve"> the liposomal cytarabine</w:t>
      </w:r>
      <w:r w:rsidR="000E0ACB" w:rsidRPr="007E0371">
        <w:rPr>
          <w:rFonts w:cs="Arial"/>
          <w:szCs w:val="24"/>
          <w:lang w:val="en-GB"/>
        </w:rPr>
        <w:t>–</w:t>
      </w:r>
      <w:r w:rsidR="00B53B17" w:rsidRPr="007E0371">
        <w:rPr>
          <w:rFonts w:cs="Arial"/>
          <w:szCs w:val="24"/>
          <w:lang w:val="en-GB"/>
        </w:rPr>
        <w:t>daunorubicin group at around 6</w:t>
      </w:r>
      <w:r w:rsidR="00993F61" w:rsidRPr="007E0371">
        <w:rPr>
          <w:rFonts w:cs="Arial"/>
          <w:szCs w:val="24"/>
          <w:lang w:val="en-GB"/>
        </w:rPr>
        <w:t> </w:t>
      </w:r>
      <w:r w:rsidR="00B53B17" w:rsidRPr="007E0371">
        <w:rPr>
          <w:rFonts w:cs="Arial"/>
          <w:szCs w:val="24"/>
          <w:lang w:val="en-GB"/>
        </w:rPr>
        <w:t xml:space="preserve">months after transplant, but </w:t>
      </w:r>
      <w:r w:rsidR="005506A8" w:rsidRPr="007E0371">
        <w:rPr>
          <w:rFonts w:cs="Arial"/>
          <w:szCs w:val="24"/>
          <w:lang w:val="en-GB"/>
        </w:rPr>
        <w:t>not</w:t>
      </w:r>
      <w:r w:rsidR="00B53B17" w:rsidRPr="007E0371">
        <w:rPr>
          <w:rFonts w:cs="Arial"/>
          <w:szCs w:val="24"/>
          <w:lang w:val="en-GB"/>
        </w:rPr>
        <w:t xml:space="preserve"> </w:t>
      </w:r>
      <w:r w:rsidR="005506A8" w:rsidRPr="007E0371">
        <w:rPr>
          <w:rFonts w:cs="Arial"/>
          <w:szCs w:val="24"/>
          <w:lang w:val="en-GB"/>
        </w:rPr>
        <w:t xml:space="preserve">for </w:t>
      </w:r>
      <w:r w:rsidR="00B53B17" w:rsidRPr="007E0371">
        <w:rPr>
          <w:rFonts w:cs="Arial"/>
          <w:szCs w:val="24"/>
          <w:lang w:val="en-GB"/>
        </w:rPr>
        <w:t xml:space="preserve">the standard cytarabine and daunorubicin group. </w:t>
      </w:r>
      <w:r w:rsidR="006C4803" w:rsidRPr="007E0371">
        <w:rPr>
          <w:rFonts w:cs="Arial"/>
          <w:szCs w:val="24"/>
          <w:lang w:val="en-GB"/>
        </w:rPr>
        <w:t xml:space="preserve">The clinical experts stated that </w:t>
      </w:r>
      <w:r w:rsidR="007C1AEB" w:rsidRPr="007E0371">
        <w:rPr>
          <w:rFonts w:cs="Arial"/>
          <w:szCs w:val="24"/>
          <w:lang w:val="en-GB"/>
        </w:rPr>
        <w:t xml:space="preserve">response to transplant may differ depending on </w:t>
      </w:r>
      <w:r w:rsidR="007A1CF5" w:rsidRPr="007E0371">
        <w:rPr>
          <w:rFonts w:cs="Arial"/>
          <w:szCs w:val="24"/>
          <w:lang w:val="en-GB"/>
        </w:rPr>
        <w:t>the person’s</w:t>
      </w:r>
      <w:r w:rsidR="007C1AEB" w:rsidRPr="007E0371">
        <w:rPr>
          <w:rFonts w:cs="Arial"/>
          <w:szCs w:val="24"/>
          <w:lang w:val="en-GB"/>
        </w:rPr>
        <w:t xml:space="preserve"> health when they had the transplant, but that </w:t>
      </w:r>
      <w:r w:rsidR="006C4803" w:rsidRPr="007E0371">
        <w:rPr>
          <w:rFonts w:cs="Arial"/>
          <w:szCs w:val="24"/>
          <w:lang w:val="en-GB"/>
        </w:rPr>
        <w:t xml:space="preserve">they would expect to see a plateau from the same time point in both groups. The committee noted that </w:t>
      </w:r>
      <w:r w:rsidR="00651138" w:rsidRPr="007E0371">
        <w:rPr>
          <w:rFonts w:cs="Arial"/>
          <w:szCs w:val="24"/>
          <w:lang w:val="en-GB"/>
        </w:rPr>
        <w:t>the post-hoc analysis included a small number of patients</w:t>
      </w:r>
      <w:r w:rsidR="00993F61" w:rsidRPr="007E0371">
        <w:rPr>
          <w:rFonts w:cs="Arial"/>
          <w:szCs w:val="24"/>
          <w:lang w:val="en-GB"/>
        </w:rPr>
        <w:t xml:space="preserve">. </w:t>
      </w:r>
      <w:r w:rsidR="00EF4CB3" w:rsidRPr="007E0371">
        <w:rPr>
          <w:rFonts w:cs="Arial"/>
          <w:szCs w:val="24"/>
          <w:lang w:val="en-GB"/>
        </w:rPr>
        <w:t>It</w:t>
      </w:r>
      <w:r w:rsidR="00993F61" w:rsidRPr="007E0371">
        <w:rPr>
          <w:rFonts w:cs="Arial"/>
          <w:szCs w:val="24"/>
          <w:lang w:val="en-GB"/>
        </w:rPr>
        <w:t xml:space="preserve"> also noted</w:t>
      </w:r>
      <w:r w:rsidR="00651138" w:rsidRPr="007E0371">
        <w:rPr>
          <w:rFonts w:cs="Arial"/>
          <w:szCs w:val="24"/>
          <w:lang w:val="en-GB"/>
        </w:rPr>
        <w:t xml:space="preserve"> that </w:t>
      </w:r>
      <w:r w:rsidR="006C4803" w:rsidRPr="007E0371">
        <w:rPr>
          <w:rFonts w:cs="Arial"/>
          <w:szCs w:val="24"/>
          <w:lang w:val="en-GB"/>
        </w:rPr>
        <w:t xml:space="preserve">in the trial, the decision to transplant was not randomised and therefore there could be bias in the results of the </w:t>
      </w:r>
      <w:r w:rsidR="006C4803" w:rsidRPr="007E0371">
        <w:rPr>
          <w:rFonts w:cs="Arial"/>
          <w:szCs w:val="24"/>
          <w:lang w:val="en-GB"/>
        </w:rPr>
        <w:lastRenderedPageBreak/>
        <w:t>post-hoc analysis.</w:t>
      </w:r>
      <w:r w:rsidR="007C1AEB" w:rsidRPr="007E0371">
        <w:rPr>
          <w:rFonts w:cs="Arial"/>
          <w:szCs w:val="24"/>
          <w:lang w:val="en-GB"/>
        </w:rPr>
        <w:t xml:space="preserve"> </w:t>
      </w:r>
      <w:r w:rsidR="00993F61" w:rsidRPr="007E0371">
        <w:rPr>
          <w:rFonts w:cs="Arial"/>
          <w:szCs w:val="24"/>
          <w:lang w:val="en-GB"/>
        </w:rPr>
        <w:t xml:space="preserve">The committee </w:t>
      </w:r>
      <w:r w:rsidR="00D2189B" w:rsidRPr="007E0371">
        <w:rPr>
          <w:rFonts w:cs="Arial"/>
          <w:szCs w:val="24"/>
          <w:lang w:val="en-GB"/>
        </w:rPr>
        <w:t xml:space="preserve">also noted that the results presented by the company were from a </w:t>
      </w:r>
      <w:r w:rsidR="00C16A5D" w:rsidRPr="007E0371">
        <w:rPr>
          <w:rFonts w:cs="Arial"/>
          <w:szCs w:val="24"/>
          <w:lang w:val="en-GB"/>
        </w:rPr>
        <w:t>data cut</w:t>
      </w:r>
      <w:r w:rsidR="00D2189B" w:rsidRPr="007E0371">
        <w:rPr>
          <w:rFonts w:cs="Arial"/>
          <w:szCs w:val="24"/>
          <w:lang w:val="en-GB"/>
        </w:rPr>
        <w:t xml:space="preserve"> in December 2015,</w:t>
      </w:r>
      <w:r w:rsidR="00EB0936" w:rsidRPr="007E0371">
        <w:rPr>
          <w:rFonts w:cs="Arial"/>
          <w:szCs w:val="24"/>
          <w:lang w:val="en-GB"/>
        </w:rPr>
        <w:t xml:space="preserve"> 3</w:t>
      </w:r>
      <w:r w:rsidR="00993F61" w:rsidRPr="007E0371">
        <w:rPr>
          <w:rFonts w:cs="Arial"/>
          <w:szCs w:val="24"/>
          <w:lang w:val="en-GB"/>
        </w:rPr>
        <w:t> </w:t>
      </w:r>
      <w:r w:rsidR="00EB0936" w:rsidRPr="007E0371">
        <w:rPr>
          <w:rFonts w:cs="Arial"/>
          <w:szCs w:val="24"/>
          <w:lang w:val="en-GB"/>
        </w:rPr>
        <w:t>years after the first patient was randomised,</w:t>
      </w:r>
      <w:r w:rsidR="00D2189B" w:rsidRPr="007E0371">
        <w:rPr>
          <w:rFonts w:cs="Arial"/>
          <w:szCs w:val="24"/>
          <w:lang w:val="en-GB"/>
        </w:rPr>
        <w:t xml:space="preserve"> although the</w:t>
      </w:r>
      <w:r w:rsidR="00EB0936" w:rsidRPr="007E0371">
        <w:rPr>
          <w:rFonts w:cs="Arial"/>
          <w:szCs w:val="24"/>
          <w:lang w:val="en-GB"/>
        </w:rPr>
        <w:t xml:space="preserve"> company stated that</w:t>
      </w:r>
      <w:r w:rsidR="00D2189B" w:rsidRPr="007E0371">
        <w:rPr>
          <w:rFonts w:cs="Arial"/>
          <w:szCs w:val="24"/>
          <w:lang w:val="en-GB"/>
        </w:rPr>
        <w:t xml:space="preserve"> trial follow-up was continuing for 5</w:t>
      </w:r>
      <w:r w:rsidR="00993F61" w:rsidRPr="007E0371">
        <w:rPr>
          <w:rFonts w:cs="Arial"/>
          <w:szCs w:val="24"/>
          <w:lang w:val="en-GB"/>
        </w:rPr>
        <w:t> </w:t>
      </w:r>
      <w:r w:rsidR="00D2189B" w:rsidRPr="007E0371">
        <w:rPr>
          <w:rFonts w:cs="Arial"/>
          <w:szCs w:val="24"/>
          <w:lang w:val="en-GB"/>
        </w:rPr>
        <w:t xml:space="preserve">years after </w:t>
      </w:r>
      <w:r w:rsidR="00EB0936" w:rsidRPr="007E0371">
        <w:rPr>
          <w:rFonts w:cs="Arial"/>
          <w:szCs w:val="24"/>
          <w:lang w:val="en-GB"/>
        </w:rPr>
        <w:t xml:space="preserve">randomisation. </w:t>
      </w:r>
      <w:r w:rsidR="00993F61" w:rsidRPr="007E0371">
        <w:rPr>
          <w:rFonts w:cs="Arial"/>
          <w:szCs w:val="24"/>
          <w:lang w:val="en-GB"/>
        </w:rPr>
        <w:t>Also</w:t>
      </w:r>
      <w:r w:rsidR="00EB0936" w:rsidRPr="007E0371">
        <w:rPr>
          <w:rFonts w:cs="Arial"/>
          <w:szCs w:val="24"/>
          <w:lang w:val="en-GB"/>
        </w:rPr>
        <w:t>, after 1</w:t>
      </w:r>
      <w:r w:rsidR="00993F61" w:rsidRPr="007E0371">
        <w:rPr>
          <w:rFonts w:cs="Arial"/>
          <w:szCs w:val="24"/>
          <w:lang w:val="en-GB"/>
        </w:rPr>
        <w:t> </w:t>
      </w:r>
      <w:r w:rsidR="00EB0936" w:rsidRPr="007E0371">
        <w:rPr>
          <w:rFonts w:cs="Arial"/>
          <w:szCs w:val="24"/>
          <w:lang w:val="en-GB"/>
        </w:rPr>
        <w:t>year, a substantial number of patients were censored in the analysis</w:t>
      </w:r>
      <w:r w:rsidR="00FE439F" w:rsidRPr="007E0371">
        <w:rPr>
          <w:rFonts w:cs="Arial"/>
          <w:szCs w:val="24"/>
          <w:lang w:val="en-GB"/>
        </w:rPr>
        <w:t>, which the committee agreed made the long-term results more uncertain</w:t>
      </w:r>
      <w:r w:rsidR="00EB0936" w:rsidRPr="007E0371">
        <w:rPr>
          <w:rFonts w:cs="Arial"/>
          <w:szCs w:val="24"/>
          <w:lang w:val="en-GB"/>
        </w:rPr>
        <w:t xml:space="preserve">. </w:t>
      </w:r>
      <w:r w:rsidR="00C76231" w:rsidRPr="007E0371">
        <w:rPr>
          <w:rFonts w:cs="Arial"/>
          <w:szCs w:val="24"/>
          <w:lang w:val="en-GB"/>
        </w:rPr>
        <w:t xml:space="preserve">In response to consultation, the company presented updated Kaplan–Meier graphs, using </w:t>
      </w:r>
      <w:r w:rsidR="004A5DCC" w:rsidRPr="007E0371">
        <w:rPr>
          <w:rFonts w:cs="Arial"/>
          <w:szCs w:val="24"/>
          <w:lang w:val="en-GB"/>
        </w:rPr>
        <w:t xml:space="preserve">safety </w:t>
      </w:r>
      <w:r w:rsidR="00C76231" w:rsidRPr="007E0371">
        <w:rPr>
          <w:rFonts w:cs="Arial"/>
          <w:szCs w:val="24"/>
          <w:lang w:val="en-GB"/>
        </w:rPr>
        <w:t xml:space="preserve">data </w:t>
      </w:r>
      <w:r w:rsidR="00695D23" w:rsidRPr="007E0371">
        <w:rPr>
          <w:rFonts w:cs="Arial"/>
          <w:szCs w:val="24"/>
          <w:lang w:val="en-GB"/>
        </w:rPr>
        <w:t>up to</w:t>
      </w:r>
      <w:r w:rsidR="00C76231" w:rsidRPr="007E0371">
        <w:rPr>
          <w:rFonts w:cs="Arial"/>
          <w:szCs w:val="24"/>
          <w:lang w:val="en-GB"/>
        </w:rPr>
        <w:t xml:space="preserve"> August 2018.</w:t>
      </w:r>
      <w:r w:rsidR="004A5DCC" w:rsidRPr="007E0371">
        <w:rPr>
          <w:rFonts w:cs="Arial"/>
          <w:szCs w:val="24"/>
          <w:lang w:val="en-GB"/>
        </w:rPr>
        <w:t xml:space="preserve"> It presented graphs both for overall survival in the full population and from the time of stem cell transplant. </w:t>
      </w:r>
      <w:r w:rsidR="00BF2638" w:rsidRPr="007E0371">
        <w:rPr>
          <w:rFonts w:cs="Arial"/>
          <w:szCs w:val="24"/>
          <w:lang w:val="en-GB"/>
        </w:rPr>
        <w:t xml:space="preserve">The committee agreed that the updated graphs were more reliable because </w:t>
      </w:r>
      <w:r w:rsidR="004A5DCC" w:rsidRPr="007E0371">
        <w:rPr>
          <w:rFonts w:cs="Arial"/>
          <w:szCs w:val="24"/>
          <w:lang w:val="en-GB"/>
        </w:rPr>
        <w:t xml:space="preserve">there was less censoring </w:t>
      </w:r>
      <w:r w:rsidR="00BF2638" w:rsidRPr="007E0371">
        <w:rPr>
          <w:rFonts w:cs="Arial"/>
          <w:szCs w:val="24"/>
          <w:lang w:val="en-GB"/>
        </w:rPr>
        <w:t>and there was</w:t>
      </w:r>
      <w:r w:rsidR="004A5DCC" w:rsidRPr="007E0371">
        <w:rPr>
          <w:rFonts w:cs="Arial"/>
          <w:szCs w:val="24"/>
          <w:lang w:val="en-GB"/>
        </w:rPr>
        <w:t xml:space="preserve"> a plateau in </w:t>
      </w:r>
      <w:r w:rsidR="00BF2638" w:rsidRPr="007E0371">
        <w:rPr>
          <w:rFonts w:cs="Arial"/>
          <w:szCs w:val="24"/>
          <w:lang w:val="en-GB"/>
        </w:rPr>
        <w:t>both treatment</w:t>
      </w:r>
      <w:r w:rsidR="004A5DCC" w:rsidRPr="007E0371">
        <w:rPr>
          <w:rFonts w:cs="Arial"/>
          <w:szCs w:val="24"/>
          <w:lang w:val="en-GB"/>
        </w:rPr>
        <w:t xml:space="preserve"> group</w:t>
      </w:r>
      <w:r w:rsidR="00BF2638" w:rsidRPr="007E0371">
        <w:rPr>
          <w:rFonts w:cs="Arial"/>
          <w:szCs w:val="24"/>
          <w:lang w:val="en-GB"/>
        </w:rPr>
        <w:t>s</w:t>
      </w:r>
      <w:r w:rsidR="004A5DCC" w:rsidRPr="007E0371">
        <w:rPr>
          <w:rFonts w:cs="Arial"/>
          <w:szCs w:val="24"/>
          <w:lang w:val="en-GB"/>
        </w:rPr>
        <w:t>.</w:t>
      </w:r>
      <w:r w:rsidR="00BF2638" w:rsidRPr="007E0371">
        <w:rPr>
          <w:rFonts w:cs="Arial"/>
          <w:szCs w:val="24"/>
          <w:lang w:val="en-GB"/>
        </w:rPr>
        <w:t xml:space="preserve"> The company suggested that the difference between groups in response to transplant was because people in the liposomal cytarabine</w:t>
      </w:r>
      <w:r w:rsidR="0061770E" w:rsidRPr="007E0371">
        <w:rPr>
          <w:rFonts w:cs="Arial"/>
          <w:szCs w:val="24"/>
          <w:lang w:val="en-GB"/>
        </w:rPr>
        <w:t>–</w:t>
      </w:r>
      <w:r w:rsidR="00BF2638" w:rsidRPr="007E0371">
        <w:rPr>
          <w:rFonts w:cs="Arial"/>
          <w:szCs w:val="24"/>
          <w:lang w:val="en-GB"/>
        </w:rPr>
        <w:t>daunorubicin group</w:t>
      </w:r>
      <w:r w:rsidR="00685B4B" w:rsidRPr="007E0371">
        <w:rPr>
          <w:rFonts w:cs="Arial"/>
          <w:szCs w:val="24"/>
          <w:lang w:val="en-GB"/>
        </w:rPr>
        <w:t xml:space="preserve"> were in better health before transplant</w:t>
      </w:r>
      <w:r w:rsidR="00E4589E" w:rsidRPr="007E0371">
        <w:rPr>
          <w:rFonts w:cs="Arial"/>
          <w:szCs w:val="24"/>
          <w:lang w:val="en-GB"/>
        </w:rPr>
        <w:t xml:space="preserve"> or had less residual leukaemia going into transplant</w:t>
      </w:r>
      <w:r w:rsidR="00B96D6B" w:rsidRPr="007E0371">
        <w:rPr>
          <w:rFonts w:cs="Arial"/>
          <w:szCs w:val="24"/>
          <w:lang w:val="en-GB"/>
        </w:rPr>
        <w:t>, or both</w:t>
      </w:r>
      <w:r w:rsidR="00685B4B" w:rsidRPr="007E0371">
        <w:rPr>
          <w:rFonts w:cs="Arial"/>
          <w:szCs w:val="24"/>
          <w:lang w:val="en-GB"/>
        </w:rPr>
        <w:t>.</w:t>
      </w:r>
      <w:r w:rsidR="00BF2638" w:rsidRPr="007E0371">
        <w:rPr>
          <w:rFonts w:cs="Arial"/>
          <w:szCs w:val="24"/>
          <w:lang w:val="en-GB"/>
        </w:rPr>
        <w:t xml:space="preserve"> </w:t>
      </w:r>
      <w:r w:rsidR="00685B4B" w:rsidRPr="007E0371">
        <w:rPr>
          <w:rFonts w:cs="Arial"/>
          <w:szCs w:val="24"/>
          <w:lang w:val="en-GB"/>
        </w:rPr>
        <w:t xml:space="preserve">However, minimal residual disease status before transplant was not collected in the trial. </w:t>
      </w:r>
      <w:r w:rsidR="007C1AEB" w:rsidRPr="00A7745D">
        <w:rPr>
          <w:rFonts w:cs="Arial"/>
          <w:szCs w:val="24"/>
          <w:lang w:val="en-GB"/>
        </w:rPr>
        <w:t>The committee concluded that</w:t>
      </w:r>
      <w:r w:rsidR="00A7745D" w:rsidRPr="00520CE7">
        <w:rPr>
          <w:rFonts w:cs="Arial"/>
          <w:szCs w:val="24"/>
          <w:lang w:val="en-GB"/>
        </w:rPr>
        <w:t xml:space="preserve"> </w:t>
      </w:r>
      <w:r w:rsidR="00193707">
        <w:rPr>
          <w:rFonts w:cs="Arial"/>
          <w:szCs w:val="24"/>
          <w:lang w:val="en-GB"/>
        </w:rPr>
        <w:t xml:space="preserve">there was </w:t>
      </w:r>
      <w:r w:rsidR="00BA36E4">
        <w:rPr>
          <w:rFonts w:cs="Arial"/>
          <w:szCs w:val="24"/>
          <w:lang w:val="en-GB"/>
        </w:rPr>
        <w:t xml:space="preserve">some </w:t>
      </w:r>
      <w:r w:rsidR="00193707">
        <w:rPr>
          <w:rFonts w:cs="Arial"/>
          <w:szCs w:val="24"/>
          <w:lang w:val="en-GB"/>
        </w:rPr>
        <w:t xml:space="preserve">uncertainty about how much survival was improved after stem cell transplant, but that </w:t>
      </w:r>
      <w:r w:rsidR="007C1AEB" w:rsidRPr="00D05235">
        <w:rPr>
          <w:rFonts w:cs="Arial"/>
          <w:szCs w:val="24"/>
          <w:lang w:val="en-GB"/>
        </w:rPr>
        <w:t>liposomal cytarabine</w:t>
      </w:r>
      <w:r w:rsidR="000E0ACB" w:rsidRPr="00D05235">
        <w:rPr>
          <w:rFonts w:cs="Arial"/>
          <w:szCs w:val="24"/>
          <w:lang w:val="en-GB"/>
        </w:rPr>
        <w:t>–</w:t>
      </w:r>
      <w:r w:rsidR="007C1AEB" w:rsidRPr="00D05235">
        <w:rPr>
          <w:rFonts w:cs="Arial"/>
          <w:szCs w:val="24"/>
          <w:lang w:val="en-GB"/>
        </w:rPr>
        <w:t>daunorubicin improved overall survival in the whole population</w:t>
      </w:r>
      <w:r w:rsidR="00EB7360" w:rsidRPr="00163DA6">
        <w:rPr>
          <w:rFonts w:cs="Arial"/>
          <w:szCs w:val="24"/>
          <w:lang w:val="en-GB"/>
        </w:rPr>
        <w:t xml:space="preserve"> compared </w:t>
      </w:r>
      <w:r w:rsidR="00076DD0" w:rsidRPr="00163DA6">
        <w:rPr>
          <w:rFonts w:cs="Arial"/>
          <w:szCs w:val="24"/>
          <w:lang w:val="en-GB"/>
        </w:rPr>
        <w:t>with</w:t>
      </w:r>
      <w:r w:rsidR="00EB7360" w:rsidRPr="00163DA6">
        <w:rPr>
          <w:rFonts w:cs="Arial"/>
          <w:szCs w:val="24"/>
          <w:lang w:val="en-GB"/>
        </w:rPr>
        <w:t xml:space="preserve"> standard cytarabine and daunorubicin</w:t>
      </w:r>
      <w:bookmarkEnd w:id="2"/>
      <w:r w:rsidR="00A7745D" w:rsidRPr="007E0371">
        <w:rPr>
          <w:rFonts w:cs="Arial"/>
          <w:szCs w:val="24"/>
          <w:lang w:val="en-GB"/>
        </w:rPr>
        <w:t>.</w:t>
      </w:r>
    </w:p>
    <w:p w14:paraId="4023717C" w14:textId="063564B4" w:rsidR="000A4E9F" w:rsidRDefault="0099093F" w:rsidP="00AE3728">
      <w:pPr>
        <w:pStyle w:val="Heading2"/>
      </w:pPr>
      <w:r>
        <w:t>Adverse effects</w:t>
      </w:r>
    </w:p>
    <w:p w14:paraId="2AC57EF6" w14:textId="5AE5B1FB" w:rsidR="000A4E9F" w:rsidRDefault="004C58CD" w:rsidP="00426086">
      <w:pPr>
        <w:pStyle w:val="Heading3"/>
      </w:pPr>
      <w:r>
        <w:t>Liposomal cytarabine</w:t>
      </w:r>
      <w:r w:rsidR="00C53D97">
        <w:t>–</w:t>
      </w:r>
      <w:r>
        <w:t>daunorubicin is well tolerated</w:t>
      </w:r>
    </w:p>
    <w:p w14:paraId="1F2BFA83" w14:textId="7464B96C" w:rsidR="0099093F" w:rsidRPr="0099093F" w:rsidRDefault="0099093F" w:rsidP="0099093F">
      <w:pPr>
        <w:pStyle w:val="Numberedlevel2text"/>
      </w:pPr>
      <w:r>
        <w:t>The committee noted</w:t>
      </w:r>
      <w:r>
        <w:rPr>
          <w:lang w:val="en-GB"/>
        </w:rPr>
        <w:t xml:space="preserve"> that the adverse effects reported in Study</w:t>
      </w:r>
      <w:r w:rsidR="00A369EC">
        <w:rPr>
          <w:lang w:val="en-GB"/>
        </w:rPr>
        <w:t> </w:t>
      </w:r>
      <w:r>
        <w:rPr>
          <w:lang w:val="en-GB"/>
        </w:rPr>
        <w:t>301 were broadly comparable between the 2</w:t>
      </w:r>
      <w:r w:rsidR="00A369EC">
        <w:rPr>
          <w:lang w:val="en-GB"/>
        </w:rPr>
        <w:t> </w:t>
      </w:r>
      <w:r>
        <w:rPr>
          <w:lang w:val="en-GB"/>
        </w:rPr>
        <w:t xml:space="preserve">groups. </w:t>
      </w:r>
      <w:r w:rsidR="004C58CD">
        <w:rPr>
          <w:lang w:val="en-GB"/>
        </w:rPr>
        <w:t>T</w:t>
      </w:r>
      <w:r>
        <w:rPr>
          <w:lang w:val="en-GB"/>
        </w:rPr>
        <w:t>he patient expert</w:t>
      </w:r>
      <w:r w:rsidR="004C58CD">
        <w:rPr>
          <w:lang w:val="en-GB"/>
        </w:rPr>
        <w:t xml:space="preserve"> noted that liposomal cytarabine</w:t>
      </w:r>
      <w:r w:rsidR="00C53D97">
        <w:rPr>
          <w:lang w:val="en-GB"/>
        </w:rPr>
        <w:t>–</w:t>
      </w:r>
      <w:r w:rsidR="004C58CD">
        <w:rPr>
          <w:lang w:val="en-GB"/>
        </w:rPr>
        <w:t xml:space="preserve">daunorubicin </w:t>
      </w:r>
      <w:r w:rsidR="001E57DA">
        <w:rPr>
          <w:lang w:val="en-GB"/>
        </w:rPr>
        <w:t xml:space="preserve">had been </w:t>
      </w:r>
      <w:r w:rsidR="004C58CD">
        <w:rPr>
          <w:lang w:val="en-GB"/>
        </w:rPr>
        <w:t xml:space="preserve">more tolerable </w:t>
      </w:r>
      <w:r w:rsidR="001E57DA">
        <w:rPr>
          <w:lang w:val="en-GB"/>
        </w:rPr>
        <w:t xml:space="preserve">for them </w:t>
      </w:r>
      <w:r w:rsidR="004C58CD">
        <w:rPr>
          <w:lang w:val="en-GB"/>
        </w:rPr>
        <w:t xml:space="preserve">than other treatments. The clinical experts suggested that people in the </w:t>
      </w:r>
      <w:r w:rsidR="00D8723E">
        <w:rPr>
          <w:lang w:val="en-GB"/>
        </w:rPr>
        <w:t xml:space="preserve">liposomal </w:t>
      </w:r>
      <w:r w:rsidR="0061770E">
        <w:rPr>
          <w:lang w:val="en-GB"/>
        </w:rPr>
        <w:t>cytarabine–</w:t>
      </w:r>
      <w:r w:rsidR="00D8723E">
        <w:rPr>
          <w:lang w:val="en-GB"/>
        </w:rPr>
        <w:t>daunorubicin</w:t>
      </w:r>
      <w:r w:rsidR="004C58CD">
        <w:rPr>
          <w:lang w:val="en-GB"/>
        </w:rPr>
        <w:t xml:space="preserve"> group of Study</w:t>
      </w:r>
      <w:r w:rsidR="00A369EC">
        <w:rPr>
          <w:lang w:val="en-GB"/>
        </w:rPr>
        <w:t> </w:t>
      </w:r>
      <w:r w:rsidR="004C58CD">
        <w:rPr>
          <w:lang w:val="en-GB"/>
        </w:rPr>
        <w:t xml:space="preserve">301 may have taken the active treatment for longer, </w:t>
      </w:r>
      <w:r w:rsidR="00D8723E">
        <w:rPr>
          <w:lang w:val="en-GB"/>
        </w:rPr>
        <w:t>leading to</w:t>
      </w:r>
      <w:r w:rsidR="004C58CD">
        <w:rPr>
          <w:lang w:val="en-GB"/>
        </w:rPr>
        <w:t xml:space="preserve"> similar rates of adverse effects in the 2</w:t>
      </w:r>
      <w:r w:rsidR="00A369EC">
        <w:rPr>
          <w:lang w:val="en-GB"/>
        </w:rPr>
        <w:t> </w:t>
      </w:r>
      <w:r w:rsidR="004C58CD">
        <w:rPr>
          <w:lang w:val="en-GB"/>
        </w:rPr>
        <w:t>groups</w:t>
      </w:r>
      <w:r w:rsidR="00D8723E">
        <w:rPr>
          <w:lang w:val="en-GB"/>
        </w:rPr>
        <w:t>, rather than lower rates in the liposomal cytarabine</w:t>
      </w:r>
      <w:r w:rsidR="000239D4">
        <w:rPr>
          <w:lang w:val="en-GB"/>
        </w:rPr>
        <w:t>–</w:t>
      </w:r>
      <w:r w:rsidR="00D8723E">
        <w:rPr>
          <w:lang w:val="en-GB"/>
        </w:rPr>
        <w:t>daunorubicin group as they may have expected</w:t>
      </w:r>
      <w:r w:rsidR="004C58CD">
        <w:rPr>
          <w:lang w:val="en-GB"/>
        </w:rPr>
        <w:t xml:space="preserve">. The committee </w:t>
      </w:r>
      <w:r w:rsidR="004C58CD">
        <w:rPr>
          <w:lang w:val="en-GB"/>
        </w:rPr>
        <w:lastRenderedPageBreak/>
        <w:t>concluded that liposomal cytarabine</w:t>
      </w:r>
      <w:r w:rsidR="00C53D97">
        <w:rPr>
          <w:lang w:val="en-GB"/>
        </w:rPr>
        <w:t>–</w:t>
      </w:r>
      <w:r w:rsidR="004C58CD">
        <w:rPr>
          <w:lang w:val="en-GB"/>
        </w:rPr>
        <w:t>daunorubicin was generally well tolerated.</w:t>
      </w:r>
    </w:p>
    <w:p w14:paraId="75A45FD5" w14:textId="45870BEA" w:rsidR="007D7F83" w:rsidRDefault="001630B5" w:rsidP="00AE3728">
      <w:pPr>
        <w:pStyle w:val="Heading2"/>
      </w:pPr>
      <w:r>
        <w:t>The company’s economic model</w:t>
      </w:r>
    </w:p>
    <w:p w14:paraId="3DFD5E9F" w14:textId="10B22A8F" w:rsidR="002B13C6" w:rsidRDefault="00900B57" w:rsidP="00426086">
      <w:pPr>
        <w:pStyle w:val="Heading3"/>
      </w:pPr>
      <w:r>
        <w:t xml:space="preserve">The model is appropriate for decision-making but there is uncertainty in </w:t>
      </w:r>
      <w:r w:rsidR="007213AA">
        <w:t>extrapolati</w:t>
      </w:r>
      <w:r w:rsidR="00083E23">
        <w:t>ng</w:t>
      </w:r>
      <w:r w:rsidR="007213AA">
        <w:t xml:space="preserve"> </w:t>
      </w:r>
      <w:r>
        <w:t xml:space="preserve">overall survival </w:t>
      </w:r>
      <w:r w:rsidR="007213AA">
        <w:t>after</w:t>
      </w:r>
      <w:r>
        <w:t xml:space="preserve"> </w:t>
      </w:r>
      <w:r w:rsidR="007213AA">
        <w:t xml:space="preserve">transplant </w:t>
      </w:r>
      <w:r>
        <w:t>and the cure fraction used</w:t>
      </w:r>
    </w:p>
    <w:p w14:paraId="68E0DB9C" w14:textId="339922F8" w:rsidR="001630B5" w:rsidRPr="001630B5" w:rsidRDefault="001630B5" w:rsidP="008913D0">
      <w:pPr>
        <w:pStyle w:val="Numberedlevel2text"/>
      </w:pPr>
      <w:bookmarkStart w:id="3" w:name="_Ref521415195"/>
      <w:r>
        <w:rPr>
          <w:lang w:val="en-GB"/>
        </w:rPr>
        <w:t>The company presented a</w:t>
      </w:r>
      <w:r w:rsidR="005974AB">
        <w:rPr>
          <w:lang w:val="en-GB"/>
        </w:rPr>
        <w:t>n</w:t>
      </w:r>
      <w:r>
        <w:rPr>
          <w:lang w:val="en-GB"/>
        </w:rPr>
        <w:t xml:space="preserve"> economic model</w:t>
      </w:r>
      <w:r w:rsidR="00C97911">
        <w:rPr>
          <w:lang w:val="en-GB"/>
        </w:rPr>
        <w:t xml:space="preserve"> in 2</w:t>
      </w:r>
      <w:r w:rsidR="00F8538B">
        <w:rPr>
          <w:lang w:val="en-GB"/>
        </w:rPr>
        <w:t> </w:t>
      </w:r>
      <w:r w:rsidR="00C97911">
        <w:rPr>
          <w:lang w:val="en-GB"/>
        </w:rPr>
        <w:t xml:space="preserve">parts: an initial decision tree to determine </w:t>
      </w:r>
      <w:r w:rsidR="00F8538B">
        <w:rPr>
          <w:lang w:val="en-GB"/>
        </w:rPr>
        <w:t xml:space="preserve">if </w:t>
      </w:r>
      <w:r w:rsidR="00C97911">
        <w:rPr>
          <w:lang w:val="en-GB"/>
        </w:rPr>
        <w:t xml:space="preserve">patients were in remission after induction therapy, and whether they </w:t>
      </w:r>
      <w:r w:rsidR="00F8538B">
        <w:rPr>
          <w:lang w:val="en-GB"/>
        </w:rPr>
        <w:t xml:space="preserve">had </w:t>
      </w:r>
      <w:r w:rsidR="00C97911">
        <w:rPr>
          <w:lang w:val="en-GB"/>
        </w:rPr>
        <w:t>a stem cell transplant or not, and then subsequent partitioned survival models.</w:t>
      </w:r>
      <w:r w:rsidR="00B93E9E">
        <w:rPr>
          <w:lang w:val="en-GB"/>
        </w:rPr>
        <w:t xml:space="preserve"> </w:t>
      </w:r>
      <w:r w:rsidR="00B113F2">
        <w:rPr>
          <w:lang w:val="en-GB"/>
        </w:rPr>
        <w:t>The model had a 30</w:t>
      </w:r>
      <w:r w:rsidR="00F8538B">
        <w:rPr>
          <w:lang w:val="en-GB"/>
        </w:rPr>
        <w:t> </w:t>
      </w:r>
      <w:r w:rsidR="00B113F2">
        <w:rPr>
          <w:lang w:val="en-GB"/>
        </w:rPr>
        <w:t>year time horizon</w:t>
      </w:r>
      <w:r w:rsidR="00EF4CB3">
        <w:rPr>
          <w:lang w:val="en-GB"/>
        </w:rPr>
        <w:t>.</w:t>
      </w:r>
      <w:r w:rsidR="00B113F2">
        <w:rPr>
          <w:lang w:val="en-GB"/>
        </w:rPr>
        <w:t xml:space="preserve"> </w:t>
      </w:r>
      <w:r w:rsidR="00EF4CB3">
        <w:rPr>
          <w:lang w:val="en-GB"/>
        </w:rPr>
        <w:t xml:space="preserve">This </w:t>
      </w:r>
      <w:r w:rsidR="00B113F2">
        <w:rPr>
          <w:lang w:val="en-GB"/>
        </w:rPr>
        <w:t xml:space="preserve">was assumed to be a lifetime </w:t>
      </w:r>
      <w:r w:rsidR="00083E23">
        <w:rPr>
          <w:lang w:val="en-GB"/>
        </w:rPr>
        <w:t xml:space="preserve">time </w:t>
      </w:r>
      <w:r w:rsidR="00B113F2">
        <w:rPr>
          <w:lang w:val="en-GB"/>
        </w:rPr>
        <w:t>horizon because patients in the model were 60 to 75</w:t>
      </w:r>
      <w:r w:rsidR="00F8538B">
        <w:rPr>
          <w:lang w:val="en-GB"/>
        </w:rPr>
        <w:t> years</w:t>
      </w:r>
      <w:r w:rsidR="00B113F2">
        <w:rPr>
          <w:lang w:val="en-GB"/>
        </w:rPr>
        <w:t>, as in Study</w:t>
      </w:r>
      <w:r w:rsidR="00F8538B">
        <w:rPr>
          <w:lang w:val="en-GB"/>
        </w:rPr>
        <w:t> </w:t>
      </w:r>
      <w:r w:rsidR="00B113F2">
        <w:rPr>
          <w:lang w:val="en-GB"/>
        </w:rPr>
        <w:t xml:space="preserve">301. To extrapolate beyond the trial period, the company </w:t>
      </w:r>
      <w:r w:rsidR="005F4719">
        <w:rPr>
          <w:lang w:val="en-GB"/>
        </w:rPr>
        <w:t>modelled parametric curves separately by treatment group.</w:t>
      </w:r>
      <w:r w:rsidR="005F4719" w:rsidRPr="005F4719">
        <w:rPr>
          <w:lang w:val="en-GB"/>
        </w:rPr>
        <w:t xml:space="preserve"> </w:t>
      </w:r>
      <w:r w:rsidR="005F4719">
        <w:rPr>
          <w:lang w:val="en-GB"/>
        </w:rPr>
        <w:t>Overall survival and relapse-free survival outcomes were modelled separately for 3</w:t>
      </w:r>
      <w:r w:rsidR="00F8538B">
        <w:rPr>
          <w:lang w:val="en-GB"/>
        </w:rPr>
        <w:t> </w:t>
      </w:r>
      <w:r w:rsidR="005F4719">
        <w:rPr>
          <w:lang w:val="en-GB"/>
        </w:rPr>
        <w:t>groups based on data from Study</w:t>
      </w:r>
      <w:r w:rsidR="00F8538B">
        <w:rPr>
          <w:lang w:val="en-GB"/>
        </w:rPr>
        <w:t> </w:t>
      </w:r>
      <w:r w:rsidR="005F4719">
        <w:rPr>
          <w:lang w:val="en-GB"/>
        </w:rPr>
        <w:t>301: people in remission who had a stem cell transplant, people in remission who did not have a transplant, and people who were not in remission. For people in the liposomal cytarabine</w:t>
      </w:r>
      <w:r w:rsidR="000239D4">
        <w:rPr>
          <w:lang w:val="en-GB"/>
        </w:rPr>
        <w:t>–</w:t>
      </w:r>
      <w:r w:rsidR="005F4719">
        <w:rPr>
          <w:lang w:val="en-GB"/>
        </w:rPr>
        <w:t>daunorubicin group who were in remission and had a stem cell transplant, the company chose a Gompertz distribution to extrapolate overall survival</w:t>
      </w:r>
      <w:r w:rsidR="00F8538B">
        <w:rPr>
          <w:lang w:val="en-GB"/>
        </w:rPr>
        <w:t>.</w:t>
      </w:r>
      <w:r w:rsidR="00D2189B">
        <w:rPr>
          <w:lang w:val="en-GB"/>
        </w:rPr>
        <w:t xml:space="preserve"> </w:t>
      </w:r>
      <w:r w:rsidR="00F8538B">
        <w:rPr>
          <w:lang w:val="en-GB"/>
        </w:rPr>
        <w:t xml:space="preserve">This was </w:t>
      </w:r>
      <w:r w:rsidR="00D2189B">
        <w:rPr>
          <w:lang w:val="en-GB"/>
        </w:rPr>
        <w:t>based on clinical plausibility and because it was the best fit to the trial data</w:t>
      </w:r>
      <w:r w:rsidR="005F4719">
        <w:rPr>
          <w:lang w:val="en-GB"/>
        </w:rPr>
        <w:t>.</w:t>
      </w:r>
      <w:r w:rsidR="00D2189B">
        <w:rPr>
          <w:lang w:val="en-GB"/>
        </w:rPr>
        <w:t xml:space="preserve"> </w:t>
      </w:r>
      <w:r w:rsidR="006D5C72">
        <w:rPr>
          <w:lang w:val="en-GB"/>
        </w:rPr>
        <w:t xml:space="preserve">The committee considered that although the Gompertz distribution produced a plateau, which would be expected after transplant, the plateau </w:t>
      </w:r>
      <w:r w:rsidR="008E3F20">
        <w:rPr>
          <w:lang w:val="en-GB"/>
        </w:rPr>
        <w:t xml:space="preserve">seemed </w:t>
      </w:r>
      <w:r w:rsidR="000747BB">
        <w:rPr>
          <w:lang w:val="en-GB"/>
        </w:rPr>
        <w:t>overly optimistic</w:t>
      </w:r>
      <w:r w:rsidR="008E3F20">
        <w:rPr>
          <w:lang w:val="en-GB"/>
        </w:rPr>
        <w:t>.</w:t>
      </w:r>
      <w:r w:rsidR="006D5C72">
        <w:rPr>
          <w:lang w:val="en-GB"/>
        </w:rPr>
        <w:t xml:space="preserve"> </w:t>
      </w:r>
      <w:r w:rsidR="00D2663B">
        <w:rPr>
          <w:lang w:val="en-GB"/>
        </w:rPr>
        <w:t xml:space="preserve">The committee </w:t>
      </w:r>
      <w:r w:rsidR="009479BD">
        <w:rPr>
          <w:lang w:val="en-GB"/>
        </w:rPr>
        <w:t>agreed</w:t>
      </w:r>
      <w:r w:rsidR="00D2663B">
        <w:rPr>
          <w:lang w:val="en-GB"/>
        </w:rPr>
        <w:t xml:space="preserve"> that the Study</w:t>
      </w:r>
      <w:r w:rsidR="00F8538B">
        <w:rPr>
          <w:lang w:val="en-GB"/>
        </w:rPr>
        <w:t> </w:t>
      </w:r>
      <w:r w:rsidR="00D2663B">
        <w:rPr>
          <w:lang w:val="en-GB"/>
        </w:rPr>
        <w:t xml:space="preserve">301 </w:t>
      </w:r>
      <w:r w:rsidR="0027720D">
        <w:rPr>
          <w:lang w:val="en-GB"/>
        </w:rPr>
        <w:t xml:space="preserve">data </w:t>
      </w:r>
      <w:r w:rsidR="00D2663B">
        <w:rPr>
          <w:lang w:val="en-GB"/>
        </w:rPr>
        <w:t>w</w:t>
      </w:r>
      <w:r w:rsidR="00083E23">
        <w:rPr>
          <w:lang w:val="en-GB"/>
        </w:rPr>
        <w:t>ere</w:t>
      </w:r>
      <w:r w:rsidR="00D2663B">
        <w:rPr>
          <w:lang w:val="en-GB"/>
        </w:rPr>
        <w:t xml:space="preserve"> not mature enough to justify this extrapolation, particularly with the amount of censoring (see section</w:t>
      </w:r>
      <w:r w:rsidR="00F8538B">
        <w:rPr>
          <w:lang w:val="en-GB"/>
        </w:rPr>
        <w:t> </w:t>
      </w:r>
      <w:r w:rsidR="005845B6">
        <w:rPr>
          <w:lang w:val="en-GB"/>
        </w:rPr>
        <w:fldChar w:fldCharType="begin"/>
      </w:r>
      <w:r w:rsidR="005845B6">
        <w:rPr>
          <w:lang w:val="en-GB"/>
        </w:rPr>
        <w:instrText xml:space="preserve"> REF _Ref521415157 \r \h </w:instrText>
      </w:r>
      <w:r w:rsidR="005845B6">
        <w:rPr>
          <w:lang w:val="en-GB"/>
        </w:rPr>
      </w:r>
      <w:r w:rsidR="005845B6">
        <w:rPr>
          <w:lang w:val="en-GB"/>
        </w:rPr>
        <w:fldChar w:fldCharType="separate"/>
      </w:r>
      <w:r w:rsidR="005845B6">
        <w:rPr>
          <w:lang w:val="en-GB"/>
        </w:rPr>
        <w:t>3.4</w:t>
      </w:r>
      <w:r w:rsidR="005845B6">
        <w:rPr>
          <w:lang w:val="en-GB"/>
        </w:rPr>
        <w:fldChar w:fldCharType="end"/>
      </w:r>
      <w:r w:rsidR="00D2663B">
        <w:rPr>
          <w:lang w:val="en-GB"/>
        </w:rPr>
        <w:t xml:space="preserve">). </w:t>
      </w:r>
      <w:r w:rsidR="00956CB9">
        <w:rPr>
          <w:lang w:val="en-GB"/>
        </w:rPr>
        <w:t>At the first committee meeting, t</w:t>
      </w:r>
      <w:r w:rsidR="00D2663B">
        <w:rPr>
          <w:lang w:val="en-GB"/>
        </w:rPr>
        <w:t>he committee</w:t>
      </w:r>
      <w:r w:rsidR="008E3F20">
        <w:rPr>
          <w:lang w:val="en-GB"/>
        </w:rPr>
        <w:t xml:space="preserve"> noted that the modelled curve for the comparator group did not reach a plateau. The company stated that after around 2</w:t>
      </w:r>
      <w:r w:rsidR="00F8538B">
        <w:rPr>
          <w:lang w:val="en-GB"/>
        </w:rPr>
        <w:t> </w:t>
      </w:r>
      <w:r w:rsidR="008E3F20">
        <w:rPr>
          <w:lang w:val="en-GB"/>
        </w:rPr>
        <w:t xml:space="preserve">years, </w:t>
      </w:r>
      <w:r w:rsidR="006079E3">
        <w:rPr>
          <w:lang w:val="en-GB"/>
        </w:rPr>
        <w:t xml:space="preserve">general population mortality rates would be applied </w:t>
      </w:r>
      <w:r w:rsidR="000239D4">
        <w:rPr>
          <w:lang w:val="en-GB"/>
        </w:rPr>
        <w:t>for</w:t>
      </w:r>
      <w:r w:rsidR="006079E3">
        <w:rPr>
          <w:lang w:val="en-GB"/>
        </w:rPr>
        <w:t xml:space="preserve"> </w:t>
      </w:r>
      <w:r w:rsidR="008E3F20">
        <w:rPr>
          <w:lang w:val="en-GB"/>
        </w:rPr>
        <w:t xml:space="preserve">most people </w:t>
      </w:r>
      <w:r w:rsidR="006079E3">
        <w:rPr>
          <w:lang w:val="en-GB"/>
        </w:rPr>
        <w:t>in the liposomal cytarabine</w:t>
      </w:r>
      <w:r w:rsidR="000239D4">
        <w:rPr>
          <w:lang w:val="en-GB"/>
        </w:rPr>
        <w:t>–</w:t>
      </w:r>
      <w:r w:rsidR="006079E3">
        <w:rPr>
          <w:lang w:val="en-GB"/>
        </w:rPr>
        <w:t xml:space="preserve">daunorubicin group </w:t>
      </w:r>
      <w:r w:rsidR="00D2663B">
        <w:rPr>
          <w:lang w:val="en-GB"/>
        </w:rPr>
        <w:t>in its base-case</w:t>
      </w:r>
      <w:r w:rsidR="008E3F20">
        <w:rPr>
          <w:lang w:val="en-GB"/>
        </w:rPr>
        <w:t xml:space="preserve"> model</w:t>
      </w:r>
      <w:r w:rsidR="006079E3">
        <w:rPr>
          <w:lang w:val="en-GB"/>
        </w:rPr>
        <w:t xml:space="preserve">, because </w:t>
      </w:r>
      <w:r w:rsidR="00F06233">
        <w:rPr>
          <w:lang w:val="en-GB"/>
        </w:rPr>
        <w:t>these</w:t>
      </w:r>
      <w:r w:rsidR="006079E3">
        <w:rPr>
          <w:lang w:val="en-GB"/>
        </w:rPr>
        <w:t xml:space="preserve"> rates were used when the modelled mortality rates would otherwise be lower.</w:t>
      </w:r>
      <w:r w:rsidR="008E3F20">
        <w:rPr>
          <w:lang w:val="en-GB"/>
        </w:rPr>
        <w:t xml:space="preserve"> </w:t>
      </w:r>
      <w:r w:rsidR="009479BD">
        <w:rPr>
          <w:lang w:val="en-GB"/>
        </w:rPr>
        <w:t>The ERG explored several parametric curves for extrapolating overall survival</w:t>
      </w:r>
      <w:r w:rsidR="001321C1">
        <w:rPr>
          <w:lang w:val="en-GB"/>
        </w:rPr>
        <w:t xml:space="preserve"> </w:t>
      </w:r>
      <w:r w:rsidR="001321C1">
        <w:rPr>
          <w:lang w:val="en-GB"/>
        </w:rPr>
        <w:lastRenderedPageBreak/>
        <w:t>after transplant</w:t>
      </w:r>
      <w:r w:rsidR="009479BD">
        <w:rPr>
          <w:lang w:val="en-GB"/>
        </w:rPr>
        <w:t xml:space="preserve"> for the liposomal cytarabine</w:t>
      </w:r>
      <w:r w:rsidR="000239D4">
        <w:rPr>
          <w:lang w:val="en-GB"/>
        </w:rPr>
        <w:t>–</w:t>
      </w:r>
      <w:r w:rsidR="009479BD">
        <w:rPr>
          <w:lang w:val="en-GB"/>
        </w:rPr>
        <w:t xml:space="preserve">daunorubicin group. It noted that the choice of curve had a large </w:t>
      </w:r>
      <w:r w:rsidR="00F8538B">
        <w:rPr>
          <w:lang w:val="en-GB"/>
        </w:rPr>
        <w:t xml:space="preserve">effect </w:t>
      </w:r>
      <w:r w:rsidR="009479BD">
        <w:rPr>
          <w:lang w:val="en-GB"/>
        </w:rPr>
        <w:t xml:space="preserve">on the predicted benefit and therefore the cost-effectiveness results. </w:t>
      </w:r>
      <w:r w:rsidR="00DB6343">
        <w:rPr>
          <w:lang w:val="en-GB"/>
        </w:rPr>
        <w:t>So, the ERG</w:t>
      </w:r>
      <w:r w:rsidR="009479BD">
        <w:rPr>
          <w:lang w:val="en-GB"/>
        </w:rPr>
        <w:t xml:space="preserve"> used a model averaging approach to address the uncertainty. </w:t>
      </w:r>
      <w:r w:rsidR="006D5C72">
        <w:rPr>
          <w:lang w:val="en-GB"/>
        </w:rPr>
        <w:t>The committee</w:t>
      </w:r>
      <w:r w:rsidR="009479BD">
        <w:rPr>
          <w:lang w:val="en-GB"/>
        </w:rPr>
        <w:t xml:space="preserve"> considered that this approach did not address the clinical implausibility of the extrapolation. </w:t>
      </w:r>
      <w:r w:rsidR="00C76231">
        <w:rPr>
          <w:lang w:val="en-GB"/>
        </w:rPr>
        <w:t>T</w:t>
      </w:r>
      <w:r w:rsidR="001B4B6A">
        <w:rPr>
          <w:lang w:val="en-GB"/>
        </w:rPr>
        <w:t>he committee</w:t>
      </w:r>
      <w:r w:rsidR="006D5C72">
        <w:rPr>
          <w:lang w:val="en-GB"/>
        </w:rPr>
        <w:t xml:space="preserve"> </w:t>
      </w:r>
      <w:r w:rsidR="00C76231">
        <w:rPr>
          <w:lang w:val="en-GB"/>
        </w:rPr>
        <w:t xml:space="preserve">stated that it </w:t>
      </w:r>
      <w:r w:rsidR="006D5C72">
        <w:rPr>
          <w:lang w:val="en-GB"/>
        </w:rPr>
        <w:t xml:space="preserve">would </w:t>
      </w:r>
      <w:r w:rsidR="000248E7">
        <w:rPr>
          <w:lang w:val="en-GB"/>
        </w:rPr>
        <w:t>prefer to see</w:t>
      </w:r>
      <w:r w:rsidR="006D5C72">
        <w:rPr>
          <w:lang w:val="en-GB"/>
        </w:rPr>
        <w:t xml:space="preserve"> a cure model</w:t>
      </w:r>
      <w:r w:rsidR="009479BD">
        <w:rPr>
          <w:lang w:val="en-GB"/>
        </w:rPr>
        <w:t xml:space="preserve"> for the whole population, whether or not they </w:t>
      </w:r>
      <w:r w:rsidR="00DB6343">
        <w:rPr>
          <w:lang w:val="en-GB"/>
        </w:rPr>
        <w:t>had</w:t>
      </w:r>
      <w:r w:rsidR="009479BD">
        <w:rPr>
          <w:lang w:val="en-GB"/>
        </w:rPr>
        <w:t xml:space="preserve"> a stem cell transplant.</w:t>
      </w:r>
      <w:r w:rsidR="00AD480E">
        <w:rPr>
          <w:lang w:val="en-GB"/>
        </w:rPr>
        <w:t xml:space="preserve"> </w:t>
      </w:r>
      <w:r w:rsidR="00484F89">
        <w:rPr>
          <w:lang w:val="en-GB"/>
        </w:rPr>
        <w:t xml:space="preserve">The committee </w:t>
      </w:r>
      <w:r w:rsidR="00B56392">
        <w:rPr>
          <w:lang w:val="en-GB"/>
        </w:rPr>
        <w:t>agreed</w:t>
      </w:r>
      <w:r w:rsidR="00484F89">
        <w:rPr>
          <w:lang w:val="en-GB"/>
        </w:rPr>
        <w:t xml:space="preserve"> that a plateau, or ‘cure’, should be accounted for in the standard cytarabine and daunorubicin survival extrapolation (</w:t>
      </w:r>
      <w:r w:rsidR="00F8538B">
        <w:rPr>
          <w:lang w:val="en-GB"/>
        </w:rPr>
        <w:t xml:space="preserve">see </w:t>
      </w:r>
      <w:r w:rsidR="00484F89">
        <w:rPr>
          <w:lang w:val="en-GB"/>
        </w:rPr>
        <w:t>section</w:t>
      </w:r>
      <w:r w:rsidR="00F8538B">
        <w:rPr>
          <w:lang w:val="en-GB"/>
        </w:rPr>
        <w:t> </w:t>
      </w:r>
      <w:r w:rsidR="005845B6">
        <w:rPr>
          <w:lang w:val="en-GB"/>
        </w:rPr>
        <w:fldChar w:fldCharType="begin"/>
      </w:r>
      <w:r w:rsidR="005845B6">
        <w:rPr>
          <w:lang w:val="en-GB"/>
        </w:rPr>
        <w:instrText xml:space="preserve"> REF _Ref521415157 \r \h </w:instrText>
      </w:r>
      <w:r w:rsidR="005845B6">
        <w:rPr>
          <w:lang w:val="en-GB"/>
        </w:rPr>
      </w:r>
      <w:r w:rsidR="005845B6">
        <w:rPr>
          <w:lang w:val="en-GB"/>
        </w:rPr>
        <w:fldChar w:fldCharType="separate"/>
      </w:r>
      <w:r w:rsidR="005845B6">
        <w:rPr>
          <w:lang w:val="en-GB"/>
        </w:rPr>
        <w:t>3.4</w:t>
      </w:r>
      <w:r w:rsidR="005845B6">
        <w:rPr>
          <w:lang w:val="en-GB"/>
        </w:rPr>
        <w:fldChar w:fldCharType="end"/>
      </w:r>
      <w:r w:rsidR="00484F89">
        <w:rPr>
          <w:lang w:val="en-GB"/>
        </w:rPr>
        <w:t xml:space="preserve">). </w:t>
      </w:r>
      <w:r w:rsidR="00DF07F1">
        <w:rPr>
          <w:lang w:val="en-GB"/>
        </w:rPr>
        <w:t>It also</w:t>
      </w:r>
      <w:r w:rsidR="00AD480E">
        <w:rPr>
          <w:lang w:val="en-GB"/>
        </w:rPr>
        <w:t xml:space="preserve"> agreed that it would prefer to see overall survival </w:t>
      </w:r>
      <w:r w:rsidR="006A1E97">
        <w:rPr>
          <w:lang w:val="en-GB"/>
        </w:rPr>
        <w:t>analysis</w:t>
      </w:r>
      <w:r w:rsidR="00AD480E">
        <w:rPr>
          <w:lang w:val="en-GB"/>
        </w:rPr>
        <w:t xml:space="preserve"> based on a more mature </w:t>
      </w:r>
      <w:r w:rsidR="00C16A5D">
        <w:rPr>
          <w:lang w:val="en-GB"/>
        </w:rPr>
        <w:t>data cut</w:t>
      </w:r>
      <w:r w:rsidR="00AD480E">
        <w:rPr>
          <w:lang w:val="en-GB"/>
        </w:rPr>
        <w:t xml:space="preserve"> (see section</w:t>
      </w:r>
      <w:r w:rsidR="00DB6343">
        <w:rPr>
          <w:lang w:val="en-GB"/>
        </w:rPr>
        <w:t> </w:t>
      </w:r>
      <w:r w:rsidR="005845B6">
        <w:rPr>
          <w:lang w:val="en-GB"/>
        </w:rPr>
        <w:fldChar w:fldCharType="begin"/>
      </w:r>
      <w:r w:rsidR="005845B6">
        <w:rPr>
          <w:lang w:val="en-GB"/>
        </w:rPr>
        <w:instrText xml:space="preserve"> REF _Ref521415157 \r \h </w:instrText>
      </w:r>
      <w:r w:rsidR="005845B6">
        <w:rPr>
          <w:lang w:val="en-GB"/>
        </w:rPr>
      </w:r>
      <w:r w:rsidR="005845B6">
        <w:rPr>
          <w:lang w:val="en-GB"/>
        </w:rPr>
        <w:fldChar w:fldCharType="separate"/>
      </w:r>
      <w:r w:rsidR="005845B6">
        <w:rPr>
          <w:lang w:val="en-GB"/>
        </w:rPr>
        <w:t>3.4</w:t>
      </w:r>
      <w:r w:rsidR="005845B6">
        <w:rPr>
          <w:lang w:val="en-GB"/>
        </w:rPr>
        <w:fldChar w:fldCharType="end"/>
      </w:r>
      <w:r w:rsidR="00AD480E">
        <w:rPr>
          <w:lang w:val="en-GB"/>
        </w:rPr>
        <w:t>) to make the long-term extrapolation more reliable.</w:t>
      </w:r>
      <w:r w:rsidR="00C76231">
        <w:rPr>
          <w:lang w:val="en-GB"/>
        </w:rPr>
        <w:t xml:space="preserve"> In response to consultation, the company p</w:t>
      </w:r>
      <w:r w:rsidR="006B78DD">
        <w:rPr>
          <w:lang w:val="en-GB"/>
        </w:rPr>
        <w:t>resented statistical cure model extrapolations</w:t>
      </w:r>
      <w:r w:rsidR="00C76231">
        <w:rPr>
          <w:lang w:val="en-GB"/>
        </w:rPr>
        <w:t xml:space="preserve"> for the </w:t>
      </w:r>
      <w:r w:rsidR="00561702">
        <w:rPr>
          <w:lang w:val="en-GB"/>
        </w:rPr>
        <w:t>whole population. However, the company</w:t>
      </w:r>
      <w:r w:rsidR="00C76231">
        <w:rPr>
          <w:lang w:val="en-GB"/>
        </w:rPr>
        <w:t xml:space="preserve"> </w:t>
      </w:r>
      <w:r w:rsidR="00561702">
        <w:rPr>
          <w:lang w:val="en-GB"/>
        </w:rPr>
        <w:t xml:space="preserve">did not use these models in the cost-effectiveness results because </w:t>
      </w:r>
      <w:r w:rsidR="00E6225C">
        <w:rPr>
          <w:lang w:val="en-GB"/>
        </w:rPr>
        <w:t xml:space="preserve">it stated that the cure model </w:t>
      </w:r>
      <w:r w:rsidR="004810C3">
        <w:rPr>
          <w:lang w:val="en-GB"/>
        </w:rPr>
        <w:t>for the whole liposomal cytarabine</w:t>
      </w:r>
      <w:r w:rsidR="000D6EE5">
        <w:rPr>
          <w:lang w:val="en-GB"/>
        </w:rPr>
        <w:t>–</w:t>
      </w:r>
      <w:r w:rsidR="004810C3">
        <w:rPr>
          <w:lang w:val="en-GB"/>
        </w:rPr>
        <w:t xml:space="preserve">daunorubicin group </w:t>
      </w:r>
      <w:r w:rsidR="00E6225C">
        <w:rPr>
          <w:lang w:val="en-GB"/>
        </w:rPr>
        <w:t>overestimated survival compared with the Kaplan</w:t>
      </w:r>
      <w:r w:rsidR="00493894">
        <w:rPr>
          <w:lang w:val="en-GB"/>
        </w:rPr>
        <w:t>–</w:t>
      </w:r>
      <w:r w:rsidR="00E6225C">
        <w:rPr>
          <w:lang w:val="en-GB"/>
        </w:rPr>
        <w:t xml:space="preserve">Meier data and gave overly favourable </w:t>
      </w:r>
      <w:r w:rsidR="003F09A7">
        <w:rPr>
          <w:lang w:val="en-GB"/>
        </w:rPr>
        <w:t xml:space="preserve">cost-effectiveness </w:t>
      </w:r>
      <w:r w:rsidR="00E6225C">
        <w:rPr>
          <w:lang w:val="en-GB"/>
        </w:rPr>
        <w:t xml:space="preserve">results. </w:t>
      </w:r>
      <w:r w:rsidR="00EC04BB">
        <w:rPr>
          <w:lang w:val="en-GB"/>
        </w:rPr>
        <w:t>Instead, the company</w:t>
      </w:r>
      <w:r w:rsidR="00E6225C">
        <w:rPr>
          <w:lang w:val="en-GB"/>
        </w:rPr>
        <w:t xml:space="preserve"> used cure models for overall survival</w:t>
      </w:r>
      <w:r w:rsidR="00493894">
        <w:rPr>
          <w:lang w:val="en-GB"/>
        </w:rPr>
        <w:t xml:space="preserve"> after stem cell transplant</w:t>
      </w:r>
      <w:r w:rsidR="004810C3">
        <w:rPr>
          <w:lang w:val="en-GB"/>
        </w:rPr>
        <w:t>, which it stated matched the updated Kaplan</w:t>
      </w:r>
      <w:r w:rsidR="00493894">
        <w:rPr>
          <w:lang w:val="en-GB"/>
        </w:rPr>
        <w:t>–</w:t>
      </w:r>
      <w:r w:rsidR="004810C3">
        <w:rPr>
          <w:lang w:val="en-GB"/>
        </w:rPr>
        <w:t>Meier data well</w:t>
      </w:r>
      <w:r w:rsidR="00EC04BB">
        <w:rPr>
          <w:lang w:val="en-GB"/>
        </w:rPr>
        <w:t>. The cure models</w:t>
      </w:r>
      <w:r w:rsidR="00E6225C">
        <w:rPr>
          <w:lang w:val="en-GB"/>
        </w:rPr>
        <w:t xml:space="preserve"> were based on the original trial data (December 2015 data cut) because the company </w:t>
      </w:r>
      <w:r w:rsidR="004810C3">
        <w:rPr>
          <w:lang w:val="en-GB"/>
        </w:rPr>
        <w:t>only had a limited dataset of updated</w:t>
      </w:r>
      <w:r w:rsidR="00E6225C">
        <w:rPr>
          <w:lang w:val="en-GB"/>
        </w:rPr>
        <w:t xml:space="preserve"> individual patient level data</w:t>
      </w:r>
      <w:r w:rsidR="004810C3">
        <w:rPr>
          <w:lang w:val="en-GB"/>
        </w:rPr>
        <w:t xml:space="preserve">, </w:t>
      </w:r>
      <w:r w:rsidR="00EC04BB">
        <w:rPr>
          <w:lang w:val="en-GB"/>
        </w:rPr>
        <w:t>which did not include</w:t>
      </w:r>
      <w:r w:rsidR="004810C3">
        <w:rPr>
          <w:lang w:val="en-GB"/>
        </w:rPr>
        <w:t xml:space="preserve"> event-free status</w:t>
      </w:r>
      <w:r w:rsidR="00E6225C">
        <w:rPr>
          <w:lang w:val="en-GB"/>
        </w:rPr>
        <w:t xml:space="preserve">. </w:t>
      </w:r>
      <w:r w:rsidR="000E4736">
        <w:rPr>
          <w:lang w:val="en-GB"/>
        </w:rPr>
        <w:t xml:space="preserve">The committee agreed that it would have preferred to have seen the whole population modelled together. </w:t>
      </w:r>
      <w:r w:rsidR="009D5871">
        <w:rPr>
          <w:lang w:val="en-GB"/>
        </w:rPr>
        <w:t xml:space="preserve">The </w:t>
      </w:r>
      <w:r w:rsidR="009A4F7B">
        <w:rPr>
          <w:lang w:val="en-GB"/>
        </w:rPr>
        <w:t>company manually set a cure fraction of 20% in the standard cytarabine and daunorubicin group</w:t>
      </w:r>
      <w:r w:rsidR="00EF7D62">
        <w:rPr>
          <w:lang w:val="en-GB"/>
        </w:rPr>
        <w:t>. T</w:t>
      </w:r>
      <w:r w:rsidR="009A4F7B">
        <w:rPr>
          <w:lang w:val="en-GB"/>
        </w:rPr>
        <w:t>he ERG noted that this figure seemed to have been taken from a visual inspection of the Kaplan</w:t>
      </w:r>
      <w:r w:rsidR="009A4F7B">
        <w:rPr>
          <w:rFonts w:cs="Arial"/>
          <w:lang w:val="en-GB"/>
        </w:rPr>
        <w:t>–</w:t>
      </w:r>
      <w:r w:rsidR="009A4F7B">
        <w:rPr>
          <w:lang w:val="en-GB"/>
        </w:rPr>
        <w:t xml:space="preserve">Meier curve </w:t>
      </w:r>
      <w:r w:rsidR="00EF7D62">
        <w:rPr>
          <w:lang w:val="en-GB"/>
        </w:rPr>
        <w:t xml:space="preserve">and that a 25% cure fraction could </w:t>
      </w:r>
      <w:r w:rsidR="00236C62">
        <w:rPr>
          <w:lang w:val="en-GB"/>
        </w:rPr>
        <w:t xml:space="preserve">also </w:t>
      </w:r>
      <w:r w:rsidR="00EF7D62">
        <w:rPr>
          <w:lang w:val="en-GB"/>
        </w:rPr>
        <w:t>be considered as</w:t>
      </w:r>
      <w:r w:rsidR="00236C62">
        <w:rPr>
          <w:lang w:val="en-GB"/>
        </w:rPr>
        <w:t xml:space="preserve"> a plausible</w:t>
      </w:r>
      <w:r w:rsidR="00EF7D62">
        <w:rPr>
          <w:lang w:val="en-GB"/>
        </w:rPr>
        <w:t xml:space="preserve"> upper limit. The company presented a scenario analysis that included a 25% cure fraction in the standard cytarabine and daunorubicin group. This reduced the cost-effectiveness of liposomal cytarabine</w:t>
      </w:r>
      <w:r w:rsidR="00254BB6">
        <w:rPr>
          <w:lang w:val="en-GB"/>
        </w:rPr>
        <w:t>–</w:t>
      </w:r>
      <w:r w:rsidR="00EF7D62">
        <w:rPr>
          <w:lang w:val="en-GB"/>
        </w:rPr>
        <w:t>daunorubicin</w:t>
      </w:r>
      <w:r w:rsidR="003D30C6">
        <w:rPr>
          <w:lang w:val="en-GB"/>
        </w:rPr>
        <w:t xml:space="preserve"> compared with standard cytarabine and daunorubicin</w:t>
      </w:r>
      <w:r w:rsidR="00EF7D62">
        <w:rPr>
          <w:lang w:val="en-GB"/>
        </w:rPr>
        <w:t xml:space="preserve">. The </w:t>
      </w:r>
      <w:r w:rsidR="00EF7D62">
        <w:rPr>
          <w:lang w:val="en-GB"/>
        </w:rPr>
        <w:lastRenderedPageBreak/>
        <w:t xml:space="preserve">committee concluded that </w:t>
      </w:r>
      <w:r w:rsidR="008913D0">
        <w:rPr>
          <w:lang w:val="en-GB"/>
        </w:rPr>
        <w:t>the model was appropriate for decision-making. However</w:t>
      </w:r>
      <w:r w:rsidR="00956CB9">
        <w:rPr>
          <w:lang w:val="en-GB"/>
        </w:rPr>
        <w:t>,</w:t>
      </w:r>
      <w:r w:rsidR="008913D0">
        <w:rPr>
          <w:lang w:val="en-GB"/>
        </w:rPr>
        <w:t xml:space="preserve"> it agreed</w:t>
      </w:r>
      <w:r w:rsidR="008913D0" w:rsidRPr="008913D0">
        <w:rPr>
          <w:lang w:val="en-GB"/>
        </w:rPr>
        <w:t xml:space="preserve"> that there was </w:t>
      </w:r>
      <w:r w:rsidR="000E4736">
        <w:rPr>
          <w:lang w:val="en-GB"/>
        </w:rPr>
        <w:t xml:space="preserve">still </w:t>
      </w:r>
      <w:r w:rsidR="008913D0" w:rsidRPr="008913D0">
        <w:rPr>
          <w:lang w:val="en-GB"/>
        </w:rPr>
        <w:t xml:space="preserve">uncertainty in </w:t>
      </w:r>
      <w:r w:rsidR="000E4736">
        <w:rPr>
          <w:lang w:val="en-GB"/>
        </w:rPr>
        <w:t xml:space="preserve">the </w:t>
      </w:r>
      <w:r w:rsidR="00563039">
        <w:rPr>
          <w:lang w:val="en-GB"/>
        </w:rPr>
        <w:t>difference</w:t>
      </w:r>
      <w:r w:rsidR="00563039" w:rsidRPr="008913D0">
        <w:rPr>
          <w:lang w:val="en-GB"/>
        </w:rPr>
        <w:t xml:space="preserve"> </w:t>
      </w:r>
      <w:r w:rsidR="00563039">
        <w:rPr>
          <w:lang w:val="en-GB"/>
        </w:rPr>
        <w:t xml:space="preserve">in </w:t>
      </w:r>
      <w:r w:rsidR="000E4736" w:rsidRPr="008913D0">
        <w:rPr>
          <w:lang w:val="en-GB"/>
        </w:rPr>
        <w:t xml:space="preserve">overall survival </w:t>
      </w:r>
      <w:r w:rsidR="000E4736">
        <w:rPr>
          <w:lang w:val="en-GB"/>
        </w:rPr>
        <w:t xml:space="preserve">between the </w:t>
      </w:r>
      <w:r w:rsidR="00A749CF">
        <w:rPr>
          <w:lang w:val="en-GB"/>
        </w:rPr>
        <w:t>2 </w:t>
      </w:r>
      <w:r w:rsidR="000E4736">
        <w:rPr>
          <w:lang w:val="en-GB"/>
        </w:rPr>
        <w:t>treatment groups after</w:t>
      </w:r>
      <w:r w:rsidR="008913D0" w:rsidRPr="008913D0">
        <w:rPr>
          <w:lang w:val="en-GB"/>
        </w:rPr>
        <w:t xml:space="preserve"> stem cell transplant</w:t>
      </w:r>
      <w:r w:rsidR="008913D0" w:rsidRPr="000E4736">
        <w:rPr>
          <w:lang w:val="en-GB"/>
        </w:rPr>
        <w:t xml:space="preserve"> and in the cure fraction assumed for the standard cytarabine and daunorubicin group.</w:t>
      </w:r>
      <w:bookmarkEnd w:id="3"/>
    </w:p>
    <w:p w14:paraId="460F05E4" w14:textId="14DF5CBD" w:rsidR="00153242" w:rsidRDefault="00C04D8C" w:rsidP="00426086">
      <w:pPr>
        <w:pStyle w:val="Heading3"/>
      </w:pPr>
      <w:r>
        <w:t xml:space="preserve">Event-free survival analysis for patients who had a complete response is unreliable because of small patient numbers </w:t>
      </w:r>
    </w:p>
    <w:p w14:paraId="70FD97F3" w14:textId="50099930" w:rsidR="008A52C3" w:rsidRPr="008A52C3" w:rsidRDefault="00F12785" w:rsidP="008A52C3">
      <w:pPr>
        <w:pStyle w:val="Numberedlevel2text"/>
      </w:pPr>
      <w:bookmarkStart w:id="4" w:name="_Ref521415190"/>
      <w:r>
        <w:rPr>
          <w:lang w:val="en-GB"/>
        </w:rPr>
        <w:t xml:space="preserve">The company and ERG agreed that the analysis used to model event-free survival </w:t>
      </w:r>
      <w:r w:rsidR="00194879">
        <w:rPr>
          <w:lang w:val="en-GB"/>
        </w:rPr>
        <w:t xml:space="preserve">after transplant </w:t>
      </w:r>
      <w:r>
        <w:rPr>
          <w:lang w:val="en-GB"/>
        </w:rPr>
        <w:t>for patients who had</w:t>
      </w:r>
      <w:r w:rsidR="00DB6343">
        <w:rPr>
          <w:lang w:val="en-GB"/>
        </w:rPr>
        <w:t xml:space="preserve"> </w:t>
      </w:r>
      <w:r>
        <w:rPr>
          <w:lang w:val="en-GB"/>
        </w:rPr>
        <w:t xml:space="preserve">a complete response in the model was uncertain because of small patient numbers. </w:t>
      </w:r>
      <w:r w:rsidR="004A47ED">
        <w:rPr>
          <w:lang w:val="en-GB"/>
        </w:rPr>
        <w:t>The ERG also suggest</w:t>
      </w:r>
      <w:r w:rsidR="003E036B">
        <w:rPr>
          <w:lang w:val="en-GB"/>
        </w:rPr>
        <w:t>ed that it lacked face validity</w:t>
      </w:r>
      <w:r w:rsidR="00DB6343">
        <w:rPr>
          <w:lang w:val="en-GB"/>
        </w:rPr>
        <w:t>. This was</w:t>
      </w:r>
      <w:r w:rsidR="003E036B">
        <w:rPr>
          <w:lang w:val="en-GB"/>
        </w:rPr>
        <w:t xml:space="preserve"> because there was little difference between the 2</w:t>
      </w:r>
      <w:r w:rsidR="00DB6343">
        <w:rPr>
          <w:lang w:val="en-GB"/>
        </w:rPr>
        <w:t> </w:t>
      </w:r>
      <w:r w:rsidR="003E036B">
        <w:rPr>
          <w:lang w:val="en-GB"/>
        </w:rPr>
        <w:t>treatment groups, unlike for overall survival</w:t>
      </w:r>
      <w:r w:rsidR="00194879">
        <w:rPr>
          <w:lang w:val="en-GB"/>
        </w:rPr>
        <w:t xml:space="preserve"> after transplant</w:t>
      </w:r>
      <w:r w:rsidR="003E036B">
        <w:rPr>
          <w:lang w:val="en-GB"/>
        </w:rPr>
        <w:t xml:space="preserve">. </w:t>
      </w:r>
      <w:r>
        <w:rPr>
          <w:lang w:val="en-GB"/>
        </w:rPr>
        <w:t>Therefore the ERG excluded th</w:t>
      </w:r>
      <w:r w:rsidR="00194879">
        <w:rPr>
          <w:lang w:val="en-GB"/>
        </w:rPr>
        <w:t>ese</w:t>
      </w:r>
      <w:r>
        <w:rPr>
          <w:lang w:val="en-GB"/>
        </w:rPr>
        <w:t xml:space="preserve"> data from the model and used the overall su</w:t>
      </w:r>
      <w:r w:rsidR="003E036B">
        <w:rPr>
          <w:lang w:val="en-GB"/>
        </w:rPr>
        <w:t xml:space="preserve">rvival analysis to inform a </w:t>
      </w:r>
      <w:r w:rsidR="00DB6343">
        <w:rPr>
          <w:lang w:val="en-GB"/>
        </w:rPr>
        <w:t>2</w:t>
      </w:r>
      <w:r w:rsidR="003E036B">
        <w:rPr>
          <w:lang w:val="en-GB"/>
        </w:rPr>
        <w:t>-state model</w:t>
      </w:r>
      <w:r w:rsidR="00DB6343">
        <w:rPr>
          <w:lang w:val="en-GB"/>
        </w:rPr>
        <w:t>. In this model,</w:t>
      </w:r>
      <w:r w:rsidR="003E036B">
        <w:rPr>
          <w:lang w:val="en-GB"/>
        </w:rPr>
        <w:t xml:space="preserve"> patients </w:t>
      </w:r>
      <w:r w:rsidR="00194879">
        <w:rPr>
          <w:lang w:val="en-GB"/>
        </w:rPr>
        <w:t>were</w:t>
      </w:r>
      <w:r w:rsidR="003E036B">
        <w:rPr>
          <w:lang w:val="en-GB"/>
        </w:rPr>
        <w:t xml:space="preserve"> either in remission or dead. This change increased the cost</w:t>
      </w:r>
      <w:r w:rsidR="00DB6343">
        <w:rPr>
          <w:lang w:val="en-GB"/>
        </w:rPr>
        <w:t xml:space="preserve"> </w:t>
      </w:r>
      <w:r w:rsidR="003E036B">
        <w:rPr>
          <w:lang w:val="en-GB"/>
        </w:rPr>
        <w:t>effectiveness of liposomal cytarabine</w:t>
      </w:r>
      <w:r w:rsidR="00254BB6">
        <w:rPr>
          <w:lang w:val="en-GB"/>
        </w:rPr>
        <w:t>–</w:t>
      </w:r>
      <w:r w:rsidR="003E036B">
        <w:rPr>
          <w:lang w:val="en-GB"/>
        </w:rPr>
        <w:t>daunorubicin.</w:t>
      </w:r>
      <w:bookmarkEnd w:id="4"/>
      <w:r w:rsidR="003E036B">
        <w:rPr>
          <w:lang w:val="en-GB"/>
        </w:rPr>
        <w:t xml:space="preserve"> </w:t>
      </w:r>
      <w:r w:rsidR="00211A88">
        <w:rPr>
          <w:lang w:val="en-GB"/>
        </w:rPr>
        <w:t>In response to consultation, the company adopted the ERG’</w:t>
      </w:r>
      <w:r w:rsidR="00466108">
        <w:rPr>
          <w:lang w:val="en-GB"/>
        </w:rPr>
        <w:t>s approach to modelling event-free</w:t>
      </w:r>
      <w:r w:rsidR="00211A88">
        <w:rPr>
          <w:lang w:val="en-GB"/>
        </w:rPr>
        <w:t xml:space="preserve"> survival. The committee </w:t>
      </w:r>
      <w:r w:rsidR="009D5871">
        <w:rPr>
          <w:lang w:val="en-GB"/>
        </w:rPr>
        <w:t>would have preferred the whole population to be modelled together (whether or not they had a stem cell transplant) but concluded that the company’s approach</w:t>
      </w:r>
      <w:r w:rsidR="00211A88">
        <w:rPr>
          <w:lang w:val="en-GB"/>
        </w:rPr>
        <w:t xml:space="preserve"> was appropriate</w:t>
      </w:r>
      <w:r w:rsidR="00C04D8C">
        <w:rPr>
          <w:lang w:val="en-GB"/>
        </w:rPr>
        <w:t xml:space="preserve"> for decision-making</w:t>
      </w:r>
      <w:r w:rsidR="00211A88">
        <w:rPr>
          <w:lang w:val="en-GB"/>
        </w:rPr>
        <w:t>.</w:t>
      </w:r>
    </w:p>
    <w:p w14:paraId="24D7B5DE" w14:textId="1B46A620" w:rsidR="00C567C8" w:rsidRDefault="007B485C" w:rsidP="00AE3728">
      <w:pPr>
        <w:pStyle w:val="Heading2"/>
      </w:pPr>
      <w:r>
        <w:t>M</w:t>
      </w:r>
      <w:r w:rsidR="00C567C8">
        <w:t>ortality</w:t>
      </w:r>
      <w:r>
        <w:t xml:space="preserve"> after transplant</w:t>
      </w:r>
      <w:r w:rsidR="00C567C8">
        <w:t xml:space="preserve"> in the economic model</w:t>
      </w:r>
    </w:p>
    <w:p w14:paraId="0268BA7A" w14:textId="6B38AF62" w:rsidR="00C567C8" w:rsidRDefault="00F24CF7" w:rsidP="00C567C8">
      <w:pPr>
        <w:pStyle w:val="Heading3"/>
      </w:pPr>
      <w:r>
        <w:t>Mortality rates are higher after stem cell transplant than in the general population</w:t>
      </w:r>
      <w:r w:rsidR="002D4E39">
        <w:t xml:space="preserve"> and should be included in the model</w:t>
      </w:r>
    </w:p>
    <w:p w14:paraId="26BCE11F" w14:textId="7708D6A5" w:rsidR="00A7053F" w:rsidRPr="00A7053F" w:rsidRDefault="00A7053F" w:rsidP="00A7053F">
      <w:pPr>
        <w:pStyle w:val="Numberedlevel2text"/>
      </w:pPr>
      <w:bookmarkStart w:id="5" w:name="_Ref521415203"/>
      <w:r>
        <w:rPr>
          <w:lang w:val="en-GB"/>
        </w:rPr>
        <w:t>In its</w:t>
      </w:r>
      <w:r>
        <w:t xml:space="preserve"> base-case economic model</w:t>
      </w:r>
      <w:r>
        <w:rPr>
          <w:lang w:val="en-GB"/>
        </w:rPr>
        <w:t>, the company applied general population mortality rates whe</w:t>
      </w:r>
      <w:r w:rsidR="00934529">
        <w:rPr>
          <w:lang w:val="en-GB"/>
        </w:rPr>
        <w:t>n</w:t>
      </w:r>
      <w:r>
        <w:rPr>
          <w:lang w:val="en-GB"/>
        </w:rPr>
        <w:t xml:space="preserve"> the modelled mortality rates would otherwise have been lower. In a scenario analysis, the company increased mortality rates after stem cell transplant compared with the general population mortality rates by applying a standardised mortality ratio of 2.34</w:t>
      </w:r>
      <w:r w:rsidR="00F24CF7">
        <w:rPr>
          <w:lang w:val="en-GB"/>
        </w:rPr>
        <w:t xml:space="preserve">. This </w:t>
      </w:r>
      <w:r w:rsidR="003E036B">
        <w:rPr>
          <w:lang w:val="en-GB"/>
        </w:rPr>
        <w:t>reduced the cost</w:t>
      </w:r>
      <w:r w:rsidR="007840CD">
        <w:rPr>
          <w:lang w:val="en-GB"/>
        </w:rPr>
        <w:t xml:space="preserve"> </w:t>
      </w:r>
      <w:r w:rsidR="003E036B">
        <w:rPr>
          <w:lang w:val="en-GB"/>
        </w:rPr>
        <w:t>effectiveness of liposomal cytarabine</w:t>
      </w:r>
      <w:r w:rsidR="00254BB6">
        <w:rPr>
          <w:lang w:val="en-GB"/>
        </w:rPr>
        <w:t>–</w:t>
      </w:r>
      <w:r w:rsidR="003E036B">
        <w:rPr>
          <w:lang w:val="en-GB"/>
        </w:rPr>
        <w:t>daunorubicin</w:t>
      </w:r>
      <w:r w:rsidR="00F24CF7">
        <w:rPr>
          <w:lang w:val="en-GB"/>
        </w:rPr>
        <w:t xml:space="preserve">. </w:t>
      </w:r>
      <w:r>
        <w:rPr>
          <w:lang w:val="en-GB"/>
        </w:rPr>
        <w:t xml:space="preserve">The ERG </w:t>
      </w:r>
      <w:r>
        <w:rPr>
          <w:lang w:val="en-GB"/>
        </w:rPr>
        <w:lastRenderedPageBreak/>
        <w:t xml:space="preserve">considered that this scenario had face validity and therefore included it in its preferred </w:t>
      </w:r>
      <w:r w:rsidR="00603033">
        <w:rPr>
          <w:lang w:val="en-GB"/>
        </w:rPr>
        <w:t>analysis</w:t>
      </w:r>
      <w:r>
        <w:rPr>
          <w:lang w:val="en-GB"/>
        </w:rPr>
        <w:t xml:space="preserve">. The clinical experts stated </w:t>
      </w:r>
      <w:r w:rsidR="00F24CF7">
        <w:rPr>
          <w:lang w:val="en-GB"/>
        </w:rPr>
        <w:t xml:space="preserve">that it was generally accepted that survival would be </w:t>
      </w:r>
      <w:r w:rsidR="00637BD3">
        <w:rPr>
          <w:lang w:val="en-GB"/>
        </w:rPr>
        <w:t>shorter for</w:t>
      </w:r>
      <w:r w:rsidR="00F24CF7">
        <w:rPr>
          <w:lang w:val="en-GB"/>
        </w:rPr>
        <w:t xml:space="preserve"> people who had a stem cell transplant </w:t>
      </w:r>
      <w:r w:rsidR="00637BD3">
        <w:rPr>
          <w:lang w:val="en-GB"/>
        </w:rPr>
        <w:t>than for</w:t>
      </w:r>
      <w:r w:rsidR="007840CD">
        <w:rPr>
          <w:lang w:val="en-GB"/>
        </w:rPr>
        <w:t xml:space="preserve"> </w:t>
      </w:r>
      <w:r w:rsidR="00F24CF7">
        <w:rPr>
          <w:lang w:val="en-GB"/>
        </w:rPr>
        <w:t>the general population. The committee concluded that it was appropriate to increase the mortality rate</w:t>
      </w:r>
      <w:r w:rsidR="003D30C6">
        <w:rPr>
          <w:lang w:val="en-GB"/>
        </w:rPr>
        <w:t xml:space="preserve"> after stem cell transplant </w:t>
      </w:r>
      <w:r w:rsidR="00005A25">
        <w:rPr>
          <w:lang w:val="en-GB"/>
        </w:rPr>
        <w:t>in the model to higher than that of</w:t>
      </w:r>
      <w:r w:rsidR="003D30C6">
        <w:rPr>
          <w:lang w:val="en-GB"/>
        </w:rPr>
        <w:t xml:space="preserve"> the general population</w:t>
      </w:r>
      <w:r w:rsidR="00F24CF7">
        <w:rPr>
          <w:lang w:val="en-GB"/>
        </w:rPr>
        <w:t>.</w:t>
      </w:r>
      <w:bookmarkEnd w:id="5"/>
    </w:p>
    <w:p w14:paraId="4961E51A" w14:textId="2F382841" w:rsidR="0080482E" w:rsidRDefault="00C567C8" w:rsidP="00AE3728">
      <w:pPr>
        <w:pStyle w:val="Heading2"/>
      </w:pPr>
      <w:r>
        <w:t>Utility values in the economic model</w:t>
      </w:r>
    </w:p>
    <w:p w14:paraId="4B9EF827" w14:textId="186D0036" w:rsidR="00FB317E" w:rsidRDefault="00F0342B" w:rsidP="00426086">
      <w:pPr>
        <w:pStyle w:val="Heading3"/>
      </w:pPr>
      <w:r>
        <w:t xml:space="preserve">The utility values do not have a big </w:t>
      </w:r>
      <w:r w:rsidR="007840CD">
        <w:t xml:space="preserve">effect </w:t>
      </w:r>
      <w:r>
        <w:t>on the cost-effectiveness results</w:t>
      </w:r>
    </w:p>
    <w:p w14:paraId="2D1A0B60" w14:textId="517FB050" w:rsidR="00F24CF7" w:rsidRPr="00F24CF7" w:rsidRDefault="00F24CF7" w:rsidP="00F24CF7">
      <w:pPr>
        <w:pStyle w:val="Numberedlevel2text"/>
      </w:pPr>
      <w:bookmarkStart w:id="6" w:name="_Ref521415208"/>
      <w:r>
        <w:rPr>
          <w:lang w:val="en-GB"/>
        </w:rPr>
        <w:t xml:space="preserve">Because health-related </w:t>
      </w:r>
      <w:r w:rsidR="007840CD">
        <w:rPr>
          <w:lang w:val="en-GB"/>
        </w:rPr>
        <w:t>quality-of-</w:t>
      </w:r>
      <w:r>
        <w:rPr>
          <w:lang w:val="en-GB"/>
        </w:rPr>
        <w:t>life data w</w:t>
      </w:r>
      <w:r w:rsidR="00331EFB">
        <w:rPr>
          <w:lang w:val="en-GB"/>
        </w:rPr>
        <w:t>ere</w:t>
      </w:r>
      <w:r>
        <w:rPr>
          <w:lang w:val="en-GB"/>
        </w:rPr>
        <w:t xml:space="preserve"> not collected in </w:t>
      </w:r>
      <w:r w:rsidR="007840CD">
        <w:rPr>
          <w:lang w:val="en-GB"/>
        </w:rPr>
        <w:t>Study </w:t>
      </w:r>
      <w:r>
        <w:rPr>
          <w:lang w:val="en-GB"/>
        </w:rPr>
        <w:t>301, the company used a time-trade-off study to derive utility values for the economic model. T</w:t>
      </w:r>
      <w:r w:rsidR="00906624">
        <w:rPr>
          <w:lang w:val="en-GB"/>
        </w:rPr>
        <w:t>he treatment-related disutilities included in the model were based on descriptions of the side effects of treatment provided by clinicians for the time-trade-off study. These described a more favourable side</w:t>
      </w:r>
      <w:r w:rsidR="002818C8">
        <w:rPr>
          <w:lang w:val="en-GB"/>
        </w:rPr>
        <w:t>-</w:t>
      </w:r>
      <w:r w:rsidR="00906624">
        <w:rPr>
          <w:lang w:val="en-GB"/>
        </w:rPr>
        <w:t>effect profile for liposomal cytarabine</w:t>
      </w:r>
      <w:r w:rsidR="00093326">
        <w:rPr>
          <w:lang w:val="en-GB"/>
        </w:rPr>
        <w:t>–</w:t>
      </w:r>
      <w:r w:rsidR="00906624">
        <w:rPr>
          <w:lang w:val="en-GB"/>
        </w:rPr>
        <w:t>daunorubicin than for standard cytarabine and daunorubicin. Therefore a smaller disutility was applied to the liposomal cytarabine</w:t>
      </w:r>
      <w:r w:rsidR="00093326">
        <w:rPr>
          <w:lang w:val="en-GB"/>
        </w:rPr>
        <w:t>–</w:t>
      </w:r>
      <w:r w:rsidR="00906624">
        <w:rPr>
          <w:lang w:val="en-GB"/>
        </w:rPr>
        <w:t>daunorubicin group than the standard</w:t>
      </w:r>
      <w:r>
        <w:rPr>
          <w:lang w:val="en-GB"/>
        </w:rPr>
        <w:t xml:space="preserve"> </w:t>
      </w:r>
      <w:r w:rsidR="00906624">
        <w:rPr>
          <w:lang w:val="en-GB"/>
        </w:rPr>
        <w:t xml:space="preserve">cytarabine and daunorubicin group. The ERG highlighted that this did not reflect the data from </w:t>
      </w:r>
      <w:r w:rsidR="007840CD">
        <w:rPr>
          <w:lang w:val="en-GB"/>
        </w:rPr>
        <w:t>Study </w:t>
      </w:r>
      <w:r w:rsidR="00906624">
        <w:rPr>
          <w:lang w:val="en-GB"/>
        </w:rPr>
        <w:t>301.</w:t>
      </w:r>
      <w:r w:rsidR="00CF3F39">
        <w:rPr>
          <w:lang w:val="en-GB"/>
        </w:rPr>
        <w:t xml:space="preserve"> Therefore it estimated the mean utility </w:t>
      </w:r>
      <w:r w:rsidR="009F4C67">
        <w:rPr>
          <w:lang w:val="en-GB"/>
        </w:rPr>
        <w:t xml:space="preserve">value </w:t>
      </w:r>
      <w:r w:rsidR="00CF3F39">
        <w:rPr>
          <w:lang w:val="en-GB"/>
        </w:rPr>
        <w:t>for each treatment phase and applied this to both treatment groups. The ERG</w:t>
      </w:r>
      <w:r w:rsidR="000D1548">
        <w:rPr>
          <w:lang w:val="en-GB"/>
        </w:rPr>
        <w:t xml:space="preserve"> also</w:t>
      </w:r>
      <w:r w:rsidR="00CF3F39">
        <w:rPr>
          <w:lang w:val="en-GB"/>
        </w:rPr>
        <w:t xml:space="preserve"> noted that </w:t>
      </w:r>
      <w:r w:rsidR="000D1548">
        <w:rPr>
          <w:lang w:val="en-GB"/>
        </w:rPr>
        <w:t>the utility value used by the company for the remission</w:t>
      </w:r>
      <w:r w:rsidR="0012722E">
        <w:rPr>
          <w:lang w:val="en-GB"/>
        </w:rPr>
        <w:t xml:space="preserve"> after transplant</w:t>
      </w:r>
      <w:r w:rsidR="000D1548">
        <w:rPr>
          <w:lang w:val="en-GB"/>
        </w:rPr>
        <w:t xml:space="preserve"> health state was higher than usually reported for the general population. The company also did a scenario analys</w:t>
      </w:r>
      <w:r w:rsidR="002818C8">
        <w:rPr>
          <w:lang w:val="en-GB"/>
        </w:rPr>
        <w:t>i</w:t>
      </w:r>
      <w:r w:rsidR="000D1548">
        <w:rPr>
          <w:lang w:val="en-GB"/>
        </w:rPr>
        <w:t xml:space="preserve">s </w:t>
      </w:r>
      <w:r w:rsidR="008746FE">
        <w:rPr>
          <w:lang w:val="en-GB"/>
        </w:rPr>
        <w:t xml:space="preserve">using </w:t>
      </w:r>
      <w:r w:rsidR="000D1548">
        <w:rPr>
          <w:lang w:val="en-GB"/>
        </w:rPr>
        <w:t>utility values from a study by Hensen et al. (2017). In this scenario, the utility value for the remission</w:t>
      </w:r>
      <w:r w:rsidR="0012722E">
        <w:rPr>
          <w:lang w:val="en-GB"/>
        </w:rPr>
        <w:t xml:space="preserve"> after transplant</w:t>
      </w:r>
      <w:r w:rsidR="000D1548">
        <w:rPr>
          <w:lang w:val="en-GB"/>
        </w:rPr>
        <w:t xml:space="preserve"> health state was 0.75, and the ERG used this value in its preferred </w:t>
      </w:r>
      <w:r w:rsidR="007957C3">
        <w:rPr>
          <w:lang w:val="en-GB"/>
        </w:rPr>
        <w:t>analysis</w:t>
      </w:r>
      <w:r w:rsidR="000D1548">
        <w:rPr>
          <w:lang w:val="en-GB"/>
        </w:rPr>
        <w:t>.</w:t>
      </w:r>
      <w:r w:rsidR="00CF3F39">
        <w:rPr>
          <w:lang w:val="en-GB"/>
        </w:rPr>
        <w:t xml:space="preserve"> </w:t>
      </w:r>
      <w:r w:rsidR="008746FE">
        <w:rPr>
          <w:lang w:val="en-GB"/>
        </w:rPr>
        <w:t xml:space="preserve">The ERG also adjusted the utility values for age. The committee noted that these changes did not have a big </w:t>
      </w:r>
      <w:r w:rsidR="007840CD">
        <w:rPr>
          <w:lang w:val="en-GB"/>
        </w:rPr>
        <w:t xml:space="preserve">effect </w:t>
      </w:r>
      <w:r w:rsidR="008746FE">
        <w:rPr>
          <w:lang w:val="en-GB"/>
        </w:rPr>
        <w:t xml:space="preserve">on the cost-effectiveness results. </w:t>
      </w:r>
      <w:r w:rsidR="00B56392">
        <w:rPr>
          <w:lang w:val="en-GB"/>
        </w:rPr>
        <w:t xml:space="preserve">It concluded </w:t>
      </w:r>
      <w:r w:rsidR="008746FE">
        <w:rPr>
          <w:lang w:val="en-GB"/>
        </w:rPr>
        <w:t xml:space="preserve">that it was plausible to assume the disutilities were the same in both treatment groups, to use a utility value of 0.75 for the remission health state, and to adjust </w:t>
      </w:r>
      <w:r w:rsidR="00163197">
        <w:rPr>
          <w:lang w:val="en-GB"/>
        </w:rPr>
        <w:t xml:space="preserve">the </w:t>
      </w:r>
      <w:r w:rsidR="008746FE">
        <w:rPr>
          <w:lang w:val="en-GB"/>
        </w:rPr>
        <w:t>utility values for age.</w:t>
      </w:r>
      <w:bookmarkEnd w:id="6"/>
    </w:p>
    <w:p w14:paraId="2CA2C49D" w14:textId="15587923" w:rsidR="00347E6B" w:rsidRDefault="00C567C8" w:rsidP="00AE3728">
      <w:pPr>
        <w:pStyle w:val="Heading2"/>
      </w:pPr>
      <w:r>
        <w:lastRenderedPageBreak/>
        <w:t>Costs and resource</w:t>
      </w:r>
      <w:r w:rsidR="008B0A68">
        <w:t xml:space="preserve"> use</w:t>
      </w:r>
      <w:r>
        <w:t xml:space="preserve"> in the economic model</w:t>
      </w:r>
    </w:p>
    <w:p w14:paraId="7B5D89B5" w14:textId="2A9BD4FD" w:rsidR="00D4520B" w:rsidRDefault="003A0392" w:rsidP="00426086">
      <w:pPr>
        <w:pStyle w:val="Heading3"/>
      </w:pPr>
      <w:r>
        <w:t>C</w:t>
      </w:r>
      <w:r w:rsidR="00BF1EF5">
        <w:t>osts and resource</w:t>
      </w:r>
      <w:r w:rsidR="008B0A68">
        <w:t xml:space="preserve"> use</w:t>
      </w:r>
      <w:r w:rsidR="00BF1EF5">
        <w:t xml:space="preserve"> in the economic model do not have a big </w:t>
      </w:r>
      <w:r w:rsidR="007840CD">
        <w:t xml:space="preserve">effect </w:t>
      </w:r>
      <w:r w:rsidR="00BF1EF5">
        <w:t>on the cost-effectiveness results</w:t>
      </w:r>
    </w:p>
    <w:p w14:paraId="40ABC929" w14:textId="4CCB7916" w:rsidR="00800628" w:rsidRPr="00F0342B" w:rsidRDefault="00BF1EF5" w:rsidP="001B4B6A">
      <w:pPr>
        <w:pStyle w:val="Numberedlevel2text"/>
      </w:pPr>
      <w:r w:rsidRPr="008A52C3">
        <w:rPr>
          <w:lang w:val="en-GB"/>
        </w:rPr>
        <w:t xml:space="preserve">The company calculated </w:t>
      </w:r>
      <w:r w:rsidR="003032EB">
        <w:rPr>
          <w:lang w:val="en-GB"/>
        </w:rPr>
        <w:t xml:space="preserve">treatment </w:t>
      </w:r>
      <w:r w:rsidRPr="008A52C3">
        <w:rPr>
          <w:lang w:val="en-GB"/>
        </w:rPr>
        <w:t>doses and vial use including wastage, based on a mean body surface area of 1.79</w:t>
      </w:r>
      <w:r w:rsidR="00201C74">
        <w:rPr>
          <w:lang w:val="en-GB"/>
        </w:rPr>
        <w:t> m</w:t>
      </w:r>
      <w:r w:rsidR="00201C74" w:rsidRPr="004E7F5A">
        <w:rPr>
          <w:vertAlign w:val="superscript"/>
          <w:lang w:val="en-GB"/>
        </w:rPr>
        <w:t>2</w:t>
      </w:r>
      <w:r w:rsidRPr="008A52C3">
        <w:rPr>
          <w:lang w:val="en-GB"/>
        </w:rPr>
        <w:t xml:space="preserve">, </w:t>
      </w:r>
      <w:r w:rsidR="006828F5">
        <w:rPr>
          <w:lang w:val="en-GB"/>
        </w:rPr>
        <w:t xml:space="preserve">calculated </w:t>
      </w:r>
      <w:r w:rsidR="003032EB">
        <w:rPr>
          <w:lang w:val="en-GB"/>
        </w:rPr>
        <w:t>from</w:t>
      </w:r>
      <w:r w:rsidRPr="008A52C3">
        <w:rPr>
          <w:lang w:val="en-GB"/>
        </w:rPr>
        <w:t xml:space="preserve"> a UK study of adult cancer patients</w:t>
      </w:r>
      <w:r w:rsidR="006828F5">
        <w:rPr>
          <w:lang w:val="en-GB"/>
        </w:rPr>
        <w:t xml:space="preserve"> (Sacco et al. 2010)</w:t>
      </w:r>
      <w:r w:rsidRPr="008A52C3">
        <w:rPr>
          <w:lang w:val="en-GB"/>
        </w:rPr>
        <w:t>. The ERG used a different method to calculate vial use</w:t>
      </w:r>
      <w:r w:rsidR="007840CD">
        <w:rPr>
          <w:lang w:val="en-GB"/>
        </w:rPr>
        <w:t>. It</w:t>
      </w:r>
      <w:r w:rsidR="00800628" w:rsidRPr="008A52C3">
        <w:rPr>
          <w:lang w:val="en-GB"/>
        </w:rPr>
        <w:t xml:space="preserve"> account</w:t>
      </w:r>
      <w:r w:rsidR="007840CD">
        <w:rPr>
          <w:lang w:val="en-GB"/>
        </w:rPr>
        <w:t>ed</w:t>
      </w:r>
      <w:r w:rsidR="00800628" w:rsidRPr="008A52C3">
        <w:rPr>
          <w:lang w:val="en-GB"/>
        </w:rPr>
        <w:t xml:space="preserve"> </w:t>
      </w:r>
      <w:r w:rsidRPr="008A52C3">
        <w:rPr>
          <w:lang w:val="en-GB"/>
        </w:rPr>
        <w:t>for the distribution of body surface area in the population, and also calculated a mean body surface area of 1.83</w:t>
      </w:r>
      <w:r w:rsidR="00201C74">
        <w:rPr>
          <w:lang w:val="en-GB"/>
        </w:rPr>
        <w:t> m</w:t>
      </w:r>
      <w:r w:rsidR="00201C74" w:rsidRPr="004E7F5A">
        <w:rPr>
          <w:vertAlign w:val="superscript"/>
          <w:lang w:val="en-GB"/>
        </w:rPr>
        <w:t>2</w:t>
      </w:r>
      <w:r w:rsidRPr="008A52C3">
        <w:rPr>
          <w:lang w:val="en-GB"/>
        </w:rPr>
        <w:t xml:space="preserve"> </w:t>
      </w:r>
      <w:r w:rsidR="006828F5">
        <w:rPr>
          <w:lang w:val="en-GB"/>
        </w:rPr>
        <w:t>by applying the gender weighting from Study</w:t>
      </w:r>
      <w:r w:rsidR="007840CD">
        <w:rPr>
          <w:lang w:val="en-GB"/>
        </w:rPr>
        <w:t> </w:t>
      </w:r>
      <w:r w:rsidR="006828F5">
        <w:rPr>
          <w:lang w:val="en-GB"/>
        </w:rPr>
        <w:t xml:space="preserve">301 to the data </w:t>
      </w:r>
      <w:r w:rsidRPr="008A52C3">
        <w:rPr>
          <w:lang w:val="en-GB"/>
        </w:rPr>
        <w:t xml:space="preserve">from </w:t>
      </w:r>
      <w:r w:rsidR="006828F5">
        <w:rPr>
          <w:lang w:val="en-GB"/>
        </w:rPr>
        <w:t>the</w:t>
      </w:r>
      <w:r w:rsidRPr="008A52C3">
        <w:rPr>
          <w:lang w:val="en-GB"/>
        </w:rPr>
        <w:t xml:space="preserve"> </w:t>
      </w:r>
      <w:r w:rsidR="002818C8">
        <w:rPr>
          <w:lang w:val="en-GB"/>
        </w:rPr>
        <w:t xml:space="preserve">Sacco </w:t>
      </w:r>
      <w:r w:rsidRPr="008A52C3">
        <w:rPr>
          <w:lang w:val="en-GB"/>
        </w:rPr>
        <w:t>study.</w:t>
      </w:r>
      <w:r w:rsidR="00800628" w:rsidRPr="008A52C3">
        <w:rPr>
          <w:lang w:val="en-GB"/>
        </w:rPr>
        <w:t xml:space="preserve"> The ERG considered that hospital length of stay was overestimated in the model</w:t>
      </w:r>
      <w:r w:rsidR="007840CD">
        <w:rPr>
          <w:lang w:val="en-GB"/>
        </w:rPr>
        <w:t>,</w:t>
      </w:r>
      <w:r w:rsidR="00800628" w:rsidRPr="008A52C3">
        <w:rPr>
          <w:lang w:val="en-GB"/>
        </w:rPr>
        <w:t xml:space="preserve"> compared </w:t>
      </w:r>
      <w:r w:rsidR="007840CD">
        <w:rPr>
          <w:lang w:val="en-GB"/>
        </w:rPr>
        <w:t>with</w:t>
      </w:r>
      <w:r w:rsidR="007840CD" w:rsidRPr="008A52C3">
        <w:rPr>
          <w:lang w:val="en-GB"/>
        </w:rPr>
        <w:t xml:space="preserve"> </w:t>
      </w:r>
      <w:r w:rsidR="006552C4">
        <w:rPr>
          <w:lang w:val="en-GB"/>
        </w:rPr>
        <w:t>that</w:t>
      </w:r>
      <w:r w:rsidR="00800628" w:rsidRPr="008A52C3">
        <w:rPr>
          <w:lang w:val="en-GB"/>
        </w:rPr>
        <w:t xml:space="preserve"> </w:t>
      </w:r>
      <w:r w:rsidR="007840CD">
        <w:rPr>
          <w:lang w:val="en-GB"/>
        </w:rPr>
        <w:t>seen</w:t>
      </w:r>
      <w:r w:rsidR="007840CD" w:rsidRPr="008A52C3">
        <w:rPr>
          <w:lang w:val="en-GB"/>
        </w:rPr>
        <w:t xml:space="preserve"> </w:t>
      </w:r>
      <w:r w:rsidR="00800628" w:rsidRPr="008A52C3">
        <w:rPr>
          <w:lang w:val="en-GB"/>
        </w:rPr>
        <w:t>in Study</w:t>
      </w:r>
      <w:r w:rsidR="007840CD">
        <w:rPr>
          <w:lang w:val="en-GB"/>
        </w:rPr>
        <w:t> </w:t>
      </w:r>
      <w:r w:rsidR="00800628" w:rsidRPr="008A52C3">
        <w:rPr>
          <w:lang w:val="en-GB"/>
        </w:rPr>
        <w:t>301. Therefore</w:t>
      </w:r>
      <w:r w:rsidR="003032EB">
        <w:rPr>
          <w:lang w:val="en-GB"/>
        </w:rPr>
        <w:t>,</w:t>
      </w:r>
      <w:r w:rsidR="00800628" w:rsidRPr="008A52C3">
        <w:rPr>
          <w:lang w:val="en-GB"/>
        </w:rPr>
        <w:t xml:space="preserve"> in its preferred </w:t>
      </w:r>
      <w:r w:rsidR="003032EB">
        <w:rPr>
          <w:lang w:val="en-GB"/>
        </w:rPr>
        <w:t>analysis</w:t>
      </w:r>
      <w:r w:rsidR="00800628" w:rsidRPr="008A52C3">
        <w:rPr>
          <w:lang w:val="en-GB"/>
        </w:rPr>
        <w:t>, it reduced the number of hospital days in the consolidation period. The ERG used a lower cost of stem cell transplant</w:t>
      </w:r>
      <w:r w:rsidR="008A52C3" w:rsidRPr="008A52C3">
        <w:rPr>
          <w:lang w:val="en-GB"/>
        </w:rPr>
        <w:t xml:space="preserve"> than the company</w:t>
      </w:r>
      <w:r w:rsidR="00800628" w:rsidRPr="008A52C3">
        <w:rPr>
          <w:lang w:val="en-GB"/>
        </w:rPr>
        <w:t xml:space="preserve">, based on using the costs of transplants from sibling donors instead of </w:t>
      </w:r>
      <w:r w:rsidR="005920DF">
        <w:rPr>
          <w:lang w:val="en-GB"/>
        </w:rPr>
        <w:t xml:space="preserve">from </w:t>
      </w:r>
      <w:r w:rsidR="00800628" w:rsidRPr="008A52C3">
        <w:rPr>
          <w:lang w:val="en-GB"/>
        </w:rPr>
        <w:t>unrelated adult donors. It also increased the follow-up</w:t>
      </w:r>
      <w:r w:rsidR="008A52C3" w:rsidRPr="008A52C3">
        <w:rPr>
          <w:lang w:val="en-GB"/>
        </w:rPr>
        <w:t xml:space="preserve"> cost to reflect a 2-year follow</w:t>
      </w:r>
      <w:r w:rsidR="00770E8F">
        <w:rPr>
          <w:lang w:val="en-GB"/>
        </w:rPr>
        <w:t>-</w:t>
      </w:r>
      <w:r w:rsidR="008A52C3" w:rsidRPr="008A52C3">
        <w:rPr>
          <w:lang w:val="en-GB"/>
        </w:rPr>
        <w:t>up</w:t>
      </w:r>
      <w:r w:rsidR="007840CD">
        <w:rPr>
          <w:lang w:val="en-GB"/>
        </w:rPr>
        <w:t>,</w:t>
      </w:r>
      <w:r w:rsidR="008A52C3" w:rsidRPr="008A52C3">
        <w:rPr>
          <w:lang w:val="en-GB"/>
        </w:rPr>
        <w:t xml:space="preserve"> instead of 6</w:t>
      </w:r>
      <w:r w:rsidR="007840CD">
        <w:rPr>
          <w:lang w:val="en-GB"/>
        </w:rPr>
        <w:t> </w:t>
      </w:r>
      <w:r w:rsidR="008A52C3" w:rsidRPr="008A52C3">
        <w:rPr>
          <w:lang w:val="en-GB"/>
        </w:rPr>
        <w:t xml:space="preserve">months. The clinical experts stated that although sibling donors had been more common, it was </w:t>
      </w:r>
      <w:r w:rsidR="007E61CE">
        <w:rPr>
          <w:lang w:val="en-GB"/>
        </w:rPr>
        <w:t xml:space="preserve">now </w:t>
      </w:r>
      <w:r w:rsidR="008A52C3" w:rsidRPr="008A52C3">
        <w:rPr>
          <w:lang w:val="en-GB"/>
        </w:rPr>
        <w:t xml:space="preserve">more likely that unrelated adult stem cells would be used for transplants. The committee noted that these changes to costs and resource use in the model had little </w:t>
      </w:r>
      <w:r w:rsidR="007840CD">
        <w:rPr>
          <w:lang w:val="en-GB"/>
        </w:rPr>
        <w:t>effect</w:t>
      </w:r>
      <w:r w:rsidR="007840CD" w:rsidRPr="008A52C3">
        <w:rPr>
          <w:lang w:val="en-GB"/>
        </w:rPr>
        <w:t xml:space="preserve"> </w:t>
      </w:r>
      <w:r w:rsidR="008A52C3" w:rsidRPr="008A52C3">
        <w:rPr>
          <w:lang w:val="en-GB"/>
        </w:rPr>
        <w:t>on the cost-effectiveness resul</w:t>
      </w:r>
      <w:r w:rsidR="008A52C3">
        <w:rPr>
          <w:lang w:val="en-GB"/>
        </w:rPr>
        <w:t>ts. It</w:t>
      </w:r>
      <w:r w:rsidR="00800628" w:rsidRPr="008A52C3">
        <w:rPr>
          <w:lang w:val="en-GB"/>
        </w:rPr>
        <w:t xml:space="preserve"> concluded that it was reasonable </w:t>
      </w:r>
      <w:r w:rsidR="008A52C3">
        <w:rPr>
          <w:lang w:val="en-GB"/>
        </w:rPr>
        <w:t xml:space="preserve">to use the ERG’s method of calculating vial use, </w:t>
      </w:r>
      <w:r w:rsidR="00800628" w:rsidRPr="008A52C3">
        <w:rPr>
          <w:lang w:val="en-GB"/>
        </w:rPr>
        <w:t>for the length of hospital stay in the model to match that in the trial</w:t>
      </w:r>
      <w:r w:rsidR="008A52C3">
        <w:rPr>
          <w:lang w:val="en-GB"/>
        </w:rPr>
        <w:t>, and to include transplant follow-up costs for 2</w:t>
      </w:r>
      <w:r w:rsidR="007840CD">
        <w:rPr>
          <w:lang w:val="en-GB"/>
        </w:rPr>
        <w:t> </w:t>
      </w:r>
      <w:r w:rsidR="008A52C3">
        <w:rPr>
          <w:lang w:val="en-GB"/>
        </w:rPr>
        <w:t>years. However</w:t>
      </w:r>
      <w:r w:rsidR="007840CD">
        <w:rPr>
          <w:lang w:val="en-GB"/>
        </w:rPr>
        <w:t>,</w:t>
      </w:r>
      <w:r w:rsidR="008A52C3">
        <w:rPr>
          <w:lang w:val="en-GB"/>
        </w:rPr>
        <w:t xml:space="preserve"> it agreed that stem cells for transplant would likely come from unrelated matched donors</w:t>
      </w:r>
      <w:r w:rsidR="00800628" w:rsidRPr="008A52C3">
        <w:rPr>
          <w:lang w:val="en-GB"/>
        </w:rPr>
        <w:t>.</w:t>
      </w:r>
    </w:p>
    <w:p w14:paraId="4E78DA51" w14:textId="27E2EF12" w:rsidR="00D4520B" w:rsidRDefault="00A967E6" w:rsidP="00AE3728">
      <w:pPr>
        <w:pStyle w:val="Heading2"/>
      </w:pPr>
      <w:r>
        <w:t>Cost-effectiveness results</w:t>
      </w:r>
    </w:p>
    <w:p w14:paraId="0D5C2F1E" w14:textId="2317929A" w:rsidR="00D4520B" w:rsidRPr="00D4520B" w:rsidRDefault="002D4E39" w:rsidP="00426086">
      <w:pPr>
        <w:pStyle w:val="Heading3"/>
      </w:pPr>
      <w:r>
        <w:t xml:space="preserve">The </w:t>
      </w:r>
      <w:r w:rsidR="00EF7D62">
        <w:t xml:space="preserve">most plausible </w:t>
      </w:r>
      <w:r>
        <w:t>ICER</w:t>
      </w:r>
      <w:r w:rsidR="00285E3C">
        <w:t xml:space="preserve"> compared with standard cytarabine and daunorubicin</w:t>
      </w:r>
      <w:r>
        <w:t xml:space="preserve"> is </w:t>
      </w:r>
      <w:r w:rsidR="00EF7D62">
        <w:t>lower</w:t>
      </w:r>
      <w:r>
        <w:t xml:space="preserve"> than £50,000 per QALY gained</w:t>
      </w:r>
    </w:p>
    <w:p w14:paraId="3C5AA786" w14:textId="21F7B70A" w:rsidR="00D075EF" w:rsidRPr="007E0FF9" w:rsidRDefault="00E32055" w:rsidP="009666F6">
      <w:pPr>
        <w:pStyle w:val="Numberedlevel2text"/>
      </w:pPr>
      <w:bookmarkStart w:id="7" w:name="_Ref521415211"/>
      <w:r>
        <w:rPr>
          <w:lang w:val="en-GB"/>
        </w:rPr>
        <w:t xml:space="preserve">The company updated </w:t>
      </w:r>
      <w:r w:rsidR="00F96D93">
        <w:rPr>
          <w:lang w:val="en-GB"/>
        </w:rPr>
        <w:t xml:space="preserve">its </w:t>
      </w:r>
      <w:r>
        <w:rPr>
          <w:lang w:val="en-GB"/>
        </w:rPr>
        <w:t xml:space="preserve">economic model </w:t>
      </w:r>
      <w:r w:rsidR="00F96D93">
        <w:rPr>
          <w:lang w:val="en-GB"/>
        </w:rPr>
        <w:t>after</w:t>
      </w:r>
      <w:r>
        <w:rPr>
          <w:lang w:val="en-GB"/>
        </w:rPr>
        <w:t xml:space="preserve"> consultation</w:t>
      </w:r>
      <w:r w:rsidR="00F96D93">
        <w:rPr>
          <w:lang w:val="en-GB"/>
        </w:rPr>
        <w:t>. This</w:t>
      </w:r>
      <w:r>
        <w:rPr>
          <w:lang w:val="en-GB"/>
        </w:rPr>
        <w:t xml:space="preserve"> included the committee’s preferred assumptions, specifically:</w:t>
      </w:r>
      <w:bookmarkEnd w:id="7"/>
    </w:p>
    <w:p w14:paraId="771E0911" w14:textId="3735B7C6" w:rsidR="007E0FF9" w:rsidRDefault="00E32055" w:rsidP="007E0FF9">
      <w:pPr>
        <w:pStyle w:val="Bulletindent1"/>
      </w:pPr>
      <w:r>
        <w:rPr>
          <w:lang w:val="en-GB"/>
        </w:rPr>
        <w:lastRenderedPageBreak/>
        <w:t>correcting some errors identified by the ERG</w:t>
      </w:r>
    </w:p>
    <w:p w14:paraId="64962747" w14:textId="22D8092A" w:rsidR="007E0FF9" w:rsidRPr="007E0FF9" w:rsidRDefault="007E0FF9" w:rsidP="007E0FF9">
      <w:pPr>
        <w:pStyle w:val="Bulletindent1"/>
      </w:pPr>
      <w:r>
        <w:rPr>
          <w:lang w:val="en-GB"/>
        </w:rPr>
        <w:t>basing outcomes</w:t>
      </w:r>
      <w:r w:rsidR="00C644D7">
        <w:rPr>
          <w:lang w:val="en-GB"/>
        </w:rPr>
        <w:t xml:space="preserve"> after transplant</w:t>
      </w:r>
      <w:r>
        <w:rPr>
          <w:lang w:val="en-GB"/>
        </w:rPr>
        <w:t xml:space="preserve"> only on overall survival (see section</w:t>
      </w:r>
      <w:r w:rsidR="00BF07B9">
        <w:rPr>
          <w:lang w:val="en-GB"/>
        </w:rPr>
        <w:t> </w:t>
      </w:r>
      <w:r w:rsidR="005845B6">
        <w:rPr>
          <w:lang w:val="en-GB"/>
        </w:rPr>
        <w:fldChar w:fldCharType="begin"/>
      </w:r>
      <w:r w:rsidR="005845B6">
        <w:rPr>
          <w:lang w:val="en-GB"/>
        </w:rPr>
        <w:instrText xml:space="preserve"> REF _Ref521415190 \r \h </w:instrText>
      </w:r>
      <w:r w:rsidR="005845B6">
        <w:rPr>
          <w:lang w:val="en-GB"/>
        </w:rPr>
      </w:r>
      <w:r w:rsidR="005845B6">
        <w:rPr>
          <w:lang w:val="en-GB"/>
        </w:rPr>
        <w:fldChar w:fldCharType="separate"/>
      </w:r>
      <w:r w:rsidR="005845B6">
        <w:rPr>
          <w:lang w:val="en-GB"/>
        </w:rPr>
        <w:t>3.7</w:t>
      </w:r>
      <w:r w:rsidR="005845B6">
        <w:rPr>
          <w:lang w:val="en-GB"/>
        </w:rPr>
        <w:fldChar w:fldCharType="end"/>
      </w:r>
      <w:r>
        <w:rPr>
          <w:lang w:val="en-GB"/>
        </w:rPr>
        <w:t>)</w:t>
      </w:r>
    </w:p>
    <w:p w14:paraId="1B66DAA7" w14:textId="54E448C1" w:rsidR="007E0FF9" w:rsidRPr="002971E4" w:rsidRDefault="007E0FF9" w:rsidP="007E0FF9">
      <w:pPr>
        <w:pStyle w:val="Bulletindent1"/>
      </w:pPr>
      <w:r>
        <w:rPr>
          <w:lang w:val="en-GB"/>
        </w:rPr>
        <w:t>adjusting mortality rates</w:t>
      </w:r>
      <w:r w:rsidR="00C644D7">
        <w:rPr>
          <w:lang w:val="en-GB"/>
        </w:rPr>
        <w:t xml:space="preserve"> after transplant</w:t>
      </w:r>
      <w:r>
        <w:rPr>
          <w:lang w:val="en-GB"/>
        </w:rPr>
        <w:t xml:space="preserve"> (see section</w:t>
      </w:r>
      <w:r w:rsidR="00BF07B9">
        <w:rPr>
          <w:lang w:val="en-GB"/>
        </w:rPr>
        <w:t> </w:t>
      </w:r>
      <w:r w:rsidR="005845B6">
        <w:rPr>
          <w:lang w:val="en-GB"/>
        </w:rPr>
        <w:fldChar w:fldCharType="begin"/>
      </w:r>
      <w:r w:rsidR="005845B6">
        <w:rPr>
          <w:lang w:val="en-GB"/>
        </w:rPr>
        <w:instrText xml:space="preserve"> REF _Ref521415203 \r \h </w:instrText>
      </w:r>
      <w:r w:rsidR="005845B6">
        <w:rPr>
          <w:lang w:val="en-GB"/>
        </w:rPr>
      </w:r>
      <w:r w:rsidR="005845B6">
        <w:rPr>
          <w:lang w:val="en-GB"/>
        </w:rPr>
        <w:fldChar w:fldCharType="separate"/>
      </w:r>
      <w:r w:rsidR="005845B6">
        <w:rPr>
          <w:lang w:val="en-GB"/>
        </w:rPr>
        <w:t>3.8</w:t>
      </w:r>
      <w:r w:rsidR="005845B6">
        <w:rPr>
          <w:lang w:val="en-GB"/>
        </w:rPr>
        <w:fldChar w:fldCharType="end"/>
      </w:r>
      <w:r>
        <w:rPr>
          <w:lang w:val="en-GB"/>
        </w:rPr>
        <w:t>)</w:t>
      </w:r>
    </w:p>
    <w:p w14:paraId="11E3D170" w14:textId="21497F7C" w:rsidR="002971E4" w:rsidRPr="002971E4" w:rsidRDefault="002971E4" w:rsidP="007E0FF9">
      <w:pPr>
        <w:pStyle w:val="Bulletindent1"/>
      </w:pPr>
      <w:r>
        <w:rPr>
          <w:lang w:val="en-GB"/>
        </w:rPr>
        <w:t>using some alternative utility values (see section</w:t>
      </w:r>
      <w:r w:rsidR="00BF07B9">
        <w:rPr>
          <w:lang w:val="en-GB"/>
        </w:rPr>
        <w:t> </w:t>
      </w:r>
      <w:r w:rsidR="005845B6">
        <w:rPr>
          <w:lang w:val="en-GB"/>
        </w:rPr>
        <w:fldChar w:fldCharType="begin"/>
      </w:r>
      <w:r w:rsidR="005845B6">
        <w:rPr>
          <w:lang w:val="en-GB"/>
        </w:rPr>
        <w:instrText xml:space="preserve"> REF _Ref521415208 \r \h </w:instrText>
      </w:r>
      <w:r w:rsidR="005845B6">
        <w:rPr>
          <w:lang w:val="en-GB"/>
        </w:rPr>
      </w:r>
      <w:r w:rsidR="005845B6">
        <w:rPr>
          <w:lang w:val="en-GB"/>
        </w:rPr>
        <w:fldChar w:fldCharType="separate"/>
      </w:r>
      <w:r w:rsidR="005845B6">
        <w:rPr>
          <w:lang w:val="en-GB"/>
        </w:rPr>
        <w:t>3.9</w:t>
      </w:r>
      <w:r w:rsidR="005845B6">
        <w:rPr>
          <w:lang w:val="en-GB"/>
        </w:rPr>
        <w:fldChar w:fldCharType="end"/>
      </w:r>
      <w:r>
        <w:rPr>
          <w:lang w:val="en-GB"/>
        </w:rPr>
        <w:t>)</w:t>
      </w:r>
    </w:p>
    <w:p w14:paraId="7B2ACF6D" w14:textId="1BAC7C02" w:rsidR="002971E4" w:rsidRPr="002971E4" w:rsidRDefault="002971E4" w:rsidP="007E0FF9">
      <w:pPr>
        <w:pStyle w:val="Bulletindent1"/>
      </w:pPr>
      <w:r>
        <w:rPr>
          <w:lang w:val="en-GB"/>
        </w:rPr>
        <w:t>using a different method to calculate vial use (see section</w:t>
      </w:r>
      <w:r w:rsidR="00BF07B9">
        <w:rPr>
          <w:lang w:val="en-GB"/>
        </w:rPr>
        <w:t> </w:t>
      </w:r>
      <w:r w:rsidR="005845B6">
        <w:rPr>
          <w:lang w:val="en-GB"/>
        </w:rPr>
        <w:fldChar w:fldCharType="begin"/>
      </w:r>
      <w:r w:rsidR="005845B6">
        <w:rPr>
          <w:lang w:val="en-GB"/>
        </w:rPr>
        <w:instrText xml:space="preserve"> REF _Ref521415211 \r \h </w:instrText>
      </w:r>
      <w:r w:rsidR="005845B6">
        <w:rPr>
          <w:lang w:val="en-GB"/>
        </w:rPr>
      </w:r>
      <w:r w:rsidR="005845B6">
        <w:rPr>
          <w:lang w:val="en-GB"/>
        </w:rPr>
        <w:fldChar w:fldCharType="separate"/>
      </w:r>
      <w:r w:rsidR="005845B6">
        <w:rPr>
          <w:lang w:val="en-GB"/>
        </w:rPr>
        <w:t>3.10</w:t>
      </w:r>
      <w:r w:rsidR="005845B6">
        <w:rPr>
          <w:lang w:val="en-GB"/>
        </w:rPr>
        <w:fldChar w:fldCharType="end"/>
      </w:r>
      <w:r>
        <w:rPr>
          <w:lang w:val="en-GB"/>
        </w:rPr>
        <w:t>)</w:t>
      </w:r>
    </w:p>
    <w:p w14:paraId="39AD57B3" w14:textId="7C5DD0A0" w:rsidR="006E37A6" w:rsidRDefault="002971E4" w:rsidP="00BA41DC">
      <w:pPr>
        <w:pStyle w:val="Bulletindent1last"/>
      </w:pPr>
      <w:r>
        <w:t xml:space="preserve">reducing the number of hospital days in </w:t>
      </w:r>
      <w:r w:rsidR="00F96D93">
        <w:t xml:space="preserve">the </w:t>
      </w:r>
      <w:r>
        <w:t xml:space="preserve">consolidation </w:t>
      </w:r>
      <w:r w:rsidR="00F96D93">
        <w:t xml:space="preserve">period </w:t>
      </w:r>
      <w:r>
        <w:t>(see section</w:t>
      </w:r>
      <w:r w:rsidR="00BF07B9">
        <w:t> </w:t>
      </w:r>
      <w:r w:rsidR="005845B6">
        <w:fldChar w:fldCharType="begin"/>
      </w:r>
      <w:r w:rsidR="005845B6">
        <w:instrText xml:space="preserve"> REF _Ref521415211 \r \h </w:instrText>
      </w:r>
      <w:r w:rsidR="00E32055">
        <w:instrText xml:space="preserve"> \* MERGEFORMAT </w:instrText>
      </w:r>
      <w:r w:rsidR="005845B6">
        <w:fldChar w:fldCharType="separate"/>
      </w:r>
      <w:r w:rsidR="005845B6">
        <w:t>3.10</w:t>
      </w:r>
      <w:r w:rsidR="005845B6">
        <w:fldChar w:fldCharType="end"/>
      </w:r>
      <w:r>
        <w:t>)</w:t>
      </w:r>
      <w:r w:rsidR="00C644D7">
        <w:t>.</w:t>
      </w:r>
    </w:p>
    <w:p w14:paraId="79D91EFC" w14:textId="631077BC" w:rsidR="009157B1" w:rsidRDefault="00DF2BB4" w:rsidP="006E37A6">
      <w:pPr>
        <w:pStyle w:val="Bulletindent1last"/>
        <w:numPr>
          <w:ilvl w:val="0"/>
          <w:numId w:val="0"/>
        </w:numPr>
        <w:ind w:left="1134"/>
      </w:pPr>
      <w:r>
        <w:t>The company</w:t>
      </w:r>
      <w:r w:rsidR="001075F8">
        <w:t xml:space="preserve"> </w:t>
      </w:r>
      <w:r w:rsidR="00644ACE">
        <w:t>us</w:t>
      </w:r>
      <w:r w:rsidR="00E32055">
        <w:t>ed</w:t>
      </w:r>
      <w:r w:rsidR="001075F8">
        <w:t xml:space="preserve"> </w:t>
      </w:r>
      <w:r w:rsidR="00E32055">
        <w:t>cure models</w:t>
      </w:r>
      <w:r w:rsidR="00C644D7">
        <w:t xml:space="preserve"> after stem cell transplant</w:t>
      </w:r>
      <w:r w:rsidR="00E32055">
        <w:t xml:space="preserve"> (see section</w:t>
      </w:r>
      <w:r w:rsidR="00C644D7">
        <w:t> </w:t>
      </w:r>
      <w:r w:rsidR="008F7C6B">
        <w:fldChar w:fldCharType="begin"/>
      </w:r>
      <w:r w:rsidR="008F7C6B">
        <w:instrText xml:space="preserve"> REF _Ref521415195 \r \h </w:instrText>
      </w:r>
      <w:r w:rsidR="008F7C6B">
        <w:fldChar w:fldCharType="separate"/>
      </w:r>
      <w:r w:rsidR="008F7C6B">
        <w:t>3.6</w:t>
      </w:r>
      <w:r w:rsidR="008F7C6B">
        <w:fldChar w:fldCharType="end"/>
      </w:r>
      <w:r w:rsidR="00E32055">
        <w:t xml:space="preserve">) and </w:t>
      </w:r>
      <w:r w:rsidR="00B953F8">
        <w:t xml:space="preserve">also </w:t>
      </w:r>
      <w:r w:rsidR="001075F8">
        <w:t>increased the discount</w:t>
      </w:r>
      <w:r w:rsidR="00907ECB">
        <w:t xml:space="preserve"> in the commercial arrangement</w:t>
      </w:r>
      <w:r w:rsidR="001075F8">
        <w:t>.</w:t>
      </w:r>
      <w:r w:rsidR="00900B57">
        <w:t xml:space="preserve"> This resulted in</w:t>
      </w:r>
      <w:r w:rsidR="001075F8">
        <w:t xml:space="preserve"> </w:t>
      </w:r>
      <w:r w:rsidR="00900B57">
        <w:t xml:space="preserve">an </w:t>
      </w:r>
      <w:r w:rsidR="00C644D7">
        <w:t>incremental cost-effectiveness ratio (</w:t>
      </w:r>
      <w:r w:rsidR="001075F8">
        <w:t>ICER</w:t>
      </w:r>
      <w:r w:rsidR="00C644D7">
        <w:t>)</w:t>
      </w:r>
      <w:r w:rsidR="001075F8">
        <w:t xml:space="preserve"> for liposomal cytarabine</w:t>
      </w:r>
      <w:r w:rsidR="00093326">
        <w:t>–</w:t>
      </w:r>
      <w:r w:rsidR="001075F8">
        <w:t xml:space="preserve">daunorubicin </w:t>
      </w:r>
      <w:r w:rsidR="00900B57">
        <w:t>of £</w:t>
      </w:r>
      <w:r w:rsidR="00F9669E">
        <w:t>45,055</w:t>
      </w:r>
      <w:r w:rsidR="001075F8">
        <w:t xml:space="preserve"> per </w:t>
      </w:r>
      <w:r w:rsidR="00C644D7">
        <w:t>quality-adjusted life year (</w:t>
      </w:r>
      <w:r w:rsidR="001075F8">
        <w:t>QALY</w:t>
      </w:r>
      <w:r w:rsidR="00C644D7">
        <w:t>)</w:t>
      </w:r>
      <w:r w:rsidR="001075F8">
        <w:t xml:space="preserve"> gained. </w:t>
      </w:r>
      <w:r w:rsidR="00900B57">
        <w:t>When the company used a 25% cure fraction for the standard cytarabine and daunorubicin group</w:t>
      </w:r>
      <w:r w:rsidR="0062118C">
        <w:t xml:space="preserve"> (see section</w:t>
      </w:r>
      <w:r w:rsidR="00201C74">
        <w:t> </w:t>
      </w:r>
      <w:r w:rsidR="008F7C6B">
        <w:fldChar w:fldCharType="begin"/>
      </w:r>
      <w:r w:rsidR="008F7C6B">
        <w:instrText xml:space="preserve"> REF _Ref521415195 \r \h </w:instrText>
      </w:r>
      <w:r w:rsidR="008F7C6B">
        <w:fldChar w:fldCharType="separate"/>
      </w:r>
      <w:r w:rsidR="008F7C6B">
        <w:t>3.6</w:t>
      </w:r>
      <w:r w:rsidR="008F7C6B">
        <w:fldChar w:fldCharType="end"/>
      </w:r>
      <w:r w:rsidR="0062118C">
        <w:t>)</w:t>
      </w:r>
      <w:r w:rsidR="00900B57">
        <w:t>, the ICER increased to £</w:t>
      </w:r>
      <w:r w:rsidR="00F9669E">
        <w:t>48,127</w:t>
      </w:r>
      <w:r w:rsidR="00900B57">
        <w:t xml:space="preserve"> per QALY gained. When the ERG reproduced</w:t>
      </w:r>
      <w:r w:rsidR="00E32055">
        <w:t xml:space="preserve"> the analyses to include the confidential </w:t>
      </w:r>
      <w:r w:rsidR="00907ECB">
        <w:t>commercial arrangement</w:t>
      </w:r>
      <w:r w:rsidR="00900B57">
        <w:t xml:space="preserve"> discount for azacitidine</w:t>
      </w:r>
      <w:r w:rsidR="00E32055">
        <w:t xml:space="preserve"> (included in the model as a subsequent treatment)</w:t>
      </w:r>
      <w:r w:rsidR="00900B57">
        <w:t>, both ICERs were below £50,000 per QALY gained.</w:t>
      </w:r>
      <w:r w:rsidR="001075F8">
        <w:t xml:space="preserve"> </w:t>
      </w:r>
      <w:r w:rsidR="008C64CD">
        <w:t xml:space="preserve">The committee concluded that the most </w:t>
      </w:r>
      <w:r w:rsidR="008C64CD" w:rsidRPr="008C64CD">
        <w:t xml:space="preserve">plausible ICER </w:t>
      </w:r>
      <w:r w:rsidR="008C64CD">
        <w:t>wa</w:t>
      </w:r>
      <w:r w:rsidR="008C64CD" w:rsidRPr="008C64CD">
        <w:t>s lower than £50,000 per QALY gained</w:t>
      </w:r>
      <w:r w:rsidR="008C64CD">
        <w:t>.</w:t>
      </w:r>
      <w:bookmarkStart w:id="8" w:name="_GoBack"/>
      <w:bookmarkEnd w:id="8"/>
    </w:p>
    <w:p w14:paraId="2B0E5F59" w14:textId="1E459D26" w:rsidR="00265777" w:rsidRDefault="00265777" w:rsidP="00DF0C5C">
      <w:pPr>
        <w:pStyle w:val="Heading2"/>
      </w:pPr>
      <w:r>
        <w:t>Innovation</w:t>
      </w:r>
    </w:p>
    <w:p w14:paraId="616C9965" w14:textId="3E437229" w:rsidR="00265777" w:rsidRDefault="00265777" w:rsidP="00265777">
      <w:pPr>
        <w:pStyle w:val="Heading3"/>
      </w:pPr>
      <w:r>
        <w:t>The benefits of liposomal cytarabine</w:t>
      </w:r>
      <w:r w:rsidR="00093326">
        <w:t>–</w:t>
      </w:r>
      <w:r>
        <w:t>daunorubicin are captured in the cost-effectiveness analysis</w:t>
      </w:r>
    </w:p>
    <w:p w14:paraId="7C828A95" w14:textId="25D95B64" w:rsidR="00265777" w:rsidRPr="00265777" w:rsidRDefault="00265777" w:rsidP="00265777">
      <w:pPr>
        <w:pStyle w:val="Numberedlevel2text"/>
      </w:pPr>
      <w:r>
        <w:rPr>
          <w:lang w:val="en-GB"/>
        </w:rPr>
        <w:t>The company considered that liposomal cytarabine</w:t>
      </w:r>
      <w:r w:rsidR="00093326">
        <w:rPr>
          <w:lang w:val="en-GB"/>
        </w:rPr>
        <w:t>–</w:t>
      </w:r>
      <w:r>
        <w:rPr>
          <w:lang w:val="en-GB"/>
        </w:rPr>
        <w:t xml:space="preserve">daunorubicin was an innovative treatment </w:t>
      </w:r>
      <w:r w:rsidR="00CB05FB">
        <w:rPr>
          <w:lang w:val="en-GB"/>
        </w:rPr>
        <w:t>because of its formulation</w:t>
      </w:r>
      <w:r w:rsidR="003E06C3">
        <w:rPr>
          <w:lang w:val="en-GB"/>
        </w:rPr>
        <w:t>.</w:t>
      </w:r>
      <w:r w:rsidR="00CB05FB">
        <w:rPr>
          <w:lang w:val="en-GB"/>
        </w:rPr>
        <w:t xml:space="preserve"> </w:t>
      </w:r>
      <w:r w:rsidR="003E06C3">
        <w:rPr>
          <w:lang w:val="en-GB"/>
        </w:rPr>
        <w:t>T</w:t>
      </w:r>
      <w:r w:rsidR="00CB05FB">
        <w:rPr>
          <w:lang w:val="en-GB"/>
        </w:rPr>
        <w:t xml:space="preserve">he drug accumulates in the bone marrow and is released </w:t>
      </w:r>
      <w:r w:rsidR="003E06C3">
        <w:rPr>
          <w:lang w:val="en-GB"/>
        </w:rPr>
        <w:t>inside the cells</w:t>
      </w:r>
      <w:r w:rsidR="00CB05FB">
        <w:rPr>
          <w:lang w:val="en-GB"/>
        </w:rPr>
        <w:t xml:space="preserve">. The company also highlighted that infusion time is reduced and that </w:t>
      </w:r>
      <w:r w:rsidR="00CD3B38">
        <w:rPr>
          <w:lang w:val="en-GB"/>
        </w:rPr>
        <w:t>people can have it as</w:t>
      </w:r>
      <w:r w:rsidR="003E06C3">
        <w:rPr>
          <w:lang w:val="en-GB"/>
        </w:rPr>
        <w:t xml:space="preserve"> outpatient</w:t>
      </w:r>
      <w:r w:rsidR="00201C74">
        <w:rPr>
          <w:lang w:val="en-GB"/>
        </w:rPr>
        <w:t>s</w:t>
      </w:r>
      <w:r w:rsidR="00CB05FB">
        <w:rPr>
          <w:lang w:val="en-GB"/>
        </w:rPr>
        <w:t>. It also noted that liposomal cytarabine</w:t>
      </w:r>
      <w:r w:rsidR="00093326">
        <w:rPr>
          <w:lang w:val="en-GB"/>
        </w:rPr>
        <w:t>–</w:t>
      </w:r>
      <w:r w:rsidR="00CB05FB">
        <w:rPr>
          <w:lang w:val="en-GB"/>
        </w:rPr>
        <w:t xml:space="preserve">daunorubicin is the only new treatment in recent years to </w:t>
      </w:r>
      <w:r w:rsidR="003E06C3">
        <w:rPr>
          <w:lang w:val="en-GB"/>
        </w:rPr>
        <w:t xml:space="preserve">show </w:t>
      </w:r>
      <w:r w:rsidR="00CB05FB">
        <w:rPr>
          <w:lang w:val="en-GB"/>
        </w:rPr>
        <w:t xml:space="preserve">a survival benefit for people with high-risk acute myeloid leukaemia. Patient and professional groups </w:t>
      </w:r>
      <w:r w:rsidR="00CB05FB">
        <w:rPr>
          <w:lang w:val="en-GB"/>
        </w:rPr>
        <w:lastRenderedPageBreak/>
        <w:t>highlighted that liposomal cytarabine</w:t>
      </w:r>
      <w:r w:rsidR="00093326">
        <w:rPr>
          <w:lang w:val="en-GB"/>
        </w:rPr>
        <w:t>–</w:t>
      </w:r>
      <w:r w:rsidR="00CB05FB">
        <w:rPr>
          <w:lang w:val="en-GB"/>
        </w:rPr>
        <w:t xml:space="preserve">daunorubicin is the first example of this type of technology in acute myeloid leukaemia, and that it is more targeted than standard chemotherapy. The committee </w:t>
      </w:r>
      <w:r w:rsidR="00C632D6">
        <w:rPr>
          <w:lang w:val="en-GB"/>
        </w:rPr>
        <w:t>concluded that liposomal cytarabine</w:t>
      </w:r>
      <w:r w:rsidR="00093326">
        <w:rPr>
          <w:lang w:val="en-GB"/>
        </w:rPr>
        <w:t>–</w:t>
      </w:r>
      <w:r w:rsidR="00C632D6">
        <w:rPr>
          <w:lang w:val="en-GB"/>
        </w:rPr>
        <w:t>daunorubicin would be beneficial for patient</w:t>
      </w:r>
      <w:r w:rsidR="006828F5">
        <w:rPr>
          <w:lang w:val="en-GB"/>
        </w:rPr>
        <w:t>s</w:t>
      </w:r>
      <w:r w:rsidR="00C632D6">
        <w:rPr>
          <w:lang w:val="en-GB"/>
        </w:rPr>
        <w:t xml:space="preserve"> but </w:t>
      </w:r>
      <w:r w:rsidR="00CB05FB">
        <w:rPr>
          <w:lang w:val="en-GB"/>
        </w:rPr>
        <w:t>that it had not been presented with evidence of any additional benefits that were not captured in the measurement of QALYs.</w:t>
      </w:r>
    </w:p>
    <w:p w14:paraId="28656594" w14:textId="236C1723" w:rsidR="00FB317E" w:rsidRDefault="007E3039" w:rsidP="00DF0C5C">
      <w:pPr>
        <w:pStyle w:val="Heading2"/>
      </w:pPr>
      <w:r>
        <w:t>End of life</w:t>
      </w:r>
    </w:p>
    <w:p w14:paraId="54F6B023" w14:textId="1E93C16E" w:rsidR="004D24E5" w:rsidRPr="00DF0C5C" w:rsidRDefault="00837241" w:rsidP="00426086">
      <w:pPr>
        <w:pStyle w:val="Heading3"/>
      </w:pPr>
      <w:r>
        <w:t>Liposomal cytarabine</w:t>
      </w:r>
      <w:r w:rsidR="00093326">
        <w:t>–</w:t>
      </w:r>
      <w:r>
        <w:t>daunorubicin qualifies as a life-extending treatment for people with a short life expectancy</w:t>
      </w:r>
    </w:p>
    <w:p w14:paraId="306E7878" w14:textId="2382CCAF" w:rsidR="009B5DAB" w:rsidRPr="00DF2BB4" w:rsidRDefault="00F6030B" w:rsidP="009B5DAB">
      <w:pPr>
        <w:pStyle w:val="Numberedlevel2text"/>
      </w:pPr>
      <w:r>
        <w:t xml:space="preserve">The </w:t>
      </w:r>
      <w:r w:rsidR="006E210A">
        <w:t>c</w:t>
      </w:r>
      <w:r>
        <w:t xml:space="preserve">ommittee considered </w:t>
      </w:r>
      <w:r w:rsidR="00611D94">
        <w:t xml:space="preserve">the </w:t>
      </w:r>
      <w:r w:rsidR="00D50ACA" w:rsidRPr="00611D94">
        <w:t>advice</w:t>
      </w:r>
      <w:r>
        <w:t xml:space="preserve"> </w:t>
      </w:r>
      <w:r w:rsidR="00A825AF">
        <w:t xml:space="preserve">about life-extending treatments for people with a short life expectancy in </w:t>
      </w:r>
      <w:r>
        <w:t>NICE</w:t>
      </w:r>
      <w:r w:rsidR="00D50ACA">
        <w:t xml:space="preserve">’s </w:t>
      </w:r>
      <w:hyperlink r:id="rId9" w:history="1">
        <w:r w:rsidR="00F46E32">
          <w:rPr>
            <w:rStyle w:val="Hyperlink"/>
          </w:rPr>
          <w:t>guide to the methods of technology appraisal</w:t>
        </w:r>
      </w:hyperlink>
      <w:r w:rsidR="00A825AF">
        <w:t>.</w:t>
      </w:r>
      <w:r w:rsidR="00837241">
        <w:rPr>
          <w:lang w:val="en-GB"/>
        </w:rPr>
        <w:t xml:space="preserve"> It noted that the median overall survival reported in Study</w:t>
      </w:r>
      <w:r w:rsidR="003E06C3">
        <w:rPr>
          <w:lang w:val="en-GB"/>
        </w:rPr>
        <w:t> </w:t>
      </w:r>
      <w:r w:rsidR="00837241">
        <w:rPr>
          <w:lang w:val="en-GB"/>
        </w:rPr>
        <w:t>301 for the comparator group was 5.95</w:t>
      </w:r>
      <w:r w:rsidR="003E06C3">
        <w:rPr>
          <w:lang w:val="en-GB"/>
        </w:rPr>
        <w:t> </w:t>
      </w:r>
      <w:r w:rsidR="00837241">
        <w:rPr>
          <w:lang w:val="en-GB"/>
        </w:rPr>
        <w:t>months</w:t>
      </w:r>
      <w:r w:rsidR="002F1093">
        <w:rPr>
          <w:lang w:val="en-GB"/>
        </w:rPr>
        <w:t xml:space="preserve">. </w:t>
      </w:r>
      <w:r w:rsidR="00C632D6">
        <w:rPr>
          <w:lang w:val="en-GB"/>
        </w:rPr>
        <w:t>It also noted that the mean modelled survival was</w:t>
      </w:r>
      <w:r w:rsidR="00B56392">
        <w:rPr>
          <w:lang w:val="en-GB"/>
        </w:rPr>
        <w:t xml:space="preserve"> less than 24</w:t>
      </w:r>
      <w:r w:rsidR="003E06C3">
        <w:rPr>
          <w:b/>
          <w:lang w:val="en-GB"/>
        </w:rPr>
        <w:t> </w:t>
      </w:r>
      <w:r w:rsidR="00B56392">
        <w:rPr>
          <w:lang w:val="en-GB"/>
        </w:rPr>
        <w:t>months</w:t>
      </w:r>
      <w:r w:rsidR="00C632D6">
        <w:rPr>
          <w:lang w:val="en-GB"/>
        </w:rPr>
        <w:t xml:space="preserve"> in the company’s model. </w:t>
      </w:r>
      <w:r w:rsidR="00C5469A">
        <w:rPr>
          <w:lang w:val="en-GB"/>
        </w:rPr>
        <w:t>Therefore the short life expectancy criterion of less than 24</w:t>
      </w:r>
      <w:r w:rsidR="00201C74">
        <w:rPr>
          <w:lang w:val="en-GB"/>
        </w:rPr>
        <w:t> </w:t>
      </w:r>
      <w:r w:rsidR="00C5469A">
        <w:rPr>
          <w:lang w:val="en-GB"/>
        </w:rPr>
        <w:t>months</w:t>
      </w:r>
      <w:r w:rsidR="009F3BA0">
        <w:rPr>
          <w:lang w:val="en-GB"/>
        </w:rPr>
        <w:t xml:space="preserve"> was met</w:t>
      </w:r>
      <w:r w:rsidR="00C5469A">
        <w:rPr>
          <w:lang w:val="en-GB"/>
        </w:rPr>
        <w:t>. In Study</w:t>
      </w:r>
      <w:r w:rsidR="003E06C3">
        <w:rPr>
          <w:lang w:val="en-GB"/>
        </w:rPr>
        <w:t> </w:t>
      </w:r>
      <w:r w:rsidR="00C5469A">
        <w:rPr>
          <w:lang w:val="en-GB"/>
        </w:rPr>
        <w:t>301, overall survival in the liposomal cytarabine</w:t>
      </w:r>
      <w:r w:rsidR="00093326">
        <w:rPr>
          <w:lang w:val="en-GB"/>
        </w:rPr>
        <w:t>–</w:t>
      </w:r>
      <w:r w:rsidR="00C5469A">
        <w:rPr>
          <w:lang w:val="en-GB"/>
        </w:rPr>
        <w:t>daunorubicin group was higher than in the standard cytarabine and daunorubicin group by a median of 3.61</w:t>
      </w:r>
      <w:r w:rsidR="003E06C3">
        <w:rPr>
          <w:b/>
          <w:lang w:val="en-GB"/>
        </w:rPr>
        <w:t> </w:t>
      </w:r>
      <w:r w:rsidR="00C5469A">
        <w:rPr>
          <w:lang w:val="en-GB"/>
        </w:rPr>
        <w:t>months. The mean increase in overall survival predicted by the company’s model was over 2</w:t>
      </w:r>
      <w:r w:rsidR="003E06C3">
        <w:rPr>
          <w:lang w:val="en-GB"/>
        </w:rPr>
        <w:t> </w:t>
      </w:r>
      <w:r w:rsidR="00C5469A">
        <w:rPr>
          <w:lang w:val="en-GB"/>
        </w:rPr>
        <w:t>years (undiscounted life years). Even when the ERG’s least optimistic estimate of overall survival</w:t>
      </w:r>
      <w:r w:rsidR="00201C74">
        <w:rPr>
          <w:lang w:val="en-GB"/>
        </w:rPr>
        <w:t xml:space="preserve"> after transplant</w:t>
      </w:r>
      <w:r w:rsidR="00C5469A">
        <w:rPr>
          <w:lang w:val="en-GB"/>
        </w:rPr>
        <w:t xml:space="preserve"> for liposomal cytarabine</w:t>
      </w:r>
      <w:r w:rsidR="00093326">
        <w:rPr>
          <w:lang w:val="en-GB"/>
        </w:rPr>
        <w:t>–</w:t>
      </w:r>
      <w:r w:rsidR="00C5469A">
        <w:rPr>
          <w:lang w:val="en-GB"/>
        </w:rPr>
        <w:t xml:space="preserve">daunorubicin was modelled, the mean increase in overall survival predicted by the model was more than </w:t>
      </w:r>
      <w:r w:rsidR="003E06C3">
        <w:rPr>
          <w:lang w:val="en-GB"/>
        </w:rPr>
        <w:t>3 </w:t>
      </w:r>
      <w:r w:rsidR="00C5469A">
        <w:rPr>
          <w:lang w:val="en-GB"/>
        </w:rPr>
        <w:t>months. Therefore, liposomal cytarabine</w:t>
      </w:r>
      <w:r w:rsidR="00093326">
        <w:rPr>
          <w:lang w:val="en-GB"/>
        </w:rPr>
        <w:t>–</w:t>
      </w:r>
      <w:r w:rsidR="00C5469A">
        <w:rPr>
          <w:lang w:val="en-GB"/>
        </w:rPr>
        <w:t xml:space="preserve">daunorubicin met the criterion of extension to life of at least an additional </w:t>
      </w:r>
      <w:r w:rsidR="003E06C3">
        <w:rPr>
          <w:lang w:val="en-GB"/>
        </w:rPr>
        <w:t>3 </w:t>
      </w:r>
      <w:r w:rsidR="00C5469A">
        <w:rPr>
          <w:lang w:val="en-GB"/>
        </w:rPr>
        <w:t>months. The committee concluded that liposomal cytarabine</w:t>
      </w:r>
      <w:r w:rsidR="00093326">
        <w:rPr>
          <w:lang w:val="en-GB"/>
        </w:rPr>
        <w:t>–</w:t>
      </w:r>
      <w:r w:rsidR="00C5469A">
        <w:rPr>
          <w:lang w:val="en-GB"/>
        </w:rPr>
        <w:t>daunorubicin met NICE’s criteria for being considered a life-extending treatment at the end of life.</w:t>
      </w:r>
      <w:r w:rsidR="009B5DAB">
        <w:rPr>
          <w:lang w:val="en-GB"/>
        </w:rPr>
        <w:t xml:space="preserve"> </w:t>
      </w:r>
    </w:p>
    <w:p w14:paraId="7150D8C4" w14:textId="47324259" w:rsidR="00067DE3" w:rsidRDefault="00067DE3" w:rsidP="00067DE3">
      <w:pPr>
        <w:pStyle w:val="Heading2"/>
      </w:pPr>
      <w:r>
        <w:lastRenderedPageBreak/>
        <w:t>Equalit</w:t>
      </w:r>
      <w:r w:rsidR="00F96D93">
        <w:t>ies</w:t>
      </w:r>
    </w:p>
    <w:p w14:paraId="4598BC48" w14:textId="0DEC9097" w:rsidR="00067DE3" w:rsidRDefault="00067DE3" w:rsidP="00067DE3">
      <w:pPr>
        <w:pStyle w:val="Heading3"/>
      </w:pPr>
      <w:r>
        <w:t>There are no equality issues relevant to the recommendations</w:t>
      </w:r>
    </w:p>
    <w:p w14:paraId="6A8F1384" w14:textId="2D7F50AA" w:rsidR="00067DE3" w:rsidRPr="0036186F" w:rsidRDefault="00067DE3" w:rsidP="00067DE3">
      <w:pPr>
        <w:pStyle w:val="Numberedlevel2text"/>
      </w:pPr>
      <w:r>
        <w:rPr>
          <w:lang w:val="en-GB"/>
        </w:rPr>
        <w:t>Stakeholders highlighted that liposomal cytarabine</w:t>
      </w:r>
      <w:r w:rsidR="00093326">
        <w:rPr>
          <w:lang w:val="en-GB"/>
        </w:rPr>
        <w:t>–</w:t>
      </w:r>
      <w:r>
        <w:rPr>
          <w:lang w:val="en-GB"/>
        </w:rPr>
        <w:t xml:space="preserve">daunorubicin </w:t>
      </w:r>
      <w:r w:rsidR="00BD2A0B">
        <w:rPr>
          <w:lang w:val="en-GB"/>
        </w:rPr>
        <w:t xml:space="preserve">was </w:t>
      </w:r>
      <w:r>
        <w:rPr>
          <w:lang w:val="en-GB"/>
        </w:rPr>
        <w:t xml:space="preserve">more likely </w:t>
      </w:r>
      <w:r w:rsidR="00BD2A0B">
        <w:rPr>
          <w:lang w:val="en-GB"/>
        </w:rPr>
        <w:t xml:space="preserve">to </w:t>
      </w:r>
      <w:r>
        <w:rPr>
          <w:lang w:val="en-GB"/>
        </w:rPr>
        <w:t xml:space="preserve">be used for younger people than </w:t>
      </w:r>
      <w:r w:rsidR="00BD2A0B">
        <w:rPr>
          <w:lang w:val="en-GB"/>
        </w:rPr>
        <w:t xml:space="preserve">for </w:t>
      </w:r>
      <w:r>
        <w:rPr>
          <w:lang w:val="en-GB"/>
        </w:rPr>
        <w:t>older people. Because the recommendation for liposomal cytarabine</w:t>
      </w:r>
      <w:r w:rsidR="00093326">
        <w:rPr>
          <w:lang w:val="en-GB"/>
        </w:rPr>
        <w:t>–</w:t>
      </w:r>
      <w:r>
        <w:rPr>
          <w:lang w:val="en-GB"/>
        </w:rPr>
        <w:t xml:space="preserve">daunorubicin is for the whole population </w:t>
      </w:r>
      <w:r w:rsidR="00201C74">
        <w:rPr>
          <w:lang w:val="en-GB"/>
        </w:rPr>
        <w:t xml:space="preserve">covered by </w:t>
      </w:r>
      <w:r>
        <w:rPr>
          <w:lang w:val="en-GB"/>
        </w:rPr>
        <w:t>the marketing authorisation, the committee concluded that its recommendations</w:t>
      </w:r>
      <w:r w:rsidRPr="00052107">
        <w:rPr>
          <w:lang w:val="en-GB"/>
        </w:rPr>
        <w:t xml:space="preserve"> </w:t>
      </w:r>
      <w:r w:rsidRPr="00052107">
        <w:t xml:space="preserve">do not have a different </w:t>
      </w:r>
      <w:r w:rsidR="005E19C1">
        <w:rPr>
          <w:lang w:val="en-GB"/>
        </w:rPr>
        <w:t>effect</w:t>
      </w:r>
      <w:r w:rsidR="005E19C1" w:rsidRPr="00052107">
        <w:t xml:space="preserve"> </w:t>
      </w:r>
      <w:r w:rsidRPr="00052107">
        <w:t>on people protected by the equality legislation than on the wider population</w:t>
      </w:r>
      <w:r>
        <w:rPr>
          <w:lang w:val="en-GB"/>
        </w:rPr>
        <w:t>.</w:t>
      </w:r>
      <w:r w:rsidRPr="00C07933">
        <w:rPr>
          <w:lang w:val="en-GB"/>
        </w:rPr>
        <w:t xml:space="preserve"> </w:t>
      </w:r>
      <w:r>
        <w:rPr>
          <w:lang w:val="en-GB"/>
        </w:rPr>
        <w:t>It concluded that there are no relevant equality issues.</w:t>
      </w:r>
    </w:p>
    <w:p w14:paraId="0DE5200F" w14:textId="6E9103DF" w:rsidR="0036186F" w:rsidRDefault="0036186F" w:rsidP="0036186F">
      <w:pPr>
        <w:pStyle w:val="Heading2"/>
      </w:pPr>
      <w:r>
        <w:t>Conclusion</w:t>
      </w:r>
    </w:p>
    <w:p w14:paraId="044A107C" w14:textId="15A903EA" w:rsidR="008D79CB" w:rsidRDefault="008D79CB" w:rsidP="008D79CB">
      <w:pPr>
        <w:pStyle w:val="Heading3"/>
      </w:pPr>
      <w:r>
        <w:t>Liposomal cytarabine–daunorubicin is recommended for routine NHS use</w:t>
      </w:r>
    </w:p>
    <w:p w14:paraId="074B4B36" w14:textId="3240247B" w:rsidR="0036186F" w:rsidRPr="0036186F" w:rsidRDefault="0036186F" w:rsidP="0036186F">
      <w:pPr>
        <w:pStyle w:val="Numberedlevel2text"/>
      </w:pPr>
      <w:r>
        <w:t xml:space="preserve">The committee concluded that, with the discount agreed in the commercial arrangement, the ICERs were within the range that NICE usually considers an acceptable use of NHS resources for a life-extending treatment at the end of life. The committee recommended liposomal cytarabine–daunorubicin within its marketing authorisation </w:t>
      </w:r>
      <w:r>
        <w:rPr>
          <w:lang w:val="en-GB"/>
        </w:rPr>
        <w:t>for treating newly diagnosed</w:t>
      </w:r>
      <w:r w:rsidRPr="00624103">
        <w:t xml:space="preserve">, therapy-related acute myeloid leukaemia </w:t>
      </w:r>
      <w:r>
        <w:rPr>
          <w:lang w:val="en-GB"/>
        </w:rPr>
        <w:t>and</w:t>
      </w:r>
      <w:r w:rsidRPr="00624103">
        <w:t xml:space="preserve"> acute myeloid leukaemia with myelody</w:t>
      </w:r>
      <w:r>
        <w:t>splasia-related changes.</w:t>
      </w:r>
    </w:p>
    <w:p w14:paraId="5391F7FA" w14:textId="21E3170D" w:rsidR="00624103" w:rsidRDefault="00624103" w:rsidP="001A656A">
      <w:pPr>
        <w:pStyle w:val="Numberedheading1"/>
      </w:pPr>
      <w:r>
        <w:t>Implementation</w:t>
      </w:r>
    </w:p>
    <w:p w14:paraId="336BC675" w14:textId="7A64B1CA" w:rsidR="00624103" w:rsidRPr="00EE2914" w:rsidRDefault="00624103" w:rsidP="00624103">
      <w:pPr>
        <w:pStyle w:val="NICEnormalindented"/>
      </w:pPr>
      <w:r w:rsidRPr="00EE2914">
        <w:t xml:space="preserve">Section 7(6) of the </w:t>
      </w:r>
      <w:hyperlink r:id="rId10" w:history="1">
        <w:r w:rsidRPr="00EE2914">
          <w:rPr>
            <w:rStyle w:val="Hyperlink"/>
          </w:rPr>
          <w:t>National Institute for Health and Care Excellence (Constitution and Functions) and the Health and Social Care Information Centre (Functions) Regulations 2013</w:t>
        </w:r>
      </w:hyperlink>
      <w:r w:rsidRPr="00EE2914">
        <w:t xml:space="preserve"> requires clinical commissioning groups, NHS England and, with respect to their public health functions, local authorities to comply with the recommendations in this appraisal within 3 months of its date of publication.</w:t>
      </w:r>
    </w:p>
    <w:p w14:paraId="48A95716" w14:textId="4730E8E6" w:rsidR="00624103" w:rsidRDefault="00624103" w:rsidP="00624103">
      <w:pPr>
        <w:pStyle w:val="Numberedlevel2text"/>
        <w:numPr>
          <w:ilvl w:val="1"/>
          <w:numId w:val="1"/>
        </w:numPr>
      </w:pPr>
      <w:r>
        <w:t xml:space="preserve">The Welsh </w:t>
      </w:r>
      <w:r>
        <w:rPr>
          <w:lang w:val="en-GB"/>
        </w:rPr>
        <w:t>m</w:t>
      </w:r>
      <w:r>
        <w:t>inister</w:t>
      </w:r>
      <w:r>
        <w:rPr>
          <w:lang w:val="en-GB"/>
        </w:rPr>
        <w:t>s</w:t>
      </w:r>
      <w:r>
        <w:t xml:space="preserve"> ha</w:t>
      </w:r>
      <w:r>
        <w:rPr>
          <w:lang w:val="en-GB"/>
        </w:rPr>
        <w:t>ve</w:t>
      </w:r>
      <w:r>
        <w:t xml:space="preserve"> issued directions to the NHS in Wales on implementing NICE technology appraisal guidance. When a NICE technology appraisal recommends the use of a drug or treatment, or other </w:t>
      </w:r>
      <w:r>
        <w:lastRenderedPageBreak/>
        <w:t xml:space="preserve">technology, the NHS in Wales must usually provide funding and resources for it within </w:t>
      </w:r>
      <w:r>
        <w:rPr>
          <w:lang w:val="en-GB"/>
        </w:rPr>
        <w:t>2 </w:t>
      </w:r>
      <w:r>
        <w:t xml:space="preserve">months of the </w:t>
      </w:r>
      <w:r>
        <w:rPr>
          <w:lang w:val="en-GB"/>
        </w:rPr>
        <w:t>first publication of the final appraisal document</w:t>
      </w:r>
      <w:r>
        <w:t>.</w:t>
      </w:r>
    </w:p>
    <w:p w14:paraId="099CBF92" w14:textId="04058AB9" w:rsidR="00624103" w:rsidRDefault="00624103" w:rsidP="00624103">
      <w:pPr>
        <w:pStyle w:val="Numberedlevel2text"/>
        <w:numPr>
          <w:ilvl w:val="1"/>
          <w:numId w:val="1"/>
        </w:numPr>
      </w:pPr>
      <w:r w:rsidRPr="00EE2914">
        <w:t>When NICE recommends a treatment ‘as an option’, the NHS must make sure it is available within the period set out in the paragraph</w:t>
      </w:r>
      <w:r>
        <w:rPr>
          <w:lang w:val="en-GB"/>
        </w:rPr>
        <w:t>s</w:t>
      </w:r>
      <w:r w:rsidRPr="00EE2914">
        <w:t xml:space="preserve"> above. This means that, if a patient has </w:t>
      </w:r>
      <w:r>
        <w:rPr>
          <w:lang w:val="en-GB"/>
        </w:rPr>
        <w:t>newly diagnosed</w:t>
      </w:r>
      <w:r w:rsidRPr="00576DA5">
        <w:rPr>
          <w:rStyle w:val="Numberedlevel2textChar"/>
          <w:rFonts w:cs="Times New Roman"/>
        </w:rPr>
        <w:t xml:space="preserve">, therapy-related acute myeloid leukaemia </w:t>
      </w:r>
      <w:r>
        <w:rPr>
          <w:rStyle w:val="Numberedlevel2textChar"/>
          <w:rFonts w:cs="Times New Roman"/>
        </w:rPr>
        <w:t>or acute myeloid leukaemia</w:t>
      </w:r>
      <w:r w:rsidRPr="00576DA5">
        <w:rPr>
          <w:rStyle w:val="Numberedlevel2textChar"/>
          <w:rFonts w:cs="Times New Roman"/>
        </w:rPr>
        <w:t xml:space="preserve"> with myelodysplasia-related changes</w:t>
      </w:r>
      <w:r w:rsidRPr="00EE2914">
        <w:t xml:space="preserve"> and the doctor responsible for their care thinks that </w:t>
      </w:r>
      <w:r>
        <w:rPr>
          <w:lang w:val="en-GB"/>
        </w:rPr>
        <w:t>liposomal cytarabine</w:t>
      </w:r>
      <w:r w:rsidR="00093326">
        <w:rPr>
          <w:lang w:val="en-GB"/>
        </w:rPr>
        <w:t>–</w:t>
      </w:r>
      <w:r>
        <w:rPr>
          <w:lang w:val="en-GB"/>
        </w:rPr>
        <w:t xml:space="preserve">daunorubicin </w:t>
      </w:r>
      <w:r w:rsidRPr="00EE2914">
        <w:t>is the right treatment, it should be available for use, in l</w:t>
      </w:r>
      <w:r>
        <w:t>ine with NICE’s recommendations</w:t>
      </w:r>
      <w:r w:rsidRPr="00EE2914">
        <w:t>.</w:t>
      </w:r>
    </w:p>
    <w:p w14:paraId="6C70E2FF" w14:textId="46CA3F60" w:rsidR="007D7F83" w:rsidRPr="007D7F83" w:rsidRDefault="00B47F0E" w:rsidP="001A656A">
      <w:pPr>
        <w:pStyle w:val="Numberedheading1"/>
      </w:pPr>
      <w:r>
        <w:t>R</w:t>
      </w:r>
      <w:r w:rsidR="007D7F83" w:rsidRPr="007D7F83">
        <w:t>eview of guidance</w:t>
      </w:r>
    </w:p>
    <w:p w14:paraId="41C14959" w14:textId="5988BDF5" w:rsidR="00FA29A6" w:rsidRDefault="00B47F0E" w:rsidP="00611951">
      <w:pPr>
        <w:pStyle w:val="Numberedlevel2text"/>
      </w:pPr>
      <w:r>
        <w:rPr>
          <w:lang w:val="en-GB"/>
        </w:rPr>
        <w:t>T</w:t>
      </w:r>
      <w:r w:rsidR="002D3488" w:rsidRPr="00044CC7">
        <w:t>he guidanc</w:t>
      </w:r>
      <w:r>
        <w:t>e on this technology will be</w:t>
      </w:r>
      <w:r w:rsidR="002D3488" w:rsidRPr="00044CC7">
        <w:t xml:space="preserve"> considered for review</w:t>
      </w:r>
      <w:r w:rsidR="000345D3" w:rsidRPr="00044CC7">
        <w:t xml:space="preserve"> </w:t>
      </w:r>
      <w:r w:rsidR="0009093E">
        <w:rPr>
          <w:lang w:val="en-GB"/>
        </w:rPr>
        <w:t>3</w:t>
      </w:r>
      <w:r w:rsidR="00106F4F">
        <w:rPr>
          <w:lang w:val="en-GB"/>
        </w:rPr>
        <w:t> </w:t>
      </w:r>
      <w:r w:rsidR="0009093E">
        <w:rPr>
          <w:lang w:val="en-GB"/>
        </w:rPr>
        <w:t>years after publication of the guidance</w:t>
      </w:r>
      <w:r w:rsidR="002D3488" w:rsidRPr="00044CC7">
        <w:t xml:space="preserve">. </w:t>
      </w:r>
      <w:r w:rsidR="000345D3" w:rsidRPr="00044CC7">
        <w:t>T</w:t>
      </w:r>
      <w:r w:rsidR="002D3488" w:rsidRPr="00044CC7">
        <w:t xml:space="preserve">he </w:t>
      </w:r>
      <w:r w:rsidR="006E210A">
        <w:rPr>
          <w:lang w:val="en-GB"/>
        </w:rPr>
        <w:t>g</w:t>
      </w:r>
      <w:r w:rsidR="002D3488" w:rsidRPr="00044CC7">
        <w:t xml:space="preserve">uidance </w:t>
      </w:r>
      <w:r w:rsidR="006E210A">
        <w:rPr>
          <w:lang w:val="en-GB"/>
        </w:rPr>
        <w:t>e</w:t>
      </w:r>
      <w:r w:rsidR="002D3488" w:rsidRPr="00044CC7">
        <w:t xml:space="preserve">xecutive will </w:t>
      </w:r>
      <w:r w:rsidR="000345D3" w:rsidRPr="00044CC7">
        <w:t xml:space="preserve">decide </w:t>
      </w:r>
      <w:r w:rsidR="002D3488" w:rsidRPr="00044CC7">
        <w:t>whether the technology should be reviewed</w:t>
      </w:r>
      <w:r w:rsidR="000345D3" w:rsidRPr="00044CC7">
        <w:t xml:space="preserve"> based on </w:t>
      </w:r>
      <w:r w:rsidR="002D3488" w:rsidRPr="00044CC7">
        <w:t>information gathered by NICE, and in consultation with consultees and commentators.</w:t>
      </w:r>
    </w:p>
    <w:p w14:paraId="3185FE88" w14:textId="1637AD2A" w:rsidR="00685B52" w:rsidRDefault="00D46F12" w:rsidP="00685B52">
      <w:pPr>
        <w:pStyle w:val="NICEnormal"/>
      </w:pPr>
      <w:r>
        <w:t>Professor Stephen O’Brien</w:t>
      </w:r>
      <w:r w:rsidR="00685B52">
        <w:t xml:space="preserve"> </w:t>
      </w:r>
      <w:r w:rsidR="00685B52">
        <w:br/>
      </w:r>
      <w:r w:rsidR="00685B52" w:rsidRPr="000F2D8A">
        <w:t xml:space="preserve">Chair, </w:t>
      </w:r>
      <w:r w:rsidR="00AF6138">
        <w:t>A</w:t>
      </w:r>
      <w:r w:rsidR="00685B52" w:rsidRPr="000F2D8A">
        <w:t xml:space="preserve">ppraisal </w:t>
      </w:r>
      <w:r w:rsidR="00AF6138">
        <w:t>C</w:t>
      </w:r>
      <w:r w:rsidR="00685B52" w:rsidRPr="000F2D8A">
        <w:t>ommittee</w:t>
      </w:r>
      <w:r w:rsidR="00685B52">
        <w:br/>
      </w:r>
      <w:r w:rsidR="00706C39">
        <w:t>November</w:t>
      </w:r>
      <w:r>
        <w:t xml:space="preserve"> 2018</w:t>
      </w:r>
    </w:p>
    <w:p w14:paraId="7C8264C5" w14:textId="77777777" w:rsidR="006E210A" w:rsidRPr="007D7F83" w:rsidRDefault="006E210A" w:rsidP="001A656A">
      <w:pPr>
        <w:pStyle w:val="Numberedheading1"/>
      </w:pPr>
      <w:bookmarkStart w:id="9" w:name="_Ref526329982"/>
      <w:r w:rsidRPr="007D7F83">
        <w:t xml:space="preserve">Appraisal </w:t>
      </w:r>
      <w:r>
        <w:t>c</w:t>
      </w:r>
      <w:r w:rsidRPr="007D7F83">
        <w:t>ommittee members and NICE project team</w:t>
      </w:r>
      <w:bookmarkEnd w:id="9"/>
    </w:p>
    <w:p w14:paraId="3160D0B4" w14:textId="77777777" w:rsidR="006E210A" w:rsidRPr="007D7F83" w:rsidRDefault="006E210A" w:rsidP="006E210A">
      <w:pPr>
        <w:pStyle w:val="Heading2"/>
      </w:pPr>
      <w:r w:rsidRPr="007D7F83">
        <w:t xml:space="preserve">Appraisal </w:t>
      </w:r>
      <w:r>
        <w:t>c</w:t>
      </w:r>
      <w:r w:rsidRPr="007D7F83">
        <w:t>ommittee members</w:t>
      </w:r>
    </w:p>
    <w:p w14:paraId="6A335C09" w14:textId="7C85D881" w:rsidR="007366FA" w:rsidRDefault="004C1E23" w:rsidP="004C1E23">
      <w:pPr>
        <w:pStyle w:val="NICEnormal"/>
      </w:pPr>
      <w:r>
        <w:t xml:space="preserve">The 4 technology appraisal committees are standing advisory committees of NICE. This topic was considered by </w:t>
      </w:r>
      <w:hyperlink r:id="rId11" w:history="1">
        <w:r w:rsidR="00D46F12">
          <w:rPr>
            <w:rStyle w:val="Hyperlink"/>
            <w:rFonts w:eastAsia="Calibri"/>
          </w:rPr>
          <w:t>committee C</w:t>
        </w:r>
      </w:hyperlink>
      <w:r w:rsidR="00D46F12">
        <w:t>.</w:t>
      </w:r>
    </w:p>
    <w:p w14:paraId="4F5EAC85" w14:textId="35CFCE57" w:rsidR="004C1E23" w:rsidRDefault="004C1E23" w:rsidP="004C1E23">
      <w:pPr>
        <w:pStyle w:val="NICEnormal"/>
      </w:pPr>
      <w:r>
        <w:t>Committee members are asked to declare any interests in the technology to be appraised. If it is considered there is a conflict of interest, the member is excluded from participating further in that appraisal.</w:t>
      </w:r>
    </w:p>
    <w:p w14:paraId="7E0D4FB1" w14:textId="77777777" w:rsidR="004C1E23" w:rsidRDefault="004C1E23" w:rsidP="004C1E23">
      <w:pPr>
        <w:pStyle w:val="NICEnormal"/>
      </w:pPr>
      <w:r>
        <w:lastRenderedPageBreak/>
        <w:t xml:space="preserve">The </w:t>
      </w:r>
      <w:hyperlink r:id="rId12" w:history="1">
        <w:r>
          <w:rPr>
            <w:rStyle w:val="Hyperlink"/>
            <w:rFonts w:eastAsia="Calibri"/>
          </w:rPr>
          <w:t>minutes</w:t>
        </w:r>
      </w:hyperlink>
      <w:r>
        <w:t xml:space="preserve"> of each appraisal committee meeting, which include the names of the members who attended and their declarations of interests, are posted on the NICE website.</w:t>
      </w:r>
    </w:p>
    <w:p w14:paraId="5FB73049" w14:textId="77777777" w:rsidR="006E210A" w:rsidRPr="007D7F83" w:rsidRDefault="006E210A" w:rsidP="006E210A">
      <w:pPr>
        <w:pStyle w:val="Heading2"/>
      </w:pPr>
      <w:r w:rsidRPr="007D7F83">
        <w:t>NICE project team</w:t>
      </w:r>
    </w:p>
    <w:p w14:paraId="11C44B72" w14:textId="002BB4A7" w:rsidR="006E210A" w:rsidRPr="000F2D8A" w:rsidRDefault="006E210A" w:rsidP="006E210A">
      <w:pPr>
        <w:pStyle w:val="NICEnormal"/>
      </w:pPr>
      <w:r w:rsidRPr="0058413D">
        <w:t xml:space="preserve">Each technology appraisal is assigned to a team consisting of </w:t>
      </w:r>
      <w:r>
        <w:t>1</w:t>
      </w:r>
      <w:r w:rsidRPr="0058413D">
        <w:t xml:space="preserve"> or more health technology analysts (who act as technical leads for the appraisal), a technical adviser and a project manager.</w:t>
      </w:r>
    </w:p>
    <w:p w14:paraId="328F0F9C" w14:textId="77777777" w:rsidR="006E210A" w:rsidRPr="000F2D8A" w:rsidRDefault="00D46F12" w:rsidP="006E210A">
      <w:pPr>
        <w:pStyle w:val="NICEnormal"/>
      </w:pPr>
      <w:bookmarkStart w:id="10" w:name="Text45"/>
      <w:r>
        <w:rPr>
          <w:b/>
        </w:rPr>
        <w:t>Kirsty Pitt</w:t>
      </w:r>
      <w:r w:rsidR="006E210A">
        <w:br/>
      </w:r>
      <w:r w:rsidR="006E210A" w:rsidRPr="000F2D8A">
        <w:t>Technical Lead</w:t>
      </w:r>
    </w:p>
    <w:p w14:paraId="35569A2E" w14:textId="77777777" w:rsidR="006E210A" w:rsidRPr="000F2D8A" w:rsidRDefault="00D46F12" w:rsidP="006E210A">
      <w:pPr>
        <w:pStyle w:val="NICEnormal"/>
      </w:pPr>
      <w:r>
        <w:rPr>
          <w:b/>
        </w:rPr>
        <w:t>Alex</w:t>
      </w:r>
      <w:r w:rsidR="00DE1C2A">
        <w:rPr>
          <w:b/>
        </w:rPr>
        <w:t>andra</w:t>
      </w:r>
      <w:r>
        <w:rPr>
          <w:b/>
        </w:rPr>
        <w:t xml:space="preserve"> Filby</w:t>
      </w:r>
      <w:r w:rsidR="006E210A">
        <w:br/>
      </w:r>
      <w:r w:rsidR="006E210A" w:rsidRPr="00AF59A2">
        <w:t>Technical Adviser</w:t>
      </w:r>
    </w:p>
    <w:p w14:paraId="5665ADA0" w14:textId="77777777" w:rsidR="006E210A" w:rsidRDefault="00D46F12" w:rsidP="006E210A">
      <w:pPr>
        <w:pStyle w:val="NICEnormal"/>
      </w:pPr>
      <w:r>
        <w:rPr>
          <w:b/>
        </w:rPr>
        <w:t>Gemma Barnacle</w:t>
      </w:r>
      <w:r w:rsidR="006E210A">
        <w:br/>
      </w:r>
      <w:r w:rsidR="006E210A" w:rsidRPr="000F2D8A">
        <w:t>Project Manager</w:t>
      </w:r>
    </w:p>
    <w:bookmarkEnd w:id="10"/>
    <w:p w14:paraId="15C2C7F1" w14:textId="77777777" w:rsidR="001C0F06" w:rsidRPr="000F2D8A" w:rsidRDefault="006E210A" w:rsidP="006E210A">
      <w:pPr>
        <w:pStyle w:val="NICEnormal"/>
      </w:pPr>
      <w:r>
        <w:t xml:space="preserve">ISBN: </w:t>
      </w:r>
      <w:r w:rsidRPr="004D7C92">
        <w:rPr>
          <w:highlight w:val="green"/>
        </w:rPr>
        <w:t>[to be added at publication]</w:t>
      </w:r>
    </w:p>
    <w:sectPr w:rsidR="001C0F06" w:rsidRPr="000F2D8A" w:rsidSect="00C877B8">
      <w:headerReference w:type="default" r:id="rId13"/>
      <w:footerReference w:type="defaul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FC3AA1" w16cid:durableId="1F5E2AA2"/>
  <w16cid:commentId w16cid:paraId="6C409C5B" w16cid:durableId="1F5E3118"/>
  <w16cid:commentId w16cid:paraId="121ACD41" w16cid:durableId="1F5E2367"/>
  <w16cid:commentId w16cid:paraId="41A95E35" w16cid:durableId="1F5E2368"/>
  <w16cid:commentId w16cid:paraId="586B7CFC" w16cid:durableId="1F5E2369"/>
  <w16cid:commentId w16cid:paraId="7C3DD128" w16cid:durableId="1F5E236A"/>
  <w16cid:commentId w16cid:paraId="4154918F" w16cid:durableId="1F5E31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48219" w14:textId="77777777" w:rsidR="00BD2A0B" w:rsidRDefault="00BD2A0B">
      <w:r>
        <w:separator/>
      </w:r>
    </w:p>
  </w:endnote>
  <w:endnote w:type="continuationSeparator" w:id="0">
    <w:p w14:paraId="1FE99872" w14:textId="77777777" w:rsidR="00BD2A0B" w:rsidRDefault="00BD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16419" w14:textId="43C8E3AA" w:rsidR="00BD2A0B" w:rsidRPr="003D33FB" w:rsidRDefault="00BD2A0B" w:rsidP="000A18C7">
    <w:pPr>
      <w:pStyle w:val="NICEnormalsinglespacing"/>
      <w:spacing w:after="120"/>
      <w:rPr>
        <w:sz w:val="18"/>
        <w:szCs w:val="18"/>
      </w:rPr>
    </w:pPr>
    <w:r>
      <w:rPr>
        <w:sz w:val="18"/>
        <w:szCs w:val="18"/>
      </w:rPr>
      <w:t>Final appraisal document</w:t>
    </w:r>
    <w:r w:rsidRPr="003D33FB">
      <w:rPr>
        <w:sz w:val="18"/>
        <w:szCs w:val="18"/>
      </w:rPr>
      <w:t xml:space="preserve"> – </w:t>
    </w:r>
    <w:r>
      <w:rPr>
        <w:sz w:val="18"/>
        <w:szCs w:val="18"/>
      </w:rPr>
      <w:t>liposomal cytarabine</w:t>
    </w:r>
    <w:r w:rsidR="0061770E">
      <w:rPr>
        <w:sz w:val="18"/>
        <w:szCs w:val="18"/>
      </w:rPr>
      <w:t>–</w:t>
    </w:r>
    <w:r>
      <w:rPr>
        <w:sz w:val="18"/>
        <w:szCs w:val="18"/>
      </w:rPr>
      <w:t>daunorubicin for untreated acute myeloid leukaemia</w:t>
    </w:r>
  </w:p>
  <w:p w14:paraId="437A0486" w14:textId="5B109D74" w:rsidR="00BD2A0B" w:rsidRDefault="00BD2A0B" w:rsidP="000A18C7">
    <w:pPr>
      <w:pStyle w:val="NICEnormalsinglespacing"/>
      <w:spacing w:after="120"/>
      <w:rPr>
        <w:sz w:val="18"/>
        <w:szCs w:val="18"/>
      </w:rPr>
    </w:pPr>
    <w:r>
      <w:rPr>
        <w:sz w:val="18"/>
        <w:szCs w:val="18"/>
      </w:rPr>
      <w:t>Issue date: November 2018</w:t>
    </w:r>
  </w:p>
  <w:p w14:paraId="3B0C62D2" w14:textId="77777777" w:rsidR="00BD2A0B" w:rsidRDefault="00BD2A0B" w:rsidP="00DE1C2A">
    <w:pPr>
      <w:pStyle w:val="NICEnormalsinglespacing"/>
      <w:spacing w:after="120"/>
      <w:rPr>
        <w:rStyle w:val="PageNumber"/>
      </w:rPr>
    </w:pPr>
    <w:r>
      <w:rPr>
        <w:sz w:val="18"/>
        <w:szCs w:val="18"/>
      </w:rPr>
      <w:t xml:space="preserve">© NICE 2018. All rights reserved. Subject to </w:t>
    </w:r>
    <w:hyperlink r:id="rId1" w:history="1">
      <w:r>
        <w:rPr>
          <w:rStyle w:val="Hyperlink"/>
          <w:sz w:val="18"/>
          <w:szCs w:val="18"/>
        </w:rPr>
        <w:t>Notice of rights</w:t>
      </w:r>
    </w:hyperlink>
    <w:r w:rsidRPr="00D40674">
      <w:rPr>
        <w:sz w:val="18"/>
        <w:szCs w:val="18"/>
      </w:rPr>
      <w:t>.</w:t>
    </w:r>
    <w:r w:rsidRPr="00DE1C2A">
      <w:rPr>
        <w:rStyle w:val="PageNumber"/>
      </w:rPr>
      <w:t xml:space="preserve"> </w:t>
    </w:r>
  </w:p>
  <w:p w14:paraId="6537D978" w14:textId="77777777" w:rsidR="00BD2A0B" w:rsidRDefault="00BD2A0B" w:rsidP="00DE1C2A">
    <w:pPr>
      <w:pStyle w:val="NICEnormalsinglespacing"/>
      <w:spacing w:after="120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64CD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C64CD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3414D" w14:textId="77777777" w:rsidR="00BD2A0B" w:rsidRDefault="00BD2A0B">
      <w:r>
        <w:separator/>
      </w:r>
    </w:p>
  </w:footnote>
  <w:footnote w:type="continuationSeparator" w:id="0">
    <w:p w14:paraId="29C77BAF" w14:textId="77777777" w:rsidR="00BD2A0B" w:rsidRDefault="00BD2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9FD05" w14:textId="77777777" w:rsidR="00BD2A0B" w:rsidRPr="006446B7" w:rsidRDefault="00BD2A0B" w:rsidP="006446B7">
    <w:pPr>
      <w:pStyle w:val="Header"/>
      <w:jc w:val="right"/>
      <w:rPr>
        <w:b/>
      </w:rPr>
    </w:pPr>
    <w:r w:rsidRPr="006446B7">
      <w:rPr>
        <w:b/>
      </w:rPr>
      <w:t>CONFIDENTIAL</w:t>
    </w:r>
    <w:r>
      <w:rPr>
        <w:b/>
      </w:rPr>
      <w:t xml:space="preserve"> UNTIL PUBLISHED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F707D"/>
    <w:multiLevelType w:val="hybridMultilevel"/>
    <w:tmpl w:val="974A7B02"/>
    <w:lvl w:ilvl="0" w:tplc="84D0C656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CC3584"/>
    <w:multiLevelType w:val="multilevel"/>
    <w:tmpl w:val="22EAC1B8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level2text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7" w15:restartNumberingAfterBreak="0">
    <w:nsid w:val="2A72031D"/>
    <w:multiLevelType w:val="hybridMultilevel"/>
    <w:tmpl w:val="3C88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057BE"/>
    <w:multiLevelType w:val="hybridMultilevel"/>
    <w:tmpl w:val="D00ACD5C"/>
    <w:lvl w:ilvl="0" w:tplc="20582D18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810A0"/>
    <w:multiLevelType w:val="hybridMultilevel"/>
    <w:tmpl w:val="A34C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26647"/>
    <w:multiLevelType w:val="hybridMultilevel"/>
    <w:tmpl w:val="EC32B99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ABD783C"/>
    <w:multiLevelType w:val="hybridMultilevel"/>
    <w:tmpl w:val="23A0264C"/>
    <w:lvl w:ilvl="0" w:tplc="DE0CF6EA">
      <w:start w:val="1"/>
      <w:numFmt w:val="upperRoman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123D7"/>
    <w:multiLevelType w:val="hybridMultilevel"/>
    <w:tmpl w:val="373EC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88F36E6"/>
    <w:multiLevelType w:val="hybridMultilevel"/>
    <w:tmpl w:val="5EF43A14"/>
    <w:lvl w:ilvl="0" w:tplc="755E32EC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9" w15:restartNumberingAfterBreak="0">
    <w:nsid w:val="765F6245"/>
    <w:multiLevelType w:val="hybridMultilevel"/>
    <w:tmpl w:val="8226756E"/>
    <w:lvl w:ilvl="0" w:tplc="EE7C94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2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3"/>
  </w:num>
  <w:num w:numId="13">
    <w:abstractNumId w:val="16"/>
  </w:num>
  <w:num w:numId="14">
    <w:abstractNumId w:val="19"/>
  </w:num>
  <w:num w:numId="15">
    <w:abstractNumId w:val="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8"/>
  </w:num>
  <w:num w:numId="21">
    <w:abstractNumId w:val="4"/>
  </w:num>
  <w:num w:numId="22">
    <w:abstractNumId w:val="7"/>
  </w:num>
  <w:num w:numId="2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E4"/>
    <w:rsid w:val="00000574"/>
    <w:rsid w:val="00001518"/>
    <w:rsid w:val="000043A7"/>
    <w:rsid w:val="00005A25"/>
    <w:rsid w:val="000061DF"/>
    <w:rsid w:val="00007E4A"/>
    <w:rsid w:val="000112D2"/>
    <w:rsid w:val="000119FB"/>
    <w:rsid w:val="00014F51"/>
    <w:rsid w:val="00017C61"/>
    <w:rsid w:val="0002130D"/>
    <w:rsid w:val="00021B49"/>
    <w:rsid w:val="000239D4"/>
    <w:rsid w:val="000248E7"/>
    <w:rsid w:val="000254A0"/>
    <w:rsid w:val="00027944"/>
    <w:rsid w:val="00030B8A"/>
    <w:rsid w:val="00030B8E"/>
    <w:rsid w:val="00032B52"/>
    <w:rsid w:val="00033FB3"/>
    <w:rsid w:val="000345D3"/>
    <w:rsid w:val="00035771"/>
    <w:rsid w:val="00035CF8"/>
    <w:rsid w:val="00036B25"/>
    <w:rsid w:val="000402BE"/>
    <w:rsid w:val="00044A36"/>
    <w:rsid w:val="00044CC7"/>
    <w:rsid w:val="000459F7"/>
    <w:rsid w:val="00047853"/>
    <w:rsid w:val="000478E9"/>
    <w:rsid w:val="0005053E"/>
    <w:rsid w:val="00052ECD"/>
    <w:rsid w:val="00054F2D"/>
    <w:rsid w:val="000552FB"/>
    <w:rsid w:val="000553F3"/>
    <w:rsid w:val="00057C0E"/>
    <w:rsid w:val="00060BE4"/>
    <w:rsid w:val="00062A5F"/>
    <w:rsid w:val="00063057"/>
    <w:rsid w:val="00065C37"/>
    <w:rsid w:val="00066A7B"/>
    <w:rsid w:val="00066AF9"/>
    <w:rsid w:val="00067A30"/>
    <w:rsid w:val="00067DE3"/>
    <w:rsid w:val="00074721"/>
    <w:rsid w:val="000747BB"/>
    <w:rsid w:val="00075232"/>
    <w:rsid w:val="00076DD0"/>
    <w:rsid w:val="00077500"/>
    <w:rsid w:val="0008010D"/>
    <w:rsid w:val="0008263E"/>
    <w:rsid w:val="000832EE"/>
    <w:rsid w:val="00083E23"/>
    <w:rsid w:val="0008436A"/>
    <w:rsid w:val="00085968"/>
    <w:rsid w:val="00086814"/>
    <w:rsid w:val="0009093E"/>
    <w:rsid w:val="00092394"/>
    <w:rsid w:val="00092433"/>
    <w:rsid w:val="00093326"/>
    <w:rsid w:val="00095D31"/>
    <w:rsid w:val="00096DA6"/>
    <w:rsid w:val="000979B3"/>
    <w:rsid w:val="000A047E"/>
    <w:rsid w:val="000A1888"/>
    <w:rsid w:val="000A18C7"/>
    <w:rsid w:val="000A2F24"/>
    <w:rsid w:val="000A4E9F"/>
    <w:rsid w:val="000A5FF9"/>
    <w:rsid w:val="000B224A"/>
    <w:rsid w:val="000C046C"/>
    <w:rsid w:val="000C0C46"/>
    <w:rsid w:val="000C184F"/>
    <w:rsid w:val="000C3FE1"/>
    <w:rsid w:val="000C4132"/>
    <w:rsid w:val="000C48D6"/>
    <w:rsid w:val="000C4FF2"/>
    <w:rsid w:val="000C6B04"/>
    <w:rsid w:val="000D1548"/>
    <w:rsid w:val="000D1B59"/>
    <w:rsid w:val="000D5E53"/>
    <w:rsid w:val="000D6EE5"/>
    <w:rsid w:val="000D7566"/>
    <w:rsid w:val="000E0ACB"/>
    <w:rsid w:val="000E243E"/>
    <w:rsid w:val="000E297B"/>
    <w:rsid w:val="000E3DF5"/>
    <w:rsid w:val="000E467A"/>
    <w:rsid w:val="000E4736"/>
    <w:rsid w:val="000E4E54"/>
    <w:rsid w:val="000E67A8"/>
    <w:rsid w:val="000E7C25"/>
    <w:rsid w:val="000F2229"/>
    <w:rsid w:val="000F6DBF"/>
    <w:rsid w:val="00101F34"/>
    <w:rsid w:val="00106159"/>
    <w:rsid w:val="001062D1"/>
    <w:rsid w:val="00106F4F"/>
    <w:rsid w:val="001075F8"/>
    <w:rsid w:val="00107D3F"/>
    <w:rsid w:val="001108FF"/>
    <w:rsid w:val="0011132F"/>
    <w:rsid w:val="00112956"/>
    <w:rsid w:val="00113B59"/>
    <w:rsid w:val="00114549"/>
    <w:rsid w:val="001201F7"/>
    <w:rsid w:val="0012274B"/>
    <w:rsid w:val="00123550"/>
    <w:rsid w:val="001238CD"/>
    <w:rsid w:val="00126588"/>
    <w:rsid w:val="0012722E"/>
    <w:rsid w:val="0013058D"/>
    <w:rsid w:val="00130EDD"/>
    <w:rsid w:val="00131A2C"/>
    <w:rsid w:val="001321C1"/>
    <w:rsid w:val="0013315B"/>
    <w:rsid w:val="0013420A"/>
    <w:rsid w:val="00137D76"/>
    <w:rsid w:val="00141205"/>
    <w:rsid w:val="00143970"/>
    <w:rsid w:val="00151761"/>
    <w:rsid w:val="00151D6D"/>
    <w:rsid w:val="00153242"/>
    <w:rsid w:val="00153D5B"/>
    <w:rsid w:val="0015509D"/>
    <w:rsid w:val="0015592D"/>
    <w:rsid w:val="00155F91"/>
    <w:rsid w:val="001602D3"/>
    <w:rsid w:val="001607DA"/>
    <w:rsid w:val="00161AA0"/>
    <w:rsid w:val="001630B5"/>
    <w:rsid w:val="00163197"/>
    <w:rsid w:val="00163DA6"/>
    <w:rsid w:val="001674AF"/>
    <w:rsid w:val="00172B0F"/>
    <w:rsid w:val="00173717"/>
    <w:rsid w:val="00174092"/>
    <w:rsid w:val="001802B6"/>
    <w:rsid w:val="00180614"/>
    <w:rsid w:val="00181D3D"/>
    <w:rsid w:val="00181D9C"/>
    <w:rsid w:val="00182ACF"/>
    <w:rsid w:val="0018301B"/>
    <w:rsid w:val="00183664"/>
    <w:rsid w:val="00185157"/>
    <w:rsid w:val="001853FD"/>
    <w:rsid w:val="00186AB8"/>
    <w:rsid w:val="00187F84"/>
    <w:rsid w:val="00191407"/>
    <w:rsid w:val="00192811"/>
    <w:rsid w:val="00193707"/>
    <w:rsid w:val="00194879"/>
    <w:rsid w:val="001956FC"/>
    <w:rsid w:val="001A02C2"/>
    <w:rsid w:val="001A5076"/>
    <w:rsid w:val="001A605C"/>
    <w:rsid w:val="001A656A"/>
    <w:rsid w:val="001A676D"/>
    <w:rsid w:val="001A70BC"/>
    <w:rsid w:val="001B0E24"/>
    <w:rsid w:val="001B2136"/>
    <w:rsid w:val="001B2EF1"/>
    <w:rsid w:val="001B4A01"/>
    <w:rsid w:val="001B4B6A"/>
    <w:rsid w:val="001B4CAB"/>
    <w:rsid w:val="001B5B7A"/>
    <w:rsid w:val="001B7AB8"/>
    <w:rsid w:val="001C0F06"/>
    <w:rsid w:val="001C3AD1"/>
    <w:rsid w:val="001C4555"/>
    <w:rsid w:val="001C4FB7"/>
    <w:rsid w:val="001C5403"/>
    <w:rsid w:val="001D0BE2"/>
    <w:rsid w:val="001D0C94"/>
    <w:rsid w:val="001D0E67"/>
    <w:rsid w:val="001D18A1"/>
    <w:rsid w:val="001D1FE4"/>
    <w:rsid w:val="001D2E4A"/>
    <w:rsid w:val="001E01CD"/>
    <w:rsid w:val="001E01E3"/>
    <w:rsid w:val="001E1C4D"/>
    <w:rsid w:val="001E57DA"/>
    <w:rsid w:val="001E588B"/>
    <w:rsid w:val="001E6CCC"/>
    <w:rsid w:val="001E724F"/>
    <w:rsid w:val="001E7937"/>
    <w:rsid w:val="001F16B4"/>
    <w:rsid w:val="001F19DD"/>
    <w:rsid w:val="001F4609"/>
    <w:rsid w:val="001F4FF1"/>
    <w:rsid w:val="001F54E4"/>
    <w:rsid w:val="002007A2"/>
    <w:rsid w:val="00200A46"/>
    <w:rsid w:val="00201C74"/>
    <w:rsid w:val="002040A5"/>
    <w:rsid w:val="00204567"/>
    <w:rsid w:val="002051FB"/>
    <w:rsid w:val="002066D4"/>
    <w:rsid w:val="00206C73"/>
    <w:rsid w:val="00206F64"/>
    <w:rsid w:val="00211A88"/>
    <w:rsid w:val="00215393"/>
    <w:rsid w:val="002202FC"/>
    <w:rsid w:val="00222429"/>
    <w:rsid w:val="002225EF"/>
    <w:rsid w:val="00223740"/>
    <w:rsid w:val="0022485A"/>
    <w:rsid w:val="00224B65"/>
    <w:rsid w:val="002263BA"/>
    <w:rsid w:val="0023030F"/>
    <w:rsid w:val="00231F14"/>
    <w:rsid w:val="00235CAB"/>
    <w:rsid w:val="00236C62"/>
    <w:rsid w:val="00237F73"/>
    <w:rsid w:val="00241CB5"/>
    <w:rsid w:val="00243612"/>
    <w:rsid w:val="00244B47"/>
    <w:rsid w:val="002471DF"/>
    <w:rsid w:val="00247E0B"/>
    <w:rsid w:val="0025302F"/>
    <w:rsid w:val="0025453B"/>
    <w:rsid w:val="002548D9"/>
    <w:rsid w:val="00254BB6"/>
    <w:rsid w:val="00261DED"/>
    <w:rsid w:val="00263573"/>
    <w:rsid w:val="00263A60"/>
    <w:rsid w:val="002642D9"/>
    <w:rsid w:val="0026491A"/>
    <w:rsid w:val="00265777"/>
    <w:rsid w:val="00272615"/>
    <w:rsid w:val="00272CBA"/>
    <w:rsid w:val="002764E0"/>
    <w:rsid w:val="0027720D"/>
    <w:rsid w:val="002818C8"/>
    <w:rsid w:val="00282D7E"/>
    <w:rsid w:val="002856B4"/>
    <w:rsid w:val="00285E3C"/>
    <w:rsid w:val="002869BC"/>
    <w:rsid w:val="00287C4A"/>
    <w:rsid w:val="00290415"/>
    <w:rsid w:val="002924F6"/>
    <w:rsid w:val="00293302"/>
    <w:rsid w:val="00293BF9"/>
    <w:rsid w:val="00296C04"/>
    <w:rsid w:val="0029714D"/>
    <w:rsid w:val="002971E4"/>
    <w:rsid w:val="002A7825"/>
    <w:rsid w:val="002B089A"/>
    <w:rsid w:val="002B13C6"/>
    <w:rsid w:val="002B1663"/>
    <w:rsid w:val="002B23F5"/>
    <w:rsid w:val="002B2DD6"/>
    <w:rsid w:val="002B69AC"/>
    <w:rsid w:val="002C1444"/>
    <w:rsid w:val="002C3D7F"/>
    <w:rsid w:val="002C4B97"/>
    <w:rsid w:val="002C6759"/>
    <w:rsid w:val="002C6D6B"/>
    <w:rsid w:val="002C7CFD"/>
    <w:rsid w:val="002D07FA"/>
    <w:rsid w:val="002D18ED"/>
    <w:rsid w:val="002D2FCD"/>
    <w:rsid w:val="002D3488"/>
    <w:rsid w:val="002D4160"/>
    <w:rsid w:val="002D4E39"/>
    <w:rsid w:val="002D7015"/>
    <w:rsid w:val="002D777C"/>
    <w:rsid w:val="002D77C4"/>
    <w:rsid w:val="002E0276"/>
    <w:rsid w:val="002E0ED9"/>
    <w:rsid w:val="002E7CA6"/>
    <w:rsid w:val="002F1093"/>
    <w:rsid w:val="002F5DC9"/>
    <w:rsid w:val="002F683B"/>
    <w:rsid w:val="002F762C"/>
    <w:rsid w:val="002F7D8C"/>
    <w:rsid w:val="002F7DA4"/>
    <w:rsid w:val="0030183C"/>
    <w:rsid w:val="00302941"/>
    <w:rsid w:val="003032EB"/>
    <w:rsid w:val="00303A0E"/>
    <w:rsid w:val="00304243"/>
    <w:rsid w:val="003045A2"/>
    <w:rsid w:val="003046C1"/>
    <w:rsid w:val="00304ABB"/>
    <w:rsid w:val="003078BB"/>
    <w:rsid w:val="003078C2"/>
    <w:rsid w:val="003104C9"/>
    <w:rsid w:val="00313045"/>
    <w:rsid w:val="00313370"/>
    <w:rsid w:val="00314CEB"/>
    <w:rsid w:val="0031664C"/>
    <w:rsid w:val="00322358"/>
    <w:rsid w:val="00326B38"/>
    <w:rsid w:val="00326CAD"/>
    <w:rsid w:val="00327D74"/>
    <w:rsid w:val="00327E6D"/>
    <w:rsid w:val="00331EFB"/>
    <w:rsid w:val="003328F8"/>
    <w:rsid w:val="003330E6"/>
    <w:rsid w:val="00334520"/>
    <w:rsid w:val="00334E1E"/>
    <w:rsid w:val="00340B44"/>
    <w:rsid w:val="00342BD2"/>
    <w:rsid w:val="00342BE7"/>
    <w:rsid w:val="0034337B"/>
    <w:rsid w:val="00343B2C"/>
    <w:rsid w:val="0034523C"/>
    <w:rsid w:val="00345FC8"/>
    <w:rsid w:val="00346AFA"/>
    <w:rsid w:val="00346B9B"/>
    <w:rsid w:val="00346BAA"/>
    <w:rsid w:val="00347E6B"/>
    <w:rsid w:val="003505C6"/>
    <w:rsid w:val="00356C47"/>
    <w:rsid w:val="0035754D"/>
    <w:rsid w:val="0036186F"/>
    <w:rsid w:val="003629B8"/>
    <w:rsid w:val="00364314"/>
    <w:rsid w:val="0036435C"/>
    <w:rsid w:val="00364591"/>
    <w:rsid w:val="00366751"/>
    <w:rsid w:val="003772C9"/>
    <w:rsid w:val="00377705"/>
    <w:rsid w:val="00381B70"/>
    <w:rsid w:val="00382529"/>
    <w:rsid w:val="0038498B"/>
    <w:rsid w:val="00384AC6"/>
    <w:rsid w:val="003902A6"/>
    <w:rsid w:val="003943A3"/>
    <w:rsid w:val="00394A65"/>
    <w:rsid w:val="003A0392"/>
    <w:rsid w:val="003A070C"/>
    <w:rsid w:val="003A2C7A"/>
    <w:rsid w:val="003A3974"/>
    <w:rsid w:val="003A4050"/>
    <w:rsid w:val="003A40DF"/>
    <w:rsid w:val="003A6744"/>
    <w:rsid w:val="003A7418"/>
    <w:rsid w:val="003A7E69"/>
    <w:rsid w:val="003B0DAE"/>
    <w:rsid w:val="003B1447"/>
    <w:rsid w:val="003B1A8E"/>
    <w:rsid w:val="003B4891"/>
    <w:rsid w:val="003B4E5F"/>
    <w:rsid w:val="003B4EF6"/>
    <w:rsid w:val="003B514B"/>
    <w:rsid w:val="003B5498"/>
    <w:rsid w:val="003B5DD6"/>
    <w:rsid w:val="003B7DC8"/>
    <w:rsid w:val="003B7FEA"/>
    <w:rsid w:val="003C107F"/>
    <w:rsid w:val="003C213A"/>
    <w:rsid w:val="003C36AC"/>
    <w:rsid w:val="003C4619"/>
    <w:rsid w:val="003C53B9"/>
    <w:rsid w:val="003D30C6"/>
    <w:rsid w:val="003D394B"/>
    <w:rsid w:val="003E036B"/>
    <w:rsid w:val="003E06C3"/>
    <w:rsid w:val="003E4203"/>
    <w:rsid w:val="003F09A7"/>
    <w:rsid w:val="003F1B58"/>
    <w:rsid w:val="003F358E"/>
    <w:rsid w:val="003F43C7"/>
    <w:rsid w:val="003F4FE4"/>
    <w:rsid w:val="003F74BA"/>
    <w:rsid w:val="00402B5D"/>
    <w:rsid w:val="00403016"/>
    <w:rsid w:val="00405663"/>
    <w:rsid w:val="00405B22"/>
    <w:rsid w:val="004060CE"/>
    <w:rsid w:val="00411445"/>
    <w:rsid w:val="004126F2"/>
    <w:rsid w:val="00412AE8"/>
    <w:rsid w:val="00412C50"/>
    <w:rsid w:val="00412F41"/>
    <w:rsid w:val="004130C4"/>
    <w:rsid w:val="00415D7E"/>
    <w:rsid w:val="00416335"/>
    <w:rsid w:val="00416C99"/>
    <w:rsid w:val="00416CEF"/>
    <w:rsid w:val="00417337"/>
    <w:rsid w:val="00421D45"/>
    <w:rsid w:val="0042222D"/>
    <w:rsid w:val="004252DC"/>
    <w:rsid w:val="00426086"/>
    <w:rsid w:val="00434976"/>
    <w:rsid w:val="004371BD"/>
    <w:rsid w:val="004422D3"/>
    <w:rsid w:val="004454E0"/>
    <w:rsid w:val="0044624B"/>
    <w:rsid w:val="0044673C"/>
    <w:rsid w:val="00447185"/>
    <w:rsid w:val="00450074"/>
    <w:rsid w:val="00455AA5"/>
    <w:rsid w:val="004625B9"/>
    <w:rsid w:val="00466108"/>
    <w:rsid w:val="0046631F"/>
    <w:rsid w:val="0046696F"/>
    <w:rsid w:val="00470122"/>
    <w:rsid w:val="0047037E"/>
    <w:rsid w:val="0047580D"/>
    <w:rsid w:val="004808F9"/>
    <w:rsid w:val="004810C3"/>
    <w:rsid w:val="004820E9"/>
    <w:rsid w:val="0048361F"/>
    <w:rsid w:val="00484F89"/>
    <w:rsid w:val="0048678C"/>
    <w:rsid w:val="004928DC"/>
    <w:rsid w:val="00493894"/>
    <w:rsid w:val="00495C6A"/>
    <w:rsid w:val="004968BB"/>
    <w:rsid w:val="004968FB"/>
    <w:rsid w:val="00497753"/>
    <w:rsid w:val="004A0E71"/>
    <w:rsid w:val="004A47ED"/>
    <w:rsid w:val="004A5DCC"/>
    <w:rsid w:val="004B2CF9"/>
    <w:rsid w:val="004B3DFB"/>
    <w:rsid w:val="004B4A7E"/>
    <w:rsid w:val="004B4BC0"/>
    <w:rsid w:val="004B514C"/>
    <w:rsid w:val="004B51DA"/>
    <w:rsid w:val="004B620F"/>
    <w:rsid w:val="004C10EF"/>
    <w:rsid w:val="004C1E23"/>
    <w:rsid w:val="004C4D6A"/>
    <w:rsid w:val="004C58CD"/>
    <w:rsid w:val="004D1714"/>
    <w:rsid w:val="004D24E5"/>
    <w:rsid w:val="004D3F50"/>
    <w:rsid w:val="004D6EC4"/>
    <w:rsid w:val="004D7C71"/>
    <w:rsid w:val="004E0E24"/>
    <w:rsid w:val="004E2089"/>
    <w:rsid w:val="004E22E7"/>
    <w:rsid w:val="004E240A"/>
    <w:rsid w:val="004E7078"/>
    <w:rsid w:val="004E7AE0"/>
    <w:rsid w:val="004E7F5A"/>
    <w:rsid w:val="004F0C1A"/>
    <w:rsid w:val="004F6F99"/>
    <w:rsid w:val="004F7615"/>
    <w:rsid w:val="00501292"/>
    <w:rsid w:val="0050357A"/>
    <w:rsid w:val="00504498"/>
    <w:rsid w:val="00504AB4"/>
    <w:rsid w:val="005077F0"/>
    <w:rsid w:val="00507849"/>
    <w:rsid w:val="00515DF1"/>
    <w:rsid w:val="00520CE7"/>
    <w:rsid w:val="00524EBD"/>
    <w:rsid w:val="00526C07"/>
    <w:rsid w:val="00530528"/>
    <w:rsid w:val="0053387C"/>
    <w:rsid w:val="00533DF1"/>
    <w:rsid w:val="0053471B"/>
    <w:rsid w:val="00535DFC"/>
    <w:rsid w:val="00542383"/>
    <w:rsid w:val="00543B86"/>
    <w:rsid w:val="00544C77"/>
    <w:rsid w:val="00544E5F"/>
    <w:rsid w:val="005506A8"/>
    <w:rsid w:val="00550992"/>
    <w:rsid w:val="0055340A"/>
    <w:rsid w:val="00553891"/>
    <w:rsid w:val="0055563F"/>
    <w:rsid w:val="00560861"/>
    <w:rsid w:val="00560B3E"/>
    <w:rsid w:val="005615F0"/>
    <w:rsid w:val="00561702"/>
    <w:rsid w:val="00563039"/>
    <w:rsid w:val="00564899"/>
    <w:rsid w:val="005648C7"/>
    <w:rsid w:val="005653B5"/>
    <w:rsid w:val="00570D68"/>
    <w:rsid w:val="00572880"/>
    <w:rsid w:val="00575E95"/>
    <w:rsid w:val="00576DA5"/>
    <w:rsid w:val="0058041A"/>
    <w:rsid w:val="005825EA"/>
    <w:rsid w:val="005826DC"/>
    <w:rsid w:val="005845B6"/>
    <w:rsid w:val="00584CF0"/>
    <w:rsid w:val="0058599B"/>
    <w:rsid w:val="005861A9"/>
    <w:rsid w:val="005868A8"/>
    <w:rsid w:val="00591FAC"/>
    <w:rsid w:val="005920DF"/>
    <w:rsid w:val="005943FA"/>
    <w:rsid w:val="00596181"/>
    <w:rsid w:val="005974AB"/>
    <w:rsid w:val="005A2201"/>
    <w:rsid w:val="005A3BB9"/>
    <w:rsid w:val="005A6547"/>
    <w:rsid w:val="005A7045"/>
    <w:rsid w:val="005A7EC2"/>
    <w:rsid w:val="005B1376"/>
    <w:rsid w:val="005B3B5C"/>
    <w:rsid w:val="005B5432"/>
    <w:rsid w:val="005B762D"/>
    <w:rsid w:val="005B7A4F"/>
    <w:rsid w:val="005C051F"/>
    <w:rsid w:val="005C4DD9"/>
    <w:rsid w:val="005C50E7"/>
    <w:rsid w:val="005C665D"/>
    <w:rsid w:val="005C665E"/>
    <w:rsid w:val="005C762E"/>
    <w:rsid w:val="005C7C44"/>
    <w:rsid w:val="005D098C"/>
    <w:rsid w:val="005D0B13"/>
    <w:rsid w:val="005D1238"/>
    <w:rsid w:val="005D29E4"/>
    <w:rsid w:val="005D2BFD"/>
    <w:rsid w:val="005D3838"/>
    <w:rsid w:val="005D426A"/>
    <w:rsid w:val="005D5EF4"/>
    <w:rsid w:val="005D61B8"/>
    <w:rsid w:val="005D712B"/>
    <w:rsid w:val="005E095B"/>
    <w:rsid w:val="005E19C1"/>
    <w:rsid w:val="005E5BB6"/>
    <w:rsid w:val="005F0905"/>
    <w:rsid w:val="005F1B26"/>
    <w:rsid w:val="005F4719"/>
    <w:rsid w:val="005F47E8"/>
    <w:rsid w:val="005F4D76"/>
    <w:rsid w:val="006008E3"/>
    <w:rsid w:val="00600E13"/>
    <w:rsid w:val="006023B0"/>
    <w:rsid w:val="00603033"/>
    <w:rsid w:val="006032BF"/>
    <w:rsid w:val="00603C94"/>
    <w:rsid w:val="00603FE6"/>
    <w:rsid w:val="0060453A"/>
    <w:rsid w:val="00605143"/>
    <w:rsid w:val="00605EE9"/>
    <w:rsid w:val="0060662A"/>
    <w:rsid w:val="00606A92"/>
    <w:rsid w:val="006079E3"/>
    <w:rsid w:val="00607AD9"/>
    <w:rsid w:val="00611951"/>
    <w:rsid w:val="00611D94"/>
    <w:rsid w:val="00612789"/>
    <w:rsid w:val="00612FF0"/>
    <w:rsid w:val="00613E3C"/>
    <w:rsid w:val="00613F2F"/>
    <w:rsid w:val="00614BDA"/>
    <w:rsid w:val="0061680C"/>
    <w:rsid w:val="0061770E"/>
    <w:rsid w:val="006202B0"/>
    <w:rsid w:val="00620A10"/>
    <w:rsid w:val="0062118C"/>
    <w:rsid w:val="00621303"/>
    <w:rsid w:val="00621C45"/>
    <w:rsid w:val="00622C68"/>
    <w:rsid w:val="00624103"/>
    <w:rsid w:val="006250BD"/>
    <w:rsid w:val="00631A1E"/>
    <w:rsid w:val="006331B4"/>
    <w:rsid w:val="006343F3"/>
    <w:rsid w:val="00635CFA"/>
    <w:rsid w:val="00636952"/>
    <w:rsid w:val="00636C92"/>
    <w:rsid w:val="00636DB2"/>
    <w:rsid w:val="00637BD3"/>
    <w:rsid w:val="00637FEE"/>
    <w:rsid w:val="0064086D"/>
    <w:rsid w:val="00640C20"/>
    <w:rsid w:val="00640FC2"/>
    <w:rsid w:val="006426AF"/>
    <w:rsid w:val="00642906"/>
    <w:rsid w:val="00642E8B"/>
    <w:rsid w:val="006446B7"/>
    <w:rsid w:val="00644ACE"/>
    <w:rsid w:val="006457EF"/>
    <w:rsid w:val="00645F34"/>
    <w:rsid w:val="00646558"/>
    <w:rsid w:val="0064722C"/>
    <w:rsid w:val="00651138"/>
    <w:rsid w:val="0065123D"/>
    <w:rsid w:val="00652B41"/>
    <w:rsid w:val="00653E86"/>
    <w:rsid w:val="00654F74"/>
    <w:rsid w:val="006552C4"/>
    <w:rsid w:val="006574B4"/>
    <w:rsid w:val="00657577"/>
    <w:rsid w:val="006602D8"/>
    <w:rsid w:val="00660319"/>
    <w:rsid w:val="006605A7"/>
    <w:rsid w:val="00660EA2"/>
    <w:rsid w:val="00661C87"/>
    <w:rsid w:val="00662FE2"/>
    <w:rsid w:val="0066735F"/>
    <w:rsid w:val="00667EAD"/>
    <w:rsid w:val="006714D2"/>
    <w:rsid w:val="00672193"/>
    <w:rsid w:val="00672721"/>
    <w:rsid w:val="00672EFB"/>
    <w:rsid w:val="00673412"/>
    <w:rsid w:val="006828F5"/>
    <w:rsid w:val="00684B87"/>
    <w:rsid w:val="00684C90"/>
    <w:rsid w:val="006853BB"/>
    <w:rsid w:val="006856F9"/>
    <w:rsid w:val="00685B4B"/>
    <w:rsid w:val="00685B52"/>
    <w:rsid w:val="006929A1"/>
    <w:rsid w:val="00693426"/>
    <w:rsid w:val="00693BB4"/>
    <w:rsid w:val="00695B9D"/>
    <w:rsid w:val="00695D23"/>
    <w:rsid w:val="006973DD"/>
    <w:rsid w:val="006A1967"/>
    <w:rsid w:val="006A1E97"/>
    <w:rsid w:val="006A42F7"/>
    <w:rsid w:val="006A4D3C"/>
    <w:rsid w:val="006A5DC1"/>
    <w:rsid w:val="006A6E43"/>
    <w:rsid w:val="006A721F"/>
    <w:rsid w:val="006B0FE5"/>
    <w:rsid w:val="006B2049"/>
    <w:rsid w:val="006B4C62"/>
    <w:rsid w:val="006B5151"/>
    <w:rsid w:val="006B53D7"/>
    <w:rsid w:val="006B5968"/>
    <w:rsid w:val="006B660A"/>
    <w:rsid w:val="006B6A06"/>
    <w:rsid w:val="006B78DD"/>
    <w:rsid w:val="006B79E9"/>
    <w:rsid w:val="006C0C3C"/>
    <w:rsid w:val="006C13C6"/>
    <w:rsid w:val="006C1D69"/>
    <w:rsid w:val="006C28E4"/>
    <w:rsid w:val="006C2EBF"/>
    <w:rsid w:val="006C4070"/>
    <w:rsid w:val="006C4803"/>
    <w:rsid w:val="006C5C83"/>
    <w:rsid w:val="006C7C58"/>
    <w:rsid w:val="006D17FC"/>
    <w:rsid w:val="006D42B4"/>
    <w:rsid w:val="006D5929"/>
    <w:rsid w:val="006D5C72"/>
    <w:rsid w:val="006D73F1"/>
    <w:rsid w:val="006E210A"/>
    <w:rsid w:val="006E2975"/>
    <w:rsid w:val="006E318E"/>
    <w:rsid w:val="006E37A6"/>
    <w:rsid w:val="006E4EFF"/>
    <w:rsid w:val="006E6A55"/>
    <w:rsid w:val="006E7894"/>
    <w:rsid w:val="006F0FB1"/>
    <w:rsid w:val="006F3CE4"/>
    <w:rsid w:val="006F5551"/>
    <w:rsid w:val="0070286B"/>
    <w:rsid w:val="00702CA7"/>
    <w:rsid w:val="00704E78"/>
    <w:rsid w:val="00705763"/>
    <w:rsid w:val="00706C39"/>
    <w:rsid w:val="0071156E"/>
    <w:rsid w:val="00713FCB"/>
    <w:rsid w:val="007145FF"/>
    <w:rsid w:val="007212F2"/>
    <w:rsid w:val="007213AA"/>
    <w:rsid w:val="007235B6"/>
    <w:rsid w:val="007238CC"/>
    <w:rsid w:val="007274B5"/>
    <w:rsid w:val="0073027A"/>
    <w:rsid w:val="00730C03"/>
    <w:rsid w:val="00732519"/>
    <w:rsid w:val="00733815"/>
    <w:rsid w:val="00735682"/>
    <w:rsid w:val="007366FA"/>
    <w:rsid w:val="00742467"/>
    <w:rsid w:val="007424D9"/>
    <w:rsid w:val="00745C24"/>
    <w:rsid w:val="007506E3"/>
    <w:rsid w:val="007526C8"/>
    <w:rsid w:val="00752775"/>
    <w:rsid w:val="00760190"/>
    <w:rsid w:val="007608AA"/>
    <w:rsid w:val="00760AC4"/>
    <w:rsid w:val="00761C51"/>
    <w:rsid w:val="0076231C"/>
    <w:rsid w:val="007629BA"/>
    <w:rsid w:val="0076465C"/>
    <w:rsid w:val="007652A2"/>
    <w:rsid w:val="007662E8"/>
    <w:rsid w:val="00766438"/>
    <w:rsid w:val="007677E4"/>
    <w:rsid w:val="00770E8F"/>
    <w:rsid w:val="0077235A"/>
    <w:rsid w:val="00775CF8"/>
    <w:rsid w:val="0077670C"/>
    <w:rsid w:val="00776BF6"/>
    <w:rsid w:val="00777B4E"/>
    <w:rsid w:val="007801AF"/>
    <w:rsid w:val="0078182D"/>
    <w:rsid w:val="007828DD"/>
    <w:rsid w:val="007840CD"/>
    <w:rsid w:val="0078573E"/>
    <w:rsid w:val="0078790F"/>
    <w:rsid w:val="00794BCA"/>
    <w:rsid w:val="00795098"/>
    <w:rsid w:val="0079572B"/>
    <w:rsid w:val="007957C3"/>
    <w:rsid w:val="0079680F"/>
    <w:rsid w:val="0079762C"/>
    <w:rsid w:val="007A05BE"/>
    <w:rsid w:val="007A076E"/>
    <w:rsid w:val="007A1CF5"/>
    <w:rsid w:val="007A3ACE"/>
    <w:rsid w:val="007A4EEE"/>
    <w:rsid w:val="007A76D2"/>
    <w:rsid w:val="007A7EA0"/>
    <w:rsid w:val="007B0C31"/>
    <w:rsid w:val="007B0D5C"/>
    <w:rsid w:val="007B1503"/>
    <w:rsid w:val="007B2F48"/>
    <w:rsid w:val="007B485C"/>
    <w:rsid w:val="007B4AB4"/>
    <w:rsid w:val="007B6FD7"/>
    <w:rsid w:val="007C1375"/>
    <w:rsid w:val="007C13A8"/>
    <w:rsid w:val="007C1AEB"/>
    <w:rsid w:val="007C23B5"/>
    <w:rsid w:val="007D0440"/>
    <w:rsid w:val="007D4347"/>
    <w:rsid w:val="007D4925"/>
    <w:rsid w:val="007D6298"/>
    <w:rsid w:val="007D7806"/>
    <w:rsid w:val="007D7F83"/>
    <w:rsid w:val="007E008F"/>
    <w:rsid w:val="007E0371"/>
    <w:rsid w:val="007E0C49"/>
    <w:rsid w:val="007E0F9F"/>
    <w:rsid w:val="007E0FF9"/>
    <w:rsid w:val="007E2168"/>
    <w:rsid w:val="007E3039"/>
    <w:rsid w:val="007E3310"/>
    <w:rsid w:val="007E61CE"/>
    <w:rsid w:val="007E77DD"/>
    <w:rsid w:val="007F598E"/>
    <w:rsid w:val="007F7044"/>
    <w:rsid w:val="00800628"/>
    <w:rsid w:val="0080084F"/>
    <w:rsid w:val="00800EA7"/>
    <w:rsid w:val="00800EA9"/>
    <w:rsid w:val="00801E58"/>
    <w:rsid w:val="00802C56"/>
    <w:rsid w:val="0080482E"/>
    <w:rsid w:val="0080686D"/>
    <w:rsid w:val="00807F8C"/>
    <w:rsid w:val="008131FC"/>
    <w:rsid w:val="00813AB8"/>
    <w:rsid w:val="00814210"/>
    <w:rsid w:val="00814DEF"/>
    <w:rsid w:val="008209BC"/>
    <w:rsid w:val="00820F88"/>
    <w:rsid w:val="008235B6"/>
    <w:rsid w:val="00823C0D"/>
    <w:rsid w:val="00826A81"/>
    <w:rsid w:val="008271D5"/>
    <w:rsid w:val="00827BE3"/>
    <w:rsid w:val="00827FB8"/>
    <w:rsid w:val="00832BFA"/>
    <w:rsid w:val="00834AFB"/>
    <w:rsid w:val="00836546"/>
    <w:rsid w:val="00837241"/>
    <w:rsid w:val="00840443"/>
    <w:rsid w:val="00840F40"/>
    <w:rsid w:val="008417F6"/>
    <w:rsid w:val="00841922"/>
    <w:rsid w:val="00844E8D"/>
    <w:rsid w:val="00846D6B"/>
    <w:rsid w:val="00847DFF"/>
    <w:rsid w:val="008505C3"/>
    <w:rsid w:val="00850716"/>
    <w:rsid w:val="008507B0"/>
    <w:rsid w:val="0085083D"/>
    <w:rsid w:val="00852B2D"/>
    <w:rsid w:val="00857C16"/>
    <w:rsid w:val="00861F22"/>
    <w:rsid w:val="0086373F"/>
    <w:rsid w:val="0086472B"/>
    <w:rsid w:val="00865EB8"/>
    <w:rsid w:val="00867187"/>
    <w:rsid w:val="00867675"/>
    <w:rsid w:val="00870CFA"/>
    <w:rsid w:val="00871A62"/>
    <w:rsid w:val="00872FFC"/>
    <w:rsid w:val="008731A9"/>
    <w:rsid w:val="00873CB1"/>
    <w:rsid w:val="008746FE"/>
    <w:rsid w:val="00874BA9"/>
    <w:rsid w:val="00877C01"/>
    <w:rsid w:val="008835FD"/>
    <w:rsid w:val="008851D3"/>
    <w:rsid w:val="008857FA"/>
    <w:rsid w:val="008869E4"/>
    <w:rsid w:val="008875B2"/>
    <w:rsid w:val="00887B9B"/>
    <w:rsid w:val="008913D0"/>
    <w:rsid w:val="0089349F"/>
    <w:rsid w:val="008949BB"/>
    <w:rsid w:val="00895BB6"/>
    <w:rsid w:val="00896979"/>
    <w:rsid w:val="008970A0"/>
    <w:rsid w:val="00897595"/>
    <w:rsid w:val="008A52C3"/>
    <w:rsid w:val="008A663D"/>
    <w:rsid w:val="008A6FC6"/>
    <w:rsid w:val="008A743F"/>
    <w:rsid w:val="008B0A68"/>
    <w:rsid w:val="008B1FC2"/>
    <w:rsid w:val="008B4688"/>
    <w:rsid w:val="008B4C78"/>
    <w:rsid w:val="008B52A6"/>
    <w:rsid w:val="008C0F67"/>
    <w:rsid w:val="008C1260"/>
    <w:rsid w:val="008C4212"/>
    <w:rsid w:val="008C4822"/>
    <w:rsid w:val="008C5133"/>
    <w:rsid w:val="008C64CD"/>
    <w:rsid w:val="008C75D4"/>
    <w:rsid w:val="008D3491"/>
    <w:rsid w:val="008D367A"/>
    <w:rsid w:val="008D40FF"/>
    <w:rsid w:val="008D5601"/>
    <w:rsid w:val="008D79CB"/>
    <w:rsid w:val="008E122D"/>
    <w:rsid w:val="008E13D2"/>
    <w:rsid w:val="008E179C"/>
    <w:rsid w:val="008E2459"/>
    <w:rsid w:val="008E3F20"/>
    <w:rsid w:val="008E4CC0"/>
    <w:rsid w:val="008E5E03"/>
    <w:rsid w:val="008E7585"/>
    <w:rsid w:val="008F1585"/>
    <w:rsid w:val="008F36C9"/>
    <w:rsid w:val="008F71DA"/>
    <w:rsid w:val="008F7C6B"/>
    <w:rsid w:val="00900B57"/>
    <w:rsid w:val="00901AA8"/>
    <w:rsid w:val="00901B5F"/>
    <w:rsid w:val="009046BE"/>
    <w:rsid w:val="0090560A"/>
    <w:rsid w:val="00905AAC"/>
    <w:rsid w:val="00906019"/>
    <w:rsid w:val="00906624"/>
    <w:rsid w:val="009072B4"/>
    <w:rsid w:val="00907ECB"/>
    <w:rsid w:val="00910893"/>
    <w:rsid w:val="009157B1"/>
    <w:rsid w:val="00917FFE"/>
    <w:rsid w:val="00921F45"/>
    <w:rsid w:val="009238A9"/>
    <w:rsid w:val="0092657D"/>
    <w:rsid w:val="009268C8"/>
    <w:rsid w:val="009278DD"/>
    <w:rsid w:val="009309ED"/>
    <w:rsid w:val="00930E69"/>
    <w:rsid w:val="00932A58"/>
    <w:rsid w:val="00932A74"/>
    <w:rsid w:val="00934529"/>
    <w:rsid w:val="00936C86"/>
    <w:rsid w:val="00941AF4"/>
    <w:rsid w:val="0094366C"/>
    <w:rsid w:val="0094673F"/>
    <w:rsid w:val="00947494"/>
    <w:rsid w:val="0094755F"/>
    <w:rsid w:val="009479BD"/>
    <w:rsid w:val="00950090"/>
    <w:rsid w:val="00950DFA"/>
    <w:rsid w:val="009515FD"/>
    <w:rsid w:val="00953ADF"/>
    <w:rsid w:val="00956CB9"/>
    <w:rsid w:val="009618EE"/>
    <w:rsid w:val="00961F99"/>
    <w:rsid w:val="00962CAF"/>
    <w:rsid w:val="00964616"/>
    <w:rsid w:val="00964CB2"/>
    <w:rsid w:val="009666F6"/>
    <w:rsid w:val="00966B0B"/>
    <w:rsid w:val="00967AC2"/>
    <w:rsid w:val="0097118F"/>
    <w:rsid w:val="0097136F"/>
    <w:rsid w:val="00971D3F"/>
    <w:rsid w:val="00971F96"/>
    <w:rsid w:val="009726D1"/>
    <w:rsid w:val="0097684A"/>
    <w:rsid w:val="0097702A"/>
    <w:rsid w:val="0098028A"/>
    <w:rsid w:val="00980A55"/>
    <w:rsid w:val="00981494"/>
    <w:rsid w:val="00981B9F"/>
    <w:rsid w:val="00985ECD"/>
    <w:rsid w:val="009900F5"/>
    <w:rsid w:val="0099093F"/>
    <w:rsid w:val="00991632"/>
    <w:rsid w:val="00992934"/>
    <w:rsid w:val="00993F61"/>
    <w:rsid w:val="009946C5"/>
    <w:rsid w:val="00995CFD"/>
    <w:rsid w:val="009A020A"/>
    <w:rsid w:val="009A0271"/>
    <w:rsid w:val="009A06EF"/>
    <w:rsid w:val="009A06F3"/>
    <w:rsid w:val="009A1001"/>
    <w:rsid w:val="009A22DE"/>
    <w:rsid w:val="009A4F7B"/>
    <w:rsid w:val="009A5325"/>
    <w:rsid w:val="009A78EA"/>
    <w:rsid w:val="009A7E35"/>
    <w:rsid w:val="009B1613"/>
    <w:rsid w:val="009B2321"/>
    <w:rsid w:val="009B3E97"/>
    <w:rsid w:val="009B5DAB"/>
    <w:rsid w:val="009B621A"/>
    <w:rsid w:val="009C141A"/>
    <w:rsid w:val="009C1E4F"/>
    <w:rsid w:val="009C33C2"/>
    <w:rsid w:val="009C3E56"/>
    <w:rsid w:val="009C45D9"/>
    <w:rsid w:val="009C6F32"/>
    <w:rsid w:val="009D1AB0"/>
    <w:rsid w:val="009D2813"/>
    <w:rsid w:val="009D33A2"/>
    <w:rsid w:val="009D3DF5"/>
    <w:rsid w:val="009D3ECF"/>
    <w:rsid w:val="009D5871"/>
    <w:rsid w:val="009E0AD1"/>
    <w:rsid w:val="009E2A9D"/>
    <w:rsid w:val="009E74C3"/>
    <w:rsid w:val="009F04B1"/>
    <w:rsid w:val="009F0E2A"/>
    <w:rsid w:val="009F307F"/>
    <w:rsid w:val="009F3BA0"/>
    <w:rsid w:val="009F4C67"/>
    <w:rsid w:val="009F739C"/>
    <w:rsid w:val="00A00767"/>
    <w:rsid w:val="00A026F1"/>
    <w:rsid w:val="00A06657"/>
    <w:rsid w:val="00A06E1A"/>
    <w:rsid w:val="00A10543"/>
    <w:rsid w:val="00A11129"/>
    <w:rsid w:val="00A11772"/>
    <w:rsid w:val="00A151F6"/>
    <w:rsid w:val="00A15E10"/>
    <w:rsid w:val="00A1624E"/>
    <w:rsid w:val="00A16B33"/>
    <w:rsid w:val="00A20651"/>
    <w:rsid w:val="00A20EAD"/>
    <w:rsid w:val="00A21C03"/>
    <w:rsid w:val="00A21E00"/>
    <w:rsid w:val="00A223A4"/>
    <w:rsid w:val="00A23607"/>
    <w:rsid w:val="00A252A1"/>
    <w:rsid w:val="00A25A11"/>
    <w:rsid w:val="00A27495"/>
    <w:rsid w:val="00A30741"/>
    <w:rsid w:val="00A30F10"/>
    <w:rsid w:val="00A31812"/>
    <w:rsid w:val="00A330B9"/>
    <w:rsid w:val="00A333FF"/>
    <w:rsid w:val="00A33806"/>
    <w:rsid w:val="00A33FAA"/>
    <w:rsid w:val="00A34DCF"/>
    <w:rsid w:val="00A369EC"/>
    <w:rsid w:val="00A37C2D"/>
    <w:rsid w:val="00A47537"/>
    <w:rsid w:val="00A531AD"/>
    <w:rsid w:val="00A5494C"/>
    <w:rsid w:val="00A560E9"/>
    <w:rsid w:val="00A61336"/>
    <w:rsid w:val="00A64736"/>
    <w:rsid w:val="00A6573D"/>
    <w:rsid w:val="00A66593"/>
    <w:rsid w:val="00A66B41"/>
    <w:rsid w:val="00A7053F"/>
    <w:rsid w:val="00A71D67"/>
    <w:rsid w:val="00A740F9"/>
    <w:rsid w:val="00A749CF"/>
    <w:rsid w:val="00A76B09"/>
    <w:rsid w:val="00A7745D"/>
    <w:rsid w:val="00A77827"/>
    <w:rsid w:val="00A825AF"/>
    <w:rsid w:val="00A82A49"/>
    <w:rsid w:val="00A839AB"/>
    <w:rsid w:val="00A854A8"/>
    <w:rsid w:val="00A86D3D"/>
    <w:rsid w:val="00A86E42"/>
    <w:rsid w:val="00A907DA"/>
    <w:rsid w:val="00A92DAB"/>
    <w:rsid w:val="00A96236"/>
    <w:rsid w:val="00A967E6"/>
    <w:rsid w:val="00AA157E"/>
    <w:rsid w:val="00AA46B4"/>
    <w:rsid w:val="00AB0BE0"/>
    <w:rsid w:val="00AB2948"/>
    <w:rsid w:val="00AB2B9D"/>
    <w:rsid w:val="00AB39FA"/>
    <w:rsid w:val="00AB4BAF"/>
    <w:rsid w:val="00AB5E23"/>
    <w:rsid w:val="00AB61E2"/>
    <w:rsid w:val="00AB6310"/>
    <w:rsid w:val="00AB7773"/>
    <w:rsid w:val="00AC308D"/>
    <w:rsid w:val="00AC4938"/>
    <w:rsid w:val="00AC4EDE"/>
    <w:rsid w:val="00AC7A3B"/>
    <w:rsid w:val="00AC7D8D"/>
    <w:rsid w:val="00AD09FC"/>
    <w:rsid w:val="00AD3A06"/>
    <w:rsid w:val="00AD4361"/>
    <w:rsid w:val="00AD480E"/>
    <w:rsid w:val="00AD4AAB"/>
    <w:rsid w:val="00AD4F1D"/>
    <w:rsid w:val="00AD564E"/>
    <w:rsid w:val="00AD5B3A"/>
    <w:rsid w:val="00AD6933"/>
    <w:rsid w:val="00AD6B7B"/>
    <w:rsid w:val="00AE12B2"/>
    <w:rsid w:val="00AE1B68"/>
    <w:rsid w:val="00AE3728"/>
    <w:rsid w:val="00AE5645"/>
    <w:rsid w:val="00AE625D"/>
    <w:rsid w:val="00AE758A"/>
    <w:rsid w:val="00AE7B75"/>
    <w:rsid w:val="00AF1001"/>
    <w:rsid w:val="00AF43CD"/>
    <w:rsid w:val="00AF47F8"/>
    <w:rsid w:val="00AF4E3E"/>
    <w:rsid w:val="00AF6138"/>
    <w:rsid w:val="00AF6208"/>
    <w:rsid w:val="00B017B5"/>
    <w:rsid w:val="00B02B45"/>
    <w:rsid w:val="00B031CF"/>
    <w:rsid w:val="00B03BD3"/>
    <w:rsid w:val="00B10447"/>
    <w:rsid w:val="00B113F2"/>
    <w:rsid w:val="00B12F36"/>
    <w:rsid w:val="00B1488A"/>
    <w:rsid w:val="00B15727"/>
    <w:rsid w:val="00B169ED"/>
    <w:rsid w:val="00B16DA3"/>
    <w:rsid w:val="00B20479"/>
    <w:rsid w:val="00B2217A"/>
    <w:rsid w:val="00B22B4B"/>
    <w:rsid w:val="00B23A8C"/>
    <w:rsid w:val="00B24506"/>
    <w:rsid w:val="00B2601C"/>
    <w:rsid w:val="00B26E0F"/>
    <w:rsid w:val="00B3082A"/>
    <w:rsid w:val="00B3175E"/>
    <w:rsid w:val="00B33D4B"/>
    <w:rsid w:val="00B35861"/>
    <w:rsid w:val="00B3729A"/>
    <w:rsid w:val="00B430BC"/>
    <w:rsid w:val="00B4396B"/>
    <w:rsid w:val="00B47DEC"/>
    <w:rsid w:val="00B47F0E"/>
    <w:rsid w:val="00B502C2"/>
    <w:rsid w:val="00B511C1"/>
    <w:rsid w:val="00B51F04"/>
    <w:rsid w:val="00B526FE"/>
    <w:rsid w:val="00B52C23"/>
    <w:rsid w:val="00B5331E"/>
    <w:rsid w:val="00B53B17"/>
    <w:rsid w:val="00B53D83"/>
    <w:rsid w:val="00B54069"/>
    <w:rsid w:val="00B56392"/>
    <w:rsid w:val="00B57BD2"/>
    <w:rsid w:val="00B60332"/>
    <w:rsid w:val="00B60D8B"/>
    <w:rsid w:val="00B61619"/>
    <w:rsid w:val="00B616B8"/>
    <w:rsid w:val="00B6375B"/>
    <w:rsid w:val="00B64580"/>
    <w:rsid w:val="00B66C21"/>
    <w:rsid w:val="00B71FD0"/>
    <w:rsid w:val="00B725B5"/>
    <w:rsid w:val="00B731D8"/>
    <w:rsid w:val="00B74D86"/>
    <w:rsid w:val="00B752D8"/>
    <w:rsid w:val="00B75309"/>
    <w:rsid w:val="00B754C8"/>
    <w:rsid w:val="00B75FA4"/>
    <w:rsid w:val="00B76249"/>
    <w:rsid w:val="00B7629B"/>
    <w:rsid w:val="00B77DCA"/>
    <w:rsid w:val="00B8476B"/>
    <w:rsid w:val="00B8666C"/>
    <w:rsid w:val="00B87CD9"/>
    <w:rsid w:val="00B920D5"/>
    <w:rsid w:val="00B929F0"/>
    <w:rsid w:val="00B935F9"/>
    <w:rsid w:val="00B93E9E"/>
    <w:rsid w:val="00B953F8"/>
    <w:rsid w:val="00B96594"/>
    <w:rsid w:val="00B96D6B"/>
    <w:rsid w:val="00BA1872"/>
    <w:rsid w:val="00BA36E4"/>
    <w:rsid w:val="00BA401C"/>
    <w:rsid w:val="00BA41DC"/>
    <w:rsid w:val="00BA53B8"/>
    <w:rsid w:val="00BA5C93"/>
    <w:rsid w:val="00BA5F3D"/>
    <w:rsid w:val="00BA6715"/>
    <w:rsid w:val="00BA6C7D"/>
    <w:rsid w:val="00BB047B"/>
    <w:rsid w:val="00BB0FB8"/>
    <w:rsid w:val="00BB2070"/>
    <w:rsid w:val="00BB2907"/>
    <w:rsid w:val="00BB3A76"/>
    <w:rsid w:val="00BB5931"/>
    <w:rsid w:val="00BB6398"/>
    <w:rsid w:val="00BB6400"/>
    <w:rsid w:val="00BB7835"/>
    <w:rsid w:val="00BC053C"/>
    <w:rsid w:val="00BC06DC"/>
    <w:rsid w:val="00BC24A9"/>
    <w:rsid w:val="00BC6981"/>
    <w:rsid w:val="00BC6B04"/>
    <w:rsid w:val="00BD0372"/>
    <w:rsid w:val="00BD0A1A"/>
    <w:rsid w:val="00BD1431"/>
    <w:rsid w:val="00BD1E9E"/>
    <w:rsid w:val="00BD2A0B"/>
    <w:rsid w:val="00BD3A17"/>
    <w:rsid w:val="00BD5C26"/>
    <w:rsid w:val="00BE041D"/>
    <w:rsid w:val="00BE04C3"/>
    <w:rsid w:val="00BE6D1A"/>
    <w:rsid w:val="00BF07B9"/>
    <w:rsid w:val="00BF1EF5"/>
    <w:rsid w:val="00BF2638"/>
    <w:rsid w:val="00BF4433"/>
    <w:rsid w:val="00BF5523"/>
    <w:rsid w:val="00BF5DC3"/>
    <w:rsid w:val="00BF70C2"/>
    <w:rsid w:val="00C039E7"/>
    <w:rsid w:val="00C03E8B"/>
    <w:rsid w:val="00C03F33"/>
    <w:rsid w:val="00C045BC"/>
    <w:rsid w:val="00C04B98"/>
    <w:rsid w:val="00C04C67"/>
    <w:rsid w:val="00C04D8C"/>
    <w:rsid w:val="00C05BA6"/>
    <w:rsid w:val="00C05F44"/>
    <w:rsid w:val="00C074D3"/>
    <w:rsid w:val="00C139CA"/>
    <w:rsid w:val="00C1637E"/>
    <w:rsid w:val="00C16879"/>
    <w:rsid w:val="00C16A5D"/>
    <w:rsid w:val="00C20275"/>
    <w:rsid w:val="00C2104E"/>
    <w:rsid w:val="00C226C8"/>
    <w:rsid w:val="00C23CB5"/>
    <w:rsid w:val="00C25ECF"/>
    <w:rsid w:val="00C30450"/>
    <w:rsid w:val="00C30AEA"/>
    <w:rsid w:val="00C3287F"/>
    <w:rsid w:val="00C36B7D"/>
    <w:rsid w:val="00C3773F"/>
    <w:rsid w:val="00C37E0C"/>
    <w:rsid w:val="00C407A6"/>
    <w:rsid w:val="00C43D09"/>
    <w:rsid w:val="00C45995"/>
    <w:rsid w:val="00C477DF"/>
    <w:rsid w:val="00C51429"/>
    <w:rsid w:val="00C53928"/>
    <w:rsid w:val="00C53D5D"/>
    <w:rsid w:val="00C53D97"/>
    <w:rsid w:val="00C5469A"/>
    <w:rsid w:val="00C567C8"/>
    <w:rsid w:val="00C56D46"/>
    <w:rsid w:val="00C6165D"/>
    <w:rsid w:val="00C632D6"/>
    <w:rsid w:val="00C641B8"/>
    <w:rsid w:val="00C644D7"/>
    <w:rsid w:val="00C6450D"/>
    <w:rsid w:val="00C655C7"/>
    <w:rsid w:val="00C670EF"/>
    <w:rsid w:val="00C67CB0"/>
    <w:rsid w:val="00C67E0A"/>
    <w:rsid w:val="00C67E3A"/>
    <w:rsid w:val="00C74877"/>
    <w:rsid w:val="00C75B23"/>
    <w:rsid w:val="00C76231"/>
    <w:rsid w:val="00C7698B"/>
    <w:rsid w:val="00C822DE"/>
    <w:rsid w:val="00C85A3E"/>
    <w:rsid w:val="00C87401"/>
    <w:rsid w:val="00C877B8"/>
    <w:rsid w:val="00C90208"/>
    <w:rsid w:val="00C9047C"/>
    <w:rsid w:val="00C91CEB"/>
    <w:rsid w:val="00C94E3A"/>
    <w:rsid w:val="00C96637"/>
    <w:rsid w:val="00C97911"/>
    <w:rsid w:val="00C97D53"/>
    <w:rsid w:val="00C97D9A"/>
    <w:rsid w:val="00CA11EA"/>
    <w:rsid w:val="00CA3D5F"/>
    <w:rsid w:val="00CA4A97"/>
    <w:rsid w:val="00CA4D06"/>
    <w:rsid w:val="00CA4DD3"/>
    <w:rsid w:val="00CA6B65"/>
    <w:rsid w:val="00CB05FB"/>
    <w:rsid w:val="00CB06F8"/>
    <w:rsid w:val="00CB1E8B"/>
    <w:rsid w:val="00CB314F"/>
    <w:rsid w:val="00CB53F7"/>
    <w:rsid w:val="00CB5C01"/>
    <w:rsid w:val="00CB5FAF"/>
    <w:rsid w:val="00CC056D"/>
    <w:rsid w:val="00CC2458"/>
    <w:rsid w:val="00CC28BC"/>
    <w:rsid w:val="00CC3353"/>
    <w:rsid w:val="00CC5804"/>
    <w:rsid w:val="00CD0447"/>
    <w:rsid w:val="00CD0932"/>
    <w:rsid w:val="00CD0AF2"/>
    <w:rsid w:val="00CD1CFA"/>
    <w:rsid w:val="00CD1E56"/>
    <w:rsid w:val="00CD3174"/>
    <w:rsid w:val="00CD3B38"/>
    <w:rsid w:val="00CD47BB"/>
    <w:rsid w:val="00CD4862"/>
    <w:rsid w:val="00CD6ED0"/>
    <w:rsid w:val="00CE16AB"/>
    <w:rsid w:val="00CE2077"/>
    <w:rsid w:val="00CF12BD"/>
    <w:rsid w:val="00CF3F39"/>
    <w:rsid w:val="00D018F3"/>
    <w:rsid w:val="00D05235"/>
    <w:rsid w:val="00D05704"/>
    <w:rsid w:val="00D075EF"/>
    <w:rsid w:val="00D10ADB"/>
    <w:rsid w:val="00D1209C"/>
    <w:rsid w:val="00D13370"/>
    <w:rsid w:val="00D135B0"/>
    <w:rsid w:val="00D14C3B"/>
    <w:rsid w:val="00D15F11"/>
    <w:rsid w:val="00D16CBC"/>
    <w:rsid w:val="00D20B5F"/>
    <w:rsid w:val="00D2189B"/>
    <w:rsid w:val="00D23743"/>
    <w:rsid w:val="00D2663B"/>
    <w:rsid w:val="00D30C4A"/>
    <w:rsid w:val="00D31D2A"/>
    <w:rsid w:val="00D33392"/>
    <w:rsid w:val="00D34CC3"/>
    <w:rsid w:val="00D35CC4"/>
    <w:rsid w:val="00D3612A"/>
    <w:rsid w:val="00D36ECF"/>
    <w:rsid w:val="00D37703"/>
    <w:rsid w:val="00D37DC2"/>
    <w:rsid w:val="00D37F25"/>
    <w:rsid w:val="00D42446"/>
    <w:rsid w:val="00D43649"/>
    <w:rsid w:val="00D43907"/>
    <w:rsid w:val="00D44AB9"/>
    <w:rsid w:val="00D4520B"/>
    <w:rsid w:val="00D461ED"/>
    <w:rsid w:val="00D4628C"/>
    <w:rsid w:val="00D46F12"/>
    <w:rsid w:val="00D50ACA"/>
    <w:rsid w:val="00D50ED7"/>
    <w:rsid w:val="00D51BE8"/>
    <w:rsid w:val="00D63C09"/>
    <w:rsid w:val="00D63F3D"/>
    <w:rsid w:val="00D6410E"/>
    <w:rsid w:val="00D6446E"/>
    <w:rsid w:val="00D644BF"/>
    <w:rsid w:val="00D65586"/>
    <w:rsid w:val="00D673EB"/>
    <w:rsid w:val="00D710C0"/>
    <w:rsid w:val="00D74501"/>
    <w:rsid w:val="00D74EEF"/>
    <w:rsid w:val="00D75B25"/>
    <w:rsid w:val="00D763D0"/>
    <w:rsid w:val="00D82DD9"/>
    <w:rsid w:val="00D85133"/>
    <w:rsid w:val="00D855F1"/>
    <w:rsid w:val="00D8606D"/>
    <w:rsid w:val="00D8723E"/>
    <w:rsid w:val="00D91946"/>
    <w:rsid w:val="00DA08A2"/>
    <w:rsid w:val="00DA2799"/>
    <w:rsid w:val="00DA2922"/>
    <w:rsid w:val="00DA4815"/>
    <w:rsid w:val="00DA67C6"/>
    <w:rsid w:val="00DA68C2"/>
    <w:rsid w:val="00DA6DB8"/>
    <w:rsid w:val="00DB09CD"/>
    <w:rsid w:val="00DB48C6"/>
    <w:rsid w:val="00DB6343"/>
    <w:rsid w:val="00DC52CC"/>
    <w:rsid w:val="00DC5B80"/>
    <w:rsid w:val="00DC607C"/>
    <w:rsid w:val="00DC6223"/>
    <w:rsid w:val="00DC6DCA"/>
    <w:rsid w:val="00DD02C7"/>
    <w:rsid w:val="00DD1B8F"/>
    <w:rsid w:val="00DD1F90"/>
    <w:rsid w:val="00DD494D"/>
    <w:rsid w:val="00DD4D40"/>
    <w:rsid w:val="00DD647D"/>
    <w:rsid w:val="00DD67FC"/>
    <w:rsid w:val="00DD79C2"/>
    <w:rsid w:val="00DE1C2A"/>
    <w:rsid w:val="00DE3956"/>
    <w:rsid w:val="00DE47A2"/>
    <w:rsid w:val="00DE519C"/>
    <w:rsid w:val="00DE643F"/>
    <w:rsid w:val="00DE718D"/>
    <w:rsid w:val="00DF07F1"/>
    <w:rsid w:val="00DF0C5C"/>
    <w:rsid w:val="00DF1386"/>
    <w:rsid w:val="00DF1957"/>
    <w:rsid w:val="00DF26BF"/>
    <w:rsid w:val="00DF2BB4"/>
    <w:rsid w:val="00E00C4F"/>
    <w:rsid w:val="00E011B2"/>
    <w:rsid w:val="00E01E71"/>
    <w:rsid w:val="00E03DC1"/>
    <w:rsid w:val="00E0748A"/>
    <w:rsid w:val="00E07AA1"/>
    <w:rsid w:val="00E10B96"/>
    <w:rsid w:val="00E12CED"/>
    <w:rsid w:val="00E13AFB"/>
    <w:rsid w:val="00E14A95"/>
    <w:rsid w:val="00E15B2D"/>
    <w:rsid w:val="00E17DC7"/>
    <w:rsid w:val="00E2255A"/>
    <w:rsid w:val="00E22570"/>
    <w:rsid w:val="00E243F3"/>
    <w:rsid w:val="00E24852"/>
    <w:rsid w:val="00E24CD5"/>
    <w:rsid w:val="00E2592E"/>
    <w:rsid w:val="00E26C20"/>
    <w:rsid w:val="00E32055"/>
    <w:rsid w:val="00E3229A"/>
    <w:rsid w:val="00E363F5"/>
    <w:rsid w:val="00E4118A"/>
    <w:rsid w:val="00E411A1"/>
    <w:rsid w:val="00E4253B"/>
    <w:rsid w:val="00E4589E"/>
    <w:rsid w:val="00E45F43"/>
    <w:rsid w:val="00E4622C"/>
    <w:rsid w:val="00E46B64"/>
    <w:rsid w:val="00E51FFB"/>
    <w:rsid w:val="00E54488"/>
    <w:rsid w:val="00E544CA"/>
    <w:rsid w:val="00E567B7"/>
    <w:rsid w:val="00E616FB"/>
    <w:rsid w:val="00E6225C"/>
    <w:rsid w:val="00E625FD"/>
    <w:rsid w:val="00E62E05"/>
    <w:rsid w:val="00E6433C"/>
    <w:rsid w:val="00E649E6"/>
    <w:rsid w:val="00E65113"/>
    <w:rsid w:val="00E6615E"/>
    <w:rsid w:val="00E667F1"/>
    <w:rsid w:val="00E67414"/>
    <w:rsid w:val="00E6774D"/>
    <w:rsid w:val="00E728F5"/>
    <w:rsid w:val="00E729D1"/>
    <w:rsid w:val="00E7528E"/>
    <w:rsid w:val="00E804BD"/>
    <w:rsid w:val="00E805C4"/>
    <w:rsid w:val="00E81AE6"/>
    <w:rsid w:val="00E83219"/>
    <w:rsid w:val="00E840C6"/>
    <w:rsid w:val="00E850E8"/>
    <w:rsid w:val="00E85CA5"/>
    <w:rsid w:val="00E90782"/>
    <w:rsid w:val="00E9247D"/>
    <w:rsid w:val="00E946C7"/>
    <w:rsid w:val="00E95185"/>
    <w:rsid w:val="00E975D0"/>
    <w:rsid w:val="00EA4677"/>
    <w:rsid w:val="00EA4D35"/>
    <w:rsid w:val="00EA662C"/>
    <w:rsid w:val="00EB0936"/>
    <w:rsid w:val="00EB1DDC"/>
    <w:rsid w:val="00EB2345"/>
    <w:rsid w:val="00EB51FC"/>
    <w:rsid w:val="00EB7360"/>
    <w:rsid w:val="00EC04BB"/>
    <w:rsid w:val="00EC0AC1"/>
    <w:rsid w:val="00EC2158"/>
    <w:rsid w:val="00EC419B"/>
    <w:rsid w:val="00ED0178"/>
    <w:rsid w:val="00ED2498"/>
    <w:rsid w:val="00ED32B1"/>
    <w:rsid w:val="00ED3738"/>
    <w:rsid w:val="00ED6F26"/>
    <w:rsid w:val="00EE0563"/>
    <w:rsid w:val="00EE7DC8"/>
    <w:rsid w:val="00EF06E8"/>
    <w:rsid w:val="00EF4CB3"/>
    <w:rsid w:val="00EF7D62"/>
    <w:rsid w:val="00EF7E00"/>
    <w:rsid w:val="00F029C0"/>
    <w:rsid w:val="00F02E58"/>
    <w:rsid w:val="00F0342B"/>
    <w:rsid w:val="00F0358E"/>
    <w:rsid w:val="00F03E5C"/>
    <w:rsid w:val="00F06233"/>
    <w:rsid w:val="00F062CF"/>
    <w:rsid w:val="00F075CE"/>
    <w:rsid w:val="00F12785"/>
    <w:rsid w:val="00F12C15"/>
    <w:rsid w:val="00F15D16"/>
    <w:rsid w:val="00F201B4"/>
    <w:rsid w:val="00F2029D"/>
    <w:rsid w:val="00F2260C"/>
    <w:rsid w:val="00F23B08"/>
    <w:rsid w:val="00F24CF7"/>
    <w:rsid w:val="00F25020"/>
    <w:rsid w:val="00F2503E"/>
    <w:rsid w:val="00F257F4"/>
    <w:rsid w:val="00F25F26"/>
    <w:rsid w:val="00F26A9F"/>
    <w:rsid w:val="00F27D88"/>
    <w:rsid w:val="00F30237"/>
    <w:rsid w:val="00F31A64"/>
    <w:rsid w:val="00F32F28"/>
    <w:rsid w:val="00F33CC7"/>
    <w:rsid w:val="00F34A94"/>
    <w:rsid w:val="00F34B30"/>
    <w:rsid w:val="00F37B41"/>
    <w:rsid w:val="00F37C6D"/>
    <w:rsid w:val="00F42900"/>
    <w:rsid w:val="00F436AB"/>
    <w:rsid w:val="00F43CF6"/>
    <w:rsid w:val="00F46CE9"/>
    <w:rsid w:val="00F46E32"/>
    <w:rsid w:val="00F47E31"/>
    <w:rsid w:val="00F53A92"/>
    <w:rsid w:val="00F6030B"/>
    <w:rsid w:val="00F60B1C"/>
    <w:rsid w:val="00F61FFE"/>
    <w:rsid w:val="00F63A41"/>
    <w:rsid w:val="00F65B30"/>
    <w:rsid w:val="00F72B01"/>
    <w:rsid w:val="00F80DC2"/>
    <w:rsid w:val="00F820D7"/>
    <w:rsid w:val="00F8230D"/>
    <w:rsid w:val="00F82A7F"/>
    <w:rsid w:val="00F82EEC"/>
    <w:rsid w:val="00F844B5"/>
    <w:rsid w:val="00F8538B"/>
    <w:rsid w:val="00F87523"/>
    <w:rsid w:val="00F876F8"/>
    <w:rsid w:val="00F91FA2"/>
    <w:rsid w:val="00F9297C"/>
    <w:rsid w:val="00F934F6"/>
    <w:rsid w:val="00F94595"/>
    <w:rsid w:val="00F9669E"/>
    <w:rsid w:val="00F96D83"/>
    <w:rsid w:val="00F96D93"/>
    <w:rsid w:val="00FA0FCE"/>
    <w:rsid w:val="00FA1443"/>
    <w:rsid w:val="00FA26A5"/>
    <w:rsid w:val="00FA29A6"/>
    <w:rsid w:val="00FA3E0D"/>
    <w:rsid w:val="00FA45B8"/>
    <w:rsid w:val="00FA6516"/>
    <w:rsid w:val="00FA74BB"/>
    <w:rsid w:val="00FB1FC9"/>
    <w:rsid w:val="00FB317E"/>
    <w:rsid w:val="00FB518D"/>
    <w:rsid w:val="00FB6CBF"/>
    <w:rsid w:val="00FC2893"/>
    <w:rsid w:val="00FC2AF1"/>
    <w:rsid w:val="00FD0200"/>
    <w:rsid w:val="00FD17B1"/>
    <w:rsid w:val="00FD54CD"/>
    <w:rsid w:val="00FD6124"/>
    <w:rsid w:val="00FD61DC"/>
    <w:rsid w:val="00FE060E"/>
    <w:rsid w:val="00FE439F"/>
    <w:rsid w:val="00FE6382"/>
    <w:rsid w:val="00FE7B13"/>
    <w:rsid w:val="00FF0659"/>
    <w:rsid w:val="00FF248F"/>
    <w:rsid w:val="00FF504D"/>
    <w:rsid w:val="00FF5B01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01FC0D3"/>
  <w15:chartTrackingRefBased/>
  <w15:docId w15:val="{71406110-F733-478D-A0F1-2123A51C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ICEnormal"/>
    <w:link w:val="Heading2Char"/>
    <w:qFormat/>
    <w:rsid w:val="006714D2"/>
    <w:pPr>
      <w:keepNext/>
      <w:tabs>
        <w:tab w:val="left" w:pos="1134"/>
      </w:tabs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rsid w:val="00B53D83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B53D83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4D2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table" w:styleId="TableGrid">
    <w:name w:val="Table Grid"/>
    <w:basedOn w:val="TableNormal"/>
    <w:rsid w:val="0098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 2"/>
    <w:basedOn w:val="Normal"/>
    <w:rsid w:val="00981B9F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autoRedefine/>
    <w:qFormat/>
    <w:rsid w:val="001A656A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1A656A"/>
    <w:rPr>
      <w:rFonts w:ascii="Arial" w:hAnsi="Arial" w:cs="Arial"/>
      <w:b/>
      <w:bCs/>
      <w:kern w:val="32"/>
      <w:sz w:val="32"/>
      <w:szCs w:val="24"/>
      <w:lang w:val="en-US"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5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8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2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3"/>
      </w:numPr>
      <w:spacing w:after="0"/>
    </w:pPr>
  </w:style>
  <w:style w:type="paragraph" w:customStyle="1" w:styleId="Bulletindent1">
    <w:name w:val="Bullet indent 1"/>
    <w:basedOn w:val="NICEnormal"/>
    <w:link w:val="Bulletindent1Char"/>
    <w:rsid w:val="00D3612A"/>
    <w:pPr>
      <w:numPr>
        <w:numId w:val="7"/>
      </w:numPr>
      <w:spacing w:after="0"/>
    </w:pPr>
    <w:rPr>
      <w:lang w:val="x-none"/>
    </w:rPr>
  </w:style>
  <w:style w:type="character" w:customStyle="1" w:styleId="Bulletindent1Char">
    <w:name w:val="Bullet indent 1 Char"/>
    <w:link w:val="Bulletindent1"/>
    <w:rsid w:val="006714D2"/>
    <w:rPr>
      <w:rFonts w:ascii="Arial" w:hAnsi="Arial"/>
      <w:sz w:val="24"/>
      <w:szCs w:val="24"/>
      <w:lang w:eastAsia="en-US"/>
    </w:rPr>
  </w:style>
  <w:style w:type="paragraph" w:customStyle="1" w:styleId="Bulletindent3">
    <w:name w:val="Bullet indent 3"/>
    <w:basedOn w:val="NICEnormal"/>
    <w:rsid w:val="00D3612A"/>
    <w:pPr>
      <w:numPr>
        <w:ilvl w:val="2"/>
        <w:numId w:val="6"/>
      </w:numPr>
      <w:spacing w:after="0"/>
    </w:pPr>
  </w:style>
  <w:style w:type="paragraph" w:customStyle="1" w:styleId="Numberedlevel2text">
    <w:name w:val="Numbered level 2 text"/>
    <w:basedOn w:val="Normal"/>
    <w:link w:val="Numberedlevel2textChar"/>
    <w:qFormat/>
    <w:rsid w:val="00981B9F"/>
    <w:pPr>
      <w:numPr>
        <w:ilvl w:val="1"/>
        <w:numId w:val="15"/>
      </w:numPr>
      <w:spacing w:after="240" w:line="360" w:lineRule="auto"/>
    </w:pPr>
    <w:rPr>
      <w:rFonts w:ascii="Arial" w:hAnsi="Arial"/>
      <w:bCs/>
      <w:iCs/>
      <w:szCs w:val="28"/>
      <w:lang w:val="x-none"/>
    </w:rPr>
  </w:style>
  <w:style w:type="character" w:customStyle="1" w:styleId="Numberedlevel2textChar">
    <w:name w:val="Numbered level 2 text Char"/>
    <w:link w:val="Numberedlevel2text"/>
    <w:rsid w:val="00611951"/>
    <w:rPr>
      <w:rFonts w:ascii="Arial" w:hAnsi="Arial" w:cs="Arial"/>
      <w:bCs/>
      <w:iCs/>
      <w:sz w:val="24"/>
      <w:szCs w:val="28"/>
      <w:lang w:eastAsia="en-US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9"/>
      </w:numPr>
    </w:pPr>
    <w:rPr>
      <w:rFonts w:cs="Arial"/>
    </w:rPr>
  </w:style>
  <w:style w:type="paragraph" w:styleId="Header">
    <w:name w:val="header"/>
    <w:basedOn w:val="NICEnormalsinglespacing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B53D83"/>
    <w:pPr>
      <w:tabs>
        <w:tab w:val="center" w:pos="4153"/>
        <w:tab w:val="right" w:pos="8306"/>
      </w:tabs>
      <w:spacing w:before="240" w:after="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953ADF"/>
    <w:pPr>
      <w:numPr>
        <w:numId w:val="10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character" w:customStyle="1" w:styleId="CommentTextChar">
    <w:name w:val="Comment Text Char"/>
    <w:link w:val="CommentText"/>
    <w:rsid w:val="000A1888"/>
    <w:rPr>
      <w:lang w:eastAsia="en-US"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character" w:styleId="Hyperlink">
    <w:name w:val="Hyperlink"/>
    <w:rsid w:val="00AE1B68"/>
    <w:rPr>
      <w:color w:val="0000FF"/>
      <w:u w:val="single"/>
    </w:rPr>
  </w:style>
  <w:style w:type="paragraph" w:styleId="BalloonText">
    <w:name w:val="Balloon Text"/>
    <w:basedOn w:val="Normal"/>
    <w:semiHidden/>
    <w:rsid w:val="00874BA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D31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31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3174"/>
    <w:rPr>
      <w:b/>
      <w:bCs/>
    </w:rPr>
  </w:style>
  <w:style w:type="paragraph" w:customStyle="1" w:styleId="Title1">
    <w:name w:val="Title 1"/>
    <w:basedOn w:val="Normal"/>
    <w:qFormat/>
    <w:rsid w:val="00981B9F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Guidanceissuedate">
    <w:name w:val="Guidance issue date"/>
    <w:basedOn w:val="NICEnormal"/>
    <w:qFormat/>
    <w:rsid w:val="00BB7835"/>
    <w:rPr>
      <w:lang w:val="en-US"/>
    </w:rPr>
  </w:style>
  <w:style w:type="paragraph" w:customStyle="1" w:styleId="Documentissuedate">
    <w:name w:val="Document issue date"/>
    <w:basedOn w:val="NICEnormal"/>
    <w:qFormat/>
    <w:rsid w:val="00BB7835"/>
    <w:rPr>
      <w:lang w:val="en-US"/>
    </w:rPr>
  </w:style>
  <w:style w:type="character" w:styleId="FollowedHyperlink">
    <w:name w:val="FollowedHyperlink"/>
    <w:rsid w:val="00E24CD5"/>
    <w:rPr>
      <w:color w:val="800080"/>
      <w:u w:val="single"/>
    </w:rPr>
  </w:style>
  <w:style w:type="character" w:customStyle="1" w:styleId="Bulletleft1lastChar">
    <w:name w:val="Bullet left 1 last Char"/>
    <w:link w:val="Bulletleft1last"/>
    <w:rsid w:val="006E210A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844B5"/>
    <w:pPr>
      <w:ind w:left="720"/>
      <w:contextualSpacing/>
    </w:pPr>
    <w:rPr>
      <w:lang w:eastAsia="en-GB"/>
    </w:rPr>
  </w:style>
  <w:style w:type="paragraph" w:styleId="FootnoteText">
    <w:name w:val="footnote text"/>
    <w:basedOn w:val="Normal"/>
    <w:link w:val="FootnoteTextChar"/>
    <w:rsid w:val="00FA45B8"/>
    <w:rPr>
      <w:sz w:val="20"/>
      <w:szCs w:val="20"/>
    </w:rPr>
  </w:style>
  <w:style w:type="character" w:customStyle="1" w:styleId="FootnoteTextChar">
    <w:name w:val="Footnote Text Char"/>
    <w:link w:val="FootnoteText"/>
    <w:rsid w:val="00FA45B8"/>
    <w:rPr>
      <w:lang w:eastAsia="en-US"/>
    </w:rPr>
  </w:style>
  <w:style w:type="character" w:styleId="FootnoteReference">
    <w:name w:val="footnote reference"/>
    <w:rsid w:val="00FA45B8"/>
    <w:rPr>
      <w:vertAlign w:val="superscript"/>
    </w:rPr>
  </w:style>
  <w:style w:type="paragraph" w:styleId="Revision">
    <w:name w:val="Revision"/>
    <w:hidden/>
    <w:uiPriority w:val="99"/>
    <w:semiHidden/>
    <w:rsid w:val="00B51F04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D3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69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7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8786">
                  <w:marLeft w:val="0"/>
                  <w:marRight w:val="0"/>
                  <w:marTop w:val="0"/>
                  <w:marBottom w:val="0"/>
                  <w:divBdr>
                    <w:top w:val="single" w:sz="6" w:space="0" w:color="989DA5"/>
                    <w:left w:val="single" w:sz="6" w:space="0" w:color="989DA5"/>
                    <w:bottom w:val="single" w:sz="6" w:space="0" w:color="989DA5"/>
                    <w:right w:val="single" w:sz="6" w:space="0" w:color="989DA5"/>
                  </w:divBdr>
                  <w:divsChild>
                    <w:div w:id="70020683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  <w:divsChild>
                        <w:div w:id="19742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6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6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230/documen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et-involved/meetings-in-public/technology-appraisal-committ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et-Involved/Meetings-in-public/Technology-appraisal-Committee/Committee-C-Membe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slation.gov.uk/uksi/2013/259/contents/m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9/chapter/the-appraisal-of-the-evidence-and-structured-decision-mak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ce.org.uk/terms-and-condi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ICE\NICE%20Templates\Tech%20App\STA%20ACD%20template%20from%20April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7BF0-34A1-4B78-A18B-AAF1B42E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 ACD template from April17</Template>
  <TotalTime>2</TotalTime>
  <Pages>16</Pages>
  <Words>4311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29339</CharactersWithSpaces>
  <SharedDoc>false</SharedDoc>
  <HLinks>
    <vt:vector size="102" baseType="variant">
      <vt:variant>
        <vt:i4>3211303</vt:i4>
      </vt:variant>
      <vt:variant>
        <vt:i4>393</vt:i4>
      </vt:variant>
      <vt:variant>
        <vt:i4>0</vt:i4>
      </vt:variant>
      <vt:variant>
        <vt:i4>5</vt:i4>
      </vt:variant>
      <vt:variant>
        <vt:lpwstr>https://www.nice.org.uk/get-involved/meetings-in-public/technology-appraisal-committee</vt:lpwstr>
      </vt:variant>
      <vt:variant>
        <vt:lpwstr/>
      </vt:variant>
      <vt:variant>
        <vt:i4>3211303</vt:i4>
      </vt:variant>
      <vt:variant>
        <vt:i4>390</vt:i4>
      </vt:variant>
      <vt:variant>
        <vt:i4>0</vt:i4>
      </vt:variant>
      <vt:variant>
        <vt:i4>5</vt:i4>
      </vt:variant>
      <vt:variant>
        <vt:lpwstr>https://www.nice.org.uk/get-involved/meetings-in-public/technology-appraisal-committee</vt:lpwstr>
      </vt:variant>
      <vt:variant>
        <vt:lpwstr/>
      </vt:variant>
      <vt:variant>
        <vt:i4>2687086</vt:i4>
      </vt:variant>
      <vt:variant>
        <vt:i4>387</vt:i4>
      </vt:variant>
      <vt:variant>
        <vt:i4>0</vt:i4>
      </vt:variant>
      <vt:variant>
        <vt:i4>5</vt:i4>
      </vt:variant>
      <vt:variant>
        <vt:lpwstr>https://www.nice.org.uk/Get-Involved/Meetings-in-public/Technology-appraisal-Committee/Committee-X-Members</vt:lpwstr>
      </vt:variant>
      <vt:variant>
        <vt:lpwstr/>
      </vt:variant>
      <vt:variant>
        <vt:i4>8192049</vt:i4>
      </vt:variant>
      <vt:variant>
        <vt:i4>378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https://www.nice.org.uk/about/what-we-do/our-programmes/nice-guidance/nice-technology-appraisal-guidance/cancer-drugs-fund</vt:lpwstr>
      </vt:variant>
      <vt:variant>
        <vt:lpwstr/>
      </vt:variant>
      <vt:variant>
        <vt:i4>2818165</vt:i4>
      </vt:variant>
      <vt:variant>
        <vt:i4>351</vt:i4>
      </vt:variant>
      <vt:variant>
        <vt:i4>0</vt:i4>
      </vt:variant>
      <vt:variant>
        <vt:i4>5</vt:i4>
      </vt:variant>
      <vt:variant>
        <vt:lpwstr>https://www.england.nhs.uk/cancer/cdf/</vt:lpwstr>
      </vt:variant>
      <vt:variant>
        <vt:lpwstr/>
      </vt:variant>
      <vt:variant>
        <vt:i4>4522076</vt:i4>
      </vt:variant>
      <vt:variant>
        <vt:i4>330</vt:i4>
      </vt:variant>
      <vt:variant>
        <vt:i4>0</vt:i4>
      </vt:variant>
      <vt:variant>
        <vt:i4>5</vt:i4>
      </vt:variant>
      <vt:variant>
        <vt:lpwstr>http://www.legislation.gov.uk/uksi/2013/259/contents/made</vt:lpwstr>
      </vt:variant>
      <vt:variant>
        <vt:lpwstr/>
      </vt:variant>
      <vt:variant>
        <vt:i4>852042</vt:i4>
      </vt:variant>
      <vt:variant>
        <vt:i4>327</vt:i4>
      </vt:variant>
      <vt:variant>
        <vt:i4>0</vt:i4>
      </vt:variant>
      <vt:variant>
        <vt:i4>5</vt:i4>
      </vt:variant>
      <vt:variant>
        <vt:lpwstr>https://www.gov.uk/government/publications/early-access-to-medicines-scheme-eams-how-the-scheme-works</vt:lpwstr>
      </vt:variant>
      <vt:variant>
        <vt:lpwstr/>
      </vt:variant>
      <vt:variant>
        <vt:i4>1572937</vt:i4>
      </vt:variant>
      <vt:variant>
        <vt:i4>321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https://www.nice.org.uk/about/what-we-do/our-programmes/nice-guidance/nice-technology-appraisal-guidance/process</vt:lpwstr>
      </vt:variant>
      <vt:variant>
        <vt:lpwstr/>
      </vt:variant>
      <vt:variant>
        <vt:i4>4522076</vt:i4>
      </vt:variant>
      <vt:variant>
        <vt:i4>315</vt:i4>
      </vt:variant>
      <vt:variant>
        <vt:i4>0</vt:i4>
      </vt:variant>
      <vt:variant>
        <vt:i4>5</vt:i4>
      </vt:variant>
      <vt:variant>
        <vt:lpwstr>http://www.legislation.gov.uk/uksi/2013/259/contents/made</vt:lpwstr>
      </vt:variant>
      <vt:variant>
        <vt:lpwstr/>
      </vt:variant>
      <vt:variant>
        <vt:i4>7274531</vt:i4>
      </vt:variant>
      <vt:variant>
        <vt:i4>273</vt:i4>
      </vt:variant>
      <vt:variant>
        <vt:i4>0</vt:i4>
      </vt:variant>
      <vt:variant>
        <vt:i4>5</vt:i4>
      </vt:variant>
      <vt:variant>
        <vt:lpwstr>\\nice.nhs.uk\Data\CHTE\Appraisals\STAR project\WS 3 - Managing uncertainty &amp; risk\3.b Managed access models\3.b.i Quantifying uncertainty\Draft approach\Guidance to committee\CDF guidance to ctee v0.9.pptx</vt:lpwstr>
      </vt:variant>
      <vt:variant>
        <vt:lpwstr/>
      </vt:variant>
      <vt:variant>
        <vt:i4>8192049</vt:i4>
      </vt:variant>
      <vt:variant>
        <vt:i4>270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https://www.nice.org.uk/about/what-we-do/our-programmes/nice-guidance/nice-technology-appraisal-guidance/cancer-drugs-fund</vt:lpwstr>
      </vt:variant>
      <vt:variant>
        <vt:lpwstr/>
      </vt:variant>
      <vt:variant>
        <vt:i4>8192049</vt:i4>
      </vt:variant>
      <vt:variant>
        <vt:i4>255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https://www.nice.org.uk/about/what-we-do/our-programmes/nice-guidance/nice-technology-appraisal-guidance/cancer-drugs-fund</vt:lpwstr>
      </vt:variant>
      <vt:variant>
        <vt:lpwstr/>
      </vt:variant>
      <vt:variant>
        <vt:i4>5701707</vt:i4>
      </vt:variant>
      <vt:variant>
        <vt:i4>159</vt:i4>
      </vt:variant>
      <vt:variant>
        <vt:i4>0</vt:i4>
      </vt:variant>
      <vt:variant>
        <vt:i4>5</vt:i4>
      </vt:variant>
      <vt:variant>
        <vt:lpwstr>http://www.nice.org.uk/Guidance/GID-xxxxxx/Documents</vt:lpwstr>
      </vt:variant>
      <vt:variant>
        <vt:lpwstr/>
      </vt:variant>
      <vt:variant>
        <vt:i4>2162708</vt:i4>
      </vt:variant>
      <vt:variant>
        <vt:i4>102</vt:i4>
      </vt:variant>
      <vt:variant>
        <vt:i4>0</vt:i4>
      </vt:variant>
      <vt:variant>
        <vt:i4>5</vt:i4>
      </vt:variant>
      <vt:variant>
        <vt:lpwstr>\\nice.nhs.uk\Data\Global\NICE\NICE Templates\Tech App</vt:lpwstr>
      </vt:variant>
      <vt:variant>
        <vt:lpwstr/>
      </vt:variant>
      <vt:variant>
        <vt:i4>1507346</vt:i4>
      </vt:variant>
      <vt:variant>
        <vt:i4>15</vt:i4>
      </vt:variant>
      <vt:variant>
        <vt:i4>0</vt:i4>
      </vt:variant>
      <vt:variant>
        <vt:i4>5</vt:i4>
      </vt:variant>
      <vt:variant>
        <vt:lpwstr>http://www.nice.org.uk/article/pmg19/chapter/Foreword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http://www.nice.org.uk/guidance/indevelopment/gid-tagXXX/documents</vt:lpwstr>
      </vt:variant>
      <vt:variant>
        <vt:lpwstr/>
      </vt:variant>
      <vt:variant>
        <vt:i4>1245255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https://www.nice.org.uk/terms-and-conditions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Kirsty Pitt</dc:creator>
  <cp:keywords/>
  <cp:lastModifiedBy>Kirsty Pitt</cp:lastModifiedBy>
  <cp:revision>3</cp:revision>
  <cp:lastPrinted>2015-11-27T14:15:00Z</cp:lastPrinted>
  <dcterms:created xsi:type="dcterms:W3CDTF">2018-11-01T10:50:00Z</dcterms:created>
  <dcterms:modified xsi:type="dcterms:W3CDTF">2018-11-01T10:52:00Z</dcterms:modified>
</cp:coreProperties>
</file>