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1B98" w14:textId="77777777" w:rsidR="00F637A6" w:rsidRDefault="00F637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EC6FB0" w14:textId="77777777" w:rsidR="00F637A6" w:rsidRDefault="00F637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8561C5" w14:textId="77777777" w:rsidR="00F637A6" w:rsidRDefault="00F637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048A33" w14:textId="77777777" w:rsidR="00F637A6" w:rsidRDefault="00F637A6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03692E2" w14:textId="77777777" w:rsidR="00F637A6" w:rsidRDefault="009B3A8A">
      <w:pPr>
        <w:pStyle w:val="BodyText"/>
        <w:ind w:left="0" w:right="139"/>
        <w:jc w:val="right"/>
      </w:pPr>
      <w:r>
        <w:t>British</w:t>
      </w:r>
      <w:r>
        <w:rPr>
          <w:spacing w:val="-8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t>Failure</w:t>
      </w:r>
    </w:p>
    <w:p w14:paraId="48AD9F19" w14:textId="77777777" w:rsidR="00F637A6" w:rsidRDefault="009B3A8A">
      <w:pPr>
        <w:pStyle w:val="BodyText"/>
        <w:spacing w:before="115"/>
        <w:ind w:left="0" w:right="139"/>
        <w:jc w:val="right"/>
      </w:pPr>
      <w:r>
        <w:t>33</w:t>
      </w:r>
      <w:r>
        <w:rPr>
          <w:spacing w:val="-11"/>
        </w:rPr>
        <w:t xml:space="preserve"> </w:t>
      </w:r>
      <w:r>
        <w:t>Cavendish</w:t>
      </w:r>
      <w:r>
        <w:rPr>
          <w:spacing w:val="-10"/>
        </w:rPr>
        <w:t xml:space="preserve"> </w:t>
      </w:r>
      <w:r>
        <w:t>Square</w:t>
      </w:r>
    </w:p>
    <w:p w14:paraId="47BD685C" w14:textId="77777777" w:rsidR="00F637A6" w:rsidRDefault="009B3A8A">
      <w:pPr>
        <w:pStyle w:val="BodyText"/>
        <w:spacing w:before="115" w:line="360" w:lineRule="auto"/>
        <w:ind w:left="8182" w:right="135" w:firstLine="280"/>
        <w:jc w:val="right"/>
      </w:pPr>
      <w:r>
        <w:rPr>
          <w:w w:val="95"/>
        </w:rPr>
        <w:t>London</w:t>
      </w:r>
      <w:r>
        <w:rPr>
          <w:w w:val="99"/>
        </w:rPr>
        <w:t xml:space="preserve"> </w:t>
      </w:r>
      <w:r>
        <w:rPr>
          <w:spacing w:val="-1"/>
        </w:rPr>
        <w:t>W1G</w:t>
      </w:r>
      <w:r>
        <w:rPr>
          <w:spacing w:val="-9"/>
        </w:rPr>
        <w:t xml:space="preserve"> </w:t>
      </w:r>
      <w:r>
        <w:t>0PW</w:t>
      </w:r>
    </w:p>
    <w:p w14:paraId="48597753" w14:textId="77777777" w:rsidR="00F637A6" w:rsidRDefault="009B3A8A">
      <w:pPr>
        <w:pStyle w:val="BodyText"/>
        <w:spacing w:before="1"/>
        <w:ind w:left="0" w:right="137"/>
        <w:jc w:val="right"/>
      </w:pPr>
      <w:r>
        <w:rPr>
          <w:spacing w:val="-1"/>
        </w:rPr>
        <w:t>12</w:t>
      </w:r>
      <w:proofErr w:type="spellStart"/>
      <w:r>
        <w:rPr>
          <w:spacing w:val="-1"/>
          <w:position w:val="6"/>
          <w:sz w:val="13"/>
        </w:rPr>
        <w:t>th</w:t>
      </w:r>
      <w:proofErr w:type="spellEnd"/>
      <w:r>
        <w:rPr>
          <w:spacing w:val="10"/>
          <w:position w:val="6"/>
          <w:sz w:val="13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2021</w:t>
      </w:r>
    </w:p>
    <w:p w14:paraId="2B438631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587FD3E0" w14:textId="77777777" w:rsidR="00F637A6" w:rsidRDefault="00F637A6">
      <w:pPr>
        <w:spacing w:before="2"/>
        <w:rPr>
          <w:rFonts w:ascii="Arial" w:eastAsia="Arial" w:hAnsi="Arial" w:cs="Arial"/>
          <w:sz w:val="20"/>
          <w:szCs w:val="20"/>
        </w:rPr>
      </w:pPr>
    </w:p>
    <w:p w14:paraId="3AF01C8E" w14:textId="77777777" w:rsidR="00F637A6" w:rsidRDefault="009B3A8A">
      <w:pPr>
        <w:pStyle w:val="BodyText"/>
        <w:spacing w:line="358" w:lineRule="auto"/>
        <w:ind w:right="7758"/>
      </w:pPr>
      <w:proofErr w:type="spellStart"/>
      <w:r>
        <w:t>Mr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Tim</w:t>
      </w:r>
      <w:r>
        <w:rPr>
          <w:spacing w:val="-6"/>
        </w:rPr>
        <w:t xml:space="preserve"> </w:t>
      </w:r>
      <w:r>
        <w:t>Irish</w:t>
      </w:r>
      <w:r>
        <w:rPr>
          <w:spacing w:val="24"/>
          <w:w w:val="99"/>
        </w:rPr>
        <w:t xml:space="preserve"> </w:t>
      </w:r>
      <w:r>
        <w:rPr>
          <w:spacing w:val="-1"/>
        </w:rPr>
        <w:t>Vice</w:t>
      </w:r>
      <w:r>
        <w:rPr>
          <w:spacing w:val="-10"/>
        </w:rPr>
        <w:t xml:space="preserve"> </w:t>
      </w:r>
      <w:r>
        <w:t>chair</w:t>
      </w:r>
    </w:p>
    <w:p w14:paraId="288447CF" w14:textId="77777777" w:rsidR="00F637A6" w:rsidRDefault="009B3A8A">
      <w:pPr>
        <w:pStyle w:val="BodyText"/>
        <w:spacing w:before="5" w:line="360" w:lineRule="auto"/>
        <w:ind w:right="4691"/>
      </w:pPr>
      <w:r>
        <w:t>National</w:t>
      </w:r>
      <w:r>
        <w:rPr>
          <w:spacing w:val="-9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Excellence</w:t>
      </w:r>
      <w:r>
        <w:rPr>
          <w:spacing w:val="28"/>
          <w:w w:val="9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Spring</w:t>
      </w:r>
      <w:r>
        <w:rPr>
          <w:spacing w:val="-9"/>
        </w:rPr>
        <w:t xml:space="preserve"> </w:t>
      </w:r>
      <w:r>
        <w:t>Gardens</w:t>
      </w:r>
    </w:p>
    <w:p w14:paraId="75C389F7" w14:textId="77777777" w:rsidR="00F637A6" w:rsidRDefault="009B3A8A">
      <w:pPr>
        <w:pStyle w:val="BodyText"/>
        <w:spacing w:before="3"/>
      </w:pPr>
      <w:r>
        <w:t>London</w:t>
      </w:r>
      <w:r>
        <w:rPr>
          <w:spacing w:val="-8"/>
        </w:rPr>
        <w:t xml:space="preserve"> </w:t>
      </w:r>
      <w:r>
        <w:t>SW1A</w:t>
      </w:r>
      <w:r>
        <w:rPr>
          <w:spacing w:val="-8"/>
        </w:rPr>
        <w:t xml:space="preserve"> </w:t>
      </w:r>
      <w:r>
        <w:t>2BU</w:t>
      </w:r>
    </w:p>
    <w:p w14:paraId="6990CAA7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72BB67AB" w14:textId="77777777" w:rsidR="00F637A6" w:rsidRDefault="00F637A6">
      <w:pPr>
        <w:spacing w:before="10"/>
        <w:rPr>
          <w:rFonts w:ascii="Arial" w:eastAsia="Arial" w:hAnsi="Arial" w:cs="Arial"/>
          <w:sz w:val="19"/>
          <w:szCs w:val="19"/>
        </w:rPr>
      </w:pPr>
    </w:p>
    <w:p w14:paraId="1A8506C1" w14:textId="77777777" w:rsidR="00F637A6" w:rsidRDefault="009B3A8A">
      <w:pPr>
        <w:pStyle w:val="BodyText"/>
      </w:pPr>
      <w:r>
        <w:t>Dear</w:t>
      </w:r>
      <w:r>
        <w:rPr>
          <w:spacing w:val="-7"/>
        </w:rPr>
        <w:t xml:space="preserve"> </w:t>
      </w:r>
      <w:proofErr w:type="spellStart"/>
      <w:proofErr w:type="gramStart"/>
      <w:r>
        <w:t>Mr</w:t>
      </w:r>
      <w:proofErr w:type="spellEnd"/>
      <w:proofErr w:type="gramEnd"/>
      <w:r>
        <w:rPr>
          <w:spacing w:val="-6"/>
        </w:rPr>
        <w:t xml:space="preserve"> </w:t>
      </w:r>
      <w:r>
        <w:t>Irish,</w:t>
      </w:r>
    </w:p>
    <w:p w14:paraId="7C60E8DC" w14:textId="77777777" w:rsidR="00F637A6" w:rsidRDefault="009B3A8A">
      <w:pPr>
        <w:pStyle w:val="Heading1"/>
        <w:spacing w:before="115" w:line="360" w:lineRule="auto"/>
        <w:ind w:right="204"/>
        <w:rPr>
          <w:b w:val="0"/>
          <w:bCs w:val="0"/>
        </w:rPr>
      </w:pPr>
      <w:r>
        <w:t>Re: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Appraisal</w:t>
      </w:r>
      <w:r>
        <w:rPr>
          <w:spacing w:val="-8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(reduced</w:t>
      </w:r>
      <w:r>
        <w:rPr>
          <w:spacing w:val="-8"/>
        </w:rPr>
        <w:t xml:space="preserve"> </w:t>
      </w:r>
      <w:r>
        <w:t>ejection</w:t>
      </w:r>
      <w:r>
        <w:rPr>
          <w:spacing w:val="-7"/>
        </w:rPr>
        <w:t xml:space="preserve"> </w:t>
      </w:r>
      <w:r>
        <w:t>fraction)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dapagliflozin</w:t>
      </w:r>
      <w:r>
        <w:rPr>
          <w:spacing w:val="26"/>
          <w:w w:val="99"/>
        </w:rPr>
        <w:t xml:space="preserve"> </w:t>
      </w:r>
      <w:r>
        <w:rPr>
          <w:spacing w:val="-1"/>
        </w:rPr>
        <w:t>[ID1656]</w:t>
      </w:r>
    </w:p>
    <w:p w14:paraId="2CD23C74" w14:textId="77777777" w:rsidR="00F637A6" w:rsidRDefault="009B3A8A">
      <w:pPr>
        <w:pStyle w:val="BodyText"/>
        <w:spacing w:line="360" w:lineRule="auto"/>
        <w:ind w:right="61"/>
      </w:pPr>
      <w:r>
        <w:t>The</w:t>
      </w:r>
      <w:r>
        <w:rPr>
          <w:spacing w:val="-7"/>
        </w:rPr>
        <w:t xml:space="preserve"> </w:t>
      </w:r>
      <w:r>
        <w:t>British</w:t>
      </w:r>
      <w:r>
        <w:rPr>
          <w:spacing w:val="-4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Appraisal</w:t>
      </w:r>
      <w:r>
        <w:rPr>
          <w:spacing w:val="-7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38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above-mentioned</w:t>
      </w:r>
      <w:r>
        <w:rPr>
          <w:spacing w:val="-9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appraisal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grounds:</w:t>
      </w:r>
    </w:p>
    <w:p w14:paraId="186603C9" w14:textId="77777777" w:rsidR="00F637A6" w:rsidRDefault="00F637A6">
      <w:pPr>
        <w:spacing w:before="1"/>
        <w:rPr>
          <w:rFonts w:ascii="Arial" w:eastAsia="Arial" w:hAnsi="Arial" w:cs="Arial"/>
          <w:sz w:val="20"/>
          <w:szCs w:val="20"/>
        </w:rPr>
      </w:pPr>
    </w:p>
    <w:p w14:paraId="1CAC011A" w14:textId="77777777" w:rsidR="00F637A6" w:rsidRDefault="009B3A8A">
      <w:pPr>
        <w:pStyle w:val="BodyText"/>
      </w:pPr>
      <w:r>
        <w:rPr>
          <w:spacing w:val="-1"/>
        </w:rPr>
        <w:t>Ground</w:t>
      </w:r>
      <w:r>
        <w:rPr>
          <w:spacing w:val="-7"/>
        </w:rPr>
        <w:t xml:space="preserve"> </w:t>
      </w:r>
      <w:r>
        <w:t>two: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unreasonable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rPr>
          <w:spacing w:val="1"/>
        </w:rP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NICE:</w:t>
      </w:r>
    </w:p>
    <w:p w14:paraId="0DB2F613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2596F026" w14:textId="77777777" w:rsidR="00F637A6" w:rsidRDefault="009B3A8A">
      <w:pPr>
        <w:pStyle w:val="BodyText"/>
        <w:tabs>
          <w:tab w:val="left" w:pos="820"/>
        </w:tabs>
        <w:spacing w:before="116" w:line="360" w:lineRule="auto"/>
        <w:ind w:left="820" w:right="204" w:hanging="720"/>
      </w:pPr>
      <w:r>
        <w:rPr>
          <w:rFonts w:cs="Arial"/>
          <w:b/>
          <w:bCs/>
          <w:spacing w:val="-1"/>
          <w:w w:val="95"/>
        </w:rPr>
        <w:t>2.1</w:t>
      </w:r>
      <w:r>
        <w:rPr>
          <w:rFonts w:cs="Arial"/>
          <w:b/>
          <w:bCs/>
          <w:spacing w:val="-1"/>
          <w:w w:val="95"/>
        </w:rPr>
        <w:tab/>
      </w:r>
      <w:r>
        <w:rPr>
          <w:spacing w:val="-1"/>
        </w:rPr>
        <w:t>Whilst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BSH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agreement</w:t>
      </w:r>
      <w:proofErr w:type="gramEnd"/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prescribing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36"/>
          <w:w w:val="99"/>
        </w:rPr>
        <w:t xml:space="preserve"> </w:t>
      </w:r>
      <w:r>
        <w:rPr>
          <w:spacing w:val="-1"/>
        </w:rPr>
        <w:t>dapagliflozin,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appeal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against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term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‘</w:t>
      </w:r>
      <w:r>
        <w:rPr>
          <w:rFonts w:cs="Arial"/>
          <w:b/>
          <w:bCs/>
        </w:rPr>
        <w:t>comparator’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relation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46"/>
          <w:w w:val="99"/>
        </w:rPr>
        <w:t xml:space="preserve"> </w:t>
      </w:r>
      <w:r>
        <w:rPr>
          <w:rFonts w:cs="Arial"/>
          <w:b/>
          <w:bCs/>
        </w:rPr>
        <w:t>sacubitril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valsartan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Since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NICE</w:t>
      </w:r>
      <w:r>
        <w:rPr>
          <w:spacing w:val="-8"/>
        </w:rPr>
        <w:t xml:space="preserve"> </w:t>
      </w:r>
      <w:r>
        <w:rPr>
          <w:spacing w:val="-1"/>
        </w:rPr>
        <w:t>Chronic</w:t>
      </w:r>
      <w:r>
        <w:rPr>
          <w:spacing w:val="-3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rPr>
          <w:spacing w:val="-1"/>
        </w:rPr>
        <w:t>2018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50"/>
          <w:w w:val="99"/>
        </w:rPr>
        <w:t xml:space="preserve"> </w:t>
      </w:r>
      <w:r>
        <w:rPr>
          <w:spacing w:val="-1"/>
        </w:rPr>
        <w:t>2016</w:t>
      </w:r>
      <w:r>
        <w:rPr>
          <w:spacing w:val="-6"/>
        </w:rPr>
        <w:t xml:space="preserve"> </w:t>
      </w:r>
      <w:r>
        <w:rPr>
          <w:spacing w:val="-1"/>
        </w:rPr>
        <w:t>sacubitril</w:t>
      </w:r>
      <w:r>
        <w:rPr>
          <w:spacing w:val="-6"/>
        </w:rPr>
        <w:t xml:space="preserve"> </w:t>
      </w:r>
      <w:r>
        <w:t>valsartan</w:t>
      </w:r>
      <w:r>
        <w:rPr>
          <w:spacing w:val="-8"/>
        </w:rPr>
        <w:t xml:space="preserve"> </w:t>
      </w:r>
      <w:r>
        <w:rPr>
          <w:spacing w:val="-1"/>
        </w:rPr>
        <w:t>technology</w:t>
      </w:r>
      <w:r>
        <w:rPr>
          <w:spacing w:val="-6"/>
        </w:rPr>
        <w:t xml:space="preserve"> </w:t>
      </w:r>
      <w:r>
        <w:t>appraisal,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prescribing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1"/>
        </w:rPr>
        <w:t>changed.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BSH</w:t>
      </w:r>
      <w:r>
        <w:rPr>
          <w:spacing w:val="66"/>
          <w:w w:val="99"/>
        </w:rPr>
        <w:t xml:space="preserve"> </w:t>
      </w:r>
      <w:r>
        <w:rPr>
          <w:spacing w:val="-1"/>
        </w:rPr>
        <w:t>feel</w:t>
      </w:r>
      <w:r>
        <w:rPr>
          <w:spacing w:val="-6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sacubitril</w:t>
      </w:r>
      <w:r>
        <w:rPr>
          <w:spacing w:val="-7"/>
        </w:rPr>
        <w:t xml:space="preserve"> </w:t>
      </w:r>
      <w:r>
        <w:t>valsartan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now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patients</w:t>
      </w:r>
      <w:r>
        <w:rPr>
          <w:spacing w:val="44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criteria.</w:t>
      </w:r>
    </w:p>
    <w:p w14:paraId="2A87B2F4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32E9099E" w14:textId="77777777" w:rsidR="00F637A6" w:rsidRDefault="009B3A8A">
      <w:pPr>
        <w:pStyle w:val="BodyText"/>
        <w:spacing w:before="117" w:line="360" w:lineRule="auto"/>
        <w:ind w:left="820" w:right="204"/>
      </w:pPr>
      <w:r>
        <w:rPr>
          <w:spacing w:val="-1"/>
        </w:rPr>
        <w:t>And,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such,</w:t>
      </w:r>
      <w:r>
        <w:rPr>
          <w:spacing w:val="-7"/>
        </w:rPr>
        <w:t xml:space="preserve"> </w:t>
      </w:r>
      <w:r>
        <w:t>comparing</w:t>
      </w:r>
      <w:r>
        <w:rPr>
          <w:spacing w:val="-6"/>
        </w:rPr>
        <w:t xml:space="preserve"> </w:t>
      </w:r>
      <w:r>
        <w:t>dapagliflozin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sacubitril</w:t>
      </w:r>
      <w:r>
        <w:rPr>
          <w:spacing w:val="-8"/>
        </w:rPr>
        <w:t xml:space="preserve"> </w:t>
      </w:r>
      <w:r>
        <w:t>valsartan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34"/>
          <w:w w:val="99"/>
        </w:rPr>
        <w:t xml:space="preserve"> </w:t>
      </w:r>
      <w:r>
        <w:rPr>
          <w:spacing w:val="-1"/>
        </w:rPr>
        <w:t>disingenuous.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spellStart"/>
      <w:r>
        <w:t>pathophysiologically</w:t>
      </w:r>
      <w:proofErr w:type="spellEnd"/>
      <w:r>
        <w:rPr>
          <w:spacing w:val="-5"/>
        </w:rPr>
        <w:t xml:space="preserve"> </w:t>
      </w:r>
      <w:r>
        <w:t>disparate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proofErr w:type="gramStart"/>
      <w:r>
        <w:t>head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head</w:t>
      </w:r>
      <w:proofErr w:type="gramEnd"/>
      <w:r>
        <w:rPr>
          <w:spacing w:val="40"/>
          <w:w w:val="99"/>
        </w:rPr>
        <w:t xml:space="preserve"> </w:t>
      </w:r>
      <w:r>
        <w:t>comparative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date.</w:t>
      </w:r>
      <w:r>
        <w:rPr>
          <w:spacing w:val="-7"/>
        </w:rPr>
        <w:t xml:space="preserve"> </w:t>
      </w:r>
      <w:r>
        <w:rPr>
          <w:spacing w:val="-1"/>
        </w:rPr>
        <w:t>We,</w:t>
      </w:r>
      <w:r>
        <w:rPr>
          <w:spacing w:val="-4"/>
        </w:rPr>
        <w:t xml:space="preserve"> </w:t>
      </w:r>
      <w:r>
        <w:rPr>
          <w:spacing w:val="-1"/>
        </w:rPr>
        <w:t>experts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care,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beneficial</w:t>
      </w:r>
      <w:r>
        <w:rPr>
          <w:spacing w:val="60"/>
          <w:w w:val="99"/>
        </w:rPr>
        <w:t xml:space="preserve"> </w:t>
      </w:r>
      <w:r>
        <w:rPr>
          <w:spacing w:val="-1"/>
        </w:rPr>
        <w:t>complementary</w:t>
      </w:r>
      <w:r>
        <w:rPr>
          <w:spacing w:val="-4"/>
        </w:rPr>
        <w:t xml:space="preserve"> </w:t>
      </w:r>
      <w:r>
        <w:t>therapies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practice,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appropriate.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assert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ground-</w:t>
      </w:r>
      <w:r>
        <w:rPr>
          <w:spacing w:val="52"/>
          <w:w w:val="99"/>
        </w:rPr>
        <w:t xml:space="preserve"> </w:t>
      </w:r>
      <w:r>
        <w:t>breaking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may/will</w:t>
      </w:r>
      <w:r>
        <w:rPr>
          <w:spacing w:val="-7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algorithm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24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hence,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BSH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misleading</w:t>
      </w:r>
      <w:r>
        <w:rPr>
          <w:spacing w:val="-5"/>
        </w:rPr>
        <w:t xml:space="preserve"> </w:t>
      </w:r>
      <w:r>
        <w:t>comparator</w:t>
      </w:r>
      <w:r>
        <w:rPr>
          <w:spacing w:val="-6"/>
        </w:rPr>
        <w:t xml:space="preserve"> </w:t>
      </w:r>
      <w:proofErr w:type="spellStart"/>
      <w:r>
        <w:t>categorisation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56"/>
          <w:w w:val="99"/>
        </w:rPr>
        <w:t xml:space="preserve"> </w:t>
      </w:r>
      <w:r>
        <w:t>reversed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implies</w:t>
      </w:r>
      <w:r>
        <w:rPr>
          <w:spacing w:val="-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‘either/or’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approach</w:t>
      </w:r>
      <w:r>
        <w:t>,</w:t>
      </w:r>
      <w:r>
        <w:rPr>
          <w:spacing w:val="-3"/>
        </w:rPr>
        <w:t xml:space="preserve"> </w:t>
      </w:r>
      <w:r>
        <w:t>when,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proofErr w:type="gramStart"/>
      <w:r>
        <w:t>be</w:t>
      </w:r>
      <w:proofErr w:type="gramEnd"/>
    </w:p>
    <w:p w14:paraId="3122B71C" w14:textId="77777777" w:rsidR="00F637A6" w:rsidRDefault="00F637A6">
      <w:pPr>
        <w:spacing w:line="360" w:lineRule="auto"/>
        <w:sectPr w:rsidR="00F637A6">
          <w:headerReference w:type="default" r:id="rId6"/>
          <w:footerReference w:type="default" r:id="rId7"/>
          <w:type w:val="continuous"/>
          <w:pgSz w:w="11910" w:h="16840"/>
          <w:pgMar w:top="2160" w:right="1300" w:bottom="2000" w:left="1340" w:header="600" w:footer="1803" w:gutter="0"/>
          <w:cols w:space="720"/>
        </w:sectPr>
      </w:pPr>
    </w:p>
    <w:p w14:paraId="1BD7764E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33E24C9A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0BA1879D" w14:textId="77777777" w:rsidR="00F637A6" w:rsidRDefault="00F637A6">
      <w:pPr>
        <w:spacing w:before="1"/>
        <w:rPr>
          <w:rFonts w:ascii="Arial" w:eastAsia="Arial" w:hAnsi="Arial" w:cs="Arial"/>
          <w:sz w:val="16"/>
          <w:szCs w:val="16"/>
        </w:rPr>
      </w:pPr>
    </w:p>
    <w:p w14:paraId="4EDC5971" w14:textId="77777777" w:rsidR="00F637A6" w:rsidRDefault="009B3A8A">
      <w:pPr>
        <w:pStyle w:val="BodyText"/>
        <w:spacing w:before="74" w:line="358" w:lineRule="auto"/>
        <w:ind w:left="820" w:right="61"/>
      </w:pPr>
      <w:r>
        <w:t>necessary.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note,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potentially</w:t>
      </w:r>
      <w:r>
        <w:rPr>
          <w:spacing w:val="-4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precedent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 xml:space="preserve">move </w:t>
      </w:r>
      <w:r>
        <w:rPr>
          <w:spacing w:val="-1"/>
        </w:rPr>
        <w:t>inexorably</w:t>
      </w:r>
      <w:r>
        <w:rPr>
          <w:spacing w:val="-3"/>
        </w:rPr>
        <w:t xml:space="preserve"> </w:t>
      </w:r>
      <w:r>
        <w:t>into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personalised</w:t>
      </w:r>
      <w:proofErr w:type="spellEnd"/>
      <w:r>
        <w:rPr>
          <w:spacing w:val="-21"/>
        </w:rPr>
        <w:t xml:space="preserve"> </w:t>
      </w:r>
      <w:r>
        <w:t>medicine.</w:t>
      </w:r>
    </w:p>
    <w:p w14:paraId="766021DC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60FFDEA5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530D452B" w14:textId="77777777" w:rsidR="00F637A6" w:rsidRDefault="00F637A6">
      <w:pPr>
        <w:spacing w:before="7"/>
        <w:rPr>
          <w:rFonts w:ascii="Arial" w:eastAsia="Arial" w:hAnsi="Arial" w:cs="Arial"/>
          <w:sz w:val="20"/>
          <w:szCs w:val="20"/>
        </w:rPr>
      </w:pPr>
    </w:p>
    <w:p w14:paraId="3F236BAC" w14:textId="77777777" w:rsidR="00F637A6" w:rsidRDefault="009B3A8A">
      <w:pPr>
        <w:pStyle w:val="Heading1"/>
        <w:rPr>
          <w:b w:val="0"/>
          <w:bCs w:val="0"/>
        </w:rPr>
      </w:pPr>
      <w:r>
        <w:t>Conclusion</w:t>
      </w:r>
    </w:p>
    <w:p w14:paraId="4CE67249" w14:textId="77777777" w:rsidR="00F637A6" w:rsidRDefault="009B3A8A">
      <w:pPr>
        <w:pStyle w:val="BodyText"/>
        <w:spacing w:before="114" w:line="360" w:lineRule="auto"/>
        <w:ind w:right="204"/>
      </w:pPr>
      <w:r>
        <w:t>The</w:t>
      </w:r>
      <w:r>
        <w:rPr>
          <w:spacing w:val="-7"/>
        </w:rPr>
        <w:t xml:space="preserve"> </w:t>
      </w:r>
      <w:r>
        <w:t>BSH</w:t>
      </w:r>
      <w:r>
        <w:rPr>
          <w:spacing w:val="-6"/>
        </w:rPr>
        <w:t xml:space="preserve"> </w:t>
      </w:r>
      <w:r>
        <w:t>welcome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recommendations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FAD,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strongly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sacubitril</w:t>
      </w:r>
      <w:r>
        <w:rPr>
          <w:spacing w:val="64"/>
          <w:w w:val="99"/>
        </w:rPr>
        <w:t xml:space="preserve"> </w:t>
      </w:r>
      <w:r>
        <w:t>valsartan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comparator.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NICE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missed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44"/>
          <w:w w:val="99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wording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altered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clarify,</w:t>
      </w:r>
      <w:r>
        <w:rPr>
          <w:spacing w:val="-7"/>
        </w:rPr>
        <w:t xml:space="preserve"> </w:t>
      </w:r>
      <w:r>
        <w:t>accordingly.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BSH</w:t>
      </w:r>
      <w:r>
        <w:rPr>
          <w:spacing w:val="28"/>
          <w:w w:val="99"/>
        </w:rPr>
        <w:t xml:space="preserve"> </w:t>
      </w:r>
      <w:r>
        <w:rPr>
          <w:spacing w:val="-1"/>
        </w:rPr>
        <w:t>respectfully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addressing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NICE</w:t>
      </w:r>
      <w:r>
        <w:rPr>
          <w:spacing w:val="-6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t>advise</w:t>
      </w:r>
      <w:r>
        <w:rPr>
          <w:spacing w:val="-7"/>
        </w:rPr>
        <w:t xml:space="preserve"> </w:t>
      </w:r>
      <w:r>
        <w:t>wording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phraseology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specialists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rPr>
          <w:spacing w:val="-1"/>
        </w:rPr>
        <w:t>failure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t>clinical</w:t>
      </w:r>
      <w:r>
        <w:rPr>
          <w:spacing w:val="-18"/>
        </w:rPr>
        <w:t xml:space="preserve"> </w:t>
      </w:r>
      <w:r>
        <w:t>standpoint.</w:t>
      </w:r>
    </w:p>
    <w:p w14:paraId="3FBB3B54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0CDFD312" w14:textId="77777777" w:rsidR="00F637A6" w:rsidRDefault="009B3A8A">
      <w:pPr>
        <w:pStyle w:val="BodyText"/>
        <w:spacing w:before="117" w:line="721" w:lineRule="auto"/>
        <w:ind w:right="4522"/>
      </w:pPr>
      <w:r>
        <w:rPr>
          <w:spacing w:val="-1"/>
        </w:rPr>
        <w:t>Many</w:t>
      </w:r>
      <w:r>
        <w:rPr>
          <w:spacing w:val="-7"/>
        </w:rPr>
        <w:t xml:space="preserve"> </w:t>
      </w:r>
      <w:r>
        <w:t>thanks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consideration.</w:t>
      </w:r>
      <w:r>
        <w:rPr>
          <w:spacing w:val="30"/>
          <w:w w:val="99"/>
        </w:rPr>
        <w:t xml:space="preserve"> </w:t>
      </w:r>
      <w:r>
        <w:rPr>
          <w:spacing w:val="-1"/>
        </w:rPr>
        <w:t>Yours</w:t>
      </w:r>
      <w:r>
        <w:rPr>
          <w:spacing w:val="-14"/>
        </w:rPr>
        <w:t xml:space="preserve"> </w:t>
      </w:r>
      <w:r>
        <w:t>Sincerely,</w:t>
      </w:r>
    </w:p>
    <w:p w14:paraId="01B10CF2" w14:textId="05B52A13" w:rsidR="00F637A6" w:rsidRDefault="00F637A6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</w:p>
    <w:p w14:paraId="004A4442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3C294F20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17CD637A" w14:textId="77777777" w:rsidR="00F637A6" w:rsidRDefault="00F637A6">
      <w:pPr>
        <w:rPr>
          <w:rFonts w:ascii="Arial" w:eastAsia="Arial" w:hAnsi="Arial" w:cs="Arial"/>
          <w:sz w:val="20"/>
          <w:szCs w:val="20"/>
        </w:rPr>
      </w:pPr>
    </w:p>
    <w:p w14:paraId="3D6DF545" w14:textId="56F597F7" w:rsidR="00F637A6" w:rsidRDefault="009B3A8A">
      <w:pPr>
        <w:pStyle w:val="BodyText"/>
        <w:spacing w:before="137"/>
      </w:pPr>
      <w:r w:rsidRPr="009B3A8A">
        <w:rPr>
          <w:highlight w:val="black"/>
        </w:rPr>
        <w:t>XX</w:t>
      </w:r>
      <w:r w:rsidRPr="009B3A8A">
        <w:rPr>
          <w:spacing w:val="-8"/>
          <w:highlight w:val="black"/>
        </w:rPr>
        <w:t xml:space="preserve"> </w:t>
      </w:r>
      <w:r w:rsidRPr="009B3A8A">
        <w:rPr>
          <w:spacing w:val="-1"/>
          <w:highlight w:val="black"/>
        </w:rPr>
        <w:t xml:space="preserve">XXXXX </w:t>
      </w:r>
      <w:r w:rsidRPr="009B3A8A">
        <w:rPr>
          <w:highlight w:val="black"/>
        </w:rPr>
        <w:t>XXXXXXXX</w:t>
      </w:r>
    </w:p>
    <w:p w14:paraId="3E672984" w14:textId="77777777" w:rsidR="00F637A6" w:rsidRDefault="009B3A8A">
      <w:pPr>
        <w:pStyle w:val="BodyText"/>
        <w:spacing w:before="113"/>
      </w:pPr>
      <w:r>
        <w:rPr>
          <w:spacing w:val="-1"/>
        </w:rPr>
        <w:t>Chair</w:t>
      </w:r>
      <w:r>
        <w:rPr>
          <w:spacing w:val="-5"/>
        </w:rPr>
        <w:t xml:space="preserve"> </w:t>
      </w:r>
      <w:r>
        <w:t>British</w:t>
      </w:r>
      <w:r>
        <w:rPr>
          <w:spacing w:val="-5"/>
        </w:rPr>
        <w:t xml:space="preserve"> </w:t>
      </w:r>
      <w:r>
        <w:rPr>
          <w:spacing w:val="-1"/>
        </w:rPr>
        <w:t>Society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rPr>
          <w:spacing w:val="-1"/>
        </w:rPr>
        <w:t>Failure</w:t>
      </w:r>
    </w:p>
    <w:sectPr w:rsidR="00F637A6">
      <w:pgSz w:w="11910" w:h="16840"/>
      <w:pgMar w:top="2160" w:right="1300" w:bottom="2000" w:left="1340" w:header="600" w:footer="1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2360D" w14:textId="77777777" w:rsidR="00000000" w:rsidRDefault="009B3A8A">
      <w:r>
        <w:separator/>
      </w:r>
    </w:p>
  </w:endnote>
  <w:endnote w:type="continuationSeparator" w:id="0">
    <w:p w14:paraId="76F1FDB5" w14:textId="77777777" w:rsidR="00000000" w:rsidRDefault="009B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DDED" w14:textId="77777777" w:rsidR="00F637A6" w:rsidRDefault="009B3A8A">
    <w:pPr>
      <w:spacing w:line="14" w:lineRule="auto"/>
      <w:rPr>
        <w:sz w:val="20"/>
        <w:szCs w:val="20"/>
      </w:rPr>
    </w:pPr>
    <w:r>
      <w:pict w14:anchorId="606E6D46">
        <v:group id="_x0000_s1030" style="position:absolute;margin-left:74.4pt;margin-top:741pt;width:450pt;height:.6pt;z-index:-3760;mso-position-horizontal-relative:page;mso-position-vertical-relative:page" coordorigin="1488,14820" coordsize="9000,12">
          <v:shape id="_x0000_s1031" style="position:absolute;left:1488;top:14820;width:9000;height:12" coordorigin="1488,14820" coordsize="9000,12" path="m1488,14820r9000,12e" filled="f" strokecolor="red" strokeweight=".5pt">
            <v:path arrowok="t"/>
          </v:shape>
          <w10:wrap anchorx="page" anchory="page"/>
        </v:group>
      </w:pict>
    </w:r>
    <w:r>
      <w:pict w14:anchorId="0762F3C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752.55pt;width:81pt;height:54.95pt;z-index:-3736;mso-position-horizontal-relative:page;mso-position-vertical-relative:page" filled="f" stroked="f">
          <v:textbox inset="0,0,0,0">
            <w:txbxContent>
              <w:p w14:paraId="7B13597C" w14:textId="77777777" w:rsidR="00F637A6" w:rsidRDefault="009B3A8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Registered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in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England</w:t>
                </w:r>
                <w:proofErr w:type="gramEnd"/>
              </w:p>
              <w:p w14:paraId="305CD63F" w14:textId="77777777" w:rsidR="00F637A6" w:rsidRDefault="009B3A8A">
                <w:pPr>
                  <w:spacing w:line="219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Registered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Office</w:t>
                </w:r>
              </w:p>
              <w:p w14:paraId="7493ED73" w14:textId="77777777" w:rsidR="00F637A6" w:rsidRDefault="009B3A8A">
                <w:pPr>
                  <w:spacing w:before="1"/>
                  <w:ind w:left="20" w:right="75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33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Cavendish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Square</w:t>
                </w:r>
                <w:r>
                  <w:rPr>
                    <w:rFonts w:ascii="Calibri"/>
                    <w:spacing w:val="24"/>
                    <w:w w:val="99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London</w:t>
                </w:r>
              </w:p>
              <w:p w14:paraId="6A094851" w14:textId="77777777" w:rsidR="00F637A6" w:rsidRDefault="009B3A8A">
                <w:pPr>
                  <w:spacing w:before="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W1G</w:t>
                </w:r>
                <w:r>
                  <w:rPr>
                    <w:rFonts w:ascii="Calibri"/>
                    <w:spacing w:val="-9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0PW</w:t>
                </w:r>
              </w:p>
            </w:txbxContent>
          </v:textbox>
          <w10:wrap anchorx="page" anchory="page"/>
        </v:shape>
      </w:pict>
    </w:r>
    <w:r>
      <w:pict w14:anchorId="7A2F72A8">
        <v:shape id="_x0000_s1028" type="#_x0000_t202" style="position:absolute;margin-left:232.35pt;margin-top:752.55pt;width:126.55pt;height:33pt;z-index:-3712;mso-position-horizontal-relative:page;mso-position-vertical-relative:page" filled="f" stroked="f">
          <v:textbox inset="0,0,0,0">
            <w:txbxContent>
              <w:p w14:paraId="7CB46D2A" w14:textId="77777777" w:rsidR="00F637A6" w:rsidRDefault="009B3A8A">
                <w:pPr>
                  <w:spacing w:line="203" w:lineRule="exact"/>
                  <w:ind w:left="144" w:firstLine="2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British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Society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for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Heart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Failure</w:t>
                </w:r>
              </w:p>
              <w:p w14:paraId="30CCDE05" w14:textId="77777777" w:rsidR="00F637A6" w:rsidRDefault="009B3A8A">
                <w:pPr>
                  <w:ind w:left="20" w:right="18" w:firstLine="124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Registered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Charity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No: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1075720</w:t>
                </w:r>
                <w:r>
                  <w:rPr>
                    <w:rFonts w:ascii="Calibri"/>
                    <w:spacing w:val="25"/>
                    <w:w w:val="99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Registered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Company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No: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3767312</w:t>
                </w:r>
              </w:p>
            </w:txbxContent>
          </v:textbox>
          <w10:wrap anchorx="page" anchory="page"/>
        </v:shape>
      </w:pict>
    </w:r>
    <w:r>
      <w:pict w14:anchorId="094E94EA">
        <v:shape id="_x0000_s1027" type="#_x0000_t202" style="position:absolute;margin-left:393.25pt;margin-top:752.55pt;width:131.15pt;height:21.95pt;z-index:-3688;mso-position-horizontal-relative:page;mso-position-vertical-relative:page" filled="f" stroked="f">
          <v:textbox inset="0,0,0,0">
            <w:txbxContent>
              <w:p w14:paraId="237F04E2" w14:textId="77777777" w:rsidR="00F637A6" w:rsidRDefault="009B3A8A">
                <w:pPr>
                  <w:spacing w:line="203" w:lineRule="exact"/>
                  <w:ind w:left="20" w:firstLine="1068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BSH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Services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Limited</w:t>
                </w:r>
              </w:p>
              <w:p w14:paraId="5AEB0D85" w14:textId="77777777" w:rsidR="00F637A6" w:rsidRDefault="009B3A8A">
                <w:pPr>
                  <w:spacing w:line="219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Registered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Company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No: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12582222</w:t>
                </w:r>
              </w:p>
            </w:txbxContent>
          </v:textbox>
          <w10:wrap anchorx="page" anchory="page"/>
        </v:shape>
      </w:pict>
    </w:r>
    <w:r>
      <w:pict w14:anchorId="26B38E7B">
        <v:shape id="_x0000_s1026" type="#_x0000_t202" style="position:absolute;margin-left:424.85pt;margin-top:796.5pt;width:99.45pt;height:33pt;z-index:-3664;mso-position-horizontal-relative:page;mso-position-vertical-relative:page" filled="f" stroked="f">
          <v:textbox inset="0,0,0,0">
            <w:txbxContent>
              <w:p w14:paraId="720E0A7C" w14:textId="77777777" w:rsidR="00F637A6" w:rsidRDefault="009B3A8A">
                <w:pPr>
                  <w:spacing w:line="203" w:lineRule="exact"/>
                  <w:ind w:left="264" w:hanging="245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Telephone: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020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3606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0798</w:t>
                </w:r>
              </w:p>
              <w:p w14:paraId="1FB52CFC" w14:textId="77777777" w:rsidR="00F637A6" w:rsidRDefault="009B3A8A">
                <w:pPr>
                  <w:ind w:left="202" w:right="18" w:firstLine="62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Email: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Calibri"/>
                      <w:color w:val="0462C1"/>
                      <w:spacing w:val="-1"/>
                      <w:sz w:val="18"/>
                      <w:u w:val="single" w:color="0462C1"/>
                    </w:rPr>
                    <w:t>info@bsh.org.uk</w:t>
                  </w:r>
                </w:hyperlink>
                <w:r>
                  <w:rPr>
                    <w:rFonts w:ascii="Calibri"/>
                    <w:color w:val="0462C1"/>
                    <w:w w:val="99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Calibri"/>
                      <w:color w:val="0462C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0462C1"/>
                      <w:spacing w:val="-1"/>
                      <w:sz w:val="18"/>
                      <w:u w:val="single" w:color="0462C1"/>
                    </w:rPr>
                    <w:t>https://www.bsh.org.uk</w:t>
                  </w:r>
                </w:hyperlink>
              </w:p>
            </w:txbxContent>
          </v:textbox>
          <w10:wrap anchorx="page" anchory="page"/>
        </v:shape>
      </w:pict>
    </w:r>
    <w:r>
      <w:pict w14:anchorId="516DC45F">
        <v:shape id="_x0000_s1025" type="#_x0000_t202" style="position:absolute;margin-left:71pt;margin-top:818.45pt;width:89.5pt;height:11pt;z-index:-3640;mso-position-horizontal-relative:page;mso-position-vertical-relative:page" filled="f" stroked="f">
          <v:textbox inset="0,0,0,0">
            <w:txbxContent>
              <w:p w14:paraId="79FE42D7" w14:textId="77777777" w:rsidR="00F637A6" w:rsidRDefault="009B3A8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VAT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No: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GB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350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063145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35E6C" w14:textId="77777777" w:rsidR="00000000" w:rsidRDefault="009B3A8A">
      <w:r>
        <w:separator/>
      </w:r>
    </w:p>
  </w:footnote>
  <w:footnote w:type="continuationSeparator" w:id="0">
    <w:p w14:paraId="127E4345" w14:textId="77777777" w:rsidR="00000000" w:rsidRDefault="009B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B2E6C" w14:textId="77777777" w:rsidR="00F637A6" w:rsidRDefault="009B3A8A">
    <w:pPr>
      <w:spacing w:line="14" w:lineRule="auto"/>
      <w:rPr>
        <w:sz w:val="20"/>
        <w:szCs w:val="20"/>
      </w:rPr>
    </w:pPr>
    <w:r>
      <w:pict w14:anchorId="21C6B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246.6pt;margin-top:30pt;width:105pt;height:78.9pt;z-index:-3784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7A6"/>
    <w:rsid w:val="009B3A8A"/>
    <w:rsid w:val="00F6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1880A"/>
  <w15:docId w15:val="{5226FC65-392B-452B-86E6-F2EC026D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sh.org.uk/" TargetMode="External"/><Relationship Id="rId1" Type="http://schemas.openxmlformats.org/officeDocument/2006/relationships/hyperlink" Target="mailto:info@bs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Hargreaves</dc:creator>
  <cp:lastModifiedBy>Lucinda Evans</cp:lastModifiedBy>
  <cp:revision>2</cp:revision>
  <dcterms:created xsi:type="dcterms:W3CDTF">2021-02-02T17:46:00Z</dcterms:created>
  <dcterms:modified xsi:type="dcterms:W3CDTF">2021-02-05T12:30:00Z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2021-02-02T00:00:00Z</vt:filetime>
  </property>
</Properties>
</file>