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3F9FB" w14:textId="77777777" w:rsidR="001B4BDF" w:rsidRPr="00AA2B19" w:rsidRDefault="001B4BDF" w:rsidP="001B4BDF">
      <w:pPr>
        <w:jc w:val="center"/>
        <w:rPr>
          <w:rFonts w:ascii="Arial" w:hAnsi="Arial" w:cs="Arial"/>
          <w:b/>
          <w:sz w:val="24"/>
          <w:szCs w:val="24"/>
        </w:rPr>
      </w:pPr>
      <w:r w:rsidRPr="00AA2B19">
        <w:rPr>
          <w:rFonts w:ascii="Arial" w:hAnsi="Arial" w:cs="Arial"/>
          <w:b/>
          <w:sz w:val="24"/>
          <w:szCs w:val="24"/>
        </w:rPr>
        <w:t>NATIONAL INSTITUTE FOR HEALTH AND C</w:t>
      </w:r>
      <w:r>
        <w:rPr>
          <w:rFonts w:ascii="Arial" w:hAnsi="Arial" w:cs="Arial"/>
          <w:b/>
          <w:sz w:val="24"/>
          <w:szCs w:val="24"/>
        </w:rPr>
        <w:t>ARE</w:t>
      </w:r>
      <w:r w:rsidRPr="00AA2B19">
        <w:rPr>
          <w:rFonts w:ascii="Arial" w:hAnsi="Arial" w:cs="Arial"/>
          <w:b/>
          <w:sz w:val="24"/>
          <w:szCs w:val="24"/>
        </w:rPr>
        <w:t xml:space="preserve"> EXCELLENCE</w:t>
      </w:r>
    </w:p>
    <w:p w14:paraId="6B99D697" w14:textId="77777777" w:rsidR="001B4BDF" w:rsidRPr="00AA2B19" w:rsidRDefault="001F5B2A" w:rsidP="001B4BDF">
      <w:pPr>
        <w:jc w:val="center"/>
        <w:rPr>
          <w:rFonts w:ascii="Arial" w:hAnsi="Arial" w:cs="Arial"/>
          <w:b/>
          <w:sz w:val="24"/>
          <w:szCs w:val="24"/>
        </w:rPr>
      </w:pPr>
      <w:r>
        <w:rPr>
          <w:rFonts w:ascii="Arial" w:hAnsi="Arial" w:cs="Arial"/>
          <w:b/>
          <w:sz w:val="24"/>
          <w:szCs w:val="24"/>
        </w:rPr>
        <w:t>SINGLE</w:t>
      </w:r>
      <w:r w:rsidR="001B4BDF" w:rsidRPr="00AA2B19">
        <w:rPr>
          <w:rFonts w:ascii="Arial" w:hAnsi="Arial" w:cs="Arial"/>
          <w:b/>
          <w:sz w:val="24"/>
          <w:szCs w:val="24"/>
        </w:rPr>
        <w:t xml:space="preserve"> TECHNOLOGY APPRAISAL</w:t>
      </w:r>
    </w:p>
    <w:p w14:paraId="07CA58D8" w14:textId="77777777" w:rsidR="001B4BDF" w:rsidRPr="00AA2B19" w:rsidRDefault="001B4BDF" w:rsidP="001B4BDF">
      <w:pPr>
        <w:jc w:val="center"/>
        <w:rPr>
          <w:rFonts w:ascii="Arial" w:hAnsi="Arial" w:cs="Arial"/>
          <w:b/>
          <w:sz w:val="24"/>
          <w:szCs w:val="24"/>
        </w:rPr>
      </w:pPr>
      <w:r w:rsidRPr="00AA2B19">
        <w:rPr>
          <w:rFonts w:ascii="Arial" w:hAnsi="Arial" w:cs="Arial"/>
          <w:b/>
          <w:sz w:val="24"/>
          <w:szCs w:val="24"/>
        </w:rPr>
        <w:t xml:space="preserve">APPEAL HEARING </w:t>
      </w:r>
    </w:p>
    <w:p w14:paraId="78BEFEDA" w14:textId="77777777" w:rsidR="001B4BDF" w:rsidRPr="00AA2B19" w:rsidRDefault="001B4BDF" w:rsidP="001B4BDF">
      <w:pPr>
        <w:jc w:val="center"/>
        <w:rPr>
          <w:rFonts w:ascii="Arial" w:hAnsi="Arial" w:cs="Arial"/>
          <w:sz w:val="24"/>
          <w:szCs w:val="24"/>
        </w:rPr>
      </w:pPr>
    </w:p>
    <w:p w14:paraId="5243EDBA" w14:textId="77777777" w:rsidR="001B4BDF" w:rsidRPr="00AA2B19" w:rsidRDefault="001B4BDF" w:rsidP="001B4BDF">
      <w:pPr>
        <w:spacing w:after="0" w:line="240" w:lineRule="auto"/>
        <w:rPr>
          <w:rFonts w:ascii="Arial" w:hAnsi="Arial" w:cs="Arial"/>
          <w:b/>
          <w:i/>
          <w:sz w:val="24"/>
          <w:szCs w:val="24"/>
        </w:rPr>
      </w:pPr>
      <w:r w:rsidRPr="00AA2B19">
        <w:rPr>
          <w:rFonts w:ascii="Arial" w:hAnsi="Arial" w:cs="Arial"/>
          <w:b/>
          <w:sz w:val="24"/>
          <w:szCs w:val="24"/>
        </w:rPr>
        <w:t>Advice on</w:t>
      </w:r>
      <w:r w:rsidR="00B605A9">
        <w:rPr>
          <w:rFonts w:ascii="Arial" w:hAnsi="Arial" w:cs="Arial"/>
          <w:b/>
          <w:sz w:val="24"/>
          <w:szCs w:val="24"/>
        </w:rPr>
        <w:t xml:space="preserve"> Pembrolizumab for treating locally advanced or metastatic urothelial carcinoma after platinum-containing chemotherapy</w:t>
      </w:r>
      <w:r w:rsidRPr="00AA2B19">
        <w:rPr>
          <w:rFonts w:ascii="Arial" w:hAnsi="Arial" w:cs="Arial"/>
          <w:b/>
          <w:sz w:val="24"/>
          <w:szCs w:val="24"/>
        </w:rPr>
        <w:t xml:space="preserve"> </w:t>
      </w:r>
    </w:p>
    <w:p w14:paraId="1303CE37" w14:textId="77777777" w:rsidR="00443081" w:rsidRDefault="00443081" w:rsidP="001B4BDF">
      <w:pPr>
        <w:pStyle w:val="Title"/>
        <w:spacing w:before="0" w:after="0"/>
        <w:jc w:val="left"/>
        <w:rPr>
          <w:sz w:val="24"/>
          <w:szCs w:val="24"/>
        </w:rPr>
      </w:pPr>
    </w:p>
    <w:p w14:paraId="140ADF10" w14:textId="77777777" w:rsidR="001B4BDF" w:rsidRDefault="001B4BDF" w:rsidP="001B4BDF">
      <w:pPr>
        <w:pStyle w:val="Heading1"/>
        <w:spacing w:after="0"/>
        <w:rPr>
          <w:sz w:val="24"/>
          <w:szCs w:val="24"/>
        </w:rPr>
      </w:pPr>
      <w:r w:rsidRPr="001B4BDF">
        <w:rPr>
          <w:sz w:val="24"/>
          <w:szCs w:val="24"/>
        </w:rPr>
        <w:t>Dec</w:t>
      </w:r>
      <w:r>
        <w:rPr>
          <w:sz w:val="24"/>
          <w:szCs w:val="24"/>
        </w:rPr>
        <w:t xml:space="preserve">ision of the </w:t>
      </w:r>
      <w:r w:rsidR="00331F9B">
        <w:rPr>
          <w:sz w:val="24"/>
          <w:szCs w:val="24"/>
        </w:rPr>
        <w:t>p</w:t>
      </w:r>
      <w:r>
        <w:rPr>
          <w:sz w:val="24"/>
          <w:szCs w:val="24"/>
        </w:rPr>
        <w:t>anel</w:t>
      </w:r>
    </w:p>
    <w:p w14:paraId="001C1C71" w14:textId="77777777" w:rsidR="001B4BDF" w:rsidRDefault="001B4BDF" w:rsidP="001B4BDF">
      <w:pPr>
        <w:pStyle w:val="Paragraphnonumbers"/>
        <w:spacing w:after="0" w:line="240" w:lineRule="auto"/>
      </w:pPr>
    </w:p>
    <w:p w14:paraId="517BD44C" w14:textId="77777777" w:rsidR="001B4BDF" w:rsidRPr="004022D2" w:rsidRDefault="001B4BDF" w:rsidP="001B4BDF">
      <w:pPr>
        <w:pStyle w:val="Paragraphnonumbers"/>
        <w:spacing w:after="0" w:line="240" w:lineRule="auto"/>
        <w:rPr>
          <w:b/>
          <w:sz w:val="24"/>
          <w:szCs w:val="24"/>
        </w:rPr>
      </w:pPr>
      <w:r w:rsidRPr="004022D2">
        <w:rPr>
          <w:b/>
          <w:sz w:val="24"/>
          <w:szCs w:val="24"/>
        </w:rPr>
        <w:t>Introduction</w:t>
      </w:r>
    </w:p>
    <w:p w14:paraId="168C38C3" w14:textId="77777777" w:rsidR="001B4BDF" w:rsidRDefault="001B4BDF" w:rsidP="001B4BDF">
      <w:pPr>
        <w:pStyle w:val="Paragraphnonumbers"/>
        <w:spacing w:after="0" w:line="240" w:lineRule="auto"/>
        <w:rPr>
          <w:b/>
        </w:rPr>
      </w:pPr>
    </w:p>
    <w:p w14:paraId="1C6A47D7" w14:textId="402A75F0" w:rsidR="001B4BDF" w:rsidRPr="00B605A9" w:rsidRDefault="001B4BDF" w:rsidP="00F72E21">
      <w:pPr>
        <w:pStyle w:val="Paragraphnonumbers"/>
        <w:numPr>
          <w:ilvl w:val="0"/>
          <w:numId w:val="21"/>
        </w:numPr>
        <w:spacing w:after="0" w:line="240" w:lineRule="auto"/>
      </w:pPr>
      <w:r w:rsidRPr="00B605A9">
        <w:rPr>
          <w:rFonts w:cs="Arial"/>
          <w:sz w:val="24"/>
          <w:szCs w:val="24"/>
        </w:rPr>
        <w:t>An appeal p</w:t>
      </w:r>
      <w:r w:rsidR="00331F9B" w:rsidRPr="00B605A9">
        <w:rPr>
          <w:rFonts w:cs="Arial"/>
          <w:sz w:val="24"/>
          <w:szCs w:val="24"/>
        </w:rPr>
        <w:t>anel was convened on</w:t>
      </w:r>
      <w:r w:rsidR="00B605A9" w:rsidRPr="00B605A9">
        <w:rPr>
          <w:rFonts w:cs="Arial"/>
          <w:sz w:val="24"/>
          <w:szCs w:val="24"/>
        </w:rPr>
        <w:t xml:space="preserve"> 23</w:t>
      </w:r>
      <w:r w:rsidR="00304022">
        <w:rPr>
          <w:rFonts w:cs="Arial"/>
          <w:sz w:val="24"/>
          <w:szCs w:val="24"/>
        </w:rPr>
        <w:t xml:space="preserve"> June </w:t>
      </w:r>
      <w:r w:rsidR="00B605A9" w:rsidRPr="00B605A9">
        <w:rPr>
          <w:rFonts w:cs="Arial"/>
          <w:sz w:val="24"/>
          <w:szCs w:val="24"/>
        </w:rPr>
        <w:t>2020</w:t>
      </w:r>
      <w:r w:rsidRPr="00B605A9">
        <w:rPr>
          <w:rFonts w:cs="Arial"/>
          <w:sz w:val="24"/>
          <w:szCs w:val="24"/>
        </w:rPr>
        <w:t xml:space="preserve"> to consider an appeal against </w:t>
      </w:r>
      <w:r w:rsidR="00331F9B" w:rsidRPr="00B605A9">
        <w:rPr>
          <w:rFonts w:cs="Arial"/>
          <w:sz w:val="24"/>
          <w:szCs w:val="24"/>
        </w:rPr>
        <w:t>NICE</w:t>
      </w:r>
      <w:r w:rsidRPr="00B605A9">
        <w:rPr>
          <w:rFonts w:cs="Arial"/>
          <w:sz w:val="24"/>
          <w:szCs w:val="24"/>
        </w:rPr>
        <w:t xml:space="preserve">’s </w:t>
      </w:r>
      <w:r w:rsidR="00331F9B" w:rsidRPr="00B605A9">
        <w:rPr>
          <w:rFonts w:cs="Arial"/>
          <w:sz w:val="24"/>
          <w:szCs w:val="24"/>
        </w:rPr>
        <w:t>f</w:t>
      </w:r>
      <w:r w:rsidRPr="00B605A9">
        <w:rPr>
          <w:rFonts w:cs="Arial"/>
          <w:sz w:val="24"/>
          <w:szCs w:val="24"/>
        </w:rPr>
        <w:t xml:space="preserve">inal </w:t>
      </w:r>
      <w:r w:rsidR="00331F9B" w:rsidRPr="00B605A9">
        <w:rPr>
          <w:rFonts w:cs="Arial"/>
          <w:sz w:val="24"/>
          <w:szCs w:val="24"/>
        </w:rPr>
        <w:t>a</w:t>
      </w:r>
      <w:r w:rsidRPr="00B605A9">
        <w:rPr>
          <w:rFonts w:cs="Arial"/>
          <w:sz w:val="24"/>
          <w:szCs w:val="24"/>
        </w:rPr>
        <w:t xml:space="preserve">ppraisal </w:t>
      </w:r>
      <w:r w:rsidR="00622AB2">
        <w:rPr>
          <w:rFonts w:cs="Arial"/>
          <w:sz w:val="24"/>
          <w:szCs w:val="24"/>
        </w:rPr>
        <w:t>document</w:t>
      </w:r>
      <w:r w:rsidR="00130800">
        <w:rPr>
          <w:rFonts w:cs="Arial"/>
          <w:sz w:val="24"/>
          <w:szCs w:val="24"/>
        </w:rPr>
        <w:t xml:space="preserve"> (FAD)</w:t>
      </w:r>
      <w:r w:rsidRPr="00B605A9">
        <w:rPr>
          <w:rFonts w:cs="Arial"/>
          <w:sz w:val="24"/>
          <w:szCs w:val="24"/>
        </w:rPr>
        <w:t xml:space="preserve">, to the NHS, on </w:t>
      </w:r>
      <w:r w:rsidR="00B605A9">
        <w:rPr>
          <w:rFonts w:cs="Arial"/>
          <w:sz w:val="24"/>
          <w:szCs w:val="24"/>
        </w:rPr>
        <w:t>p</w:t>
      </w:r>
      <w:r w:rsidR="00B605A9" w:rsidRPr="00B605A9">
        <w:rPr>
          <w:rFonts w:cs="Arial"/>
          <w:sz w:val="24"/>
          <w:szCs w:val="24"/>
        </w:rPr>
        <w:t>embrolizumab for treating locally advanced or metastatic urothelial carcinoma after platinum-containing chemotherapy</w:t>
      </w:r>
      <w:r w:rsidR="00025772">
        <w:rPr>
          <w:rFonts w:cs="Arial"/>
          <w:sz w:val="24"/>
          <w:szCs w:val="24"/>
        </w:rPr>
        <w:t xml:space="preserve">.  The appeal was conducted via Zoom. </w:t>
      </w:r>
    </w:p>
    <w:p w14:paraId="3452C305" w14:textId="77777777" w:rsidR="00B605A9" w:rsidRPr="00B605A9" w:rsidRDefault="00B605A9" w:rsidP="00B605A9">
      <w:pPr>
        <w:pStyle w:val="Paragraphnonumbers"/>
        <w:spacing w:after="0" w:line="240" w:lineRule="auto"/>
        <w:ind w:left="360"/>
      </w:pPr>
    </w:p>
    <w:p w14:paraId="66106E55" w14:textId="77777777" w:rsidR="001B4BDF" w:rsidRPr="0053499F" w:rsidRDefault="001B4BDF" w:rsidP="001B4BDF">
      <w:pPr>
        <w:pStyle w:val="Paragraphnonumbers"/>
        <w:numPr>
          <w:ilvl w:val="0"/>
          <w:numId w:val="21"/>
        </w:numPr>
        <w:spacing w:after="0" w:line="240" w:lineRule="auto"/>
      </w:pPr>
      <w:r w:rsidRPr="0053499F">
        <w:rPr>
          <w:rFonts w:cs="Arial"/>
          <w:sz w:val="24"/>
          <w:szCs w:val="24"/>
        </w:rPr>
        <w:t>The Appeal Panel consisted of</w:t>
      </w:r>
      <w:r w:rsidR="00331F9B" w:rsidRPr="0053499F">
        <w:rPr>
          <w:rFonts w:cs="Arial"/>
          <w:sz w:val="24"/>
          <w:szCs w:val="24"/>
        </w:rPr>
        <w:t>:</w:t>
      </w:r>
      <w:r w:rsidRPr="0053499F">
        <w:rPr>
          <w:rFonts w:cs="Arial"/>
          <w:sz w:val="24"/>
          <w:szCs w:val="24"/>
        </w:rPr>
        <w:t xml:space="preserve"> </w:t>
      </w:r>
    </w:p>
    <w:p w14:paraId="1F6592B7" w14:textId="77777777" w:rsidR="00331F9B" w:rsidRPr="0053499F" w:rsidRDefault="00331F9B" w:rsidP="00CA0C8B">
      <w:pPr>
        <w:pStyle w:val="Paragraphnonumbers"/>
        <w:spacing w:after="0" w:line="240" w:lineRule="auto"/>
        <w:rPr>
          <w:rFonts w:ascii="Calibri" w:hAnsi="Calibr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5021"/>
      </w:tblGrid>
      <w:tr w:rsidR="00C2687A" w:rsidRPr="0053499F" w14:paraId="6C99CB6A" w14:textId="77777777" w:rsidTr="00C2687A">
        <w:tc>
          <w:tcPr>
            <w:tcW w:w="3285" w:type="dxa"/>
          </w:tcPr>
          <w:p w14:paraId="16BA362C" w14:textId="77777777" w:rsidR="00C2687A" w:rsidRPr="0053499F" w:rsidRDefault="00C2687A" w:rsidP="00C2687A">
            <w:pPr>
              <w:pStyle w:val="ListParagraph"/>
              <w:numPr>
                <w:ilvl w:val="0"/>
                <w:numId w:val="29"/>
              </w:numPr>
              <w:spacing w:after="0" w:line="240" w:lineRule="auto"/>
              <w:rPr>
                <w:rFonts w:ascii="Arial" w:hAnsi="Arial" w:cs="Arial"/>
                <w:sz w:val="24"/>
                <w:szCs w:val="24"/>
              </w:rPr>
            </w:pPr>
            <w:r w:rsidRPr="00574873">
              <w:rPr>
                <w:rFonts w:ascii="Arial" w:hAnsi="Arial" w:cs="Arial"/>
                <w:sz w:val="24"/>
                <w:szCs w:val="24"/>
              </w:rPr>
              <w:t xml:space="preserve">Prof </w:t>
            </w:r>
            <w:r>
              <w:rPr>
                <w:rFonts w:ascii="Arial" w:hAnsi="Arial" w:cs="Arial"/>
                <w:sz w:val="24"/>
                <w:szCs w:val="24"/>
              </w:rPr>
              <w:t>Alan Silman</w:t>
            </w:r>
          </w:p>
        </w:tc>
        <w:tc>
          <w:tcPr>
            <w:tcW w:w="5021" w:type="dxa"/>
          </w:tcPr>
          <w:p w14:paraId="00BCF89A" w14:textId="77777777" w:rsidR="00C2687A" w:rsidRPr="0053499F" w:rsidRDefault="00C2687A" w:rsidP="00C2687A">
            <w:pPr>
              <w:pStyle w:val="ListParagraph"/>
              <w:spacing w:after="0" w:line="240" w:lineRule="auto"/>
              <w:ind w:left="0"/>
              <w:rPr>
                <w:rFonts w:ascii="Arial" w:hAnsi="Arial" w:cs="Arial"/>
                <w:sz w:val="24"/>
                <w:szCs w:val="24"/>
              </w:rPr>
            </w:pPr>
            <w:r w:rsidRPr="00574873">
              <w:rPr>
                <w:rFonts w:ascii="Arial" w:hAnsi="Arial" w:cs="Arial"/>
                <w:sz w:val="24"/>
                <w:szCs w:val="24"/>
              </w:rPr>
              <w:t>Chair</w:t>
            </w:r>
          </w:p>
        </w:tc>
      </w:tr>
      <w:tr w:rsidR="00C2687A" w:rsidRPr="0053499F" w14:paraId="72E4DE86" w14:textId="77777777" w:rsidTr="00C2687A">
        <w:tc>
          <w:tcPr>
            <w:tcW w:w="3285" w:type="dxa"/>
          </w:tcPr>
          <w:p w14:paraId="631D8670" w14:textId="77777777" w:rsidR="00C2687A" w:rsidRPr="0053499F" w:rsidRDefault="00C2687A" w:rsidP="00C2687A">
            <w:pPr>
              <w:pStyle w:val="ListParagraph"/>
              <w:numPr>
                <w:ilvl w:val="0"/>
                <w:numId w:val="29"/>
              </w:numPr>
              <w:spacing w:after="0" w:line="240" w:lineRule="auto"/>
              <w:rPr>
                <w:rFonts w:ascii="Arial" w:hAnsi="Arial" w:cs="Arial"/>
                <w:sz w:val="24"/>
                <w:szCs w:val="24"/>
              </w:rPr>
            </w:pPr>
            <w:r w:rsidRPr="00574873">
              <w:rPr>
                <w:rFonts w:ascii="Arial" w:hAnsi="Arial" w:cs="Arial"/>
                <w:sz w:val="24"/>
                <w:szCs w:val="24"/>
              </w:rPr>
              <w:t>Mr Tom Wright</w:t>
            </w:r>
          </w:p>
        </w:tc>
        <w:tc>
          <w:tcPr>
            <w:tcW w:w="5021" w:type="dxa"/>
          </w:tcPr>
          <w:p w14:paraId="7EBB4F79" w14:textId="441420D5" w:rsidR="00C2687A" w:rsidRPr="0053499F" w:rsidRDefault="009F7F9B" w:rsidP="00C2687A">
            <w:pPr>
              <w:pStyle w:val="ListParagraph"/>
              <w:spacing w:after="0" w:line="240" w:lineRule="auto"/>
              <w:ind w:left="0"/>
              <w:rPr>
                <w:rFonts w:ascii="Arial" w:hAnsi="Arial" w:cs="Arial"/>
                <w:sz w:val="24"/>
                <w:szCs w:val="24"/>
              </w:rPr>
            </w:pPr>
            <w:r>
              <w:rPr>
                <w:rFonts w:ascii="Arial" w:hAnsi="Arial" w:cs="Arial"/>
                <w:sz w:val="24"/>
                <w:szCs w:val="24"/>
              </w:rPr>
              <w:t xml:space="preserve">NICE </w:t>
            </w:r>
            <w:r w:rsidR="00C2687A">
              <w:rPr>
                <w:rFonts w:ascii="Arial" w:hAnsi="Arial" w:cs="Arial"/>
                <w:sz w:val="24"/>
                <w:szCs w:val="24"/>
              </w:rPr>
              <w:t>Non-executive director</w:t>
            </w:r>
          </w:p>
        </w:tc>
      </w:tr>
      <w:tr w:rsidR="00C2687A" w:rsidRPr="0053499F" w14:paraId="143E769F" w14:textId="77777777" w:rsidTr="00C2687A">
        <w:tc>
          <w:tcPr>
            <w:tcW w:w="3285" w:type="dxa"/>
          </w:tcPr>
          <w:p w14:paraId="5139A766" w14:textId="77777777" w:rsidR="00C2687A" w:rsidRPr="0053499F" w:rsidRDefault="00C2687A" w:rsidP="00C2687A">
            <w:pPr>
              <w:pStyle w:val="ListParagraph"/>
              <w:numPr>
                <w:ilvl w:val="0"/>
                <w:numId w:val="29"/>
              </w:numPr>
              <w:spacing w:after="0" w:line="240" w:lineRule="auto"/>
              <w:rPr>
                <w:rFonts w:ascii="Arial" w:hAnsi="Arial" w:cs="Arial"/>
                <w:sz w:val="24"/>
                <w:szCs w:val="24"/>
              </w:rPr>
            </w:pPr>
            <w:r>
              <w:rPr>
                <w:rFonts w:ascii="Arial" w:hAnsi="Arial" w:cs="Arial"/>
                <w:sz w:val="24"/>
                <w:szCs w:val="24"/>
              </w:rPr>
              <w:t>Dr Biba Stanton</w:t>
            </w:r>
          </w:p>
        </w:tc>
        <w:tc>
          <w:tcPr>
            <w:tcW w:w="5021" w:type="dxa"/>
          </w:tcPr>
          <w:p w14:paraId="2BD7E37A" w14:textId="77777777" w:rsidR="00C2687A" w:rsidRPr="0053499F" w:rsidRDefault="00C2687A" w:rsidP="00C2687A">
            <w:pPr>
              <w:pStyle w:val="ListParagraph"/>
              <w:spacing w:after="0" w:line="240" w:lineRule="auto"/>
              <w:ind w:left="0"/>
              <w:rPr>
                <w:rFonts w:ascii="Arial" w:hAnsi="Arial" w:cs="Arial"/>
                <w:sz w:val="24"/>
                <w:szCs w:val="24"/>
              </w:rPr>
            </w:pPr>
            <w:r>
              <w:rPr>
                <w:rFonts w:ascii="Arial" w:hAnsi="Arial" w:cs="Arial"/>
                <w:sz w:val="24"/>
                <w:szCs w:val="24"/>
              </w:rPr>
              <w:t>NHS representative</w:t>
            </w:r>
          </w:p>
        </w:tc>
      </w:tr>
      <w:tr w:rsidR="00C2687A" w:rsidRPr="0053499F" w14:paraId="5B6CD3ED" w14:textId="77777777" w:rsidTr="00C2687A">
        <w:tc>
          <w:tcPr>
            <w:tcW w:w="3285" w:type="dxa"/>
          </w:tcPr>
          <w:p w14:paraId="3B596730" w14:textId="77777777" w:rsidR="00C2687A" w:rsidRPr="0053499F" w:rsidRDefault="00C2687A" w:rsidP="00C2687A">
            <w:pPr>
              <w:pStyle w:val="ListParagraph"/>
              <w:numPr>
                <w:ilvl w:val="0"/>
                <w:numId w:val="29"/>
              </w:numPr>
              <w:spacing w:after="0" w:line="240" w:lineRule="auto"/>
              <w:rPr>
                <w:rFonts w:ascii="Arial" w:hAnsi="Arial" w:cs="Arial"/>
                <w:sz w:val="24"/>
                <w:szCs w:val="24"/>
              </w:rPr>
            </w:pPr>
            <w:r>
              <w:rPr>
                <w:rFonts w:ascii="Arial" w:hAnsi="Arial" w:cs="Arial"/>
                <w:sz w:val="24"/>
                <w:szCs w:val="24"/>
              </w:rPr>
              <w:t>Dr Mark Chakravarty</w:t>
            </w:r>
          </w:p>
        </w:tc>
        <w:tc>
          <w:tcPr>
            <w:tcW w:w="5021" w:type="dxa"/>
          </w:tcPr>
          <w:p w14:paraId="6FD86378" w14:textId="77777777" w:rsidR="00C2687A" w:rsidRPr="0053499F" w:rsidRDefault="00C2687A" w:rsidP="00C2687A">
            <w:pPr>
              <w:pStyle w:val="ListParagraph"/>
              <w:spacing w:after="0" w:line="240" w:lineRule="auto"/>
              <w:ind w:left="0"/>
              <w:rPr>
                <w:rFonts w:ascii="Arial" w:hAnsi="Arial" w:cs="Arial"/>
                <w:sz w:val="24"/>
                <w:szCs w:val="24"/>
              </w:rPr>
            </w:pPr>
            <w:r>
              <w:rPr>
                <w:rFonts w:ascii="Arial" w:hAnsi="Arial" w:cs="Arial"/>
                <w:sz w:val="24"/>
                <w:szCs w:val="24"/>
              </w:rPr>
              <w:t>Industry representative</w:t>
            </w:r>
          </w:p>
        </w:tc>
      </w:tr>
      <w:tr w:rsidR="00C2687A" w:rsidRPr="0053499F" w14:paraId="0A96B017" w14:textId="77777777" w:rsidTr="00C2687A">
        <w:trPr>
          <w:trHeight w:val="80"/>
        </w:trPr>
        <w:tc>
          <w:tcPr>
            <w:tcW w:w="3285" w:type="dxa"/>
          </w:tcPr>
          <w:p w14:paraId="790B0323" w14:textId="77777777" w:rsidR="00C2687A" w:rsidRPr="0053499F" w:rsidRDefault="00C2687A" w:rsidP="00C2687A">
            <w:pPr>
              <w:pStyle w:val="ListParagraph"/>
              <w:numPr>
                <w:ilvl w:val="0"/>
                <w:numId w:val="29"/>
              </w:numPr>
              <w:spacing w:after="0" w:line="240" w:lineRule="auto"/>
              <w:rPr>
                <w:rFonts w:ascii="Arial" w:hAnsi="Arial" w:cs="Arial"/>
                <w:sz w:val="24"/>
                <w:szCs w:val="24"/>
              </w:rPr>
            </w:pPr>
            <w:r>
              <w:rPr>
                <w:rFonts w:ascii="Arial" w:hAnsi="Arial" w:cs="Arial"/>
                <w:sz w:val="24"/>
                <w:szCs w:val="24"/>
              </w:rPr>
              <w:t>Mr John Morris</w:t>
            </w:r>
          </w:p>
        </w:tc>
        <w:tc>
          <w:tcPr>
            <w:tcW w:w="5021" w:type="dxa"/>
          </w:tcPr>
          <w:p w14:paraId="36843FF7" w14:textId="77777777" w:rsidR="00C2687A" w:rsidRPr="0053499F" w:rsidRDefault="00C2687A" w:rsidP="00C2687A">
            <w:pPr>
              <w:pStyle w:val="ListParagraph"/>
              <w:spacing w:after="0" w:line="240" w:lineRule="auto"/>
              <w:ind w:left="0"/>
              <w:rPr>
                <w:rFonts w:ascii="Arial" w:hAnsi="Arial" w:cs="Arial"/>
                <w:sz w:val="24"/>
                <w:szCs w:val="24"/>
              </w:rPr>
            </w:pPr>
            <w:r>
              <w:rPr>
                <w:rFonts w:ascii="Arial" w:hAnsi="Arial" w:cs="Arial"/>
                <w:sz w:val="24"/>
                <w:szCs w:val="24"/>
              </w:rPr>
              <w:t>Lay representative</w:t>
            </w:r>
          </w:p>
        </w:tc>
      </w:tr>
    </w:tbl>
    <w:p w14:paraId="51EE0F29" w14:textId="77777777" w:rsidR="00331F9B" w:rsidRPr="0053499F" w:rsidRDefault="00331F9B" w:rsidP="00CA0C8B">
      <w:pPr>
        <w:pStyle w:val="Paragraphnonumbers"/>
        <w:spacing w:after="0" w:line="240" w:lineRule="auto"/>
      </w:pPr>
    </w:p>
    <w:p w14:paraId="34C88990" w14:textId="77777777" w:rsidR="001B4BDF" w:rsidRPr="0053499F" w:rsidRDefault="001B4BDF" w:rsidP="001B4BDF">
      <w:pPr>
        <w:pStyle w:val="Paragraphnonumbers"/>
        <w:numPr>
          <w:ilvl w:val="0"/>
          <w:numId w:val="21"/>
        </w:numPr>
        <w:spacing w:after="0" w:line="240" w:lineRule="auto"/>
      </w:pPr>
      <w:r w:rsidRPr="0053499F">
        <w:rPr>
          <w:rFonts w:cs="Arial"/>
          <w:sz w:val="24"/>
          <w:szCs w:val="24"/>
        </w:rPr>
        <w:t xml:space="preserve">None of the members of the </w:t>
      </w:r>
      <w:r w:rsidR="00331F9B" w:rsidRPr="0053499F">
        <w:rPr>
          <w:rFonts w:cs="Arial"/>
          <w:sz w:val="24"/>
          <w:szCs w:val="24"/>
        </w:rPr>
        <w:t>a</w:t>
      </w:r>
      <w:r w:rsidRPr="0053499F">
        <w:rPr>
          <w:rFonts w:cs="Arial"/>
          <w:sz w:val="24"/>
          <w:szCs w:val="24"/>
        </w:rPr>
        <w:t xml:space="preserve">ppeal </w:t>
      </w:r>
      <w:r w:rsidR="00331F9B" w:rsidRPr="0053499F">
        <w:rPr>
          <w:rFonts w:cs="Arial"/>
          <w:sz w:val="24"/>
          <w:szCs w:val="24"/>
        </w:rPr>
        <w:t>p</w:t>
      </w:r>
      <w:r w:rsidRPr="0053499F">
        <w:rPr>
          <w:rFonts w:cs="Arial"/>
          <w:sz w:val="24"/>
          <w:szCs w:val="24"/>
        </w:rPr>
        <w:t>anel had any competing interest to declare</w:t>
      </w:r>
      <w:r w:rsidR="003B52EE" w:rsidRPr="0053499F">
        <w:rPr>
          <w:rFonts w:cs="Arial"/>
          <w:sz w:val="24"/>
          <w:szCs w:val="24"/>
        </w:rPr>
        <w:t>.</w:t>
      </w:r>
      <w:r w:rsidRPr="0053499F">
        <w:rPr>
          <w:rFonts w:cs="Arial"/>
          <w:sz w:val="24"/>
          <w:szCs w:val="24"/>
        </w:rPr>
        <w:t xml:space="preserve"> </w:t>
      </w:r>
    </w:p>
    <w:p w14:paraId="0C5221D9" w14:textId="77777777" w:rsidR="001B4BDF" w:rsidRPr="0053499F" w:rsidRDefault="001B4BDF" w:rsidP="001B4BDF">
      <w:pPr>
        <w:pStyle w:val="ListParagraph"/>
        <w:spacing w:after="0" w:line="240" w:lineRule="auto"/>
      </w:pPr>
    </w:p>
    <w:p w14:paraId="45E92EB7" w14:textId="77777777" w:rsidR="001B4BDF" w:rsidRPr="0053499F" w:rsidRDefault="00C2687A" w:rsidP="001B4BDF">
      <w:pPr>
        <w:pStyle w:val="Paragraphnonumbers"/>
        <w:numPr>
          <w:ilvl w:val="0"/>
          <w:numId w:val="21"/>
        </w:numPr>
        <w:spacing w:after="0" w:line="240" w:lineRule="auto"/>
      </w:pPr>
      <w:r>
        <w:rPr>
          <w:rFonts w:cs="Arial"/>
          <w:sz w:val="24"/>
          <w:szCs w:val="24"/>
        </w:rPr>
        <w:t>The panel considered an appeal</w:t>
      </w:r>
      <w:r w:rsidR="00E71E2B" w:rsidRPr="0053499F">
        <w:rPr>
          <w:rFonts w:cs="Arial"/>
          <w:sz w:val="24"/>
          <w:szCs w:val="24"/>
        </w:rPr>
        <w:t xml:space="preserve"> submitted by </w:t>
      </w:r>
      <w:r w:rsidR="00B86613">
        <w:rPr>
          <w:rFonts w:cs="Arial"/>
          <w:sz w:val="24"/>
          <w:szCs w:val="24"/>
        </w:rPr>
        <w:t xml:space="preserve">Merck Sharp &amp; Dohme (MSD), the company.  </w:t>
      </w:r>
    </w:p>
    <w:p w14:paraId="1DB1F4C1" w14:textId="77777777" w:rsidR="00E71E2B" w:rsidRPr="0053499F" w:rsidRDefault="00E71E2B" w:rsidP="00E71E2B">
      <w:pPr>
        <w:pStyle w:val="ListParagraph"/>
        <w:spacing w:after="0" w:line="240" w:lineRule="auto"/>
        <w:rPr>
          <w:rFonts w:ascii="Arial" w:hAnsi="Arial" w:cs="Arial"/>
          <w:sz w:val="24"/>
          <w:szCs w:val="24"/>
        </w:rPr>
      </w:pPr>
    </w:p>
    <w:p w14:paraId="4F075486" w14:textId="77777777" w:rsidR="00E71E2B" w:rsidRPr="0053499F" w:rsidRDefault="00B86613" w:rsidP="00E71E2B">
      <w:pPr>
        <w:pStyle w:val="Paragraphnonumbers"/>
        <w:numPr>
          <w:ilvl w:val="0"/>
          <w:numId w:val="21"/>
        </w:numPr>
        <w:spacing w:after="0" w:line="240" w:lineRule="auto"/>
        <w:rPr>
          <w:rFonts w:cs="Arial"/>
        </w:rPr>
      </w:pPr>
      <w:r>
        <w:rPr>
          <w:rFonts w:cs="Arial"/>
          <w:sz w:val="24"/>
          <w:szCs w:val="24"/>
        </w:rPr>
        <w:t>MSD</w:t>
      </w:r>
      <w:r w:rsidR="00E71E2B" w:rsidRPr="0053499F">
        <w:rPr>
          <w:rFonts w:cs="Arial"/>
          <w:sz w:val="24"/>
          <w:szCs w:val="24"/>
        </w:rPr>
        <w:t xml:space="preserve"> was represented by</w:t>
      </w:r>
      <w:r w:rsidR="004022D2" w:rsidRPr="0053499F">
        <w:rPr>
          <w:rFonts w:cs="Arial"/>
          <w:sz w:val="24"/>
          <w:szCs w:val="24"/>
        </w:rPr>
        <w:t>:</w:t>
      </w:r>
      <w:r w:rsidR="00E71E2B" w:rsidRPr="0053499F">
        <w:rPr>
          <w:rFonts w:cs="Arial"/>
          <w:color w:val="FF0000"/>
        </w:rPr>
        <w:t xml:space="preserve"> </w:t>
      </w:r>
    </w:p>
    <w:p w14:paraId="67426C4C" w14:textId="77777777" w:rsidR="00E71E2B" w:rsidRPr="0053499F" w:rsidRDefault="00E71E2B" w:rsidP="00E71E2B">
      <w:pPr>
        <w:pStyle w:val="ListParagraph"/>
        <w:rPr>
          <w:rFonts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5022"/>
      </w:tblGrid>
      <w:tr w:rsidR="004022D2" w:rsidRPr="0053499F" w14:paraId="51D25F84" w14:textId="77777777" w:rsidTr="00CA0C8B">
        <w:tc>
          <w:tcPr>
            <w:tcW w:w="3357" w:type="dxa"/>
          </w:tcPr>
          <w:p w14:paraId="7A4194B8" w14:textId="77777777" w:rsidR="004022D2" w:rsidRPr="003331AB" w:rsidRDefault="00B86613" w:rsidP="00B86613">
            <w:pPr>
              <w:pStyle w:val="ListParagraph"/>
              <w:numPr>
                <w:ilvl w:val="0"/>
                <w:numId w:val="29"/>
              </w:numPr>
              <w:spacing w:after="0" w:line="240" w:lineRule="auto"/>
              <w:contextualSpacing w:val="0"/>
              <w:rPr>
                <w:rFonts w:ascii="Arial" w:hAnsi="Arial" w:cs="Arial"/>
                <w:sz w:val="24"/>
                <w:szCs w:val="24"/>
              </w:rPr>
            </w:pPr>
            <w:r w:rsidRPr="005F4A47">
              <w:rPr>
                <w:rFonts w:ascii="Arial" w:hAnsi="Arial" w:cs="Arial"/>
                <w:sz w:val="24"/>
                <w:szCs w:val="24"/>
              </w:rPr>
              <w:t>Benjamin Bates</w:t>
            </w:r>
            <w:r w:rsidR="004022D2" w:rsidRPr="003331AB">
              <w:rPr>
                <w:rFonts w:ascii="Arial" w:hAnsi="Arial" w:cs="Arial"/>
                <w:sz w:val="24"/>
                <w:szCs w:val="24"/>
              </w:rPr>
              <w:t xml:space="preserve"> </w:t>
            </w:r>
          </w:p>
        </w:tc>
        <w:tc>
          <w:tcPr>
            <w:tcW w:w="5165" w:type="dxa"/>
          </w:tcPr>
          <w:p w14:paraId="40F35360" w14:textId="77777777" w:rsidR="004022D2" w:rsidRPr="00B86613" w:rsidRDefault="00B86613" w:rsidP="00CA0C8B">
            <w:pPr>
              <w:pStyle w:val="ListParagraph"/>
              <w:spacing w:after="0" w:line="240" w:lineRule="auto"/>
              <w:ind w:left="0"/>
              <w:contextualSpacing w:val="0"/>
              <w:rPr>
                <w:rFonts w:ascii="Arial" w:hAnsi="Arial" w:cs="Arial"/>
                <w:sz w:val="24"/>
                <w:szCs w:val="24"/>
              </w:rPr>
            </w:pPr>
            <w:r w:rsidRPr="00B86613">
              <w:rPr>
                <w:rFonts w:ascii="Arial" w:hAnsi="Arial" w:cs="Arial"/>
                <w:sz w:val="24"/>
                <w:szCs w:val="24"/>
              </w:rPr>
              <w:t>Health economics manager, MSD</w:t>
            </w:r>
          </w:p>
        </w:tc>
      </w:tr>
      <w:tr w:rsidR="004022D2" w:rsidRPr="0053499F" w14:paraId="58539AD1" w14:textId="77777777" w:rsidTr="00CA0C8B">
        <w:tc>
          <w:tcPr>
            <w:tcW w:w="3357" w:type="dxa"/>
          </w:tcPr>
          <w:p w14:paraId="0EA73C66" w14:textId="77777777" w:rsidR="004022D2" w:rsidRPr="003331AB" w:rsidRDefault="00B86613" w:rsidP="00CA0C8B">
            <w:pPr>
              <w:pStyle w:val="ListParagraph"/>
              <w:numPr>
                <w:ilvl w:val="0"/>
                <w:numId w:val="29"/>
              </w:numPr>
              <w:spacing w:after="0" w:line="240" w:lineRule="auto"/>
              <w:contextualSpacing w:val="0"/>
              <w:rPr>
                <w:rFonts w:ascii="Arial" w:hAnsi="Arial" w:cs="Arial"/>
                <w:sz w:val="24"/>
                <w:szCs w:val="24"/>
              </w:rPr>
            </w:pPr>
            <w:r w:rsidRPr="003331AB">
              <w:rPr>
                <w:rFonts w:ascii="Arial" w:hAnsi="Arial" w:cs="Arial"/>
                <w:sz w:val="24"/>
                <w:szCs w:val="24"/>
              </w:rPr>
              <w:t>Grant Castle</w:t>
            </w:r>
          </w:p>
        </w:tc>
        <w:tc>
          <w:tcPr>
            <w:tcW w:w="5165" w:type="dxa"/>
          </w:tcPr>
          <w:p w14:paraId="40C4C8AE" w14:textId="77777777" w:rsidR="004022D2" w:rsidRPr="0053499F" w:rsidRDefault="00B86613" w:rsidP="00CA0C8B">
            <w:pPr>
              <w:pStyle w:val="ListParagraph"/>
              <w:spacing w:after="0" w:line="240" w:lineRule="auto"/>
              <w:ind w:left="0"/>
              <w:contextualSpacing w:val="0"/>
              <w:rPr>
                <w:rFonts w:ascii="Arial" w:hAnsi="Arial" w:cs="Arial"/>
                <w:sz w:val="24"/>
                <w:szCs w:val="24"/>
              </w:rPr>
            </w:pPr>
            <w:r>
              <w:rPr>
                <w:rFonts w:ascii="Arial" w:hAnsi="Arial" w:cs="Arial"/>
                <w:sz w:val="24"/>
                <w:szCs w:val="24"/>
              </w:rPr>
              <w:t xml:space="preserve">Partner, </w:t>
            </w:r>
            <w:r>
              <w:rPr>
                <w:rFonts w:ascii="Arial" w:hAnsi="Arial" w:cs="Arial"/>
              </w:rPr>
              <w:t>Covington &amp; Burling LLP</w:t>
            </w:r>
          </w:p>
        </w:tc>
      </w:tr>
      <w:tr w:rsidR="004022D2" w:rsidRPr="0053499F" w14:paraId="4FEC6C77" w14:textId="77777777" w:rsidTr="00CA0C8B">
        <w:tc>
          <w:tcPr>
            <w:tcW w:w="3357" w:type="dxa"/>
          </w:tcPr>
          <w:p w14:paraId="1A673B70" w14:textId="77777777" w:rsidR="004022D2" w:rsidRPr="003331AB" w:rsidRDefault="00B86613" w:rsidP="00CA0C8B">
            <w:pPr>
              <w:pStyle w:val="ListParagraph"/>
              <w:numPr>
                <w:ilvl w:val="0"/>
                <w:numId w:val="29"/>
              </w:numPr>
              <w:spacing w:after="0" w:line="240" w:lineRule="auto"/>
              <w:contextualSpacing w:val="0"/>
              <w:rPr>
                <w:rFonts w:ascii="Arial" w:hAnsi="Arial" w:cs="Arial"/>
                <w:sz w:val="24"/>
                <w:szCs w:val="24"/>
              </w:rPr>
            </w:pPr>
            <w:r w:rsidRPr="005F4A47">
              <w:rPr>
                <w:rFonts w:ascii="Arial" w:hAnsi="Arial" w:cs="Arial"/>
                <w:sz w:val="24"/>
                <w:szCs w:val="24"/>
              </w:rPr>
              <w:t>Dr Simon Crabb</w:t>
            </w:r>
          </w:p>
        </w:tc>
        <w:tc>
          <w:tcPr>
            <w:tcW w:w="5165" w:type="dxa"/>
          </w:tcPr>
          <w:p w14:paraId="056006AA" w14:textId="77777777" w:rsidR="004022D2" w:rsidRPr="0053499F" w:rsidRDefault="00B86613" w:rsidP="00CA0C8B">
            <w:pPr>
              <w:pStyle w:val="ListParagraph"/>
              <w:spacing w:after="0" w:line="240" w:lineRule="auto"/>
              <w:ind w:left="0"/>
              <w:contextualSpacing w:val="0"/>
              <w:rPr>
                <w:rFonts w:ascii="Arial" w:hAnsi="Arial" w:cs="Arial"/>
                <w:sz w:val="24"/>
                <w:szCs w:val="24"/>
              </w:rPr>
            </w:pPr>
            <w:r>
              <w:rPr>
                <w:rFonts w:ascii="Arial" w:hAnsi="Arial" w:cs="Arial"/>
                <w:sz w:val="24"/>
                <w:szCs w:val="24"/>
              </w:rPr>
              <w:t>Associate Professor of Medical Oncology, University of Southampton</w:t>
            </w:r>
          </w:p>
        </w:tc>
      </w:tr>
      <w:tr w:rsidR="004022D2" w:rsidRPr="0053499F" w14:paraId="0615F26A" w14:textId="77777777" w:rsidTr="00CA0C8B">
        <w:tc>
          <w:tcPr>
            <w:tcW w:w="3357" w:type="dxa"/>
          </w:tcPr>
          <w:p w14:paraId="3C0A00B9" w14:textId="77777777" w:rsidR="004022D2" w:rsidRPr="003331AB" w:rsidRDefault="00B86613" w:rsidP="00CA0C8B">
            <w:pPr>
              <w:pStyle w:val="ListParagraph"/>
              <w:numPr>
                <w:ilvl w:val="0"/>
                <w:numId w:val="29"/>
              </w:numPr>
              <w:spacing w:after="0" w:line="240" w:lineRule="auto"/>
              <w:contextualSpacing w:val="0"/>
              <w:rPr>
                <w:rFonts w:ascii="Arial" w:hAnsi="Arial" w:cs="Arial"/>
                <w:sz w:val="24"/>
                <w:szCs w:val="24"/>
              </w:rPr>
            </w:pPr>
            <w:r w:rsidRPr="005F4A47">
              <w:rPr>
                <w:rFonts w:ascii="Arial" w:hAnsi="Arial" w:cs="Arial"/>
                <w:sz w:val="24"/>
                <w:szCs w:val="24"/>
              </w:rPr>
              <w:t>Kalpana D’Oca</w:t>
            </w:r>
          </w:p>
        </w:tc>
        <w:tc>
          <w:tcPr>
            <w:tcW w:w="5165" w:type="dxa"/>
          </w:tcPr>
          <w:p w14:paraId="66CA9DD5" w14:textId="77777777" w:rsidR="004022D2" w:rsidRPr="0053499F" w:rsidRDefault="00B86613" w:rsidP="00CA0C8B">
            <w:pPr>
              <w:pStyle w:val="ListParagraph"/>
              <w:spacing w:after="0" w:line="240" w:lineRule="auto"/>
              <w:ind w:left="0"/>
              <w:contextualSpacing w:val="0"/>
              <w:rPr>
                <w:rFonts w:ascii="Arial" w:hAnsi="Arial" w:cs="Arial"/>
                <w:sz w:val="24"/>
                <w:szCs w:val="24"/>
              </w:rPr>
            </w:pPr>
            <w:r>
              <w:rPr>
                <w:rFonts w:ascii="Arial" w:hAnsi="Arial" w:cs="Arial"/>
                <w:sz w:val="24"/>
                <w:szCs w:val="24"/>
              </w:rPr>
              <w:t>Team Leader, HTA &amp; OR, MSD</w:t>
            </w:r>
          </w:p>
        </w:tc>
      </w:tr>
      <w:tr w:rsidR="004022D2" w:rsidRPr="0053499F" w14:paraId="4ED954A1" w14:textId="77777777" w:rsidTr="00CA0C8B">
        <w:tc>
          <w:tcPr>
            <w:tcW w:w="3357" w:type="dxa"/>
          </w:tcPr>
          <w:p w14:paraId="13016D8E" w14:textId="77777777" w:rsidR="004022D2" w:rsidRPr="003331AB" w:rsidRDefault="00B86613" w:rsidP="00CA0C8B">
            <w:pPr>
              <w:pStyle w:val="ListParagraph"/>
              <w:numPr>
                <w:ilvl w:val="0"/>
                <w:numId w:val="29"/>
              </w:numPr>
              <w:spacing w:after="0" w:line="240" w:lineRule="auto"/>
              <w:contextualSpacing w:val="0"/>
              <w:rPr>
                <w:rFonts w:ascii="Arial" w:hAnsi="Arial" w:cs="Arial"/>
                <w:sz w:val="24"/>
                <w:szCs w:val="24"/>
              </w:rPr>
            </w:pPr>
            <w:r w:rsidRPr="005F4A47">
              <w:rPr>
                <w:rFonts w:ascii="Arial" w:hAnsi="Arial" w:cs="Arial"/>
                <w:sz w:val="24"/>
                <w:szCs w:val="24"/>
              </w:rPr>
              <w:t>Keiron Hughes</w:t>
            </w:r>
          </w:p>
        </w:tc>
        <w:tc>
          <w:tcPr>
            <w:tcW w:w="5165" w:type="dxa"/>
          </w:tcPr>
          <w:p w14:paraId="38D49809" w14:textId="77777777" w:rsidR="004022D2" w:rsidRPr="0053499F" w:rsidRDefault="00B86613" w:rsidP="00CA0C8B">
            <w:pPr>
              <w:pStyle w:val="ListParagraph"/>
              <w:spacing w:after="0" w:line="240" w:lineRule="auto"/>
              <w:ind w:left="0"/>
              <w:contextualSpacing w:val="0"/>
              <w:rPr>
                <w:rFonts w:ascii="Arial" w:hAnsi="Arial" w:cs="Arial"/>
                <w:sz w:val="24"/>
                <w:szCs w:val="24"/>
              </w:rPr>
            </w:pPr>
            <w:r>
              <w:rPr>
                <w:rFonts w:ascii="Arial" w:hAnsi="Arial" w:cs="Arial"/>
                <w:sz w:val="24"/>
                <w:szCs w:val="24"/>
              </w:rPr>
              <w:t>Head of Strategic Pricing, MSD</w:t>
            </w:r>
          </w:p>
        </w:tc>
      </w:tr>
    </w:tbl>
    <w:p w14:paraId="029089A5" w14:textId="77777777" w:rsidR="004022D2" w:rsidRPr="0053499F" w:rsidRDefault="004022D2" w:rsidP="00E71E2B">
      <w:pPr>
        <w:pStyle w:val="ListParagraph"/>
        <w:rPr>
          <w:rFonts w:cs="Arial"/>
        </w:rPr>
      </w:pPr>
    </w:p>
    <w:p w14:paraId="76C03651" w14:textId="77777777" w:rsidR="00E71E2B" w:rsidRPr="0053499F" w:rsidRDefault="00E71E2B" w:rsidP="00E71E2B">
      <w:pPr>
        <w:pStyle w:val="Paragraphnonumbers"/>
        <w:numPr>
          <w:ilvl w:val="0"/>
          <w:numId w:val="21"/>
        </w:numPr>
        <w:spacing w:after="0" w:line="240" w:lineRule="auto"/>
        <w:rPr>
          <w:rFonts w:cs="Arial"/>
          <w:sz w:val="24"/>
          <w:szCs w:val="24"/>
        </w:rPr>
      </w:pPr>
      <w:r w:rsidRPr="0053499F">
        <w:rPr>
          <w:rFonts w:cs="Arial"/>
          <w:sz w:val="24"/>
          <w:szCs w:val="24"/>
        </w:rPr>
        <w:t xml:space="preserve">In addition the following individuals involved in the appraisal were present and available to answer questions from the </w:t>
      </w:r>
      <w:r w:rsidR="00331F9B" w:rsidRPr="0053499F">
        <w:rPr>
          <w:rFonts w:cs="Arial"/>
          <w:sz w:val="24"/>
          <w:szCs w:val="24"/>
        </w:rPr>
        <w:t>a</w:t>
      </w:r>
      <w:r w:rsidRPr="0053499F">
        <w:rPr>
          <w:rFonts w:cs="Arial"/>
          <w:sz w:val="24"/>
          <w:szCs w:val="24"/>
        </w:rPr>
        <w:t xml:space="preserve">ppeal </w:t>
      </w:r>
      <w:r w:rsidR="00331F9B" w:rsidRPr="0053499F">
        <w:rPr>
          <w:rFonts w:cs="Arial"/>
          <w:sz w:val="24"/>
          <w:szCs w:val="24"/>
        </w:rPr>
        <w:t>p</w:t>
      </w:r>
      <w:r w:rsidRPr="0053499F">
        <w:rPr>
          <w:rFonts w:cs="Arial"/>
          <w:sz w:val="24"/>
          <w:szCs w:val="24"/>
        </w:rPr>
        <w:t>anel</w:t>
      </w:r>
      <w:r w:rsidR="00331F9B" w:rsidRPr="0053499F">
        <w:rPr>
          <w:rFonts w:cs="Arial"/>
          <w:sz w:val="24"/>
          <w:szCs w:val="24"/>
        </w:rPr>
        <w:t>:</w:t>
      </w:r>
    </w:p>
    <w:p w14:paraId="46F0B8F0" w14:textId="77777777" w:rsidR="00331F9B" w:rsidRPr="0053499F" w:rsidRDefault="00331F9B" w:rsidP="00331F9B">
      <w:pPr>
        <w:pStyle w:val="Paragraphnonumbers"/>
        <w:spacing w:after="0" w:line="240" w:lineRule="auto"/>
        <w:ind w:left="360"/>
        <w:rPr>
          <w:rFonts w:cs="Arial"/>
          <w:color w:val="FF0000"/>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5022"/>
      </w:tblGrid>
      <w:tr w:rsidR="00331F9B" w:rsidRPr="0053499F" w14:paraId="4665C66C" w14:textId="77777777" w:rsidTr="005246B8">
        <w:tc>
          <w:tcPr>
            <w:tcW w:w="3284" w:type="dxa"/>
          </w:tcPr>
          <w:p w14:paraId="07D4E39E" w14:textId="77777777" w:rsidR="00F86060" w:rsidRDefault="00F86060" w:rsidP="00CA0C8B">
            <w:pPr>
              <w:pStyle w:val="ListParagraph"/>
              <w:numPr>
                <w:ilvl w:val="0"/>
                <w:numId w:val="29"/>
              </w:numPr>
              <w:spacing w:after="0" w:line="240" w:lineRule="auto"/>
              <w:rPr>
                <w:rFonts w:ascii="Arial" w:hAnsi="Arial" w:cs="Arial"/>
                <w:sz w:val="24"/>
                <w:szCs w:val="24"/>
              </w:rPr>
            </w:pPr>
            <w:r>
              <w:rPr>
                <w:rFonts w:ascii="Arial" w:hAnsi="Arial" w:cs="Arial"/>
                <w:sz w:val="24"/>
                <w:szCs w:val="24"/>
              </w:rPr>
              <w:t>Dr Lindsay Smith</w:t>
            </w:r>
          </w:p>
          <w:p w14:paraId="0D2CD927" w14:textId="77777777" w:rsidR="00331F9B" w:rsidRPr="0053499F" w:rsidRDefault="00B86613" w:rsidP="00CA0C8B">
            <w:pPr>
              <w:pStyle w:val="ListParagraph"/>
              <w:numPr>
                <w:ilvl w:val="0"/>
                <w:numId w:val="29"/>
              </w:numPr>
              <w:spacing w:after="0" w:line="240" w:lineRule="auto"/>
              <w:rPr>
                <w:rFonts w:ascii="Arial" w:hAnsi="Arial" w:cs="Arial"/>
                <w:sz w:val="24"/>
                <w:szCs w:val="24"/>
              </w:rPr>
            </w:pPr>
            <w:r>
              <w:rPr>
                <w:rFonts w:ascii="Arial" w:hAnsi="Arial" w:cs="Arial"/>
                <w:sz w:val="24"/>
                <w:szCs w:val="24"/>
              </w:rPr>
              <w:t>Nicola Hay</w:t>
            </w:r>
          </w:p>
        </w:tc>
        <w:tc>
          <w:tcPr>
            <w:tcW w:w="5022" w:type="dxa"/>
          </w:tcPr>
          <w:p w14:paraId="0C935BDA" w14:textId="7FFC89E2" w:rsidR="00F86060" w:rsidRDefault="005246B8" w:rsidP="00B86613">
            <w:pPr>
              <w:pStyle w:val="ListParagraph"/>
              <w:spacing w:after="0" w:line="240" w:lineRule="auto"/>
              <w:ind w:left="0"/>
              <w:rPr>
                <w:rFonts w:ascii="Arial" w:hAnsi="Arial" w:cs="Arial"/>
                <w:sz w:val="24"/>
                <w:szCs w:val="24"/>
              </w:rPr>
            </w:pPr>
            <w:r>
              <w:rPr>
                <w:rFonts w:ascii="Arial" w:hAnsi="Arial" w:cs="Arial"/>
                <w:sz w:val="24"/>
                <w:szCs w:val="24"/>
              </w:rPr>
              <w:t xml:space="preserve">Committee Chair </w:t>
            </w:r>
            <w:r w:rsidR="00F86060">
              <w:rPr>
                <w:rFonts w:ascii="Arial" w:hAnsi="Arial" w:cs="Arial"/>
                <w:sz w:val="24"/>
                <w:szCs w:val="24"/>
              </w:rPr>
              <w:t>TAC D (for this appraisal)</w:t>
            </w:r>
          </w:p>
          <w:p w14:paraId="0C3773E5" w14:textId="77777777" w:rsidR="00331F9B" w:rsidRPr="0053499F" w:rsidRDefault="00F86060" w:rsidP="00B86613">
            <w:pPr>
              <w:pStyle w:val="ListParagraph"/>
              <w:spacing w:after="0" w:line="240" w:lineRule="auto"/>
              <w:ind w:left="0"/>
              <w:rPr>
                <w:rFonts w:ascii="Arial" w:hAnsi="Arial" w:cs="Arial"/>
                <w:sz w:val="24"/>
                <w:szCs w:val="24"/>
              </w:rPr>
            </w:pPr>
            <w:r>
              <w:rPr>
                <w:rFonts w:ascii="Arial" w:hAnsi="Arial" w:cs="Arial"/>
                <w:sz w:val="24"/>
                <w:szCs w:val="24"/>
              </w:rPr>
              <w:t>T</w:t>
            </w:r>
            <w:r w:rsidR="00B86613">
              <w:rPr>
                <w:rFonts w:ascii="Arial" w:hAnsi="Arial" w:cs="Arial"/>
                <w:sz w:val="24"/>
                <w:szCs w:val="24"/>
              </w:rPr>
              <w:t>echnical advisor</w:t>
            </w:r>
          </w:p>
        </w:tc>
      </w:tr>
      <w:tr w:rsidR="00331F9B" w:rsidRPr="0053499F" w14:paraId="385ADFBF" w14:textId="77777777" w:rsidTr="005246B8">
        <w:tc>
          <w:tcPr>
            <w:tcW w:w="3284" w:type="dxa"/>
          </w:tcPr>
          <w:p w14:paraId="4979F9D8" w14:textId="77777777" w:rsidR="00331F9B" w:rsidRPr="0053499F" w:rsidRDefault="00B86613" w:rsidP="00CA0C8B">
            <w:pPr>
              <w:pStyle w:val="ListParagraph"/>
              <w:numPr>
                <w:ilvl w:val="0"/>
                <w:numId w:val="29"/>
              </w:numPr>
              <w:spacing w:after="0" w:line="240" w:lineRule="auto"/>
              <w:rPr>
                <w:rFonts w:ascii="Arial" w:hAnsi="Arial" w:cs="Arial"/>
                <w:sz w:val="24"/>
                <w:szCs w:val="24"/>
              </w:rPr>
            </w:pPr>
            <w:r>
              <w:rPr>
                <w:rFonts w:ascii="Arial" w:hAnsi="Arial" w:cs="Arial"/>
                <w:sz w:val="24"/>
                <w:szCs w:val="24"/>
              </w:rPr>
              <w:t>Helen Knight</w:t>
            </w:r>
          </w:p>
        </w:tc>
        <w:tc>
          <w:tcPr>
            <w:tcW w:w="5022" w:type="dxa"/>
          </w:tcPr>
          <w:p w14:paraId="6772C0C9" w14:textId="77777777" w:rsidR="00331F9B" w:rsidRPr="0053499F" w:rsidRDefault="00B86613" w:rsidP="00B86613">
            <w:pPr>
              <w:pStyle w:val="ListParagraph"/>
              <w:spacing w:after="0" w:line="240" w:lineRule="auto"/>
              <w:ind w:left="0"/>
              <w:rPr>
                <w:rFonts w:ascii="Arial" w:hAnsi="Arial" w:cs="Arial"/>
                <w:sz w:val="24"/>
                <w:szCs w:val="24"/>
              </w:rPr>
            </w:pPr>
            <w:r>
              <w:rPr>
                <w:rFonts w:ascii="Arial" w:hAnsi="Arial" w:cs="Arial"/>
                <w:sz w:val="24"/>
                <w:szCs w:val="24"/>
              </w:rPr>
              <w:t>Programme director</w:t>
            </w:r>
          </w:p>
        </w:tc>
      </w:tr>
      <w:tr w:rsidR="00331F9B" w:rsidRPr="0053499F" w14:paraId="2D695122" w14:textId="77777777" w:rsidTr="005246B8">
        <w:tc>
          <w:tcPr>
            <w:tcW w:w="3284" w:type="dxa"/>
          </w:tcPr>
          <w:p w14:paraId="11467E7A" w14:textId="77777777" w:rsidR="00331F9B" w:rsidRPr="0053499F" w:rsidRDefault="00B86613" w:rsidP="00CA0C8B">
            <w:pPr>
              <w:pStyle w:val="ListParagraph"/>
              <w:numPr>
                <w:ilvl w:val="0"/>
                <w:numId w:val="29"/>
              </w:numPr>
              <w:spacing w:after="0" w:line="240" w:lineRule="auto"/>
              <w:rPr>
                <w:rFonts w:ascii="Arial" w:hAnsi="Arial" w:cs="Arial"/>
                <w:sz w:val="24"/>
                <w:szCs w:val="24"/>
              </w:rPr>
            </w:pPr>
            <w:r>
              <w:rPr>
                <w:rFonts w:ascii="Arial" w:hAnsi="Arial" w:cs="Arial"/>
                <w:sz w:val="24"/>
                <w:szCs w:val="24"/>
              </w:rPr>
              <w:t>Linda Landells</w:t>
            </w:r>
          </w:p>
        </w:tc>
        <w:tc>
          <w:tcPr>
            <w:tcW w:w="5022" w:type="dxa"/>
          </w:tcPr>
          <w:p w14:paraId="586ECADC" w14:textId="77777777" w:rsidR="00331F9B" w:rsidRPr="0053499F" w:rsidRDefault="00B86613" w:rsidP="00B86613">
            <w:pPr>
              <w:pStyle w:val="ListParagraph"/>
              <w:spacing w:after="0" w:line="240" w:lineRule="auto"/>
              <w:ind w:left="0"/>
              <w:rPr>
                <w:rFonts w:ascii="Arial" w:hAnsi="Arial" w:cs="Arial"/>
                <w:sz w:val="24"/>
                <w:szCs w:val="24"/>
              </w:rPr>
            </w:pPr>
            <w:r>
              <w:rPr>
                <w:rFonts w:ascii="Arial" w:hAnsi="Arial" w:cs="Arial"/>
                <w:sz w:val="24"/>
                <w:szCs w:val="24"/>
              </w:rPr>
              <w:t>Associate director</w:t>
            </w:r>
          </w:p>
        </w:tc>
      </w:tr>
      <w:tr w:rsidR="00331F9B" w:rsidRPr="0053499F" w14:paraId="37E487DC" w14:textId="77777777" w:rsidTr="005246B8">
        <w:tc>
          <w:tcPr>
            <w:tcW w:w="3284" w:type="dxa"/>
          </w:tcPr>
          <w:p w14:paraId="3C5A5ED1" w14:textId="77777777" w:rsidR="00331F9B" w:rsidRDefault="00B86613" w:rsidP="00CA0C8B">
            <w:pPr>
              <w:pStyle w:val="ListParagraph"/>
              <w:numPr>
                <w:ilvl w:val="0"/>
                <w:numId w:val="29"/>
              </w:numPr>
              <w:spacing w:after="0" w:line="240" w:lineRule="auto"/>
              <w:rPr>
                <w:rFonts w:ascii="Arial" w:hAnsi="Arial" w:cs="Arial"/>
                <w:sz w:val="24"/>
                <w:szCs w:val="24"/>
              </w:rPr>
            </w:pPr>
            <w:r>
              <w:rPr>
                <w:rFonts w:ascii="Arial" w:hAnsi="Arial" w:cs="Arial"/>
                <w:sz w:val="24"/>
                <w:szCs w:val="24"/>
              </w:rPr>
              <w:lastRenderedPageBreak/>
              <w:t>Prof Gary McVeigh</w:t>
            </w:r>
          </w:p>
          <w:p w14:paraId="71F44D1E" w14:textId="77777777" w:rsidR="00B86613" w:rsidRPr="0053499F" w:rsidRDefault="00B86613" w:rsidP="00CA0C8B">
            <w:pPr>
              <w:pStyle w:val="ListParagraph"/>
              <w:numPr>
                <w:ilvl w:val="0"/>
                <w:numId w:val="29"/>
              </w:numPr>
              <w:spacing w:after="0" w:line="240" w:lineRule="auto"/>
              <w:rPr>
                <w:rFonts w:ascii="Arial" w:hAnsi="Arial" w:cs="Arial"/>
                <w:sz w:val="24"/>
                <w:szCs w:val="24"/>
              </w:rPr>
            </w:pPr>
            <w:r>
              <w:rPr>
                <w:rFonts w:ascii="Arial" w:hAnsi="Arial" w:cs="Arial"/>
                <w:sz w:val="24"/>
                <w:szCs w:val="24"/>
              </w:rPr>
              <w:t xml:space="preserve">Daniel </w:t>
            </w:r>
            <w:proofErr w:type="spellStart"/>
            <w:r>
              <w:rPr>
                <w:rFonts w:ascii="Arial" w:hAnsi="Arial" w:cs="Arial"/>
                <w:sz w:val="24"/>
                <w:szCs w:val="24"/>
              </w:rPr>
              <w:t>Gal</w:t>
            </w:r>
            <w:r w:rsidR="006F19D4">
              <w:rPr>
                <w:rFonts w:ascii="Arial" w:hAnsi="Arial" w:cs="Arial"/>
                <w:sz w:val="24"/>
                <w:szCs w:val="24"/>
              </w:rPr>
              <w:t>l</w:t>
            </w:r>
            <w:r>
              <w:rPr>
                <w:rFonts w:ascii="Arial" w:hAnsi="Arial" w:cs="Arial"/>
                <w:sz w:val="24"/>
                <w:szCs w:val="24"/>
              </w:rPr>
              <w:t>acher</w:t>
            </w:r>
            <w:proofErr w:type="spellEnd"/>
          </w:p>
        </w:tc>
        <w:tc>
          <w:tcPr>
            <w:tcW w:w="5022" w:type="dxa"/>
          </w:tcPr>
          <w:p w14:paraId="443F65E5" w14:textId="77777777" w:rsidR="00331F9B" w:rsidRDefault="00B86613" w:rsidP="00B86613">
            <w:pPr>
              <w:pStyle w:val="ListParagraph"/>
              <w:spacing w:after="0" w:line="240" w:lineRule="auto"/>
              <w:ind w:left="0"/>
              <w:rPr>
                <w:rFonts w:ascii="Arial" w:hAnsi="Arial" w:cs="Arial"/>
                <w:sz w:val="24"/>
                <w:szCs w:val="24"/>
              </w:rPr>
            </w:pPr>
            <w:r>
              <w:rPr>
                <w:rFonts w:ascii="Arial" w:hAnsi="Arial" w:cs="Arial"/>
                <w:sz w:val="24"/>
                <w:szCs w:val="24"/>
              </w:rPr>
              <w:t>Committee member</w:t>
            </w:r>
          </w:p>
          <w:p w14:paraId="4F34CE8B" w14:textId="77777777" w:rsidR="00B86613" w:rsidRPr="0053499F" w:rsidRDefault="00B86613" w:rsidP="00B86613">
            <w:pPr>
              <w:pStyle w:val="ListParagraph"/>
              <w:spacing w:after="0" w:line="240" w:lineRule="auto"/>
              <w:ind w:left="0"/>
              <w:rPr>
                <w:rFonts w:ascii="Arial" w:hAnsi="Arial" w:cs="Arial"/>
                <w:sz w:val="24"/>
                <w:szCs w:val="24"/>
              </w:rPr>
            </w:pPr>
            <w:r>
              <w:rPr>
                <w:rFonts w:ascii="Arial" w:hAnsi="Arial" w:cs="Arial"/>
                <w:sz w:val="24"/>
                <w:szCs w:val="24"/>
              </w:rPr>
              <w:t>ERG representative</w:t>
            </w:r>
          </w:p>
        </w:tc>
      </w:tr>
    </w:tbl>
    <w:p w14:paraId="553CC2D6" w14:textId="77777777" w:rsidR="004022D2" w:rsidRPr="0053499F" w:rsidRDefault="004022D2" w:rsidP="004022D2">
      <w:pPr>
        <w:pStyle w:val="Paragraphnonumbers"/>
        <w:spacing w:after="0" w:line="240" w:lineRule="auto"/>
        <w:ind w:left="360"/>
        <w:rPr>
          <w:rFonts w:cs="Arial"/>
          <w:sz w:val="24"/>
          <w:szCs w:val="24"/>
        </w:rPr>
      </w:pPr>
    </w:p>
    <w:p w14:paraId="170B6343" w14:textId="77777777" w:rsidR="00E71E2B" w:rsidRPr="0053499F" w:rsidRDefault="00C11370" w:rsidP="00E71E2B">
      <w:pPr>
        <w:pStyle w:val="Paragraphnonumbers"/>
        <w:numPr>
          <w:ilvl w:val="0"/>
          <w:numId w:val="21"/>
        </w:numPr>
        <w:spacing w:after="0" w:line="240" w:lineRule="auto"/>
        <w:rPr>
          <w:rFonts w:cs="Arial"/>
          <w:sz w:val="24"/>
          <w:szCs w:val="24"/>
        </w:rPr>
      </w:pPr>
      <w:r>
        <w:rPr>
          <w:rFonts w:cs="Arial"/>
          <w:sz w:val="24"/>
          <w:szCs w:val="24"/>
        </w:rPr>
        <w:t>The appeal panel</w:t>
      </w:r>
      <w:r w:rsidR="00331F9B" w:rsidRPr="0053499F">
        <w:rPr>
          <w:rFonts w:cs="Arial"/>
          <w:sz w:val="24"/>
          <w:szCs w:val="24"/>
        </w:rPr>
        <w:t>’s</w:t>
      </w:r>
      <w:r w:rsidR="00E71E2B" w:rsidRPr="0053499F">
        <w:rPr>
          <w:rFonts w:cs="Arial"/>
          <w:sz w:val="24"/>
          <w:szCs w:val="24"/>
        </w:rPr>
        <w:t xml:space="preserve"> legal adviser </w:t>
      </w:r>
      <w:r w:rsidR="00B86613">
        <w:rPr>
          <w:rFonts w:cs="Arial"/>
          <w:sz w:val="24"/>
          <w:szCs w:val="24"/>
        </w:rPr>
        <w:t>Stephen Hocking</w:t>
      </w:r>
      <w:r w:rsidR="00803EE0">
        <w:rPr>
          <w:rFonts w:cs="Arial"/>
          <w:sz w:val="24"/>
          <w:szCs w:val="24"/>
        </w:rPr>
        <w:t xml:space="preserve"> of </w:t>
      </w:r>
      <w:proofErr w:type="spellStart"/>
      <w:r w:rsidR="00803EE0">
        <w:rPr>
          <w:rFonts w:cs="Arial"/>
          <w:sz w:val="24"/>
          <w:szCs w:val="24"/>
        </w:rPr>
        <w:t>DACBeachcroft</w:t>
      </w:r>
      <w:proofErr w:type="spellEnd"/>
      <w:r w:rsidR="00803EE0">
        <w:rPr>
          <w:rFonts w:cs="Arial"/>
          <w:sz w:val="24"/>
          <w:szCs w:val="24"/>
        </w:rPr>
        <w:t xml:space="preserve"> LLP</w:t>
      </w:r>
      <w:r w:rsidR="00B86613">
        <w:rPr>
          <w:rFonts w:cs="Arial"/>
          <w:sz w:val="24"/>
          <w:szCs w:val="24"/>
        </w:rPr>
        <w:t xml:space="preserve"> was </w:t>
      </w:r>
      <w:r w:rsidR="00E71E2B" w:rsidRPr="0053499F">
        <w:rPr>
          <w:rFonts w:cs="Arial"/>
          <w:sz w:val="24"/>
          <w:szCs w:val="24"/>
        </w:rPr>
        <w:t>also present.</w:t>
      </w:r>
    </w:p>
    <w:p w14:paraId="2AEBBAD0" w14:textId="77777777" w:rsidR="004022D2" w:rsidRPr="0053499F" w:rsidRDefault="004022D2" w:rsidP="004022D2">
      <w:pPr>
        <w:pStyle w:val="Paragraphnonumbers"/>
        <w:spacing w:after="0" w:line="240" w:lineRule="auto"/>
        <w:ind w:left="360"/>
        <w:rPr>
          <w:rFonts w:cs="Arial"/>
          <w:sz w:val="24"/>
          <w:szCs w:val="24"/>
        </w:rPr>
      </w:pPr>
    </w:p>
    <w:p w14:paraId="268F21FF" w14:textId="0C6A68B5" w:rsidR="003331AB" w:rsidRDefault="003331AB" w:rsidP="00E71E2B">
      <w:pPr>
        <w:pStyle w:val="Paragraphnonumbers"/>
        <w:numPr>
          <w:ilvl w:val="0"/>
          <w:numId w:val="21"/>
        </w:numPr>
        <w:spacing w:after="0" w:line="240" w:lineRule="auto"/>
        <w:rPr>
          <w:rFonts w:cs="Arial"/>
          <w:sz w:val="24"/>
          <w:szCs w:val="24"/>
        </w:rPr>
      </w:pPr>
      <w:r w:rsidRPr="003331AB">
        <w:rPr>
          <w:rFonts w:cs="Arial"/>
          <w:sz w:val="24"/>
          <w:szCs w:val="24"/>
        </w:rPr>
        <w:t xml:space="preserve">Two members of the NICE appeals panel (Mr </w:t>
      </w:r>
      <w:r>
        <w:rPr>
          <w:rFonts w:cs="Arial"/>
          <w:sz w:val="24"/>
          <w:szCs w:val="24"/>
        </w:rPr>
        <w:t>Alan Thomas</w:t>
      </w:r>
      <w:r w:rsidRPr="003331AB">
        <w:rPr>
          <w:rFonts w:cs="Arial"/>
          <w:sz w:val="24"/>
          <w:szCs w:val="24"/>
        </w:rPr>
        <w:t xml:space="preserve"> and </w:t>
      </w:r>
      <w:r>
        <w:rPr>
          <w:rFonts w:cs="Arial"/>
          <w:sz w:val="24"/>
          <w:szCs w:val="24"/>
        </w:rPr>
        <w:t>Mr Tony Heddon</w:t>
      </w:r>
      <w:r w:rsidRPr="003331AB">
        <w:rPr>
          <w:rFonts w:cs="Arial"/>
          <w:sz w:val="24"/>
          <w:szCs w:val="24"/>
        </w:rPr>
        <w:t>) were present as observers but did not participate in any of the discussions of the appeal panel, or in the decision-making.</w:t>
      </w:r>
    </w:p>
    <w:p w14:paraId="3A7B6853" w14:textId="77777777" w:rsidR="009F7F9B" w:rsidRDefault="009F7F9B" w:rsidP="00304022">
      <w:pPr>
        <w:pStyle w:val="Paragraphnonumbers"/>
        <w:spacing w:after="0" w:line="240" w:lineRule="auto"/>
        <w:ind w:left="360"/>
        <w:rPr>
          <w:rFonts w:cs="Arial"/>
          <w:sz w:val="24"/>
          <w:szCs w:val="24"/>
        </w:rPr>
      </w:pPr>
    </w:p>
    <w:p w14:paraId="306A7D41" w14:textId="37FB4823" w:rsidR="00E71E2B" w:rsidRPr="0053499F" w:rsidRDefault="00E71E2B" w:rsidP="00E71E2B">
      <w:pPr>
        <w:pStyle w:val="Paragraphnonumbers"/>
        <w:numPr>
          <w:ilvl w:val="0"/>
          <w:numId w:val="21"/>
        </w:numPr>
        <w:spacing w:after="0" w:line="240" w:lineRule="auto"/>
        <w:rPr>
          <w:rFonts w:cs="Arial"/>
          <w:sz w:val="24"/>
          <w:szCs w:val="24"/>
        </w:rPr>
      </w:pPr>
      <w:r w:rsidRPr="0053499F">
        <w:rPr>
          <w:rFonts w:cs="Arial"/>
          <w:sz w:val="24"/>
          <w:szCs w:val="24"/>
        </w:rPr>
        <w:t xml:space="preserve">Under </w:t>
      </w:r>
      <w:r w:rsidR="00331F9B" w:rsidRPr="0053499F">
        <w:rPr>
          <w:rFonts w:cs="Arial"/>
          <w:sz w:val="24"/>
          <w:szCs w:val="24"/>
        </w:rPr>
        <w:t>NICE’s</w:t>
      </w:r>
      <w:r w:rsidRPr="0053499F">
        <w:rPr>
          <w:rFonts w:cs="Arial"/>
          <w:sz w:val="24"/>
          <w:szCs w:val="24"/>
        </w:rPr>
        <w:t xml:space="preserve"> appeal procedures members of the public are admitted to appeal hearings and several members of the public </w:t>
      </w:r>
      <w:r w:rsidR="009F7F9B">
        <w:rPr>
          <w:rFonts w:cs="Arial"/>
          <w:sz w:val="24"/>
          <w:szCs w:val="24"/>
        </w:rPr>
        <w:t xml:space="preserve">and NICE staff observed the appeal via Zoom. </w:t>
      </w:r>
    </w:p>
    <w:p w14:paraId="0053E93B" w14:textId="77777777" w:rsidR="004022D2" w:rsidRPr="0053499F" w:rsidRDefault="004022D2" w:rsidP="004022D2">
      <w:pPr>
        <w:pStyle w:val="ListParagraph"/>
        <w:spacing w:after="0" w:line="240" w:lineRule="auto"/>
        <w:ind w:left="360"/>
        <w:rPr>
          <w:rFonts w:cs="Arial"/>
          <w:b/>
        </w:rPr>
      </w:pPr>
    </w:p>
    <w:p w14:paraId="2E271BE8" w14:textId="77777777" w:rsidR="00E71E2B" w:rsidRPr="0053499F" w:rsidRDefault="00E71E2B" w:rsidP="00E71E2B">
      <w:pPr>
        <w:pStyle w:val="ListParagraph"/>
        <w:numPr>
          <w:ilvl w:val="0"/>
          <w:numId w:val="21"/>
        </w:numPr>
        <w:spacing w:after="0" w:line="240" w:lineRule="auto"/>
        <w:rPr>
          <w:rFonts w:cs="Arial"/>
          <w:b/>
        </w:rPr>
      </w:pPr>
      <w:r w:rsidRPr="0053499F">
        <w:rPr>
          <w:rFonts w:ascii="Arial" w:hAnsi="Arial" w:cs="Arial"/>
          <w:sz w:val="24"/>
          <w:szCs w:val="24"/>
        </w:rPr>
        <w:t>There are two grounds under which an appeal can be lodged:</w:t>
      </w:r>
      <w:r w:rsidRPr="0053499F">
        <w:rPr>
          <w:rFonts w:ascii="Arial" w:hAnsi="Arial" w:cs="Arial"/>
          <w:sz w:val="24"/>
          <w:szCs w:val="24"/>
        </w:rPr>
        <w:br/>
      </w:r>
    </w:p>
    <w:p w14:paraId="2D6651D9" w14:textId="77777777" w:rsidR="00E71E2B" w:rsidRPr="0053499F" w:rsidRDefault="00E71E2B" w:rsidP="00E71E2B">
      <w:pPr>
        <w:pStyle w:val="ListParagraph"/>
        <w:spacing w:after="0" w:line="240" w:lineRule="auto"/>
        <w:ind w:left="360"/>
        <w:rPr>
          <w:rFonts w:ascii="Arial" w:hAnsi="Arial" w:cs="Arial"/>
          <w:b/>
          <w:sz w:val="24"/>
          <w:szCs w:val="24"/>
        </w:rPr>
      </w:pPr>
      <w:r w:rsidRPr="0053499F">
        <w:rPr>
          <w:rFonts w:ascii="Arial" w:hAnsi="Arial" w:cs="Arial"/>
          <w:b/>
          <w:sz w:val="24"/>
          <w:szCs w:val="24"/>
        </w:rPr>
        <w:t>Ground One: In making the assessment that preceded the recommendation, NICE has</w:t>
      </w:r>
      <w:r w:rsidR="00331F9B" w:rsidRPr="0053499F">
        <w:rPr>
          <w:rFonts w:ascii="Arial" w:hAnsi="Arial" w:cs="Arial"/>
          <w:b/>
          <w:sz w:val="24"/>
          <w:szCs w:val="24"/>
        </w:rPr>
        <w:t>:</w:t>
      </w:r>
    </w:p>
    <w:p w14:paraId="495ECD65" w14:textId="77777777" w:rsidR="00E71E2B" w:rsidRPr="0053499F" w:rsidRDefault="00E71E2B" w:rsidP="00E71E2B">
      <w:pPr>
        <w:numPr>
          <w:ilvl w:val="0"/>
          <w:numId w:val="22"/>
        </w:numPr>
        <w:spacing w:after="0" w:line="240" w:lineRule="auto"/>
        <w:rPr>
          <w:rFonts w:ascii="Arial" w:hAnsi="Arial" w:cs="Arial"/>
          <w:b/>
          <w:sz w:val="24"/>
          <w:szCs w:val="24"/>
        </w:rPr>
      </w:pPr>
      <w:r w:rsidRPr="0053499F">
        <w:rPr>
          <w:rFonts w:ascii="Arial" w:hAnsi="Arial" w:cs="Arial"/>
          <w:b/>
          <w:sz w:val="24"/>
          <w:szCs w:val="24"/>
        </w:rPr>
        <w:t>Failed to act fairly</w:t>
      </w:r>
    </w:p>
    <w:p w14:paraId="54FA742E" w14:textId="77777777" w:rsidR="00E71E2B" w:rsidRPr="0053499F" w:rsidRDefault="00E71E2B" w:rsidP="00E71E2B">
      <w:pPr>
        <w:numPr>
          <w:ilvl w:val="0"/>
          <w:numId w:val="22"/>
        </w:numPr>
        <w:spacing w:after="0" w:line="240" w:lineRule="auto"/>
        <w:rPr>
          <w:rFonts w:ascii="Arial" w:hAnsi="Arial" w:cs="Arial"/>
          <w:b/>
          <w:sz w:val="24"/>
          <w:szCs w:val="24"/>
        </w:rPr>
      </w:pPr>
      <w:r w:rsidRPr="0053499F">
        <w:rPr>
          <w:rFonts w:ascii="Arial" w:hAnsi="Arial" w:cs="Arial"/>
          <w:b/>
          <w:sz w:val="24"/>
          <w:szCs w:val="24"/>
        </w:rPr>
        <w:t>Exceeded its powers.</w:t>
      </w:r>
    </w:p>
    <w:p w14:paraId="2747F668" w14:textId="77777777" w:rsidR="00E71E2B" w:rsidRPr="0053499F" w:rsidRDefault="00E71E2B" w:rsidP="00E71E2B">
      <w:pPr>
        <w:spacing w:after="0" w:line="240" w:lineRule="auto"/>
        <w:ind w:left="720"/>
        <w:rPr>
          <w:rFonts w:ascii="Arial" w:hAnsi="Arial" w:cs="Arial"/>
          <w:b/>
          <w:sz w:val="24"/>
          <w:szCs w:val="24"/>
        </w:rPr>
      </w:pPr>
    </w:p>
    <w:p w14:paraId="0EC4CAA0" w14:textId="77777777" w:rsidR="00E71E2B" w:rsidRPr="0053499F" w:rsidRDefault="00E71E2B" w:rsidP="00E71E2B">
      <w:pPr>
        <w:pStyle w:val="Paragraphnonumbers"/>
        <w:spacing w:after="0" w:line="240" w:lineRule="auto"/>
        <w:ind w:left="360"/>
        <w:rPr>
          <w:rFonts w:cs="Arial"/>
          <w:b/>
          <w:sz w:val="24"/>
          <w:szCs w:val="24"/>
        </w:rPr>
      </w:pPr>
      <w:r w:rsidRPr="0053499F">
        <w:rPr>
          <w:rFonts w:cs="Arial"/>
          <w:b/>
          <w:sz w:val="24"/>
          <w:szCs w:val="24"/>
        </w:rPr>
        <w:t>Ground Two: The recommendation is unreasonable in the light of the evidence submitted to NICE.</w:t>
      </w:r>
    </w:p>
    <w:p w14:paraId="2E9E239C" w14:textId="77777777" w:rsidR="00E71E2B" w:rsidRPr="0053499F" w:rsidRDefault="00E71E2B" w:rsidP="00E71E2B">
      <w:pPr>
        <w:pStyle w:val="Paragraphnonumbers"/>
        <w:spacing w:after="0" w:line="240" w:lineRule="auto"/>
        <w:ind w:left="360"/>
        <w:rPr>
          <w:rFonts w:cs="Arial"/>
          <w:b/>
          <w:sz w:val="24"/>
          <w:szCs w:val="24"/>
        </w:rPr>
      </w:pPr>
    </w:p>
    <w:p w14:paraId="03C8D617" w14:textId="27B7D323" w:rsidR="00025772" w:rsidRPr="00025772" w:rsidRDefault="00E71E2B" w:rsidP="00025772">
      <w:pPr>
        <w:pStyle w:val="ListParagraph"/>
        <w:numPr>
          <w:ilvl w:val="0"/>
          <w:numId w:val="21"/>
        </w:numPr>
        <w:spacing w:after="0" w:line="240" w:lineRule="auto"/>
        <w:rPr>
          <w:rFonts w:ascii="Arial" w:hAnsi="Arial" w:cs="Arial"/>
          <w:sz w:val="24"/>
          <w:szCs w:val="24"/>
        </w:rPr>
      </w:pPr>
      <w:r w:rsidRPr="0053499F">
        <w:rPr>
          <w:rFonts w:ascii="Arial" w:hAnsi="Arial" w:cs="Arial"/>
          <w:sz w:val="24"/>
          <w:szCs w:val="24"/>
        </w:rPr>
        <w:t xml:space="preserve">The </w:t>
      </w:r>
      <w:r w:rsidR="00AB2564">
        <w:rPr>
          <w:rFonts w:ascii="Arial" w:hAnsi="Arial" w:cs="Arial"/>
          <w:sz w:val="24"/>
          <w:szCs w:val="24"/>
        </w:rPr>
        <w:t xml:space="preserve">then </w:t>
      </w:r>
      <w:r w:rsidRPr="0053499F">
        <w:rPr>
          <w:rFonts w:ascii="Arial" w:hAnsi="Arial" w:cs="Arial"/>
          <w:sz w:val="24"/>
          <w:szCs w:val="24"/>
        </w:rPr>
        <w:t>Vice Chair of NICE (</w:t>
      </w:r>
      <w:r w:rsidR="00025772" w:rsidRPr="00025772">
        <w:rPr>
          <w:rFonts w:ascii="Arial" w:hAnsi="Arial" w:cs="Arial"/>
          <w:sz w:val="24"/>
          <w:szCs w:val="24"/>
        </w:rPr>
        <w:t>Dr Rima Makarem</w:t>
      </w:r>
      <w:r w:rsidRPr="0053499F">
        <w:rPr>
          <w:rFonts w:ascii="Arial" w:hAnsi="Arial" w:cs="Arial"/>
          <w:sz w:val="24"/>
          <w:szCs w:val="24"/>
        </w:rPr>
        <w:t>) in preliminary corr</w:t>
      </w:r>
      <w:r w:rsidR="00025772">
        <w:rPr>
          <w:rFonts w:ascii="Arial" w:hAnsi="Arial" w:cs="Arial"/>
          <w:sz w:val="24"/>
          <w:szCs w:val="24"/>
        </w:rPr>
        <w:t xml:space="preserve">espondence had confirmed </w:t>
      </w:r>
      <w:r w:rsidR="00025772" w:rsidRPr="00025772">
        <w:rPr>
          <w:rFonts w:ascii="Arial" w:hAnsi="Arial" w:cs="Arial"/>
          <w:sz w:val="24"/>
          <w:szCs w:val="24"/>
        </w:rPr>
        <w:t xml:space="preserve">that MSD </w:t>
      </w:r>
      <w:r w:rsidRPr="00025772">
        <w:rPr>
          <w:rFonts w:ascii="Arial" w:hAnsi="Arial" w:cs="Arial"/>
          <w:sz w:val="24"/>
          <w:szCs w:val="24"/>
        </w:rPr>
        <w:t xml:space="preserve">had potentially valid grounds of appeal as follows: </w:t>
      </w:r>
    </w:p>
    <w:p w14:paraId="4AC9EF98" w14:textId="77777777" w:rsidR="00025772" w:rsidRPr="00B208AA" w:rsidRDefault="00025772" w:rsidP="00025772">
      <w:pPr>
        <w:pStyle w:val="Unnumberedboldheading"/>
        <w:spacing w:line="360" w:lineRule="auto"/>
        <w:ind w:left="720"/>
        <w:rPr>
          <w:rFonts w:cs="Arial"/>
        </w:rPr>
      </w:pPr>
    </w:p>
    <w:p w14:paraId="3FF97FBF" w14:textId="77777777" w:rsidR="00025772" w:rsidRPr="00B208AA" w:rsidRDefault="00025772" w:rsidP="00B80EC2">
      <w:pPr>
        <w:pStyle w:val="Unnumberedboldheading"/>
        <w:numPr>
          <w:ilvl w:val="0"/>
          <w:numId w:val="24"/>
        </w:numPr>
        <w:rPr>
          <w:rFonts w:cs="Arial"/>
        </w:rPr>
      </w:pPr>
      <w:r w:rsidRPr="00B208AA">
        <w:rPr>
          <w:rFonts w:cs="Arial"/>
        </w:rPr>
        <w:t xml:space="preserve"> </w:t>
      </w:r>
      <w:r w:rsidRPr="00B208AA">
        <w:rPr>
          <w:rFonts w:cs="Arial"/>
          <w:bCs/>
        </w:rPr>
        <w:t xml:space="preserve">Ground 1a – NICE has failed to act fairly </w:t>
      </w:r>
    </w:p>
    <w:p w14:paraId="61A6A0F2" w14:textId="77777777" w:rsidR="00025772" w:rsidRPr="00B208AA" w:rsidRDefault="00025772" w:rsidP="00B80EC2">
      <w:pPr>
        <w:pStyle w:val="Unnumberedboldheading"/>
        <w:numPr>
          <w:ilvl w:val="1"/>
          <w:numId w:val="24"/>
        </w:numPr>
        <w:rPr>
          <w:rFonts w:cs="Arial"/>
          <w:b w:val="0"/>
        </w:rPr>
      </w:pPr>
      <w:r w:rsidRPr="00B208AA">
        <w:rPr>
          <w:rFonts w:cs="Arial"/>
          <w:b w:val="0"/>
        </w:rPr>
        <w:t xml:space="preserve">Ground 1a.1 – Fundamental differences with the approach taken in TA525 evidence an inconsistent methodology, in breach of the Methods Guide and the principle of procedural fairness </w:t>
      </w:r>
    </w:p>
    <w:p w14:paraId="50794698" w14:textId="77777777" w:rsidR="00025772" w:rsidRPr="00B208AA" w:rsidRDefault="00025772" w:rsidP="00B80EC2">
      <w:pPr>
        <w:pStyle w:val="Unnumberedboldheading"/>
        <w:numPr>
          <w:ilvl w:val="1"/>
          <w:numId w:val="24"/>
        </w:numPr>
        <w:rPr>
          <w:rFonts w:cs="Arial"/>
          <w:b w:val="0"/>
        </w:rPr>
      </w:pPr>
      <w:r w:rsidRPr="00B208AA">
        <w:rPr>
          <w:rFonts w:cs="Arial"/>
          <w:b w:val="0"/>
        </w:rPr>
        <w:t xml:space="preserve">Ground 1a.2 – It is procedurally unfair to have introduced paragraph 3.19 (“The costs of pembrolizumab are likely underestimated in the model”) in the FAD at a very late stage, without explanation or any opportunity to respond </w:t>
      </w:r>
    </w:p>
    <w:p w14:paraId="57961786" w14:textId="77777777" w:rsidR="00025772" w:rsidRPr="00B208AA" w:rsidRDefault="00025772" w:rsidP="00B80EC2">
      <w:pPr>
        <w:pStyle w:val="Unnumberedboldheading"/>
        <w:numPr>
          <w:ilvl w:val="0"/>
          <w:numId w:val="24"/>
        </w:numPr>
        <w:rPr>
          <w:rFonts w:cs="Arial"/>
        </w:rPr>
      </w:pPr>
      <w:r w:rsidRPr="00B208AA">
        <w:rPr>
          <w:rFonts w:cs="Arial"/>
          <w:bCs/>
        </w:rPr>
        <w:t xml:space="preserve">Ground 1b – NICE has exceeded its powers </w:t>
      </w:r>
    </w:p>
    <w:p w14:paraId="34115582" w14:textId="77777777" w:rsidR="00025772" w:rsidRPr="00B208AA" w:rsidRDefault="00025772" w:rsidP="00B80EC2">
      <w:pPr>
        <w:pStyle w:val="Unnumberedboldheading"/>
        <w:numPr>
          <w:ilvl w:val="1"/>
          <w:numId w:val="24"/>
        </w:numPr>
        <w:rPr>
          <w:rFonts w:cs="Arial"/>
          <w:b w:val="0"/>
        </w:rPr>
      </w:pPr>
      <w:r w:rsidRPr="00B208AA">
        <w:rPr>
          <w:rFonts w:cs="Arial"/>
          <w:b w:val="0"/>
        </w:rPr>
        <w:t xml:space="preserve">Ground 1b.1 – NICE has breached its legal obligations under human rights and equalities laws </w:t>
      </w:r>
    </w:p>
    <w:p w14:paraId="180A304D" w14:textId="77777777" w:rsidR="00025772" w:rsidRPr="00B208AA" w:rsidRDefault="00025772" w:rsidP="00B80EC2">
      <w:pPr>
        <w:pStyle w:val="Unnumberedboldheading"/>
        <w:numPr>
          <w:ilvl w:val="0"/>
          <w:numId w:val="24"/>
        </w:numPr>
        <w:rPr>
          <w:rFonts w:cs="Arial"/>
        </w:rPr>
      </w:pPr>
      <w:r w:rsidRPr="00B208AA">
        <w:rPr>
          <w:rFonts w:cs="Arial"/>
          <w:bCs/>
        </w:rPr>
        <w:t xml:space="preserve">Ground 2 – the recommendation is unreasonable in the light of the evidence submitted to NICE </w:t>
      </w:r>
    </w:p>
    <w:p w14:paraId="59EBA5CE" w14:textId="77777777" w:rsidR="00025772" w:rsidRPr="00B208AA" w:rsidRDefault="00025772" w:rsidP="00B80EC2">
      <w:pPr>
        <w:pStyle w:val="Unnumberedboldheading"/>
        <w:numPr>
          <w:ilvl w:val="1"/>
          <w:numId w:val="24"/>
        </w:numPr>
        <w:rPr>
          <w:rFonts w:cs="Arial"/>
          <w:b w:val="0"/>
        </w:rPr>
      </w:pPr>
      <w:r w:rsidRPr="00B208AA">
        <w:rPr>
          <w:rFonts w:cs="Arial"/>
          <w:b w:val="0"/>
        </w:rPr>
        <w:t xml:space="preserve">Ground 2.1 – The Appraisal Committee’s assessment of duration of treatment effect and its effect on cost-effectiveness is illogical and unreasonable* </w:t>
      </w:r>
    </w:p>
    <w:p w14:paraId="4044B3A4" w14:textId="77777777" w:rsidR="00025772" w:rsidRPr="00B208AA" w:rsidRDefault="00025772" w:rsidP="00B80EC2">
      <w:pPr>
        <w:pStyle w:val="Unnumberedboldheading"/>
        <w:numPr>
          <w:ilvl w:val="1"/>
          <w:numId w:val="24"/>
        </w:numPr>
        <w:rPr>
          <w:rFonts w:cs="Arial"/>
          <w:b w:val="0"/>
        </w:rPr>
      </w:pPr>
      <w:r w:rsidRPr="00B208AA">
        <w:rPr>
          <w:rFonts w:cs="Arial"/>
          <w:b w:val="0"/>
        </w:rPr>
        <w:t xml:space="preserve">Ground 2.2 – The Appraisal Committee’s analysis of evidence from the clinical expert in paragraph 3.15 of the FAD is internally inconsistent </w:t>
      </w:r>
      <w:r w:rsidRPr="00B208AA">
        <w:rPr>
          <w:rFonts w:cs="Arial"/>
          <w:b w:val="0"/>
        </w:rPr>
        <w:lastRenderedPageBreak/>
        <w:t xml:space="preserve">and its conclusions are unreasonable* </w:t>
      </w:r>
    </w:p>
    <w:p w14:paraId="26AC7252" w14:textId="77777777" w:rsidR="00025772" w:rsidRPr="00B208AA" w:rsidRDefault="00025772" w:rsidP="00B80EC2">
      <w:pPr>
        <w:pStyle w:val="Unnumberedboldheading"/>
        <w:numPr>
          <w:ilvl w:val="2"/>
          <w:numId w:val="24"/>
        </w:numPr>
        <w:rPr>
          <w:rFonts w:cs="Arial"/>
          <w:b w:val="0"/>
        </w:rPr>
      </w:pPr>
      <w:r w:rsidRPr="00B208AA">
        <w:rPr>
          <w:rFonts w:cs="Arial"/>
          <w:b w:val="0"/>
          <w:bCs/>
        </w:rPr>
        <w:t xml:space="preserve">*Agreed as valid points with 2.2 to be taken as an aspect of 2.1 </w:t>
      </w:r>
    </w:p>
    <w:p w14:paraId="40AA822A" w14:textId="77777777" w:rsidR="00025772" w:rsidRPr="00B208AA" w:rsidRDefault="00025772" w:rsidP="00B80EC2">
      <w:pPr>
        <w:pStyle w:val="Unnumberedboldheading"/>
        <w:numPr>
          <w:ilvl w:val="1"/>
          <w:numId w:val="24"/>
        </w:numPr>
        <w:rPr>
          <w:rFonts w:cs="Arial"/>
          <w:b w:val="0"/>
        </w:rPr>
      </w:pPr>
      <w:r w:rsidRPr="00B208AA">
        <w:rPr>
          <w:rFonts w:cs="Arial"/>
          <w:b w:val="0"/>
        </w:rPr>
        <w:t xml:space="preserve">Ground 2.3 – </w:t>
      </w:r>
      <w:bookmarkStart w:id="0" w:name="_Hlk44239303"/>
      <w:r w:rsidRPr="00B208AA">
        <w:rPr>
          <w:rFonts w:cs="Arial"/>
          <w:b w:val="0"/>
        </w:rPr>
        <w:t>The Appraisal Committee’s decisions that: (</w:t>
      </w:r>
      <w:proofErr w:type="spellStart"/>
      <w:r w:rsidRPr="00B208AA">
        <w:rPr>
          <w:rFonts w:cs="Arial"/>
          <w:b w:val="0"/>
        </w:rPr>
        <w:t>i</w:t>
      </w:r>
      <w:proofErr w:type="spellEnd"/>
      <w:r w:rsidRPr="00B208AA">
        <w:rPr>
          <w:rFonts w:cs="Arial"/>
          <w:b w:val="0"/>
        </w:rPr>
        <w:t xml:space="preserve">) a range of possible ICERs from £48,518 to £70,520 applies; and (ii) the “most plausible” ICER for pembrolizumab is likely to be above £50,000, are unreasonable in light of the evidence submitted </w:t>
      </w:r>
      <w:bookmarkEnd w:id="0"/>
    </w:p>
    <w:p w14:paraId="68505EF2" w14:textId="77777777" w:rsidR="00025772" w:rsidRPr="00B208AA" w:rsidRDefault="00025772" w:rsidP="00B80EC2">
      <w:pPr>
        <w:pStyle w:val="Unnumberedboldheading"/>
        <w:numPr>
          <w:ilvl w:val="1"/>
          <w:numId w:val="24"/>
        </w:numPr>
        <w:rPr>
          <w:rFonts w:cs="Arial"/>
          <w:b w:val="0"/>
        </w:rPr>
      </w:pPr>
      <w:r w:rsidRPr="00B208AA">
        <w:rPr>
          <w:rFonts w:cs="Arial"/>
          <w:b w:val="0"/>
        </w:rPr>
        <w:t xml:space="preserve">Ground 2.4 – </w:t>
      </w:r>
      <w:bookmarkStart w:id="1" w:name="_Hlk44239347"/>
      <w:r w:rsidRPr="00B208AA">
        <w:rPr>
          <w:rFonts w:cs="Arial"/>
          <w:b w:val="0"/>
        </w:rPr>
        <w:t xml:space="preserve">The statement that “the costs of pembrolizumab are likely underestimated in the model” lacks meaningful explanation and evidence and it is unreasonable to have taken it into account for the purposes of assessing cost-effectiveness </w:t>
      </w:r>
      <w:bookmarkEnd w:id="1"/>
    </w:p>
    <w:p w14:paraId="6E575403" w14:textId="77777777" w:rsidR="00E71E2B" w:rsidRPr="00B208AA" w:rsidRDefault="00025772" w:rsidP="00B80EC2">
      <w:pPr>
        <w:pStyle w:val="Unnumberedboldheading"/>
        <w:numPr>
          <w:ilvl w:val="1"/>
          <w:numId w:val="24"/>
        </w:numPr>
        <w:rPr>
          <w:rFonts w:cs="Arial"/>
          <w:b w:val="0"/>
        </w:rPr>
      </w:pPr>
      <w:r w:rsidRPr="00B208AA">
        <w:rPr>
          <w:rFonts w:cs="Arial"/>
          <w:b w:val="0"/>
        </w:rPr>
        <w:t xml:space="preserve">Ground 2.5 – </w:t>
      </w:r>
      <w:bookmarkStart w:id="2" w:name="_Hlk44239397"/>
      <w:r w:rsidRPr="00B208AA">
        <w:rPr>
          <w:rFonts w:cs="Arial"/>
          <w:b w:val="0"/>
        </w:rPr>
        <w:t>The conclusion that new data from KEYNOTE-045 “shows the 2-stage method may not be appropriate, and the unadjusted method should also be taken into account” results from a flawed and unreasonable interpretation of the evidence</w:t>
      </w:r>
      <w:r w:rsidR="00E71E2B" w:rsidRPr="00B208AA">
        <w:rPr>
          <w:rFonts w:cs="Arial"/>
          <w:b w:val="0"/>
        </w:rPr>
        <w:t xml:space="preserve"> </w:t>
      </w:r>
    </w:p>
    <w:bookmarkEnd w:id="2"/>
    <w:p w14:paraId="273ED8B9" w14:textId="77777777" w:rsidR="00025772" w:rsidRPr="00025772" w:rsidRDefault="00E71E2B" w:rsidP="000A332C">
      <w:pPr>
        <w:pStyle w:val="ListParagraph"/>
        <w:numPr>
          <w:ilvl w:val="0"/>
          <w:numId w:val="21"/>
        </w:numPr>
        <w:spacing w:line="240" w:lineRule="auto"/>
        <w:rPr>
          <w:rFonts w:ascii="Arial" w:hAnsi="Arial" w:cs="Arial"/>
          <w:sz w:val="24"/>
          <w:szCs w:val="24"/>
        </w:rPr>
      </w:pPr>
      <w:r w:rsidRPr="0053499F">
        <w:rPr>
          <w:rFonts w:ascii="Arial" w:hAnsi="Arial" w:cs="Arial"/>
          <w:sz w:val="24"/>
          <w:szCs w:val="24"/>
        </w:rPr>
        <w:t xml:space="preserve">The appraisal that is the subject of the current appeal provided advice to the NHS on </w:t>
      </w:r>
      <w:r w:rsidR="00025772">
        <w:rPr>
          <w:rFonts w:ascii="Arial" w:hAnsi="Arial" w:cs="Arial"/>
          <w:sz w:val="24"/>
          <w:szCs w:val="24"/>
        </w:rPr>
        <w:t>pembrolizumab for treating locally advanced or metastatic urothelial carcinoma after platinum-containing chemotherapy.</w:t>
      </w:r>
    </w:p>
    <w:p w14:paraId="310CFEC2" w14:textId="77777777" w:rsidR="00E71E2B" w:rsidRPr="0053499F" w:rsidRDefault="00025772" w:rsidP="00025772">
      <w:pPr>
        <w:pStyle w:val="ListParagraph"/>
        <w:ind w:left="360"/>
        <w:rPr>
          <w:rFonts w:ascii="Arial" w:hAnsi="Arial" w:cs="Arial"/>
          <w:sz w:val="24"/>
          <w:szCs w:val="24"/>
        </w:rPr>
      </w:pPr>
      <w:r w:rsidRPr="0053499F">
        <w:rPr>
          <w:rFonts w:ascii="Arial" w:hAnsi="Arial" w:cs="Arial"/>
          <w:sz w:val="24"/>
          <w:szCs w:val="24"/>
        </w:rPr>
        <w:t xml:space="preserve"> </w:t>
      </w:r>
    </w:p>
    <w:p w14:paraId="5A96323D" w14:textId="77777777" w:rsidR="00E71E2B" w:rsidRPr="0053499F" w:rsidRDefault="00E71E2B" w:rsidP="000A332C">
      <w:pPr>
        <w:pStyle w:val="ListParagraph"/>
        <w:numPr>
          <w:ilvl w:val="0"/>
          <w:numId w:val="21"/>
        </w:numPr>
        <w:spacing w:line="240" w:lineRule="auto"/>
        <w:rPr>
          <w:rFonts w:ascii="Arial" w:hAnsi="Arial" w:cs="Arial"/>
          <w:color w:val="FF0000"/>
          <w:sz w:val="24"/>
          <w:szCs w:val="24"/>
        </w:rPr>
      </w:pPr>
      <w:r w:rsidRPr="0053499F">
        <w:rPr>
          <w:rFonts w:ascii="Arial" w:hAnsi="Arial" w:cs="Arial"/>
          <w:sz w:val="24"/>
          <w:szCs w:val="24"/>
        </w:rPr>
        <w:t xml:space="preserve">Before the </w:t>
      </w:r>
      <w:r w:rsidR="00331F9B" w:rsidRPr="0053499F">
        <w:rPr>
          <w:rFonts w:ascii="Arial" w:hAnsi="Arial" w:cs="Arial"/>
          <w:sz w:val="24"/>
          <w:szCs w:val="24"/>
        </w:rPr>
        <w:t>a</w:t>
      </w:r>
      <w:r w:rsidRPr="0053499F">
        <w:rPr>
          <w:rFonts w:ascii="Arial" w:hAnsi="Arial" w:cs="Arial"/>
          <w:sz w:val="24"/>
          <w:szCs w:val="24"/>
        </w:rPr>
        <w:t xml:space="preserve">ppeal </w:t>
      </w:r>
      <w:r w:rsidR="00331F9B" w:rsidRPr="0053499F">
        <w:rPr>
          <w:rFonts w:ascii="Arial" w:hAnsi="Arial" w:cs="Arial"/>
          <w:sz w:val="24"/>
          <w:szCs w:val="24"/>
        </w:rPr>
        <w:t>p</w:t>
      </w:r>
      <w:r w:rsidRPr="0053499F">
        <w:rPr>
          <w:rFonts w:ascii="Arial" w:hAnsi="Arial" w:cs="Arial"/>
          <w:sz w:val="24"/>
          <w:szCs w:val="24"/>
        </w:rPr>
        <w:t xml:space="preserve">anel inquired into the detailed complaints the following made </w:t>
      </w:r>
      <w:r w:rsidR="00D42820" w:rsidRPr="0053499F">
        <w:rPr>
          <w:rFonts w:ascii="Arial" w:hAnsi="Arial" w:cs="Arial"/>
          <w:sz w:val="24"/>
          <w:szCs w:val="24"/>
        </w:rPr>
        <w:t xml:space="preserve">a </w:t>
      </w:r>
      <w:r w:rsidRPr="0053499F">
        <w:rPr>
          <w:rFonts w:ascii="Arial" w:hAnsi="Arial" w:cs="Arial"/>
          <w:sz w:val="24"/>
          <w:szCs w:val="24"/>
        </w:rPr>
        <w:t xml:space="preserve">preliminary statement: </w:t>
      </w:r>
      <w:r w:rsidR="00B208AA">
        <w:rPr>
          <w:rFonts w:ascii="Arial" w:hAnsi="Arial" w:cs="Arial"/>
          <w:sz w:val="24"/>
          <w:szCs w:val="24"/>
        </w:rPr>
        <w:t>Grant Castle on behalf of MSD, and Dr Lindsay Smith</w:t>
      </w:r>
      <w:r w:rsidR="00B208AA">
        <w:rPr>
          <w:rFonts w:ascii="Arial" w:hAnsi="Arial" w:cs="Arial"/>
          <w:color w:val="FF0000"/>
          <w:sz w:val="24"/>
          <w:szCs w:val="24"/>
        </w:rPr>
        <w:t xml:space="preserve"> </w:t>
      </w:r>
      <w:r w:rsidRPr="0053499F">
        <w:rPr>
          <w:rFonts w:ascii="Arial" w:hAnsi="Arial" w:cs="Arial"/>
          <w:sz w:val="24"/>
          <w:szCs w:val="24"/>
        </w:rPr>
        <w:t xml:space="preserve">on behalf of the </w:t>
      </w:r>
      <w:r w:rsidR="00331F9B" w:rsidRPr="0053499F">
        <w:rPr>
          <w:rFonts w:ascii="Arial" w:hAnsi="Arial" w:cs="Arial"/>
          <w:sz w:val="24"/>
          <w:szCs w:val="24"/>
        </w:rPr>
        <w:t>appraisal committee</w:t>
      </w:r>
      <w:r w:rsidRPr="00304022">
        <w:rPr>
          <w:rFonts w:ascii="Arial" w:hAnsi="Arial" w:cs="Arial"/>
          <w:sz w:val="24"/>
          <w:szCs w:val="24"/>
        </w:rPr>
        <w:t>.</w:t>
      </w:r>
      <w:r w:rsidR="00D42820" w:rsidRPr="0053499F">
        <w:rPr>
          <w:rFonts w:ascii="Arial" w:hAnsi="Arial" w:cs="Arial"/>
          <w:color w:val="FF0000"/>
          <w:sz w:val="24"/>
          <w:szCs w:val="24"/>
        </w:rPr>
        <w:t xml:space="preserve"> </w:t>
      </w:r>
    </w:p>
    <w:p w14:paraId="4F123F3A" w14:textId="77777777" w:rsidR="002623C4" w:rsidRPr="0053499F" w:rsidRDefault="002623C4" w:rsidP="002623C4">
      <w:pPr>
        <w:pStyle w:val="ListParagraph"/>
        <w:rPr>
          <w:rFonts w:ascii="Arial" w:hAnsi="Arial" w:cs="Arial"/>
          <w:sz w:val="24"/>
          <w:szCs w:val="24"/>
        </w:rPr>
      </w:pPr>
    </w:p>
    <w:p w14:paraId="33E22EFB" w14:textId="513D9F4D" w:rsidR="002623C4" w:rsidRPr="0053499F" w:rsidRDefault="002623C4" w:rsidP="002623C4">
      <w:pPr>
        <w:spacing w:after="0" w:line="240" w:lineRule="auto"/>
        <w:rPr>
          <w:rFonts w:ascii="Arial" w:hAnsi="Arial" w:cs="Arial"/>
          <w:b/>
          <w:sz w:val="24"/>
          <w:szCs w:val="24"/>
        </w:rPr>
      </w:pPr>
      <w:r w:rsidRPr="0053499F">
        <w:rPr>
          <w:rFonts w:ascii="Arial" w:hAnsi="Arial" w:cs="Arial"/>
          <w:b/>
          <w:sz w:val="24"/>
          <w:szCs w:val="24"/>
        </w:rPr>
        <w:t>Appeal Ground 1</w:t>
      </w:r>
      <w:r w:rsidR="009B59C2" w:rsidRPr="0053499F">
        <w:rPr>
          <w:rFonts w:ascii="Arial" w:hAnsi="Arial" w:cs="Arial"/>
          <w:b/>
          <w:sz w:val="24"/>
          <w:szCs w:val="24"/>
        </w:rPr>
        <w:t>a</w:t>
      </w:r>
      <w:r w:rsidRPr="0053499F">
        <w:rPr>
          <w:rFonts w:ascii="Arial" w:hAnsi="Arial" w:cs="Arial"/>
          <w:b/>
          <w:sz w:val="24"/>
          <w:szCs w:val="24"/>
        </w:rPr>
        <w:t>:</w:t>
      </w:r>
      <w:r w:rsidR="008D4851">
        <w:rPr>
          <w:rFonts w:ascii="Arial" w:hAnsi="Arial" w:cs="Arial"/>
          <w:b/>
          <w:sz w:val="24"/>
          <w:szCs w:val="24"/>
        </w:rPr>
        <w:tab/>
      </w:r>
      <w:r w:rsidRPr="0053499F">
        <w:rPr>
          <w:rFonts w:ascii="Arial" w:hAnsi="Arial" w:cs="Arial"/>
          <w:b/>
          <w:sz w:val="24"/>
          <w:szCs w:val="24"/>
        </w:rPr>
        <w:t xml:space="preserve"> In making the assessment that preceded the recommendation, NICE has</w:t>
      </w:r>
      <w:r w:rsidR="009B59C2" w:rsidRPr="0053499F">
        <w:rPr>
          <w:rFonts w:ascii="Arial" w:hAnsi="Arial" w:cs="Arial"/>
          <w:b/>
          <w:sz w:val="24"/>
          <w:szCs w:val="24"/>
        </w:rPr>
        <w:t xml:space="preserve"> failed to act fairly.</w:t>
      </w:r>
    </w:p>
    <w:p w14:paraId="07312276" w14:textId="77777777" w:rsidR="002623C4" w:rsidRPr="0053499F" w:rsidRDefault="002623C4" w:rsidP="002623C4">
      <w:pPr>
        <w:spacing w:after="0" w:line="240" w:lineRule="auto"/>
        <w:rPr>
          <w:rFonts w:ascii="Arial" w:hAnsi="Arial" w:cs="Arial"/>
          <w:b/>
          <w:color w:val="FF0000"/>
          <w:sz w:val="24"/>
          <w:szCs w:val="24"/>
        </w:rPr>
      </w:pPr>
    </w:p>
    <w:p w14:paraId="0303C317" w14:textId="77777777" w:rsidR="002623C4" w:rsidRPr="0053499F" w:rsidRDefault="002623C4" w:rsidP="002623C4">
      <w:pPr>
        <w:spacing w:after="0" w:line="240" w:lineRule="auto"/>
        <w:rPr>
          <w:rFonts w:ascii="Arial" w:hAnsi="Arial" w:cs="Arial"/>
          <w:sz w:val="24"/>
          <w:szCs w:val="24"/>
        </w:rPr>
      </w:pPr>
      <w:r w:rsidRPr="0053499F">
        <w:rPr>
          <w:rFonts w:ascii="Arial" w:hAnsi="Arial" w:cs="Arial"/>
          <w:b/>
          <w:sz w:val="24"/>
          <w:szCs w:val="24"/>
        </w:rPr>
        <w:t>Appeal Ground 1</w:t>
      </w:r>
      <w:r w:rsidR="00C80E32" w:rsidRPr="0053499F">
        <w:rPr>
          <w:rFonts w:ascii="Arial" w:hAnsi="Arial" w:cs="Arial"/>
          <w:b/>
          <w:sz w:val="24"/>
          <w:szCs w:val="24"/>
        </w:rPr>
        <w:t>a</w:t>
      </w:r>
      <w:r w:rsidRPr="0053499F">
        <w:rPr>
          <w:rFonts w:ascii="Arial" w:hAnsi="Arial" w:cs="Arial"/>
          <w:b/>
          <w:sz w:val="24"/>
          <w:szCs w:val="24"/>
        </w:rPr>
        <w:t xml:space="preserve">.1: </w:t>
      </w:r>
      <w:r w:rsidR="00B208AA" w:rsidRPr="00B208AA">
        <w:rPr>
          <w:rFonts w:ascii="Arial" w:eastAsia="Times New Roman" w:hAnsi="Arial" w:cs="Arial"/>
          <w:sz w:val="24"/>
          <w:szCs w:val="24"/>
        </w:rPr>
        <w:t>Fundamental differences with the approach taken in TA525 evidence an inconsistent methodology, in breach of the Methods Guide and the principle of procedural fairness</w:t>
      </w:r>
      <w:r w:rsidR="00B208AA" w:rsidRPr="00B208AA">
        <w:rPr>
          <w:rFonts w:ascii="Arial" w:eastAsia="Times New Roman" w:hAnsi="Arial" w:cs="Arial"/>
          <w:b/>
          <w:sz w:val="24"/>
          <w:szCs w:val="24"/>
        </w:rPr>
        <w:t xml:space="preserve"> </w:t>
      </w:r>
    </w:p>
    <w:p w14:paraId="42600200" w14:textId="77777777" w:rsidR="002623C4" w:rsidRPr="0053499F" w:rsidRDefault="002623C4" w:rsidP="002623C4">
      <w:pPr>
        <w:pStyle w:val="ListParagraph"/>
        <w:spacing w:after="0" w:line="240" w:lineRule="auto"/>
        <w:ind w:left="360"/>
        <w:rPr>
          <w:rFonts w:ascii="Arial" w:hAnsi="Arial" w:cs="Arial"/>
          <w:sz w:val="24"/>
          <w:szCs w:val="24"/>
        </w:rPr>
      </w:pPr>
    </w:p>
    <w:p w14:paraId="7839A020" w14:textId="56482A83" w:rsidR="00B80EC2" w:rsidRDefault="000846A8" w:rsidP="00B80EC2">
      <w:pPr>
        <w:pStyle w:val="ListParagraph"/>
        <w:numPr>
          <w:ilvl w:val="0"/>
          <w:numId w:val="21"/>
        </w:numPr>
        <w:spacing w:line="240" w:lineRule="auto"/>
        <w:rPr>
          <w:rFonts w:ascii="Arial" w:hAnsi="Arial" w:cs="Arial"/>
          <w:sz w:val="24"/>
          <w:szCs w:val="24"/>
        </w:rPr>
      </w:pPr>
      <w:r>
        <w:rPr>
          <w:rFonts w:ascii="Arial" w:hAnsi="Arial" w:cs="Arial"/>
          <w:sz w:val="24"/>
          <w:szCs w:val="24"/>
        </w:rPr>
        <w:t xml:space="preserve">Grant Castle, for MSD, said that the committee had deviated from an established, reasonable approach in the case of this appraisal.  </w:t>
      </w:r>
      <w:proofErr w:type="gramStart"/>
      <w:r>
        <w:rPr>
          <w:rFonts w:ascii="Arial" w:hAnsi="Arial" w:cs="Arial"/>
          <w:sz w:val="24"/>
          <w:szCs w:val="24"/>
        </w:rPr>
        <w:t>In particular, there</w:t>
      </w:r>
      <w:proofErr w:type="gramEnd"/>
      <w:r>
        <w:rPr>
          <w:rFonts w:ascii="Arial" w:hAnsi="Arial" w:cs="Arial"/>
          <w:sz w:val="24"/>
          <w:szCs w:val="24"/>
        </w:rPr>
        <w:t xml:space="preserve"> were clear similarities between this </w:t>
      </w:r>
      <w:r w:rsidR="00EE054F">
        <w:rPr>
          <w:rFonts w:ascii="Arial" w:hAnsi="Arial" w:cs="Arial"/>
          <w:sz w:val="24"/>
          <w:szCs w:val="24"/>
        </w:rPr>
        <w:t>appraisal and the appraisal of a</w:t>
      </w:r>
      <w:r>
        <w:rPr>
          <w:rFonts w:ascii="Arial" w:hAnsi="Arial" w:cs="Arial"/>
          <w:sz w:val="24"/>
          <w:szCs w:val="24"/>
        </w:rPr>
        <w:t>tezolizumab (TA525)</w:t>
      </w:r>
      <w:r w:rsidR="00B80EC2">
        <w:rPr>
          <w:rFonts w:ascii="Arial" w:hAnsi="Arial" w:cs="Arial"/>
          <w:sz w:val="24"/>
          <w:szCs w:val="24"/>
        </w:rPr>
        <w:t>.  Therefore, if a different approach were to be taken in th</w:t>
      </w:r>
      <w:r w:rsidR="00691ACA">
        <w:rPr>
          <w:rFonts w:ascii="Arial" w:hAnsi="Arial" w:cs="Arial"/>
          <w:sz w:val="24"/>
          <w:szCs w:val="24"/>
        </w:rPr>
        <w:t>is</w:t>
      </w:r>
      <w:r w:rsidR="00B80EC2">
        <w:rPr>
          <w:rFonts w:ascii="Arial" w:hAnsi="Arial" w:cs="Arial"/>
          <w:sz w:val="24"/>
          <w:szCs w:val="24"/>
        </w:rPr>
        <w:t xml:space="preserve"> appraisal, it should be clearly justified.  </w:t>
      </w:r>
      <w:r w:rsidR="00167D23">
        <w:rPr>
          <w:rFonts w:ascii="Arial" w:hAnsi="Arial" w:cs="Arial"/>
          <w:sz w:val="24"/>
          <w:szCs w:val="24"/>
        </w:rPr>
        <w:t xml:space="preserve">He said that </w:t>
      </w:r>
      <w:r w:rsidR="00F86060">
        <w:rPr>
          <w:rFonts w:ascii="Arial" w:hAnsi="Arial" w:cs="Arial"/>
          <w:sz w:val="24"/>
          <w:szCs w:val="24"/>
        </w:rPr>
        <w:t xml:space="preserve">the </w:t>
      </w:r>
      <w:r w:rsidR="00B80EC2">
        <w:rPr>
          <w:rFonts w:ascii="Arial" w:hAnsi="Arial" w:cs="Arial"/>
          <w:sz w:val="24"/>
          <w:szCs w:val="24"/>
        </w:rPr>
        <w:t>key example of the difference in approach is the different treatment effect duration</w:t>
      </w:r>
      <w:r w:rsidR="00D4215C">
        <w:rPr>
          <w:rFonts w:ascii="Arial" w:hAnsi="Arial" w:cs="Arial"/>
          <w:sz w:val="24"/>
          <w:szCs w:val="24"/>
        </w:rPr>
        <w:t xml:space="preserve"> assumptions</w:t>
      </w:r>
      <w:r w:rsidR="00B80EC2">
        <w:rPr>
          <w:rFonts w:ascii="Arial" w:hAnsi="Arial" w:cs="Arial"/>
          <w:sz w:val="24"/>
          <w:szCs w:val="24"/>
        </w:rPr>
        <w:t xml:space="preserve"> used in the two appraisals (</w:t>
      </w:r>
      <w:r w:rsidR="00803EE0">
        <w:rPr>
          <w:rFonts w:ascii="Arial" w:hAnsi="Arial" w:cs="Arial"/>
          <w:sz w:val="24"/>
          <w:szCs w:val="24"/>
        </w:rPr>
        <w:t xml:space="preserve">3 </w:t>
      </w:r>
      <w:r w:rsidR="00B80EC2">
        <w:rPr>
          <w:rFonts w:ascii="Arial" w:hAnsi="Arial" w:cs="Arial"/>
          <w:sz w:val="24"/>
          <w:szCs w:val="24"/>
        </w:rPr>
        <w:t xml:space="preserve">years from the </w:t>
      </w:r>
      <w:r w:rsidR="00803EE0">
        <w:rPr>
          <w:rFonts w:ascii="Arial" w:hAnsi="Arial" w:cs="Arial"/>
          <w:sz w:val="24"/>
          <w:szCs w:val="24"/>
        </w:rPr>
        <w:t xml:space="preserve">end </w:t>
      </w:r>
      <w:r w:rsidR="00B80EC2">
        <w:rPr>
          <w:rFonts w:ascii="Arial" w:hAnsi="Arial" w:cs="Arial"/>
          <w:sz w:val="24"/>
          <w:szCs w:val="24"/>
        </w:rPr>
        <w:t xml:space="preserve">of treatment </w:t>
      </w:r>
      <w:r w:rsidR="00803EE0">
        <w:rPr>
          <w:rFonts w:ascii="Arial" w:hAnsi="Arial" w:cs="Arial"/>
          <w:sz w:val="24"/>
          <w:szCs w:val="24"/>
        </w:rPr>
        <w:t xml:space="preserve">with a two year treatment stopping rule </w:t>
      </w:r>
      <w:r w:rsidR="00B80EC2">
        <w:rPr>
          <w:rFonts w:ascii="Arial" w:hAnsi="Arial" w:cs="Arial"/>
          <w:sz w:val="24"/>
          <w:szCs w:val="24"/>
        </w:rPr>
        <w:t xml:space="preserve">in TA525, 3-5 years from the start of treatment in this appraisal). </w:t>
      </w:r>
    </w:p>
    <w:p w14:paraId="55C0F292" w14:textId="77777777" w:rsidR="00B80EC2" w:rsidRDefault="00B80EC2" w:rsidP="00B80EC2">
      <w:pPr>
        <w:pStyle w:val="ListParagraph"/>
        <w:spacing w:line="240" w:lineRule="auto"/>
        <w:ind w:left="360"/>
        <w:rPr>
          <w:rFonts w:ascii="Arial" w:hAnsi="Arial" w:cs="Arial"/>
          <w:sz w:val="24"/>
          <w:szCs w:val="24"/>
        </w:rPr>
      </w:pPr>
    </w:p>
    <w:p w14:paraId="6626AA1F" w14:textId="24864EBF" w:rsidR="00B80EC2" w:rsidRDefault="00B80EC2"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Mr Castle said that</w:t>
      </w:r>
      <w:r w:rsidR="000A332C">
        <w:rPr>
          <w:rFonts w:ascii="Arial" w:hAnsi="Arial" w:cs="Arial"/>
          <w:sz w:val="24"/>
          <w:szCs w:val="24"/>
        </w:rPr>
        <w:t xml:space="preserve"> section 6.2.16 of the NICE methods guide suggests that appraisal committees should try to take a consistent approach unless there are differences in the evidence.  </w:t>
      </w:r>
      <w:r w:rsidR="00EE054F">
        <w:rPr>
          <w:rFonts w:ascii="Arial" w:hAnsi="Arial" w:cs="Arial"/>
          <w:sz w:val="24"/>
          <w:szCs w:val="24"/>
        </w:rPr>
        <w:t xml:space="preserve">In this case, </w:t>
      </w:r>
      <w:r w:rsidR="00EE7CFE">
        <w:rPr>
          <w:rFonts w:ascii="Arial" w:hAnsi="Arial" w:cs="Arial"/>
          <w:sz w:val="24"/>
          <w:szCs w:val="24"/>
        </w:rPr>
        <w:t xml:space="preserve">pembrolizumab has been shown to </w:t>
      </w:r>
      <w:proofErr w:type="gramStart"/>
      <w:r w:rsidR="00EE7CFE">
        <w:rPr>
          <w:rFonts w:ascii="Arial" w:hAnsi="Arial" w:cs="Arial"/>
          <w:sz w:val="24"/>
          <w:szCs w:val="24"/>
        </w:rPr>
        <w:t>have an effect on</w:t>
      </w:r>
      <w:proofErr w:type="gramEnd"/>
      <w:r w:rsidR="00EE7CFE">
        <w:rPr>
          <w:rFonts w:ascii="Arial" w:hAnsi="Arial" w:cs="Arial"/>
          <w:sz w:val="24"/>
          <w:szCs w:val="24"/>
        </w:rPr>
        <w:t xml:space="preserve"> overall survival, where atezolizumab has not, and </w:t>
      </w:r>
      <w:r w:rsidR="00E54627">
        <w:rPr>
          <w:rFonts w:ascii="Arial" w:hAnsi="Arial" w:cs="Arial"/>
          <w:sz w:val="24"/>
          <w:szCs w:val="24"/>
        </w:rPr>
        <w:t xml:space="preserve">there </w:t>
      </w:r>
      <w:r w:rsidR="00803EE0">
        <w:rPr>
          <w:rFonts w:ascii="Arial" w:hAnsi="Arial" w:cs="Arial"/>
          <w:sz w:val="24"/>
          <w:szCs w:val="24"/>
        </w:rPr>
        <w:t>are</w:t>
      </w:r>
      <w:r w:rsidR="00E54627">
        <w:rPr>
          <w:rFonts w:ascii="Arial" w:hAnsi="Arial" w:cs="Arial"/>
          <w:sz w:val="24"/>
          <w:szCs w:val="24"/>
        </w:rPr>
        <w:t xml:space="preserve"> longer follow-up data available for pembrolizumab</w:t>
      </w:r>
      <w:r w:rsidR="00EE054F">
        <w:rPr>
          <w:rFonts w:ascii="Arial" w:hAnsi="Arial" w:cs="Arial"/>
          <w:sz w:val="24"/>
          <w:szCs w:val="24"/>
        </w:rPr>
        <w:t>.  Therefore, the differences in the evidence would be in favour of assuming a longer rather than shorter duration of treatment</w:t>
      </w:r>
      <w:r>
        <w:rPr>
          <w:rFonts w:ascii="Arial" w:hAnsi="Arial" w:cs="Arial"/>
          <w:sz w:val="24"/>
          <w:szCs w:val="24"/>
        </w:rPr>
        <w:t xml:space="preserve"> </w:t>
      </w:r>
      <w:r w:rsidR="00105CDF">
        <w:rPr>
          <w:rFonts w:ascii="Arial" w:hAnsi="Arial" w:cs="Arial"/>
          <w:sz w:val="24"/>
          <w:szCs w:val="24"/>
        </w:rPr>
        <w:t xml:space="preserve">effect </w:t>
      </w:r>
      <w:r w:rsidR="00EE054F">
        <w:rPr>
          <w:rFonts w:ascii="Arial" w:hAnsi="Arial" w:cs="Arial"/>
          <w:sz w:val="24"/>
          <w:szCs w:val="24"/>
        </w:rPr>
        <w:t xml:space="preserve">for pembrolizumab.  </w:t>
      </w:r>
    </w:p>
    <w:p w14:paraId="7459545B" w14:textId="77777777" w:rsidR="00EE054F" w:rsidRPr="00EE054F" w:rsidRDefault="00EE054F" w:rsidP="00EE054F">
      <w:pPr>
        <w:pStyle w:val="ListParagraph"/>
        <w:rPr>
          <w:rFonts w:ascii="Arial" w:hAnsi="Arial" w:cs="Arial"/>
          <w:sz w:val="24"/>
          <w:szCs w:val="24"/>
        </w:rPr>
      </w:pPr>
    </w:p>
    <w:p w14:paraId="220612E2" w14:textId="77777777" w:rsidR="00EE054F" w:rsidRDefault="00EE054F"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lastRenderedPageBreak/>
        <w:t xml:space="preserve">Mr Castle said that MSD had raised this concern at several points throughout the appraisal but had never received a satisfactory explanation. </w:t>
      </w:r>
    </w:p>
    <w:p w14:paraId="5E0F2A43" w14:textId="77777777" w:rsidR="00461836" w:rsidRPr="00461836" w:rsidRDefault="00461836" w:rsidP="00461836">
      <w:pPr>
        <w:pStyle w:val="ListParagraph"/>
        <w:rPr>
          <w:rFonts w:ascii="Arial" w:hAnsi="Arial" w:cs="Arial"/>
          <w:sz w:val="24"/>
          <w:szCs w:val="24"/>
        </w:rPr>
      </w:pPr>
    </w:p>
    <w:p w14:paraId="06D53518" w14:textId="0296F2FA" w:rsidR="00461836" w:rsidRDefault="00461836"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Benjamin Bates, for MSD, </w:t>
      </w:r>
      <w:r w:rsidR="00934AA0">
        <w:rPr>
          <w:rFonts w:ascii="Arial" w:hAnsi="Arial" w:cs="Arial"/>
          <w:sz w:val="24"/>
          <w:szCs w:val="24"/>
        </w:rPr>
        <w:t>exp</w:t>
      </w:r>
      <w:r w:rsidR="0069598E">
        <w:rPr>
          <w:rFonts w:ascii="Arial" w:hAnsi="Arial" w:cs="Arial"/>
          <w:sz w:val="24"/>
          <w:szCs w:val="24"/>
        </w:rPr>
        <w:t>laine</w:t>
      </w:r>
      <w:r w:rsidR="00A17067">
        <w:rPr>
          <w:rFonts w:ascii="Arial" w:hAnsi="Arial" w:cs="Arial"/>
          <w:sz w:val="24"/>
          <w:szCs w:val="24"/>
        </w:rPr>
        <w:t xml:space="preserve">d that </w:t>
      </w:r>
      <w:r w:rsidR="00C460B1">
        <w:rPr>
          <w:rFonts w:ascii="Arial" w:hAnsi="Arial" w:cs="Arial"/>
          <w:sz w:val="24"/>
          <w:szCs w:val="24"/>
        </w:rPr>
        <w:t>with a cap on treatment effect duration</w:t>
      </w:r>
      <w:r w:rsidR="00CC75FE">
        <w:rPr>
          <w:rFonts w:ascii="Arial" w:hAnsi="Arial" w:cs="Arial"/>
          <w:sz w:val="24"/>
          <w:szCs w:val="24"/>
        </w:rPr>
        <w:t xml:space="preserve"> at 3 years</w:t>
      </w:r>
      <w:r w:rsidR="00803EE0">
        <w:rPr>
          <w:rFonts w:ascii="Arial" w:hAnsi="Arial" w:cs="Arial"/>
          <w:sz w:val="24"/>
          <w:szCs w:val="24"/>
        </w:rPr>
        <w:t xml:space="preserve"> from the start of treatment</w:t>
      </w:r>
      <w:r w:rsidR="00C460B1">
        <w:rPr>
          <w:rFonts w:ascii="Arial" w:hAnsi="Arial" w:cs="Arial"/>
          <w:sz w:val="24"/>
          <w:szCs w:val="24"/>
        </w:rPr>
        <w:t>, the modelling assumes that</w:t>
      </w:r>
      <w:r w:rsidR="0009040E">
        <w:rPr>
          <w:rFonts w:ascii="Arial" w:hAnsi="Arial" w:cs="Arial"/>
          <w:sz w:val="24"/>
          <w:szCs w:val="24"/>
        </w:rPr>
        <w:t xml:space="preserve"> for</w:t>
      </w:r>
      <w:r w:rsidR="00C460B1">
        <w:rPr>
          <w:rFonts w:ascii="Arial" w:hAnsi="Arial" w:cs="Arial"/>
          <w:sz w:val="24"/>
          <w:szCs w:val="24"/>
        </w:rPr>
        <w:t xml:space="preserve"> patients still </w:t>
      </w:r>
      <w:r w:rsidR="00C90F60">
        <w:rPr>
          <w:rFonts w:ascii="Arial" w:hAnsi="Arial" w:cs="Arial"/>
          <w:sz w:val="24"/>
          <w:szCs w:val="24"/>
        </w:rPr>
        <w:t>a</w:t>
      </w:r>
      <w:r w:rsidR="00C460B1">
        <w:rPr>
          <w:rFonts w:ascii="Arial" w:hAnsi="Arial" w:cs="Arial"/>
          <w:sz w:val="24"/>
          <w:szCs w:val="24"/>
        </w:rPr>
        <w:t xml:space="preserve">live on active treatment at this time point </w:t>
      </w:r>
      <w:r w:rsidR="0009040E">
        <w:rPr>
          <w:rFonts w:ascii="Arial" w:hAnsi="Arial" w:cs="Arial"/>
          <w:sz w:val="24"/>
          <w:szCs w:val="24"/>
        </w:rPr>
        <w:t>their hazard rate suddenly jumps to that of the standard of care arm</w:t>
      </w:r>
      <w:r w:rsidR="001F3E3E">
        <w:rPr>
          <w:rFonts w:ascii="Arial" w:hAnsi="Arial" w:cs="Arial"/>
          <w:sz w:val="24"/>
          <w:szCs w:val="24"/>
        </w:rPr>
        <w:t xml:space="preserve">.  The company’s position is that </w:t>
      </w:r>
      <w:r w:rsidR="00AC2218">
        <w:rPr>
          <w:rFonts w:ascii="Arial" w:hAnsi="Arial" w:cs="Arial"/>
          <w:sz w:val="24"/>
          <w:szCs w:val="24"/>
        </w:rPr>
        <w:t xml:space="preserve">the lower chance of dying with pembrolizumab continues past three years. </w:t>
      </w:r>
    </w:p>
    <w:p w14:paraId="3C628AA6" w14:textId="77777777" w:rsidR="00AC2218" w:rsidRPr="00AC2218" w:rsidRDefault="00AC2218" w:rsidP="00AC2218">
      <w:pPr>
        <w:pStyle w:val="ListParagraph"/>
        <w:rPr>
          <w:rFonts w:ascii="Arial" w:hAnsi="Arial" w:cs="Arial"/>
          <w:sz w:val="24"/>
          <w:szCs w:val="24"/>
        </w:rPr>
      </w:pPr>
    </w:p>
    <w:p w14:paraId="2B6DCD3C" w14:textId="73F40AB4" w:rsidR="00AC2218" w:rsidRDefault="00B41EC9"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Mr Bates </w:t>
      </w:r>
      <w:r w:rsidR="00CF42F1">
        <w:rPr>
          <w:rFonts w:ascii="Arial" w:hAnsi="Arial" w:cs="Arial"/>
          <w:sz w:val="24"/>
          <w:szCs w:val="24"/>
        </w:rPr>
        <w:t xml:space="preserve">said that the </w:t>
      </w:r>
      <w:r w:rsidR="009636F1">
        <w:rPr>
          <w:rFonts w:ascii="Arial" w:hAnsi="Arial" w:cs="Arial"/>
          <w:sz w:val="24"/>
          <w:szCs w:val="24"/>
        </w:rPr>
        <w:t>approach</w:t>
      </w:r>
      <w:r w:rsidR="00CF42F1">
        <w:rPr>
          <w:rFonts w:ascii="Arial" w:hAnsi="Arial" w:cs="Arial"/>
          <w:sz w:val="24"/>
          <w:szCs w:val="24"/>
        </w:rPr>
        <w:t xml:space="preserve"> taken by the ERG in this appraisal was significantly different from that used in other </w:t>
      </w:r>
      <w:r w:rsidR="0032314F">
        <w:rPr>
          <w:rFonts w:ascii="Arial" w:hAnsi="Arial" w:cs="Arial"/>
          <w:sz w:val="24"/>
          <w:szCs w:val="24"/>
        </w:rPr>
        <w:t>immune-</w:t>
      </w:r>
      <w:r w:rsidR="00CF42F1">
        <w:rPr>
          <w:rFonts w:ascii="Arial" w:hAnsi="Arial" w:cs="Arial"/>
          <w:sz w:val="24"/>
          <w:szCs w:val="24"/>
        </w:rPr>
        <w:t xml:space="preserve">oncology technology appraisals. </w:t>
      </w:r>
    </w:p>
    <w:p w14:paraId="2E6742DA" w14:textId="77777777" w:rsidR="009636F1" w:rsidRPr="009636F1" w:rsidRDefault="009636F1" w:rsidP="009636F1">
      <w:pPr>
        <w:pStyle w:val="ListParagraph"/>
        <w:rPr>
          <w:rFonts w:ascii="Arial" w:hAnsi="Arial" w:cs="Arial"/>
          <w:sz w:val="24"/>
          <w:szCs w:val="24"/>
        </w:rPr>
      </w:pPr>
    </w:p>
    <w:p w14:paraId="4A7C66AF" w14:textId="77777777" w:rsidR="00714D31" w:rsidRPr="00D01AB8" w:rsidRDefault="009636F1" w:rsidP="00D01AB8">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Dr Simon Crabb, for MSD, </w:t>
      </w:r>
      <w:r w:rsidR="00DF537D">
        <w:rPr>
          <w:rFonts w:ascii="Arial" w:hAnsi="Arial" w:cs="Arial"/>
          <w:sz w:val="24"/>
          <w:szCs w:val="24"/>
        </w:rPr>
        <w:t xml:space="preserve">said that the real clinical benefit of pembrolizumab is not the improvement in median survival but </w:t>
      </w:r>
      <w:r w:rsidR="009D0F00">
        <w:rPr>
          <w:rFonts w:ascii="Arial" w:hAnsi="Arial" w:cs="Arial"/>
          <w:sz w:val="24"/>
          <w:szCs w:val="24"/>
        </w:rPr>
        <w:t xml:space="preserve">that </w:t>
      </w:r>
      <w:r w:rsidR="00D01AB8">
        <w:rPr>
          <w:rFonts w:ascii="Arial" w:hAnsi="Arial" w:cs="Arial"/>
          <w:sz w:val="24"/>
          <w:szCs w:val="24"/>
        </w:rPr>
        <w:t>a small group of</w:t>
      </w:r>
      <w:r w:rsidR="005C6DA5">
        <w:rPr>
          <w:rFonts w:ascii="Arial" w:hAnsi="Arial" w:cs="Arial"/>
          <w:sz w:val="24"/>
          <w:szCs w:val="24"/>
        </w:rPr>
        <w:t xml:space="preserve"> patients have very long survival, even after stopping treatment.  </w:t>
      </w:r>
      <w:r w:rsidR="00D01AB8">
        <w:rPr>
          <w:rFonts w:ascii="Arial" w:hAnsi="Arial" w:cs="Arial"/>
          <w:sz w:val="24"/>
          <w:szCs w:val="24"/>
        </w:rPr>
        <w:t xml:space="preserve">He also emphasised that the </w:t>
      </w:r>
      <w:r w:rsidR="00714D31" w:rsidRPr="00D01AB8">
        <w:rPr>
          <w:rFonts w:ascii="Arial" w:hAnsi="Arial" w:cs="Arial"/>
          <w:sz w:val="24"/>
          <w:szCs w:val="24"/>
        </w:rPr>
        <w:t>clinical trials of atezolizumab and pembrolizumab were extremely similar.</w:t>
      </w:r>
    </w:p>
    <w:p w14:paraId="217C17F9" w14:textId="77777777" w:rsidR="00433CCD" w:rsidRPr="00433CCD" w:rsidRDefault="00433CCD" w:rsidP="00433CCD">
      <w:pPr>
        <w:pStyle w:val="ListParagraph"/>
        <w:rPr>
          <w:rFonts w:ascii="Arial" w:hAnsi="Arial" w:cs="Arial"/>
          <w:sz w:val="24"/>
          <w:szCs w:val="24"/>
        </w:rPr>
      </w:pPr>
    </w:p>
    <w:p w14:paraId="30B0817A" w14:textId="4F87B992" w:rsidR="00433CCD" w:rsidRDefault="00433CCD"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Prof Gary McVeigh, for NICE, </w:t>
      </w:r>
      <w:r w:rsidR="00A119AA">
        <w:rPr>
          <w:rFonts w:ascii="Arial" w:hAnsi="Arial" w:cs="Arial"/>
          <w:sz w:val="24"/>
          <w:szCs w:val="24"/>
        </w:rPr>
        <w:t>explained that in 20</w:t>
      </w:r>
      <w:r w:rsidR="000166A3">
        <w:rPr>
          <w:rFonts w:ascii="Arial" w:hAnsi="Arial" w:cs="Arial"/>
          <w:sz w:val="24"/>
          <w:szCs w:val="24"/>
        </w:rPr>
        <w:t xml:space="preserve">17-2018 atezolizumab and pembrolizumab were considered in parallel by the committee (in TA525 and TA519) but at that stage the data were extremely immature. </w:t>
      </w:r>
      <w:r w:rsidR="00515C67">
        <w:rPr>
          <w:rFonts w:ascii="Arial" w:hAnsi="Arial" w:cs="Arial"/>
          <w:sz w:val="24"/>
          <w:szCs w:val="24"/>
        </w:rPr>
        <w:t xml:space="preserve">At </w:t>
      </w:r>
      <w:r w:rsidR="00CC75FE">
        <w:rPr>
          <w:rFonts w:ascii="Arial" w:hAnsi="Arial" w:cs="Arial"/>
          <w:sz w:val="24"/>
          <w:szCs w:val="24"/>
        </w:rPr>
        <w:t xml:space="preserve">that </w:t>
      </w:r>
      <w:r w:rsidR="00515C67">
        <w:rPr>
          <w:rFonts w:ascii="Arial" w:hAnsi="Arial" w:cs="Arial"/>
          <w:sz w:val="24"/>
          <w:szCs w:val="24"/>
        </w:rPr>
        <w:t>time there was no evidence for a prolonged treatment effect</w:t>
      </w:r>
      <w:r w:rsidR="00A43B20">
        <w:rPr>
          <w:rFonts w:ascii="Arial" w:hAnsi="Arial" w:cs="Arial"/>
          <w:sz w:val="24"/>
          <w:szCs w:val="24"/>
        </w:rPr>
        <w:t>, and it was impossible to know how many patients might have a prolonged effect from treatment</w:t>
      </w:r>
      <w:r w:rsidR="00812A33">
        <w:rPr>
          <w:rFonts w:ascii="Arial" w:hAnsi="Arial" w:cs="Arial"/>
          <w:sz w:val="24"/>
          <w:szCs w:val="24"/>
        </w:rPr>
        <w:t xml:space="preserve">.  </w:t>
      </w:r>
      <w:r w:rsidR="006B1EE4">
        <w:rPr>
          <w:rFonts w:ascii="Arial" w:hAnsi="Arial" w:cs="Arial"/>
          <w:sz w:val="24"/>
          <w:szCs w:val="24"/>
        </w:rPr>
        <w:t xml:space="preserve">The committee </w:t>
      </w:r>
      <w:r w:rsidR="00CC75FE">
        <w:rPr>
          <w:rFonts w:ascii="Arial" w:hAnsi="Arial" w:cs="Arial"/>
          <w:sz w:val="24"/>
          <w:szCs w:val="24"/>
        </w:rPr>
        <w:t xml:space="preserve">had </w:t>
      </w:r>
      <w:r w:rsidR="006B1EE4">
        <w:rPr>
          <w:rFonts w:ascii="Arial" w:hAnsi="Arial" w:cs="Arial"/>
          <w:sz w:val="24"/>
          <w:szCs w:val="24"/>
        </w:rPr>
        <w:t xml:space="preserve">agreed that a lifetime effect was not plausible.  </w:t>
      </w:r>
      <w:r w:rsidR="00812A33">
        <w:rPr>
          <w:rFonts w:ascii="Arial" w:hAnsi="Arial" w:cs="Arial"/>
          <w:sz w:val="24"/>
          <w:szCs w:val="24"/>
        </w:rPr>
        <w:t>He agreed that i</w:t>
      </w:r>
      <w:r w:rsidR="002C0F4C">
        <w:rPr>
          <w:rFonts w:ascii="Arial" w:hAnsi="Arial" w:cs="Arial"/>
          <w:sz w:val="24"/>
          <w:szCs w:val="24"/>
        </w:rPr>
        <w:t>t</w:t>
      </w:r>
      <w:r w:rsidR="00812A33">
        <w:rPr>
          <w:rFonts w:ascii="Arial" w:hAnsi="Arial" w:cs="Arial"/>
          <w:sz w:val="24"/>
          <w:szCs w:val="24"/>
        </w:rPr>
        <w:t xml:space="preserve"> is no</w:t>
      </w:r>
      <w:r w:rsidR="002C0F4C">
        <w:rPr>
          <w:rFonts w:ascii="Arial" w:hAnsi="Arial" w:cs="Arial"/>
          <w:sz w:val="24"/>
          <w:szCs w:val="24"/>
        </w:rPr>
        <w:t xml:space="preserve">t plausible that the benefit of treatment is instantaneously lost at a specific time point for all patients.  On the other hand, </w:t>
      </w:r>
      <w:r w:rsidR="00F8280B">
        <w:rPr>
          <w:rFonts w:ascii="Arial" w:hAnsi="Arial" w:cs="Arial"/>
          <w:sz w:val="24"/>
          <w:szCs w:val="24"/>
        </w:rPr>
        <w:t xml:space="preserve">the data support a waning of the treatment effect over time (even before treatment is stopped).  </w:t>
      </w:r>
      <w:r w:rsidR="00EC4D0F">
        <w:rPr>
          <w:rFonts w:ascii="Arial" w:hAnsi="Arial" w:cs="Arial"/>
          <w:sz w:val="24"/>
          <w:szCs w:val="24"/>
        </w:rPr>
        <w:t xml:space="preserve">Using a treatment effect duration cap was therefore a compromise. </w:t>
      </w:r>
      <w:r w:rsidR="00846DF6">
        <w:rPr>
          <w:rFonts w:ascii="Arial" w:hAnsi="Arial" w:cs="Arial"/>
          <w:sz w:val="24"/>
          <w:szCs w:val="24"/>
        </w:rPr>
        <w:t xml:space="preserve"> </w:t>
      </w:r>
      <w:r w:rsidR="004C50FF">
        <w:rPr>
          <w:rFonts w:ascii="Arial" w:hAnsi="Arial" w:cs="Arial"/>
          <w:sz w:val="24"/>
          <w:szCs w:val="24"/>
        </w:rPr>
        <w:t>The options presented to the committee</w:t>
      </w:r>
      <w:r w:rsidR="00251812">
        <w:rPr>
          <w:rFonts w:ascii="Arial" w:hAnsi="Arial" w:cs="Arial"/>
          <w:sz w:val="24"/>
          <w:szCs w:val="24"/>
        </w:rPr>
        <w:t xml:space="preserve"> in T</w:t>
      </w:r>
      <w:r w:rsidR="00803EE0">
        <w:rPr>
          <w:rFonts w:ascii="Arial" w:hAnsi="Arial" w:cs="Arial"/>
          <w:sz w:val="24"/>
          <w:szCs w:val="24"/>
        </w:rPr>
        <w:t>A</w:t>
      </w:r>
      <w:r w:rsidR="00251812">
        <w:rPr>
          <w:rFonts w:ascii="Arial" w:hAnsi="Arial" w:cs="Arial"/>
          <w:sz w:val="24"/>
          <w:szCs w:val="24"/>
        </w:rPr>
        <w:t>525</w:t>
      </w:r>
      <w:r w:rsidR="004C50FF">
        <w:rPr>
          <w:rFonts w:ascii="Arial" w:hAnsi="Arial" w:cs="Arial"/>
          <w:sz w:val="24"/>
          <w:szCs w:val="24"/>
        </w:rPr>
        <w:t xml:space="preserve"> were either a </w:t>
      </w:r>
      <w:proofErr w:type="gramStart"/>
      <w:r w:rsidR="009406B1">
        <w:rPr>
          <w:rFonts w:ascii="Arial" w:hAnsi="Arial" w:cs="Arial"/>
          <w:sz w:val="24"/>
          <w:szCs w:val="24"/>
        </w:rPr>
        <w:t>5</w:t>
      </w:r>
      <w:r w:rsidR="004C50FF">
        <w:rPr>
          <w:rFonts w:ascii="Arial" w:hAnsi="Arial" w:cs="Arial"/>
          <w:sz w:val="24"/>
          <w:szCs w:val="24"/>
        </w:rPr>
        <w:t xml:space="preserve"> or 7 year</w:t>
      </w:r>
      <w:proofErr w:type="gramEnd"/>
      <w:r w:rsidR="004C50FF">
        <w:rPr>
          <w:rFonts w:ascii="Arial" w:hAnsi="Arial" w:cs="Arial"/>
          <w:sz w:val="24"/>
          <w:szCs w:val="24"/>
        </w:rPr>
        <w:t xml:space="preserve"> treatment effect duration</w:t>
      </w:r>
      <w:r w:rsidR="009406B1">
        <w:rPr>
          <w:rFonts w:ascii="Arial" w:hAnsi="Arial" w:cs="Arial"/>
          <w:sz w:val="24"/>
          <w:szCs w:val="24"/>
        </w:rPr>
        <w:t xml:space="preserve"> (3-5 year</w:t>
      </w:r>
      <w:r w:rsidR="00843EED">
        <w:rPr>
          <w:rFonts w:ascii="Arial" w:hAnsi="Arial" w:cs="Arial"/>
          <w:sz w:val="24"/>
          <w:szCs w:val="24"/>
        </w:rPr>
        <w:t>s after a two year stopping rule)</w:t>
      </w:r>
      <w:r w:rsidR="004C50FF">
        <w:rPr>
          <w:rFonts w:ascii="Arial" w:hAnsi="Arial" w:cs="Arial"/>
          <w:sz w:val="24"/>
          <w:szCs w:val="24"/>
        </w:rPr>
        <w:t xml:space="preserve">. </w:t>
      </w:r>
    </w:p>
    <w:p w14:paraId="7E63ECE0" w14:textId="77777777" w:rsidR="00500C26" w:rsidRPr="00500C26" w:rsidRDefault="00500C26" w:rsidP="00500C26">
      <w:pPr>
        <w:pStyle w:val="ListParagraph"/>
        <w:rPr>
          <w:rFonts w:ascii="Arial" w:hAnsi="Arial" w:cs="Arial"/>
          <w:sz w:val="24"/>
          <w:szCs w:val="24"/>
        </w:rPr>
      </w:pPr>
    </w:p>
    <w:p w14:paraId="5A83391F" w14:textId="26DB2C24" w:rsidR="00500C26" w:rsidRDefault="00500C26"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Prof McVeigh </w:t>
      </w:r>
      <w:r w:rsidR="00D637A7">
        <w:rPr>
          <w:rFonts w:ascii="Arial" w:hAnsi="Arial" w:cs="Arial"/>
          <w:sz w:val="24"/>
          <w:szCs w:val="24"/>
        </w:rPr>
        <w:t>said that the reason atezolizumab was approved for routine practice</w:t>
      </w:r>
      <w:r w:rsidR="00CC75FE">
        <w:rPr>
          <w:rFonts w:ascii="Arial" w:hAnsi="Arial" w:cs="Arial"/>
          <w:sz w:val="24"/>
          <w:szCs w:val="24"/>
        </w:rPr>
        <w:t>,</w:t>
      </w:r>
      <w:r w:rsidR="00D637A7">
        <w:rPr>
          <w:rFonts w:ascii="Arial" w:hAnsi="Arial" w:cs="Arial"/>
          <w:sz w:val="24"/>
          <w:szCs w:val="24"/>
        </w:rPr>
        <w:t xml:space="preserve"> whereas pembrolizumab went into the Cancer Drugs Fund</w:t>
      </w:r>
      <w:r w:rsidR="00CC75FE">
        <w:rPr>
          <w:rFonts w:ascii="Arial" w:hAnsi="Arial" w:cs="Arial"/>
          <w:sz w:val="24"/>
          <w:szCs w:val="24"/>
        </w:rPr>
        <w:t>,</w:t>
      </w:r>
      <w:r w:rsidR="00D637A7">
        <w:rPr>
          <w:rFonts w:ascii="Arial" w:hAnsi="Arial" w:cs="Arial"/>
          <w:sz w:val="24"/>
          <w:szCs w:val="24"/>
        </w:rPr>
        <w:t xml:space="preserve"> was </w:t>
      </w:r>
      <w:r w:rsidR="00803EE0">
        <w:rPr>
          <w:rFonts w:ascii="Arial" w:hAnsi="Arial" w:cs="Arial"/>
          <w:sz w:val="24"/>
          <w:szCs w:val="24"/>
        </w:rPr>
        <w:t xml:space="preserve">due to the commercial offer around </w:t>
      </w:r>
      <w:r w:rsidR="00EE2FB0">
        <w:rPr>
          <w:rFonts w:ascii="Arial" w:hAnsi="Arial" w:cs="Arial"/>
          <w:sz w:val="24"/>
          <w:szCs w:val="24"/>
        </w:rPr>
        <w:t>atezolizumab</w:t>
      </w:r>
      <w:r w:rsidR="00D4215C">
        <w:rPr>
          <w:rFonts w:ascii="Arial" w:hAnsi="Arial" w:cs="Arial"/>
          <w:sz w:val="24"/>
          <w:szCs w:val="24"/>
        </w:rPr>
        <w:t>’s acquisition</w:t>
      </w:r>
      <w:r w:rsidR="00EE2FB0">
        <w:rPr>
          <w:rFonts w:ascii="Arial" w:hAnsi="Arial" w:cs="Arial"/>
          <w:sz w:val="24"/>
          <w:szCs w:val="24"/>
        </w:rPr>
        <w:t xml:space="preserve">. </w:t>
      </w:r>
      <w:r w:rsidR="0090497A">
        <w:rPr>
          <w:rFonts w:ascii="Arial" w:hAnsi="Arial" w:cs="Arial"/>
          <w:sz w:val="24"/>
          <w:szCs w:val="24"/>
        </w:rPr>
        <w:t xml:space="preserve">With </w:t>
      </w:r>
      <w:r w:rsidR="00803EE0">
        <w:rPr>
          <w:rFonts w:ascii="Arial" w:hAnsi="Arial" w:cs="Arial"/>
          <w:sz w:val="24"/>
          <w:szCs w:val="24"/>
        </w:rPr>
        <w:t>that offer</w:t>
      </w:r>
      <w:r w:rsidR="0090497A">
        <w:rPr>
          <w:rFonts w:ascii="Arial" w:hAnsi="Arial" w:cs="Arial"/>
          <w:sz w:val="24"/>
          <w:szCs w:val="24"/>
        </w:rPr>
        <w:t>, the range of plausible ICE</w:t>
      </w:r>
      <w:r w:rsidR="00C37E06">
        <w:rPr>
          <w:rFonts w:ascii="Arial" w:hAnsi="Arial" w:cs="Arial"/>
          <w:sz w:val="24"/>
          <w:szCs w:val="24"/>
        </w:rPr>
        <w:t xml:space="preserve">Rs for atezolizumab was well within what is considered cost-effective for an End of Life </w:t>
      </w:r>
      <w:r w:rsidR="005F3CA0">
        <w:rPr>
          <w:rFonts w:ascii="Arial" w:hAnsi="Arial" w:cs="Arial"/>
          <w:sz w:val="24"/>
          <w:szCs w:val="24"/>
        </w:rPr>
        <w:t xml:space="preserve">treatment.  Because of this, the duration of treatment effect was not a key determinant of the decision. </w:t>
      </w:r>
    </w:p>
    <w:p w14:paraId="77333BE4" w14:textId="77777777" w:rsidR="009A1710" w:rsidRPr="009A1710" w:rsidRDefault="009A1710" w:rsidP="009A1710">
      <w:pPr>
        <w:pStyle w:val="ListParagraph"/>
        <w:rPr>
          <w:rFonts w:ascii="Arial" w:hAnsi="Arial" w:cs="Arial"/>
          <w:sz w:val="24"/>
          <w:szCs w:val="24"/>
        </w:rPr>
      </w:pPr>
    </w:p>
    <w:p w14:paraId="038D8DAC" w14:textId="665292D9" w:rsidR="009A1710" w:rsidRDefault="00DB4A5E"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Later in the hearing (during discussion of Appeal Point 2.3) Helen Knight, for NICE, also made the point</w:t>
      </w:r>
      <w:r w:rsidR="00CC75FE">
        <w:rPr>
          <w:rFonts w:ascii="Arial" w:hAnsi="Arial" w:cs="Arial"/>
          <w:sz w:val="24"/>
          <w:szCs w:val="24"/>
        </w:rPr>
        <w:t xml:space="preserve"> </w:t>
      </w:r>
      <w:r>
        <w:rPr>
          <w:rFonts w:ascii="Arial" w:hAnsi="Arial" w:cs="Arial"/>
          <w:sz w:val="24"/>
          <w:szCs w:val="24"/>
        </w:rPr>
        <w:t>that</w:t>
      </w:r>
      <w:r w:rsidR="00CC75FE">
        <w:rPr>
          <w:rFonts w:ascii="Arial" w:hAnsi="Arial" w:cs="Arial"/>
          <w:sz w:val="24"/>
          <w:szCs w:val="24"/>
        </w:rPr>
        <w:t xml:space="preserve"> one difference between the two appraisals lay that in TA525 the estimated ICERs were well within the range that is considered cost-effective and thus</w:t>
      </w:r>
      <w:r>
        <w:rPr>
          <w:rFonts w:ascii="Arial" w:hAnsi="Arial" w:cs="Arial"/>
          <w:sz w:val="24"/>
          <w:szCs w:val="24"/>
        </w:rPr>
        <w:t xml:space="preserve"> </w:t>
      </w:r>
      <w:r w:rsidR="00CE7E8B">
        <w:rPr>
          <w:rFonts w:ascii="Arial" w:hAnsi="Arial" w:cs="Arial"/>
          <w:sz w:val="24"/>
          <w:szCs w:val="24"/>
        </w:rPr>
        <w:t>the uncertainties</w:t>
      </w:r>
      <w:r w:rsidR="00803EE0">
        <w:rPr>
          <w:rFonts w:ascii="Arial" w:hAnsi="Arial" w:cs="Arial"/>
          <w:sz w:val="24"/>
          <w:szCs w:val="24"/>
        </w:rPr>
        <w:t xml:space="preserve"> around treatment effect duration</w:t>
      </w:r>
      <w:r w:rsidR="00CE7E8B">
        <w:rPr>
          <w:rFonts w:ascii="Arial" w:hAnsi="Arial" w:cs="Arial"/>
          <w:sz w:val="24"/>
          <w:szCs w:val="24"/>
        </w:rPr>
        <w:t xml:space="preserve"> in this appraisal </w:t>
      </w:r>
      <w:r w:rsidR="00CC75FE">
        <w:rPr>
          <w:rFonts w:ascii="Arial" w:hAnsi="Arial" w:cs="Arial"/>
          <w:sz w:val="24"/>
          <w:szCs w:val="24"/>
        </w:rPr>
        <w:t>(</w:t>
      </w:r>
      <w:r w:rsidR="00E0282F">
        <w:rPr>
          <w:rFonts w:ascii="Arial" w:hAnsi="Arial" w:cs="Arial"/>
          <w:sz w:val="24"/>
          <w:szCs w:val="24"/>
        </w:rPr>
        <w:t>TA</w:t>
      </w:r>
      <w:r w:rsidR="00CC75FE">
        <w:rPr>
          <w:rFonts w:ascii="Arial" w:hAnsi="Arial" w:cs="Arial"/>
          <w:sz w:val="24"/>
          <w:szCs w:val="24"/>
        </w:rPr>
        <w:t>519</w:t>
      </w:r>
      <w:r w:rsidR="00803EE0">
        <w:rPr>
          <w:rFonts w:ascii="Arial" w:hAnsi="Arial" w:cs="Arial"/>
          <w:sz w:val="24"/>
          <w:szCs w:val="24"/>
        </w:rPr>
        <w:t>)</w:t>
      </w:r>
      <w:r w:rsidR="00CC75FE">
        <w:rPr>
          <w:rFonts w:ascii="Arial" w:hAnsi="Arial" w:cs="Arial"/>
          <w:sz w:val="24"/>
          <w:szCs w:val="24"/>
        </w:rPr>
        <w:t xml:space="preserve"> </w:t>
      </w:r>
      <w:r w:rsidR="00CE7E8B">
        <w:rPr>
          <w:rFonts w:ascii="Arial" w:hAnsi="Arial" w:cs="Arial"/>
          <w:sz w:val="24"/>
          <w:szCs w:val="24"/>
        </w:rPr>
        <w:t>were more critical to decision making than in TA525</w:t>
      </w:r>
      <w:r w:rsidR="006910FE">
        <w:rPr>
          <w:rFonts w:ascii="Arial" w:hAnsi="Arial" w:cs="Arial"/>
          <w:sz w:val="24"/>
          <w:szCs w:val="24"/>
        </w:rPr>
        <w:t xml:space="preserve">.  </w:t>
      </w:r>
    </w:p>
    <w:p w14:paraId="6880AC11" w14:textId="77777777" w:rsidR="00040179" w:rsidRPr="00040179" w:rsidRDefault="00040179" w:rsidP="00040179">
      <w:pPr>
        <w:pStyle w:val="ListParagraph"/>
        <w:rPr>
          <w:rFonts w:ascii="Arial" w:hAnsi="Arial" w:cs="Arial"/>
          <w:sz w:val="24"/>
          <w:szCs w:val="24"/>
        </w:rPr>
      </w:pPr>
    </w:p>
    <w:p w14:paraId="2B55E4F0" w14:textId="63D12048" w:rsidR="00040179" w:rsidRDefault="00040179"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In response to a question from the panel, Prof McVeigh said that </w:t>
      </w:r>
      <w:r w:rsidR="003A4F94">
        <w:rPr>
          <w:rFonts w:ascii="Arial" w:hAnsi="Arial" w:cs="Arial"/>
          <w:sz w:val="24"/>
          <w:szCs w:val="24"/>
        </w:rPr>
        <w:t>he remains convinced that</w:t>
      </w:r>
      <w:r w:rsidR="00240F26">
        <w:rPr>
          <w:rFonts w:ascii="Arial" w:hAnsi="Arial" w:cs="Arial"/>
          <w:sz w:val="24"/>
          <w:szCs w:val="24"/>
        </w:rPr>
        <w:t xml:space="preserve"> the decision on atezolizumab </w:t>
      </w:r>
      <w:r w:rsidR="00836501">
        <w:rPr>
          <w:rFonts w:ascii="Arial" w:hAnsi="Arial" w:cs="Arial"/>
          <w:sz w:val="24"/>
          <w:szCs w:val="24"/>
        </w:rPr>
        <w:t xml:space="preserve">in TA525 </w:t>
      </w:r>
      <w:r w:rsidR="00240F26">
        <w:rPr>
          <w:rFonts w:ascii="Arial" w:hAnsi="Arial" w:cs="Arial"/>
          <w:sz w:val="24"/>
          <w:szCs w:val="24"/>
        </w:rPr>
        <w:t xml:space="preserve">was correct given the evidence available at the </w:t>
      </w:r>
      <w:r w:rsidR="003A4F94">
        <w:rPr>
          <w:rFonts w:ascii="Arial" w:hAnsi="Arial" w:cs="Arial"/>
          <w:sz w:val="24"/>
          <w:szCs w:val="24"/>
        </w:rPr>
        <w:t>time</w:t>
      </w:r>
      <w:r w:rsidR="00240F26">
        <w:rPr>
          <w:rFonts w:ascii="Arial" w:hAnsi="Arial" w:cs="Arial"/>
          <w:sz w:val="24"/>
          <w:szCs w:val="24"/>
        </w:rPr>
        <w:t xml:space="preserve"> and the value proposition</w:t>
      </w:r>
      <w:r w:rsidR="005F4A47">
        <w:rPr>
          <w:rFonts w:ascii="Arial" w:hAnsi="Arial" w:cs="Arial"/>
          <w:sz w:val="24"/>
          <w:szCs w:val="24"/>
        </w:rPr>
        <w:t>, incorporating the commercial offer,</w:t>
      </w:r>
      <w:r w:rsidR="005241E2">
        <w:rPr>
          <w:rFonts w:ascii="Arial" w:hAnsi="Arial" w:cs="Arial"/>
          <w:sz w:val="24"/>
          <w:szCs w:val="24"/>
        </w:rPr>
        <w:t xml:space="preserve"> put to the committee.</w:t>
      </w:r>
    </w:p>
    <w:p w14:paraId="193CA015" w14:textId="77777777" w:rsidR="005241E2" w:rsidRPr="005241E2" w:rsidRDefault="005241E2" w:rsidP="005241E2">
      <w:pPr>
        <w:pStyle w:val="ListParagraph"/>
        <w:rPr>
          <w:rFonts w:ascii="Arial" w:hAnsi="Arial" w:cs="Arial"/>
          <w:sz w:val="24"/>
          <w:szCs w:val="24"/>
        </w:rPr>
      </w:pPr>
    </w:p>
    <w:p w14:paraId="45D617C0" w14:textId="4F213369" w:rsidR="005241E2" w:rsidRDefault="005F6D08"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lastRenderedPageBreak/>
        <w:t>The panel asked whether the committee had considered a more conservative estimate of treatment effect duration</w:t>
      </w:r>
      <w:r w:rsidR="00846DF6">
        <w:rPr>
          <w:rFonts w:ascii="Arial" w:hAnsi="Arial" w:cs="Arial"/>
          <w:sz w:val="24"/>
          <w:szCs w:val="24"/>
        </w:rPr>
        <w:t xml:space="preserve"> of 3 years</w:t>
      </w:r>
      <w:r w:rsidR="00224BC0">
        <w:rPr>
          <w:rFonts w:ascii="Arial" w:hAnsi="Arial" w:cs="Arial"/>
          <w:sz w:val="24"/>
          <w:szCs w:val="24"/>
        </w:rPr>
        <w:t xml:space="preserve"> (1 year after the </w:t>
      </w:r>
      <w:r w:rsidR="0034116F">
        <w:rPr>
          <w:rFonts w:ascii="Arial" w:hAnsi="Arial" w:cs="Arial"/>
          <w:sz w:val="24"/>
          <w:szCs w:val="24"/>
        </w:rPr>
        <w:t>2-year</w:t>
      </w:r>
      <w:r w:rsidR="00224BC0">
        <w:rPr>
          <w:rFonts w:ascii="Arial" w:hAnsi="Arial" w:cs="Arial"/>
          <w:sz w:val="24"/>
          <w:szCs w:val="24"/>
        </w:rPr>
        <w:t xml:space="preserve"> stopping rule)</w:t>
      </w:r>
      <w:r>
        <w:rPr>
          <w:rFonts w:ascii="Arial" w:hAnsi="Arial" w:cs="Arial"/>
          <w:sz w:val="24"/>
          <w:szCs w:val="24"/>
        </w:rPr>
        <w:t xml:space="preserve"> in TA525</w:t>
      </w:r>
      <w:r w:rsidR="003E560E">
        <w:rPr>
          <w:rFonts w:ascii="Arial" w:hAnsi="Arial" w:cs="Arial"/>
          <w:sz w:val="24"/>
          <w:szCs w:val="24"/>
        </w:rPr>
        <w:t xml:space="preserve">.  Prof McVeigh replied that this was not one of the options presented to the committee.  They preferred the most conservative of the options presented and noted </w:t>
      </w:r>
      <w:r w:rsidR="004465CD">
        <w:rPr>
          <w:rFonts w:ascii="Arial" w:hAnsi="Arial" w:cs="Arial"/>
          <w:sz w:val="24"/>
          <w:szCs w:val="24"/>
        </w:rPr>
        <w:t xml:space="preserve">the huge degree of uncertainty.  </w:t>
      </w:r>
      <w:r w:rsidR="005C7DF2">
        <w:rPr>
          <w:rFonts w:ascii="Arial" w:hAnsi="Arial" w:cs="Arial"/>
          <w:sz w:val="24"/>
          <w:szCs w:val="24"/>
        </w:rPr>
        <w:t>He also commented that</w:t>
      </w:r>
      <w:r w:rsidR="00E702A5">
        <w:rPr>
          <w:rFonts w:ascii="Arial" w:hAnsi="Arial" w:cs="Arial"/>
          <w:sz w:val="24"/>
          <w:szCs w:val="24"/>
        </w:rPr>
        <w:t xml:space="preserve"> </w:t>
      </w:r>
      <w:r w:rsidR="007B1A2B">
        <w:rPr>
          <w:rFonts w:ascii="Arial" w:hAnsi="Arial" w:cs="Arial"/>
          <w:sz w:val="24"/>
          <w:szCs w:val="24"/>
        </w:rPr>
        <w:t>a 3</w:t>
      </w:r>
      <w:r w:rsidR="0034116F">
        <w:rPr>
          <w:rFonts w:ascii="Arial" w:hAnsi="Arial" w:cs="Arial"/>
          <w:sz w:val="24"/>
          <w:szCs w:val="24"/>
        </w:rPr>
        <w:t>-</w:t>
      </w:r>
      <w:r w:rsidR="007B1A2B">
        <w:rPr>
          <w:rFonts w:ascii="Arial" w:hAnsi="Arial" w:cs="Arial"/>
          <w:sz w:val="24"/>
          <w:szCs w:val="24"/>
        </w:rPr>
        <w:t xml:space="preserve">year treatment effect duration would not have changed the decision because of the value proposition.  </w:t>
      </w:r>
    </w:p>
    <w:p w14:paraId="4159FD96" w14:textId="77777777" w:rsidR="007F727F" w:rsidRPr="007F727F" w:rsidRDefault="007F727F" w:rsidP="007F727F">
      <w:pPr>
        <w:pStyle w:val="ListParagraph"/>
        <w:rPr>
          <w:rFonts w:ascii="Arial" w:hAnsi="Arial" w:cs="Arial"/>
          <w:sz w:val="24"/>
          <w:szCs w:val="24"/>
        </w:rPr>
      </w:pPr>
    </w:p>
    <w:p w14:paraId="34623F5B" w14:textId="47BE1B2F" w:rsidR="007F727F" w:rsidRDefault="007F727F"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Prof McVeigh, for NICE, said that in this </w:t>
      </w:r>
      <w:r w:rsidR="00F44CDE">
        <w:rPr>
          <w:rFonts w:ascii="Arial" w:hAnsi="Arial" w:cs="Arial"/>
          <w:sz w:val="24"/>
          <w:szCs w:val="24"/>
        </w:rPr>
        <w:t xml:space="preserve">current </w:t>
      </w:r>
      <w:r>
        <w:rPr>
          <w:rFonts w:ascii="Arial" w:hAnsi="Arial" w:cs="Arial"/>
          <w:sz w:val="24"/>
          <w:szCs w:val="24"/>
        </w:rPr>
        <w:t xml:space="preserve">appraisal the committee had </w:t>
      </w:r>
      <w:r w:rsidR="00DA41E0">
        <w:rPr>
          <w:rFonts w:ascii="Arial" w:hAnsi="Arial" w:cs="Arial"/>
          <w:sz w:val="24"/>
          <w:szCs w:val="24"/>
        </w:rPr>
        <w:t xml:space="preserve">considered treatment effect durations of 3 or 5 years, and did not </w:t>
      </w:r>
      <w:proofErr w:type="gramStart"/>
      <w:r w:rsidR="00DA41E0">
        <w:rPr>
          <w:rFonts w:ascii="Arial" w:hAnsi="Arial" w:cs="Arial"/>
          <w:sz w:val="24"/>
          <w:szCs w:val="24"/>
        </w:rPr>
        <w:t>have a preference for</w:t>
      </w:r>
      <w:proofErr w:type="gramEnd"/>
      <w:r w:rsidR="00DA41E0">
        <w:rPr>
          <w:rFonts w:ascii="Arial" w:hAnsi="Arial" w:cs="Arial"/>
          <w:sz w:val="24"/>
          <w:szCs w:val="24"/>
        </w:rPr>
        <w:t xml:space="preserve"> 3 years. He pointed out that </w:t>
      </w:r>
      <w:r w:rsidR="00C711DE">
        <w:rPr>
          <w:rFonts w:ascii="Arial" w:hAnsi="Arial" w:cs="Arial"/>
          <w:sz w:val="24"/>
          <w:szCs w:val="24"/>
        </w:rPr>
        <w:t>a 5 year effect from the start of treatment (for pembrolizumab) is not</w:t>
      </w:r>
      <w:r w:rsidR="004D6025">
        <w:rPr>
          <w:rFonts w:ascii="Arial" w:hAnsi="Arial" w:cs="Arial"/>
          <w:sz w:val="24"/>
          <w:szCs w:val="24"/>
        </w:rPr>
        <w:t xml:space="preserve"> exactly</w:t>
      </w:r>
      <w:r w:rsidR="00C711DE">
        <w:rPr>
          <w:rFonts w:ascii="Arial" w:hAnsi="Arial" w:cs="Arial"/>
          <w:sz w:val="24"/>
          <w:szCs w:val="24"/>
        </w:rPr>
        <w:t xml:space="preserve"> equivalent to a 3 year effect after </w:t>
      </w:r>
      <w:r w:rsidR="005F4B7E">
        <w:rPr>
          <w:rFonts w:ascii="Arial" w:hAnsi="Arial" w:cs="Arial"/>
          <w:sz w:val="24"/>
          <w:szCs w:val="24"/>
        </w:rPr>
        <w:t xml:space="preserve">stopping treatment </w:t>
      </w:r>
      <w:r w:rsidR="004D6025">
        <w:rPr>
          <w:rFonts w:ascii="Arial" w:hAnsi="Arial" w:cs="Arial"/>
          <w:sz w:val="24"/>
          <w:szCs w:val="24"/>
        </w:rPr>
        <w:t xml:space="preserve">with a stopping rule of 2 years  </w:t>
      </w:r>
      <w:r w:rsidR="005F4B7E">
        <w:rPr>
          <w:rFonts w:ascii="Arial" w:hAnsi="Arial" w:cs="Arial"/>
          <w:sz w:val="24"/>
          <w:szCs w:val="24"/>
        </w:rPr>
        <w:t xml:space="preserve">(for atezolizumab) as more than half of patients were already off treatment after 6 months. </w:t>
      </w:r>
    </w:p>
    <w:p w14:paraId="3825540F" w14:textId="77777777" w:rsidR="00E42132" w:rsidRPr="00E42132" w:rsidRDefault="00E42132" w:rsidP="00E42132">
      <w:pPr>
        <w:pStyle w:val="ListParagraph"/>
        <w:rPr>
          <w:rFonts w:ascii="Arial" w:hAnsi="Arial" w:cs="Arial"/>
          <w:sz w:val="24"/>
          <w:szCs w:val="24"/>
        </w:rPr>
      </w:pPr>
    </w:p>
    <w:p w14:paraId="0B16A0AA" w14:textId="77777777" w:rsidR="00E42132" w:rsidRDefault="00E42132"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In response to a question from the panel, Prof McVeigh said that the </w:t>
      </w:r>
      <w:r w:rsidR="00A32F9A">
        <w:rPr>
          <w:rFonts w:ascii="Arial" w:hAnsi="Arial" w:cs="Arial"/>
          <w:sz w:val="24"/>
          <w:szCs w:val="24"/>
        </w:rPr>
        <w:t xml:space="preserve">committee </w:t>
      </w:r>
      <w:r w:rsidR="00134645">
        <w:rPr>
          <w:rFonts w:ascii="Arial" w:hAnsi="Arial" w:cs="Arial"/>
          <w:sz w:val="24"/>
          <w:szCs w:val="24"/>
        </w:rPr>
        <w:t xml:space="preserve">recognised that </w:t>
      </w:r>
      <w:r w:rsidR="007D0E18">
        <w:rPr>
          <w:rFonts w:ascii="Arial" w:hAnsi="Arial" w:cs="Arial"/>
          <w:sz w:val="24"/>
          <w:szCs w:val="24"/>
        </w:rPr>
        <w:t xml:space="preserve">a small minority of patients may have a prolonged benefit from </w:t>
      </w:r>
      <w:r w:rsidR="00D4478A">
        <w:rPr>
          <w:rFonts w:ascii="Arial" w:hAnsi="Arial" w:cs="Arial"/>
          <w:sz w:val="24"/>
          <w:szCs w:val="24"/>
        </w:rPr>
        <w:t>pembrolizumab.</w:t>
      </w:r>
    </w:p>
    <w:p w14:paraId="7E1E4BBB" w14:textId="77777777" w:rsidR="00301F7B" w:rsidRPr="00301F7B" w:rsidRDefault="00301F7B" w:rsidP="00301F7B">
      <w:pPr>
        <w:pStyle w:val="ListParagraph"/>
        <w:rPr>
          <w:rFonts w:ascii="Arial" w:hAnsi="Arial" w:cs="Arial"/>
          <w:sz w:val="24"/>
          <w:szCs w:val="24"/>
        </w:rPr>
      </w:pPr>
    </w:p>
    <w:p w14:paraId="6B4C4B0E" w14:textId="77777777" w:rsidR="00301F7B" w:rsidRDefault="00301F7B"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In response to a question from the panel, Prof McVeigh said that </w:t>
      </w:r>
      <w:r w:rsidR="004F606C">
        <w:rPr>
          <w:rFonts w:ascii="Arial" w:hAnsi="Arial" w:cs="Arial"/>
          <w:sz w:val="24"/>
          <w:szCs w:val="24"/>
        </w:rPr>
        <w:t>it is difficult to compare the decision in this appraisal</w:t>
      </w:r>
      <w:r w:rsidR="00775E79">
        <w:rPr>
          <w:rFonts w:ascii="Arial" w:hAnsi="Arial" w:cs="Arial"/>
          <w:sz w:val="24"/>
          <w:szCs w:val="24"/>
        </w:rPr>
        <w:t xml:space="preserve"> to that in TA525 because </w:t>
      </w:r>
      <w:r w:rsidR="00E37E1B">
        <w:rPr>
          <w:rFonts w:ascii="Arial" w:hAnsi="Arial" w:cs="Arial"/>
          <w:sz w:val="24"/>
          <w:szCs w:val="24"/>
        </w:rPr>
        <w:t xml:space="preserve">we now have two more years of data.  An expectation of consistency was more relevant to the two decisions in </w:t>
      </w:r>
      <w:r w:rsidR="00B6453E">
        <w:rPr>
          <w:rFonts w:ascii="Arial" w:hAnsi="Arial" w:cs="Arial"/>
          <w:sz w:val="24"/>
          <w:szCs w:val="24"/>
        </w:rPr>
        <w:t xml:space="preserve">TA525 and TA519 because these were taken in parallel.  </w:t>
      </w:r>
    </w:p>
    <w:p w14:paraId="68E83751" w14:textId="77777777" w:rsidR="00983A07" w:rsidRPr="00983A07" w:rsidRDefault="00983A07" w:rsidP="00983A07">
      <w:pPr>
        <w:pStyle w:val="ListParagraph"/>
        <w:rPr>
          <w:rFonts w:ascii="Arial" w:hAnsi="Arial" w:cs="Arial"/>
          <w:sz w:val="24"/>
          <w:szCs w:val="24"/>
        </w:rPr>
      </w:pPr>
    </w:p>
    <w:p w14:paraId="2F9F1989" w14:textId="77777777" w:rsidR="00983A07" w:rsidRDefault="00983A07" w:rsidP="00B80EC2">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Grant Castle, for MSD, said that he had </w:t>
      </w:r>
      <w:r w:rsidR="00F87116">
        <w:rPr>
          <w:rFonts w:ascii="Arial" w:hAnsi="Arial" w:cs="Arial"/>
          <w:sz w:val="24"/>
          <w:szCs w:val="24"/>
        </w:rPr>
        <w:t xml:space="preserve">still not heard an explanation for why a different approach was taken in this appraisal compared with TA525.  </w:t>
      </w:r>
    </w:p>
    <w:p w14:paraId="05A360F5" w14:textId="77777777" w:rsidR="008A781F" w:rsidRPr="008A781F" w:rsidRDefault="008A781F" w:rsidP="008A781F">
      <w:pPr>
        <w:pStyle w:val="ListParagraph"/>
        <w:rPr>
          <w:rFonts w:ascii="Arial" w:hAnsi="Arial" w:cs="Arial"/>
          <w:sz w:val="24"/>
          <w:szCs w:val="24"/>
        </w:rPr>
      </w:pPr>
    </w:p>
    <w:p w14:paraId="67CB55B7" w14:textId="6325C452" w:rsidR="00043A3C" w:rsidRDefault="000B5527" w:rsidP="00F72E21">
      <w:pPr>
        <w:pStyle w:val="ListParagraph"/>
        <w:numPr>
          <w:ilvl w:val="0"/>
          <w:numId w:val="21"/>
        </w:numPr>
        <w:spacing w:before="240" w:after="0" w:line="240" w:lineRule="auto"/>
        <w:rPr>
          <w:rFonts w:ascii="Arial" w:hAnsi="Arial" w:cs="Arial"/>
          <w:sz w:val="24"/>
          <w:szCs w:val="24"/>
        </w:rPr>
      </w:pPr>
      <w:r w:rsidRPr="000B5527">
        <w:rPr>
          <w:rFonts w:ascii="Arial" w:hAnsi="Arial" w:cs="Arial"/>
          <w:sz w:val="24"/>
          <w:szCs w:val="24"/>
        </w:rPr>
        <w:t>Ben</w:t>
      </w:r>
      <w:r>
        <w:rPr>
          <w:rFonts w:ascii="Arial" w:hAnsi="Arial" w:cs="Arial"/>
          <w:sz w:val="24"/>
          <w:szCs w:val="24"/>
        </w:rPr>
        <w:t>jamin Bates, for MSD, emp</w:t>
      </w:r>
      <w:r w:rsidR="006B5335">
        <w:rPr>
          <w:rFonts w:ascii="Arial" w:hAnsi="Arial" w:cs="Arial"/>
          <w:sz w:val="24"/>
          <w:szCs w:val="24"/>
        </w:rPr>
        <w:t>ha</w:t>
      </w:r>
      <w:r>
        <w:rPr>
          <w:rFonts w:ascii="Arial" w:hAnsi="Arial" w:cs="Arial"/>
          <w:sz w:val="24"/>
          <w:szCs w:val="24"/>
        </w:rPr>
        <w:t>sised that the company considered a 5</w:t>
      </w:r>
      <w:r w:rsidR="007D0180">
        <w:rPr>
          <w:rFonts w:ascii="Arial" w:hAnsi="Arial" w:cs="Arial"/>
          <w:sz w:val="24"/>
          <w:szCs w:val="24"/>
        </w:rPr>
        <w:t>-</w:t>
      </w:r>
      <w:r>
        <w:rPr>
          <w:rFonts w:ascii="Arial" w:hAnsi="Arial" w:cs="Arial"/>
          <w:sz w:val="24"/>
          <w:szCs w:val="24"/>
        </w:rPr>
        <w:t>year treatment effect duration to be conservative and pre</w:t>
      </w:r>
      <w:r w:rsidR="00043A3C">
        <w:rPr>
          <w:rFonts w:ascii="Arial" w:hAnsi="Arial" w:cs="Arial"/>
          <w:sz w:val="24"/>
          <w:szCs w:val="24"/>
        </w:rPr>
        <w:t>ferred a lifetime treatment effect.  Dr Simon Crabb, for MSD</w:t>
      </w:r>
      <w:r w:rsidR="002F02E2">
        <w:rPr>
          <w:rFonts w:ascii="Arial" w:hAnsi="Arial" w:cs="Arial"/>
          <w:sz w:val="24"/>
          <w:szCs w:val="24"/>
        </w:rPr>
        <w:t>, gave a clinical opinion that the plausible duration of treatment effect was five years at a minimum</w:t>
      </w:r>
      <w:r w:rsidR="007D0180">
        <w:rPr>
          <w:rFonts w:ascii="Arial" w:hAnsi="Arial" w:cs="Arial"/>
          <w:sz w:val="24"/>
          <w:szCs w:val="24"/>
        </w:rPr>
        <w:t>.</w:t>
      </w:r>
    </w:p>
    <w:p w14:paraId="7EA44EF4" w14:textId="77777777" w:rsidR="00043A3C" w:rsidRPr="00043A3C" w:rsidRDefault="00043A3C" w:rsidP="00043A3C">
      <w:pPr>
        <w:pStyle w:val="ListParagraph"/>
        <w:rPr>
          <w:rFonts w:ascii="Arial" w:hAnsi="Arial" w:cs="Arial"/>
          <w:color w:val="FF0000"/>
          <w:sz w:val="24"/>
          <w:szCs w:val="24"/>
        </w:rPr>
      </w:pPr>
    </w:p>
    <w:p w14:paraId="0075E20D" w14:textId="77777777" w:rsidR="00043A3C" w:rsidRDefault="00E929F3" w:rsidP="00F72E21">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Dr </w:t>
      </w:r>
      <w:r w:rsidR="00BE4954">
        <w:rPr>
          <w:rFonts w:ascii="Arial" w:hAnsi="Arial" w:cs="Arial"/>
          <w:sz w:val="24"/>
          <w:szCs w:val="24"/>
        </w:rPr>
        <w:t>Lin</w:t>
      </w:r>
      <w:r w:rsidR="0043132C">
        <w:rPr>
          <w:rFonts w:ascii="Arial" w:hAnsi="Arial" w:cs="Arial"/>
          <w:sz w:val="24"/>
          <w:szCs w:val="24"/>
        </w:rPr>
        <w:t>ds</w:t>
      </w:r>
      <w:r w:rsidR="00BE4954">
        <w:rPr>
          <w:rFonts w:ascii="Arial" w:hAnsi="Arial" w:cs="Arial"/>
          <w:sz w:val="24"/>
          <w:szCs w:val="24"/>
        </w:rPr>
        <w:t xml:space="preserve">ay Smith, </w:t>
      </w:r>
      <w:r w:rsidR="0043132C">
        <w:rPr>
          <w:rFonts w:ascii="Arial" w:hAnsi="Arial" w:cs="Arial"/>
          <w:sz w:val="24"/>
          <w:szCs w:val="24"/>
        </w:rPr>
        <w:t>for</w:t>
      </w:r>
      <w:r w:rsidR="00BE4954">
        <w:rPr>
          <w:rFonts w:ascii="Arial" w:hAnsi="Arial" w:cs="Arial"/>
          <w:sz w:val="24"/>
          <w:szCs w:val="24"/>
        </w:rPr>
        <w:t xml:space="preserve"> NICE, </w:t>
      </w:r>
      <w:r>
        <w:rPr>
          <w:rFonts w:ascii="Arial" w:hAnsi="Arial" w:cs="Arial"/>
          <w:sz w:val="24"/>
          <w:szCs w:val="24"/>
        </w:rPr>
        <w:t>argue</w:t>
      </w:r>
      <w:r w:rsidR="0043132C">
        <w:rPr>
          <w:rFonts w:ascii="Arial" w:hAnsi="Arial" w:cs="Arial"/>
          <w:sz w:val="24"/>
          <w:szCs w:val="24"/>
        </w:rPr>
        <w:t>d</w:t>
      </w:r>
      <w:r>
        <w:rPr>
          <w:rFonts w:ascii="Arial" w:hAnsi="Arial" w:cs="Arial"/>
          <w:sz w:val="24"/>
          <w:szCs w:val="24"/>
        </w:rPr>
        <w:t xml:space="preserve"> that the committee were not inconsistent in their approach.  In both instances, they were presented with a range of options b</w:t>
      </w:r>
      <w:r w:rsidR="001914E6">
        <w:rPr>
          <w:rFonts w:ascii="Arial" w:hAnsi="Arial" w:cs="Arial"/>
          <w:sz w:val="24"/>
          <w:szCs w:val="24"/>
        </w:rPr>
        <w:t>y</w:t>
      </w:r>
      <w:r>
        <w:rPr>
          <w:rFonts w:ascii="Arial" w:hAnsi="Arial" w:cs="Arial"/>
          <w:sz w:val="24"/>
          <w:szCs w:val="24"/>
        </w:rPr>
        <w:t xml:space="preserve"> the company and ERG.  In both instances, they considered these options.  At the time of TA525 there was very little evidence, and they chose the most conservative option of those presented.  </w:t>
      </w:r>
      <w:r w:rsidR="001914E6">
        <w:rPr>
          <w:rFonts w:ascii="Arial" w:hAnsi="Arial" w:cs="Arial"/>
          <w:sz w:val="24"/>
          <w:szCs w:val="24"/>
        </w:rPr>
        <w:t xml:space="preserve">For the current appraisal, </w:t>
      </w:r>
      <w:r w:rsidR="00413EC0">
        <w:rPr>
          <w:rFonts w:ascii="Arial" w:hAnsi="Arial" w:cs="Arial"/>
          <w:sz w:val="24"/>
          <w:szCs w:val="24"/>
        </w:rPr>
        <w:t xml:space="preserve">there was longer follow-up data available.  But </w:t>
      </w:r>
      <w:r w:rsidR="00D131C0">
        <w:rPr>
          <w:rFonts w:ascii="Arial" w:hAnsi="Arial" w:cs="Arial"/>
          <w:sz w:val="24"/>
          <w:szCs w:val="24"/>
        </w:rPr>
        <w:t xml:space="preserve">having longer follow-up data does not </w:t>
      </w:r>
      <w:r w:rsidR="0093013E">
        <w:rPr>
          <w:rFonts w:ascii="Arial" w:hAnsi="Arial" w:cs="Arial"/>
          <w:sz w:val="24"/>
          <w:szCs w:val="24"/>
        </w:rPr>
        <w:t>necessarily</w:t>
      </w:r>
      <w:r w:rsidR="00D131C0">
        <w:rPr>
          <w:rFonts w:ascii="Arial" w:hAnsi="Arial" w:cs="Arial"/>
          <w:sz w:val="24"/>
          <w:szCs w:val="24"/>
        </w:rPr>
        <w:t xml:space="preserve"> mean this data supports a longer treatment effect.  The committee considered the options given to it and reached a different decision. </w:t>
      </w:r>
    </w:p>
    <w:p w14:paraId="456DC67E" w14:textId="77777777" w:rsidR="006712A6" w:rsidRPr="006712A6" w:rsidRDefault="006712A6" w:rsidP="006712A6">
      <w:pPr>
        <w:pStyle w:val="ListParagraph"/>
        <w:rPr>
          <w:rFonts w:ascii="Arial" w:hAnsi="Arial" w:cs="Arial"/>
          <w:sz w:val="24"/>
          <w:szCs w:val="24"/>
        </w:rPr>
      </w:pPr>
    </w:p>
    <w:p w14:paraId="1F64AB57" w14:textId="77777777" w:rsidR="006712A6" w:rsidRDefault="006712A6" w:rsidP="00F72E21">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Helen Knight, for NICE, </w:t>
      </w:r>
      <w:r w:rsidR="00667178">
        <w:rPr>
          <w:rFonts w:ascii="Arial" w:hAnsi="Arial" w:cs="Arial"/>
          <w:sz w:val="24"/>
          <w:szCs w:val="24"/>
        </w:rPr>
        <w:t xml:space="preserve">emphasised </w:t>
      </w:r>
      <w:r w:rsidR="003569E2">
        <w:rPr>
          <w:rFonts w:ascii="Arial" w:hAnsi="Arial" w:cs="Arial"/>
          <w:sz w:val="24"/>
          <w:szCs w:val="24"/>
        </w:rPr>
        <w:t xml:space="preserve">that committees are mindful of the need for consistency, but </w:t>
      </w:r>
      <w:r w:rsidR="00667178">
        <w:rPr>
          <w:rFonts w:ascii="Arial" w:hAnsi="Arial" w:cs="Arial"/>
          <w:sz w:val="24"/>
          <w:szCs w:val="24"/>
        </w:rPr>
        <w:t>that NICE procedures do not allow committees to consider models f</w:t>
      </w:r>
      <w:r w:rsidR="00203AF5">
        <w:rPr>
          <w:rFonts w:ascii="Arial" w:hAnsi="Arial" w:cs="Arial"/>
          <w:sz w:val="24"/>
          <w:szCs w:val="24"/>
        </w:rPr>
        <w:t>ro</w:t>
      </w:r>
      <w:r w:rsidR="00667178">
        <w:rPr>
          <w:rFonts w:ascii="Arial" w:hAnsi="Arial" w:cs="Arial"/>
          <w:sz w:val="24"/>
          <w:szCs w:val="24"/>
        </w:rPr>
        <w:t xml:space="preserve">m other appraisals in reaching their decision. </w:t>
      </w:r>
      <w:r w:rsidR="00203AF5">
        <w:rPr>
          <w:rFonts w:ascii="Arial" w:hAnsi="Arial" w:cs="Arial"/>
          <w:sz w:val="24"/>
          <w:szCs w:val="24"/>
        </w:rPr>
        <w:t xml:space="preserve"> The starting point for committees is always</w:t>
      </w:r>
      <w:r w:rsidR="00B34C88">
        <w:rPr>
          <w:rFonts w:ascii="Arial" w:hAnsi="Arial" w:cs="Arial"/>
          <w:sz w:val="24"/>
          <w:szCs w:val="24"/>
        </w:rPr>
        <w:t xml:space="preserve"> the submissions from the company and ERG, which differ between appraisals.  </w:t>
      </w:r>
    </w:p>
    <w:p w14:paraId="740DE632" w14:textId="77777777" w:rsidR="00361499" w:rsidRPr="00361499" w:rsidRDefault="00361499" w:rsidP="00361499">
      <w:pPr>
        <w:pStyle w:val="ListParagraph"/>
        <w:rPr>
          <w:rFonts w:ascii="Arial" w:hAnsi="Arial" w:cs="Arial"/>
          <w:sz w:val="24"/>
          <w:szCs w:val="24"/>
        </w:rPr>
      </w:pPr>
    </w:p>
    <w:p w14:paraId="5444F1D7" w14:textId="3C710D45" w:rsidR="00361499" w:rsidRDefault="00361499" w:rsidP="00F72E21">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The appeal panel </w:t>
      </w:r>
      <w:r w:rsidR="001B6255">
        <w:rPr>
          <w:rFonts w:ascii="Arial" w:hAnsi="Arial" w:cs="Arial"/>
          <w:sz w:val="24"/>
          <w:szCs w:val="24"/>
        </w:rPr>
        <w:t>concluded</w:t>
      </w:r>
      <w:r w:rsidR="00D17908">
        <w:rPr>
          <w:rFonts w:ascii="Arial" w:hAnsi="Arial" w:cs="Arial"/>
          <w:sz w:val="24"/>
          <w:szCs w:val="24"/>
        </w:rPr>
        <w:t xml:space="preserve"> that t</w:t>
      </w:r>
      <w:r w:rsidR="00590410">
        <w:rPr>
          <w:rFonts w:ascii="Arial" w:hAnsi="Arial" w:cs="Arial"/>
          <w:sz w:val="24"/>
          <w:szCs w:val="24"/>
        </w:rPr>
        <w:t>here is a biologically plausible rationale for thinking that the effect of</w:t>
      </w:r>
      <w:r w:rsidR="00A57CEB">
        <w:rPr>
          <w:rFonts w:ascii="Arial" w:hAnsi="Arial" w:cs="Arial"/>
          <w:sz w:val="24"/>
          <w:szCs w:val="24"/>
        </w:rPr>
        <w:t xml:space="preserve"> pembrolizumab</w:t>
      </w:r>
      <w:r w:rsidR="00590410">
        <w:rPr>
          <w:rFonts w:ascii="Arial" w:hAnsi="Arial" w:cs="Arial"/>
          <w:sz w:val="24"/>
          <w:szCs w:val="24"/>
        </w:rPr>
        <w:t xml:space="preserve"> may continue after treatment is </w:t>
      </w:r>
      <w:r w:rsidR="00590410">
        <w:rPr>
          <w:rFonts w:ascii="Arial" w:hAnsi="Arial" w:cs="Arial"/>
          <w:sz w:val="24"/>
          <w:szCs w:val="24"/>
        </w:rPr>
        <w:lastRenderedPageBreak/>
        <w:t xml:space="preserve">stopped, but </w:t>
      </w:r>
      <w:r w:rsidR="00E37498">
        <w:rPr>
          <w:rFonts w:ascii="Arial" w:hAnsi="Arial" w:cs="Arial"/>
          <w:sz w:val="24"/>
          <w:szCs w:val="24"/>
        </w:rPr>
        <w:t>t</w:t>
      </w:r>
      <w:r w:rsidR="00AA7004">
        <w:rPr>
          <w:rFonts w:ascii="Arial" w:hAnsi="Arial" w:cs="Arial"/>
          <w:sz w:val="24"/>
          <w:szCs w:val="24"/>
        </w:rPr>
        <w:t>hat there is a great deal of uncertainty about the duration of treatment effect.</w:t>
      </w:r>
      <w:r w:rsidR="005F4A47">
        <w:rPr>
          <w:rFonts w:ascii="Arial" w:hAnsi="Arial" w:cs="Arial"/>
          <w:sz w:val="24"/>
          <w:szCs w:val="24"/>
        </w:rPr>
        <w:t xml:space="preserve">  </w:t>
      </w:r>
    </w:p>
    <w:p w14:paraId="73FEB1AC" w14:textId="77777777" w:rsidR="00AA7004" w:rsidRPr="00AA7004" w:rsidRDefault="00AA7004" w:rsidP="00AA7004">
      <w:pPr>
        <w:pStyle w:val="ListParagraph"/>
        <w:rPr>
          <w:rFonts w:ascii="Arial" w:hAnsi="Arial" w:cs="Arial"/>
          <w:sz w:val="24"/>
          <w:szCs w:val="24"/>
        </w:rPr>
      </w:pPr>
    </w:p>
    <w:p w14:paraId="0CF31B42" w14:textId="77777777" w:rsidR="00AA7004" w:rsidRDefault="00AA7004" w:rsidP="00F72E21">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The panel </w:t>
      </w:r>
      <w:r w:rsidR="00E37498">
        <w:rPr>
          <w:rFonts w:ascii="Arial" w:hAnsi="Arial" w:cs="Arial"/>
          <w:sz w:val="24"/>
          <w:szCs w:val="24"/>
        </w:rPr>
        <w:t xml:space="preserve">agreed that appraisal committees should </w:t>
      </w:r>
      <w:r w:rsidR="007E6B0B">
        <w:rPr>
          <w:rFonts w:ascii="Arial" w:hAnsi="Arial" w:cs="Arial"/>
          <w:sz w:val="24"/>
          <w:szCs w:val="24"/>
        </w:rPr>
        <w:t>ensure</w:t>
      </w:r>
      <w:r w:rsidR="002854CE">
        <w:rPr>
          <w:rFonts w:ascii="Arial" w:hAnsi="Arial" w:cs="Arial"/>
          <w:sz w:val="24"/>
          <w:szCs w:val="24"/>
        </w:rPr>
        <w:t xml:space="preserve">, as far as possible, </w:t>
      </w:r>
      <w:r w:rsidR="007E6B0B">
        <w:rPr>
          <w:rFonts w:ascii="Arial" w:hAnsi="Arial" w:cs="Arial"/>
          <w:sz w:val="24"/>
          <w:szCs w:val="24"/>
        </w:rPr>
        <w:t xml:space="preserve">that their </w:t>
      </w:r>
      <w:r w:rsidR="002854CE">
        <w:rPr>
          <w:rFonts w:ascii="Arial" w:hAnsi="Arial" w:cs="Arial"/>
          <w:sz w:val="24"/>
          <w:szCs w:val="24"/>
        </w:rPr>
        <w:t>judgements</w:t>
      </w:r>
      <w:r w:rsidR="007E6B0B">
        <w:rPr>
          <w:rFonts w:ascii="Arial" w:hAnsi="Arial" w:cs="Arial"/>
          <w:sz w:val="24"/>
          <w:szCs w:val="24"/>
        </w:rPr>
        <w:t xml:space="preserve"> regarding the cost-effective use of NHS resources are consistently applied between appraisals.</w:t>
      </w:r>
      <w:r w:rsidR="00803EE0">
        <w:rPr>
          <w:rFonts w:ascii="Arial" w:hAnsi="Arial" w:cs="Arial"/>
          <w:sz w:val="24"/>
          <w:szCs w:val="24"/>
        </w:rPr>
        <w:t xml:space="preserve">  The panel also noted consistently with its past decisions that this expectation must not be set too high.  Ms Knight is correct that the evidence from one appraisal cannot be considered in another (at least, not unless it has been expressly included in that other appraisal).  It is also right that </w:t>
      </w:r>
      <w:r w:rsidR="0006624F">
        <w:rPr>
          <w:rFonts w:ascii="Arial" w:hAnsi="Arial" w:cs="Arial"/>
          <w:sz w:val="24"/>
          <w:szCs w:val="24"/>
        </w:rPr>
        <w:t xml:space="preserve">any expectation of </w:t>
      </w:r>
      <w:r w:rsidR="00803EE0">
        <w:rPr>
          <w:rFonts w:ascii="Arial" w:hAnsi="Arial" w:cs="Arial"/>
          <w:sz w:val="24"/>
          <w:szCs w:val="24"/>
        </w:rPr>
        <w:t xml:space="preserve">consistency between very different drugs or in different disease areas may be </w:t>
      </w:r>
      <w:r w:rsidR="0006624F">
        <w:rPr>
          <w:rFonts w:ascii="Arial" w:hAnsi="Arial" w:cs="Arial"/>
          <w:sz w:val="24"/>
          <w:szCs w:val="24"/>
        </w:rPr>
        <w:t>set only at a very general level.  And it is also right that one committee does not bind another, or even itself for future appraisals, and past approaches may be departed from with appropriate reasoning.</w:t>
      </w:r>
    </w:p>
    <w:p w14:paraId="65696B8C" w14:textId="77777777" w:rsidR="00FC6F5C" w:rsidRPr="00FC6F5C" w:rsidRDefault="00FC6F5C" w:rsidP="00FC6F5C">
      <w:pPr>
        <w:pStyle w:val="ListParagraph"/>
        <w:rPr>
          <w:rFonts w:ascii="Arial" w:hAnsi="Arial" w:cs="Arial"/>
          <w:sz w:val="24"/>
          <w:szCs w:val="24"/>
        </w:rPr>
      </w:pPr>
    </w:p>
    <w:p w14:paraId="184FB905" w14:textId="10F3BD9F" w:rsidR="00FC6F5C" w:rsidRDefault="00FC6F5C" w:rsidP="00F72E21">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The panel agreed that the </w:t>
      </w:r>
      <w:r w:rsidR="00913637">
        <w:rPr>
          <w:rFonts w:ascii="Arial" w:hAnsi="Arial" w:cs="Arial"/>
          <w:sz w:val="24"/>
          <w:szCs w:val="24"/>
        </w:rPr>
        <w:t>judgement on duration of treatment effect was materially different between this appraisal and TA525</w:t>
      </w:r>
      <w:r w:rsidR="008D7085">
        <w:rPr>
          <w:rFonts w:ascii="Arial" w:hAnsi="Arial" w:cs="Arial"/>
          <w:sz w:val="24"/>
          <w:szCs w:val="24"/>
        </w:rPr>
        <w:t xml:space="preserve">, and that duration of treatment effect was one of the key drivers of the decision.  </w:t>
      </w:r>
      <w:r w:rsidR="0006624F">
        <w:rPr>
          <w:rFonts w:ascii="Arial" w:hAnsi="Arial" w:cs="Arial"/>
          <w:sz w:val="24"/>
          <w:szCs w:val="24"/>
        </w:rPr>
        <w:t xml:space="preserve">The panel felt that the subject of TA525 and this appraisal were sufficiently similar that a meaningful expectation of consistency applied.  Indeed the </w:t>
      </w:r>
      <w:r w:rsidR="00E130A0">
        <w:rPr>
          <w:rFonts w:ascii="Arial" w:hAnsi="Arial" w:cs="Arial"/>
          <w:sz w:val="24"/>
          <w:szCs w:val="24"/>
        </w:rPr>
        <w:t>c</w:t>
      </w:r>
      <w:r w:rsidR="0006624F">
        <w:rPr>
          <w:rFonts w:ascii="Arial" w:hAnsi="Arial" w:cs="Arial"/>
          <w:sz w:val="24"/>
          <w:szCs w:val="24"/>
        </w:rPr>
        <w:t xml:space="preserve">ommittee papers seemed to support this view, as they referred to past appraisals including TA525, and so expressly brought those points into consideration.  Having rightly set out to take account of practice in relevant past appraisals the </w:t>
      </w:r>
      <w:r w:rsidR="00E130A0">
        <w:rPr>
          <w:rFonts w:ascii="Arial" w:hAnsi="Arial" w:cs="Arial"/>
          <w:sz w:val="24"/>
          <w:szCs w:val="24"/>
        </w:rPr>
        <w:t>c</w:t>
      </w:r>
      <w:r w:rsidR="0006624F">
        <w:rPr>
          <w:rFonts w:ascii="Arial" w:hAnsi="Arial" w:cs="Arial"/>
          <w:sz w:val="24"/>
          <w:szCs w:val="24"/>
        </w:rPr>
        <w:t>ommittee were obliged to do so reasonably.</w:t>
      </w:r>
    </w:p>
    <w:p w14:paraId="4579C284" w14:textId="77777777" w:rsidR="00947052" w:rsidRPr="00947052" w:rsidRDefault="00947052" w:rsidP="00947052">
      <w:pPr>
        <w:pStyle w:val="ListParagraph"/>
        <w:rPr>
          <w:rFonts w:ascii="Arial" w:hAnsi="Arial" w:cs="Arial"/>
          <w:sz w:val="24"/>
          <w:szCs w:val="24"/>
        </w:rPr>
      </w:pPr>
    </w:p>
    <w:p w14:paraId="6B2829A7" w14:textId="77777777" w:rsidR="00947052" w:rsidRDefault="00947052" w:rsidP="00F72E21">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The panel </w:t>
      </w:r>
      <w:r w:rsidR="002C0E15">
        <w:rPr>
          <w:rFonts w:ascii="Arial" w:hAnsi="Arial" w:cs="Arial"/>
          <w:sz w:val="24"/>
          <w:szCs w:val="24"/>
        </w:rPr>
        <w:t>noted</w:t>
      </w:r>
      <w:r>
        <w:rPr>
          <w:rFonts w:ascii="Arial" w:hAnsi="Arial" w:cs="Arial"/>
          <w:sz w:val="24"/>
          <w:szCs w:val="24"/>
        </w:rPr>
        <w:t xml:space="preserve"> that the committee had </w:t>
      </w:r>
      <w:r w:rsidR="00040A90">
        <w:rPr>
          <w:rFonts w:ascii="Arial" w:hAnsi="Arial" w:cs="Arial"/>
          <w:sz w:val="24"/>
          <w:szCs w:val="24"/>
        </w:rPr>
        <w:t>responded to the company’s concerns about the preferred treatment effect duration of 3 years in the ACD</w:t>
      </w:r>
      <w:r w:rsidR="00023EA4">
        <w:rPr>
          <w:rFonts w:ascii="Arial" w:hAnsi="Arial" w:cs="Arial"/>
          <w:sz w:val="24"/>
          <w:szCs w:val="24"/>
        </w:rPr>
        <w:t>.  The FAD c</w:t>
      </w:r>
      <w:r>
        <w:rPr>
          <w:rFonts w:ascii="Arial" w:hAnsi="Arial" w:cs="Arial"/>
          <w:sz w:val="24"/>
          <w:szCs w:val="24"/>
        </w:rPr>
        <w:t xml:space="preserve">onsidered treatment effect durations of both 3 and </w:t>
      </w:r>
      <w:r w:rsidR="00D2285A">
        <w:rPr>
          <w:rFonts w:ascii="Arial" w:hAnsi="Arial" w:cs="Arial"/>
          <w:sz w:val="24"/>
          <w:szCs w:val="24"/>
        </w:rPr>
        <w:t>5</w:t>
      </w:r>
      <w:r>
        <w:rPr>
          <w:rFonts w:ascii="Arial" w:hAnsi="Arial" w:cs="Arial"/>
          <w:sz w:val="24"/>
          <w:szCs w:val="24"/>
        </w:rPr>
        <w:t xml:space="preserve"> years in this appraisal, and </w:t>
      </w:r>
      <w:r w:rsidR="00AE751F">
        <w:rPr>
          <w:rFonts w:ascii="Arial" w:hAnsi="Arial" w:cs="Arial"/>
          <w:sz w:val="24"/>
          <w:szCs w:val="24"/>
        </w:rPr>
        <w:t>did not prefer</w:t>
      </w:r>
      <w:r w:rsidR="00D2285A">
        <w:rPr>
          <w:rFonts w:ascii="Arial" w:hAnsi="Arial" w:cs="Arial"/>
          <w:sz w:val="24"/>
          <w:szCs w:val="24"/>
        </w:rPr>
        <w:t xml:space="preserve"> a duration of 3 years</w:t>
      </w:r>
      <w:r w:rsidR="0006624F">
        <w:rPr>
          <w:rFonts w:ascii="Arial" w:hAnsi="Arial" w:cs="Arial"/>
          <w:sz w:val="24"/>
          <w:szCs w:val="24"/>
        </w:rPr>
        <w:t>, which represented a change in the committee’s thinking in response to consultation</w:t>
      </w:r>
      <w:r w:rsidR="00D2285A">
        <w:rPr>
          <w:rFonts w:ascii="Arial" w:hAnsi="Arial" w:cs="Arial"/>
          <w:sz w:val="24"/>
          <w:szCs w:val="24"/>
        </w:rPr>
        <w:t xml:space="preserve">.  </w:t>
      </w:r>
      <w:r w:rsidR="00F73DA5">
        <w:rPr>
          <w:rFonts w:ascii="Arial" w:hAnsi="Arial" w:cs="Arial"/>
          <w:sz w:val="24"/>
          <w:szCs w:val="24"/>
        </w:rPr>
        <w:t xml:space="preserve">Nevertheless, this remained materially different from TA525, where </w:t>
      </w:r>
      <w:r w:rsidR="00526470">
        <w:rPr>
          <w:rFonts w:ascii="Arial" w:hAnsi="Arial" w:cs="Arial"/>
          <w:sz w:val="24"/>
          <w:szCs w:val="24"/>
        </w:rPr>
        <w:t xml:space="preserve">a treatment effect duration of 5 years was preferred.  </w:t>
      </w:r>
    </w:p>
    <w:p w14:paraId="7ED2D47D" w14:textId="77777777" w:rsidR="00CE5099" w:rsidRPr="00CE5099" w:rsidRDefault="00CE5099" w:rsidP="00CE5099">
      <w:pPr>
        <w:pStyle w:val="ListParagraph"/>
        <w:rPr>
          <w:rFonts w:ascii="Arial" w:hAnsi="Arial" w:cs="Arial"/>
          <w:sz w:val="24"/>
          <w:szCs w:val="24"/>
        </w:rPr>
      </w:pPr>
    </w:p>
    <w:p w14:paraId="792EC41B" w14:textId="77777777" w:rsidR="00CE5099" w:rsidRDefault="00E806E0" w:rsidP="00F72E21">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The panel accepted that it was reasonable for the committee not to ask for modell</w:t>
      </w:r>
      <w:r w:rsidR="00580D8F">
        <w:rPr>
          <w:rFonts w:ascii="Arial" w:hAnsi="Arial" w:cs="Arial"/>
          <w:sz w:val="24"/>
          <w:szCs w:val="24"/>
        </w:rPr>
        <w:t xml:space="preserve">ing of a shorter treatment effect duration in TA525 given that the most plausible ICER was </w:t>
      </w:r>
      <w:r w:rsidR="009D46D5">
        <w:rPr>
          <w:rFonts w:ascii="Arial" w:hAnsi="Arial" w:cs="Arial"/>
          <w:sz w:val="24"/>
          <w:szCs w:val="24"/>
        </w:rPr>
        <w:t>comfortably within the range considered cost effective.</w:t>
      </w:r>
      <w:r w:rsidR="00450C54">
        <w:rPr>
          <w:rFonts w:ascii="Arial" w:hAnsi="Arial" w:cs="Arial"/>
          <w:sz w:val="24"/>
          <w:szCs w:val="24"/>
        </w:rPr>
        <w:t xml:space="preserve">  However, </w:t>
      </w:r>
      <w:r w:rsidR="000433C0">
        <w:rPr>
          <w:rFonts w:ascii="Arial" w:hAnsi="Arial" w:cs="Arial"/>
          <w:sz w:val="24"/>
          <w:szCs w:val="24"/>
        </w:rPr>
        <w:t>the expectation of consistency</w:t>
      </w:r>
      <w:r w:rsidR="003B3416">
        <w:rPr>
          <w:rFonts w:ascii="Arial" w:hAnsi="Arial" w:cs="Arial"/>
          <w:sz w:val="24"/>
          <w:szCs w:val="24"/>
        </w:rPr>
        <w:t xml:space="preserve"> means that substantial changes from this approach in similar appraisals would need to be clearly justified.  </w:t>
      </w:r>
      <w:r w:rsidR="009D46D5">
        <w:rPr>
          <w:rFonts w:ascii="Arial" w:hAnsi="Arial" w:cs="Arial"/>
          <w:sz w:val="24"/>
          <w:szCs w:val="24"/>
        </w:rPr>
        <w:t xml:space="preserve">  </w:t>
      </w:r>
    </w:p>
    <w:p w14:paraId="12263407" w14:textId="77777777" w:rsidR="00142B39" w:rsidRPr="00142B39" w:rsidRDefault="00142B39" w:rsidP="00142B39">
      <w:pPr>
        <w:pStyle w:val="ListParagraph"/>
        <w:rPr>
          <w:rFonts w:ascii="Arial" w:hAnsi="Arial" w:cs="Arial"/>
          <w:sz w:val="24"/>
          <w:szCs w:val="24"/>
        </w:rPr>
      </w:pPr>
    </w:p>
    <w:p w14:paraId="5EA69987" w14:textId="77777777" w:rsidR="00043A3C" w:rsidRPr="003A797C" w:rsidRDefault="00142B39" w:rsidP="00F72E21">
      <w:pPr>
        <w:pStyle w:val="ListParagraph"/>
        <w:numPr>
          <w:ilvl w:val="0"/>
          <w:numId w:val="21"/>
        </w:numPr>
        <w:spacing w:before="240" w:after="0" w:line="240" w:lineRule="auto"/>
        <w:rPr>
          <w:rFonts w:ascii="Arial" w:hAnsi="Arial" w:cs="Arial"/>
          <w:color w:val="FF0000"/>
          <w:sz w:val="24"/>
          <w:szCs w:val="24"/>
        </w:rPr>
      </w:pPr>
      <w:r w:rsidRPr="003A797C">
        <w:rPr>
          <w:rFonts w:ascii="Arial" w:hAnsi="Arial" w:cs="Arial"/>
          <w:sz w:val="24"/>
          <w:szCs w:val="24"/>
        </w:rPr>
        <w:t xml:space="preserve">The panel did not judge that the committee had given a clear justification for this difference either in the FAD or during the hearing.  </w:t>
      </w:r>
      <w:r w:rsidR="002C0E15" w:rsidRPr="003A797C">
        <w:rPr>
          <w:rFonts w:ascii="Arial" w:hAnsi="Arial" w:cs="Arial"/>
          <w:sz w:val="24"/>
          <w:szCs w:val="24"/>
        </w:rPr>
        <w:t xml:space="preserve">The panel </w:t>
      </w:r>
      <w:r w:rsidR="003830ED" w:rsidRPr="003A797C">
        <w:rPr>
          <w:rFonts w:ascii="Arial" w:hAnsi="Arial" w:cs="Arial"/>
          <w:sz w:val="24"/>
          <w:szCs w:val="24"/>
        </w:rPr>
        <w:t xml:space="preserve">judged that even with the longer follow-up data available for this appraisal, there remained very substantial uncertainty about the duration of treatment effect.  </w:t>
      </w:r>
      <w:r w:rsidR="00A84C4E" w:rsidRPr="003A797C">
        <w:rPr>
          <w:rFonts w:ascii="Arial" w:hAnsi="Arial" w:cs="Arial"/>
          <w:sz w:val="24"/>
          <w:szCs w:val="24"/>
        </w:rPr>
        <w:t xml:space="preserve">Whilst accepting Dr Smith’s point that longer follow-up data does not necessarily provide evidence of a longer effect, the panel </w:t>
      </w:r>
      <w:r w:rsidR="00054BB9" w:rsidRPr="003A797C">
        <w:rPr>
          <w:rFonts w:ascii="Arial" w:hAnsi="Arial" w:cs="Arial"/>
          <w:sz w:val="24"/>
          <w:szCs w:val="24"/>
        </w:rPr>
        <w:t xml:space="preserve">were not convinced that </w:t>
      </w:r>
      <w:r w:rsidR="008D0D56" w:rsidRPr="003A797C">
        <w:rPr>
          <w:rFonts w:ascii="Arial" w:hAnsi="Arial" w:cs="Arial"/>
          <w:sz w:val="24"/>
          <w:szCs w:val="24"/>
        </w:rPr>
        <w:t xml:space="preserve">the committee had </w:t>
      </w:r>
      <w:r w:rsidR="0006624F">
        <w:rPr>
          <w:rFonts w:ascii="Arial" w:hAnsi="Arial" w:cs="Arial"/>
          <w:sz w:val="24"/>
          <w:szCs w:val="24"/>
        </w:rPr>
        <w:t xml:space="preserve">yet </w:t>
      </w:r>
      <w:r w:rsidR="008D0D56" w:rsidRPr="003A797C">
        <w:rPr>
          <w:rFonts w:ascii="Arial" w:hAnsi="Arial" w:cs="Arial"/>
          <w:sz w:val="24"/>
          <w:szCs w:val="24"/>
        </w:rPr>
        <w:t>identified</w:t>
      </w:r>
      <w:r w:rsidR="00054BB9" w:rsidRPr="003A797C">
        <w:rPr>
          <w:rFonts w:ascii="Arial" w:hAnsi="Arial" w:cs="Arial"/>
          <w:sz w:val="24"/>
          <w:szCs w:val="24"/>
        </w:rPr>
        <w:t xml:space="preserve"> anything in the new data to support a material change in approach from the previous appraisal.  </w:t>
      </w:r>
    </w:p>
    <w:p w14:paraId="385CB798" w14:textId="77777777" w:rsidR="003A797C" w:rsidRPr="003A797C" w:rsidRDefault="003A797C" w:rsidP="003A797C">
      <w:pPr>
        <w:pStyle w:val="ListParagraph"/>
        <w:rPr>
          <w:rFonts w:ascii="Arial" w:hAnsi="Arial" w:cs="Arial"/>
          <w:color w:val="FF0000"/>
          <w:sz w:val="24"/>
          <w:szCs w:val="24"/>
        </w:rPr>
      </w:pPr>
    </w:p>
    <w:p w14:paraId="57FC1D1B" w14:textId="77777777" w:rsidR="006F3B86" w:rsidRPr="006F3B86" w:rsidRDefault="003D2E6E" w:rsidP="00F72E21">
      <w:pPr>
        <w:pStyle w:val="ListParagraph"/>
        <w:numPr>
          <w:ilvl w:val="0"/>
          <w:numId w:val="21"/>
        </w:numPr>
        <w:spacing w:before="240" w:after="0" w:line="240" w:lineRule="auto"/>
        <w:rPr>
          <w:rFonts w:ascii="Arial" w:hAnsi="Arial" w:cs="Arial"/>
          <w:color w:val="FF0000"/>
          <w:sz w:val="24"/>
          <w:szCs w:val="24"/>
        </w:rPr>
      </w:pPr>
      <w:r>
        <w:rPr>
          <w:rFonts w:ascii="Arial" w:hAnsi="Arial" w:cs="Arial"/>
          <w:sz w:val="24"/>
          <w:szCs w:val="24"/>
        </w:rPr>
        <w:lastRenderedPageBreak/>
        <w:t xml:space="preserve">In summary, whilst the panel judged that a reasonable approach to </w:t>
      </w:r>
      <w:r w:rsidR="00AE5974">
        <w:rPr>
          <w:rFonts w:ascii="Arial" w:hAnsi="Arial" w:cs="Arial"/>
          <w:sz w:val="24"/>
          <w:szCs w:val="24"/>
        </w:rPr>
        <w:t xml:space="preserve">duration of treatment effect had been taken both in TA525 and in this appraisal (if each were taken in isolation), there was insufficient justification of </w:t>
      </w:r>
      <w:r w:rsidR="00B547F6">
        <w:rPr>
          <w:rFonts w:ascii="Arial" w:hAnsi="Arial" w:cs="Arial"/>
          <w:sz w:val="24"/>
          <w:szCs w:val="24"/>
        </w:rPr>
        <w:t>why this approach had changed</w:t>
      </w:r>
      <w:r w:rsidR="00D47343">
        <w:rPr>
          <w:rFonts w:ascii="Arial" w:hAnsi="Arial" w:cs="Arial"/>
          <w:sz w:val="24"/>
          <w:szCs w:val="24"/>
        </w:rPr>
        <w:t xml:space="preserve"> </w:t>
      </w:r>
      <w:r w:rsidR="006F3B86">
        <w:rPr>
          <w:rFonts w:ascii="Arial" w:hAnsi="Arial" w:cs="Arial"/>
          <w:sz w:val="24"/>
          <w:szCs w:val="24"/>
        </w:rPr>
        <w:t>between the two appraisals.  T</w:t>
      </w:r>
      <w:r w:rsidR="00D47343">
        <w:rPr>
          <w:rFonts w:ascii="Arial" w:hAnsi="Arial" w:cs="Arial"/>
          <w:sz w:val="24"/>
          <w:szCs w:val="24"/>
        </w:rPr>
        <w:t>his was procedurally unfair given the expectation of consistency set out in the method</w:t>
      </w:r>
      <w:r w:rsidR="006F3B86">
        <w:rPr>
          <w:rFonts w:ascii="Arial" w:hAnsi="Arial" w:cs="Arial"/>
          <w:sz w:val="24"/>
          <w:szCs w:val="24"/>
        </w:rPr>
        <w:t>s</w:t>
      </w:r>
      <w:r w:rsidR="00D47343">
        <w:rPr>
          <w:rFonts w:ascii="Arial" w:hAnsi="Arial" w:cs="Arial"/>
          <w:sz w:val="24"/>
          <w:szCs w:val="24"/>
        </w:rPr>
        <w:t xml:space="preserve"> guide.</w:t>
      </w:r>
      <w:r w:rsidR="0006624F">
        <w:rPr>
          <w:rFonts w:ascii="Arial" w:hAnsi="Arial" w:cs="Arial"/>
          <w:sz w:val="24"/>
          <w:szCs w:val="24"/>
        </w:rPr>
        <w:t xml:space="preserve"> </w:t>
      </w:r>
    </w:p>
    <w:p w14:paraId="7DF57B4F" w14:textId="77777777" w:rsidR="006F3B86" w:rsidRPr="006F3B86" w:rsidRDefault="006F3B86" w:rsidP="006F3B86">
      <w:pPr>
        <w:pStyle w:val="ListParagraph"/>
        <w:rPr>
          <w:rFonts w:ascii="Arial" w:hAnsi="Arial" w:cs="Arial"/>
          <w:sz w:val="24"/>
          <w:szCs w:val="24"/>
        </w:rPr>
      </w:pPr>
    </w:p>
    <w:p w14:paraId="4D88721F" w14:textId="77777777" w:rsidR="003A797C" w:rsidRPr="003A797C" w:rsidRDefault="00AE5974" w:rsidP="00F72E21">
      <w:pPr>
        <w:pStyle w:val="ListParagraph"/>
        <w:numPr>
          <w:ilvl w:val="0"/>
          <w:numId w:val="21"/>
        </w:numPr>
        <w:spacing w:before="240" w:after="0" w:line="240" w:lineRule="auto"/>
        <w:rPr>
          <w:rFonts w:ascii="Arial" w:hAnsi="Arial" w:cs="Arial"/>
          <w:color w:val="FF0000"/>
          <w:sz w:val="24"/>
          <w:szCs w:val="24"/>
        </w:rPr>
      </w:pPr>
      <w:r>
        <w:rPr>
          <w:rFonts w:ascii="Arial" w:hAnsi="Arial" w:cs="Arial"/>
          <w:sz w:val="24"/>
          <w:szCs w:val="24"/>
        </w:rPr>
        <w:t xml:space="preserve"> </w:t>
      </w:r>
      <w:r w:rsidR="003A797C" w:rsidRPr="0053499F">
        <w:rPr>
          <w:rFonts w:ascii="Arial" w:hAnsi="Arial" w:cs="Arial"/>
          <w:sz w:val="24"/>
          <w:szCs w:val="24"/>
        </w:rPr>
        <w:t>The appeal panel therefore</w:t>
      </w:r>
      <w:r w:rsidR="003A797C">
        <w:rPr>
          <w:rFonts w:ascii="Arial" w:hAnsi="Arial" w:cs="Arial"/>
          <w:sz w:val="24"/>
          <w:szCs w:val="24"/>
        </w:rPr>
        <w:t xml:space="preserve"> upheld</w:t>
      </w:r>
      <w:r w:rsidR="003A797C" w:rsidRPr="0053499F">
        <w:rPr>
          <w:rFonts w:ascii="Arial" w:hAnsi="Arial" w:cs="Arial"/>
          <w:sz w:val="24"/>
          <w:szCs w:val="24"/>
        </w:rPr>
        <w:t xml:space="preserve"> the appeal on this point.</w:t>
      </w:r>
    </w:p>
    <w:p w14:paraId="068EE2D0" w14:textId="77777777" w:rsidR="003A797C" w:rsidRPr="003A797C" w:rsidRDefault="003A797C" w:rsidP="003A797C">
      <w:pPr>
        <w:pStyle w:val="ListParagraph"/>
        <w:rPr>
          <w:rFonts w:ascii="Arial" w:hAnsi="Arial" w:cs="Arial"/>
          <w:color w:val="FF0000"/>
          <w:sz w:val="24"/>
          <w:szCs w:val="24"/>
        </w:rPr>
      </w:pPr>
    </w:p>
    <w:p w14:paraId="329FE6FB" w14:textId="77777777" w:rsidR="000000AD" w:rsidRPr="0053499F" w:rsidRDefault="000000AD" w:rsidP="000000AD">
      <w:pPr>
        <w:spacing w:after="0" w:line="240" w:lineRule="auto"/>
        <w:rPr>
          <w:rFonts w:ascii="Arial" w:hAnsi="Arial" w:cs="Arial"/>
          <w:sz w:val="24"/>
          <w:szCs w:val="24"/>
        </w:rPr>
      </w:pPr>
      <w:r w:rsidRPr="0053499F">
        <w:rPr>
          <w:rFonts w:ascii="Arial" w:hAnsi="Arial" w:cs="Arial"/>
          <w:b/>
          <w:sz w:val="24"/>
          <w:szCs w:val="24"/>
        </w:rPr>
        <w:t>Appeal Ground 1a.</w:t>
      </w:r>
      <w:r>
        <w:rPr>
          <w:rFonts w:ascii="Arial" w:hAnsi="Arial" w:cs="Arial"/>
          <w:b/>
          <w:sz w:val="24"/>
          <w:szCs w:val="24"/>
        </w:rPr>
        <w:t>2</w:t>
      </w:r>
      <w:r w:rsidRPr="0053499F">
        <w:rPr>
          <w:rFonts w:ascii="Arial" w:hAnsi="Arial" w:cs="Arial"/>
          <w:b/>
          <w:sz w:val="24"/>
          <w:szCs w:val="24"/>
        </w:rPr>
        <w:t xml:space="preserve">: </w:t>
      </w:r>
      <w:r w:rsidRPr="000000AD">
        <w:rPr>
          <w:rFonts w:ascii="Arial" w:eastAsia="Times New Roman" w:hAnsi="Arial" w:cs="Arial"/>
          <w:sz w:val="24"/>
          <w:szCs w:val="24"/>
        </w:rPr>
        <w:t>It is procedurally unfair to have introduced paragraph 3.19 (“The costs of pembrolizumab are likely underestimated in the model”) in the FAD at a very late stage, without explanation or any opportunity to respond</w:t>
      </w:r>
    </w:p>
    <w:p w14:paraId="3B6D0579" w14:textId="77777777" w:rsidR="0091519B" w:rsidRPr="003A797C" w:rsidRDefault="0091519B" w:rsidP="000000AD">
      <w:pPr>
        <w:pStyle w:val="ListParagraph"/>
        <w:spacing w:before="240" w:after="0" w:line="240" w:lineRule="auto"/>
        <w:ind w:left="360"/>
        <w:rPr>
          <w:rFonts w:ascii="Arial" w:hAnsi="Arial" w:cs="Arial"/>
          <w:color w:val="FF0000"/>
          <w:sz w:val="24"/>
          <w:szCs w:val="24"/>
        </w:rPr>
      </w:pPr>
    </w:p>
    <w:p w14:paraId="6077C813" w14:textId="77777777" w:rsidR="007B183E" w:rsidRDefault="00E55939" w:rsidP="007B183E">
      <w:pPr>
        <w:pStyle w:val="ListParagraph"/>
        <w:numPr>
          <w:ilvl w:val="0"/>
          <w:numId w:val="21"/>
        </w:numPr>
        <w:spacing w:before="240" w:after="0" w:line="240" w:lineRule="auto"/>
        <w:rPr>
          <w:rFonts w:ascii="Arial" w:hAnsi="Arial" w:cs="Arial"/>
          <w:sz w:val="24"/>
          <w:szCs w:val="24"/>
        </w:rPr>
      </w:pPr>
      <w:r w:rsidRPr="007B183E">
        <w:rPr>
          <w:rFonts w:ascii="Arial" w:hAnsi="Arial" w:cs="Arial"/>
          <w:sz w:val="24"/>
          <w:szCs w:val="24"/>
        </w:rPr>
        <w:t xml:space="preserve">Grant Castle, for MSD, </w:t>
      </w:r>
      <w:r w:rsidR="00621738" w:rsidRPr="007B183E">
        <w:rPr>
          <w:rFonts w:ascii="Arial" w:hAnsi="Arial" w:cs="Arial"/>
          <w:sz w:val="24"/>
          <w:szCs w:val="24"/>
        </w:rPr>
        <w:t>said that the notion</w:t>
      </w:r>
      <w:r w:rsidR="00F22707" w:rsidRPr="007B183E">
        <w:rPr>
          <w:rFonts w:ascii="Arial" w:hAnsi="Arial" w:cs="Arial"/>
          <w:sz w:val="24"/>
          <w:szCs w:val="24"/>
        </w:rPr>
        <w:t xml:space="preserve"> that the cost of pembrolizumab may be under-</w:t>
      </w:r>
      <w:r w:rsidR="007B183E" w:rsidRPr="007B183E">
        <w:rPr>
          <w:rFonts w:ascii="Arial" w:hAnsi="Arial" w:cs="Arial"/>
          <w:sz w:val="24"/>
          <w:szCs w:val="24"/>
        </w:rPr>
        <w:t>estimated</w:t>
      </w:r>
      <w:r w:rsidR="00F22707" w:rsidRPr="007B183E">
        <w:rPr>
          <w:rFonts w:ascii="Arial" w:hAnsi="Arial" w:cs="Arial"/>
          <w:sz w:val="24"/>
          <w:szCs w:val="24"/>
        </w:rPr>
        <w:t xml:space="preserve"> in the model was raised at a late stage in the process.  This was mentioned for the first time at the second committee meeting, where MSD did not have a satisfactory opportunity to respond.  </w:t>
      </w:r>
      <w:r w:rsidR="00E6362F" w:rsidRPr="007B183E">
        <w:rPr>
          <w:rFonts w:ascii="Arial" w:hAnsi="Arial" w:cs="Arial"/>
          <w:sz w:val="24"/>
          <w:szCs w:val="24"/>
        </w:rPr>
        <w:t xml:space="preserve">Following this meeting, MSD contacted NICE to raise their concern.  The response from NICE agreed that this was “not ideal” </w:t>
      </w:r>
      <w:r w:rsidR="00B02BC0" w:rsidRPr="007B183E">
        <w:rPr>
          <w:rFonts w:ascii="Arial" w:hAnsi="Arial" w:cs="Arial"/>
          <w:sz w:val="24"/>
          <w:szCs w:val="24"/>
        </w:rPr>
        <w:t>but no attempt was made to address the concern.  Whilst this possible underestimation of the cost may not have been a ke</w:t>
      </w:r>
      <w:r w:rsidR="007B183E">
        <w:rPr>
          <w:rFonts w:ascii="Arial" w:hAnsi="Arial" w:cs="Arial"/>
          <w:sz w:val="24"/>
          <w:szCs w:val="24"/>
        </w:rPr>
        <w:t>y</w:t>
      </w:r>
      <w:r w:rsidR="00B02BC0" w:rsidRPr="007B183E">
        <w:rPr>
          <w:rFonts w:ascii="Arial" w:hAnsi="Arial" w:cs="Arial"/>
          <w:sz w:val="24"/>
          <w:szCs w:val="24"/>
        </w:rPr>
        <w:t xml:space="preserve"> driver of the decision, it is another factor which </w:t>
      </w:r>
      <w:r w:rsidR="007B183E" w:rsidRPr="007B183E">
        <w:rPr>
          <w:rFonts w:ascii="Arial" w:hAnsi="Arial" w:cs="Arial"/>
          <w:sz w:val="24"/>
          <w:szCs w:val="24"/>
        </w:rPr>
        <w:t xml:space="preserve">had an incremental effect on the committee’s thinking. </w:t>
      </w:r>
    </w:p>
    <w:p w14:paraId="6E4367ED" w14:textId="77777777" w:rsidR="007B183E" w:rsidRDefault="007B183E" w:rsidP="007B183E">
      <w:pPr>
        <w:pStyle w:val="ListParagraph"/>
        <w:spacing w:before="240" w:after="0" w:line="240" w:lineRule="auto"/>
        <w:ind w:left="360"/>
        <w:rPr>
          <w:rFonts w:ascii="Arial" w:hAnsi="Arial" w:cs="Arial"/>
          <w:sz w:val="24"/>
          <w:szCs w:val="24"/>
        </w:rPr>
      </w:pPr>
    </w:p>
    <w:p w14:paraId="2AF6E5F0" w14:textId="281527A8" w:rsidR="001F39B4" w:rsidRPr="00D621D6" w:rsidRDefault="007B183E" w:rsidP="007B183E">
      <w:pPr>
        <w:pStyle w:val="ListParagraph"/>
        <w:numPr>
          <w:ilvl w:val="0"/>
          <w:numId w:val="21"/>
        </w:numPr>
        <w:spacing w:before="240" w:after="0" w:line="240" w:lineRule="auto"/>
        <w:rPr>
          <w:rFonts w:ascii="Arial" w:hAnsi="Arial" w:cs="Arial"/>
          <w:sz w:val="24"/>
          <w:szCs w:val="24"/>
        </w:rPr>
      </w:pPr>
      <w:r w:rsidRPr="00D621D6">
        <w:rPr>
          <w:rFonts w:ascii="Arial" w:hAnsi="Arial" w:cs="Arial"/>
          <w:sz w:val="24"/>
          <w:szCs w:val="24"/>
        </w:rPr>
        <w:t>Dr Lindsay Smith, for NICE</w:t>
      </w:r>
      <w:r w:rsidR="00504AAB" w:rsidRPr="00D621D6">
        <w:rPr>
          <w:rFonts w:ascii="Arial" w:hAnsi="Arial" w:cs="Arial"/>
          <w:sz w:val="24"/>
          <w:szCs w:val="24"/>
        </w:rPr>
        <w:t xml:space="preserve">, </w:t>
      </w:r>
      <w:r w:rsidR="00DD68DF">
        <w:rPr>
          <w:rFonts w:ascii="Arial" w:hAnsi="Arial" w:cs="Arial"/>
          <w:sz w:val="24"/>
          <w:szCs w:val="24"/>
        </w:rPr>
        <w:t>stated that</w:t>
      </w:r>
      <w:r w:rsidR="00504AAB" w:rsidRPr="00D621D6">
        <w:rPr>
          <w:rFonts w:ascii="Arial" w:hAnsi="Arial" w:cs="Arial"/>
          <w:sz w:val="24"/>
          <w:szCs w:val="24"/>
        </w:rPr>
        <w:t xml:space="preserve"> this likely under-estimation of the cost of pem</w:t>
      </w:r>
      <w:r w:rsidR="001C169D">
        <w:rPr>
          <w:rFonts w:ascii="Arial" w:hAnsi="Arial" w:cs="Arial"/>
          <w:sz w:val="24"/>
          <w:szCs w:val="24"/>
        </w:rPr>
        <w:t>b</w:t>
      </w:r>
      <w:r w:rsidR="00504AAB" w:rsidRPr="00D621D6">
        <w:rPr>
          <w:rFonts w:ascii="Arial" w:hAnsi="Arial" w:cs="Arial"/>
          <w:sz w:val="24"/>
          <w:szCs w:val="24"/>
        </w:rPr>
        <w:t>rolizumab was not</w:t>
      </w:r>
      <w:r w:rsidR="001F39B4" w:rsidRPr="00D621D6">
        <w:rPr>
          <w:rFonts w:ascii="Arial" w:hAnsi="Arial" w:cs="Arial"/>
          <w:sz w:val="24"/>
          <w:szCs w:val="24"/>
        </w:rPr>
        <w:t xml:space="preserve"> include</w:t>
      </w:r>
      <w:r w:rsidR="00623C30">
        <w:rPr>
          <w:rFonts w:ascii="Arial" w:hAnsi="Arial" w:cs="Arial"/>
          <w:sz w:val="24"/>
          <w:szCs w:val="24"/>
        </w:rPr>
        <w:t>d</w:t>
      </w:r>
      <w:r w:rsidR="001F39B4" w:rsidRPr="00D621D6">
        <w:rPr>
          <w:rFonts w:ascii="Arial" w:hAnsi="Arial" w:cs="Arial"/>
          <w:sz w:val="24"/>
          <w:szCs w:val="24"/>
        </w:rPr>
        <w:t xml:space="preserve"> in the cost-effectiveness estimates in the FAD.</w:t>
      </w:r>
    </w:p>
    <w:p w14:paraId="5CDFDEF5" w14:textId="77777777" w:rsidR="001F39B4" w:rsidRPr="00D621D6" w:rsidRDefault="001F39B4" w:rsidP="001F39B4">
      <w:pPr>
        <w:pStyle w:val="ListParagraph"/>
        <w:rPr>
          <w:rFonts w:ascii="Arial" w:hAnsi="Arial" w:cs="Arial"/>
          <w:sz w:val="24"/>
          <w:szCs w:val="24"/>
        </w:rPr>
      </w:pPr>
    </w:p>
    <w:p w14:paraId="137954BE" w14:textId="77777777" w:rsidR="00675BFA" w:rsidRPr="00D621D6" w:rsidRDefault="001F39B4" w:rsidP="007B183E">
      <w:pPr>
        <w:pStyle w:val="ListParagraph"/>
        <w:numPr>
          <w:ilvl w:val="0"/>
          <w:numId w:val="21"/>
        </w:numPr>
        <w:spacing w:before="240" w:after="0" w:line="240" w:lineRule="auto"/>
        <w:rPr>
          <w:rFonts w:ascii="Arial" w:hAnsi="Arial" w:cs="Arial"/>
          <w:sz w:val="24"/>
          <w:szCs w:val="24"/>
        </w:rPr>
      </w:pPr>
      <w:r w:rsidRPr="00D621D6">
        <w:rPr>
          <w:rFonts w:ascii="Arial" w:hAnsi="Arial" w:cs="Arial"/>
          <w:sz w:val="24"/>
          <w:szCs w:val="24"/>
        </w:rPr>
        <w:t xml:space="preserve">Prof Gary McVeigh, for NICE, </w:t>
      </w:r>
      <w:r w:rsidR="00EF0A76" w:rsidRPr="00D621D6">
        <w:rPr>
          <w:rFonts w:ascii="Arial" w:hAnsi="Arial" w:cs="Arial"/>
          <w:sz w:val="24"/>
          <w:szCs w:val="24"/>
        </w:rPr>
        <w:t xml:space="preserve">acknowledged that this issue arose at the second committee meeting.  He said that NICE had been contacted the day before the meeting by NHS England </w:t>
      </w:r>
      <w:r w:rsidR="00E67BFB" w:rsidRPr="00D621D6">
        <w:rPr>
          <w:rFonts w:ascii="Arial" w:hAnsi="Arial" w:cs="Arial"/>
          <w:sz w:val="24"/>
          <w:szCs w:val="24"/>
        </w:rPr>
        <w:t xml:space="preserve">to point out that some patients in the trial had been re-treated. </w:t>
      </w:r>
      <w:r w:rsidR="00026C21" w:rsidRPr="00D621D6">
        <w:rPr>
          <w:rFonts w:ascii="Arial" w:hAnsi="Arial" w:cs="Arial"/>
          <w:sz w:val="24"/>
          <w:szCs w:val="24"/>
        </w:rPr>
        <w:t xml:space="preserve"> At the meeting, when he asked the company how many patients had been re-treated</w:t>
      </w:r>
      <w:r w:rsidR="00F86060">
        <w:rPr>
          <w:rFonts w:ascii="Arial" w:hAnsi="Arial" w:cs="Arial"/>
          <w:sz w:val="24"/>
          <w:szCs w:val="24"/>
        </w:rPr>
        <w:t>,</w:t>
      </w:r>
      <w:r w:rsidR="00026C21" w:rsidRPr="00D621D6">
        <w:rPr>
          <w:rFonts w:ascii="Arial" w:hAnsi="Arial" w:cs="Arial"/>
          <w:sz w:val="24"/>
          <w:szCs w:val="24"/>
        </w:rPr>
        <w:t xml:space="preserve"> th</w:t>
      </w:r>
      <w:r w:rsidR="00BD1AD2" w:rsidRPr="00D621D6">
        <w:rPr>
          <w:rFonts w:ascii="Arial" w:hAnsi="Arial" w:cs="Arial"/>
          <w:sz w:val="24"/>
          <w:szCs w:val="24"/>
        </w:rPr>
        <w:t>e</w:t>
      </w:r>
      <w:r w:rsidR="00026C21" w:rsidRPr="00D621D6">
        <w:rPr>
          <w:rFonts w:ascii="Arial" w:hAnsi="Arial" w:cs="Arial"/>
          <w:sz w:val="24"/>
          <w:szCs w:val="24"/>
        </w:rPr>
        <w:t>y were able to reply without hesitation that it was 5%.</w:t>
      </w:r>
      <w:r w:rsidR="00BD1AD2" w:rsidRPr="00D621D6">
        <w:rPr>
          <w:rFonts w:ascii="Arial" w:hAnsi="Arial" w:cs="Arial"/>
          <w:sz w:val="24"/>
          <w:szCs w:val="24"/>
        </w:rPr>
        <w:t xml:space="preserve">  Prof McVeigh therefore contended that the company must have been aware of this issue prior to the second committee meeting. </w:t>
      </w:r>
    </w:p>
    <w:p w14:paraId="30B4BA8A" w14:textId="77777777" w:rsidR="00675BFA" w:rsidRPr="00D621D6" w:rsidRDefault="00675BFA" w:rsidP="00675BFA">
      <w:pPr>
        <w:pStyle w:val="ListParagraph"/>
        <w:rPr>
          <w:rFonts w:ascii="Arial" w:hAnsi="Arial" w:cs="Arial"/>
          <w:sz w:val="24"/>
          <w:szCs w:val="24"/>
        </w:rPr>
      </w:pPr>
    </w:p>
    <w:p w14:paraId="20651ED8" w14:textId="77777777" w:rsidR="00026C21" w:rsidRDefault="00675BFA" w:rsidP="007B183E">
      <w:pPr>
        <w:pStyle w:val="ListParagraph"/>
        <w:numPr>
          <w:ilvl w:val="0"/>
          <w:numId w:val="21"/>
        </w:numPr>
        <w:spacing w:before="240" w:after="0" w:line="240" w:lineRule="auto"/>
        <w:rPr>
          <w:rFonts w:ascii="Arial" w:hAnsi="Arial" w:cs="Arial"/>
          <w:sz w:val="24"/>
          <w:szCs w:val="24"/>
        </w:rPr>
      </w:pPr>
      <w:r w:rsidRPr="00D621D6">
        <w:rPr>
          <w:rFonts w:ascii="Arial" w:hAnsi="Arial" w:cs="Arial"/>
          <w:sz w:val="24"/>
          <w:szCs w:val="24"/>
        </w:rPr>
        <w:t xml:space="preserve">Kalpana D’Oca, for MSD, </w:t>
      </w:r>
      <w:r w:rsidR="001528CC" w:rsidRPr="00D621D6">
        <w:rPr>
          <w:rFonts w:ascii="Arial" w:hAnsi="Arial" w:cs="Arial"/>
          <w:sz w:val="24"/>
          <w:szCs w:val="24"/>
        </w:rPr>
        <w:t xml:space="preserve">acknowledged that the company knew some patients had been re-treated, but </w:t>
      </w:r>
      <w:r w:rsidR="00966DD3" w:rsidRPr="00D621D6">
        <w:rPr>
          <w:rFonts w:ascii="Arial" w:hAnsi="Arial" w:cs="Arial"/>
          <w:sz w:val="24"/>
          <w:szCs w:val="24"/>
        </w:rPr>
        <w:t>said that they had not known this issue was of concern to the appraisal committee.  Had they know</w:t>
      </w:r>
      <w:r w:rsidR="00D621D6">
        <w:rPr>
          <w:rFonts w:ascii="Arial" w:hAnsi="Arial" w:cs="Arial"/>
          <w:sz w:val="24"/>
          <w:szCs w:val="24"/>
        </w:rPr>
        <w:t xml:space="preserve">n </w:t>
      </w:r>
      <w:proofErr w:type="gramStart"/>
      <w:r w:rsidR="00D621D6">
        <w:rPr>
          <w:rFonts w:ascii="Arial" w:hAnsi="Arial" w:cs="Arial"/>
          <w:sz w:val="24"/>
          <w:szCs w:val="24"/>
        </w:rPr>
        <w:t>this</w:t>
      </w:r>
      <w:r w:rsidR="00966DD3" w:rsidRPr="00D621D6">
        <w:rPr>
          <w:rFonts w:ascii="Arial" w:hAnsi="Arial" w:cs="Arial"/>
          <w:sz w:val="24"/>
          <w:szCs w:val="24"/>
        </w:rPr>
        <w:t>,</w:t>
      </w:r>
      <w:proofErr w:type="gramEnd"/>
      <w:r w:rsidR="00966DD3" w:rsidRPr="00D621D6">
        <w:rPr>
          <w:rFonts w:ascii="Arial" w:hAnsi="Arial" w:cs="Arial"/>
          <w:sz w:val="24"/>
          <w:szCs w:val="24"/>
        </w:rPr>
        <w:t xml:space="preserve"> they would have been ab</w:t>
      </w:r>
      <w:r w:rsidR="00D621D6" w:rsidRPr="00D621D6">
        <w:rPr>
          <w:rFonts w:ascii="Arial" w:hAnsi="Arial" w:cs="Arial"/>
          <w:sz w:val="24"/>
          <w:szCs w:val="24"/>
        </w:rPr>
        <w:t>l</w:t>
      </w:r>
      <w:r w:rsidR="00966DD3" w:rsidRPr="00D621D6">
        <w:rPr>
          <w:rFonts w:ascii="Arial" w:hAnsi="Arial" w:cs="Arial"/>
          <w:sz w:val="24"/>
          <w:szCs w:val="24"/>
        </w:rPr>
        <w:t>e to conduct sensitivity ana</w:t>
      </w:r>
      <w:r w:rsidR="00D621D6" w:rsidRPr="00D621D6">
        <w:rPr>
          <w:rFonts w:ascii="Arial" w:hAnsi="Arial" w:cs="Arial"/>
          <w:sz w:val="24"/>
          <w:szCs w:val="24"/>
        </w:rPr>
        <w:t>lyses to explore its potential impact.</w:t>
      </w:r>
      <w:r w:rsidR="00026C21" w:rsidRPr="00D621D6">
        <w:rPr>
          <w:rFonts w:ascii="Arial" w:hAnsi="Arial" w:cs="Arial"/>
          <w:sz w:val="24"/>
          <w:szCs w:val="24"/>
        </w:rPr>
        <w:t xml:space="preserve">  </w:t>
      </w:r>
    </w:p>
    <w:p w14:paraId="625D0EB9" w14:textId="77777777" w:rsidR="00685341" w:rsidRPr="00685341" w:rsidRDefault="00685341" w:rsidP="00685341">
      <w:pPr>
        <w:pStyle w:val="ListParagraph"/>
        <w:rPr>
          <w:rFonts w:ascii="Arial" w:hAnsi="Arial" w:cs="Arial"/>
          <w:sz w:val="24"/>
          <w:szCs w:val="24"/>
        </w:rPr>
      </w:pPr>
    </w:p>
    <w:p w14:paraId="270AA946" w14:textId="77777777" w:rsidR="00685341" w:rsidRDefault="00685341" w:rsidP="007B183E">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Grant Castle, for MSD, said that the Terms of Engagement for this re</w:t>
      </w:r>
      <w:r w:rsidR="00C730EF">
        <w:rPr>
          <w:rFonts w:ascii="Arial" w:hAnsi="Arial" w:cs="Arial"/>
          <w:sz w:val="24"/>
          <w:szCs w:val="24"/>
        </w:rPr>
        <w:t>-</w:t>
      </w:r>
      <w:r>
        <w:rPr>
          <w:rFonts w:ascii="Arial" w:hAnsi="Arial" w:cs="Arial"/>
          <w:sz w:val="24"/>
          <w:szCs w:val="24"/>
        </w:rPr>
        <w:t xml:space="preserve">appraisal of pembrolizumab </w:t>
      </w:r>
      <w:r w:rsidR="003E6DA3">
        <w:rPr>
          <w:rFonts w:ascii="Arial" w:hAnsi="Arial" w:cs="Arial"/>
          <w:sz w:val="24"/>
          <w:szCs w:val="24"/>
        </w:rPr>
        <w:t xml:space="preserve">did not include this issue.  He argued that the fact that this </w:t>
      </w:r>
      <w:r w:rsidR="00C730EF">
        <w:rPr>
          <w:rFonts w:ascii="Arial" w:hAnsi="Arial" w:cs="Arial"/>
          <w:sz w:val="24"/>
          <w:szCs w:val="24"/>
        </w:rPr>
        <w:t>issue</w:t>
      </w:r>
      <w:r w:rsidR="003E6DA3">
        <w:rPr>
          <w:rFonts w:ascii="Arial" w:hAnsi="Arial" w:cs="Arial"/>
          <w:sz w:val="24"/>
          <w:szCs w:val="24"/>
        </w:rPr>
        <w:t xml:space="preserve"> is </w:t>
      </w:r>
      <w:r w:rsidR="00C730EF">
        <w:rPr>
          <w:rFonts w:ascii="Arial" w:hAnsi="Arial" w:cs="Arial"/>
          <w:sz w:val="24"/>
          <w:szCs w:val="24"/>
        </w:rPr>
        <w:t>raised</w:t>
      </w:r>
      <w:r w:rsidR="003E6DA3">
        <w:rPr>
          <w:rFonts w:ascii="Arial" w:hAnsi="Arial" w:cs="Arial"/>
          <w:sz w:val="24"/>
          <w:szCs w:val="24"/>
        </w:rPr>
        <w:t xml:space="preserve"> in the FAD </w:t>
      </w:r>
      <w:r w:rsidR="001C6F8D">
        <w:rPr>
          <w:rFonts w:ascii="Arial" w:hAnsi="Arial" w:cs="Arial"/>
          <w:sz w:val="24"/>
          <w:szCs w:val="24"/>
        </w:rPr>
        <w:t>demonstrates</w:t>
      </w:r>
      <w:r w:rsidR="003E6DA3">
        <w:rPr>
          <w:rFonts w:ascii="Arial" w:hAnsi="Arial" w:cs="Arial"/>
          <w:sz w:val="24"/>
          <w:szCs w:val="24"/>
        </w:rPr>
        <w:t xml:space="preserve"> that it did have an impact on the committee’s decision. </w:t>
      </w:r>
    </w:p>
    <w:p w14:paraId="5F0CA2A4" w14:textId="77777777" w:rsidR="001C6F8D" w:rsidRPr="001C6F8D" w:rsidRDefault="001C6F8D" w:rsidP="001C6F8D">
      <w:pPr>
        <w:pStyle w:val="ListParagraph"/>
        <w:rPr>
          <w:rFonts w:ascii="Arial" w:hAnsi="Arial" w:cs="Arial"/>
          <w:sz w:val="24"/>
          <w:szCs w:val="24"/>
        </w:rPr>
      </w:pPr>
    </w:p>
    <w:p w14:paraId="02C860F9" w14:textId="5260F050" w:rsidR="001C6F8D" w:rsidRPr="005F4A47" w:rsidRDefault="004C1A6E" w:rsidP="00535CF8">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The appeal panel concluded as follows.  The possible under-estimation </w:t>
      </w:r>
      <w:r w:rsidR="0097091E">
        <w:rPr>
          <w:rFonts w:ascii="Arial" w:hAnsi="Arial" w:cs="Arial"/>
          <w:sz w:val="24"/>
          <w:szCs w:val="24"/>
        </w:rPr>
        <w:t xml:space="preserve">of the cost of pembrolizumab in the model was raised by NICE for the first time at the second committee meeting.  Although the company were aware that some patients in the trial had been re-treated, they were not aware until this point that </w:t>
      </w:r>
      <w:r w:rsidR="00294694">
        <w:rPr>
          <w:rFonts w:ascii="Arial" w:hAnsi="Arial" w:cs="Arial"/>
          <w:sz w:val="24"/>
          <w:szCs w:val="24"/>
        </w:rPr>
        <w:t xml:space="preserve">this might be a factor in the decision-making in this appraisal. </w:t>
      </w:r>
      <w:r w:rsidR="00535CF8">
        <w:rPr>
          <w:rFonts w:ascii="Arial" w:hAnsi="Arial" w:cs="Arial"/>
          <w:sz w:val="24"/>
          <w:szCs w:val="24"/>
        </w:rPr>
        <w:t xml:space="preserve"> This is a key point.  </w:t>
      </w:r>
      <w:r w:rsidR="00535CF8">
        <w:rPr>
          <w:rFonts w:ascii="Arial" w:hAnsi="Arial" w:cs="Arial"/>
          <w:sz w:val="24"/>
          <w:szCs w:val="24"/>
        </w:rPr>
        <w:lastRenderedPageBreak/>
        <w:t>It is not enough that a company must be aware of a fact.  They must also be aware that it is relevant, either (as will usually be the case) because that is self</w:t>
      </w:r>
      <w:r w:rsidR="001C169D">
        <w:rPr>
          <w:rFonts w:ascii="Arial" w:hAnsi="Arial" w:cs="Arial"/>
          <w:sz w:val="24"/>
          <w:szCs w:val="24"/>
        </w:rPr>
        <w:t>-</w:t>
      </w:r>
      <w:r w:rsidR="00535CF8">
        <w:rPr>
          <w:rFonts w:ascii="Arial" w:hAnsi="Arial" w:cs="Arial"/>
          <w:sz w:val="24"/>
          <w:szCs w:val="24"/>
        </w:rPr>
        <w:t xml:space="preserve">evident, or (as needed to be the case here) because that was made clear. </w:t>
      </w:r>
      <w:r w:rsidR="00294694">
        <w:rPr>
          <w:rFonts w:ascii="Arial" w:hAnsi="Arial" w:cs="Arial"/>
          <w:sz w:val="24"/>
          <w:szCs w:val="24"/>
        </w:rPr>
        <w:t xml:space="preserve"> Th</w:t>
      </w:r>
      <w:r w:rsidR="002534E7">
        <w:rPr>
          <w:rFonts w:ascii="Arial" w:hAnsi="Arial" w:cs="Arial"/>
          <w:sz w:val="24"/>
          <w:szCs w:val="24"/>
        </w:rPr>
        <w:t xml:space="preserve">e panel judged that they did not have a satisfactory opportunity to address this point before the FAD was published. </w:t>
      </w:r>
      <w:r w:rsidR="00111ACF">
        <w:rPr>
          <w:rFonts w:ascii="Arial" w:hAnsi="Arial" w:cs="Arial"/>
          <w:sz w:val="24"/>
          <w:szCs w:val="24"/>
        </w:rPr>
        <w:t xml:space="preserve">Whilst this issue was not a key driver of the final decision, the </w:t>
      </w:r>
      <w:r w:rsidR="00F44CDE">
        <w:rPr>
          <w:rFonts w:ascii="Arial" w:hAnsi="Arial" w:cs="Arial"/>
          <w:sz w:val="24"/>
          <w:szCs w:val="24"/>
        </w:rPr>
        <w:t>fact that i</w:t>
      </w:r>
      <w:r w:rsidR="00535CF8">
        <w:rPr>
          <w:rFonts w:ascii="Arial" w:hAnsi="Arial" w:cs="Arial"/>
          <w:sz w:val="24"/>
          <w:szCs w:val="24"/>
        </w:rPr>
        <w:t>t</w:t>
      </w:r>
      <w:r w:rsidR="00F44CDE">
        <w:rPr>
          <w:rFonts w:ascii="Arial" w:hAnsi="Arial" w:cs="Arial"/>
          <w:sz w:val="24"/>
          <w:szCs w:val="24"/>
        </w:rPr>
        <w:t xml:space="preserve"> was mentioned in the </w:t>
      </w:r>
      <w:r w:rsidR="00111ACF">
        <w:rPr>
          <w:rFonts w:ascii="Arial" w:hAnsi="Arial" w:cs="Arial"/>
          <w:sz w:val="24"/>
          <w:szCs w:val="24"/>
        </w:rPr>
        <w:t xml:space="preserve">FAD </w:t>
      </w:r>
      <w:r w:rsidR="00535CF8">
        <w:rPr>
          <w:rFonts w:ascii="Arial" w:hAnsi="Arial" w:cs="Arial"/>
          <w:sz w:val="24"/>
          <w:szCs w:val="24"/>
        </w:rPr>
        <w:t>means</w:t>
      </w:r>
      <w:r w:rsidR="00535CF8" w:rsidRPr="005F4A47">
        <w:rPr>
          <w:rFonts w:ascii="Arial" w:hAnsi="Arial" w:cs="Arial"/>
          <w:sz w:val="24"/>
          <w:szCs w:val="24"/>
        </w:rPr>
        <w:t xml:space="preserve"> the panel cannot be confident it had no</w:t>
      </w:r>
      <w:r w:rsidR="00514924" w:rsidRPr="005F4A47">
        <w:rPr>
          <w:rFonts w:ascii="Arial" w:hAnsi="Arial" w:cs="Arial"/>
          <w:sz w:val="24"/>
          <w:szCs w:val="24"/>
        </w:rPr>
        <w:t xml:space="preserve"> bearing on</w:t>
      </w:r>
      <w:r w:rsidR="00FF1228" w:rsidRPr="005F4A47">
        <w:rPr>
          <w:rFonts w:ascii="Arial" w:hAnsi="Arial" w:cs="Arial"/>
          <w:sz w:val="24"/>
          <w:szCs w:val="24"/>
        </w:rPr>
        <w:t xml:space="preserve"> the</w:t>
      </w:r>
      <w:r w:rsidR="00514924" w:rsidRPr="005F4A47">
        <w:rPr>
          <w:rFonts w:ascii="Arial" w:hAnsi="Arial" w:cs="Arial"/>
          <w:sz w:val="24"/>
          <w:szCs w:val="24"/>
        </w:rPr>
        <w:t xml:space="preserve"> decision.  </w:t>
      </w:r>
      <w:r w:rsidR="005448A4" w:rsidRPr="005F4A47">
        <w:rPr>
          <w:rFonts w:ascii="Arial" w:hAnsi="Arial" w:cs="Arial"/>
          <w:sz w:val="24"/>
          <w:szCs w:val="24"/>
        </w:rPr>
        <w:t xml:space="preserve">It was therefore </w:t>
      </w:r>
      <w:r w:rsidR="00111ACF" w:rsidRPr="005F4A47">
        <w:rPr>
          <w:rFonts w:ascii="Arial" w:hAnsi="Arial" w:cs="Arial"/>
          <w:sz w:val="24"/>
          <w:szCs w:val="24"/>
        </w:rPr>
        <w:t>procedurally unfair</w:t>
      </w:r>
      <w:r w:rsidR="005448A4" w:rsidRPr="005F4A47">
        <w:rPr>
          <w:rFonts w:ascii="Arial" w:hAnsi="Arial" w:cs="Arial"/>
          <w:sz w:val="24"/>
          <w:szCs w:val="24"/>
        </w:rPr>
        <w:t xml:space="preserve"> for the issue to be introduced so late in the process</w:t>
      </w:r>
      <w:r w:rsidR="00535CF8" w:rsidRPr="005F4A47">
        <w:rPr>
          <w:rFonts w:ascii="Arial" w:hAnsi="Arial" w:cs="Arial"/>
          <w:sz w:val="24"/>
          <w:szCs w:val="24"/>
        </w:rPr>
        <w:t xml:space="preserve"> without a</w:t>
      </w:r>
      <w:r w:rsidR="00535CF8">
        <w:rPr>
          <w:rFonts w:ascii="Arial" w:hAnsi="Arial" w:cs="Arial"/>
          <w:sz w:val="24"/>
          <w:szCs w:val="24"/>
        </w:rPr>
        <w:t>n adequate</w:t>
      </w:r>
      <w:r w:rsidR="00535CF8" w:rsidRPr="005F4A47">
        <w:rPr>
          <w:rFonts w:ascii="Arial" w:hAnsi="Arial" w:cs="Arial"/>
          <w:sz w:val="24"/>
          <w:szCs w:val="24"/>
        </w:rPr>
        <w:t xml:space="preserve"> chance to respond</w:t>
      </w:r>
      <w:r w:rsidR="005448A4" w:rsidRPr="005F4A47">
        <w:rPr>
          <w:rFonts w:ascii="Arial" w:hAnsi="Arial" w:cs="Arial"/>
          <w:sz w:val="24"/>
          <w:szCs w:val="24"/>
        </w:rPr>
        <w:t>.</w:t>
      </w:r>
    </w:p>
    <w:p w14:paraId="5C3CD971" w14:textId="77777777" w:rsidR="005448A4" w:rsidRPr="005448A4" w:rsidRDefault="005448A4" w:rsidP="005448A4">
      <w:pPr>
        <w:pStyle w:val="ListParagraph"/>
        <w:rPr>
          <w:rFonts w:ascii="Arial" w:hAnsi="Arial" w:cs="Arial"/>
          <w:sz w:val="24"/>
          <w:szCs w:val="24"/>
        </w:rPr>
      </w:pPr>
    </w:p>
    <w:p w14:paraId="256EAB9B" w14:textId="77777777" w:rsidR="005448A4" w:rsidRPr="00D621D6" w:rsidRDefault="005448A4" w:rsidP="007B183E">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T</w:t>
      </w:r>
      <w:r w:rsidRPr="0053499F">
        <w:rPr>
          <w:rFonts w:ascii="Arial" w:hAnsi="Arial" w:cs="Arial"/>
          <w:sz w:val="24"/>
          <w:szCs w:val="24"/>
        </w:rPr>
        <w:t>he appeal panel therefore</w:t>
      </w:r>
      <w:r>
        <w:rPr>
          <w:rFonts w:ascii="Arial" w:hAnsi="Arial" w:cs="Arial"/>
          <w:sz w:val="24"/>
          <w:szCs w:val="24"/>
        </w:rPr>
        <w:t xml:space="preserve"> upheld</w:t>
      </w:r>
      <w:r w:rsidRPr="0053499F">
        <w:rPr>
          <w:rFonts w:ascii="Arial" w:hAnsi="Arial" w:cs="Arial"/>
          <w:sz w:val="24"/>
          <w:szCs w:val="24"/>
        </w:rPr>
        <w:t xml:space="preserve"> the appeal on this point.</w:t>
      </w:r>
    </w:p>
    <w:p w14:paraId="7D24032D" w14:textId="77777777" w:rsidR="009B59C2" w:rsidRPr="0053499F" w:rsidRDefault="009B59C2" w:rsidP="009B59C2">
      <w:pPr>
        <w:spacing w:after="0" w:line="240" w:lineRule="auto"/>
        <w:rPr>
          <w:rFonts w:ascii="Arial" w:hAnsi="Arial" w:cs="Arial"/>
          <w:b/>
          <w:sz w:val="24"/>
          <w:szCs w:val="24"/>
        </w:rPr>
      </w:pPr>
    </w:p>
    <w:p w14:paraId="699AC297" w14:textId="77777777" w:rsidR="009B59C2" w:rsidRPr="0053499F" w:rsidRDefault="009B59C2" w:rsidP="009B59C2">
      <w:pPr>
        <w:spacing w:after="0" w:line="240" w:lineRule="auto"/>
        <w:rPr>
          <w:rFonts w:ascii="Arial" w:hAnsi="Arial" w:cs="Arial"/>
          <w:b/>
          <w:sz w:val="24"/>
          <w:szCs w:val="24"/>
        </w:rPr>
      </w:pPr>
      <w:r w:rsidRPr="0053499F">
        <w:rPr>
          <w:rFonts w:ascii="Arial" w:hAnsi="Arial" w:cs="Arial"/>
          <w:b/>
          <w:sz w:val="24"/>
          <w:szCs w:val="24"/>
        </w:rPr>
        <w:t>Appeal Ground 1b: In making the assessment that preceded the recommendation, NICE has exceeded its powers.</w:t>
      </w:r>
    </w:p>
    <w:p w14:paraId="712814C3" w14:textId="77777777" w:rsidR="004F070A" w:rsidRDefault="004F070A" w:rsidP="009B59C2">
      <w:pPr>
        <w:spacing w:after="0" w:line="240" w:lineRule="auto"/>
        <w:rPr>
          <w:rFonts w:ascii="Arial" w:hAnsi="Arial" w:cs="Arial"/>
          <w:sz w:val="24"/>
          <w:szCs w:val="24"/>
        </w:rPr>
      </w:pPr>
    </w:p>
    <w:p w14:paraId="29B16AFC" w14:textId="77777777" w:rsidR="009B59C2" w:rsidRPr="0053499F" w:rsidRDefault="009B59C2" w:rsidP="009B59C2">
      <w:pPr>
        <w:spacing w:after="0" w:line="240" w:lineRule="auto"/>
        <w:rPr>
          <w:rFonts w:ascii="Arial" w:hAnsi="Arial" w:cs="Arial"/>
          <w:sz w:val="24"/>
          <w:szCs w:val="24"/>
        </w:rPr>
      </w:pPr>
      <w:r w:rsidRPr="0053499F">
        <w:rPr>
          <w:rFonts w:ascii="Arial" w:hAnsi="Arial" w:cs="Arial"/>
          <w:b/>
          <w:sz w:val="24"/>
          <w:szCs w:val="24"/>
        </w:rPr>
        <w:t xml:space="preserve">Appeal Ground 1b.1: </w:t>
      </w:r>
      <w:r w:rsidR="004F070A" w:rsidRPr="004720FF">
        <w:rPr>
          <w:rFonts w:ascii="Arial" w:hAnsi="Arial" w:cs="Arial"/>
          <w:bCs/>
          <w:sz w:val="24"/>
          <w:szCs w:val="24"/>
        </w:rPr>
        <w:t>NICE has breached its legal obligations under human rights and equalities laws</w:t>
      </w:r>
      <w:r w:rsidR="004F070A" w:rsidRPr="004F070A">
        <w:rPr>
          <w:rFonts w:ascii="Arial" w:hAnsi="Arial" w:cs="Arial"/>
          <w:b/>
          <w:sz w:val="24"/>
          <w:szCs w:val="24"/>
        </w:rPr>
        <w:t xml:space="preserve"> </w:t>
      </w:r>
    </w:p>
    <w:p w14:paraId="16621FFD" w14:textId="77777777" w:rsidR="009B59C2" w:rsidRPr="00B85186" w:rsidRDefault="009B59C2" w:rsidP="009B59C2">
      <w:pPr>
        <w:pStyle w:val="ListParagraph"/>
        <w:spacing w:after="0" w:line="240" w:lineRule="auto"/>
        <w:ind w:left="360"/>
        <w:rPr>
          <w:rFonts w:ascii="Arial" w:hAnsi="Arial" w:cs="Arial"/>
          <w:sz w:val="24"/>
          <w:szCs w:val="24"/>
        </w:rPr>
      </w:pPr>
    </w:p>
    <w:p w14:paraId="4D71E99A" w14:textId="77777777" w:rsidR="00107078" w:rsidRPr="00B85186" w:rsidRDefault="00141B1A" w:rsidP="009B59C2">
      <w:pPr>
        <w:pStyle w:val="ListParagraph"/>
        <w:numPr>
          <w:ilvl w:val="0"/>
          <w:numId w:val="21"/>
        </w:numPr>
        <w:spacing w:after="0" w:line="240" w:lineRule="auto"/>
        <w:rPr>
          <w:rFonts w:ascii="Arial" w:hAnsi="Arial" w:cs="Arial"/>
          <w:sz w:val="24"/>
          <w:szCs w:val="24"/>
        </w:rPr>
      </w:pPr>
      <w:r w:rsidRPr="00B85186">
        <w:rPr>
          <w:rFonts w:ascii="Arial" w:hAnsi="Arial" w:cs="Arial"/>
          <w:sz w:val="24"/>
          <w:szCs w:val="24"/>
        </w:rPr>
        <w:t>The appeal panel received legal advice on this appeal point in advance of the hearing from their legal adviser, Stephen Hockin</w:t>
      </w:r>
      <w:r w:rsidR="00107078" w:rsidRPr="00B85186">
        <w:rPr>
          <w:rFonts w:ascii="Arial" w:hAnsi="Arial" w:cs="Arial"/>
          <w:sz w:val="24"/>
          <w:szCs w:val="24"/>
        </w:rPr>
        <w:t>g</w:t>
      </w:r>
      <w:r w:rsidRPr="00B85186">
        <w:rPr>
          <w:rFonts w:ascii="Arial" w:hAnsi="Arial" w:cs="Arial"/>
          <w:sz w:val="24"/>
          <w:szCs w:val="24"/>
        </w:rPr>
        <w:t xml:space="preserve">.  </w:t>
      </w:r>
      <w:r w:rsidR="008B7CA6" w:rsidRPr="00B85186">
        <w:rPr>
          <w:rFonts w:ascii="Arial" w:hAnsi="Arial" w:cs="Arial"/>
          <w:sz w:val="24"/>
          <w:szCs w:val="24"/>
        </w:rPr>
        <w:t xml:space="preserve">MSD had a further opportunity to respond to this, and </w:t>
      </w:r>
      <w:r w:rsidR="00B565D4" w:rsidRPr="00B85186">
        <w:rPr>
          <w:rFonts w:ascii="Arial" w:hAnsi="Arial" w:cs="Arial"/>
          <w:sz w:val="24"/>
          <w:szCs w:val="24"/>
        </w:rPr>
        <w:t>th</w:t>
      </w:r>
      <w:r w:rsidR="00520972">
        <w:rPr>
          <w:rFonts w:ascii="Arial" w:hAnsi="Arial" w:cs="Arial"/>
          <w:sz w:val="24"/>
          <w:szCs w:val="24"/>
        </w:rPr>
        <w:t>eir</w:t>
      </w:r>
      <w:r w:rsidR="00B565D4" w:rsidRPr="00B85186">
        <w:rPr>
          <w:rFonts w:ascii="Arial" w:hAnsi="Arial" w:cs="Arial"/>
          <w:sz w:val="24"/>
          <w:szCs w:val="24"/>
        </w:rPr>
        <w:t xml:space="preserve"> </w:t>
      </w:r>
      <w:r w:rsidR="00520972">
        <w:rPr>
          <w:rFonts w:ascii="Arial" w:hAnsi="Arial" w:cs="Arial"/>
          <w:sz w:val="24"/>
          <w:szCs w:val="24"/>
        </w:rPr>
        <w:t xml:space="preserve">advice </w:t>
      </w:r>
      <w:r w:rsidR="00B565D4" w:rsidRPr="00B85186">
        <w:rPr>
          <w:rFonts w:ascii="Arial" w:hAnsi="Arial" w:cs="Arial"/>
          <w:sz w:val="24"/>
          <w:szCs w:val="24"/>
        </w:rPr>
        <w:t>was also available to the panel</w:t>
      </w:r>
      <w:r w:rsidR="00535CF8">
        <w:rPr>
          <w:rFonts w:ascii="Arial" w:hAnsi="Arial" w:cs="Arial"/>
          <w:sz w:val="24"/>
          <w:szCs w:val="24"/>
        </w:rPr>
        <w:t xml:space="preserve"> and was </w:t>
      </w:r>
      <w:proofErr w:type="gramStart"/>
      <w:r w:rsidR="00535CF8">
        <w:rPr>
          <w:rFonts w:ascii="Arial" w:hAnsi="Arial" w:cs="Arial"/>
          <w:sz w:val="24"/>
          <w:szCs w:val="24"/>
        </w:rPr>
        <w:t>taken into account</w:t>
      </w:r>
      <w:proofErr w:type="gramEnd"/>
      <w:r w:rsidR="00B565D4" w:rsidRPr="00B85186">
        <w:rPr>
          <w:rFonts w:ascii="Arial" w:hAnsi="Arial" w:cs="Arial"/>
          <w:sz w:val="24"/>
          <w:szCs w:val="24"/>
        </w:rPr>
        <w:t xml:space="preserve">.  The panel were aware that </w:t>
      </w:r>
      <w:r w:rsidR="00BB073A" w:rsidRPr="00B85186">
        <w:rPr>
          <w:rFonts w:ascii="Arial" w:hAnsi="Arial" w:cs="Arial"/>
          <w:sz w:val="24"/>
          <w:szCs w:val="24"/>
        </w:rPr>
        <w:t>they may take account of advice and submissions but must apply its own mind to the legal questions raised in the appeal</w:t>
      </w:r>
      <w:r w:rsidR="00107078" w:rsidRPr="00B85186">
        <w:rPr>
          <w:rFonts w:ascii="Arial" w:hAnsi="Arial" w:cs="Arial"/>
          <w:sz w:val="24"/>
          <w:szCs w:val="24"/>
        </w:rPr>
        <w:t xml:space="preserve"> to reach its own decision.  The panel was aware that it should not give additional weight to the advice prepared by their legal advisor.  </w:t>
      </w:r>
    </w:p>
    <w:p w14:paraId="261B97BB" w14:textId="77777777" w:rsidR="009B59C2" w:rsidRPr="00B85186" w:rsidRDefault="009B59C2" w:rsidP="009B59C2">
      <w:pPr>
        <w:pStyle w:val="ListParagraph"/>
        <w:spacing w:after="0" w:line="240" w:lineRule="auto"/>
        <w:ind w:left="360"/>
        <w:rPr>
          <w:rFonts w:ascii="Arial" w:hAnsi="Arial" w:cs="Arial"/>
          <w:sz w:val="24"/>
          <w:szCs w:val="24"/>
        </w:rPr>
      </w:pPr>
    </w:p>
    <w:p w14:paraId="0B98B229" w14:textId="2A920BB6" w:rsidR="00107078" w:rsidRPr="00B85186" w:rsidRDefault="00107078" w:rsidP="009B59C2">
      <w:pPr>
        <w:pStyle w:val="ListParagraph"/>
        <w:numPr>
          <w:ilvl w:val="0"/>
          <w:numId w:val="21"/>
        </w:numPr>
        <w:spacing w:after="0" w:line="240" w:lineRule="auto"/>
        <w:rPr>
          <w:rFonts w:ascii="Arial" w:hAnsi="Arial" w:cs="Arial"/>
          <w:sz w:val="24"/>
          <w:szCs w:val="24"/>
        </w:rPr>
      </w:pPr>
      <w:r w:rsidRPr="00B85186">
        <w:rPr>
          <w:rFonts w:ascii="Arial" w:hAnsi="Arial" w:cs="Arial"/>
          <w:sz w:val="24"/>
          <w:szCs w:val="24"/>
        </w:rPr>
        <w:t>At the hearing, Grant Castle</w:t>
      </w:r>
      <w:r w:rsidR="00F05E57">
        <w:rPr>
          <w:rFonts w:ascii="Arial" w:hAnsi="Arial" w:cs="Arial"/>
          <w:sz w:val="24"/>
          <w:szCs w:val="24"/>
        </w:rPr>
        <w:t xml:space="preserve"> </w:t>
      </w:r>
      <w:r w:rsidRPr="00B85186">
        <w:rPr>
          <w:rFonts w:ascii="Arial" w:hAnsi="Arial" w:cs="Arial"/>
          <w:sz w:val="24"/>
          <w:szCs w:val="24"/>
        </w:rPr>
        <w:t xml:space="preserve">summarised </w:t>
      </w:r>
      <w:r w:rsidR="00F05E57">
        <w:rPr>
          <w:rFonts w:ascii="Arial" w:hAnsi="Arial" w:cs="Arial"/>
          <w:sz w:val="24"/>
          <w:szCs w:val="24"/>
        </w:rPr>
        <w:t xml:space="preserve">MSD’s </w:t>
      </w:r>
      <w:r w:rsidR="003B6F60" w:rsidRPr="00B85186">
        <w:rPr>
          <w:rFonts w:ascii="Arial" w:hAnsi="Arial" w:cs="Arial"/>
          <w:sz w:val="24"/>
          <w:szCs w:val="24"/>
        </w:rPr>
        <w:t xml:space="preserve">position.  He said that there was consensus that Article 2 of the </w:t>
      </w:r>
      <w:r w:rsidR="00E10CED" w:rsidRPr="00B85186">
        <w:rPr>
          <w:rFonts w:ascii="Arial" w:hAnsi="Arial" w:cs="Arial"/>
          <w:sz w:val="24"/>
          <w:szCs w:val="24"/>
        </w:rPr>
        <w:t>European Convention on Human Rights was engage</w:t>
      </w:r>
      <w:r w:rsidR="00A038E5" w:rsidRPr="00B85186">
        <w:rPr>
          <w:rFonts w:ascii="Arial" w:hAnsi="Arial" w:cs="Arial"/>
          <w:sz w:val="24"/>
          <w:szCs w:val="24"/>
        </w:rPr>
        <w:t>d, and that this requires NICE to carry out a fair and rational balancing exercise between the needs of patients affected by the decision</w:t>
      </w:r>
      <w:r w:rsidR="00F31EE9" w:rsidRPr="00B85186">
        <w:rPr>
          <w:rFonts w:ascii="Arial" w:hAnsi="Arial" w:cs="Arial"/>
          <w:sz w:val="24"/>
          <w:szCs w:val="24"/>
        </w:rPr>
        <w:t xml:space="preserve"> and the community at large.  There was also consensus that the appraisal committee benefits from a “margin of appreciat</w:t>
      </w:r>
      <w:r w:rsidR="009A183D">
        <w:rPr>
          <w:rFonts w:ascii="Arial" w:hAnsi="Arial" w:cs="Arial"/>
          <w:sz w:val="24"/>
          <w:szCs w:val="24"/>
        </w:rPr>
        <w:t>ion</w:t>
      </w:r>
      <w:r w:rsidR="00F31EE9" w:rsidRPr="00B85186">
        <w:rPr>
          <w:rFonts w:ascii="Arial" w:hAnsi="Arial" w:cs="Arial"/>
          <w:sz w:val="24"/>
          <w:szCs w:val="24"/>
        </w:rPr>
        <w:t xml:space="preserve">” in conducting this exercise.  </w:t>
      </w:r>
      <w:r w:rsidR="009A183D">
        <w:rPr>
          <w:rFonts w:ascii="Arial" w:hAnsi="Arial" w:cs="Arial"/>
          <w:sz w:val="24"/>
          <w:szCs w:val="24"/>
        </w:rPr>
        <w:t>He went on to argue</w:t>
      </w:r>
      <w:r w:rsidR="005B256A" w:rsidRPr="00B85186">
        <w:rPr>
          <w:rFonts w:ascii="Arial" w:hAnsi="Arial" w:cs="Arial"/>
          <w:sz w:val="24"/>
          <w:szCs w:val="24"/>
        </w:rPr>
        <w:t xml:space="preserve"> that Article 2 requires the committee to take positive measures to preserve life</w:t>
      </w:r>
      <w:r w:rsidR="009B3041" w:rsidRPr="00B85186">
        <w:rPr>
          <w:rFonts w:ascii="Arial" w:hAnsi="Arial" w:cs="Arial"/>
          <w:sz w:val="24"/>
          <w:szCs w:val="24"/>
        </w:rPr>
        <w:t>, yet in this case the committee consistently exercised its discretion in the opposite direction.</w:t>
      </w:r>
      <w:r w:rsidR="00B64CBD" w:rsidRPr="00B85186">
        <w:rPr>
          <w:rFonts w:ascii="Arial" w:hAnsi="Arial" w:cs="Arial"/>
          <w:sz w:val="24"/>
          <w:szCs w:val="24"/>
        </w:rPr>
        <w:t xml:space="preserve">  At every stage, the committee applied a more conservative, negative approach to pembrolizumab compared with atezolizumab (a produc</w:t>
      </w:r>
      <w:r w:rsidR="0085209E">
        <w:rPr>
          <w:rFonts w:ascii="Arial" w:hAnsi="Arial" w:cs="Arial"/>
          <w:sz w:val="24"/>
          <w:szCs w:val="24"/>
        </w:rPr>
        <w:t>t</w:t>
      </w:r>
      <w:r w:rsidR="00B64CBD" w:rsidRPr="00B85186">
        <w:rPr>
          <w:rFonts w:ascii="Arial" w:hAnsi="Arial" w:cs="Arial"/>
          <w:sz w:val="24"/>
          <w:szCs w:val="24"/>
        </w:rPr>
        <w:t xml:space="preserve"> that may not extend life)</w:t>
      </w:r>
      <w:r w:rsidR="00157489" w:rsidRPr="00B85186">
        <w:rPr>
          <w:rFonts w:ascii="Arial" w:hAnsi="Arial" w:cs="Arial"/>
          <w:sz w:val="24"/>
          <w:szCs w:val="24"/>
        </w:rPr>
        <w:t xml:space="preserve">.  </w:t>
      </w:r>
      <w:r w:rsidR="0085209E">
        <w:rPr>
          <w:rFonts w:ascii="Arial" w:hAnsi="Arial" w:cs="Arial"/>
          <w:sz w:val="24"/>
          <w:szCs w:val="24"/>
        </w:rPr>
        <w:t>He said that t</w:t>
      </w:r>
      <w:r w:rsidR="00157489" w:rsidRPr="00B85186">
        <w:rPr>
          <w:rFonts w:ascii="Arial" w:hAnsi="Arial" w:cs="Arial"/>
          <w:sz w:val="24"/>
          <w:szCs w:val="24"/>
        </w:rPr>
        <w:t xml:space="preserve">he company does not expect NICE to take a more indulgent view of the evidence </w:t>
      </w:r>
      <w:r w:rsidR="00B85186" w:rsidRPr="00B85186">
        <w:rPr>
          <w:rFonts w:ascii="Arial" w:hAnsi="Arial" w:cs="Arial"/>
          <w:sz w:val="24"/>
          <w:szCs w:val="24"/>
        </w:rPr>
        <w:t>in</w:t>
      </w:r>
      <w:r w:rsidR="00157489" w:rsidRPr="00B85186">
        <w:rPr>
          <w:rFonts w:ascii="Arial" w:hAnsi="Arial" w:cs="Arial"/>
          <w:sz w:val="24"/>
          <w:szCs w:val="24"/>
        </w:rPr>
        <w:t xml:space="preserve"> this appraisal compared with other</w:t>
      </w:r>
      <w:r w:rsidR="00535CF8">
        <w:rPr>
          <w:rFonts w:ascii="Arial" w:hAnsi="Arial" w:cs="Arial"/>
          <w:sz w:val="24"/>
          <w:szCs w:val="24"/>
        </w:rPr>
        <w:t>s</w:t>
      </w:r>
      <w:r w:rsidR="00157489" w:rsidRPr="00B85186">
        <w:rPr>
          <w:rFonts w:ascii="Arial" w:hAnsi="Arial" w:cs="Arial"/>
          <w:sz w:val="24"/>
          <w:szCs w:val="24"/>
        </w:rPr>
        <w:t xml:space="preserve"> but does expect </w:t>
      </w:r>
      <w:r w:rsidR="00184A72" w:rsidRPr="00B85186">
        <w:rPr>
          <w:rFonts w:ascii="Arial" w:hAnsi="Arial" w:cs="Arial"/>
          <w:sz w:val="24"/>
          <w:szCs w:val="24"/>
        </w:rPr>
        <w:t>a consistent approach.</w:t>
      </w:r>
    </w:p>
    <w:p w14:paraId="7BF77E78" w14:textId="77777777" w:rsidR="00184A72" w:rsidRPr="00184A72" w:rsidRDefault="00184A72" w:rsidP="00184A72">
      <w:pPr>
        <w:pStyle w:val="ListParagraph"/>
        <w:rPr>
          <w:rFonts w:ascii="Arial" w:hAnsi="Arial" w:cs="Arial"/>
          <w:sz w:val="24"/>
          <w:szCs w:val="24"/>
        </w:rPr>
      </w:pPr>
    </w:p>
    <w:p w14:paraId="60BBCEE8" w14:textId="39C84CF5" w:rsidR="00184A72" w:rsidRDefault="00184A72" w:rsidP="009B59C2">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Mr Castle also outlined the company’s position on </w:t>
      </w:r>
      <w:r w:rsidR="00F44CDE">
        <w:rPr>
          <w:rFonts w:ascii="Arial" w:hAnsi="Arial" w:cs="Arial"/>
          <w:sz w:val="24"/>
          <w:szCs w:val="24"/>
        </w:rPr>
        <w:t xml:space="preserve">Article 14 and the </w:t>
      </w:r>
      <w:r w:rsidR="00EA2EA3">
        <w:rPr>
          <w:rFonts w:ascii="Arial" w:hAnsi="Arial" w:cs="Arial"/>
          <w:sz w:val="24"/>
          <w:szCs w:val="24"/>
        </w:rPr>
        <w:t>Equalities</w:t>
      </w:r>
      <w:r w:rsidR="00F44CDE">
        <w:rPr>
          <w:rFonts w:ascii="Arial" w:hAnsi="Arial" w:cs="Arial"/>
          <w:sz w:val="24"/>
          <w:szCs w:val="24"/>
        </w:rPr>
        <w:t xml:space="preserve"> Act</w:t>
      </w:r>
      <w:r w:rsidR="005F4A47">
        <w:rPr>
          <w:rFonts w:ascii="Arial" w:hAnsi="Arial" w:cs="Arial"/>
          <w:sz w:val="24"/>
          <w:szCs w:val="24"/>
        </w:rPr>
        <w:t>,</w:t>
      </w:r>
      <w:r w:rsidR="00E32CAD">
        <w:rPr>
          <w:rFonts w:ascii="Arial" w:hAnsi="Arial" w:cs="Arial"/>
          <w:sz w:val="24"/>
          <w:szCs w:val="24"/>
        </w:rPr>
        <w:t xml:space="preserve"> set out in more details in their appeal letter and </w:t>
      </w:r>
      <w:r w:rsidR="004C4FD5">
        <w:rPr>
          <w:rFonts w:ascii="Arial" w:hAnsi="Arial" w:cs="Arial"/>
          <w:sz w:val="24"/>
          <w:szCs w:val="24"/>
        </w:rPr>
        <w:t>response to the panel’s legal advice.</w:t>
      </w:r>
      <w:r w:rsidR="00EA2EA3">
        <w:rPr>
          <w:rFonts w:ascii="Arial" w:hAnsi="Arial" w:cs="Arial"/>
          <w:sz w:val="24"/>
          <w:szCs w:val="24"/>
        </w:rPr>
        <w:t xml:space="preserve">  </w:t>
      </w:r>
      <w:r w:rsidR="003B59A0">
        <w:rPr>
          <w:rFonts w:ascii="Arial" w:hAnsi="Arial" w:cs="Arial"/>
          <w:sz w:val="24"/>
          <w:szCs w:val="24"/>
        </w:rPr>
        <w:t xml:space="preserve">He stated that there are obvious differences between this appraisal and TA525 </w:t>
      </w:r>
      <w:r w:rsidR="00E10FAB">
        <w:rPr>
          <w:rFonts w:ascii="Arial" w:hAnsi="Arial" w:cs="Arial"/>
          <w:sz w:val="24"/>
          <w:szCs w:val="24"/>
        </w:rPr>
        <w:t>that are manifestly without reasonable foundation.  He argue</w:t>
      </w:r>
      <w:r w:rsidR="004C4FD5">
        <w:rPr>
          <w:rFonts w:ascii="Arial" w:hAnsi="Arial" w:cs="Arial"/>
          <w:sz w:val="24"/>
          <w:szCs w:val="24"/>
        </w:rPr>
        <w:t>d</w:t>
      </w:r>
      <w:r w:rsidR="00E10FAB">
        <w:rPr>
          <w:rFonts w:ascii="Arial" w:hAnsi="Arial" w:cs="Arial"/>
          <w:sz w:val="24"/>
          <w:szCs w:val="24"/>
        </w:rPr>
        <w:t xml:space="preserve"> that this must be discriminatory against patients who would benefit from this treatment compared with others. </w:t>
      </w:r>
    </w:p>
    <w:p w14:paraId="1FFD8A4D" w14:textId="77777777" w:rsidR="008C0112" w:rsidRPr="008C0112" w:rsidRDefault="008C0112" w:rsidP="008C0112">
      <w:pPr>
        <w:pStyle w:val="ListParagraph"/>
        <w:rPr>
          <w:rFonts w:ascii="Arial" w:hAnsi="Arial" w:cs="Arial"/>
          <w:sz w:val="24"/>
          <w:szCs w:val="24"/>
        </w:rPr>
      </w:pPr>
    </w:p>
    <w:p w14:paraId="5CAF74A7" w14:textId="77777777" w:rsidR="008C0112" w:rsidRDefault="008C0112" w:rsidP="009B59C2">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The appraisal committee was given the opportunity to respond to these points at the hearing </w:t>
      </w:r>
      <w:r w:rsidR="00472605">
        <w:rPr>
          <w:rFonts w:ascii="Arial" w:hAnsi="Arial" w:cs="Arial"/>
          <w:sz w:val="24"/>
          <w:szCs w:val="24"/>
        </w:rPr>
        <w:t xml:space="preserve">but did not wish to add anything. </w:t>
      </w:r>
    </w:p>
    <w:p w14:paraId="521B0BD9" w14:textId="77777777" w:rsidR="00472605" w:rsidRPr="00472605" w:rsidRDefault="00472605" w:rsidP="00472605">
      <w:pPr>
        <w:pStyle w:val="ListParagraph"/>
        <w:rPr>
          <w:rFonts w:ascii="Arial" w:hAnsi="Arial" w:cs="Arial"/>
          <w:sz w:val="24"/>
          <w:szCs w:val="24"/>
        </w:rPr>
      </w:pPr>
    </w:p>
    <w:p w14:paraId="72A27439" w14:textId="0B48E2A8" w:rsidR="00107078" w:rsidRDefault="00461C0E" w:rsidP="00B92840">
      <w:pPr>
        <w:pStyle w:val="ListParagraph"/>
        <w:numPr>
          <w:ilvl w:val="0"/>
          <w:numId w:val="21"/>
        </w:numPr>
        <w:spacing w:after="0" w:line="240" w:lineRule="auto"/>
        <w:rPr>
          <w:rFonts w:ascii="Arial" w:hAnsi="Arial" w:cs="Arial"/>
          <w:sz w:val="24"/>
          <w:szCs w:val="24"/>
        </w:rPr>
      </w:pPr>
      <w:r>
        <w:rPr>
          <w:rFonts w:ascii="Arial" w:hAnsi="Arial" w:cs="Arial"/>
          <w:sz w:val="24"/>
          <w:szCs w:val="24"/>
        </w:rPr>
        <w:lastRenderedPageBreak/>
        <w:t xml:space="preserve">The appeal panel concluded that, although Article 2 of the convention was engaged, it did not make a material difference to the approach that would otherwise have to be taken to this decision by NICE. </w:t>
      </w:r>
      <w:r w:rsidR="003F2229">
        <w:rPr>
          <w:rFonts w:ascii="Arial" w:hAnsi="Arial" w:cs="Arial"/>
          <w:sz w:val="24"/>
          <w:szCs w:val="24"/>
        </w:rPr>
        <w:t xml:space="preserve">The panel </w:t>
      </w:r>
      <w:r w:rsidR="00210199">
        <w:rPr>
          <w:rFonts w:ascii="Arial" w:hAnsi="Arial" w:cs="Arial"/>
          <w:sz w:val="24"/>
          <w:szCs w:val="24"/>
        </w:rPr>
        <w:t xml:space="preserve">judged that </w:t>
      </w:r>
      <w:proofErr w:type="gramStart"/>
      <w:r w:rsidR="00210199">
        <w:rPr>
          <w:rFonts w:ascii="Arial" w:hAnsi="Arial" w:cs="Arial"/>
          <w:sz w:val="24"/>
          <w:szCs w:val="24"/>
        </w:rPr>
        <w:t>all of</w:t>
      </w:r>
      <w:proofErr w:type="gramEnd"/>
      <w:r w:rsidR="00210199">
        <w:rPr>
          <w:rFonts w:ascii="Arial" w:hAnsi="Arial" w:cs="Arial"/>
          <w:sz w:val="24"/>
          <w:szCs w:val="24"/>
        </w:rPr>
        <w:t xml:space="preserve"> NICE’s processes are directed towards </w:t>
      </w:r>
      <w:r w:rsidR="00210199" w:rsidRPr="00B85186">
        <w:rPr>
          <w:rFonts w:ascii="Arial" w:hAnsi="Arial" w:cs="Arial"/>
          <w:sz w:val="24"/>
          <w:szCs w:val="24"/>
        </w:rPr>
        <w:t>carry</w:t>
      </w:r>
      <w:r w:rsidR="00210199">
        <w:rPr>
          <w:rFonts w:ascii="Arial" w:hAnsi="Arial" w:cs="Arial"/>
          <w:sz w:val="24"/>
          <w:szCs w:val="24"/>
        </w:rPr>
        <w:t>ing</w:t>
      </w:r>
      <w:r w:rsidR="00210199" w:rsidRPr="00B85186">
        <w:rPr>
          <w:rFonts w:ascii="Arial" w:hAnsi="Arial" w:cs="Arial"/>
          <w:sz w:val="24"/>
          <w:szCs w:val="24"/>
        </w:rPr>
        <w:t xml:space="preserve"> out a fair and rational balancing exercise between the needs of patients affected by the decision and the community at large</w:t>
      </w:r>
      <w:r w:rsidR="00ED2968">
        <w:rPr>
          <w:rFonts w:ascii="Arial" w:hAnsi="Arial" w:cs="Arial"/>
          <w:sz w:val="24"/>
          <w:szCs w:val="24"/>
        </w:rPr>
        <w:t>.</w:t>
      </w:r>
      <w:r w:rsidR="00091FF5">
        <w:rPr>
          <w:rFonts w:ascii="Arial" w:hAnsi="Arial" w:cs="Arial"/>
          <w:sz w:val="24"/>
          <w:szCs w:val="24"/>
        </w:rPr>
        <w:t xml:space="preserve">  It did not accept the company’s argument that </w:t>
      </w:r>
      <w:r w:rsidR="00C848C4">
        <w:rPr>
          <w:rFonts w:ascii="Arial" w:hAnsi="Arial" w:cs="Arial"/>
          <w:sz w:val="24"/>
          <w:szCs w:val="24"/>
        </w:rPr>
        <w:t>life-extending products should necessarily always be given “the benefit of the doubt”</w:t>
      </w:r>
      <w:r w:rsidR="00851703">
        <w:rPr>
          <w:rFonts w:ascii="Arial" w:hAnsi="Arial" w:cs="Arial"/>
          <w:sz w:val="24"/>
          <w:szCs w:val="24"/>
        </w:rPr>
        <w:t xml:space="preserve"> (although some NICE processes like the End of Life criteria </w:t>
      </w:r>
      <w:r w:rsidR="00DC1A8A">
        <w:rPr>
          <w:rFonts w:ascii="Arial" w:hAnsi="Arial" w:cs="Arial"/>
          <w:sz w:val="24"/>
          <w:szCs w:val="24"/>
        </w:rPr>
        <w:t>do indeed do this)</w:t>
      </w:r>
      <w:r w:rsidR="00F04A29">
        <w:rPr>
          <w:rFonts w:ascii="Arial" w:hAnsi="Arial" w:cs="Arial"/>
          <w:sz w:val="24"/>
          <w:szCs w:val="24"/>
        </w:rPr>
        <w:t xml:space="preserve"> or should be subject to special processes or </w:t>
      </w:r>
      <w:r w:rsidR="00757AF3">
        <w:rPr>
          <w:rFonts w:ascii="Arial" w:hAnsi="Arial" w:cs="Arial"/>
          <w:sz w:val="24"/>
          <w:szCs w:val="24"/>
        </w:rPr>
        <w:t>considerations</w:t>
      </w:r>
      <w:r w:rsidR="00F04A29">
        <w:rPr>
          <w:rFonts w:ascii="Arial" w:hAnsi="Arial" w:cs="Arial"/>
          <w:sz w:val="24"/>
          <w:szCs w:val="24"/>
        </w:rPr>
        <w:t xml:space="preserve"> over and above those provided for in NICE’s published </w:t>
      </w:r>
      <w:r w:rsidR="00757AF3">
        <w:rPr>
          <w:rFonts w:ascii="Arial" w:hAnsi="Arial" w:cs="Arial"/>
          <w:sz w:val="24"/>
          <w:szCs w:val="24"/>
        </w:rPr>
        <w:t>procedures</w:t>
      </w:r>
      <w:r w:rsidR="00DC1A8A">
        <w:rPr>
          <w:rFonts w:ascii="Arial" w:hAnsi="Arial" w:cs="Arial"/>
          <w:sz w:val="24"/>
          <w:szCs w:val="24"/>
        </w:rPr>
        <w:t xml:space="preserve">.  The panel judged that standard NICE processes, applied fairly and reasonably, </w:t>
      </w:r>
      <w:r w:rsidR="003F0091">
        <w:rPr>
          <w:rFonts w:ascii="Arial" w:hAnsi="Arial" w:cs="Arial"/>
          <w:sz w:val="24"/>
          <w:szCs w:val="24"/>
        </w:rPr>
        <w:t xml:space="preserve">constitute </w:t>
      </w:r>
      <w:r w:rsidR="00535CF8">
        <w:rPr>
          <w:rFonts w:ascii="Arial" w:hAnsi="Arial" w:cs="Arial"/>
          <w:sz w:val="24"/>
          <w:szCs w:val="24"/>
        </w:rPr>
        <w:t xml:space="preserve">the necessary </w:t>
      </w:r>
      <w:r w:rsidR="003F0091">
        <w:rPr>
          <w:rFonts w:ascii="Arial" w:hAnsi="Arial" w:cs="Arial"/>
          <w:sz w:val="24"/>
          <w:szCs w:val="24"/>
        </w:rPr>
        <w:t xml:space="preserve">positive measures to </w:t>
      </w:r>
      <w:r w:rsidR="00535CF8">
        <w:rPr>
          <w:rFonts w:ascii="Arial" w:hAnsi="Arial" w:cs="Arial"/>
          <w:sz w:val="24"/>
          <w:szCs w:val="24"/>
        </w:rPr>
        <w:t xml:space="preserve">seek to </w:t>
      </w:r>
      <w:r w:rsidR="003F0091">
        <w:rPr>
          <w:rFonts w:ascii="Arial" w:hAnsi="Arial" w:cs="Arial"/>
          <w:sz w:val="24"/>
          <w:szCs w:val="24"/>
        </w:rPr>
        <w:t xml:space="preserve">preserve life.  </w:t>
      </w:r>
      <w:r w:rsidR="00923936">
        <w:rPr>
          <w:rFonts w:ascii="Arial" w:hAnsi="Arial" w:cs="Arial"/>
          <w:sz w:val="24"/>
          <w:szCs w:val="24"/>
        </w:rPr>
        <w:t xml:space="preserve">The panel did not agree with the company that in this appraisal the committee had always taken the most conservative approach by default.  </w:t>
      </w:r>
      <w:r w:rsidR="002733D9">
        <w:rPr>
          <w:rFonts w:ascii="Arial" w:hAnsi="Arial" w:cs="Arial"/>
          <w:sz w:val="24"/>
          <w:szCs w:val="24"/>
        </w:rPr>
        <w:t xml:space="preserve">The committee had considered a range of approaches throughout the appraisal and </w:t>
      </w:r>
      <w:r w:rsidR="00FC2D23">
        <w:rPr>
          <w:rFonts w:ascii="Arial" w:hAnsi="Arial" w:cs="Arial"/>
          <w:sz w:val="24"/>
          <w:szCs w:val="24"/>
        </w:rPr>
        <w:t xml:space="preserve">weighed up various sources of evidence to reach its decision.  </w:t>
      </w:r>
    </w:p>
    <w:p w14:paraId="5D519A3A" w14:textId="77777777" w:rsidR="00B92840" w:rsidRPr="00B92840" w:rsidRDefault="00B92840" w:rsidP="00B92840">
      <w:pPr>
        <w:pStyle w:val="ListParagraph"/>
        <w:rPr>
          <w:rFonts w:ascii="Arial" w:hAnsi="Arial" w:cs="Arial"/>
          <w:sz w:val="24"/>
          <w:szCs w:val="24"/>
        </w:rPr>
      </w:pPr>
    </w:p>
    <w:p w14:paraId="1E969616" w14:textId="60D717A8" w:rsidR="00B647F0" w:rsidRPr="00B647F0" w:rsidRDefault="00B92840" w:rsidP="00F04A29">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The appeal panel also understood that Article 14 of the convention </w:t>
      </w:r>
      <w:r w:rsidR="00270536">
        <w:rPr>
          <w:rFonts w:ascii="Arial" w:hAnsi="Arial" w:cs="Arial"/>
          <w:sz w:val="24"/>
          <w:szCs w:val="24"/>
        </w:rPr>
        <w:t xml:space="preserve">requires that the enjoyment of the other rights shall be secured without </w:t>
      </w:r>
      <w:r w:rsidR="00653226">
        <w:rPr>
          <w:rFonts w:ascii="Arial" w:hAnsi="Arial" w:cs="Arial"/>
          <w:sz w:val="24"/>
          <w:szCs w:val="24"/>
        </w:rPr>
        <w:t>discrimination</w:t>
      </w:r>
      <w:r w:rsidR="00270536">
        <w:rPr>
          <w:rFonts w:ascii="Arial" w:hAnsi="Arial" w:cs="Arial"/>
          <w:sz w:val="24"/>
          <w:szCs w:val="24"/>
        </w:rPr>
        <w:t xml:space="preserve"> on any ground.  </w:t>
      </w:r>
      <w:r w:rsidR="00F04A29">
        <w:rPr>
          <w:rFonts w:ascii="Arial" w:hAnsi="Arial" w:cs="Arial"/>
          <w:sz w:val="24"/>
          <w:szCs w:val="24"/>
        </w:rPr>
        <w:t xml:space="preserve">The panel accepted that patients with </w:t>
      </w:r>
      <w:r w:rsidR="00F04A29" w:rsidRPr="00F04A29">
        <w:rPr>
          <w:rFonts w:ascii="Arial" w:hAnsi="Arial" w:cs="Arial"/>
          <w:sz w:val="24"/>
          <w:szCs w:val="24"/>
        </w:rPr>
        <w:t xml:space="preserve">locally advanced or metastatic urothelial </w:t>
      </w:r>
      <w:r w:rsidR="00F04A29">
        <w:rPr>
          <w:rFonts w:ascii="Arial" w:hAnsi="Arial" w:cs="Arial"/>
          <w:sz w:val="24"/>
          <w:szCs w:val="24"/>
        </w:rPr>
        <w:t>cancer could have a distinct “status” capable of protection under Art</w:t>
      </w:r>
      <w:r w:rsidR="001C169D">
        <w:rPr>
          <w:rFonts w:ascii="Arial" w:hAnsi="Arial" w:cs="Arial"/>
          <w:sz w:val="24"/>
          <w:szCs w:val="24"/>
        </w:rPr>
        <w:t>icle</w:t>
      </w:r>
      <w:r w:rsidR="00F04A29">
        <w:rPr>
          <w:rFonts w:ascii="Arial" w:hAnsi="Arial" w:cs="Arial"/>
          <w:sz w:val="24"/>
          <w:szCs w:val="24"/>
        </w:rPr>
        <w:t xml:space="preserve"> 14.  </w:t>
      </w:r>
      <w:r w:rsidR="00270536">
        <w:rPr>
          <w:rFonts w:ascii="Arial" w:hAnsi="Arial" w:cs="Arial"/>
          <w:sz w:val="24"/>
          <w:szCs w:val="24"/>
        </w:rPr>
        <w:t xml:space="preserve">Although the appeal panel has judged that specific aspects of this appraisal were indeed unfair or unreasonable, the panel concluded that it did not add anything to see this as discriminatory.  Any </w:t>
      </w:r>
      <w:r w:rsidR="00F04A29">
        <w:rPr>
          <w:rFonts w:ascii="Arial" w:hAnsi="Arial" w:cs="Arial"/>
          <w:sz w:val="24"/>
          <w:szCs w:val="24"/>
        </w:rPr>
        <w:t xml:space="preserve">unfavourable treatment </w:t>
      </w:r>
      <w:r w:rsidR="00270536">
        <w:rPr>
          <w:rFonts w:ascii="Arial" w:hAnsi="Arial" w:cs="Arial"/>
          <w:sz w:val="24"/>
          <w:szCs w:val="24"/>
        </w:rPr>
        <w:t xml:space="preserve">has arisen </w:t>
      </w:r>
      <w:proofErr w:type="gramStart"/>
      <w:r w:rsidR="00270536" w:rsidRPr="00B67AD0">
        <w:rPr>
          <w:rFonts w:ascii="Arial" w:hAnsi="Arial" w:cs="Arial"/>
          <w:sz w:val="24"/>
          <w:szCs w:val="24"/>
        </w:rPr>
        <w:t xml:space="preserve">as a consequence </w:t>
      </w:r>
      <w:r w:rsidR="00270536">
        <w:rPr>
          <w:rFonts w:ascii="Arial" w:hAnsi="Arial" w:cs="Arial"/>
          <w:sz w:val="24"/>
          <w:szCs w:val="24"/>
        </w:rPr>
        <w:t>of</w:t>
      </w:r>
      <w:proofErr w:type="gramEnd"/>
      <w:r w:rsidR="00270536">
        <w:rPr>
          <w:rFonts w:ascii="Arial" w:hAnsi="Arial" w:cs="Arial"/>
          <w:sz w:val="24"/>
          <w:szCs w:val="24"/>
        </w:rPr>
        <w:t xml:space="preserve"> the </w:t>
      </w:r>
      <w:r w:rsidR="00F04A29">
        <w:rPr>
          <w:rFonts w:ascii="Arial" w:hAnsi="Arial" w:cs="Arial"/>
          <w:sz w:val="24"/>
          <w:szCs w:val="24"/>
        </w:rPr>
        <w:t xml:space="preserve">otherwise </w:t>
      </w:r>
      <w:r w:rsidR="00270536">
        <w:rPr>
          <w:rFonts w:ascii="Arial" w:hAnsi="Arial" w:cs="Arial"/>
          <w:sz w:val="24"/>
          <w:szCs w:val="24"/>
        </w:rPr>
        <w:t>unfair and/or unreasonable decision, rather than</w:t>
      </w:r>
      <w:r w:rsidR="00F04A29">
        <w:rPr>
          <w:rFonts w:ascii="Arial" w:hAnsi="Arial" w:cs="Arial"/>
          <w:sz w:val="24"/>
          <w:szCs w:val="24"/>
        </w:rPr>
        <w:t xml:space="preserve"> as a consequence of or in connection with any particular status.  Therefore it would not be correct to hold that discrimination was</w:t>
      </w:r>
      <w:r w:rsidR="00270536">
        <w:rPr>
          <w:rFonts w:ascii="Arial" w:hAnsi="Arial" w:cs="Arial"/>
          <w:sz w:val="24"/>
          <w:szCs w:val="24"/>
        </w:rPr>
        <w:t xml:space="preserve"> </w:t>
      </w:r>
      <w:r w:rsidR="00E85C2D">
        <w:rPr>
          <w:rFonts w:ascii="Arial" w:hAnsi="Arial" w:cs="Arial"/>
          <w:sz w:val="24"/>
          <w:szCs w:val="24"/>
        </w:rPr>
        <w:t xml:space="preserve">a cause </w:t>
      </w:r>
      <w:r w:rsidR="00EE7EBE">
        <w:rPr>
          <w:rFonts w:ascii="Arial" w:hAnsi="Arial" w:cs="Arial"/>
          <w:sz w:val="24"/>
          <w:szCs w:val="24"/>
        </w:rPr>
        <w:t xml:space="preserve">of </w:t>
      </w:r>
      <w:r w:rsidR="00F04A29">
        <w:rPr>
          <w:rFonts w:ascii="Arial" w:hAnsi="Arial" w:cs="Arial"/>
          <w:sz w:val="24"/>
          <w:szCs w:val="24"/>
        </w:rPr>
        <w:t xml:space="preserve">any </w:t>
      </w:r>
      <w:r w:rsidR="00EE7EBE">
        <w:rPr>
          <w:rFonts w:ascii="Arial" w:hAnsi="Arial" w:cs="Arial"/>
          <w:sz w:val="24"/>
          <w:szCs w:val="24"/>
        </w:rPr>
        <w:t>illegality</w:t>
      </w:r>
      <w:r w:rsidR="00F04A29">
        <w:rPr>
          <w:rFonts w:ascii="Arial" w:hAnsi="Arial" w:cs="Arial"/>
          <w:sz w:val="24"/>
          <w:szCs w:val="24"/>
        </w:rPr>
        <w:t xml:space="preserve"> or that the decision was discriminatory</w:t>
      </w:r>
      <w:r w:rsidR="00EE7EBE">
        <w:rPr>
          <w:rFonts w:ascii="Arial" w:hAnsi="Arial" w:cs="Arial"/>
          <w:sz w:val="24"/>
          <w:szCs w:val="24"/>
        </w:rPr>
        <w:t xml:space="preserve">. </w:t>
      </w:r>
    </w:p>
    <w:p w14:paraId="12089CDE" w14:textId="77777777" w:rsidR="00B647F0" w:rsidRPr="00B92840" w:rsidRDefault="00B647F0" w:rsidP="00B647F0">
      <w:pPr>
        <w:pStyle w:val="ListParagraph"/>
        <w:spacing w:after="0" w:line="240" w:lineRule="auto"/>
        <w:ind w:left="360"/>
        <w:rPr>
          <w:rFonts w:ascii="Arial" w:hAnsi="Arial" w:cs="Arial"/>
          <w:sz w:val="24"/>
          <w:szCs w:val="24"/>
        </w:rPr>
      </w:pPr>
    </w:p>
    <w:p w14:paraId="6F76A013" w14:textId="10753D7F" w:rsidR="009162EB" w:rsidRPr="00043FD9" w:rsidRDefault="00BB2EFE" w:rsidP="009B59C2">
      <w:pPr>
        <w:pStyle w:val="ListParagraph"/>
        <w:numPr>
          <w:ilvl w:val="0"/>
          <w:numId w:val="21"/>
        </w:numPr>
        <w:spacing w:after="0" w:line="240" w:lineRule="auto"/>
        <w:rPr>
          <w:rFonts w:ascii="Arial" w:hAnsi="Arial" w:cs="Arial"/>
          <w:sz w:val="24"/>
          <w:szCs w:val="24"/>
        </w:rPr>
      </w:pPr>
      <w:proofErr w:type="gramStart"/>
      <w:r w:rsidRPr="00043FD9">
        <w:rPr>
          <w:rFonts w:ascii="Arial" w:hAnsi="Arial" w:cs="Arial"/>
          <w:sz w:val="24"/>
          <w:szCs w:val="24"/>
        </w:rPr>
        <w:t>With regard to</w:t>
      </w:r>
      <w:proofErr w:type="gramEnd"/>
      <w:r w:rsidRPr="00043FD9">
        <w:rPr>
          <w:rFonts w:ascii="Arial" w:hAnsi="Arial" w:cs="Arial"/>
          <w:sz w:val="24"/>
          <w:szCs w:val="24"/>
        </w:rPr>
        <w:t xml:space="preserve"> the public sector equality duty, </w:t>
      </w:r>
      <w:r w:rsidR="00F04A29">
        <w:rPr>
          <w:rFonts w:ascii="Arial" w:hAnsi="Arial" w:cs="Arial"/>
          <w:sz w:val="24"/>
          <w:szCs w:val="24"/>
        </w:rPr>
        <w:t xml:space="preserve">again </w:t>
      </w:r>
      <w:r w:rsidR="00840147" w:rsidRPr="00043FD9">
        <w:rPr>
          <w:rFonts w:ascii="Arial" w:hAnsi="Arial" w:cs="Arial"/>
          <w:sz w:val="24"/>
          <w:szCs w:val="24"/>
        </w:rPr>
        <w:t xml:space="preserve">the panel judged that standard NICE processes, applied fairly and reasonably, </w:t>
      </w:r>
      <w:r w:rsidR="000B300A" w:rsidRPr="00043FD9">
        <w:rPr>
          <w:rFonts w:ascii="Arial" w:hAnsi="Arial" w:cs="Arial"/>
          <w:sz w:val="24"/>
          <w:szCs w:val="24"/>
        </w:rPr>
        <w:t xml:space="preserve">show due regard to the elimination of discrimination and the </w:t>
      </w:r>
      <w:r w:rsidR="00F839BA" w:rsidRPr="00043FD9">
        <w:rPr>
          <w:rFonts w:ascii="Arial" w:hAnsi="Arial" w:cs="Arial"/>
          <w:sz w:val="24"/>
          <w:szCs w:val="24"/>
        </w:rPr>
        <w:t xml:space="preserve">advancement of equality of opportunity in most cases.  </w:t>
      </w:r>
      <w:r w:rsidR="00F04A29">
        <w:rPr>
          <w:rFonts w:ascii="Arial" w:hAnsi="Arial" w:cs="Arial"/>
          <w:sz w:val="24"/>
          <w:szCs w:val="24"/>
        </w:rPr>
        <w:t xml:space="preserve">Opportunities to raise equality issues are given during the appraisal process </w:t>
      </w:r>
      <w:r w:rsidR="00A17A15">
        <w:rPr>
          <w:rFonts w:ascii="Arial" w:hAnsi="Arial" w:cs="Arial"/>
          <w:sz w:val="24"/>
          <w:szCs w:val="24"/>
        </w:rPr>
        <w:t xml:space="preserve">and the FAD specifically notes that no equality issues were identified.  </w:t>
      </w:r>
      <w:r w:rsidR="00F839BA" w:rsidRPr="00043FD9">
        <w:rPr>
          <w:rFonts w:ascii="Arial" w:hAnsi="Arial" w:cs="Arial"/>
          <w:sz w:val="24"/>
          <w:szCs w:val="24"/>
        </w:rPr>
        <w:t xml:space="preserve">There may be </w:t>
      </w:r>
      <w:proofErr w:type="gramStart"/>
      <w:r w:rsidR="00F839BA" w:rsidRPr="00043FD9">
        <w:rPr>
          <w:rFonts w:ascii="Arial" w:hAnsi="Arial" w:cs="Arial"/>
          <w:sz w:val="24"/>
          <w:szCs w:val="24"/>
        </w:rPr>
        <w:t>particular circumstances</w:t>
      </w:r>
      <w:proofErr w:type="gramEnd"/>
      <w:r w:rsidR="00F839BA" w:rsidRPr="00043FD9">
        <w:rPr>
          <w:rFonts w:ascii="Arial" w:hAnsi="Arial" w:cs="Arial"/>
          <w:sz w:val="24"/>
          <w:szCs w:val="24"/>
        </w:rPr>
        <w:t xml:space="preserve"> where</w:t>
      </w:r>
      <w:r w:rsidR="00EE7EBE" w:rsidRPr="00043FD9">
        <w:rPr>
          <w:rFonts w:ascii="Arial" w:hAnsi="Arial" w:cs="Arial"/>
          <w:sz w:val="24"/>
          <w:szCs w:val="24"/>
        </w:rPr>
        <w:t xml:space="preserve"> NICE </w:t>
      </w:r>
      <w:r w:rsidR="009162EB" w:rsidRPr="00043FD9">
        <w:rPr>
          <w:rFonts w:ascii="Arial" w:hAnsi="Arial" w:cs="Arial"/>
          <w:sz w:val="24"/>
          <w:szCs w:val="24"/>
        </w:rPr>
        <w:t>does need</w:t>
      </w:r>
      <w:r w:rsidR="00EE7EBE" w:rsidRPr="00043FD9">
        <w:rPr>
          <w:rFonts w:ascii="Arial" w:hAnsi="Arial" w:cs="Arial"/>
          <w:sz w:val="24"/>
          <w:szCs w:val="24"/>
        </w:rPr>
        <w:t xml:space="preserve"> to adjust its processes to take account </w:t>
      </w:r>
      <w:r w:rsidR="009162EB" w:rsidRPr="00043FD9">
        <w:rPr>
          <w:rFonts w:ascii="Arial" w:hAnsi="Arial" w:cs="Arial"/>
          <w:sz w:val="24"/>
          <w:szCs w:val="24"/>
        </w:rPr>
        <w:t xml:space="preserve">of </w:t>
      </w:r>
      <w:r w:rsidR="00ED29E2" w:rsidRPr="00043FD9">
        <w:rPr>
          <w:rFonts w:ascii="Arial" w:hAnsi="Arial" w:cs="Arial"/>
          <w:sz w:val="24"/>
          <w:szCs w:val="24"/>
        </w:rPr>
        <w:t xml:space="preserve">the needs of </w:t>
      </w:r>
      <w:r w:rsidR="009162EB" w:rsidRPr="00043FD9">
        <w:rPr>
          <w:rFonts w:ascii="Arial" w:hAnsi="Arial" w:cs="Arial"/>
          <w:sz w:val="24"/>
          <w:szCs w:val="24"/>
        </w:rPr>
        <w:t>a group with a protected characteristic</w:t>
      </w:r>
      <w:r w:rsidR="00F04A29">
        <w:rPr>
          <w:rFonts w:ascii="Arial" w:hAnsi="Arial" w:cs="Arial"/>
          <w:sz w:val="24"/>
          <w:szCs w:val="24"/>
        </w:rPr>
        <w:t>, but that did not apply here</w:t>
      </w:r>
      <w:r w:rsidR="009162EB" w:rsidRPr="00043FD9">
        <w:rPr>
          <w:rFonts w:ascii="Arial" w:hAnsi="Arial" w:cs="Arial"/>
          <w:sz w:val="24"/>
          <w:szCs w:val="24"/>
        </w:rPr>
        <w:t xml:space="preserve">.  </w:t>
      </w:r>
      <w:r w:rsidR="00F04A29">
        <w:rPr>
          <w:rFonts w:ascii="Arial" w:hAnsi="Arial" w:cs="Arial"/>
          <w:sz w:val="24"/>
          <w:szCs w:val="24"/>
        </w:rPr>
        <w:t>T</w:t>
      </w:r>
      <w:r w:rsidR="00EE5923" w:rsidRPr="00043FD9">
        <w:rPr>
          <w:rFonts w:ascii="Arial" w:hAnsi="Arial" w:cs="Arial"/>
          <w:sz w:val="24"/>
          <w:szCs w:val="24"/>
        </w:rPr>
        <w:t xml:space="preserve">he panel concluded that the fact that a group of patients disproportionately includes older people and people </w:t>
      </w:r>
      <w:r w:rsidR="00F04A29">
        <w:rPr>
          <w:rFonts w:ascii="Arial" w:hAnsi="Arial" w:cs="Arial"/>
          <w:sz w:val="24"/>
          <w:szCs w:val="24"/>
        </w:rPr>
        <w:t xml:space="preserve">with disabilities </w:t>
      </w:r>
      <w:r w:rsidR="00EE5923" w:rsidRPr="00043FD9">
        <w:rPr>
          <w:rFonts w:ascii="Arial" w:hAnsi="Arial" w:cs="Arial"/>
          <w:sz w:val="24"/>
          <w:szCs w:val="24"/>
        </w:rPr>
        <w:t xml:space="preserve">is not in </w:t>
      </w:r>
      <w:r w:rsidR="0023190E" w:rsidRPr="00043FD9">
        <w:rPr>
          <w:rFonts w:ascii="Arial" w:hAnsi="Arial" w:cs="Arial"/>
          <w:sz w:val="24"/>
          <w:szCs w:val="24"/>
        </w:rPr>
        <w:t>itself a reason to deviate from standard processes (as this probably appl</w:t>
      </w:r>
      <w:r w:rsidR="00ED29E2" w:rsidRPr="00043FD9">
        <w:rPr>
          <w:rFonts w:ascii="Arial" w:hAnsi="Arial" w:cs="Arial"/>
          <w:sz w:val="24"/>
          <w:szCs w:val="24"/>
        </w:rPr>
        <w:t>i</w:t>
      </w:r>
      <w:r w:rsidR="0023190E" w:rsidRPr="00043FD9">
        <w:rPr>
          <w:rFonts w:ascii="Arial" w:hAnsi="Arial" w:cs="Arial"/>
          <w:sz w:val="24"/>
          <w:szCs w:val="24"/>
        </w:rPr>
        <w:t xml:space="preserve">es in </w:t>
      </w:r>
      <w:proofErr w:type="gramStart"/>
      <w:r w:rsidR="0023190E" w:rsidRPr="00043FD9">
        <w:rPr>
          <w:rFonts w:ascii="Arial" w:hAnsi="Arial" w:cs="Arial"/>
          <w:sz w:val="24"/>
          <w:szCs w:val="24"/>
        </w:rPr>
        <w:t>the majority of</w:t>
      </w:r>
      <w:proofErr w:type="gramEnd"/>
      <w:r w:rsidR="0023190E" w:rsidRPr="00043FD9">
        <w:rPr>
          <w:rFonts w:ascii="Arial" w:hAnsi="Arial" w:cs="Arial"/>
          <w:sz w:val="24"/>
          <w:szCs w:val="24"/>
        </w:rPr>
        <w:t xml:space="preserve"> NICE appraisals).  In this particular appraisal, </w:t>
      </w:r>
      <w:r w:rsidR="00ED29E2" w:rsidRPr="00043FD9">
        <w:rPr>
          <w:rFonts w:ascii="Arial" w:hAnsi="Arial" w:cs="Arial"/>
          <w:sz w:val="24"/>
          <w:szCs w:val="24"/>
        </w:rPr>
        <w:t>the appeal panel could not identify any specific equality issues that</w:t>
      </w:r>
      <w:r w:rsidR="00C556A4" w:rsidRPr="00043FD9">
        <w:rPr>
          <w:rFonts w:ascii="Arial" w:hAnsi="Arial" w:cs="Arial"/>
          <w:sz w:val="24"/>
          <w:szCs w:val="24"/>
        </w:rPr>
        <w:t xml:space="preserve"> arose during the appraisal </w:t>
      </w:r>
      <w:r w:rsidR="00B37FBB" w:rsidRPr="00043FD9">
        <w:rPr>
          <w:rFonts w:ascii="Arial" w:hAnsi="Arial" w:cs="Arial"/>
          <w:sz w:val="24"/>
          <w:szCs w:val="24"/>
        </w:rPr>
        <w:t>and the patient group were not unusually defined by a protected characteristic</w:t>
      </w:r>
      <w:r w:rsidR="00F04A29">
        <w:rPr>
          <w:rFonts w:ascii="Arial" w:hAnsi="Arial" w:cs="Arial"/>
          <w:sz w:val="24"/>
          <w:szCs w:val="24"/>
        </w:rPr>
        <w:t xml:space="preserve"> other than, of course, the disability caused by their disease itself, which the committee plainly took into account</w:t>
      </w:r>
      <w:r w:rsidR="00043FD9" w:rsidRPr="00043FD9">
        <w:rPr>
          <w:rFonts w:ascii="Arial" w:hAnsi="Arial" w:cs="Arial"/>
          <w:sz w:val="24"/>
          <w:szCs w:val="24"/>
        </w:rPr>
        <w:t>.</w:t>
      </w:r>
    </w:p>
    <w:p w14:paraId="34E7F848" w14:textId="77777777" w:rsidR="00B37FBB" w:rsidRPr="00DB0893" w:rsidRDefault="00B37FBB" w:rsidP="00DB0893">
      <w:pPr>
        <w:spacing w:after="0" w:line="240" w:lineRule="auto"/>
        <w:rPr>
          <w:rFonts w:ascii="Arial" w:hAnsi="Arial" w:cs="Arial"/>
          <w:sz w:val="24"/>
          <w:szCs w:val="24"/>
        </w:rPr>
      </w:pPr>
    </w:p>
    <w:p w14:paraId="422CB3E7" w14:textId="3FD803AF" w:rsidR="009162EB" w:rsidRPr="005F4A47" w:rsidRDefault="00DB0893" w:rsidP="00A17A15">
      <w:pPr>
        <w:pStyle w:val="ListParagraph"/>
        <w:numPr>
          <w:ilvl w:val="0"/>
          <w:numId w:val="21"/>
        </w:numPr>
        <w:spacing w:after="0" w:line="240" w:lineRule="auto"/>
        <w:rPr>
          <w:rFonts w:ascii="Arial" w:hAnsi="Arial" w:cs="Arial"/>
          <w:sz w:val="24"/>
          <w:szCs w:val="24"/>
        </w:rPr>
      </w:pPr>
      <w:r>
        <w:rPr>
          <w:rFonts w:ascii="Arial" w:hAnsi="Arial" w:cs="Arial"/>
          <w:sz w:val="24"/>
          <w:szCs w:val="24"/>
        </w:rPr>
        <w:t>The panel also considered MSD</w:t>
      </w:r>
      <w:r w:rsidR="001B0026">
        <w:rPr>
          <w:rFonts w:ascii="Arial" w:hAnsi="Arial" w:cs="Arial"/>
          <w:sz w:val="24"/>
          <w:szCs w:val="24"/>
        </w:rPr>
        <w:t>’</w:t>
      </w:r>
      <w:r>
        <w:rPr>
          <w:rFonts w:ascii="Arial" w:hAnsi="Arial" w:cs="Arial"/>
          <w:sz w:val="24"/>
          <w:szCs w:val="24"/>
        </w:rPr>
        <w:t xml:space="preserve">s argument concerning section 29(6) of the </w:t>
      </w:r>
      <w:r w:rsidR="00043FD9">
        <w:rPr>
          <w:rFonts w:ascii="Arial" w:hAnsi="Arial" w:cs="Arial"/>
          <w:sz w:val="24"/>
          <w:szCs w:val="24"/>
        </w:rPr>
        <w:t xml:space="preserve">Equality Act.  </w:t>
      </w:r>
      <w:r w:rsidR="00417EDC">
        <w:rPr>
          <w:rFonts w:ascii="Arial" w:hAnsi="Arial" w:cs="Arial"/>
          <w:sz w:val="24"/>
          <w:szCs w:val="24"/>
        </w:rPr>
        <w:t xml:space="preserve">They contend that </w:t>
      </w:r>
      <w:r w:rsidR="003B4A63">
        <w:rPr>
          <w:rFonts w:ascii="Arial" w:hAnsi="Arial" w:cs="Arial"/>
          <w:sz w:val="24"/>
          <w:szCs w:val="24"/>
        </w:rPr>
        <w:t xml:space="preserve">indirect discrimination could arise from </w:t>
      </w:r>
      <w:r w:rsidR="00561B53">
        <w:rPr>
          <w:rFonts w:ascii="Arial" w:hAnsi="Arial" w:cs="Arial"/>
          <w:sz w:val="24"/>
          <w:szCs w:val="24"/>
        </w:rPr>
        <w:t>inconsistency in decision-making</w:t>
      </w:r>
      <w:r w:rsidR="00A72DF1">
        <w:rPr>
          <w:rFonts w:ascii="Arial" w:hAnsi="Arial" w:cs="Arial"/>
          <w:sz w:val="24"/>
          <w:szCs w:val="24"/>
        </w:rPr>
        <w:t xml:space="preserve"> that has not been properly justified</w:t>
      </w:r>
      <w:r w:rsidR="002B6A0F">
        <w:rPr>
          <w:rFonts w:ascii="Arial" w:hAnsi="Arial" w:cs="Arial"/>
          <w:sz w:val="24"/>
          <w:szCs w:val="24"/>
        </w:rPr>
        <w:t xml:space="preserve"> and </w:t>
      </w:r>
      <w:r w:rsidR="00A640B5">
        <w:rPr>
          <w:rFonts w:ascii="Arial" w:hAnsi="Arial" w:cs="Arial"/>
          <w:sz w:val="24"/>
          <w:szCs w:val="24"/>
        </w:rPr>
        <w:t xml:space="preserve">which has been applied </w:t>
      </w:r>
      <w:r w:rsidR="00A72DF1" w:rsidRPr="002B6A0F">
        <w:rPr>
          <w:rFonts w:ascii="Arial" w:hAnsi="Arial" w:cs="Arial"/>
          <w:sz w:val="24"/>
          <w:szCs w:val="24"/>
        </w:rPr>
        <w:t xml:space="preserve">without taking account of the disproportionate impact on people with protected characteristics.  </w:t>
      </w:r>
      <w:r w:rsidR="00A17A15">
        <w:rPr>
          <w:rFonts w:ascii="Arial" w:hAnsi="Arial" w:cs="Arial"/>
          <w:sz w:val="24"/>
          <w:szCs w:val="24"/>
        </w:rPr>
        <w:t xml:space="preserve">While the panel agreed that such a scenario could </w:t>
      </w:r>
      <w:r w:rsidR="00A17A15">
        <w:rPr>
          <w:rFonts w:ascii="Arial" w:hAnsi="Arial" w:cs="Arial"/>
          <w:sz w:val="24"/>
          <w:szCs w:val="24"/>
        </w:rPr>
        <w:lastRenderedPageBreak/>
        <w:t>at the least bear investigation as to whether it was compliant with the Equality Act it was not persuaded that it could easily fit within the concept of indirect discrimination</w:t>
      </w:r>
      <w:r w:rsidR="00A17A15" w:rsidRPr="005F4A47">
        <w:rPr>
          <w:rFonts w:ascii="Arial" w:hAnsi="Arial" w:cs="Arial"/>
          <w:sz w:val="24"/>
          <w:szCs w:val="24"/>
        </w:rPr>
        <w:t xml:space="preserve">.  </w:t>
      </w:r>
      <w:r w:rsidR="00A17A15">
        <w:rPr>
          <w:rFonts w:ascii="Arial" w:hAnsi="Arial" w:cs="Arial"/>
          <w:sz w:val="24"/>
          <w:szCs w:val="24"/>
        </w:rPr>
        <w:t>However it was unnecessary to reach a view on this point because a</w:t>
      </w:r>
      <w:r w:rsidR="002B6A0F" w:rsidRPr="005F4A47">
        <w:rPr>
          <w:rFonts w:ascii="Arial" w:hAnsi="Arial" w:cs="Arial"/>
          <w:sz w:val="24"/>
          <w:szCs w:val="24"/>
        </w:rPr>
        <w:t xml:space="preserve">lthough the panel have agreed under Appeal Point 1.1a that this decision was indeed unfair on the grounds of consistency, </w:t>
      </w:r>
      <w:r w:rsidR="00111F8E" w:rsidRPr="005F4A47">
        <w:rPr>
          <w:rFonts w:ascii="Arial" w:hAnsi="Arial" w:cs="Arial"/>
          <w:sz w:val="24"/>
          <w:szCs w:val="24"/>
        </w:rPr>
        <w:t>the panel did not accept that this constituted discrimination</w:t>
      </w:r>
      <w:r w:rsidR="00A17A15">
        <w:rPr>
          <w:rFonts w:ascii="Arial" w:hAnsi="Arial" w:cs="Arial"/>
          <w:sz w:val="24"/>
          <w:szCs w:val="24"/>
        </w:rPr>
        <w:t xml:space="preserve"> of any form, for the reason given above when discussing </w:t>
      </w:r>
      <w:r w:rsidR="001C169D">
        <w:rPr>
          <w:rFonts w:ascii="Arial" w:hAnsi="Arial" w:cs="Arial"/>
          <w:sz w:val="24"/>
          <w:szCs w:val="24"/>
        </w:rPr>
        <w:t>A</w:t>
      </w:r>
      <w:r w:rsidR="00A17A15">
        <w:rPr>
          <w:rFonts w:ascii="Arial" w:hAnsi="Arial" w:cs="Arial"/>
          <w:sz w:val="24"/>
          <w:szCs w:val="24"/>
        </w:rPr>
        <w:t>rticle 14</w:t>
      </w:r>
      <w:r w:rsidR="00111F8E" w:rsidRPr="005F4A47">
        <w:rPr>
          <w:rFonts w:ascii="Arial" w:hAnsi="Arial" w:cs="Arial"/>
          <w:sz w:val="24"/>
          <w:szCs w:val="24"/>
        </w:rPr>
        <w:t xml:space="preserve">.  </w:t>
      </w:r>
    </w:p>
    <w:p w14:paraId="47FE8547" w14:textId="77777777" w:rsidR="00F72E21" w:rsidRPr="00F72E21" w:rsidRDefault="00F72E21" w:rsidP="00F72E21">
      <w:pPr>
        <w:pStyle w:val="ListParagraph"/>
        <w:rPr>
          <w:rFonts w:ascii="Arial" w:hAnsi="Arial" w:cs="Arial"/>
          <w:sz w:val="24"/>
          <w:szCs w:val="24"/>
        </w:rPr>
      </w:pPr>
    </w:p>
    <w:p w14:paraId="0A4BBEE7" w14:textId="77777777" w:rsidR="00F72E21" w:rsidRPr="002B6A0F" w:rsidRDefault="00F72E21" w:rsidP="002B6A0F">
      <w:pPr>
        <w:pStyle w:val="ListParagraph"/>
        <w:numPr>
          <w:ilvl w:val="0"/>
          <w:numId w:val="21"/>
        </w:numPr>
        <w:spacing w:after="0" w:line="240" w:lineRule="auto"/>
        <w:rPr>
          <w:rFonts w:ascii="Arial" w:hAnsi="Arial" w:cs="Arial"/>
          <w:sz w:val="24"/>
          <w:szCs w:val="24"/>
        </w:rPr>
      </w:pPr>
      <w:r>
        <w:rPr>
          <w:rFonts w:ascii="Arial" w:hAnsi="Arial" w:cs="Arial"/>
          <w:sz w:val="24"/>
          <w:szCs w:val="24"/>
        </w:rPr>
        <w:t>The appeal panel therefore dismissed the appeal on this point.</w:t>
      </w:r>
    </w:p>
    <w:p w14:paraId="42028708" w14:textId="77777777" w:rsidR="009B59C2" w:rsidRPr="0053499F" w:rsidRDefault="009B59C2" w:rsidP="00D02918">
      <w:pPr>
        <w:spacing w:after="0" w:line="240" w:lineRule="auto"/>
        <w:rPr>
          <w:rFonts w:ascii="Arial" w:hAnsi="Arial" w:cs="Arial"/>
          <w:b/>
          <w:sz w:val="24"/>
          <w:szCs w:val="24"/>
        </w:rPr>
      </w:pPr>
    </w:p>
    <w:p w14:paraId="76030A2E" w14:textId="77777777" w:rsidR="00D02918" w:rsidRPr="0053499F" w:rsidRDefault="00D02918" w:rsidP="00D02918">
      <w:pPr>
        <w:spacing w:after="0" w:line="240" w:lineRule="auto"/>
        <w:rPr>
          <w:rFonts w:ascii="Arial" w:hAnsi="Arial" w:cs="Arial"/>
          <w:sz w:val="24"/>
          <w:szCs w:val="24"/>
        </w:rPr>
      </w:pPr>
      <w:r w:rsidRPr="0053499F">
        <w:rPr>
          <w:rFonts w:ascii="Arial" w:hAnsi="Arial" w:cs="Arial"/>
          <w:b/>
          <w:sz w:val="24"/>
          <w:szCs w:val="24"/>
        </w:rPr>
        <w:t>Appeal Ground 2: The recommendation is unreasonable in the light of the evidence submitted to NICE.</w:t>
      </w:r>
    </w:p>
    <w:p w14:paraId="6DAA8377" w14:textId="77777777" w:rsidR="00B26D14" w:rsidRDefault="00B26D14" w:rsidP="00D02918">
      <w:pPr>
        <w:spacing w:after="0" w:line="240" w:lineRule="auto"/>
        <w:rPr>
          <w:rFonts w:ascii="Arial" w:hAnsi="Arial" w:cs="Arial"/>
          <w:b/>
          <w:sz w:val="24"/>
          <w:szCs w:val="24"/>
        </w:rPr>
      </w:pPr>
    </w:p>
    <w:p w14:paraId="418256B4" w14:textId="77777777" w:rsidR="00D02918" w:rsidRPr="0053499F" w:rsidRDefault="00D02918" w:rsidP="00D02918">
      <w:pPr>
        <w:spacing w:after="0" w:line="240" w:lineRule="auto"/>
        <w:rPr>
          <w:rFonts w:ascii="Arial" w:hAnsi="Arial" w:cs="Arial"/>
          <w:color w:val="FF0000"/>
          <w:sz w:val="24"/>
          <w:szCs w:val="24"/>
        </w:rPr>
      </w:pPr>
      <w:r w:rsidRPr="0053499F">
        <w:rPr>
          <w:rFonts w:ascii="Arial" w:hAnsi="Arial" w:cs="Arial"/>
          <w:b/>
          <w:sz w:val="24"/>
          <w:szCs w:val="24"/>
        </w:rPr>
        <w:t xml:space="preserve">Appeal </w:t>
      </w:r>
      <w:r w:rsidR="00C80E32" w:rsidRPr="0053499F">
        <w:rPr>
          <w:rFonts w:ascii="Arial" w:hAnsi="Arial" w:cs="Arial"/>
          <w:b/>
          <w:sz w:val="24"/>
          <w:szCs w:val="24"/>
        </w:rPr>
        <w:t>p</w:t>
      </w:r>
      <w:r w:rsidRPr="0053499F">
        <w:rPr>
          <w:rFonts w:ascii="Arial" w:hAnsi="Arial" w:cs="Arial"/>
          <w:b/>
          <w:sz w:val="24"/>
          <w:szCs w:val="24"/>
        </w:rPr>
        <w:t xml:space="preserve">oint Ground 2.1: </w:t>
      </w:r>
      <w:r w:rsidR="000C2792" w:rsidRPr="004720FF">
        <w:rPr>
          <w:rFonts w:ascii="Arial" w:hAnsi="Arial" w:cs="Arial"/>
          <w:bCs/>
          <w:sz w:val="24"/>
          <w:szCs w:val="24"/>
        </w:rPr>
        <w:t>The Appraisal Committee’s assessment of duration of treatment effect and its effect on cost-eff</w:t>
      </w:r>
      <w:r w:rsidR="006030CF">
        <w:rPr>
          <w:rFonts w:ascii="Arial" w:hAnsi="Arial" w:cs="Arial"/>
          <w:bCs/>
          <w:sz w:val="24"/>
          <w:szCs w:val="24"/>
        </w:rPr>
        <w:t>e</w:t>
      </w:r>
      <w:r w:rsidR="000C2792" w:rsidRPr="004720FF">
        <w:rPr>
          <w:rFonts w:ascii="Arial" w:hAnsi="Arial" w:cs="Arial"/>
          <w:bCs/>
          <w:sz w:val="24"/>
          <w:szCs w:val="24"/>
        </w:rPr>
        <w:t xml:space="preserve">ctiveness is illogical and unreasonable </w:t>
      </w:r>
    </w:p>
    <w:p w14:paraId="40451593" w14:textId="77777777" w:rsidR="00D02918" w:rsidRPr="0053499F" w:rsidRDefault="00D02918" w:rsidP="00D02918">
      <w:pPr>
        <w:spacing w:after="0" w:line="240" w:lineRule="auto"/>
        <w:rPr>
          <w:rFonts w:ascii="Arial" w:hAnsi="Arial" w:cs="Arial"/>
          <w:color w:val="FF0000"/>
          <w:sz w:val="24"/>
          <w:szCs w:val="24"/>
        </w:rPr>
      </w:pPr>
    </w:p>
    <w:p w14:paraId="35598E9B" w14:textId="34451367" w:rsidR="006030CF" w:rsidRDefault="005A558B" w:rsidP="00D02918">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The discussion on this appeal point at the hearing </w:t>
      </w:r>
      <w:r w:rsidR="006030CF">
        <w:rPr>
          <w:rFonts w:ascii="Arial" w:hAnsi="Arial" w:cs="Arial"/>
          <w:sz w:val="24"/>
          <w:szCs w:val="24"/>
        </w:rPr>
        <w:t>had</w:t>
      </w:r>
      <w:r>
        <w:rPr>
          <w:rFonts w:ascii="Arial" w:hAnsi="Arial" w:cs="Arial"/>
          <w:sz w:val="24"/>
          <w:szCs w:val="24"/>
        </w:rPr>
        <w:t xml:space="preserve"> some overlap with the discussion under appeal point 1a</w:t>
      </w:r>
      <w:r w:rsidR="001C169D">
        <w:rPr>
          <w:rFonts w:ascii="Arial" w:hAnsi="Arial" w:cs="Arial"/>
          <w:sz w:val="24"/>
          <w:szCs w:val="24"/>
        </w:rPr>
        <w:t>.</w:t>
      </w:r>
      <w:r>
        <w:rPr>
          <w:rFonts w:ascii="Arial" w:hAnsi="Arial" w:cs="Arial"/>
          <w:sz w:val="24"/>
          <w:szCs w:val="24"/>
        </w:rPr>
        <w:t>1, so this</w:t>
      </w:r>
      <w:r w:rsidR="006030CF">
        <w:rPr>
          <w:rFonts w:ascii="Arial" w:hAnsi="Arial" w:cs="Arial"/>
          <w:sz w:val="24"/>
          <w:szCs w:val="24"/>
        </w:rPr>
        <w:t xml:space="preserve"> section should be read in conjunction with </w:t>
      </w:r>
      <w:r w:rsidR="00444D6A">
        <w:rPr>
          <w:rFonts w:ascii="Arial" w:hAnsi="Arial" w:cs="Arial"/>
          <w:sz w:val="24"/>
          <w:szCs w:val="24"/>
        </w:rPr>
        <w:t>that section</w:t>
      </w:r>
      <w:r w:rsidR="006030CF">
        <w:rPr>
          <w:rFonts w:ascii="Arial" w:hAnsi="Arial" w:cs="Arial"/>
          <w:sz w:val="24"/>
          <w:szCs w:val="24"/>
        </w:rPr>
        <w:t xml:space="preserve"> of the decision letter.</w:t>
      </w:r>
    </w:p>
    <w:p w14:paraId="47C0A0DB" w14:textId="77777777" w:rsidR="000B5139" w:rsidRDefault="000B5139" w:rsidP="000B5139">
      <w:pPr>
        <w:pStyle w:val="ListParagraph"/>
        <w:spacing w:after="0" w:line="240" w:lineRule="auto"/>
        <w:ind w:left="360"/>
        <w:rPr>
          <w:rFonts w:ascii="Arial" w:hAnsi="Arial" w:cs="Arial"/>
          <w:sz w:val="24"/>
          <w:szCs w:val="24"/>
        </w:rPr>
      </w:pPr>
    </w:p>
    <w:p w14:paraId="43E7D583" w14:textId="5D121DC0" w:rsidR="00D02918" w:rsidRDefault="00D92FBA" w:rsidP="00D02918">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Grant Castle, for MSD, </w:t>
      </w:r>
      <w:r w:rsidR="00C75B4D">
        <w:rPr>
          <w:rFonts w:ascii="Arial" w:hAnsi="Arial" w:cs="Arial"/>
          <w:sz w:val="24"/>
          <w:szCs w:val="24"/>
        </w:rPr>
        <w:t>building on the points raised in the appeal letter</w:t>
      </w:r>
      <w:r w:rsidR="001C169D">
        <w:rPr>
          <w:rFonts w:ascii="Arial" w:hAnsi="Arial" w:cs="Arial"/>
          <w:sz w:val="24"/>
          <w:szCs w:val="24"/>
        </w:rPr>
        <w:t>,</w:t>
      </w:r>
      <w:r w:rsidR="00C75B4D">
        <w:rPr>
          <w:rFonts w:ascii="Arial" w:hAnsi="Arial" w:cs="Arial"/>
          <w:sz w:val="24"/>
          <w:szCs w:val="24"/>
        </w:rPr>
        <w:t xml:space="preserve"> </w:t>
      </w:r>
      <w:r w:rsidR="00380369">
        <w:rPr>
          <w:rFonts w:ascii="Arial" w:hAnsi="Arial" w:cs="Arial"/>
          <w:sz w:val="24"/>
          <w:szCs w:val="24"/>
        </w:rPr>
        <w:t xml:space="preserve">said that MSD had collected unprecedented follow-up data on pembrolizumab which suggested a duration of treatment effect of 5 years or more.  </w:t>
      </w:r>
      <w:r w:rsidR="005442AC">
        <w:rPr>
          <w:rFonts w:ascii="Arial" w:hAnsi="Arial" w:cs="Arial"/>
          <w:sz w:val="24"/>
          <w:szCs w:val="24"/>
        </w:rPr>
        <w:t>He argued that the latest data from KEYNOTE-045</w:t>
      </w:r>
      <w:r w:rsidR="00CD46D3">
        <w:rPr>
          <w:rFonts w:ascii="Arial" w:hAnsi="Arial" w:cs="Arial"/>
          <w:sz w:val="24"/>
          <w:szCs w:val="24"/>
        </w:rPr>
        <w:t xml:space="preserve"> showed clear evidence of benefit at 4 years, and that it was therefore inconceivable that the effect of treatment stops suddenly at </w:t>
      </w:r>
      <w:r w:rsidR="00D239F6">
        <w:rPr>
          <w:rFonts w:ascii="Arial" w:hAnsi="Arial" w:cs="Arial"/>
          <w:sz w:val="24"/>
          <w:szCs w:val="24"/>
        </w:rPr>
        <w:t xml:space="preserve">3 years.  </w:t>
      </w:r>
      <w:r w:rsidR="00444D6A">
        <w:rPr>
          <w:rFonts w:ascii="Arial" w:hAnsi="Arial" w:cs="Arial"/>
          <w:sz w:val="24"/>
          <w:szCs w:val="24"/>
        </w:rPr>
        <w:t>He argued</w:t>
      </w:r>
      <w:r w:rsidR="00E25A52">
        <w:rPr>
          <w:rFonts w:ascii="Arial" w:hAnsi="Arial" w:cs="Arial"/>
          <w:sz w:val="24"/>
          <w:szCs w:val="24"/>
        </w:rPr>
        <w:t xml:space="preserve"> that a 5</w:t>
      </w:r>
      <w:r w:rsidR="001C169D">
        <w:rPr>
          <w:rFonts w:ascii="Arial" w:hAnsi="Arial" w:cs="Arial"/>
          <w:sz w:val="24"/>
          <w:szCs w:val="24"/>
        </w:rPr>
        <w:t>-</w:t>
      </w:r>
      <w:r w:rsidR="00E25A52">
        <w:rPr>
          <w:rFonts w:ascii="Arial" w:hAnsi="Arial" w:cs="Arial"/>
          <w:sz w:val="24"/>
          <w:szCs w:val="24"/>
        </w:rPr>
        <w:t xml:space="preserve">year treatment effect </w:t>
      </w:r>
      <w:r w:rsidR="00A2228E">
        <w:rPr>
          <w:rFonts w:ascii="Arial" w:hAnsi="Arial" w:cs="Arial"/>
          <w:sz w:val="24"/>
          <w:szCs w:val="24"/>
        </w:rPr>
        <w:t xml:space="preserve">duration </w:t>
      </w:r>
      <w:r w:rsidR="00E25A52">
        <w:rPr>
          <w:rFonts w:ascii="Arial" w:hAnsi="Arial" w:cs="Arial"/>
          <w:sz w:val="24"/>
          <w:szCs w:val="24"/>
        </w:rPr>
        <w:t>i</w:t>
      </w:r>
      <w:r w:rsidR="00894005">
        <w:rPr>
          <w:rFonts w:ascii="Arial" w:hAnsi="Arial" w:cs="Arial"/>
          <w:sz w:val="24"/>
          <w:szCs w:val="24"/>
        </w:rPr>
        <w:t xml:space="preserve">s </w:t>
      </w:r>
      <w:r w:rsidR="00E25A52">
        <w:rPr>
          <w:rFonts w:ascii="Arial" w:hAnsi="Arial" w:cs="Arial"/>
          <w:sz w:val="24"/>
          <w:szCs w:val="24"/>
        </w:rPr>
        <w:t xml:space="preserve">the most plausible. </w:t>
      </w:r>
      <w:r w:rsidR="00D239F6">
        <w:rPr>
          <w:rFonts w:ascii="Arial" w:hAnsi="Arial" w:cs="Arial"/>
          <w:sz w:val="24"/>
          <w:szCs w:val="24"/>
        </w:rPr>
        <w:t>Therefore, the approach taken by the committee in considering treatment durations of both 3 and 5 years simply did not add up.</w:t>
      </w:r>
      <w:r w:rsidR="00946A4E">
        <w:rPr>
          <w:rFonts w:ascii="Arial" w:hAnsi="Arial" w:cs="Arial"/>
          <w:sz w:val="24"/>
          <w:szCs w:val="24"/>
        </w:rPr>
        <w:t xml:space="preserve">  </w:t>
      </w:r>
    </w:p>
    <w:p w14:paraId="2FF6E845" w14:textId="77777777" w:rsidR="00D064C1" w:rsidRPr="00D064C1" w:rsidRDefault="00D064C1" w:rsidP="00D064C1">
      <w:pPr>
        <w:pStyle w:val="ListParagraph"/>
        <w:rPr>
          <w:rFonts w:ascii="Arial" w:hAnsi="Arial" w:cs="Arial"/>
          <w:sz w:val="24"/>
          <w:szCs w:val="24"/>
        </w:rPr>
      </w:pPr>
    </w:p>
    <w:p w14:paraId="2E396533" w14:textId="3B1C811F" w:rsidR="00D064C1" w:rsidRDefault="00D064C1" w:rsidP="00D02918">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Mr Castle </w:t>
      </w:r>
      <w:r w:rsidR="00051B35">
        <w:rPr>
          <w:rFonts w:ascii="Arial" w:hAnsi="Arial" w:cs="Arial"/>
          <w:sz w:val="24"/>
          <w:szCs w:val="24"/>
        </w:rPr>
        <w:t>said</w:t>
      </w:r>
      <w:r>
        <w:rPr>
          <w:rFonts w:ascii="Arial" w:hAnsi="Arial" w:cs="Arial"/>
          <w:sz w:val="24"/>
          <w:szCs w:val="24"/>
        </w:rPr>
        <w:t xml:space="preserve"> that </w:t>
      </w:r>
      <w:r w:rsidR="00A353B8">
        <w:rPr>
          <w:rFonts w:ascii="Arial" w:hAnsi="Arial" w:cs="Arial"/>
          <w:sz w:val="24"/>
          <w:szCs w:val="24"/>
        </w:rPr>
        <w:t xml:space="preserve">the </w:t>
      </w:r>
      <w:r w:rsidR="00051B35">
        <w:rPr>
          <w:rFonts w:ascii="Arial" w:hAnsi="Arial" w:cs="Arial"/>
          <w:sz w:val="24"/>
          <w:szCs w:val="24"/>
        </w:rPr>
        <w:t>aim of having pembrolizumab in the Cancer Drugs Fund was to allow new data to inform subsequent decisions</w:t>
      </w:r>
      <w:r w:rsidR="00A22B4B">
        <w:rPr>
          <w:rFonts w:ascii="Arial" w:hAnsi="Arial" w:cs="Arial"/>
          <w:sz w:val="24"/>
          <w:szCs w:val="24"/>
        </w:rPr>
        <w:t>.  He argued that i</w:t>
      </w:r>
      <w:r w:rsidR="00C75B4D">
        <w:rPr>
          <w:rFonts w:ascii="Arial" w:hAnsi="Arial" w:cs="Arial"/>
          <w:sz w:val="24"/>
          <w:szCs w:val="24"/>
        </w:rPr>
        <w:t>t</w:t>
      </w:r>
      <w:r w:rsidR="00A22B4B">
        <w:rPr>
          <w:rFonts w:ascii="Arial" w:hAnsi="Arial" w:cs="Arial"/>
          <w:sz w:val="24"/>
          <w:szCs w:val="24"/>
        </w:rPr>
        <w:t xml:space="preserve"> was unreasonable for the committee to expect “strong evidence” of a five</w:t>
      </w:r>
      <w:r w:rsidR="00A877C5">
        <w:rPr>
          <w:rFonts w:ascii="Arial" w:hAnsi="Arial" w:cs="Arial"/>
          <w:sz w:val="24"/>
          <w:szCs w:val="24"/>
        </w:rPr>
        <w:t>-</w:t>
      </w:r>
      <w:r w:rsidR="00A22B4B">
        <w:rPr>
          <w:rFonts w:ascii="Arial" w:hAnsi="Arial" w:cs="Arial"/>
          <w:sz w:val="24"/>
          <w:szCs w:val="24"/>
        </w:rPr>
        <w:t>year treatment effect because the</w:t>
      </w:r>
      <w:r w:rsidR="00051B35">
        <w:rPr>
          <w:rFonts w:ascii="Arial" w:hAnsi="Arial" w:cs="Arial"/>
          <w:sz w:val="24"/>
          <w:szCs w:val="24"/>
        </w:rPr>
        <w:t xml:space="preserve"> </w:t>
      </w:r>
      <w:r w:rsidR="00A353B8">
        <w:rPr>
          <w:rFonts w:ascii="Arial" w:hAnsi="Arial" w:cs="Arial"/>
          <w:sz w:val="24"/>
          <w:szCs w:val="24"/>
        </w:rPr>
        <w:t xml:space="preserve">statistical power of the KEYNOTE-045 trial meant that </w:t>
      </w:r>
      <w:r w:rsidR="00A22B4B">
        <w:rPr>
          <w:rFonts w:ascii="Arial" w:hAnsi="Arial" w:cs="Arial"/>
          <w:sz w:val="24"/>
          <w:szCs w:val="24"/>
        </w:rPr>
        <w:t>this was not achievable.</w:t>
      </w:r>
    </w:p>
    <w:p w14:paraId="6AEC2FF7" w14:textId="77777777" w:rsidR="001D6D7F" w:rsidRPr="001D6D7F" w:rsidRDefault="001D6D7F" w:rsidP="001D6D7F">
      <w:pPr>
        <w:pStyle w:val="ListParagraph"/>
        <w:rPr>
          <w:rFonts w:ascii="Arial" w:hAnsi="Arial" w:cs="Arial"/>
          <w:sz w:val="24"/>
          <w:szCs w:val="24"/>
        </w:rPr>
      </w:pPr>
    </w:p>
    <w:p w14:paraId="01F8F9CA" w14:textId="4F92634B" w:rsidR="001D6D7F" w:rsidRDefault="00236315" w:rsidP="00D02918">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Dr Lindsay Smith, for NICE, </w:t>
      </w:r>
      <w:r w:rsidR="00C84A73">
        <w:rPr>
          <w:rFonts w:ascii="Arial" w:hAnsi="Arial" w:cs="Arial"/>
          <w:sz w:val="24"/>
          <w:szCs w:val="24"/>
        </w:rPr>
        <w:t>said that the committee had considered the external validity of a du</w:t>
      </w:r>
      <w:r w:rsidR="0001482E">
        <w:rPr>
          <w:rFonts w:ascii="Arial" w:hAnsi="Arial" w:cs="Arial"/>
          <w:sz w:val="24"/>
          <w:szCs w:val="24"/>
        </w:rPr>
        <w:t xml:space="preserve">ration of treatment effect of 3-5 years </w:t>
      </w:r>
      <w:r w:rsidR="00E3346B">
        <w:rPr>
          <w:rFonts w:ascii="Arial" w:hAnsi="Arial" w:cs="Arial"/>
          <w:sz w:val="24"/>
          <w:szCs w:val="24"/>
        </w:rPr>
        <w:t>in its decision-making.  This is shown in slide</w:t>
      </w:r>
      <w:r w:rsidR="00391AD9">
        <w:rPr>
          <w:rFonts w:ascii="Arial" w:hAnsi="Arial" w:cs="Arial"/>
          <w:sz w:val="24"/>
          <w:szCs w:val="24"/>
        </w:rPr>
        <w:t xml:space="preserve"> 16</w:t>
      </w:r>
      <w:r w:rsidR="00E3346B">
        <w:rPr>
          <w:rFonts w:ascii="Arial" w:hAnsi="Arial" w:cs="Arial"/>
          <w:sz w:val="24"/>
          <w:szCs w:val="24"/>
        </w:rPr>
        <w:t xml:space="preserve"> from the second committee meeting where </w:t>
      </w:r>
      <w:r w:rsidR="005F6F2D">
        <w:rPr>
          <w:rFonts w:ascii="Arial" w:hAnsi="Arial" w:cs="Arial"/>
          <w:sz w:val="24"/>
          <w:szCs w:val="24"/>
        </w:rPr>
        <w:t>treatment effect durations used in other appraisals were noted.  Dr Smith also pointed out</w:t>
      </w:r>
      <w:r w:rsidR="005C37DE">
        <w:rPr>
          <w:rFonts w:ascii="Arial" w:hAnsi="Arial" w:cs="Arial"/>
          <w:sz w:val="24"/>
          <w:szCs w:val="24"/>
        </w:rPr>
        <w:t xml:space="preserve"> other appraisals of </w:t>
      </w:r>
      <w:r w:rsidR="00ED52E6">
        <w:rPr>
          <w:rFonts w:ascii="Arial" w:hAnsi="Arial" w:cs="Arial"/>
          <w:sz w:val="24"/>
          <w:szCs w:val="24"/>
        </w:rPr>
        <w:t>pembrolizumab</w:t>
      </w:r>
      <w:r w:rsidR="005C37DE">
        <w:rPr>
          <w:rFonts w:ascii="Arial" w:hAnsi="Arial" w:cs="Arial"/>
          <w:sz w:val="24"/>
          <w:szCs w:val="24"/>
        </w:rPr>
        <w:t xml:space="preserve"> (not listed in this slide) which have used treat</w:t>
      </w:r>
      <w:r w:rsidR="005937ED">
        <w:rPr>
          <w:rFonts w:ascii="Arial" w:hAnsi="Arial" w:cs="Arial"/>
          <w:sz w:val="24"/>
          <w:szCs w:val="24"/>
        </w:rPr>
        <w:t>ment effect durations of 3-5 years (e.g. TA531 and TA55</w:t>
      </w:r>
      <w:r w:rsidR="00DA5FF6">
        <w:rPr>
          <w:rFonts w:ascii="Arial" w:hAnsi="Arial" w:cs="Arial"/>
          <w:sz w:val="24"/>
          <w:szCs w:val="24"/>
        </w:rPr>
        <w:t>7</w:t>
      </w:r>
      <w:r w:rsidR="005937ED">
        <w:rPr>
          <w:rFonts w:ascii="Arial" w:hAnsi="Arial" w:cs="Arial"/>
          <w:sz w:val="24"/>
          <w:szCs w:val="24"/>
        </w:rPr>
        <w:t>).</w:t>
      </w:r>
    </w:p>
    <w:p w14:paraId="479372F4" w14:textId="77777777" w:rsidR="005937ED" w:rsidRPr="005937ED" w:rsidRDefault="005937ED" w:rsidP="005937ED">
      <w:pPr>
        <w:pStyle w:val="ListParagraph"/>
        <w:rPr>
          <w:rFonts w:ascii="Arial" w:hAnsi="Arial" w:cs="Arial"/>
          <w:sz w:val="24"/>
          <w:szCs w:val="24"/>
        </w:rPr>
      </w:pPr>
    </w:p>
    <w:p w14:paraId="7EADD9CC" w14:textId="77777777" w:rsidR="005937ED" w:rsidRDefault="005937ED" w:rsidP="00D02918">
      <w:pPr>
        <w:pStyle w:val="ListParagraph"/>
        <w:numPr>
          <w:ilvl w:val="0"/>
          <w:numId w:val="21"/>
        </w:numPr>
        <w:spacing w:after="0" w:line="240" w:lineRule="auto"/>
        <w:rPr>
          <w:rFonts w:ascii="Arial" w:hAnsi="Arial" w:cs="Arial"/>
          <w:sz w:val="24"/>
          <w:szCs w:val="24"/>
        </w:rPr>
      </w:pPr>
      <w:r>
        <w:rPr>
          <w:rFonts w:ascii="Arial" w:hAnsi="Arial" w:cs="Arial"/>
          <w:sz w:val="24"/>
          <w:szCs w:val="24"/>
        </w:rPr>
        <w:t>Dr Smit</w:t>
      </w:r>
      <w:r w:rsidR="002473F7">
        <w:rPr>
          <w:rFonts w:ascii="Arial" w:hAnsi="Arial" w:cs="Arial"/>
          <w:sz w:val="24"/>
          <w:szCs w:val="24"/>
        </w:rPr>
        <w:t xml:space="preserve">h was </w:t>
      </w:r>
      <w:r>
        <w:rPr>
          <w:rFonts w:ascii="Arial" w:hAnsi="Arial" w:cs="Arial"/>
          <w:sz w:val="24"/>
          <w:szCs w:val="24"/>
        </w:rPr>
        <w:t xml:space="preserve">asked by the panel whether </w:t>
      </w:r>
      <w:r w:rsidR="006159A2">
        <w:rPr>
          <w:rFonts w:ascii="Arial" w:hAnsi="Arial" w:cs="Arial"/>
          <w:sz w:val="24"/>
          <w:szCs w:val="24"/>
        </w:rPr>
        <w:t xml:space="preserve">he agreed that </w:t>
      </w:r>
      <w:r>
        <w:rPr>
          <w:rFonts w:ascii="Arial" w:hAnsi="Arial" w:cs="Arial"/>
          <w:sz w:val="24"/>
          <w:szCs w:val="24"/>
        </w:rPr>
        <w:t xml:space="preserve">the </w:t>
      </w:r>
      <w:r w:rsidR="002473F7">
        <w:rPr>
          <w:rFonts w:ascii="Arial" w:hAnsi="Arial" w:cs="Arial"/>
          <w:sz w:val="24"/>
          <w:szCs w:val="24"/>
        </w:rPr>
        <w:t xml:space="preserve">other appraisals considered at the second committee meeting </w:t>
      </w:r>
      <w:r w:rsidR="00FA5023">
        <w:rPr>
          <w:rFonts w:ascii="Arial" w:hAnsi="Arial" w:cs="Arial"/>
          <w:sz w:val="24"/>
          <w:szCs w:val="24"/>
        </w:rPr>
        <w:t>suggested that 5 years was a more typical estimate of treatment effect duration</w:t>
      </w:r>
      <w:r w:rsidR="006159A2">
        <w:rPr>
          <w:rFonts w:ascii="Arial" w:hAnsi="Arial" w:cs="Arial"/>
          <w:sz w:val="24"/>
          <w:szCs w:val="24"/>
        </w:rPr>
        <w:t xml:space="preserve"> in similar appraisals.</w:t>
      </w:r>
      <w:r w:rsidR="00FA5023">
        <w:rPr>
          <w:rFonts w:ascii="Arial" w:hAnsi="Arial" w:cs="Arial"/>
          <w:sz w:val="24"/>
          <w:szCs w:val="24"/>
        </w:rPr>
        <w:t xml:space="preserve">  He </w:t>
      </w:r>
      <w:r w:rsidR="008A6204">
        <w:rPr>
          <w:rFonts w:ascii="Arial" w:hAnsi="Arial" w:cs="Arial"/>
          <w:sz w:val="24"/>
          <w:szCs w:val="24"/>
        </w:rPr>
        <w:t>disagreed</w:t>
      </w:r>
      <w:r w:rsidR="006159A2">
        <w:rPr>
          <w:rFonts w:ascii="Arial" w:hAnsi="Arial" w:cs="Arial"/>
          <w:sz w:val="24"/>
          <w:szCs w:val="24"/>
        </w:rPr>
        <w:t xml:space="preserve"> </w:t>
      </w:r>
      <w:r w:rsidR="008A6204">
        <w:rPr>
          <w:rFonts w:ascii="Arial" w:hAnsi="Arial" w:cs="Arial"/>
          <w:sz w:val="24"/>
          <w:szCs w:val="24"/>
        </w:rPr>
        <w:t xml:space="preserve">and said that the slide simply </w:t>
      </w:r>
      <w:r w:rsidR="006159A2">
        <w:rPr>
          <w:rFonts w:ascii="Arial" w:hAnsi="Arial" w:cs="Arial"/>
          <w:sz w:val="24"/>
          <w:szCs w:val="24"/>
        </w:rPr>
        <w:t>d</w:t>
      </w:r>
      <w:r w:rsidR="008A6204">
        <w:rPr>
          <w:rFonts w:ascii="Arial" w:hAnsi="Arial" w:cs="Arial"/>
          <w:sz w:val="24"/>
          <w:szCs w:val="24"/>
        </w:rPr>
        <w:t xml:space="preserve">emonstrated that a wide range of estimates had been used. </w:t>
      </w:r>
    </w:p>
    <w:p w14:paraId="6E89722C" w14:textId="77777777" w:rsidR="00A764E4" w:rsidRPr="00A764E4" w:rsidRDefault="00A764E4" w:rsidP="00A764E4">
      <w:pPr>
        <w:pStyle w:val="ListParagraph"/>
        <w:rPr>
          <w:rFonts w:ascii="Arial" w:hAnsi="Arial" w:cs="Arial"/>
          <w:sz w:val="24"/>
          <w:szCs w:val="24"/>
        </w:rPr>
      </w:pPr>
    </w:p>
    <w:p w14:paraId="29EE06FC" w14:textId="77777777" w:rsidR="00A764E4" w:rsidRDefault="00A764E4" w:rsidP="00D02918">
      <w:pPr>
        <w:pStyle w:val="ListParagraph"/>
        <w:numPr>
          <w:ilvl w:val="0"/>
          <w:numId w:val="21"/>
        </w:numPr>
        <w:spacing w:after="0" w:line="240" w:lineRule="auto"/>
        <w:rPr>
          <w:rFonts w:ascii="Arial" w:hAnsi="Arial" w:cs="Arial"/>
          <w:sz w:val="24"/>
          <w:szCs w:val="24"/>
        </w:rPr>
      </w:pPr>
      <w:r>
        <w:rPr>
          <w:rFonts w:ascii="Arial" w:hAnsi="Arial" w:cs="Arial"/>
          <w:sz w:val="24"/>
          <w:szCs w:val="24"/>
        </w:rPr>
        <w:lastRenderedPageBreak/>
        <w:t>Dr Smith, for NICE, emp</w:t>
      </w:r>
      <w:r w:rsidR="00085A16">
        <w:rPr>
          <w:rFonts w:ascii="Arial" w:hAnsi="Arial" w:cs="Arial"/>
          <w:sz w:val="24"/>
          <w:szCs w:val="24"/>
        </w:rPr>
        <w:t>h</w:t>
      </w:r>
      <w:r>
        <w:rPr>
          <w:rFonts w:ascii="Arial" w:hAnsi="Arial" w:cs="Arial"/>
          <w:sz w:val="24"/>
          <w:szCs w:val="24"/>
        </w:rPr>
        <w:t xml:space="preserve">asised that the committee did not express a preference for a </w:t>
      </w:r>
      <w:r w:rsidR="000A5C80">
        <w:rPr>
          <w:rFonts w:ascii="Arial" w:hAnsi="Arial" w:cs="Arial"/>
          <w:sz w:val="24"/>
          <w:szCs w:val="24"/>
        </w:rPr>
        <w:t>treatment effect duration of 3 years</w:t>
      </w:r>
      <w:r w:rsidR="00085A16">
        <w:rPr>
          <w:rFonts w:ascii="Arial" w:hAnsi="Arial" w:cs="Arial"/>
          <w:sz w:val="24"/>
          <w:szCs w:val="24"/>
        </w:rPr>
        <w:t xml:space="preserve"> in the FAD</w:t>
      </w:r>
      <w:r w:rsidR="000A5C80">
        <w:rPr>
          <w:rFonts w:ascii="Arial" w:hAnsi="Arial" w:cs="Arial"/>
          <w:sz w:val="24"/>
          <w:szCs w:val="24"/>
        </w:rPr>
        <w:t xml:space="preserve">.  </w:t>
      </w:r>
      <w:r w:rsidR="00903414">
        <w:rPr>
          <w:rFonts w:ascii="Arial" w:hAnsi="Arial" w:cs="Arial"/>
          <w:sz w:val="24"/>
          <w:szCs w:val="24"/>
        </w:rPr>
        <w:t xml:space="preserve">At the ACD stage, the committee had preferred 3 years based on ERG advice, but they modified their position following consultation.  </w:t>
      </w:r>
      <w:r w:rsidR="00C1188A">
        <w:rPr>
          <w:rFonts w:ascii="Arial" w:hAnsi="Arial" w:cs="Arial"/>
          <w:sz w:val="24"/>
          <w:szCs w:val="24"/>
        </w:rPr>
        <w:t xml:space="preserve">At the time of the FAD, the committee concluded that </w:t>
      </w:r>
      <w:r w:rsidR="0079183C">
        <w:rPr>
          <w:rFonts w:ascii="Arial" w:hAnsi="Arial" w:cs="Arial"/>
          <w:sz w:val="24"/>
          <w:szCs w:val="24"/>
        </w:rPr>
        <w:t>both 3 and 5 years were plausible.  However, it did not accept the company’s assertion that 5 years was most plausible</w:t>
      </w:r>
      <w:r w:rsidR="00626E5A">
        <w:rPr>
          <w:rFonts w:ascii="Arial" w:hAnsi="Arial" w:cs="Arial"/>
          <w:sz w:val="24"/>
          <w:szCs w:val="24"/>
        </w:rPr>
        <w:t>.  Dr Smith said that the onus would be on the company to provide evidence for this claim</w:t>
      </w:r>
      <w:r w:rsidR="004D49E4">
        <w:rPr>
          <w:rFonts w:ascii="Arial" w:hAnsi="Arial" w:cs="Arial"/>
          <w:sz w:val="24"/>
          <w:szCs w:val="24"/>
        </w:rPr>
        <w:t xml:space="preserve"> and they had not done so.</w:t>
      </w:r>
    </w:p>
    <w:p w14:paraId="2B8EB4E9" w14:textId="77777777" w:rsidR="00927244" w:rsidRPr="00927244" w:rsidRDefault="00927244" w:rsidP="00927244">
      <w:pPr>
        <w:pStyle w:val="ListParagraph"/>
        <w:rPr>
          <w:rFonts w:ascii="Arial" w:hAnsi="Arial" w:cs="Arial"/>
          <w:sz w:val="24"/>
          <w:szCs w:val="24"/>
        </w:rPr>
      </w:pPr>
    </w:p>
    <w:p w14:paraId="1CBF0D70" w14:textId="3DF816B4" w:rsidR="00927244" w:rsidRDefault="00927244" w:rsidP="00D02918">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Dr Smith said that the committee recognised that there may be a small group of </w:t>
      </w:r>
      <w:r w:rsidR="00231CF7">
        <w:rPr>
          <w:rFonts w:ascii="Arial" w:hAnsi="Arial" w:cs="Arial"/>
          <w:sz w:val="24"/>
          <w:szCs w:val="24"/>
        </w:rPr>
        <w:t xml:space="preserve">treated </w:t>
      </w:r>
      <w:r>
        <w:rPr>
          <w:rFonts w:ascii="Arial" w:hAnsi="Arial" w:cs="Arial"/>
          <w:sz w:val="24"/>
          <w:szCs w:val="24"/>
        </w:rPr>
        <w:t>patients with very long survival, and that this w</w:t>
      </w:r>
      <w:r w:rsidR="004B0097">
        <w:rPr>
          <w:rFonts w:ascii="Arial" w:hAnsi="Arial" w:cs="Arial"/>
          <w:sz w:val="24"/>
          <w:szCs w:val="24"/>
        </w:rPr>
        <w:t>as reflected in the modelling</w:t>
      </w:r>
      <w:r w:rsidR="00231CF7">
        <w:rPr>
          <w:rFonts w:ascii="Arial" w:hAnsi="Arial" w:cs="Arial"/>
          <w:sz w:val="24"/>
          <w:szCs w:val="24"/>
        </w:rPr>
        <w:t xml:space="preserve">, but that there may also be a cohort of patients with long survival in the Standard of Care group. </w:t>
      </w:r>
      <w:r w:rsidR="00990D26">
        <w:rPr>
          <w:rFonts w:ascii="Arial" w:hAnsi="Arial" w:cs="Arial"/>
          <w:sz w:val="24"/>
          <w:szCs w:val="24"/>
        </w:rPr>
        <w:t xml:space="preserve">The crucial question is the relative benefit </w:t>
      </w:r>
      <w:r w:rsidR="002A2C1C">
        <w:rPr>
          <w:rFonts w:ascii="Arial" w:hAnsi="Arial" w:cs="Arial"/>
          <w:sz w:val="24"/>
          <w:szCs w:val="24"/>
        </w:rPr>
        <w:t>shown by</w:t>
      </w:r>
      <w:r w:rsidR="00990D26">
        <w:rPr>
          <w:rFonts w:ascii="Arial" w:hAnsi="Arial" w:cs="Arial"/>
          <w:sz w:val="24"/>
          <w:szCs w:val="24"/>
        </w:rPr>
        <w:t xml:space="preserve"> the hazard ratio.  </w:t>
      </w:r>
      <w:r w:rsidR="00C43BD7">
        <w:rPr>
          <w:rFonts w:ascii="Arial" w:hAnsi="Arial" w:cs="Arial"/>
          <w:sz w:val="24"/>
          <w:szCs w:val="24"/>
        </w:rPr>
        <w:t>The committee had conclude</w:t>
      </w:r>
      <w:r w:rsidR="002A2C1C">
        <w:rPr>
          <w:rFonts w:ascii="Arial" w:hAnsi="Arial" w:cs="Arial"/>
          <w:sz w:val="24"/>
          <w:szCs w:val="24"/>
        </w:rPr>
        <w:t>d</w:t>
      </w:r>
      <w:r w:rsidR="00C43BD7">
        <w:rPr>
          <w:rFonts w:ascii="Arial" w:hAnsi="Arial" w:cs="Arial"/>
          <w:sz w:val="24"/>
          <w:szCs w:val="24"/>
        </w:rPr>
        <w:t xml:space="preserve"> that there was evidence of waning of the treatment effect even before stopping treatment.  They </w:t>
      </w:r>
      <w:r w:rsidR="004B4F8F">
        <w:rPr>
          <w:rFonts w:ascii="Arial" w:hAnsi="Arial" w:cs="Arial"/>
          <w:sz w:val="24"/>
          <w:szCs w:val="24"/>
        </w:rPr>
        <w:t xml:space="preserve">had concluded that there was no </w:t>
      </w:r>
      <w:r w:rsidR="004B4F8F" w:rsidRPr="002A2C1C">
        <w:rPr>
          <w:rFonts w:ascii="Arial" w:hAnsi="Arial" w:cs="Arial"/>
          <w:sz w:val="24"/>
          <w:szCs w:val="24"/>
        </w:rPr>
        <w:t>convincing</w:t>
      </w:r>
      <w:r w:rsidR="004B4F8F">
        <w:rPr>
          <w:rFonts w:ascii="Arial" w:hAnsi="Arial" w:cs="Arial"/>
          <w:sz w:val="24"/>
          <w:szCs w:val="24"/>
        </w:rPr>
        <w:t xml:space="preserve"> evidence</w:t>
      </w:r>
      <w:r w:rsidR="002F1FD6">
        <w:rPr>
          <w:rFonts w:ascii="Arial" w:hAnsi="Arial" w:cs="Arial"/>
          <w:sz w:val="24"/>
          <w:szCs w:val="24"/>
        </w:rPr>
        <w:t xml:space="preserve"> from clinical trials</w:t>
      </w:r>
      <w:r w:rsidR="004B4F8F">
        <w:rPr>
          <w:rFonts w:ascii="Arial" w:hAnsi="Arial" w:cs="Arial"/>
          <w:sz w:val="24"/>
          <w:szCs w:val="24"/>
        </w:rPr>
        <w:t xml:space="preserve"> of benefit beyond 2 year</w:t>
      </w:r>
      <w:r w:rsidR="002F1FD6">
        <w:rPr>
          <w:rFonts w:ascii="Arial" w:hAnsi="Arial" w:cs="Arial"/>
          <w:sz w:val="24"/>
          <w:szCs w:val="24"/>
        </w:rPr>
        <w:t>s</w:t>
      </w:r>
      <w:r w:rsidR="002A2C1C">
        <w:rPr>
          <w:rFonts w:ascii="Arial" w:hAnsi="Arial" w:cs="Arial"/>
          <w:sz w:val="24"/>
          <w:szCs w:val="24"/>
        </w:rPr>
        <w:t xml:space="preserve">, but </w:t>
      </w:r>
      <w:r w:rsidR="002B22A9">
        <w:rPr>
          <w:rFonts w:ascii="Arial" w:hAnsi="Arial" w:cs="Arial"/>
          <w:sz w:val="24"/>
          <w:szCs w:val="24"/>
        </w:rPr>
        <w:t xml:space="preserve">they had been persuaded by the evidence of clinical experts to take a less conservative view. </w:t>
      </w:r>
    </w:p>
    <w:p w14:paraId="68733D67" w14:textId="77777777" w:rsidR="002E53E5" w:rsidRPr="002E53E5" w:rsidRDefault="002E53E5" w:rsidP="002E53E5">
      <w:pPr>
        <w:pStyle w:val="ListParagraph"/>
        <w:rPr>
          <w:rFonts w:ascii="Arial" w:hAnsi="Arial" w:cs="Arial"/>
          <w:sz w:val="24"/>
          <w:szCs w:val="24"/>
        </w:rPr>
      </w:pPr>
    </w:p>
    <w:p w14:paraId="28078FB5" w14:textId="2B8D887A" w:rsidR="002E53E5" w:rsidRDefault="002E53E5" w:rsidP="00D02918">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Prof Gary McVeigh, for NICE, </w:t>
      </w:r>
      <w:r w:rsidR="004C7A3C">
        <w:rPr>
          <w:rFonts w:ascii="Arial" w:hAnsi="Arial" w:cs="Arial"/>
          <w:sz w:val="24"/>
          <w:szCs w:val="24"/>
        </w:rPr>
        <w:t xml:space="preserve">discussed </w:t>
      </w:r>
      <w:r w:rsidR="00BD7ADE">
        <w:rPr>
          <w:rFonts w:ascii="Arial" w:hAnsi="Arial" w:cs="Arial"/>
          <w:sz w:val="24"/>
          <w:szCs w:val="24"/>
        </w:rPr>
        <w:t>t</w:t>
      </w:r>
      <w:r w:rsidR="004C7A3C">
        <w:rPr>
          <w:rFonts w:ascii="Arial" w:hAnsi="Arial" w:cs="Arial"/>
          <w:sz w:val="24"/>
          <w:szCs w:val="24"/>
        </w:rPr>
        <w:t>he argument from the company in their appeal letter that the time varying hazard ratios</w:t>
      </w:r>
      <w:r w:rsidR="004661E7">
        <w:rPr>
          <w:rFonts w:ascii="Arial" w:hAnsi="Arial" w:cs="Arial"/>
          <w:sz w:val="24"/>
          <w:szCs w:val="24"/>
        </w:rPr>
        <w:t xml:space="preserve"> from KEYNOTE-045 support a treatment effect beyon</w:t>
      </w:r>
      <w:r w:rsidR="00893927">
        <w:rPr>
          <w:rFonts w:ascii="Arial" w:hAnsi="Arial" w:cs="Arial"/>
          <w:sz w:val="24"/>
          <w:szCs w:val="24"/>
        </w:rPr>
        <w:t>d</w:t>
      </w:r>
      <w:r w:rsidR="004661E7">
        <w:rPr>
          <w:rFonts w:ascii="Arial" w:hAnsi="Arial" w:cs="Arial"/>
          <w:sz w:val="24"/>
          <w:szCs w:val="24"/>
        </w:rPr>
        <w:t xml:space="preserve"> 3 years.  </w:t>
      </w:r>
      <w:r w:rsidR="00893927">
        <w:rPr>
          <w:rFonts w:ascii="Arial" w:hAnsi="Arial" w:cs="Arial"/>
          <w:sz w:val="24"/>
          <w:szCs w:val="24"/>
        </w:rPr>
        <w:t xml:space="preserve">The committee took the view that this data was not reliable because of </w:t>
      </w:r>
      <w:r w:rsidR="00A877C5">
        <w:rPr>
          <w:rFonts w:ascii="Arial" w:hAnsi="Arial" w:cs="Arial"/>
          <w:sz w:val="24"/>
          <w:szCs w:val="24"/>
        </w:rPr>
        <w:t xml:space="preserve">a </w:t>
      </w:r>
      <w:r w:rsidR="008B3141">
        <w:rPr>
          <w:rFonts w:ascii="Arial" w:hAnsi="Arial" w:cs="Arial"/>
          <w:sz w:val="24"/>
          <w:szCs w:val="24"/>
        </w:rPr>
        <w:t xml:space="preserve">small number of events </w:t>
      </w:r>
      <w:r w:rsidR="00C65C14">
        <w:rPr>
          <w:rFonts w:ascii="Arial" w:hAnsi="Arial" w:cs="Arial"/>
          <w:sz w:val="24"/>
          <w:szCs w:val="24"/>
        </w:rPr>
        <w:t>after 3 years</w:t>
      </w:r>
      <w:r w:rsidR="008B3141">
        <w:rPr>
          <w:rFonts w:ascii="Arial" w:hAnsi="Arial" w:cs="Arial"/>
          <w:sz w:val="24"/>
          <w:szCs w:val="24"/>
        </w:rPr>
        <w:t>.</w:t>
      </w:r>
    </w:p>
    <w:p w14:paraId="4520CCD3" w14:textId="77777777" w:rsidR="00B13413" w:rsidRPr="00B13413" w:rsidRDefault="00B13413" w:rsidP="00B13413">
      <w:pPr>
        <w:pStyle w:val="ListParagraph"/>
        <w:rPr>
          <w:rFonts w:ascii="Arial" w:hAnsi="Arial" w:cs="Arial"/>
          <w:sz w:val="24"/>
          <w:szCs w:val="24"/>
        </w:rPr>
      </w:pPr>
    </w:p>
    <w:p w14:paraId="165E8BBA" w14:textId="718BC4CA" w:rsidR="00D02918" w:rsidRDefault="00B13413" w:rsidP="00F72E21">
      <w:pPr>
        <w:pStyle w:val="ListParagraph"/>
        <w:numPr>
          <w:ilvl w:val="0"/>
          <w:numId w:val="21"/>
        </w:numPr>
        <w:spacing w:after="0" w:line="240" w:lineRule="auto"/>
        <w:rPr>
          <w:rFonts w:ascii="Arial" w:hAnsi="Arial" w:cs="Arial"/>
          <w:sz w:val="24"/>
          <w:szCs w:val="24"/>
        </w:rPr>
      </w:pPr>
      <w:r w:rsidRPr="00C87D44">
        <w:rPr>
          <w:rFonts w:ascii="Arial" w:hAnsi="Arial" w:cs="Arial"/>
          <w:sz w:val="24"/>
          <w:szCs w:val="24"/>
        </w:rPr>
        <w:t xml:space="preserve">Prof McVeigh stated that </w:t>
      </w:r>
      <w:r w:rsidR="00301E6F" w:rsidRPr="00C87D44">
        <w:rPr>
          <w:rFonts w:ascii="Arial" w:hAnsi="Arial" w:cs="Arial"/>
          <w:sz w:val="24"/>
          <w:szCs w:val="24"/>
        </w:rPr>
        <w:t>some patients in KEYNOTE-045 were re-treated after the 2</w:t>
      </w:r>
      <w:r w:rsidR="00A877C5">
        <w:rPr>
          <w:rFonts w:ascii="Arial" w:hAnsi="Arial" w:cs="Arial"/>
          <w:sz w:val="24"/>
          <w:szCs w:val="24"/>
        </w:rPr>
        <w:t>-</w:t>
      </w:r>
      <w:r w:rsidR="00301E6F" w:rsidRPr="00C87D44">
        <w:rPr>
          <w:rFonts w:ascii="Arial" w:hAnsi="Arial" w:cs="Arial"/>
          <w:sz w:val="24"/>
          <w:szCs w:val="24"/>
        </w:rPr>
        <w:t xml:space="preserve">year stopping rule (unlike in NHS practice).  The company adjusted for </w:t>
      </w:r>
      <w:r w:rsidR="003E009D" w:rsidRPr="00C87D44">
        <w:rPr>
          <w:rFonts w:ascii="Arial" w:hAnsi="Arial" w:cs="Arial"/>
          <w:sz w:val="24"/>
          <w:szCs w:val="24"/>
        </w:rPr>
        <w:t>treatment switching</w:t>
      </w:r>
      <w:r w:rsidR="00301E6F" w:rsidRPr="00C87D44">
        <w:rPr>
          <w:rFonts w:ascii="Arial" w:hAnsi="Arial" w:cs="Arial"/>
          <w:sz w:val="24"/>
          <w:szCs w:val="24"/>
        </w:rPr>
        <w:t xml:space="preserve"> in the </w:t>
      </w:r>
      <w:r w:rsidR="003E009D" w:rsidRPr="00C87D44">
        <w:rPr>
          <w:rFonts w:ascii="Arial" w:hAnsi="Arial" w:cs="Arial"/>
          <w:sz w:val="24"/>
          <w:szCs w:val="24"/>
        </w:rPr>
        <w:t xml:space="preserve">Standard of Care arm but not for re-treatment in the pembrolizumab arm.  </w:t>
      </w:r>
      <w:r w:rsidR="00D9162D" w:rsidRPr="00C87D44">
        <w:rPr>
          <w:rFonts w:ascii="Arial" w:hAnsi="Arial" w:cs="Arial"/>
          <w:sz w:val="24"/>
          <w:szCs w:val="24"/>
        </w:rPr>
        <w:t>This re-treatment m</w:t>
      </w:r>
      <w:r w:rsidR="00291F01" w:rsidRPr="00C87D44">
        <w:rPr>
          <w:rFonts w:ascii="Arial" w:hAnsi="Arial" w:cs="Arial"/>
          <w:sz w:val="24"/>
          <w:szCs w:val="24"/>
        </w:rPr>
        <w:t xml:space="preserve">ay have played a </w:t>
      </w:r>
      <w:proofErr w:type="gramStart"/>
      <w:r w:rsidR="00291F01" w:rsidRPr="00C87D44">
        <w:rPr>
          <w:rFonts w:ascii="Arial" w:hAnsi="Arial" w:cs="Arial"/>
          <w:sz w:val="24"/>
          <w:szCs w:val="24"/>
        </w:rPr>
        <w:t>particular part</w:t>
      </w:r>
      <w:proofErr w:type="gramEnd"/>
      <w:r w:rsidR="00291F01" w:rsidRPr="00C87D44">
        <w:rPr>
          <w:rFonts w:ascii="Arial" w:hAnsi="Arial" w:cs="Arial"/>
          <w:sz w:val="24"/>
          <w:szCs w:val="24"/>
        </w:rPr>
        <w:t xml:space="preserve"> in effects seen after longer follow-up. </w:t>
      </w:r>
    </w:p>
    <w:p w14:paraId="44232694" w14:textId="77777777" w:rsidR="00C87D44" w:rsidRPr="00C87D44" w:rsidRDefault="00C87D44" w:rsidP="00C87D44">
      <w:pPr>
        <w:pStyle w:val="ListParagraph"/>
        <w:rPr>
          <w:rFonts w:ascii="Arial" w:hAnsi="Arial" w:cs="Arial"/>
          <w:sz w:val="24"/>
          <w:szCs w:val="24"/>
        </w:rPr>
      </w:pPr>
    </w:p>
    <w:p w14:paraId="138BC499" w14:textId="1A096B93" w:rsidR="00C87D44" w:rsidRDefault="00C87D44" w:rsidP="00F72E21">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Prof McVeigh </w:t>
      </w:r>
      <w:r w:rsidR="00C738E8">
        <w:rPr>
          <w:rFonts w:ascii="Arial" w:hAnsi="Arial" w:cs="Arial"/>
          <w:sz w:val="24"/>
          <w:szCs w:val="24"/>
        </w:rPr>
        <w:t xml:space="preserve">said that the ERG concluded that there was no </w:t>
      </w:r>
      <w:r w:rsidR="00401301">
        <w:rPr>
          <w:rFonts w:ascii="Arial" w:hAnsi="Arial" w:cs="Arial"/>
          <w:sz w:val="24"/>
          <w:szCs w:val="24"/>
        </w:rPr>
        <w:t>evidence of benefit beyond 3 years because the</w:t>
      </w:r>
      <w:r w:rsidR="00C738E8">
        <w:rPr>
          <w:rFonts w:ascii="Arial" w:hAnsi="Arial" w:cs="Arial"/>
          <w:sz w:val="24"/>
          <w:szCs w:val="24"/>
        </w:rPr>
        <w:t xml:space="preserve"> confidence inter</w:t>
      </w:r>
      <w:r w:rsidR="00401301">
        <w:rPr>
          <w:rFonts w:ascii="Arial" w:hAnsi="Arial" w:cs="Arial"/>
          <w:sz w:val="24"/>
          <w:szCs w:val="24"/>
        </w:rPr>
        <w:t>v</w:t>
      </w:r>
      <w:r w:rsidR="00C738E8">
        <w:rPr>
          <w:rFonts w:ascii="Arial" w:hAnsi="Arial" w:cs="Arial"/>
          <w:sz w:val="24"/>
          <w:szCs w:val="24"/>
        </w:rPr>
        <w:t>als around the hazard ratio crossed</w:t>
      </w:r>
      <w:r w:rsidR="00401301">
        <w:rPr>
          <w:rFonts w:ascii="Arial" w:hAnsi="Arial" w:cs="Arial"/>
          <w:sz w:val="24"/>
          <w:szCs w:val="24"/>
        </w:rPr>
        <w:t xml:space="preserve"> </w:t>
      </w:r>
      <w:r w:rsidR="008351A0">
        <w:rPr>
          <w:rFonts w:ascii="Arial" w:hAnsi="Arial" w:cs="Arial"/>
          <w:sz w:val="24"/>
          <w:szCs w:val="24"/>
        </w:rPr>
        <w:t>one</w:t>
      </w:r>
      <w:r w:rsidR="00401301">
        <w:rPr>
          <w:rFonts w:ascii="Arial" w:hAnsi="Arial" w:cs="Arial"/>
          <w:sz w:val="24"/>
          <w:szCs w:val="24"/>
        </w:rPr>
        <w:t xml:space="preserve"> very early.  </w:t>
      </w:r>
      <w:r w:rsidR="000765EF">
        <w:rPr>
          <w:rFonts w:ascii="Arial" w:hAnsi="Arial" w:cs="Arial"/>
          <w:sz w:val="24"/>
          <w:szCs w:val="24"/>
        </w:rPr>
        <w:t>He therefore argued that the committee had been lenient in deciding to consider</w:t>
      </w:r>
      <w:r w:rsidR="00E91E30">
        <w:rPr>
          <w:rFonts w:ascii="Arial" w:hAnsi="Arial" w:cs="Arial"/>
          <w:sz w:val="24"/>
          <w:szCs w:val="24"/>
        </w:rPr>
        <w:t xml:space="preserve"> a 5</w:t>
      </w:r>
      <w:r w:rsidR="00A877C5">
        <w:rPr>
          <w:rFonts w:ascii="Arial" w:hAnsi="Arial" w:cs="Arial"/>
          <w:sz w:val="24"/>
          <w:szCs w:val="24"/>
        </w:rPr>
        <w:t>-</w:t>
      </w:r>
      <w:r w:rsidR="00E91E30">
        <w:rPr>
          <w:rFonts w:ascii="Arial" w:hAnsi="Arial" w:cs="Arial"/>
          <w:sz w:val="24"/>
          <w:szCs w:val="24"/>
        </w:rPr>
        <w:t>year treatment effect duration.</w:t>
      </w:r>
    </w:p>
    <w:p w14:paraId="7401EA56" w14:textId="77777777" w:rsidR="00E91E30" w:rsidRPr="00E91E30" w:rsidRDefault="00E91E30" w:rsidP="00E91E30">
      <w:pPr>
        <w:pStyle w:val="ListParagraph"/>
        <w:rPr>
          <w:rFonts w:ascii="Arial" w:hAnsi="Arial" w:cs="Arial"/>
          <w:sz w:val="24"/>
          <w:szCs w:val="24"/>
        </w:rPr>
      </w:pPr>
    </w:p>
    <w:p w14:paraId="0887CD65" w14:textId="5D836817" w:rsidR="00E91E30" w:rsidRDefault="00B33481" w:rsidP="00F72E21">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Benjamin Bates, for MSD, said that the </w:t>
      </w:r>
      <w:r w:rsidR="00A93F86">
        <w:rPr>
          <w:rFonts w:ascii="Arial" w:hAnsi="Arial" w:cs="Arial"/>
          <w:sz w:val="24"/>
          <w:szCs w:val="24"/>
        </w:rPr>
        <w:t xml:space="preserve">hazard ratio confidence intervals </w:t>
      </w:r>
      <w:r w:rsidR="006C6A68">
        <w:rPr>
          <w:rFonts w:ascii="Arial" w:hAnsi="Arial" w:cs="Arial"/>
          <w:sz w:val="24"/>
          <w:szCs w:val="24"/>
        </w:rPr>
        <w:t>are wide because of the small number of patients at risk, not because of a</w:t>
      </w:r>
      <w:r w:rsidR="00990D73">
        <w:rPr>
          <w:rFonts w:ascii="Arial" w:hAnsi="Arial" w:cs="Arial"/>
          <w:sz w:val="24"/>
          <w:szCs w:val="24"/>
        </w:rPr>
        <w:t xml:space="preserve">n absence of ongoing treatment effect.  It would have been unfeasible for KEYNOTE-045 to be powered to </w:t>
      </w:r>
      <w:r w:rsidR="005D13A0">
        <w:rPr>
          <w:rFonts w:ascii="Arial" w:hAnsi="Arial" w:cs="Arial"/>
          <w:sz w:val="24"/>
          <w:szCs w:val="24"/>
        </w:rPr>
        <w:t xml:space="preserve">detect a treatment effect at &gt;3 years.  </w:t>
      </w:r>
      <w:r w:rsidR="004F1407">
        <w:rPr>
          <w:rFonts w:ascii="Arial" w:hAnsi="Arial" w:cs="Arial"/>
          <w:sz w:val="24"/>
          <w:szCs w:val="24"/>
        </w:rPr>
        <w:t>He argued that</w:t>
      </w:r>
      <w:r w:rsidR="005D13A0">
        <w:rPr>
          <w:rFonts w:ascii="Arial" w:hAnsi="Arial" w:cs="Arial"/>
          <w:sz w:val="24"/>
          <w:szCs w:val="24"/>
        </w:rPr>
        <w:t xml:space="preserve"> the additional data shows that </w:t>
      </w:r>
      <w:r w:rsidR="004C7C9F">
        <w:rPr>
          <w:rFonts w:ascii="Arial" w:hAnsi="Arial" w:cs="Arial"/>
          <w:sz w:val="24"/>
          <w:szCs w:val="24"/>
        </w:rPr>
        <w:t xml:space="preserve">the </w:t>
      </w:r>
      <w:r w:rsidR="005D13A0">
        <w:rPr>
          <w:rFonts w:ascii="Arial" w:hAnsi="Arial" w:cs="Arial"/>
          <w:sz w:val="24"/>
          <w:szCs w:val="24"/>
        </w:rPr>
        <w:t xml:space="preserve">time-varying hazard ratio seems to plateau, rather than moving towards 1. </w:t>
      </w:r>
      <w:r w:rsidR="004F1407">
        <w:rPr>
          <w:rFonts w:ascii="Arial" w:hAnsi="Arial" w:cs="Arial"/>
          <w:sz w:val="24"/>
          <w:szCs w:val="24"/>
        </w:rPr>
        <w:t>He acknowledged</w:t>
      </w:r>
      <w:r w:rsidR="000B5C88">
        <w:rPr>
          <w:rFonts w:ascii="Arial" w:hAnsi="Arial" w:cs="Arial"/>
          <w:sz w:val="24"/>
          <w:szCs w:val="24"/>
        </w:rPr>
        <w:t xml:space="preserve"> that there may be waning of the treatment effect and </w:t>
      </w:r>
      <w:r w:rsidR="004F1407">
        <w:rPr>
          <w:rFonts w:ascii="Arial" w:hAnsi="Arial" w:cs="Arial"/>
          <w:sz w:val="24"/>
          <w:szCs w:val="24"/>
        </w:rPr>
        <w:t xml:space="preserve">said that </w:t>
      </w:r>
      <w:r w:rsidR="000B5C88">
        <w:rPr>
          <w:rFonts w:ascii="Arial" w:hAnsi="Arial" w:cs="Arial"/>
          <w:sz w:val="24"/>
          <w:szCs w:val="24"/>
        </w:rPr>
        <w:t xml:space="preserve">this is reflected in the modelling.  </w:t>
      </w:r>
      <w:r w:rsidR="000B351D">
        <w:rPr>
          <w:rFonts w:ascii="Arial" w:hAnsi="Arial" w:cs="Arial"/>
          <w:sz w:val="24"/>
          <w:szCs w:val="24"/>
        </w:rPr>
        <w:t xml:space="preserve">However, </w:t>
      </w:r>
      <w:r w:rsidR="00C53F7B">
        <w:rPr>
          <w:rFonts w:ascii="Arial" w:hAnsi="Arial" w:cs="Arial"/>
          <w:sz w:val="24"/>
          <w:szCs w:val="24"/>
        </w:rPr>
        <w:t>he argued</w:t>
      </w:r>
      <w:r w:rsidR="000B351D">
        <w:rPr>
          <w:rFonts w:ascii="Arial" w:hAnsi="Arial" w:cs="Arial"/>
          <w:sz w:val="24"/>
          <w:szCs w:val="24"/>
        </w:rPr>
        <w:t xml:space="preserve"> that it </w:t>
      </w:r>
      <w:r w:rsidR="0087624D">
        <w:rPr>
          <w:rFonts w:ascii="Arial" w:hAnsi="Arial" w:cs="Arial"/>
          <w:sz w:val="24"/>
          <w:szCs w:val="24"/>
        </w:rPr>
        <w:t>is just not plausible that there would be no ongoing treatment effect after 3 years. The company concluded that a 5</w:t>
      </w:r>
      <w:r w:rsidR="00A877C5">
        <w:rPr>
          <w:rFonts w:ascii="Arial" w:hAnsi="Arial" w:cs="Arial"/>
          <w:sz w:val="24"/>
          <w:szCs w:val="24"/>
        </w:rPr>
        <w:t>-</w:t>
      </w:r>
      <w:r w:rsidR="0087624D">
        <w:rPr>
          <w:rFonts w:ascii="Arial" w:hAnsi="Arial" w:cs="Arial"/>
          <w:sz w:val="24"/>
          <w:szCs w:val="24"/>
        </w:rPr>
        <w:t xml:space="preserve">year duration of treatment effect was most plausible based on a combination of the data and clinical opinion.   </w:t>
      </w:r>
    </w:p>
    <w:p w14:paraId="5CDF61BF" w14:textId="77777777" w:rsidR="006B7515" w:rsidRPr="006B7515" w:rsidRDefault="006B7515" w:rsidP="006B7515">
      <w:pPr>
        <w:pStyle w:val="ListParagraph"/>
        <w:rPr>
          <w:rFonts w:ascii="Arial" w:hAnsi="Arial" w:cs="Arial"/>
          <w:sz w:val="24"/>
          <w:szCs w:val="24"/>
        </w:rPr>
      </w:pPr>
    </w:p>
    <w:p w14:paraId="00B5D639" w14:textId="2139A127" w:rsidR="005B3394" w:rsidRDefault="006B7515" w:rsidP="005B3394">
      <w:pPr>
        <w:pStyle w:val="ListParagraph"/>
        <w:numPr>
          <w:ilvl w:val="0"/>
          <w:numId w:val="21"/>
        </w:numPr>
        <w:spacing w:after="0" w:line="240" w:lineRule="auto"/>
        <w:rPr>
          <w:rFonts w:ascii="Arial" w:hAnsi="Arial" w:cs="Arial"/>
          <w:sz w:val="24"/>
          <w:szCs w:val="24"/>
        </w:rPr>
      </w:pPr>
      <w:r>
        <w:rPr>
          <w:rFonts w:ascii="Arial" w:hAnsi="Arial" w:cs="Arial"/>
          <w:sz w:val="24"/>
          <w:szCs w:val="24"/>
        </w:rPr>
        <w:t>Daniel</w:t>
      </w:r>
      <w:r w:rsidR="005B3394">
        <w:rPr>
          <w:rFonts w:ascii="Arial" w:hAnsi="Arial" w:cs="Arial"/>
          <w:sz w:val="24"/>
          <w:szCs w:val="24"/>
        </w:rPr>
        <w:t xml:space="preserve"> </w:t>
      </w:r>
      <w:proofErr w:type="spellStart"/>
      <w:r w:rsidR="005B3394">
        <w:rPr>
          <w:rFonts w:ascii="Arial" w:hAnsi="Arial" w:cs="Arial"/>
          <w:sz w:val="24"/>
          <w:szCs w:val="24"/>
        </w:rPr>
        <w:t>Gal</w:t>
      </w:r>
      <w:r w:rsidR="00472376">
        <w:rPr>
          <w:rFonts w:ascii="Arial" w:hAnsi="Arial" w:cs="Arial"/>
          <w:sz w:val="24"/>
          <w:szCs w:val="24"/>
        </w:rPr>
        <w:t>l</w:t>
      </w:r>
      <w:r w:rsidR="005B3394">
        <w:rPr>
          <w:rFonts w:ascii="Arial" w:hAnsi="Arial" w:cs="Arial"/>
          <w:sz w:val="24"/>
          <w:szCs w:val="24"/>
        </w:rPr>
        <w:t>acher</w:t>
      </w:r>
      <w:proofErr w:type="spellEnd"/>
      <w:r w:rsidR="005B3394">
        <w:rPr>
          <w:rFonts w:ascii="Arial" w:hAnsi="Arial" w:cs="Arial"/>
          <w:sz w:val="24"/>
          <w:szCs w:val="24"/>
        </w:rPr>
        <w:t>, for NICE, explained why the ERG judged a 3</w:t>
      </w:r>
      <w:r w:rsidR="00A877C5">
        <w:rPr>
          <w:rFonts w:ascii="Arial" w:hAnsi="Arial" w:cs="Arial"/>
          <w:sz w:val="24"/>
          <w:szCs w:val="24"/>
        </w:rPr>
        <w:t>-</w:t>
      </w:r>
      <w:r w:rsidR="005B3394">
        <w:rPr>
          <w:rFonts w:ascii="Arial" w:hAnsi="Arial" w:cs="Arial"/>
          <w:sz w:val="24"/>
          <w:szCs w:val="24"/>
        </w:rPr>
        <w:t xml:space="preserve">year treatment effect to be the most plausible.  </w:t>
      </w:r>
      <w:r w:rsidR="00502552">
        <w:rPr>
          <w:rFonts w:ascii="Arial" w:hAnsi="Arial" w:cs="Arial"/>
          <w:sz w:val="24"/>
          <w:szCs w:val="24"/>
        </w:rPr>
        <w:t xml:space="preserve">He highlighted again that the treatment effect begins to wane as early as 30 weeks, and the confidence intervals for the hazard ratio cross 1 </w:t>
      </w:r>
      <w:r w:rsidR="00866AA7">
        <w:rPr>
          <w:rFonts w:ascii="Arial" w:hAnsi="Arial" w:cs="Arial"/>
          <w:sz w:val="24"/>
          <w:szCs w:val="24"/>
        </w:rPr>
        <w:t xml:space="preserve">from 60 weeks. </w:t>
      </w:r>
      <w:r w:rsidR="00080B21">
        <w:rPr>
          <w:rFonts w:ascii="Arial" w:hAnsi="Arial" w:cs="Arial"/>
          <w:sz w:val="24"/>
          <w:szCs w:val="24"/>
        </w:rPr>
        <w:t>This led the ERG to conclude that only a 2</w:t>
      </w:r>
      <w:r w:rsidR="00A877C5">
        <w:rPr>
          <w:rFonts w:ascii="Arial" w:hAnsi="Arial" w:cs="Arial"/>
          <w:sz w:val="24"/>
          <w:szCs w:val="24"/>
        </w:rPr>
        <w:t>-</w:t>
      </w:r>
      <w:r w:rsidR="00080B21">
        <w:rPr>
          <w:rFonts w:ascii="Arial" w:hAnsi="Arial" w:cs="Arial"/>
          <w:sz w:val="24"/>
          <w:szCs w:val="24"/>
        </w:rPr>
        <w:t xml:space="preserve">year </w:t>
      </w:r>
      <w:r w:rsidR="00080B21">
        <w:rPr>
          <w:rFonts w:ascii="Arial" w:hAnsi="Arial" w:cs="Arial"/>
          <w:sz w:val="24"/>
          <w:szCs w:val="24"/>
        </w:rPr>
        <w:lastRenderedPageBreak/>
        <w:t xml:space="preserve">treatment effect could be robustly supported.  They acknowledged that this was probably too pessimistic, </w:t>
      </w:r>
      <w:r w:rsidR="00653093">
        <w:rPr>
          <w:rFonts w:ascii="Arial" w:hAnsi="Arial" w:cs="Arial"/>
          <w:sz w:val="24"/>
          <w:szCs w:val="24"/>
        </w:rPr>
        <w:t xml:space="preserve">so </w:t>
      </w:r>
      <w:r w:rsidR="005C7F87">
        <w:rPr>
          <w:rFonts w:ascii="Arial" w:hAnsi="Arial" w:cs="Arial"/>
          <w:sz w:val="24"/>
          <w:szCs w:val="24"/>
        </w:rPr>
        <w:t>used a 3</w:t>
      </w:r>
      <w:r w:rsidR="00A877C5">
        <w:rPr>
          <w:rFonts w:ascii="Arial" w:hAnsi="Arial" w:cs="Arial"/>
          <w:sz w:val="24"/>
          <w:szCs w:val="24"/>
        </w:rPr>
        <w:t>-</w:t>
      </w:r>
      <w:r w:rsidR="005C7F87">
        <w:rPr>
          <w:rFonts w:ascii="Arial" w:hAnsi="Arial" w:cs="Arial"/>
          <w:sz w:val="24"/>
          <w:szCs w:val="24"/>
        </w:rPr>
        <w:t xml:space="preserve">year effect in their preferred model. </w:t>
      </w:r>
      <w:r w:rsidR="00502A3E">
        <w:rPr>
          <w:rFonts w:ascii="Arial" w:hAnsi="Arial" w:cs="Arial"/>
          <w:sz w:val="24"/>
          <w:szCs w:val="24"/>
        </w:rPr>
        <w:t xml:space="preserve">He said that the apparent plateau in the </w:t>
      </w:r>
      <w:r w:rsidR="00BE4254">
        <w:rPr>
          <w:rFonts w:ascii="Arial" w:hAnsi="Arial" w:cs="Arial"/>
          <w:sz w:val="24"/>
          <w:szCs w:val="24"/>
        </w:rPr>
        <w:t>t</w:t>
      </w:r>
      <w:r w:rsidR="00502A3E">
        <w:rPr>
          <w:rFonts w:ascii="Arial" w:hAnsi="Arial" w:cs="Arial"/>
          <w:sz w:val="24"/>
          <w:szCs w:val="24"/>
        </w:rPr>
        <w:t xml:space="preserve">ime varying hazard ration could not be relied upon because of the low number of </w:t>
      </w:r>
      <w:r w:rsidR="00BE4254">
        <w:rPr>
          <w:rFonts w:ascii="Arial" w:hAnsi="Arial" w:cs="Arial"/>
          <w:sz w:val="24"/>
          <w:szCs w:val="24"/>
        </w:rPr>
        <w:t xml:space="preserve">events.  </w:t>
      </w:r>
      <w:r w:rsidR="00236569">
        <w:rPr>
          <w:rFonts w:ascii="Arial" w:hAnsi="Arial" w:cs="Arial"/>
          <w:sz w:val="24"/>
          <w:szCs w:val="24"/>
        </w:rPr>
        <w:t xml:space="preserve"> </w:t>
      </w:r>
    </w:p>
    <w:p w14:paraId="5AE80985" w14:textId="77777777" w:rsidR="00DA3F05" w:rsidRPr="00DA3F05" w:rsidRDefault="00DA3F05" w:rsidP="00DA3F05">
      <w:pPr>
        <w:pStyle w:val="ListParagraph"/>
        <w:rPr>
          <w:rFonts w:ascii="Arial" w:hAnsi="Arial" w:cs="Arial"/>
          <w:sz w:val="24"/>
          <w:szCs w:val="24"/>
        </w:rPr>
      </w:pPr>
    </w:p>
    <w:p w14:paraId="12C211BB" w14:textId="3AE80B6B" w:rsidR="00DA3F05" w:rsidRDefault="00416969" w:rsidP="005B3394">
      <w:pPr>
        <w:pStyle w:val="ListParagraph"/>
        <w:numPr>
          <w:ilvl w:val="0"/>
          <w:numId w:val="21"/>
        </w:numPr>
        <w:spacing w:after="0" w:line="240" w:lineRule="auto"/>
        <w:rPr>
          <w:rFonts w:ascii="Arial" w:hAnsi="Arial" w:cs="Arial"/>
          <w:sz w:val="24"/>
          <w:szCs w:val="24"/>
        </w:rPr>
      </w:pPr>
      <w:r>
        <w:rPr>
          <w:rFonts w:ascii="Arial" w:hAnsi="Arial" w:cs="Arial"/>
          <w:sz w:val="24"/>
          <w:szCs w:val="24"/>
        </w:rPr>
        <w:t>Dr Simon Crabb, for MSD,</w:t>
      </w:r>
      <w:r w:rsidR="00F214D4">
        <w:rPr>
          <w:rFonts w:ascii="Arial" w:hAnsi="Arial" w:cs="Arial"/>
          <w:sz w:val="24"/>
          <w:szCs w:val="24"/>
        </w:rPr>
        <w:t xml:space="preserve"> strongly rejected the idea that a 3</w:t>
      </w:r>
      <w:r w:rsidR="00A877C5">
        <w:rPr>
          <w:rFonts w:ascii="Arial" w:hAnsi="Arial" w:cs="Arial"/>
          <w:sz w:val="24"/>
          <w:szCs w:val="24"/>
        </w:rPr>
        <w:t>-</w:t>
      </w:r>
      <w:r w:rsidR="00F214D4">
        <w:rPr>
          <w:rFonts w:ascii="Arial" w:hAnsi="Arial" w:cs="Arial"/>
          <w:sz w:val="24"/>
          <w:szCs w:val="24"/>
        </w:rPr>
        <w:t>year treatment effect duration could be clinically plausible</w:t>
      </w:r>
      <w:r w:rsidR="002829DD">
        <w:rPr>
          <w:rFonts w:ascii="Arial" w:hAnsi="Arial" w:cs="Arial"/>
          <w:sz w:val="24"/>
          <w:szCs w:val="24"/>
        </w:rPr>
        <w:t xml:space="preserve">.  He said that in his clinical opinion, </w:t>
      </w:r>
      <w:r w:rsidR="00522AA0">
        <w:rPr>
          <w:rFonts w:ascii="Arial" w:hAnsi="Arial" w:cs="Arial"/>
          <w:sz w:val="24"/>
          <w:szCs w:val="24"/>
        </w:rPr>
        <w:t>5 years is the minimum that is plausible.</w:t>
      </w:r>
    </w:p>
    <w:p w14:paraId="3A2EECC7" w14:textId="77777777" w:rsidR="00522AA0" w:rsidRPr="00522AA0" w:rsidRDefault="00522AA0" w:rsidP="00522AA0">
      <w:pPr>
        <w:pStyle w:val="ListParagraph"/>
        <w:rPr>
          <w:rFonts w:ascii="Arial" w:hAnsi="Arial" w:cs="Arial"/>
          <w:sz w:val="24"/>
          <w:szCs w:val="24"/>
        </w:rPr>
      </w:pPr>
    </w:p>
    <w:p w14:paraId="353E70D3" w14:textId="071A7CA0" w:rsidR="00414076" w:rsidRDefault="00414076" w:rsidP="00414076">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As discussed under Appeal Point 1a</w:t>
      </w:r>
      <w:r w:rsidR="00A877C5">
        <w:rPr>
          <w:rFonts w:ascii="Arial" w:hAnsi="Arial" w:cs="Arial"/>
          <w:sz w:val="24"/>
          <w:szCs w:val="24"/>
        </w:rPr>
        <w:t>.</w:t>
      </w:r>
      <w:r>
        <w:rPr>
          <w:rFonts w:ascii="Arial" w:hAnsi="Arial" w:cs="Arial"/>
          <w:sz w:val="24"/>
          <w:szCs w:val="24"/>
        </w:rPr>
        <w:t xml:space="preserve">1, the appeal panel concluded that there is a biologically plausible rationale for thinking that the effect of </w:t>
      </w:r>
      <w:r w:rsidR="00B648C8">
        <w:rPr>
          <w:rFonts w:ascii="Arial" w:hAnsi="Arial" w:cs="Arial"/>
          <w:sz w:val="24"/>
          <w:szCs w:val="24"/>
        </w:rPr>
        <w:t xml:space="preserve">pembrolizumab </w:t>
      </w:r>
      <w:r>
        <w:rPr>
          <w:rFonts w:ascii="Arial" w:hAnsi="Arial" w:cs="Arial"/>
          <w:sz w:val="24"/>
          <w:szCs w:val="24"/>
        </w:rPr>
        <w:t>may continue after treatment is stopped, but that there is a great deal of uncertainty about the duration of treatment effect.</w:t>
      </w:r>
    </w:p>
    <w:p w14:paraId="377B2306" w14:textId="77777777" w:rsidR="00611BF5" w:rsidRPr="00611BF5" w:rsidRDefault="00611BF5" w:rsidP="00611BF5">
      <w:pPr>
        <w:pStyle w:val="ListParagraph"/>
        <w:rPr>
          <w:rFonts w:ascii="Arial" w:hAnsi="Arial" w:cs="Arial"/>
          <w:sz w:val="24"/>
          <w:szCs w:val="24"/>
        </w:rPr>
      </w:pPr>
    </w:p>
    <w:p w14:paraId="09FB64E4" w14:textId="1E2BBD93" w:rsidR="00611BF5" w:rsidRDefault="00611BF5" w:rsidP="00414076">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The </w:t>
      </w:r>
      <w:r w:rsidR="00BD44E5">
        <w:rPr>
          <w:rFonts w:ascii="Arial" w:hAnsi="Arial" w:cs="Arial"/>
          <w:sz w:val="24"/>
          <w:szCs w:val="24"/>
        </w:rPr>
        <w:t>issue of consistency with previous appraisals has been considered above under Appeal Point 1a</w:t>
      </w:r>
      <w:r w:rsidR="00A877C5">
        <w:rPr>
          <w:rFonts w:ascii="Arial" w:hAnsi="Arial" w:cs="Arial"/>
          <w:sz w:val="24"/>
          <w:szCs w:val="24"/>
        </w:rPr>
        <w:t>.</w:t>
      </w:r>
      <w:r w:rsidR="00BD44E5">
        <w:rPr>
          <w:rFonts w:ascii="Arial" w:hAnsi="Arial" w:cs="Arial"/>
          <w:sz w:val="24"/>
          <w:szCs w:val="24"/>
        </w:rPr>
        <w:t xml:space="preserve">1, so is not discussed further here.  In reaching a conclusion on Appeal Point 2.1, the panel has considered whether the </w:t>
      </w:r>
      <w:r w:rsidR="003630D7">
        <w:rPr>
          <w:rFonts w:ascii="Arial" w:hAnsi="Arial" w:cs="Arial"/>
          <w:sz w:val="24"/>
          <w:szCs w:val="24"/>
        </w:rPr>
        <w:t xml:space="preserve">assessment of duration of treatment effect was reasonable in the light of the evidence submitted in this appraisal </w:t>
      </w:r>
      <w:r w:rsidR="003D3A81">
        <w:rPr>
          <w:rFonts w:ascii="Arial" w:hAnsi="Arial" w:cs="Arial"/>
          <w:sz w:val="24"/>
          <w:szCs w:val="24"/>
        </w:rPr>
        <w:t xml:space="preserve">only </w:t>
      </w:r>
      <w:r w:rsidR="003630D7">
        <w:rPr>
          <w:rFonts w:ascii="Arial" w:hAnsi="Arial" w:cs="Arial"/>
          <w:sz w:val="24"/>
          <w:szCs w:val="24"/>
        </w:rPr>
        <w:t xml:space="preserve">(leaving aside the issue of consistency).  </w:t>
      </w:r>
      <w:r w:rsidR="00BD44E5">
        <w:rPr>
          <w:rFonts w:ascii="Arial" w:hAnsi="Arial" w:cs="Arial"/>
          <w:sz w:val="24"/>
          <w:szCs w:val="24"/>
        </w:rPr>
        <w:t xml:space="preserve"> </w:t>
      </w:r>
    </w:p>
    <w:p w14:paraId="0C5A2BCA" w14:textId="77777777" w:rsidR="00441BE4" w:rsidRPr="00441BE4" w:rsidRDefault="00441BE4" w:rsidP="00441BE4">
      <w:pPr>
        <w:pStyle w:val="ListParagraph"/>
        <w:rPr>
          <w:rFonts w:ascii="Arial" w:hAnsi="Arial" w:cs="Arial"/>
          <w:sz w:val="24"/>
          <w:szCs w:val="24"/>
        </w:rPr>
      </w:pPr>
    </w:p>
    <w:p w14:paraId="7A4E9742" w14:textId="197CE67A" w:rsidR="00024129" w:rsidRDefault="00441BE4" w:rsidP="00024129">
      <w:pPr>
        <w:pStyle w:val="ListParagraph"/>
        <w:numPr>
          <w:ilvl w:val="0"/>
          <w:numId w:val="21"/>
        </w:numPr>
        <w:spacing w:before="240" w:after="0" w:line="240" w:lineRule="auto"/>
        <w:rPr>
          <w:rFonts w:ascii="Arial" w:hAnsi="Arial" w:cs="Arial"/>
          <w:sz w:val="24"/>
          <w:szCs w:val="24"/>
        </w:rPr>
      </w:pPr>
      <w:r>
        <w:rPr>
          <w:rFonts w:ascii="Arial" w:hAnsi="Arial" w:cs="Arial"/>
          <w:sz w:val="24"/>
          <w:szCs w:val="24"/>
        </w:rPr>
        <w:t xml:space="preserve">The appeal panel judged that the committee had given a rationale for </w:t>
      </w:r>
      <w:r w:rsidR="00627AE4">
        <w:rPr>
          <w:rFonts w:ascii="Arial" w:hAnsi="Arial" w:cs="Arial"/>
          <w:sz w:val="24"/>
          <w:szCs w:val="24"/>
        </w:rPr>
        <w:t xml:space="preserve">concluding that </w:t>
      </w:r>
      <w:r w:rsidR="00582FE7">
        <w:rPr>
          <w:rFonts w:ascii="Arial" w:hAnsi="Arial" w:cs="Arial"/>
          <w:sz w:val="24"/>
          <w:szCs w:val="24"/>
        </w:rPr>
        <w:t>a treatment effect</w:t>
      </w:r>
      <w:r w:rsidR="002D2039">
        <w:rPr>
          <w:rFonts w:ascii="Arial" w:hAnsi="Arial" w:cs="Arial"/>
          <w:sz w:val="24"/>
          <w:szCs w:val="24"/>
        </w:rPr>
        <w:t xml:space="preserve"> duration</w:t>
      </w:r>
      <w:r w:rsidR="00582FE7">
        <w:rPr>
          <w:rFonts w:ascii="Arial" w:hAnsi="Arial" w:cs="Arial"/>
          <w:sz w:val="24"/>
          <w:szCs w:val="24"/>
        </w:rPr>
        <w:t xml:space="preserve"> of 3-5 years could be plausible</w:t>
      </w:r>
      <w:r w:rsidR="003D3A81">
        <w:rPr>
          <w:rFonts w:ascii="Arial" w:hAnsi="Arial" w:cs="Arial"/>
          <w:sz w:val="24"/>
          <w:szCs w:val="24"/>
        </w:rPr>
        <w:t xml:space="preserve"> which if it </w:t>
      </w:r>
      <w:proofErr w:type="gramStart"/>
      <w:r w:rsidR="003D3A81">
        <w:rPr>
          <w:rFonts w:ascii="Arial" w:hAnsi="Arial" w:cs="Arial"/>
          <w:sz w:val="24"/>
          <w:szCs w:val="24"/>
        </w:rPr>
        <w:t>was</w:t>
      </w:r>
      <w:proofErr w:type="gramEnd"/>
      <w:r w:rsidR="003D3A81">
        <w:rPr>
          <w:rFonts w:ascii="Arial" w:hAnsi="Arial" w:cs="Arial"/>
          <w:sz w:val="24"/>
          <w:szCs w:val="24"/>
        </w:rPr>
        <w:t xml:space="preserve"> looked at in isolation was reasonable</w:t>
      </w:r>
      <w:r w:rsidR="00582FE7">
        <w:rPr>
          <w:rFonts w:ascii="Arial" w:hAnsi="Arial" w:cs="Arial"/>
          <w:sz w:val="24"/>
          <w:szCs w:val="24"/>
        </w:rPr>
        <w:t>.  The committee</w:t>
      </w:r>
      <w:r w:rsidR="00726129">
        <w:rPr>
          <w:rFonts w:ascii="Arial" w:hAnsi="Arial" w:cs="Arial"/>
          <w:sz w:val="24"/>
          <w:szCs w:val="24"/>
        </w:rPr>
        <w:t xml:space="preserve"> reached this judgement based on the trial data, </w:t>
      </w:r>
      <w:r w:rsidR="00240E60">
        <w:rPr>
          <w:rFonts w:ascii="Arial" w:hAnsi="Arial" w:cs="Arial"/>
          <w:sz w:val="24"/>
          <w:szCs w:val="24"/>
        </w:rPr>
        <w:t>alongside</w:t>
      </w:r>
      <w:r w:rsidR="00726129">
        <w:rPr>
          <w:rFonts w:ascii="Arial" w:hAnsi="Arial" w:cs="Arial"/>
          <w:sz w:val="24"/>
          <w:szCs w:val="24"/>
        </w:rPr>
        <w:t xml:space="preserve"> expert clinical opinion.  </w:t>
      </w:r>
      <w:r w:rsidR="0068290D">
        <w:rPr>
          <w:rFonts w:ascii="Arial" w:hAnsi="Arial" w:cs="Arial"/>
          <w:sz w:val="24"/>
          <w:szCs w:val="24"/>
        </w:rPr>
        <w:t xml:space="preserve">The committee acknowledged </w:t>
      </w:r>
      <w:r w:rsidR="009265DC">
        <w:rPr>
          <w:rFonts w:ascii="Arial" w:hAnsi="Arial" w:cs="Arial"/>
          <w:sz w:val="24"/>
          <w:szCs w:val="24"/>
        </w:rPr>
        <w:t xml:space="preserve">the likely “tail of treatment” effect and took account of this in their decision-making.  </w:t>
      </w:r>
      <w:r w:rsidR="002F284B">
        <w:rPr>
          <w:rFonts w:ascii="Arial" w:hAnsi="Arial" w:cs="Arial"/>
          <w:sz w:val="24"/>
          <w:szCs w:val="24"/>
        </w:rPr>
        <w:t>The panel did not agree with the company’s view that the committee “considered that the most conservative possible estimate must apply by default”.</w:t>
      </w:r>
      <w:r w:rsidR="003D3A81">
        <w:rPr>
          <w:rFonts w:ascii="Arial" w:hAnsi="Arial" w:cs="Arial"/>
          <w:sz w:val="24"/>
          <w:szCs w:val="24"/>
        </w:rPr>
        <w:t xml:space="preserve">  That allegation suggested the committee felt bound to be as conservative as possible, whereas the panel felt the evidence showed the committee exercising judgement, being persuaded on some points, and not always taking the most cautious view. </w:t>
      </w:r>
      <w:r w:rsidR="002F284B">
        <w:rPr>
          <w:rFonts w:ascii="Arial" w:hAnsi="Arial" w:cs="Arial"/>
          <w:sz w:val="24"/>
          <w:szCs w:val="24"/>
        </w:rPr>
        <w:t xml:space="preserve">  In fact, the ERG </w:t>
      </w:r>
      <w:r w:rsidR="00830A81">
        <w:rPr>
          <w:rFonts w:ascii="Arial" w:hAnsi="Arial" w:cs="Arial"/>
          <w:sz w:val="24"/>
          <w:szCs w:val="24"/>
        </w:rPr>
        <w:t>judged</w:t>
      </w:r>
      <w:r w:rsidR="002F284B">
        <w:rPr>
          <w:rFonts w:ascii="Arial" w:hAnsi="Arial" w:cs="Arial"/>
          <w:sz w:val="24"/>
          <w:szCs w:val="24"/>
        </w:rPr>
        <w:t xml:space="preserve"> a </w:t>
      </w:r>
      <w:r w:rsidR="00830A81">
        <w:rPr>
          <w:rFonts w:ascii="Arial" w:hAnsi="Arial" w:cs="Arial"/>
          <w:sz w:val="24"/>
          <w:szCs w:val="24"/>
        </w:rPr>
        <w:t xml:space="preserve">treatment effect duration of 2 years to have the most robust evidence, but this was not considered by the committee.  </w:t>
      </w:r>
      <w:r w:rsidR="00726129">
        <w:rPr>
          <w:rFonts w:ascii="Arial" w:hAnsi="Arial" w:cs="Arial"/>
          <w:sz w:val="24"/>
          <w:szCs w:val="24"/>
        </w:rPr>
        <w:t>The</w:t>
      </w:r>
      <w:r w:rsidR="00830A81">
        <w:rPr>
          <w:rFonts w:ascii="Arial" w:hAnsi="Arial" w:cs="Arial"/>
          <w:sz w:val="24"/>
          <w:szCs w:val="24"/>
        </w:rPr>
        <w:t xml:space="preserve"> committee</w:t>
      </w:r>
      <w:r w:rsidR="00726129">
        <w:rPr>
          <w:rFonts w:ascii="Arial" w:hAnsi="Arial" w:cs="Arial"/>
          <w:sz w:val="24"/>
          <w:szCs w:val="24"/>
        </w:rPr>
        <w:t xml:space="preserve"> </w:t>
      </w:r>
      <w:r w:rsidR="00DF219F">
        <w:rPr>
          <w:rFonts w:ascii="Arial" w:hAnsi="Arial" w:cs="Arial"/>
          <w:sz w:val="24"/>
          <w:szCs w:val="24"/>
        </w:rPr>
        <w:t>were responsive to points raised at consultation, in changing their preferred tr</w:t>
      </w:r>
      <w:r w:rsidR="002D2039">
        <w:rPr>
          <w:rFonts w:ascii="Arial" w:hAnsi="Arial" w:cs="Arial"/>
          <w:sz w:val="24"/>
          <w:szCs w:val="24"/>
        </w:rPr>
        <w:t xml:space="preserve">eatment effect duration from 3 years to </w:t>
      </w:r>
      <w:r w:rsidR="003D3A81">
        <w:rPr>
          <w:rFonts w:ascii="Arial" w:hAnsi="Arial" w:cs="Arial"/>
          <w:sz w:val="24"/>
          <w:szCs w:val="24"/>
        </w:rPr>
        <w:t xml:space="preserve">at least allowing the possibility of </w:t>
      </w:r>
      <w:r w:rsidR="002D2039">
        <w:rPr>
          <w:rFonts w:ascii="Arial" w:hAnsi="Arial" w:cs="Arial"/>
          <w:sz w:val="24"/>
          <w:szCs w:val="24"/>
        </w:rPr>
        <w:t>3-5 years.</w:t>
      </w:r>
      <w:r w:rsidR="001202D4">
        <w:rPr>
          <w:rFonts w:ascii="Arial" w:hAnsi="Arial" w:cs="Arial"/>
          <w:sz w:val="24"/>
          <w:szCs w:val="24"/>
        </w:rPr>
        <w:t xml:space="preserve"> The committee gave</w:t>
      </w:r>
      <w:r w:rsidR="0051225E">
        <w:rPr>
          <w:rFonts w:ascii="Arial" w:hAnsi="Arial" w:cs="Arial"/>
          <w:sz w:val="24"/>
          <w:szCs w:val="24"/>
        </w:rPr>
        <w:t xml:space="preserve"> clear</w:t>
      </w:r>
      <w:r w:rsidR="001202D4">
        <w:rPr>
          <w:rFonts w:ascii="Arial" w:hAnsi="Arial" w:cs="Arial"/>
          <w:sz w:val="24"/>
          <w:szCs w:val="24"/>
        </w:rPr>
        <w:t xml:space="preserve"> </w:t>
      </w:r>
      <w:r w:rsidR="00240E60">
        <w:rPr>
          <w:rFonts w:ascii="Arial" w:hAnsi="Arial" w:cs="Arial"/>
          <w:sz w:val="24"/>
          <w:szCs w:val="24"/>
        </w:rPr>
        <w:t>reasoning</w:t>
      </w:r>
      <w:r w:rsidR="001202D4">
        <w:rPr>
          <w:rFonts w:ascii="Arial" w:hAnsi="Arial" w:cs="Arial"/>
          <w:sz w:val="24"/>
          <w:szCs w:val="24"/>
        </w:rPr>
        <w:t xml:space="preserve"> for not placing significant weight on the apparent plateau in the time-varying hazard ration in KEYNOTE-045.</w:t>
      </w:r>
      <w:r w:rsidR="0051225E">
        <w:rPr>
          <w:rFonts w:ascii="Arial" w:hAnsi="Arial" w:cs="Arial"/>
          <w:sz w:val="24"/>
          <w:szCs w:val="24"/>
        </w:rPr>
        <w:t xml:space="preserve">  Given the substantial uncertainty in the data, it was reasonable to consider a range of treatment effect durations rather than a point estimate.  </w:t>
      </w:r>
      <w:r w:rsidR="00935C95">
        <w:rPr>
          <w:rFonts w:ascii="Arial" w:hAnsi="Arial" w:cs="Arial"/>
          <w:sz w:val="24"/>
          <w:szCs w:val="24"/>
        </w:rPr>
        <w:t>I</w:t>
      </w:r>
      <w:r w:rsidR="00E71212">
        <w:rPr>
          <w:rFonts w:ascii="Arial" w:hAnsi="Arial" w:cs="Arial"/>
          <w:sz w:val="24"/>
          <w:szCs w:val="24"/>
        </w:rPr>
        <w:t xml:space="preserve">t </w:t>
      </w:r>
      <w:r w:rsidR="00935C95">
        <w:rPr>
          <w:rFonts w:ascii="Arial" w:hAnsi="Arial" w:cs="Arial"/>
          <w:sz w:val="24"/>
          <w:szCs w:val="24"/>
        </w:rPr>
        <w:t>was also clear that the committee had considered the external validity of their</w:t>
      </w:r>
      <w:r w:rsidR="00521404">
        <w:rPr>
          <w:rFonts w:ascii="Arial" w:hAnsi="Arial" w:cs="Arial"/>
          <w:sz w:val="24"/>
          <w:szCs w:val="24"/>
        </w:rPr>
        <w:t xml:space="preserve"> duration of treatment effect</w:t>
      </w:r>
      <w:r w:rsidR="00E71212">
        <w:rPr>
          <w:rFonts w:ascii="Arial" w:hAnsi="Arial" w:cs="Arial"/>
          <w:sz w:val="24"/>
          <w:szCs w:val="24"/>
        </w:rPr>
        <w:t xml:space="preserve"> at the second committee meeting.  </w:t>
      </w:r>
      <w:r w:rsidR="00280622">
        <w:rPr>
          <w:rFonts w:ascii="Arial" w:hAnsi="Arial" w:cs="Arial"/>
          <w:sz w:val="24"/>
          <w:szCs w:val="24"/>
        </w:rPr>
        <w:t>The panel did not agree</w:t>
      </w:r>
      <w:r w:rsidR="006972A8">
        <w:rPr>
          <w:rFonts w:ascii="Arial" w:hAnsi="Arial" w:cs="Arial"/>
          <w:sz w:val="24"/>
          <w:szCs w:val="24"/>
        </w:rPr>
        <w:t xml:space="preserve"> with the company’s position that there had been an unreasonable requirement for “strong evidence” of a </w:t>
      </w:r>
      <w:r w:rsidR="004E65AF">
        <w:rPr>
          <w:rFonts w:ascii="Arial" w:hAnsi="Arial" w:cs="Arial"/>
          <w:sz w:val="24"/>
          <w:szCs w:val="24"/>
        </w:rPr>
        <w:t>5</w:t>
      </w:r>
      <w:r w:rsidR="00A877C5">
        <w:rPr>
          <w:rFonts w:ascii="Arial" w:hAnsi="Arial" w:cs="Arial"/>
          <w:sz w:val="24"/>
          <w:szCs w:val="24"/>
        </w:rPr>
        <w:t>-</w:t>
      </w:r>
      <w:r w:rsidR="006972A8">
        <w:rPr>
          <w:rFonts w:ascii="Arial" w:hAnsi="Arial" w:cs="Arial"/>
          <w:sz w:val="24"/>
          <w:szCs w:val="24"/>
        </w:rPr>
        <w:t>year</w:t>
      </w:r>
      <w:r w:rsidR="00024129">
        <w:rPr>
          <w:rFonts w:ascii="Arial" w:hAnsi="Arial" w:cs="Arial"/>
          <w:sz w:val="24"/>
          <w:szCs w:val="24"/>
        </w:rPr>
        <w:t xml:space="preserve"> treatment effect.  The committee had indeed considered a </w:t>
      </w:r>
      <w:r w:rsidR="004E65AF">
        <w:rPr>
          <w:rFonts w:ascii="Arial" w:hAnsi="Arial" w:cs="Arial"/>
          <w:sz w:val="24"/>
          <w:szCs w:val="24"/>
        </w:rPr>
        <w:t>5</w:t>
      </w:r>
      <w:r w:rsidR="00A877C5">
        <w:rPr>
          <w:rFonts w:ascii="Arial" w:hAnsi="Arial" w:cs="Arial"/>
          <w:sz w:val="24"/>
          <w:szCs w:val="24"/>
        </w:rPr>
        <w:t>-</w:t>
      </w:r>
      <w:r w:rsidR="00024129">
        <w:rPr>
          <w:rFonts w:ascii="Arial" w:hAnsi="Arial" w:cs="Arial"/>
          <w:sz w:val="24"/>
          <w:szCs w:val="24"/>
        </w:rPr>
        <w:t xml:space="preserve">year treatment </w:t>
      </w:r>
      <w:proofErr w:type="gramStart"/>
      <w:r w:rsidR="00024129">
        <w:rPr>
          <w:rFonts w:ascii="Arial" w:hAnsi="Arial" w:cs="Arial"/>
          <w:sz w:val="24"/>
          <w:szCs w:val="24"/>
        </w:rPr>
        <w:t>effect, but</w:t>
      </w:r>
      <w:proofErr w:type="gramEnd"/>
      <w:r w:rsidR="00024129">
        <w:rPr>
          <w:rFonts w:ascii="Arial" w:hAnsi="Arial" w:cs="Arial"/>
          <w:sz w:val="24"/>
          <w:szCs w:val="24"/>
        </w:rPr>
        <w:t xml:space="preserve"> had reached a judgement about how much weight to place on this that took into account the strength of the evidence.  The panel did not consider this unreasonable. </w:t>
      </w:r>
    </w:p>
    <w:p w14:paraId="340DA5A1" w14:textId="77777777" w:rsidR="00024129" w:rsidRPr="00024129" w:rsidRDefault="00024129" w:rsidP="00024129">
      <w:pPr>
        <w:pStyle w:val="ListParagraph"/>
        <w:spacing w:before="240" w:after="0" w:line="240" w:lineRule="auto"/>
        <w:ind w:left="360"/>
        <w:rPr>
          <w:rFonts w:ascii="Arial" w:hAnsi="Arial" w:cs="Arial"/>
          <w:sz w:val="24"/>
          <w:szCs w:val="24"/>
        </w:rPr>
      </w:pPr>
    </w:p>
    <w:p w14:paraId="0A97E5A3" w14:textId="67A2A0CC" w:rsidR="00522AA0" w:rsidRDefault="00EA16AC" w:rsidP="005B3394">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 </w:t>
      </w:r>
      <w:r w:rsidR="00AE7F05">
        <w:rPr>
          <w:rFonts w:ascii="Arial" w:hAnsi="Arial" w:cs="Arial"/>
          <w:sz w:val="24"/>
          <w:szCs w:val="24"/>
        </w:rPr>
        <w:t>The appeal panel noted the d</w:t>
      </w:r>
      <w:r w:rsidR="00863A77">
        <w:rPr>
          <w:rFonts w:ascii="Arial" w:hAnsi="Arial" w:cs="Arial"/>
          <w:sz w:val="24"/>
          <w:szCs w:val="24"/>
        </w:rPr>
        <w:t>ifferent views taken</w:t>
      </w:r>
      <w:r w:rsidR="00AE7F05">
        <w:rPr>
          <w:rFonts w:ascii="Arial" w:hAnsi="Arial" w:cs="Arial"/>
          <w:sz w:val="24"/>
          <w:szCs w:val="24"/>
        </w:rPr>
        <w:t xml:space="preserve"> </w:t>
      </w:r>
      <w:r w:rsidR="00A53659">
        <w:rPr>
          <w:rFonts w:ascii="Arial" w:hAnsi="Arial" w:cs="Arial"/>
          <w:sz w:val="24"/>
          <w:szCs w:val="24"/>
        </w:rPr>
        <w:t>by</w:t>
      </w:r>
      <w:r w:rsidR="00AE7F05">
        <w:rPr>
          <w:rFonts w:ascii="Arial" w:hAnsi="Arial" w:cs="Arial"/>
          <w:sz w:val="24"/>
          <w:szCs w:val="24"/>
        </w:rPr>
        <w:t xml:space="preserve"> the company and the committee on </w:t>
      </w:r>
      <w:r w:rsidR="00E277F0">
        <w:rPr>
          <w:rFonts w:ascii="Arial" w:hAnsi="Arial" w:cs="Arial"/>
          <w:sz w:val="24"/>
          <w:szCs w:val="24"/>
        </w:rPr>
        <w:t>the most appropriate duration of treatment effect in the appraisal (in the face of complex and uncertain evidence),</w:t>
      </w:r>
      <w:r w:rsidR="00AE7F05">
        <w:rPr>
          <w:rFonts w:ascii="Arial" w:hAnsi="Arial" w:cs="Arial"/>
          <w:sz w:val="24"/>
          <w:szCs w:val="24"/>
        </w:rPr>
        <w:t xml:space="preserve"> </w:t>
      </w:r>
      <w:r w:rsidR="00FF0E7A">
        <w:rPr>
          <w:rFonts w:ascii="Arial" w:hAnsi="Arial" w:cs="Arial"/>
          <w:sz w:val="24"/>
          <w:szCs w:val="24"/>
        </w:rPr>
        <w:t xml:space="preserve">but felt that both these views </w:t>
      </w:r>
      <w:r w:rsidR="00FF0E7A">
        <w:rPr>
          <w:rFonts w:ascii="Arial" w:hAnsi="Arial" w:cs="Arial"/>
          <w:sz w:val="24"/>
          <w:szCs w:val="24"/>
        </w:rPr>
        <w:lastRenderedPageBreak/>
        <w:t>could be reasonably held.</w:t>
      </w:r>
      <w:r w:rsidR="00863A77">
        <w:rPr>
          <w:rFonts w:ascii="Arial" w:hAnsi="Arial" w:cs="Arial"/>
          <w:sz w:val="24"/>
          <w:szCs w:val="24"/>
        </w:rPr>
        <w:t xml:space="preserve"> </w:t>
      </w:r>
      <w:r w:rsidR="00AE7F05">
        <w:rPr>
          <w:rFonts w:ascii="Arial" w:hAnsi="Arial" w:cs="Arial"/>
          <w:sz w:val="24"/>
          <w:szCs w:val="24"/>
        </w:rPr>
        <w:t xml:space="preserve"> </w:t>
      </w:r>
      <w:r w:rsidR="008D02DF">
        <w:rPr>
          <w:rFonts w:ascii="Arial" w:hAnsi="Arial" w:cs="Arial"/>
          <w:sz w:val="24"/>
          <w:szCs w:val="24"/>
        </w:rPr>
        <w:t xml:space="preserve">The appeal panel was satisfied that </w:t>
      </w:r>
      <w:r w:rsidR="00FF0E7A">
        <w:rPr>
          <w:rFonts w:ascii="Arial" w:hAnsi="Arial" w:cs="Arial"/>
          <w:sz w:val="24"/>
          <w:szCs w:val="24"/>
        </w:rPr>
        <w:t>the committee</w:t>
      </w:r>
      <w:r w:rsidR="00613293">
        <w:rPr>
          <w:rFonts w:ascii="Arial" w:hAnsi="Arial" w:cs="Arial"/>
          <w:sz w:val="24"/>
          <w:szCs w:val="24"/>
        </w:rPr>
        <w:t xml:space="preserve">’s reasoning </w:t>
      </w:r>
      <w:r w:rsidR="00611BF5">
        <w:rPr>
          <w:rFonts w:ascii="Arial" w:hAnsi="Arial" w:cs="Arial"/>
          <w:sz w:val="24"/>
          <w:szCs w:val="24"/>
        </w:rPr>
        <w:t xml:space="preserve">for reaching its position </w:t>
      </w:r>
      <w:r w:rsidR="003D3A81">
        <w:rPr>
          <w:rFonts w:ascii="Arial" w:hAnsi="Arial" w:cs="Arial"/>
          <w:sz w:val="24"/>
          <w:szCs w:val="24"/>
        </w:rPr>
        <w:t xml:space="preserve">looked at in isolation </w:t>
      </w:r>
      <w:r w:rsidR="00613293">
        <w:rPr>
          <w:rFonts w:ascii="Arial" w:hAnsi="Arial" w:cs="Arial"/>
          <w:sz w:val="24"/>
          <w:szCs w:val="24"/>
        </w:rPr>
        <w:t>was rational.</w:t>
      </w:r>
      <w:r w:rsidR="00611BF5">
        <w:rPr>
          <w:rFonts w:ascii="Arial" w:hAnsi="Arial" w:cs="Arial"/>
          <w:sz w:val="24"/>
          <w:szCs w:val="24"/>
        </w:rPr>
        <w:t xml:space="preserve">  </w:t>
      </w:r>
    </w:p>
    <w:p w14:paraId="00515105" w14:textId="77777777" w:rsidR="00E846AC" w:rsidRPr="00E846AC" w:rsidRDefault="00E846AC" w:rsidP="00E846AC">
      <w:pPr>
        <w:pStyle w:val="ListParagraph"/>
        <w:rPr>
          <w:rFonts w:ascii="Arial" w:hAnsi="Arial" w:cs="Arial"/>
          <w:sz w:val="24"/>
          <w:szCs w:val="24"/>
        </w:rPr>
      </w:pPr>
    </w:p>
    <w:p w14:paraId="4A9DE623" w14:textId="77777777" w:rsidR="00E846AC" w:rsidRDefault="00E846AC" w:rsidP="005B3394">
      <w:pPr>
        <w:pStyle w:val="ListParagraph"/>
        <w:numPr>
          <w:ilvl w:val="0"/>
          <w:numId w:val="21"/>
        </w:numPr>
        <w:spacing w:after="0" w:line="240" w:lineRule="auto"/>
        <w:rPr>
          <w:rFonts w:ascii="Arial" w:hAnsi="Arial" w:cs="Arial"/>
          <w:sz w:val="24"/>
          <w:szCs w:val="24"/>
        </w:rPr>
      </w:pPr>
      <w:r w:rsidRPr="0053499F">
        <w:rPr>
          <w:rFonts w:ascii="Arial" w:hAnsi="Arial" w:cs="Arial"/>
          <w:sz w:val="24"/>
          <w:szCs w:val="24"/>
        </w:rPr>
        <w:t>The appeal panel therefore</w:t>
      </w:r>
      <w:r>
        <w:rPr>
          <w:rFonts w:ascii="Arial" w:hAnsi="Arial" w:cs="Arial"/>
          <w:sz w:val="24"/>
          <w:szCs w:val="24"/>
        </w:rPr>
        <w:t xml:space="preserve"> dismissed</w:t>
      </w:r>
      <w:r w:rsidRPr="0053499F">
        <w:rPr>
          <w:rFonts w:ascii="Arial" w:hAnsi="Arial" w:cs="Arial"/>
          <w:sz w:val="24"/>
          <w:szCs w:val="24"/>
        </w:rPr>
        <w:t xml:space="preserve"> the appeal on this point.</w:t>
      </w:r>
    </w:p>
    <w:p w14:paraId="62CA589E" w14:textId="77777777" w:rsidR="00D02918" w:rsidRPr="0053499F" w:rsidRDefault="00D02918" w:rsidP="00D02918">
      <w:pPr>
        <w:spacing w:after="0" w:line="240" w:lineRule="auto"/>
        <w:rPr>
          <w:rFonts w:ascii="Arial" w:hAnsi="Arial" w:cs="Arial"/>
          <w:color w:val="FF0000"/>
          <w:sz w:val="24"/>
          <w:szCs w:val="24"/>
        </w:rPr>
      </w:pPr>
    </w:p>
    <w:p w14:paraId="07B68C0E" w14:textId="77777777" w:rsidR="00D02918" w:rsidRPr="0053499F" w:rsidRDefault="00D02918" w:rsidP="00D02918">
      <w:pPr>
        <w:spacing w:after="0" w:line="240" w:lineRule="auto"/>
        <w:rPr>
          <w:rFonts w:ascii="Arial" w:hAnsi="Arial" w:cs="Arial"/>
          <w:sz w:val="24"/>
          <w:szCs w:val="24"/>
        </w:rPr>
      </w:pPr>
      <w:r w:rsidRPr="0053499F">
        <w:rPr>
          <w:rFonts w:ascii="Arial" w:hAnsi="Arial" w:cs="Arial"/>
          <w:b/>
          <w:sz w:val="24"/>
          <w:szCs w:val="24"/>
        </w:rPr>
        <w:t xml:space="preserve">Appeal </w:t>
      </w:r>
      <w:r w:rsidR="00C80E32" w:rsidRPr="0053499F">
        <w:rPr>
          <w:rFonts w:ascii="Arial" w:hAnsi="Arial" w:cs="Arial"/>
          <w:b/>
          <w:sz w:val="24"/>
          <w:szCs w:val="24"/>
        </w:rPr>
        <w:t>p</w:t>
      </w:r>
      <w:r w:rsidRPr="0053499F">
        <w:rPr>
          <w:rFonts w:ascii="Arial" w:hAnsi="Arial" w:cs="Arial"/>
          <w:b/>
          <w:sz w:val="24"/>
          <w:szCs w:val="24"/>
        </w:rPr>
        <w:t xml:space="preserve">oint Ground 2.2: </w:t>
      </w:r>
      <w:r w:rsidR="00AA22C5" w:rsidRPr="004720FF">
        <w:rPr>
          <w:rFonts w:ascii="Arial" w:hAnsi="Arial" w:cs="Arial"/>
          <w:bCs/>
          <w:sz w:val="24"/>
          <w:szCs w:val="24"/>
        </w:rPr>
        <w:t>The Appraisal Committee’s analysis of evidence from the clinical expert in paragraph 3.15 of the FAD is internally inconsistent and its conclusions are unreasonable</w:t>
      </w:r>
      <w:r w:rsidR="00AA22C5" w:rsidRPr="00AA22C5">
        <w:rPr>
          <w:rFonts w:ascii="Arial" w:hAnsi="Arial" w:cs="Arial"/>
          <w:b/>
          <w:sz w:val="24"/>
          <w:szCs w:val="24"/>
        </w:rPr>
        <w:t xml:space="preserve"> </w:t>
      </w:r>
    </w:p>
    <w:p w14:paraId="0127A2B9" w14:textId="77777777" w:rsidR="00D02918" w:rsidRPr="0053499F" w:rsidRDefault="00D02918" w:rsidP="00D02918">
      <w:pPr>
        <w:pStyle w:val="ListParagraph"/>
        <w:rPr>
          <w:rFonts w:ascii="Arial" w:hAnsi="Arial" w:cs="Arial"/>
          <w:sz w:val="24"/>
          <w:szCs w:val="24"/>
        </w:rPr>
      </w:pPr>
    </w:p>
    <w:p w14:paraId="689A3812" w14:textId="77777777" w:rsidR="00D02918" w:rsidRDefault="00781E61" w:rsidP="00314F29">
      <w:pPr>
        <w:pStyle w:val="ListParagraph"/>
        <w:numPr>
          <w:ilvl w:val="0"/>
          <w:numId w:val="21"/>
        </w:numPr>
        <w:spacing w:after="0" w:line="240" w:lineRule="auto"/>
        <w:rPr>
          <w:rFonts w:ascii="Arial" w:hAnsi="Arial" w:cs="Arial"/>
          <w:sz w:val="24"/>
          <w:szCs w:val="24"/>
        </w:rPr>
      </w:pPr>
      <w:r>
        <w:rPr>
          <w:rFonts w:ascii="Arial" w:hAnsi="Arial" w:cs="Arial"/>
          <w:sz w:val="24"/>
          <w:szCs w:val="24"/>
        </w:rPr>
        <w:t>At the scrutiny stage it was decided to consider this point as an aspec</w:t>
      </w:r>
      <w:r w:rsidR="002A6B02">
        <w:rPr>
          <w:rFonts w:ascii="Arial" w:hAnsi="Arial" w:cs="Arial"/>
          <w:sz w:val="24"/>
          <w:szCs w:val="24"/>
        </w:rPr>
        <w:t xml:space="preserve">t of Appeal Point 2.1.  However, at the hearing they were largely considered separately, so this letter </w:t>
      </w:r>
      <w:r w:rsidR="00234F59">
        <w:rPr>
          <w:rFonts w:ascii="Arial" w:hAnsi="Arial" w:cs="Arial"/>
          <w:sz w:val="24"/>
          <w:szCs w:val="24"/>
        </w:rPr>
        <w:t xml:space="preserve">also considers Appeal Point 2.2 separately. </w:t>
      </w:r>
    </w:p>
    <w:p w14:paraId="7F65F276" w14:textId="77777777" w:rsidR="00314F29" w:rsidRPr="00314F29" w:rsidRDefault="00314F29" w:rsidP="00314F29">
      <w:pPr>
        <w:pStyle w:val="ListParagraph"/>
        <w:spacing w:after="0" w:line="240" w:lineRule="auto"/>
        <w:ind w:left="360"/>
        <w:rPr>
          <w:rFonts w:ascii="Arial" w:hAnsi="Arial" w:cs="Arial"/>
          <w:sz w:val="24"/>
          <w:szCs w:val="24"/>
        </w:rPr>
      </w:pPr>
    </w:p>
    <w:p w14:paraId="0513A211" w14:textId="77777777" w:rsidR="00570C77" w:rsidRDefault="002D6C10" w:rsidP="00570C77">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Grant Castle, for MSD, said that paragraph </w:t>
      </w:r>
      <w:r w:rsidR="00550B6D">
        <w:rPr>
          <w:rFonts w:ascii="Arial" w:hAnsi="Arial" w:cs="Arial"/>
          <w:sz w:val="24"/>
          <w:szCs w:val="24"/>
        </w:rPr>
        <w:t>3.15 of the FAD mischaracterised evidence given by Dr Simon Crabb</w:t>
      </w:r>
      <w:r w:rsidR="00570C77">
        <w:rPr>
          <w:rFonts w:ascii="Arial" w:hAnsi="Arial" w:cs="Arial"/>
          <w:sz w:val="24"/>
          <w:szCs w:val="24"/>
        </w:rPr>
        <w:t>, to the detriment of pembrolizumab.</w:t>
      </w:r>
      <w:r w:rsidR="006549C3">
        <w:rPr>
          <w:rFonts w:ascii="Arial" w:hAnsi="Arial" w:cs="Arial"/>
          <w:sz w:val="24"/>
          <w:szCs w:val="24"/>
        </w:rPr>
        <w:t xml:space="preserve">  The appeal letter </w:t>
      </w:r>
      <w:r w:rsidR="004155A9">
        <w:rPr>
          <w:rFonts w:ascii="Arial" w:hAnsi="Arial" w:cs="Arial"/>
          <w:sz w:val="24"/>
          <w:szCs w:val="24"/>
        </w:rPr>
        <w:t xml:space="preserve">said that the statements in paragraph 3.15 that “the clinical expert found it plausible that </w:t>
      </w:r>
      <w:r w:rsidR="008D2854">
        <w:rPr>
          <w:rFonts w:ascii="Arial" w:hAnsi="Arial" w:cs="Arial"/>
          <w:sz w:val="24"/>
          <w:szCs w:val="24"/>
        </w:rPr>
        <w:t xml:space="preserve">5% to 10% of people having pembrolizumab might survive to 10 years after starting treatment” and that </w:t>
      </w:r>
      <w:r w:rsidR="00423D5C">
        <w:rPr>
          <w:rFonts w:ascii="Arial" w:hAnsi="Arial" w:cs="Arial"/>
          <w:sz w:val="24"/>
          <w:szCs w:val="24"/>
        </w:rPr>
        <w:t>“no more than 5% of people treated with p</w:t>
      </w:r>
      <w:r w:rsidR="00DC0D56">
        <w:rPr>
          <w:rFonts w:ascii="Arial" w:hAnsi="Arial" w:cs="Arial"/>
          <w:sz w:val="24"/>
          <w:szCs w:val="24"/>
        </w:rPr>
        <w:t>e</w:t>
      </w:r>
      <w:r w:rsidR="00423D5C">
        <w:rPr>
          <w:rFonts w:ascii="Arial" w:hAnsi="Arial" w:cs="Arial"/>
          <w:sz w:val="24"/>
          <w:szCs w:val="24"/>
        </w:rPr>
        <w:t xml:space="preserve">mbrolizumab might be alive after 10 years” </w:t>
      </w:r>
      <w:r w:rsidR="008D25E7">
        <w:rPr>
          <w:rFonts w:ascii="Arial" w:hAnsi="Arial" w:cs="Arial"/>
          <w:sz w:val="24"/>
          <w:szCs w:val="24"/>
        </w:rPr>
        <w:t xml:space="preserve">were inconsistent.  </w:t>
      </w:r>
    </w:p>
    <w:p w14:paraId="5D3D09C4" w14:textId="77777777" w:rsidR="00570C77" w:rsidRPr="00F814FB" w:rsidRDefault="00570C77" w:rsidP="00570C77">
      <w:pPr>
        <w:pStyle w:val="ListParagraph"/>
        <w:spacing w:after="0" w:line="240" w:lineRule="auto"/>
        <w:ind w:left="360"/>
        <w:rPr>
          <w:rFonts w:ascii="Arial" w:hAnsi="Arial" w:cs="Arial"/>
          <w:sz w:val="24"/>
          <w:szCs w:val="24"/>
        </w:rPr>
      </w:pPr>
    </w:p>
    <w:p w14:paraId="09AC88C3" w14:textId="3F8C92AA" w:rsidR="00D02918" w:rsidRDefault="00980B9D" w:rsidP="00570C77">
      <w:pPr>
        <w:pStyle w:val="ListParagraph"/>
        <w:numPr>
          <w:ilvl w:val="0"/>
          <w:numId w:val="21"/>
        </w:numPr>
        <w:spacing w:after="0" w:line="240" w:lineRule="auto"/>
        <w:rPr>
          <w:rFonts w:ascii="Arial" w:hAnsi="Arial" w:cs="Arial"/>
          <w:sz w:val="24"/>
          <w:szCs w:val="24"/>
        </w:rPr>
      </w:pPr>
      <w:r w:rsidRPr="00F814FB">
        <w:rPr>
          <w:rFonts w:ascii="Arial" w:hAnsi="Arial" w:cs="Arial"/>
          <w:sz w:val="24"/>
          <w:szCs w:val="24"/>
        </w:rPr>
        <w:t>Dr Lind</w:t>
      </w:r>
      <w:r w:rsidR="00A877C5">
        <w:rPr>
          <w:rFonts w:ascii="Arial" w:hAnsi="Arial" w:cs="Arial"/>
          <w:sz w:val="24"/>
          <w:szCs w:val="24"/>
        </w:rPr>
        <w:t>s</w:t>
      </w:r>
      <w:r w:rsidRPr="00F814FB">
        <w:rPr>
          <w:rFonts w:ascii="Arial" w:hAnsi="Arial" w:cs="Arial"/>
          <w:sz w:val="24"/>
          <w:szCs w:val="24"/>
        </w:rPr>
        <w:t>ay Smith, for NICE</w:t>
      </w:r>
      <w:r w:rsidR="00B55E70" w:rsidRPr="00F814FB">
        <w:rPr>
          <w:rFonts w:ascii="Arial" w:hAnsi="Arial" w:cs="Arial"/>
          <w:sz w:val="24"/>
          <w:szCs w:val="24"/>
        </w:rPr>
        <w:t xml:space="preserve">, said that the committee had considered </w:t>
      </w:r>
      <w:r w:rsidR="00405927" w:rsidRPr="00F814FB">
        <w:rPr>
          <w:rFonts w:ascii="Arial" w:hAnsi="Arial" w:cs="Arial"/>
          <w:sz w:val="24"/>
          <w:szCs w:val="24"/>
        </w:rPr>
        <w:t>evidence f</w:t>
      </w:r>
      <w:r w:rsidR="008D25E7" w:rsidRPr="00F814FB">
        <w:rPr>
          <w:rFonts w:ascii="Arial" w:hAnsi="Arial" w:cs="Arial"/>
          <w:sz w:val="24"/>
          <w:szCs w:val="24"/>
        </w:rPr>
        <w:t>rom</w:t>
      </w:r>
      <w:r w:rsidR="00405927" w:rsidRPr="00F814FB">
        <w:rPr>
          <w:rFonts w:ascii="Arial" w:hAnsi="Arial" w:cs="Arial"/>
          <w:sz w:val="24"/>
          <w:szCs w:val="24"/>
        </w:rPr>
        <w:t xml:space="preserve"> clinical experts, patient</w:t>
      </w:r>
      <w:r w:rsidR="00DE6CBA">
        <w:rPr>
          <w:rFonts w:ascii="Arial" w:hAnsi="Arial" w:cs="Arial"/>
          <w:sz w:val="24"/>
          <w:szCs w:val="24"/>
        </w:rPr>
        <w:t xml:space="preserve"> </w:t>
      </w:r>
      <w:proofErr w:type="gramStart"/>
      <w:r w:rsidR="00DE6CBA">
        <w:rPr>
          <w:rFonts w:ascii="Arial" w:hAnsi="Arial" w:cs="Arial"/>
          <w:sz w:val="24"/>
          <w:szCs w:val="24"/>
        </w:rPr>
        <w:t>experts</w:t>
      </w:r>
      <w:proofErr w:type="gramEnd"/>
      <w:r w:rsidR="00405927" w:rsidRPr="00F814FB">
        <w:rPr>
          <w:rFonts w:ascii="Arial" w:hAnsi="Arial" w:cs="Arial"/>
          <w:sz w:val="24"/>
          <w:szCs w:val="24"/>
        </w:rPr>
        <w:t xml:space="preserve"> and NHS England to externally validate trial data.  I</w:t>
      </w:r>
      <w:r w:rsidR="00524528" w:rsidRPr="00F814FB">
        <w:rPr>
          <w:rFonts w:ascii="Arial" w:hAnsi="Arial" w:cs="Arial"/>
          <w:sz w:val="24"/>
          <w:szCs w:val="24"/>
        </w:rPr>
        <w:t xml:space="preserve">deally the committee would have access to 2 independent experts, but in this </w:t>
      </w:r>
      <w:proofErr w:type="gramStart"/>
      <w:r w:rsidR="00524528" w:rsidRPr="00F814FB">
        <w:rPr>
          <w:rFonts w:ascii="Arial" w:hAnsi="Arial" w:cs="Arial"/>
          <w:sz w:val="24"/>
          <w:szCs w:val="24"/>
        </w:rPr>
        <w:t>case</w:t>
      </w:r>
      <w:proofErr w:type="gramEnd"/>
      <w:r w:rsidR="00524528" w:rsidRPr="00F814FB">
        <w:rPr>
          <w:rFonts w:ascii="Arial" w:hAnsi="Arial" w:cs="Arial"/>
          <w:sz w:val="24"/>
          <w:szCs w:val="24"/>
        </w:rPr>
        <w:t xml:space="preserve"> there was only 1 expert (Dr Crabb) who was put forward by the company.</w:t>
      </w:r>
      <w:r w:rsidR="00F814FB">
        <w:rPr>
          <w:rFonts w:ascii="Arial" w:hAnsi="Arial" w:cs="Arial"/>
          <w:sz w:val="24"/>
          <w:szCs w:val="24"/>
        </w:rPr>
        <w:t xml:space="preserve">  In reaching the conclusion that “no more than 5% of people treated with </w:t>
      </w:r>
      <w:r w:rsidR="00472376">
        <w:rPr>
          <w:rFonts w:ascii="Arial" w:hAnsi="Arial" w:cs="Arial"/>
          <w:sz w:val="24"/>
          <w:szCs w:val="24"/>
        </w:rPr>
        <w:t xml:space="preserve">pembrolizumab </w:t>
      </w:r>
      <w:r w:rsidR="00F814FB">
        <w:rPr>
          <w:rFonts w:ascii="Arial" w:hAnsi="Arial" w:cs="Arial"/>
          <w:sz w:val="24"/>
          <w:szCs w:val="24"/>
        </w:rPr>
        <w:t xml:space="preserve">might be alive after 10 years” they had considered evidence from </w:t>
      </w:r>
      <w:r w:rsidR="00D76A3B">
        <w:rPr>
          <w:rFonts w:ascii="Arial" w:hAnsi="Arial" w:cs="Arial"/>
          <w:sz w:val="24"/>
          <w:szCs w:val="24"/>
        </w:rPr>
        <w:t xml:space="preserve">a patient expert and the Cancer Drugs Fund clinical lead as well as from Dr Crabb.  </w:t>
      </w:r>
    </w:p>
    <w:p w14:paraId="3B074B2D" w14:textId="77777777" w:rsidR="00D76A3B" w:rsidRPr="00D76A3B" w:rsidRDefault="00D76A3B" w:rsidP="00D76A3B">
      <w:pPr>
        <w:pStyle w:val="ListParagraph"/>
        <w:rPr>
          <w:rFonts w:ascii="Arial" w:hAnsi="Arial" w:cs="Arial"/>
          <w:sz w:val="24"/>
          <w:szCs w:val="24"/>
        </w:rPr>
      </w:pPr>
    </w:p>
    <w:p w14:paraId="21DBC8E1" w14:textId="77777777" w:rsidR="00D76A3B" w:rsidRDefault="00D76A3B" w:rsidP="00570C77">
      <w:pPr>
        <w:pStyle w:val="ListParagraph"/>
        <w:numPr>
          <w:ilvl w:val="0"/>
          <w:numId w:val="21"/>
        </w:numPr>
        <w:spacing w:after="0" w:line="240" w:lineRule="auto"/>
        <w:rPr>
          <w:rFonts w:ascii="Arial" w:hAnsi="Arial" w:cs="Arial"/>
          <w:sz w:val="24"/>
          <w:szCs w:val="24"/>
        </w:rPr>
      </w:pPr>
      <w:r>
        <w:rPr>
          <w:rFonts w:ascii="Arial" w:hAnsi="Arial" w:cs="Arial"/>
          <w:sz w:val="24"/>
          <w:szCs w:val="24"/>
        </w:rPr>
        <w:t>Dr Simon Crabb</w:t>
      </w:r>
      <w:r w:rsidR="00E16324">
        <w:rPr>
          <w:rFonts w:ascii="Arial" w:hAnsi="Arial" w:cs="Arial"/>
          <w:sz w:val="24"/>
          <w:szCs w:val="24"/>
        </w:rPr>
        <w:t xml:space="preserve"> could not recall exactly what he had said at the meeting in question and </w:t>
      </w:r>
      <w:r w:rsidR="00E7085F">
        <w:rPr>
          <w:rFonts w:ascii="Arial" w:hAnsi="Arial" w:cs="Arial"/>
          <w:sz w:val="24"/>
          <w:szCs w:val="24"/>
        </w:rPr>
        <w:t>felt that this issue was “getting bogged down in detail”</w:t>
      </w:r>
      <w:r w:rsidR="00437B30">
        <w:rPr>
          <w:rFonts w:ascii="Arial" w:hAnsi="Arial" w:cs="Arial"/>
          <w:sz w:val="24"/>
          <w:szCs w:val="24"/>
        </w:rPr>
        <w:t>.</w:t>
      </w:r>
    </w:p>
    <w:p w14:paraId="07B616D0" w14:textId="77777777" w:rsidR="00E7085F" w:rsidRPr="00E7085F" w:rsidRDefault="00E7085F" w:rsidP="00E7085F">
      <w:pPr>
        <w:pStyle w:val="ListParagraph"/>
        <w:rPr>
          <w:rFonts w:ascii="Arial" w:hAnsi="Arial" w:cs="Arial"/>
          <w:sz w:val="24"/>
          <w:szCs w:val="24"/>
        </w:rPr>
      </w:pPr>
    </w:p>
    <w:p w14:paraId="6F95F071" w14:textId="77777777" w:rsidR="00E7085F" w:rsidRDefault="00E7085F" w:rsidP="00570C77">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The appeal panel concluded that </w:t>
      </w:r>
      <w:r w:rsidR="00E70D1D">
        <w:rPr>
          <w:rFonts w:ascii="Arial" w:hAnsi="Arial" w:cs="Arial"/>
          <w:sz w:val="24"/>
          <w:szCs w:val="24"/>
        </w:rPr>
        <w:t>paragraph 3.15 of the FAD was not internally inconsistent</w:t>
      </w:r>
      <w:r w:rsidR="003D3A81">
        <w:rPr>
          <w:rFonts w:ascii="Arial" w:hAnsi="Arial" w:cs="Arial"/>
          <w:sz w:val="24"/>
          <w:szCs w:val="24"/>
        </w:rPr>
        <w:t xml:space="preserve"> and that the committee’s conclusion on this point was not unreasonable</w:t>
      </w:r>
      <w:r w:rsidR="00437B30">
        <w:rPr>
          <w:rFonts w:ascii="Arial" w:hAnsi="Arial" w:cs="Arial"/>
          <w:sz w:val="24"/>
          <w:szCs w:val="24"/>
        </w:rPr>
        <w:t>.</w:t>
      </w:r>
    </w:p>
    <w:p w14:paraId="663618CF" w14:textId="77777777" w:rsidR="00437B30" w:rsidRPr="00437B30" w:rsidRDefault="00437B30" w:rsidP="00437B30">
      <w:pPr>
        <w:pStyle w:val="ListParagraph"/>
        <w:rPr>
          <w:rFonts w:ascii="Arial" w:hAnsi="Arial" w:cs="Arial"/>
          <w:sz w:val="24"/>
          <w:szCs w:val="24"/>
        </w:rPr>
      </w:pPr>
    </w:p>
    <w:p w14:paraId="44629D7B" w14:textId="77777777" w:rsidR="00437B30" w:rsidRPr="00F814FB" w:rsidRDefault="00437B30" w:rsidP="00570C77">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The appeal panel therefore dismissed the appeal on this point.  </w:t>
      </w:r>
    </w:p>
    <w:p w14:paraId="1640612F" w14:textId="77777777" w:rsidR="00B26D14" w:rsidRPr="004132A0" w:rsidRDefault="00B26D14" w:rsidP="004132A0">
      <w:pPr>
        <w:rPr>
          <w:rFonts w:ascii="Arial" w:hAnsi="Arial" w:cs="Arial"/>
          <w:sz w:val="24"/>
          <w:szCs w:val="24"/>
        </w:rPr>
      </w:pPr>
    </w:p>
    <w:p w14:paraId="3EDD1853" w14:textId="77777777" w:rsidR="00B26D14" w:rsidRPr="0053499F" w:rsidRDefault="00B26D14" w:rsidP="00B26D14">
      <w:pPr>
        <w:spacing w:after="0" w:line="240" w:lineRule="auto"/>
        <w:rPr>
          <w:rFonts w:ascii="Arial" w:hAnsi="Arial" w:cs="Arial"/>
          <w:sz w:val="24"/>
          <w:szCs w:val="24"/>
        </w:rPr>
      </w:pPr>
      <w:r w:rsidRPr="0053499F">
        <w:rPr>
          <w:rFonts w:ascii="Arial" w:hAnsi="Arial" w:cs="Arial"/>
          <w:b/>
          <w:sz w:val="24"/>
          <w:szCs w:val="24"/>
        </w:rPr>
        <w:t>Appeal point Ground 2.</w:t>
      </w:r>
      <w:r w:rsidR="00C47CF4">
        <w:rPr>
          <w:rFonts w:ascii="Arial" w:hAnsi="Arial" w:cs="Arial"/>
          <w:b/>
          <w:sz w:val="24"/>
          <w:szCs w:val="24"/>
        </w:rPr>
        <w:t>3</w:t>
      </w:r>
      <w:r w:rsidRPr="0053499F">
        <w:rPr>
          <w:rFonts w:ascii="Arial" w:hAnsi="Arial" w:cs="Arial"/>
          <w:b/>
          <w:sz w:val="24"/>
          <w:szCs w:val="24"/>
        </w:rPr>
        <w:t>:</w:t>
      </w:r>
      <w:r w:rsidR="00C47CF4">
        <w:rPr>
          <w:rFonts w:ascii="Arial" w:hAnsi="Arial" w:cs="Arial"/>
          <w:b/>
          <w:sz w:val="24"/>
          <w:szCs w:val="24"/>
        </w:rPr>
        <w:t xml:space="preserve"> </w:t>
      </w:r>
      <w:r w:rsidR="00C47CF4" w:rsidRPr="004720FF">
        <w:rPr>
          <w:rFonts w:ascii="Arial" w:hAnsi="Arial" w:cs="Arial"/>
          <w:bCs/>
          <w:sz w:val="24"/>
          <w:szCs w:val="24"/>
        </w:rPr>
        <w:t>The Appraisal Committee’s decisions that: (</w:t>
      </w:r>
      <w:proofErr w:type="spellStart"/>
      <w:r w:rsidR="00C47CF4" w:rsidRPr="004720FF">
        <w:rPr>
          <w:rFonts w:ascii="Arial" w:hAnsi="Arial" w:cs="Arial"/>
          <w:bCs/>
          <w:sz w:val="24"/>
          <w:szCs w:val="24"/>
        </w:rPr>
        <w:t>i</w:t>
      </w:r>
      <w:proofErr w:type="spellEnd"/>
      <w:r w:rsidR="00C47CF4" w:rsidRPr="004720FF">
        <w:rPr>
          <w:rFonts w:ascii="Arial" w:hAnsi="Arial" w:cs="Arial"/>
          <w:bCs/>
          <w:sz w:val="24"/>
          <w:szCs w:val="24"/>
        </w:rPr>
        <w:t>) a range of possible ICERs from £48,518 to £70,520 applies; and (ii) the “most plausible” ICER for pembrolizumab is likely to be above £50,000, are unreasonable in light of the evidence submitted</w:t>
      </w:r>
      <w:r w:rsidRPr="0053499F">
        <w:rPr>
          <w:rFonts w:ascii="Arial" w:hAnsi="Arial" w:cs="Arial"/>
          <w:b/>
          <w:sz w:val="24"/>
          <w:szCs w:val="24"/>
        </w:rPr>
        <w:t xml:space="preserve"> </w:t>
      </w:r>
    </w:p>
    <w:p w14:paraId="42FAF03C" w14:textId="77777777" w:rsidR="00B26D14" w:rsidRPr="0053499F" w:rsidRDefault="00B26D14" w:rsidP="00B26D14">
      <w:pPr>
        <w:pStyle w:val="ListParagraph"/>
        <w:rPr>
          <w:rFonts w:ascii="Arial" w:hAnsi="Arial" w:cs="Arial"/>
          <w:sz w:val="24"/>
          <w:szCs w:val="24"/>
        </w:rPr>
      </w:pPr>
    </w:p>
    <w:p w14:paraId="2FDEFD99" w14:textId="0EE368FD" w:rsidR="00B26D14" w:rsidRPr="008B6F00" w:rsidRDefault="00351E66" w:rsidP="00F72E21">
      <w:pPr>
        <w:pStyle w:val="ListParagraph"/>
        <w:numPr>
          <w:ilvl w:val="0"/>
          <w:numId w:val="21"/>
        </w:numPr>
        <w:spacing w:after="0" w:line="240" w:lineRule="auto"/>
        <w:rPr>
          <w:rFonts w:ascii="Arial" w:hAnsi="Arial" w:cs="Arial"/>
          <w:sz w:val="24"/>
          <w:szCs w:val="24"/>
        </w:rPr>
      </w:pPr>
      <w:r w:rsidRPr="008B6F00">
        <w:rPr>
          <w:rFonts w:ascii="Arial" w:hAnsi="Arial" w:cs="Arial"/>
          <w:sz w:val="24"/>
          <w:szCs w:val="24"/>
        </w:rPr>
        <w:t xml:space="preserve">Grant Castle, for MSD, said that the committee’s range of possible ICERs from £48,518 to £70,520 was </w:t>
      </w:r>
      <w:r w:rsidR="00B12F02" w:rsidRPr="008B6F00">
        <w:rPr>
          <w:rFonts w:ascii="Arial" w:hAnsi="Arial" w:cs="Arial"/>
          <w:sz w:val="24"/>
          <w:szCs w:val="24"/>
        </w:rPr>
        <w:t>unreasonable</w:t>
      </w:r>
      <w:r w:rsidR="001A4CA9">
        <w:rPr>
          <w:rFonts w:ascii="Arial" w:hAnsi="Arial" w:cs="Arial"/>
          <w:sz w:val="24"/>
          <w:szCs w:val="24"/>
        </w:rPr>
        <w:t xml:space="preserve"> because it was based on excessively conservative assumptions</w:t>
      </w:r>
      <w:r w:rsidR="00D17B2B" w:rsidRPr="008B6F00">
        <w:rPr>
          <w:rFonts w:ascii="Arial" w:hAnsi="Arial" w:cs="Arial"/>
          <w:sz w:val="24"/>
          <w:szCs w:val="24"/>
        </w:rPr>
        <w:t>.  He stated that even if this range were correct, it would be unreasonable to assume the most plausible ICER would be &gt;£50,000.</w:t>
      </w:r>
      <w:r w:rsidR="001A6117" w:rsidRPr="008B6F00">
        <w:rPr>
          <w:rFonts w:ascii="Arial" w:hAnsi="Arial" w:cs="Arial"/>
          <w:sz w:val="24"/>
          <w:szCs w:val="24"/>
        </w:rPr>
        <w:t xml:space="preserve"> </w:t>
      </w:r>
      <w:r w:rsidRPr="008B6F00">
        <w:rPr>
          <w:rFonts w:ascii="Arial" w:hAnsi="Arial" w:cs="Arial"/>
          <w:sz w:val="24"/>
          <w:szCs w:val="24"/>
        </w:rPr>
        <w:t xml:space="preserve"> </w:t>
      </w:r>
    </w:p>
    <w:p w14:paraId="18B39B38" w14:textId="77777777" w:rsidR="00D17B2B" w:rsidRPr="00D17B2B" w:rsidRDefault="00D17B2B" w:rsidP="00D17B2B">
      <w:pPr>
        <w:pStyle w:val="ListParagraph"/>
        <w:spacing w:after="0" w:line="240" w:lineRule="auto"/>
        <w:ind w:left="360"/>
        <w:rPr>
          <w:rFonts w:ascii="Arial" w:hAnsi="Arial" w:cs="Arial"/>
          <w:sz w:val="24"/>
          <w:szCs w:val="24"/>
        </w:rPr>
      </w:pPr>
    </w:p>
    <w:p w14:paraId="3D567582" w14:textId="453F7499" w:rsidR="00140A6A" w:rsidRPr="00140A6A" w:rsidRDefault="008B6F00" w:rsidP="00B26D14">
      <w:pPr>
        <w:pStyle w:val="ListParagraph"/>
        <w:numPr>
          <w:ilvl w:val="0"/>
          <w:numId w:val="21"/>
        </w:numPr>
        <w:spacing w:after="0" w:line="240" w:lineRule="auto"/>
        <w:rPr>
          <w:rFonts w:ascii="Arial" w:hAnsi="Arial" w:cs="Arial"/>
          <w:sz w:val="24"/>
          <w:szCs w:val="24"/>
        </w:rPr>
      </w:pPr>
      <w:r w:rsidRPr="00140A6A">
        <w:rPr>
          <w:rFonts w:ascii="Arial" w:hAnsi="Arial" w:cs="Arial"/>
          <w:sz w:val="24"/>
          <w:szCs w:val="24"/>
        </w:rPr>
        <w:lastRenderedPageBreak/>
        <w:t xml:space="preserve">Dr Lindsay Smith, for NICE, </w:t>
      </w:r>
      <w:r w:rsidR="00D51137" w:rsidRPr="00140A6A">
        <w:rPr>
          <w:rFonts w:ascii="Arial" w:hAnsi="Arial" w:cs="Arial"/>
          <w:sz w:val="24"/>
          <w:szCs w:val="24"/>
        </w:rPr>
        <w:t xml:space="preserve">said that it is usual for committees to consider a range of ICERs based on their preferred assumptions.  In this case, there were three </w:t>
      </w:r>
      <w:r w:rsidR="000F2248" w:rsidRPr="00140A6A">
        <w:rPr>
          <w:rFonts w:ascii="Arial" w:hAnsi="Arial" w:cs="Arial"/>
          <w:sz w:val="24"/>
          <w:szCs w:val="24"/>
        </w:rPr>
        <w:t>key drivers of the ICERs: duration of treatment effect, adjustment for treatment switchi</w:t>
      </w:r>
      <w:r w:rsidR="00DF63CD" w:rsidRPr="00140A6A">
        <w:rPr>
          <w:rFonts w:ascii="Arial" w:hAnsi="Arial" w:cs="Arial"/>
          <w:sz w:val="24"/>
          <w:szCs w:val="24"/>
        </w:rPr>
        <w:t xml:space="preserve">ng, and the choice of overall survival curve.  This generated 12 possible scenarios, and in 11 of these the ICER was &gt;£50,000.  </w:t>
      </w:r>
      <w:r w:rsidR="002E3833" w:rsidRPr="00140A6A">
        <w:rPr>
          <w:rFonts w:ascii="Arial" w:hAnsi="Arial" w:cs="Arial"/>
          <w:sz w:val="24"/>
          <w:szCs w:val="24"/>
        </w:rPr>
        <w:t xml:space="preserve">The committee had four options for the overall survival curve, and the most pessimistic was not considered </w:t>
      </w:r>
      <w:r w:rsidR="00DF5EA5" w:rsidRPr="00140A6A">
        <w:rPr>
          <w:rFonts w:ascii="Arial" w:hAnsi="Arial" w:cs="Arial"/>
          <w:sz w:val="24"/>
          <w:szCs w:val="24"/>
        </w:rPr>
        <w:t xml:space="preserve">in these 12 scenarios.  </w:t>
      </w:r>
      <w:r w:rsidR="00CD3A00" w:rsidRPr="00140A6A">
        <w:rPr>
          <w:rFonts w:ascii="Arial" w:hAnsi="Arial" w:cs="Arial"/>
          <w:sz w:val="24"/>
          <w:szCs w:val="24"/>
        </w:rPr>
        <w:t>With anything other than the most optimistic</w:t>
      </w:r>
      <w:r w:rsidR="00066E00" w:rsidRPr="00140A6A">
        <w:rPr>
          <w:rFonts w:ascii="Arial" w:hAnsi="Arial" w:cs="Arial"/>
          <w:sz w:val="24"/>
          <w:szCs w:val="24"/>
        </w:rPr>
        <w:t xml:space="preserve"> curve, even a 5</w:t>
      </w:r>
      <w:r w:rsidR="00497387">
        <w:rPr>
          <w:rFonts w:ascii="Arial" w:hAnsi="Arial" w:cs="Arial"/>
          <w:sz w:val="24"/>
          <w:szCs w:val="24"/>
        </w:rPr>
        <w:t>-</w:t>
      </w:r>
      <w:r w:rsidR="00066E00" w:rsidRPr="00140A6A">
        <w:rPr>
          <w:rFonts w:ascii="Arial" w:hAnsi="Arial" w:cs="Arial"/>
          <w:sz w:val="24"/>
          <w:szCs w:val="24"/>
        </w:rPr>
        <w:t xml:space="preserve">year treatment effect duration would produce an ICER </w:t>
      </w:r>
      <w:r w:rsidR="00140A6A" w:rsidRPr="00140A6A">
        <w:rPr>
          <w:rFonts w:ascii="Arial" w:hAnsi="Arial" w:cs="Arial"/>
          <w:sz w:val="24"/>
          <w:szCs w:val="24"/>
        </w:rPr>
        <w:t>&gt; £50,000.</w:t>
      </w:r>
    </w:p>
    <w:p w14:paraId="38E6BE9D" w14:textId="77777777" w:rsidR="00140A6A" w:rsidRPr="00140A6A" w:rsidRDefault="00140A6A" w:rsidP="00140A6A">
      <w:pPr>
        <w:pStyle w:val="ListParagraph"/>
        <w:rPr>
          <w:rFonts w:ascii="Arial" w:hAnsi="Arial" w:cs="Arial"/>
          <w:color w:val="FF0000"/>
          <w:sz w:val="24"/>
          <w:szCs w:val="24"/>
        </w:rPr>
      </w:pPr>
    </w:p>
    <w:p w14:paraId="072B6455" w14:textId="2E68DE63" w:rsidR="00B26D14" w:rsidRPr="003960D0" w:rsidRDefault="002D7BB4" w:rsidP="00B26D14">
      <w:pPr>
        <w:pStyle w:val="ListParagraph"/>
        <w:numPr>
          <w:ilvl w:val="0"/>
          <w:numId w:val="21"/>
        </w:numPr>
        <w:spacing w:after="0" w:line="240" w:lineRule="auto"/>
        <w:rPr>
          <w:rFonts w:ascii="Arial" w:hAnsi="Arial" w:cs="Arial"/>
          <w:sz w:val="24"/>
          <w:szCs w:val="24"/>
        </w:rPr>
      </w:pPr>
      <w:r w:rsidRPr="003960D0">
        <w:rPr>
          <w:rFonts w:ascii="Arial" w:hAnsi="Arial" w:cs="Arial"/>
          <w:sz w:val="24"/>
          <w:szCs w:val="24"/>
        </w:rPr>
        <w:t xml:space="preserve">Dr Smith also explained </w:t>
      </w:r>
      <w:r w:rsidR="00293F48" w:rsidRPr="003960D0">
        <w:rPr>
          <w:rFonts w:ascii="Arial" w:hAnsi="Arial" w:cs="Arial"/>
          <w:sz w:val="24"/>
          <w:szCs w:val="24"/>
        </w:rPr>
        <w:t xml:space="preserve">how </w:t>
      </w:r>
      <w:r w:rsidR="00D06C1C" w:rsidRPr="003960D0">
        <w:rPr>
          <w:rFonts w:ascii="Arial" w:hAnsi="Arial" w:cs="Arial"/>
          <w:sz w:val="24"/>
          <w:szCs w:val="24"/>
        </w:rPr>
        <w:t xml:space="preserve">the </w:t>
      </w:r>
      <w:r w:rsidR="00293F48" w:rsidRPr="003960D0">
        <w:rPr>
          <w:rFonts w:ascii="Arial" w:hAnsi="Arial" w:cs="Arial"/>
          <w:sz w:val="24"/>
          <w:szCs w:val="24"/>
        </w:rPr>
        <w:t>End of Life criteria</w:t>
      </w:r>
      <w:r w:rsidR="00D06C1C" w:rsidRPr="003960D0">
        <w:rPr>
          <w:rFonts w:ascii="Arial" w:hAnsi="Arial" w:cs="Arial"/>
          <w:sz w:val="24"/>
          <w:szCs w:val="24"/>
        </w:rPr>
        <w:t xml:space="preserve"> affect cost-effectiveness thresholds.  </w:t>
      </w:r>
      <w:r w:rsidR="005C66A1" w:rsidRPr="003960D0">
        <w:rPr>
          <w:rFonts w:ascii="Arial" w:hAnsi="Arial" w:cs="Arial"/>
          <w:sz w:val="24"/>
          <w:szCs w:val="24"/>
        </w:rPr>
        <w:t>Without the End of Life criteria</w:t>
      </w:r>
      <w:r w:rsidR="00DE19FD" w:rsidRPr="003960D0">
        <w:rPr>
          <w:rFonts w:ascii="Arial" w:hAnsi="Arial" w:cs="Arial"/>
          <w:sz w:val="24"/>
          <w:szCs w:val="24"/>
        </w:rPr>
        <w:t xml:space="preserve">, NICE considers treatments to be cost-effective if the </w:t>
      </w:r>
      <w:r w:rsidR="005C66A1" w:rsidRPr="003960D0">
        <w:rPr>
          <w:rFonts w:ascii="Arial" w:hAnsi="Arial" w:cs="Arial"/>
          <w:sz w:val="24"/>
          <w:szCs w:val="24"/>
        </w:rPr>
        <w:t>I</w:t>
      </w:r>
      <w:r w:rsidR="00DE19FD" w:rsidRPr="003960D0">
        <w:rPr>
          <w:rFonts w:ascii="Arial" w:hAnsi="Arial" w:cs="Arial"/>
          <w:sz w:val="24"/>
          <w:szCs w:val="24"/>
        </w:rPr>
        <w:t xml:space="preserve">CER is less than </w:t>
      </w:r>
      <w:r w:rsidR="005C66A1" w:rsidRPr="003960D0">
        <w:rPr>
          <w:rFonts w:ascii="Arial" w:hAnsi="Arial" w:cs="Arial"/>
          <w:sz w:val="24"/>
          <w:szCs w:val="24"/>
        </w:rPr>
        <w:t xml:space="preserve">£20,000-£30,000.  The higher end of this range is used when </w:t>
      </w:r>
      <w:r w:rsidR="005D0F5C" w:rsidRPr="003960D0">
        <w:rPr>
          <w:rFonts w:ascii="Arial" w:hAnsi="Arial" w:cs="Arial"/>
          <w:sz w:val="24"/>
          <w:szCs w:val="24"/>
        </w:rPr>
        <w:t>there is less uncertainty in the modelling, a highly innovative therapy, or important quality of life benefits</w:t>
      </w:r>
      <w:r w:rsidR="00B920A3">
        <w:rPr>
          <w:rFonts w:ascii="Arial" w:hAnsi="Arial" w:cs="Arial"/>
          <w:sz w:val="24"/>
          <w:szCs w:val="24"/>
        </w:rPr>
        <w:t xml:space="preserve"> that</w:t>
      </w:r>
      <w:r w:rsidR="005D0F5C" w:rsidRPr="003960D0">
        <w:rPr>
          <w:rFonts w:ascii="Arial" w:hAnsi="Arial" w:cs="Arial"/>
          <w:sz w:val="24"/>
          <w:szCs w:val="24"/>
        </w:rPr>
        <w:t xml:space="preserve"> are not captured in the model</w:t>
      </w:r>
      <w:r w:rsidR="00BD687D">
        <w:rPr>
          <w:rFonts w:ascii="Arial" w:hAnsi="Arial" w:cs="Arial"/>
          <w:sz w:val="24"/>
          <w:szCs w:val="24"/>
        </w:rPr>
        <w:t>.</w:t>
      </w:r>
      <w:r w:rsidR="005D0F5C" w:rsidRPr="003960D0">
        <w:rPr>
          <w:rFonts w:ascii="Arial" w:hAnsi="Arial" w:cs="Arial"/>
          <w:sz w:val="24"/>
          <w:szCs w:val="24"/>
        </w:rPr>
        <w:t xml:space="preserve">  </w:t>
      </w:r>
      <w:r w:rsidR="008A7DE9" w:rsidRPr="003960D0">
        <w:rPr>
          <w:rFonts w:ascii="Arial" w:hAnsi="Arial" w:cs="Arial"/>
          <w:sz w:val="24"/>
          <w:szCs w:val="24"/>
        </w:rPr>
        <w:t>Dr Smith said that none of these apply here, so the starting point would be closer to £20,000.  A weighting of up to 1.7</w:t>
      </w:r>
      <w:r w:rsidR="00B920A3">
        <w:rPr>
          <w:rFonts w:ascii="Arial" w:hAnsi="Arial" w:cs="Arial"/>
          <w:sz w:val="24"/>
          <w:szCs w:val="24"/>
        </w:rPr>
        <w:t xml:space="preserve"> times</w:t>
      </w:r>
      <w:r w:rsidR="008A7DE9" w:rsidRPr="003960D0">
        <w:rPr>
          <w:rFonts w:ascii="Arial" w:hAnsi="Arial" w:cs="Arial"/>
          <w:sz w:val="24"/>
          <w:szCs w:val="24"/>
        </w:rPr>
        <w:t xml:space="preserve"> is then applied when the End of Life criteria are met.  </w:t>
      </w:r>
      <w:r w:rsidR="00B660EE" w:rsidRPr="003960D0">
        <w:rPr>
          <w:rFonts w:ascii="Arial" w:hAnsi="Arial" w:cs="Arial"/>
          <w:sz w:val="24"/>
          <w:szCs w:val="24"/>
        </w:rPr>
        <w:t xml:space="preserve">In this case, the lack of robustness in the evidence would likely have meant that a weighting of less than 1.7 was used.  So, it is likely that the threshold for pembrolizumab to be considered cost-effective in this appraisal, </w:t>
      </w:r>
      <w:r w:rsidR="002C4347">
        <w:rPr>
          <w:rFonts w:ascii="Arial" w:hAnsi="Arial" w:cs="Arial"/>
          <w:sz w:val="24"/>
          <w:szCs w:val="24"/>
        </w:rPr>
        <w:t>w</w:t>
      </w:r>
      <w:r w:rsidR="009536DE" w:rsidRPr="003960D0">
        <w:rPr>
          <w:rFonts w:ascii="Arial" w:hAnsi="Arial" w:cs="Arial"/>
          <w:sz w:val="24"/>
          <w:szCs w:val="24"/>
        </w:rPr>
        <w:t>ith End of Life Criteria, would be closer to £34,000 than £50,000.</w:t>
      </w:r>
    </w:p>
    <w:p w14:paraId="26B4B572" w14:textId="77777777" w:rsidR="009536DE" w:rsidRPr="009536DE" w:rsidRDefault="009536DE" w:rsidP="009536DE">
      <w:pPr>
        <w:pStyle w:val="ListParagraph"/>
        <w:rPr>
          <w:rFonts w:ascii="Arial" w:hAnsi="Arial" w:cs="Arial"/>
          <w:sz w:val="24"/>
          <w:szCs w:val="24"/>
        </w:rPr>
      </w:pPr>
    </w:p>
    <w:p w14:paraId="7DA1A276" w14:textId="77777777" w:rsidR="009536DE" w:rsidRDefault="009536DE"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Dr Smith, responding to questions from the panel, acknowledged that this had not been discussed in detail during the appraisal. </w:t>
      </w:r>
      <w:r w:rsidR="00E96980">
        <w:rPr>
          <w:rFonts w:ascii="Arial" w:hAnsi="Arial" w:cs="Arial"/>
          <w:sz w:val="24"/>
          <w:szCs w:val="24"/>
        </w:rPr>
        <w:t>This was because the committee judged the most plausible ICE</w:t>
      </w:r>
      <w:r w:rsidR="003960D0">
        <w:rPr>
          <w:rFonts w:ascii="Arial" w:hAnsi="Arial" w:cs="Arial"/>
          <w:sz w:val="24"/>
          <w:szCs w:val="24"/>
        </w:rPr>
        <w:t>R</w:t>
      </w:r>
      <w:r w:rsidR="00E96980">
        <w:rPr>
          <w:rFonts w:ascii="Arial" w:hAnsi="Arial" w:cs="Arial"/>
          <w:sz w:val="24"/>
          <w:szCs w:val="24"/>
        </w:rPr>
        <w:t xml:space="preserve"> to be </w:t>
      </w:r>
      <w:r w:rsidR="003960D0">
        <w:rPr>
          <w:rFonts w:ascii="Arial" w:hAnsi="Arial" w:cs="Arial"/>
          <w:sz w:val="24"/>
          <w:szCs w:val="24"/>
        </w:rPr>
        <w:t xml:space="preserve">&gt;£50,000 so further consideration of exactly how the End of Life criteria should be applied was not relevant.  </w:t>
      </w:r>
    </w:p>
    <w:p w14:paraId="3CE29715" w14:textId="77777777" w:rsidR="00712E98" w:rsidRPr="00712E98" w:rsidRDefault="00712E98" w:rsidP="00712E98">
      <w:pPr>
        <w:pStyle w:val="ListParagraph"/>
        <w:rPr>
          <w:rFonts w:ascii="Arial" w:hAnsi="Arial" w:cs="Arial"/>
          <w:sz w:val="24"/>
          <w:szCs w:val="24"/>
        </w:rPr>
      </w:pPr>
    </w:p>
    <w:p w14:paraId="5BCAD12D" w14:textId="09BC27B3" w:rsidR="00712E98" w:rsidRDefault="00712E98"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Benjamin Bates, for MSD, responded to Dr Smith’s comment on 11 out of 12 ICER</w:t>
      </w:r>
      <w:r w:rsidR="002C4347">
        <w:rPr>
          <w:rFonts w:ascii="Arial" w:hAnsi="Arial" w:cs="Arial"/>
          <w:sz w:val="24"/>
          <w:szCs w:val="24"/>
        </w:rPr>
        <w:t>s</w:t>
      </w:r>
      <w:r>
        <w:rPr>
          <w:rFonts w:ascii="Arial" w:hAnsi="Arial" w:cs="Arial"/>
          <w:sz w:val="24"/>
          <w:szCs w:val="24"/>
        </w:rPr>
        <w:t xml:space="preserve"> being &gt;£50,000</w:t>
      </w:r>
      <w:r w:rsidR="00AA6A82">
        <w:rPr>
          <w:rFonts w:ascii="Arial" w:hAnsi="Arial" w:cs="Arial"/>
          <w:sz w:val="24"/>
          <w:szCs w:val="24"/>
        </w:rPr>
        <w:t xml:space="preserve">.  He said that was not reasonable to </w:t>
      </w:r>
      <w:r w:rsidR="00251E46">
        <w:rPr>
          <w:rFonts w:ascii="Arial" w:hAnsi="Arial" w:cs="Arial"/>
          <w:sz w:val="24"/>
          <w:szCs w:val="24"/>
        </w:rPr>
        <w:t>consider alternative overall survival curves.  In addition, he said that 3 of these ICERs would be very close to £50,000</w:t>
      </w:r>
      <w:r w:rsidR="00921095">
        <w:rPr>
          <w:rFonts w:ascii="Arial" w:hAnsi="Arial" w:cs="Arial"/>
          <w:sz w:val="24"/>
          <w:szCs w:val="24"/>
        </w:rPr>
        <w:t>.</w:t>
      </w:r>
    </w:p>
    <w:p w14:paraId="0EC78F4E" w14:textId="77777777" w:rsidR="00921095" w:rsidRPr="00921095" w:rsidRDefault="00921095" w:rsidP="00921095">
      <w:pPr>
        <w:pStyle w:val="ListParagraph"/>
        <w:rPr>
          <w:rFonts w:ascii="Arial" w:hAnsi="Arial" w:cs="Arial"/>
          <w:sz w:val="24"/>
          <w:szCs w:val="24"/>
        </w:rPr>
      </w:pPr>
    </w:p>
    <w:p w14:paraId="18D162A7" w14:textId="38E441C8" w:rsidR="00921095" w:rsidRPr="0053499F" w:rsidRDefault="00921095"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Prof McVeigh, for NICE,</w:t>
      </w:r>
      <w:r w:rsidR="00FA72D7">
        <w:rPr>
          <w:rFonts w:ascii="Arial" w:hAnsi="Arial" w:cs="Arial"/>
          <w:sz w:val="24"/>
          <w:szCs w:val="24"/>
        </w:rPr>
        <w:t xml:space="preserve"> said that in the company’s base case </w:t>
      </w:r>
      <w:r w:rsidR="00345F94">
        <w:rPr>
          <w:rFonts w:ascii="Arial" w:hAnsi="Arial" w:cs="Arial"/>
          <w:sz w:val="24"/>
          <w:szCs w:val="24"/>
        </w:rPr>
        <w:t>the</w:t>
      </w:r>
      <w:r w:rsidR="001C4E71">
        <w:rPr>
          <w:rFonts w:ascii="Arial" w:hAnsi="Arial" w:cs="Arial"/>
          <w:sz w:val="24"/>
          <w:szCs w:val="24"/>
        </w:rPr>
        <w:t xml:space="preserve"> ICER is verging on the maximum threshold for cost-effectiveness.  To </w:t>
      </w:r>
      <w:r w:rsidR="00657CB5">
        <w:rPr>
          <w:rFonts w:ascii="Arial" w:hAnsi="Arial" w:cs="Arial"/>
          <w:sz w:val="24"/>
          <w:szCs w:val="24"/>
        </w:rPr>
        <w:t>accept this ICER</w:t>
      </w:r>
      <w:r w:rsidR="002B2F65">
        <w:rPr>
          <w:rFonts w:ascii="Arial" w:hAnsi="Arial" w:cs="Arial"/>
          <w:sz w:val="24"/>
          <w:szCs w:val="24"/>
        </w:rPr>
        <w:t>, the committee would have to accept that there was no uncertainty about a treatment effect duration of 5 years or the two</w:t>
      </w:r>
      <w:r w:rsidR="00B67AD0">
        <w:rPr>
          <w:rFonts w:ascii="Arial" w:hAnsi="Arial" w:cs="Arial"/>
          <w:sz w:val="24"/>
          <w:szCs w:val="24"/>
        </w:rPr>
        <w:t>-</w:t>
      </w:r>
      <w:r w:rsidR="002B2F65">
        <w:rPr>
          <w:rFonts w:ascii="Arial" w:hAnsi="Arial" w:cs="Arial"/>
          <w:sz w:val="24"/>
          <w:szCs w:val="24"/>
        </w:rPr>
        <w:t>stage adjustment for treatment switching.</w:t>
      </w:r>
      <w:r w:rsidR="00C30EE6">
        <w:rPr>
          <w:rFonts w:ascii="Arial" w:hAnsi="Arial" w:cs="Arial"/>
          <w:sz w:val="24"/>
          <w:szCs w:val="24"/>
        </w:rPr>
        <w:t xml:space="preserve">  The committee judged that this was simply not tenable and therefore the most plausible ICER must be &gt;£50,000.</w:t>
      </w:r>
    </w:p>
    <w:p w14:paraId="33C266CD" w14:textId="77777777" w:rsidR="00B26D14" w:rsidRPr="0053499F" w:rsidRDefault="00B26D14" w:rsidP="00B26D14">
      <w:pPr>
        <w:pStyle w:val="ListParagraph"/>
        <w:rPr>
          <w:rFonts w:ascii="Arial" w:hAnsi="Arial" w:cs="Arial"/>
          <w:sz w:val="24"/>
          <w:szCs w:val="24"/>
        </w:rPr>
      </w:pPr>
    </w:p>
    <w:p w14:paraId="43EEA0E9" w14:textId="77777777" w:rsidR="00B26D14" w:rsidRPr="0049037D" w:rsidRDefault="00EB5F3F" w:rsidP="00B26D14">
      <w:pPr>
        <w:pStyle w:val="ListParagraph"/>
        <w:numPr>
          <w:ilvl w:val="0"/>
          <w:numId w:val="21"/>
        </w:numPr>
        <w:spacing w:after="0" w:line="240" w:lineRule="auto"/>
        <w:rPr>
          <w:rFonts w:ascii="Arial" w:hAnsi="Arial" w:cs="Arial"/>
          <w:sz w:val="24"/>
          <w:szCs w:val="24"/>
        </w:rPr>
      </w:pPr>
      <w:r w:rsidRPr="0049037D">
        <w:rPr>
          <w:rFonts w:ascii="Arial" w:hAnsi="Arial" w:cs="Arial"/>
          <w:sz w:val="24"/>
          <w:szCs w:val="24"/>
        </w:rPr>
        <w:t xml:space="preserve">The </w:t>
      </w:r>
      <w:r w:rsidR="0049037D">
        <w:rPr>
          <w:rFonts w:ascii="Arial" w:hAnsi="Arial" w:cs="Arial"/>
          <w:sz w:val="24"/>
          <w:szCs w:val="24"/>
        </w:rPr>
        <w:t>panel</w:t>
      </w:r>
      <w:r w:rsidRPr="0049037D">
        <w:rPr>
          <w:rFonts w:ascii="Arial" w:hAnsi="Arial" w:cs="Arial"/>
          <w:sz w:val="24"/>
          <w:szCs w:val="24"/>
        </w:rPr>
        <w:t xml:space="preserve"> concluded that </w:t>
      </w:r>
      <w:r w:rsidR="0095504D" w:rsidRPr="0049037D">
        <w:rPr>
          <w:rFonts w:ascii="Arial" w:hAnsi="Arial" w:cs="Arial"/>
          <w:sz w:val="24"/>
          <w:szCs w:val="24"/>
        </w:rPr>
        <w:t>it was reasonable for the committee to generate a range of ICERs based on their preferred assumptions</w:t>
      </w:r>
      <w:r w:rsidR="002C4347">
        <w:rPr>
          <w:rFonts w:ascii="Arial" w:hAnsi="Arial" w:cs="Arial"/>
          <w:sz w:val="24"/>
          <w:szCs w:val="24"/>
        </w:rPr>
        <w:t xml:space="preserve"> and on other plausible scenarios</w:t>
      </w:r>
      <w:r w:rsidR="0095504D" w:rsidRPr="0049037D">
        <w:rPr>
          <w:rFonts w:ascii="Arial" w:hAnsi="Arial" w:cs="Arial"/>
          <w:sz w:val="24"/>
          <w:szCs w:val="24"/>
        </w:rPr>
        <w:t xml:space="preserve">.  Whether </w:t>
      </w:r>
      <w:r w:rsidR="008A29BA" w:rsidRPr="0049037D">
        <w:rPr>
          <w:rFonts w:ascii="Arial" w:hAnsi="Arial" w:cs="Arial"/>
          <w:sz w:val="24"/>
          <w:szCs w:val="24"/>
        </w:rPr>
        <w:t xml:space="preserve">or not </w:t>
      </w:r>
      <w:r w:rsidR="0095504D" w:rsidRPr="0049037D">
        <w:rPr>
          <w:rFonts w:ascii="Arial" w:hAnsi="Arial" w:cs="Arial"/>
          <w:sz w:val="24"/>
          <w:szCs w:val="24"/>
        </w:rPr>
        <w:t>the key assumptions</w:t>
      </w:r>
      <w:r w:rsidR="008A29BA" w:rsidRPr="0049037D">
        <w:rPr>
          <w:rFonts w:ascii="Arial" w:hAnsi="Arial" w:cs="Arial"/>
          <w:sz w:val="24"/>
          <w:szCs w:val="24"/>
        </w:rPr>
        <w:t xml:space="preserve"> </w:t>
      </w:r>
      <w:r w:rsidR="00996600" w:rsidRPr="0049037D">
        <w:rPr>
          <w:rFonts w:ascii="Arial" w:hAnsi="Arial" w:cs="Arial"/>
          <w:sz w:val="24"/>
          <w:szCs w:val="24"/>
        </w:rPr>
        <w:t xml:space="preserve">that </w:t>
      </w:r>
      <w:r w:rsidR="00D1775B" w:rsidRPr="0049037D">
        <w:rPr>
          <w:rFonts w:ascii="Arial" w:hAnsi="Arial" w:cs="Arial"/>
          <w:sz w:val="24"/>
          <w:szCs w:val="24"/>
        </w:rPr>
        <w:t xml:space="preserve">this range was based on </w:t>
      </w:r>
      <w:r w:rsidR="008A29BA" w:rsidRPr="0049037D">
        <w:rPr>
          <w:rFonts w:ascii="Arial" w:hAnsi="Arial" w:cs="Arial"/>
          <w:sz w:val="24"/>
          <w:szCs w:val="24"/>
        </w:rPr>
        <w:t xml:space="preserve">are reasonable is addressed </w:t>
      </w:r>
      <w:r w:rsidR="00D1775B" w:rsidRPr="0049037D">
        <w:rPr>
          <w:rFonts w:ascii="Arial" w:hAnsi="Arial" w:cs="Arial"/>
          <w:sz w:val="24"/>
          <w:szCs w:val="24"/>
        </w:rPr>
        <w:t xml:space="preserve">separately </w:t>
      </w:r>
      <w:r w:rsidR="008A29BA" w:rsidRPr="0049037D">
        <w:rPr>
          <w:rFonts w:ascii="Arial" w:hAnsi="Arial" w:cs="Arial"/>
          <w:sz w:val="24"/>
          <w:szCs w:val="24"/>
        </w:rPr>
        <w:t>in Appeal Points 2.</w:t>
      </w:r>
      <w:r w:rsidR="002C4347">
        <w:rPr>
          <w:rFonts w:ascii="Arial" w:hAnsi="Arial" w:cs="Arial"/>
          <w:sz w:val="24"/>
          <w:szCs w:val="24"/>
        </w:rPr>
        <w:t>1-</w:t>
      </w:r>
      <w:r w:rsidR="008A29BA" w:rsidRPr="0049037D">
        <w:rPr>
          <w:rFonts w:ascii="Arial" w:hAnsi="Arial" w:cs="Arial"/>
          <w:sz w:val="24"/>
          <w:szCs w:val="24"/>
        </w:rPr>
        <w:t>2</w:t>
      </w:r>
      <w:r w:rsidR="00D1775B" w:rsidRPr="0049037D">
        <w:rPr>
          <w:rFonts w:ascii="Arial" w:hAnsi="Arial" w:cs="Arial"/>
          <w:sz w:val="24"/>
          <w:szCs w:val="24"/>
        </w:rPr>
        <w:t xml:space="preserve"> (on treatment effect duration) and Appeal Point 2.5</w:t>
      </w:r>
      <w:r w:rsidR="00B96E3A" w:rsidRPr="0049037D">
        <w:rPr>
          <w:rFonts w:ascii="Arial" w:hAnsi="Arial" w:cs="Arial"/>
          <w:sz w:val="24"/>
          <w:szCs w:val="24"/>
        </w:rPr>
        <w:t xml:space="preserve"> (on the use of </w:t>
      </w:r>
      <w:r w:rsidR="00996600" w:rsidRPr="0049037D">
        <w:rPr>
          <w:rFonts w:ascii="Arial" w:hAnsi="Arial" w:cs="Arial"/>
          <w:sz w:val="24"/>
          <w:szCs w:val="24"/>
        </w:rPr>
        <w:t xml:space="preserve">the </w:t>
      </w:r>
      <w:r w:rsidR="00B96E3A" w:rsidRPr="0049037D">
        <w:rPr>
          <w:rFonts w:ascii="Arial" w:hAnsi="Arial" w:cs="Arial"/>
          <w:sz w:val="24"/>
          <w:szCs w:val="24"/>
        </w:rPr>
        <w:t xml:space="preserve">2-stage </w:t>
      </w:r>
      <w:r w:rsidR="00996600" w:rsidRPr="0049037D">
        <w:rPr>
          <w:rFonts w:ascii="Arial" w:hAnsi="Arial" w:cs="Arial"/>
          <w:sz w:val="24"/>
          <w:szCs w:val="24"/>
        </w:rPr>
        <w:t>model</w:t>
      </w:r>
      <w:r w:rsidR="00B96E3A" w:rsidRPr="0049037D">
        <w:rPr>
          <w:rFonts w:ascii="Arial" w:hAnsi="Arial" w:cs="Arial"/>
          <w:sz w:val="24"/>
          <w:szCs w:val="24"/>
        </w:rPr>
        <w:t xml:space="preserve"> versus unadjusted data).  </w:t>
      </w:r>
      <w:r w:rsidR="00A133DA" w:rsidRPr="0049037D">
        <w:rPr>
          <w:rFonts w:ascii="Arial" w:hAnsi="Arial" w:cs="Arial"/>
          <w:sz w:val="24"/>
          <w:szCs w:val="24"/>
        </w:rPr>
        <w:t xml:space="preserve">These issues are therefore not considered here.  </w:t>
      </w:r>
    </w:p>
    <w:p w14:paraId="349FEDB3" w14:textId="77777777" w:rsidR="006E6F93" w:rsidRPr="006E6F93" w:rsidRDefault="006E6F93" w:rsidP="006E6F93">
      <w:pPr>
        <w:pStyle w:val="ListParagraph"/>
        <w:rPr>
          <w:rFonts w:ascii="Arial" w:hAnsi="Arial" w:cs="Arial"/>
          <w:sz w:val="24"/>
          <w:szCs w:val="24"/>
        </w:rPr>
      </w:pPr>
    </w:p>
    <w:p w14:paraId="766ECACF" w14:textId="77777777" w:rsidR="002C4347" w:rsidRDefault="006E6F93" w:rsidP="00CD7570">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Under this ground, the panel has considered </w:t>
      </w:r>
      <w:r w:rsidR="00F221A1">
        <w:rPr>
          <w:rFonts w:ascii="Arial" w:hAnsi="Arial" w:cs="Arial"/>
          <w:sz w:val="24"/>
          <w:szCs w:val="24"/>
        </w:rPr>
        <w:t>the narrower issue of whether</w:t>
      </w:r>
      <w:r w:rsidR="00A6599C">
        <w:rPr>
          <w:rFonts w:ascii="Arial" w:hAnsi="Arial" w:cs="Arial"/>
          <w:sz w:val="24"/>
          <w:szCs w:val="24"/>
        </w:rPr>
        <w:t xml:space="preserve"> it was reasonable for the panel to conclude that the most plausible ICER was likely to be above £50,000.  </w:t>
      </w:r>
    </w:p>
    <w:p w14:paraId="13675ECA" w14:textId="77777777" w:rsidR="002C4347" w:rsidRPr="005F4A47" w:rsidRDefault="002C4347" w:rsidP="005F4A47">
      <w:pPr>
        <w:pStyle w:val="ListParagraph"/>
        <w:rPr>
          <w:rFonts w:ascii="Arial" w:hAnsi="Arial" w:cs="Arial"/>
          <w:sz w:val="24"/>
          <w:szCs w:val="24"/>
        </w:rPr>
      </w:pPr>
    </w:p>
    <w:p w14:paraId="7FAC1AF5" w14:textId="77777777" w:rsidR="002C4347" w:rsidRDefault="002C4347" w:rsidP="002C4347">
      <w:pPr>
        <w:pStyle w:val="ListParagraph"/>
        <w:numPr>
          <w:ilvl w:val="0"/>
          <w:numId w:val="21"/>
        </w:numPr>
        <w:spacing w:after="0" w:line="240" w:lineRule="auto"/>
        <w:rPr>
          <w:rFonts w:ascii="Arial" w:hAnsi="Arial" w:cs="Arial"/>
          <w:sz w:val="24"/>
          <w:szCs w:val="24"/>
        </w:rPr>
      </w:pPr>
      <w:r>
        <w:rPr>
          <w:rFonts w:ascii="Arial" w:hAnsi="Arial" w:cs="Arial"/>
          <w:sz w:val="24"/>
          <w:szCs w:val="24"/>
        </w:rPr>
        <w:lastRenderedPageBreak/>
        <w:t xml:space="preserve">The panel did not rely on Dr Smith’s exposition of the weighting to be given to </w:t>
      </w:r>
      <w:r w:rsidRPr="002C4347">
        <w:rPr>
          <w:rFonts w:ascii="Arial" w:hAnsi="Arial" w:cs="Arial"/>
          <w:sz w:val="24"/>
          <w:szCs w:val="24"/>
        </w:rPr>
        <w:t>pembrolizumab</w:t>
      </w:r>
      <w:r>
        <w:rPr>
          <w:rFonts w:ascii="Arial" w:hAnsi="Arial" w:cs="Arial"/>
          <w:sz w:val="24"/>
          <w:szCs w:val="24"/>
        </w:rPr>
        <w:t xml:space="preserve"> being less than 1.7, because this is not discussed in the FAD and the panel were not taken to any contemporaneous document in which the issue was raised.  The panel accepted that Dr Smith had this consideration active in his own </w:t>
      </w:r>
      <w:proofErr w:type="gramStart"/>
      <w:r>
        <w:rPr>
          <w:rFonts w:ascii="Arial" w:hAnsi="Arial" w:cs="Arial"/>
          <w:sz w:val="24"/>
          <w:szCs w:val="24"/>
        </w:rPr>
        <w:t>mind, but</w:t>
      </w:r>
      <w:proofErr w:type="gramEnd"/>
      <w:r>
        <w:rPr>
          <w:rFonts w:ascii="Arial" w:hAnsi="Arial" w:cs="Arial"/>
          <w:sz w:val="24"/>
          <w:szCs w:val="24"/>
        </w:rPr>
        <w:t xml:space="preserve"> was not prepared to accept that it formed part of the committee’s overall reasoning. </w:t>
      </w:r>
    </w:p>
    <w:p w14:paraId="08933653" w14:textId="77777777" w:rsidR="002C4347" w:rsidRPr="005F4A47" w:rsidRDefault="002C4347" w:rsidP="005F4A47">
      <w:pPr>
        <w:pStyle w:val="ListParagraph"/>
        <w:rPr>
          <w:rFonts w:ascii="Arial" w:hAnsi="Arial" w:cs="Arial"/>
          <w:sz w:val="24"/>
          <w:szCs w:val="24"/>
        </w:rPr>
      </w:pPr>
    </w:p>
    <w:p w14:paraId="1297B172" w14:textId="77777777" w:rsidR="002C4347" w:rsidRDefault="00656018" w:rsidP="00CD7570">
      <w:pPr>
        <w:pStyle w:val="ListParagraph"/>
        <w:numPr>
          <w:ilvl w:val="0"/>
          <w:numId w:val="21"/>
        </w:numPr>
        <w:spacing w:after="0" w:line="240" w:lineRule="auto"/>
        <w:rPr>
          <w:rFonts w:ascii="Arial" w:hAnsi="Arial" w:cs="Arial"/>
          <w:sz w:val="24"/>
          <w:szCs w:val="24"/>
        </w:rPr>
      </w:pPr>
      <w:r>
        <w:rPr>
          <w:rFonts w:ascii="Arial" w:hAnsi="Arial" w:cs="Arial"/>
          <w:sz w:val="24"/>
          <w:szCs w:val="24"/>
        </w:rPr>
        <w:t>The panel was persuaded by the committee’s argument</w:t>
      </w:r>
      <w:r w:rsidR="00E65A43">
        <w:rPr>
          <w:rFonts w:ascii="Arial" w:hAnsi="Arial" w:cs="Arial"/>
          <w:sz w:val="24"/>
          <w:szCs w:val="24"/>
        </w:rPr>
        <w:t xml:space="preserve"> </w:t>
      </w:r>
      <w:r w:rsidR="000617CB">
        <w:rPr>
          <w:rFonts w:ascii="Arial" w:hAnsi="Arial" w:cs="Arial"/>
          <w:sz w:val="24"/>
          <w:szCs w:val="24"/>
        </w:rPr>
        <w:t xml:space="preserve">that </w:t>
      </w:r>
      <w:r w:rsidR="0090106D">
        <w:rPr>
          <w:rFonts w:ascii="Arial" w:hAnsi="Arial" w:cs="Arial"/>
          <w:sz w:val="24"/>
          <w:szCs w:val="24"/>
        </w:rPr>
        <w:t xml:space="preserve">any deviation from the company’s base case (whether in treatment effect duration, </w:t>
      </w:r>
      <w:r w:rsidR="003C3EFF">
        <w:rPr>
          <w:rFonts w:ascii="Arial" w:hAnsi="Arial" w:cs="Arial"/>
          <w:sz w:val="24"/>
          <w:szCs w:val="24"/>
        </w:rPr>
        <w:t xml:space="preserve">overall survival curve, adjustment for treatment switching or indeed other factors) would push the ICER beyond the </w:t>
      </w:r>
      <w:r w:rsidR="00985787">
        <w:rPr>
          <w:rFonts w:ascii="Arial" w:hAnsi="Arial" w:cs="Arial"/>
          <w:sz w:val="24"/>
          <w:szCs w:val="24"/>
        </w:rPr>
        <w:t>upper end of the range that can be considered cost effective even if the maximum weighting allowed by the End of Life criteria were applied.</w:t>
      </w:r>
    </w:p>
    <w:p w14:paraId="607F2B18" w14:textId="77777777" w:rsidR="002C4347" w:rsidRPr="005F4A47" w:rsidRDefault="002C4347" w:rsidP="005F4A47">
      <w:pPr>
        <w:pStyle w:val="ListParagraph"/>
        <w:rPr>
          <w:rFonts w:ascii="Arial" w:hAnsi="Arial" w:cs="Arial"/>
          <w:sz w:val="24"/>
          <w:szCs w:val="24"/>
        </w:rPr>
      </w:pPr>
    </w:p>
    <w:p w14:paraId="09A518E8" w14:textId="124BB16E" w:rsidR="00985787" w:rsidRDefault="002C4347" w:rsidP="00CD7570">
      <w:pPr>
        <w:pStyle w:val="ListParagraph"/>
        <w:numPr>
          <w:ilvl w:val="0"/>
          <w:numId w:val="21"/>
        </w:numPr>
        <w:spacing w:after="0" w:line="240" w:lineRule="auto"/>
        <w:rPr>
          <w:rFonts w:ascii="Arial" w:hAnsi="Arial" w:cs="Arial"/>
          <w:sz w:val="24"/>
          <w:szCs w:val="24"/>
        </w:rPr>
      </w:pPr>
      <w:r>
        <w:rPr>
          <w:rFonts w:ascii="Arial" w:hAnsi="Arial" w:cs="Arial"/>
          <w:sz w:val="24"/>
          <w:szCs w:val="24"/>
        </w:rPr>
        <w:t>Further, if it was suggested by MSD that it was enough that one plausible ICER fell below the usual upper level for recommendation under the end of life criteria, the panel disagreed.   An appraisal will typically generate a</w:t>
      </w:r>
      <w:r w:rsidR="000617CB">
        <w:rPr>
          <w:rFonts w:ascii="Arial" w:hAnsi="Arial" w:cs="Arial"/>
          <w:sz w:val="24"/>
          <w:szCs w:val="24"/>
        </w:rPr>
        <w:t xml:space="preserve"> </w:t>
      </w:r>
      <w:r>
        <w:rPr>
          <w:rFonts w:ascii="Arial" w:hAnsi="Arial" w:cs="Arial"/>
          <w:sz w:val="24"/>
          <w:szCs w:val="24"/>
        </w:rPr>
        <w:t xml:space="preserve">range of ICERs of greater or lesser plausibility </w:t>
      </w:r>
      <w:r w:rsidR="0007088E">
        <w:rPr>
          <w:rFonts w:ascii="Arial" w:hAnsi="Arial" w:cs="Arial"/>
          <w:sz w:val="24"/>
          <w:szCs w:val="24"/>
        </w:rPr>
        <w:t xml:space="preserve">depending on the inputs and assumptions used, and a committee should use that range, and its assessment of the plausibility of the values within it, to reach a holistic judgement whether to recommend or not recommend a treatment.  How it does so is very much a matter for its judgement in each appraisal and no attempt should be made to lay down prescriptive general rules.  </w:t>
      </w:r>
    </w:p>
    <w:p w14:paraId="1DB91FF3" w14:textId="77777777" w:rsidR="00CD7570" w:rsidRPr="00CD7570" w:rsidRDefault="00CD7570" w:rsidP="00CD7570">
      <w:pPr>
        <w:spacing w:after="0" w:line="240" w:lineRule="auto"/>
        <w:rPr>
          <w:rFonts w:ascii="Arial" w:hAnsi="Arial" w:cs="Arial"/>
          <w:sz w:val="24"/>
          <w:szCs w:val="24"/>
        </w:rPr>
      </w:pPr>
    </w:p>
    <w:p w14:paraId="620B726F" w14:textId="7CE293A9" w:rsidR="00B26D14" w:rsidRPr="00CD7570" w:rsidRDefault="00CD7570" w:rsidP="00CD7570">
      <w:pPr>
        <w:pStyle w:val="ListParagraph"/>
        <w:numPr>
          <w:ilvl w:val="0"/>
          <w:numId w:val="21"/>
        </w:numPr>
        <w:spacing w:after="0" w:line="240" w:lineRule="auto"/>
        <w:rPr>
          <w:rFonts w:ascii="Arial" w:hAnsi="Arial" w:cs="Arial"/>
          <w:sz w:val="24"/>
          <w:szCs w:val="24"/>
        </w:rPr>
      </w:pPr>
      <w:r>
        <w:rPr>
          <w:rFonts w:ascii="Arial" w:hAnsi="Arial" w:cs="Arial"/>
          <w:sz w:val="24"/>
          <w:szCs w:val="24"/>
        </w:rPr>
        <w:t>The appeal panel therefore dismissed the appeal on this</w:t>
      </w:r>
      <w:r w:rsidR="005934C8">
        <w:rPr>
          <w:rFonts w:ascii="Arial" w:hAnsi="Arial" w:cs="Arial"/>
          <w:sz w:val="24"/>
          <w:szCs w:val="24"/>
        </w:rPr>
        <w:t xml:space="preserve"> </w:t>
      </w:r>
      <w:r w:rsidR="000B7630">
        <w:rPr>
          <w:rFonts w:ascii="Arial" w:hAnsi="Arial" w:cs="Arial"/>
          <w:sz w:val="24"/>
          <w:szCs w:val="24"/>
        </w:rPr>
        <w:t>aspect</w:t>
      </w:r>
      <w:r>
        <w:rPr>
          <w:rFonts w:ascii="Arial" w:hAnsi="Arial" w:cs="Arial"/>
          <w:sz w:val="24"/>
          <w:szCs w:val="24"/>
        </w:rPr>
        <w:t xml:space="preserve"> </w:t>
      </w:r>
      <w:r w:rsidR="005934C8">
        <w:rPr>
          <w:rFonts w:ascii="Arial" w:hAnsi="Arial" w:cs="Arial"/>
          <w:sz w:val="24"/>
          <w:szCs w:val="24"/>
        </w:rPr>
        <w:t xml:space="preserve">of </w:t>
      </w:r>
      <w:r>
        <w:rPr>
          <w:rFonts w:ascii="Arial" w:hAnsi="Arial" w:cs="Arial"/>
          <w:sz w:val="24"/>
          <w:szCs w:val="24"/>
        </w:rPr>
        <w:t>point</w:t>
      </w:r>
      <w:r w:rsidR="00DD09F3">
        <w:rPr>
          <w:rFonts w:ascii="Arial" w:hAnsi="Arial" w:cs="Arial"/>
          <w:sz w:val="24"/>
          <w:szCs w:val="24"/>
        </w:rPr>
        <w:t xml:space="preserve"> 2.3</w:t>
      </w:r>
      <w:r>
        <w:rPr>
          <w:rFonts w:ascii="Arial" w:hAnsi="Arial" w:cs="Arial"/>
          <w:sz w:val="24"/>
          <w:szCs w:val="24"/>
        </w:rPr>
        <w:t xml:space="preserve"> but </w:t>
      </w:r>
      <w:r w:rsidR="005934C8">
        <w:rPr>
          <w:rFonts w:ascii="Arial" w:hAnsi="Arial" w:cs="Arial"/>
          <w:sz w:val="24"/>
          <w:szCs w:val="24"/>
        </w:rPr>
        <w:t>refers also to its</w:t>
      </w:r>
      <w:r w:rsidR="00DD09F3">
        <w:rPr>
          <w:rFonts w:ascii="Arial" w:hAnsi="Arial" w:cs="Arial"/>
          <w:sz w:val="24"/>
          <w:szCs w:val="24"/>
        </w:rPr>
        <w:t xml:space="preserve"> decision on Appeal Points 2.1</w:t>
      </w:r>
      <w:r w:rsidR="0007088E">
        <w:rPr>
          <w:rFonts w:ascii="Arial" w:hAnsi="Arial" w:cs="Arial"/>
          <w:sz w:val="24"/>
          <w:szCs w:val="24"/>
        </w:rPr>
        <w:t>-2</w:t>
      </w:r>
      <w:r w:rsidR="00DD09F3">
        <w:rPr>
          <w:rFonts w:ascii="Arial" w:hAnsi="Arial" w:cs="Arial"/>
          <w:sz w:val="24"/>
          <w:szCs w:val="24"/>
        </w:rPr>
        <w:t xml:space="preserve"> and 2.5.</w:t>
      </w:r>
    </w:p>
    <w:p w14:paraId="551A9F9B" w14:textId="77777777" w:rsidR="001D1D88" w:rsidRDefault="001D1D88" w:rsidP="00B26D14">
      <w:pPr>
        <w:spacing w:after="0" w:line="240" w:lineRule="auto"/>
        <w:rPr>
          <w:rFonts w:ascii="Arial" w:hAnsi="Arial" w:cs="Arial"/>
          <w:sz w:val="24"/>
          <w:szCs w:val="24"/>
        </w:rPr>
      </w:pPr>
    </w:p>
    <w:p w14:paraId="7969D74B" w14:textId="77777777" w:rsidR="00B26D14" w:rsidRPr="0053499F" w:rsidRDefault="00B26D14" w:rsidP="00B26D14">
      <w:pPr>
        <w:spacing w:after="0" w:line="240" w:lineRule="auto"/>
        <w:rPr>
          <w:rFonts w:ascii="Arial" w:hAnsi="Arial" w:cs="Arial"/>
          <w:sz w:val="24"/>
          <w:szCs w:val="24"/>
        </w:rPr>
      </w:pPr>
      <w:r w:rsidRPr="0053499F">
        <w:rPr>
          <w:rFonts w:ascii="Arial" w:hAnsi="Arial" w:cs="Arial"/>
          <w:b/>
          <w:sz w:val="24"/>
          <w:szCs w:val="24"/>
        </w:rPr>
        <w:t>Appeal point Ground 2.</w:t>
      </w:r>
      <w:r w:rsidR="00C47CF4">
        <w:rPr>
          <w:rFonts w:ascii="Arial" w:hAnsi="Arial" w:cs="Arial"/>
          <w:b/>
          <w:sz w:val="24"/>
          <w:szCs w:val="24"/>
        </w:rPr>
        <w:t>4</w:t>
      </w:r>
      <w:r w:rsidRPr="0053499F">
        <w:rPr>
          <w:rFonts w:ascii="Arial" w:hAnsi="Arial" w:cs="Arial"/>
          <w:b/>
          <w:sz w:val="24"/>
          <w:szCs w:val="24"/>
        </w:rPr>
        <w:t>:</w:t>
      </w:r>
      <w:r w:rsidR="00C47CF4">
        <w:rPr>
          <w:rFonts w:ascii="Arial" w:hAnsi="Arial" w:cs="Arial"/>
          <w:b/>
          <w:sz w:val="24"/>
          <w:szCs w:val="24"/>
        </w:rPr>
        <w:t xml:space="preserve"> </w:t>
      </w:r>
      <w:r w:rsidR="00C47CF4" w:rsidRPr="004720FF">
        <w:rPr>
          <w:rFonts w:ascii="Arial" w:hAnsi="Arial" w:cs="Arial"/>
          <w:bCs/>
          <w:sz w:val="24"/>
          <w:szCs w:val="24"/>
        </w:rPr>
        <w:t>The statement that “the costs of pembrolizumab are likely underestimated in the model” lacks meaningful explanation and evidence and it is unreasonable to have taken it into account for the purposes of assessing cost-effectiveness</w:t>
      </w:r>
      <w:r w:rsidRPr="0053499F">
        <w:rPr>
          <w:rFonts w:ascii="Arial" w:hAnsi="Arial" w:cs="Arial"/>
          <w:b/>
          <w:sz w:val="24"/>
          <w:szCs w:val="24"/>
        </w:rPr>
        <w:t xml:space="preserve"> </w:t>
      </w:r>
    </w:p>
    <w:p w14:paraId="6C755E37" w14:textId="77777777" w:rsidR="00B26D14" w:rsidRPr="00175EE4" w:rsidRDefault="00B26D14" w:rsidP="00B26D14">
      <w:pPr>
        <w:pStyle w:val="ListParagraph"/>
        <w:rPr>
          <w:rFonts w:ascii="Arial" w:hAnsi="Arial" w:cs="Arial"/>
          <w:sz w:val="24"/>
          <w:szCs w:val="24"/>
        </w:rPr>
      </w:pPr>
    </w:p>
    <w:p w14:paraId="6DAC5B7D" w14:textId="439F749E" w:rsidR="00B26D14" w:rsidRPr="00175EE4" w:rsidRDefault="00175EE4" w:rsidP="00B26D14">
      <w:pPr>
        <w:pStyle w:val="ListParagraph"/>
        <w:numPr>
          <w:ilvl w:val="0"/>
          <w:numId w:val="21"/>
        </w:numPr>
        <w:spacing w:after="0" w:line="240" w:lineRule="auto"/>
        <w:rPr>
          <w:rFonts w:ascii="Arial" w:hAnsi="Arial" w:cs="Arial"/>
          <w:sz w:val="24"/>
          <w:szCs w:val="24"/>
        </w:rPr>
      </w:pPr>
      <w:r w:rsidRPr="00175EE4">
        <w:rPr>
          <w:rFonts w:ascii="Arial" w:hAnsi="Arial" w:cs="Arial"/>
          <w:sz w:val="24"/>
          <w:szCs w:val="24"/>
        </w:rPr>
        <w:t>At the hearing, the discussion of this Appeal Point overlapped w</w:t>
      </w:r>
      <w:r w:rsidR="00712DE3">
        <w:rPr>
          <w:rFonts w:ascii="Arial" w:hAnsi="Arial" w:cs="Arial"/>
          <w:sz w:val="24"/>
          <w:szCs w:val="24"/>
        </w:rPr>
        <w:t>i</w:t>
      </w:r>
      <w:r w:rsidRPr="00175EE4">
        <w:rPr>
          <w:rFonts w:ascii="Arial" w:hAnsi="Arial" w:cs="Arial"/>
          <w:sz w:val="24"/>
          <w:szCs w:val="24"/>
        </w:rPr>
        <w:t>th the discussion of Appeal Point 1a</w:t>
      </w:r>
      <w:r w:rsidR="00497387">
        <w:rPr>
          <w:rFonts w:ascii="Arial" w:hAnsi="Arial" w:cs="Arial"/>
          <w:sz w:val="24"/>
          <w:szCs w:val="24"/>
        </w:rPr>
        <w:t>.</w:t>
      </w:r>
      <w:r w:rsidRPr="00175EE4">
        <w:rPr>
          <w:rFonts w:ascii="Arial" w:hAnsi="Arial" w:cs="Arial"/>
          <w:sz w:val="24"/>
          <w:szCs w:val="24"/>
        </w:rPr>
        <w:t>2, so this section should be read in conjunction with that section of the decision letter.</w:t>
      </w:r>
    </w:p>
    <w:p w14:paraId="083EBFD4" w14:textId="77777777" w:rsidR="00B26D14" w:rsidRPr="0053499F" w:rsidRDefault="00B26D14" w:rsidP="00B26D14">
      <w:pPr>
        <w:pStyle w:val="ListParagraph"/>
        <w:spacing w:after="0" w:line="240" w:lineRule="auto"/>
        <w:ind w:left="360"/>
        <w:rPr>
          <w:rFonts w:ascii="Arial" w:hAnsi="Arial" w:cs="Arial"/>
          <w:sz w:val="24"/>
          <w:szCs w:val="24"/>
        </w:rPr>
      </w:pPr>
    </w:p>
    <w:p w14:paraId="6A51CD67" w14:textId="77777777" w:rsidR="00C07CCF" w:rsidRDefault="00175EE4" w:rsidP="00B26D14">
      <w:pPr>
        <w:pStyle w:val="ListParagraph"/>
        <w:numPr>
          <w:ilvl w:val="0"/>
          <w:numId w:val="21"/>
        </w:numPr>
        <w:spacing w:after="0" w:line="240" w:lineRule="auto"/>
        <w:rPr>
          <w:rFonts w:ascii="Arial" w:hAnsi="Arial" w:cs="Arial"/>
          <w:sz w:val="24"/>
          <w:szCs w:val="24"/>
        </w:rPr>
      </w:pPr>
      <w:r w:rsidRPr="00D3130E">
        <w:rPr>
          <w:rFonts w:ascii="Arial" w:hAnsi="Arial" w:cs="Arial"/>
          <w:sz w:val="24"/>
          <w:szCs w:val="24"/>
        </w:rPr>
        <w:t>The appeal letter fro</w:t>
      </w:r>
      <w:r w:rsidR="00C07CCF" w:rsidRPr="00D3130E">
        <w:rPr>
          <w:rFonts w:ascii="Arial" w:hAnsi="Arial" w:cs="Arial"/>
          <w:sz w:val="24"/>
          <w:szCs w:val="24"/>
        </w:rPr>
        <w:t>m</w:t>
      </w:r>
      <w:r w:rsidRPr="00D3130E">
        <w:rPr>
          <w:rFonts w:ascii="Arial" w:hAnsi="Arial" w:cs="Arial"/>
          <w:sz w:val="24"/>
          <w:szCs w:val="24"/>
        </w:rPr>
        <w:t xml:space="preserve"> the company states that the number of patients who were re-treated in the KEYNOTE-045 trial was very small.  Th</w:t>
      </w:r>
      <w:r w:rsidR="00C07CCF" w:rsidRPr="00D3130E">
        <w:rPr>
          <w:rFonts w:ascii="Arial" w:hAnsi="Arial" w:cs="Arial"/>
          <w:sz w:val="24"/>
          <w:szCs w:val="24"/>
        </w:rPr>
        <w:t>erefore, without further analysis, it is impossible to conclude that MSD has materially under-estimated the cost of its product.</w:t>
      </w:r>
    </w:p>
    <w:p w14:paraId="5F41DAC2" w14:textId="77777777" w:rsidR="00F8536F" w:rsidRPr="00F8536F" w:rsidRDefault="00F8536F" w:rsidP="00F8536F">
      <w:pPr>
        <w:pStyle w:val="ListParagraph"/>
        <w:rPr>
          <w:rFonts w:ascii="Arial" w:hAnsi="Arial" w:cs="Arial"/>
          <w:sz w:val="24"/>
          <w:szCs w:val="24"/>
        </w:rPr>
      </w:pPr>
    </w:p>
    <w:p w14:paraId="7C72255B" w14:textId="1B47BE45" w:rsidR="00F8536F" w:rsidRPr="00D3130E" w:rsidRDefault="00F8536F"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Grant Castle, for MSD, said that it was unreasonable to consider re-treatment because this would not be done in NHS practice. </w:t>
      </w:r>
    </w:p>
    <w:p w14:paraId="42100EF1" w14:textId="77777777" w:rsidR="00C07CCF" w:rsidRPr="00D3130E" w:rsidRDefault="00C07CCF" w:rsidP="00C07CCF">
      <w:pPr>
        <w:pStyle w:val="ListParagraph"/>
        <w:rPr>
          <w:rFonts w:ascii="Arial" w:hAnsi="Arial" w:cs="Arial"/>
          <w:sz w:val="24"/>
          <w:szCs w:val="24"/>
        </w:rPr>
      </w:pPr>
    </w:p>
    <w:p w14:paraId="7D1A0931" w14:textId="77777777" w:rsidR="00B26D14" w:rsidRPr="00D3130E" w:rsidRDefault="00343A94" w:rsidP="00B26D14">
      <w:pPr>
        <w:pStyle w:val="ListParagraph"/>
        <w:numPr>
          <w:ilvl w:val="0"/>
          <w:numId w:val="21"/>
        </w:numPr>
        <w:spacing w:after="0" w:line="240" w:lineRule="auto"/>
        <w:rPr>
          <w:rFonts w:ascii="Arial" w:hAnsi="Arial" w:cs="Arial"/>
          <w:sz w:val="24"/>
          <w:szCs w:val="24"/>
        </w:rPr>
      </w:pPr>
      <w:r w:rsidRPr="00D3130E">
        <w:rPr>
          <w:rFonts w:ascii="Arial" w:hAnsi="Arial" w:cs="Arial"/>
          <w:sz w:val="24"/>
          <w:szCs w:val="24"/>
        </w:rPr>
        <w:t xml:space="preserve">Prof McVeigh, for NICE, stated that </w:t>
      </w:r>
      <w:r w:rsidR="002A6A62" w:rsidRPr="00D3130E">
        <w:rPr>
          <w:rFonts w:ascii="Arial" w:hAnsi="Arial" w:cs="Arial"/>
          <w:sz w:val="24"/>
          <w:szCs w:val="24"/>
        </w:rPr>
        <w:t>11</w:t>
      </w:r>
      <w:r w:rsidRPr="00D3130E">
        <w:rPr>
          <w:rFonts w:ascii="Arial" w:hAnsi="Arial" w:cs="Arial"/>
          <w:sz w:val="24"/>
          <w:szCs w:val="24"/>
        </w:rPr>
        <w:t xml:space="preserve"> patients in the pembrolizumab arm of the trial were re-treated.  The benefits of this were captured in the model, but the costs were not.  </w:t>
      </w:r>
      <w:r w:rsidR="00B83C53" w:rsidRPr="00D3130E">
        <w:rPr>
          <w:rFonts w:ascii="Arial" w:hAnsi="Arial" w:cs="Arial"/>
          <w:sz w:val="24"/>
          <w:szCs w:val="24"/>
        </w:rPr>
        <w:t xml:space="preserve">Prof McVeigh said it was misleading for the company to trivialise this as a small number.  </w:t>
      </w:r>
      <w:r w:rsidR="000001E6" w:rsidRPr="00D3130E">
        <w:rPr>
          <w:rFonts w:ascii="Arial" w:hAnsi="Arial" w:cs="Arial"/>
          <w:sz w:val="24"/>
          <w:szCs w:val="24"/>
        </w:rPr>
        <w:t>Only 24 people were at risk of progression, so a sizeable proportion of those eligible may have been re-treate</w:t>
      </w:r>
      <w:r w:rsidR="004C1240" w:rsidRPr="00D3130E">
        <w:rPr>
          <w:rFonts w:ascii="Arial" w:hAnsi="Arial" w:cs="Arial"/>
          <w:sz w:val="24"/>
          <w:szCs w:val="24"/>
        </w:rPr>
        <w:t xml:space="preserve">d.  </w:t>
      </w:r>
    </w:p>
    <w:p w14:paraId="6ADF8E3D" w14:textId="77777777" w:rsidR="00B26D14" w:rsidRPr="00CC5352" w:rsidRDefault="00B26D14" w:rsidP="00B26D14">
      <w:pPr>
        <w:pStyle w:val="ListParagraph"/>
        <w:rPr>
          <w:rFonts w:ascii="Arial" w:hAnsi="Arial" w:cs="Arial"/>
          <w:sz w:val="24"/>
          <w:szCs w:val="24"/>
        </w:rPr>
      </w:pPr>
    </w:p>
    <w:p w14:paraId="1D60BAAA" w14:textId="77777777" w:rsidR="00B26D14" w:rsidRPr="00CC5352" w:rsidRDefault="00F8536F" w:rsidP="00B26D14">
      <w:pPr>
        <w:pStyle w:val="ListParagraph"/>
        <w:numPr>
          <w:ilvl w:val="0"/>
          <w:numId w:val="21"/>
        </w:numPr>
        <w:spacing w:after="0" w:line="240" w:lineRule="auto"/>
        <w:rPr>
          <w:rFonts w:ascii="Arial" w:hAnsi="Arial" w:cs="Arial"/>
          <w:sz w:val="24"/>
          <w:szCs w:val="24"/>
        </w:rPr>
      </w:pPr>
      <w:r w:rsidRPr="00CC5352">
        <w:rPr>
          <w:rFonts w:ascii="Arial" w:hAnsi="Arial" w:cs="Arial"/>
          <w:sz w:val="24"/>
          <w:szCs w:val="24"/>
        </w:rPr>
        <w:lastRenderedPageBreak/>
        <w:t>The appeal panel concluded th</w:t>
      </w:r>
      <w:r w:rsidR="005749F0" w:rsidRPr="00CC5352">
        <w:rPr>
          <w:rFonts w:ascii="Arial" w:hAnsi="Arial" w:cs="Arial"/>
          <w:sz w:val="24"/>
          <w:szCs w:val="24"/>
        </w:rPr>
        <w:t xml:space="preserve">at some patients in the trial were re-treated, albeit a relatively small number, and that the benefits </w:t>
      </w:r>
      <w:r w:rsidR="00EC3692" w:rsidRPr="00CC5352">
        <w:rPr>
          <w:rFonts w:ascii="Arial" w:hAnsi="Arial" w:cs="Arial"/>
          <w:sz w:val="24"/>
          <w:szCs w:val="24"/>
        </w:rPr>
        <w:t xml:space="preserve">but not the costs of this were included in the model.  </w:t>
      </w:r>
      <w:r w:rsidR="002B5C05" w:rsidRPr="00CC5352">
        <w:rPr>
          <w:rFonts w:ascii="Arial" w:hAnsi="Arial" w:cs="Arial"/>
          <w:sz w:val="24"/>
          <w:szCs w:val="24"/>
        </w:rPr>
        <w:t xml:space="preserve">It is reasonable for appraisal committees to consider factors </w:t>
      </w:r>
      <w:r w:rsidR="00D043A6" w:rsidRPr="00CC5352">
        <w:rPr>
          <w:rFonts w:ascii="Arial" w:hAnsi="Arial" w:cs="Arial"/>
          <w:sz w:val="24"/>
          <w:szCs w:val="24"/>
        </w:rPr>
        <w:t xml:space="preserve">not included in the model that might affect their decision making, particularly when considering how much uncertainty there is about </w:t>
      </w:r>
      <w:r w:rsidR="00CC5352" w:rsidRPr="00CC5352">
        <w:rPr>
          <w:rFonts w:ascii="Arial" w:hAnsi="Arial" w:cs="Arial"/>
          <w:sz w:val="24"/>
          <w:szCs w:val="24"/>
        </w:rPr>
        <w:t xml:space="preserve">the estimated ICER or range of ICERs.  </w:t>
      </w:r>
    </w:p>
    <w:p w14:paraId="22E5D304" w14:textId="77777777" w:rsidR="00CC5352" w:rsidRPr="00CC5352" w:rsidRDefault="00CC5352" w:rsidP="00CC5352">
      <w:pPr>
        <w:pStyle w:val="ListParagraph"/>
        <w:rPr>
          <w:rFonts w:ascii="Arial" w:hAnsi="Arial" w:cs="Arial"/>
          <w:sz w:val="24"/>
          <w:szCs w:val="24"/>
        </w:rPr>
      </w:pPr>
    </w:p>
    <w:p w14:paraId="65DD1053" w14:textId="77777777" w:rsidR="00CC5352" w:rsidRPr="0053499F" w:rsidRDefault="00CC5352"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The appeal panel therefore dismissed the appeal on this point.</w:t>
      </w:r>
    </w:p>
    <w:p w14:paraId="57378D4D" w14:textId="77777777" w:rsidR="00B26D14" w:rsidRDefault="00B26D14" w:rsidP="00B26D14">
      <w:pPr>
        <w:spacing w:after="0" w:line="240" w:lineRule="auto"/>
        <w:rPr>
          <w:rFonts w:ascii="Arial" w:hAnsi="Arial" w:cs="Arial"/>
          <w:sz w:val="24"/>
          <w:szCs w:val="24"/>
        </w:rPr>
      </w:pPr>
    </w:p>
    <w:p w14:paraId="0934AC1A" w14:textId="77777777" w:rsidR="00B26D14" w:rsidRPr="0053499F" w:rsidRDefault="00B26D14" w:rsidP="00B26D14">
      <w:pPr>
        <w:spacing w:after="0" w:line="240" w:lineRule="auto"/>
        <w:rPr>
          <w:rFonts w:ascii="Arial" w:hAnsi="Arial" w:cs="Arial"/>
          <w:sz w:val="24"/>
          <w:szCs w:val="24"/>
        </w:rPr>
      </w:pPr>
      <w:r w:rsidRPr="0053499F">
        <w:rPr>
          <w:rFonts w:ascii="Arial" w:hAnsi="Arial" w:cs="Arial"/>
          <w:b/>
          <w:sz w:val="24"/>
          <w:szCs w:val="24"/>
        </w:rPr>
        <w:t>Appeal point Ground 2.</w:t>
      </w:r>
      <w:r w:rsidR="00C47CF4">
        <w:rPr>
          <w:rFonts w:ascii="Arial" w:hAnsi="Arial" w:cs="Arial"/>
          <w:b/>
          <w:sz w:val="24"/>
          <w:szCs w:val="24"/>
        </w:rPr>
        <w:t>5</w:t>
      </w:r>
      <w:r w:rsidRPr="0053499F">
        <w:rPr>
          <w:rFonts w:ascii="Arial" w:hAnsi="Arial" w:cs="Arial"/>
          <w:b/>
          <w:sz w:val="24"/>
          <w:szCs w:val="24"/>
        </w:rPr>
        <w:t xml:space="preserve">: </w:t>
      </w:r>
      <w:r w:rsidR="000000AD" w:rsidRPr="004720FF">
        <w:rPr>
          <w:rFonts w:ascii="Arial" w:hAnsi="Arial" w:cs="Arial"/>
          <w:bCs/>
          <w:sz w:val="24"/>
          <w:szCs w:val="24"/>
        </w:rPr>
        <w:t>The conclusion that new data from KEYNOTE-045 “shows the 2-stage method may not be appropriate, and the unadjusted method should also be taken into account” results from a flawed and unreasonable interpretation of the evidence</w:t>
      </w:r>
      <w:r w:rsidR="000000AD" w:rsidRPr="000000AD">
        <w:rPr>
          <w:rFonts w:ascii="Arial" w:hAnsi="Arial" w:cs="Arial"/>
          <w:b/>
          <w:sz w:val="24"/>
          <w:szCs w:val="24"/>
        </w:rPr>
        <w:t xml:space="preserve"> </w:t>
      </w:r>
    </w:p>
    <w:p w14:paraId="44BB0EDA" w14:textId="77777777" w:rsidR="00B26D14" w:rsidRPr="000E5940" w:rsidRDefault="00B26D14" w:rsidP="00B26D14">
      <w:pPr>
        <w:pStyle w:val="ListParagraph"/>
        <w:rPr>
          <w:rFonts w:ascii="Arial" w:hAnsi="Arial" w:cs="Arial"/>
          <w:sz w:val="24"/>
          <w:szCs w:val="24"/>
        </w:rPr>
      </w:pPr>
    </w:p>
    <w:p w14:paraId="57359DE1" w14:textId="2A5B2AEB" w:rsidR="00B26D14" w:rsidRPr="000E5940" w:rsidRDefault="00A11168" w:rsidP="00B26D14">
      <w:pPr>
        <w:pStyle w:val="ListParagraph"/>
        <w:numPr>
          <w:ilvl w:val="0"/>
          <w:numId w:val="21"/>
        </w:numPr>
        <w:spacing w:after="0" w:line="240" w:lineRule="auto"/>
        <w:rPr>
          <w:rFonts w:ascii="Arial" w:hAnsi="Arial" w:cs="Arial"/>
          <w:sz w:val="24"/>
          <w:szCs w:val="24"/>
        </w:rPr>
      </w:pPr>
      <w:r w:rsidRPr="000E5940">
        <w:rPr>
          <w:rFonts w:ascii="Arial" w:hAnsi="Arial" w:cs="Arial"/>
          <w:sz w:val="24"/>
          <w:szCs w:val="24"/>
        </w:rPr>
        <w:t xml:space="preserve">Daniel </w:t>
      </w:r>
      <w:proofErr w:type="spellStart"/>
      <w:r w:rsidRPr="000E5940">
        <w:rPr>
          <w:rFonts w:ascii="Arial" w:hAnsi="Arial" w:cs="Arial"/>
          <w:sz w:val="24"/>
          <w:szCs w:val="24"/>
        </w:rPr>
        <w:t>Gallacher</w:t>
      </w:r>
      <w:proofErr w:type="spellEnd"/>
      <w:r w:rsidRPr="000E5940">
        <w:rPr>
          <w:rFonts w:ascii="Arial" w:hAnsi="Arial" w:cs="Arial"/>
          <w:sz w:val="24"/>
          <w:szCs w:val="24"/>
        </w:rPr>
        <w:t>, for NICE, expl</w:t>
      </w:r>
      <w:r w:rsidR="00074C6A" w:rsidRPr="000E5940">
        <w:rPr>
          <w:rFonts w:ascii="Arial" w:hAnsi="Arial" w:cs="Arial"/>
          <w:sz w:val="24"/>
          <w:szCs w:val="24"/>
        </w:rPr>
        <w:t xml:space="preserve">ained that the 2-stage method is used to adjust for the fact that some patients in the Standard of Care arm of a trial </w:t>
      </w:r>
      <w:r w:rsidR="00B3184C" w:rsidRPr="000E5940">
        <w:rPr>
          <w:rFonts w:ascii="Arial" w:hAnsi="Arial" w:cs="Arial"/>
          <w:sz w:val="24"/>
          <w:szCs w:val="24"/>
        </w:rPr>
        <w:t xml:space="preserve">may switch to active treatment when their disease progresses.  </w:t>
      </w:r>
      <w:r w:rsidR="00430B9D" w:rsidRPr="000E5940">
        <w:rPr>
          <w:rFonts w:ascii="Arial" w:hAnsi="Arial" w:cs="Arial"/>
          <w:sz w:val="24"/>
          <w:szCs w:val="24"/>
        </w:rPr>
        <w:t>It works by comparing the survival time of those who switched when their disease progressed to t</w:t>
      </w:r>
      <w:r w:rsidR="000B428B">
        <w:rPr>
          <w:rFonts w:ascii="Arial" w:hAnsi="Arial" w:cs="Arial"/>
          <w:sz w:val="24"/>
          <w:szCs w:val="24"/>
        </w:rPr>
        <w:t>he survival time to those who did not switch when their disease progressed</w:t>
      </w:r>
      <w:r w:rsidR="00430B9D" w:rsidRPr="000E5940">
        <w:rPr>
          <w:rFonts w:ascii="Arial" w:hAnsi="Arial" w:cs="Arial"/>
          <w:sz w:val="24"/>
          <w:szCs w:val="24"/>
        </w:rPr>
        <w:t>.  This estimates an “acceleration factor” which is then applie</w:t>
      </w:r>
      <w:r w:rsidR="001D0181">
        <w:rPr>
          <w:rFonts w:ascii="Arial" w:hAnsi="Arial" w:cs="Arial"/>
          <w:sz w:val="24"/>
          <w:szCs w:val="24"/>
        </w:rPr>
        <w:t>d</w:t>
      </w:r>
      <w:r w:rsidR="00430B9D" w:rsidRPr="000E5940">
        <w:rPr>
          <w:rFonts w:ascii="Arial" w:hAnsi="Arial" w:cs="Arial"/>
          <w:sz w:val="24"/>
          <w:szCs w:val="24"/>
        </w:rPr>
        <w:t xml:space="preserve"> to those who did switch.</w:t>
      </w:r>
    </w:p>
    <w:p w14:paraId="3EF6B507" w14:textId="77777777" w:rsidR="00B26D14" w:rsidRPr="000E5940" w:rsidRDefault="00B26D14" w:rsidP="00B26D14">
      <w:pPr>
        <w:pStyle w:val="ListParagraph"/>
        <w:spacing w:after="0" w:line="240" w:lineRule="auto"/>
        <w:ind w:left="360"/>
        <w:rPr>
          <w:rFonts w:ascii="Arial" w:hAnsi="Arial" w:cs="Arial"/>
          <w:sz w:val="24"/>
          <w:szCs w:val="24"/>
        </w:rPr>
      </w:pPr>
    </w:p>
    <w:p w14:paraId="198BA3CA" w14:textId="77777777" w:rsidR="000D1B74" w:rsidRPr="000E5940" w:rsidRDefault="00166ADB" w:rsidP="00B26D14">
      <w:pPr>
        <w:pStyle w:val="ListParagraph"/>
        <w:numPr>
          <w:ilvl w:val="0"/>
          <w:numId w:val="21"/>
        </w:numPr>
        <w:spacing w:after="0" w:line="240" w:lineRule="auto"/>
        <w:rPr>
          <w:rFonts w:ascii="Arial" w:hAnsi="Arial" w:cs="Arial"/>
          <w:sz w:val="24"/>
          <w:szCs w:val="24"/>
        </w:rPr>
      </w:pPr>
      <w:r w:rsidRPr="000E5940">
        <w:rPr>
          <w:rFonts w:ascii="Arial" w:hAnsi="Arial" w:cs="Arial"/>
          <w:sz w:val="24"/>
          <w:szCs w:val="24"/>
        </w:rPr>
        <w:t xml:space="preserve">Mr </w:t>
      </w:r>
      <w:proofErr w:type="spellStart"/>
      <w:r w:rsidRPr="000E5940">
        <w:rPr>
          <w:rFonts w:ascii="Arial" w:hAnsi="Arial" w:cs="Arial"/>
          <w:sz w:val="24"/>
          <w:szCs w:val="24"/>
        </w:rPr>
        <w:t>Gallacher</w:t>
      </w:r>
      <w:proofErr w:type="spellEnd"/>
      <w:r w:rsidRPr="000E5940">
        <w:rPr>
          <w:rFonts w:ascii="Arial" w:hAnsi="Arial" w:cs="Arial"/>
          <w:sz w:val="24"/>
          <w:szCs w:val="24"/>
        </w:rPr>
        <w:t>, asked by the panel whether this is usually considered an appropriate method, said that it is.  It is one of a range of methods that can be used, and one o</w:t>
      </w:r>
      <w:r w:rsidR="000D1B74" w:rsidRPr="000E5940">
        <w:rPr>
          <w:rFonts w:ascii="Arial" w:hAnsi="Arial" w:cs="Arial"/>
          <w:sz w:val="24"/>
          <w:szCs w:val="24"/>
        </w:rPr>
        <w:t>f the more commonly used because it is relatively simple.</w:t>
      </w:r>
    </w:p>
    <w:p w14:paraId="1D17327C" w14:textId="77777777" w:rsidR="000D1B74" w:rsidRPr="000E5940" w:rsidRDefault="000D1B74" w:rsidP="000D1B74">
      <w:pPr>
        <w:pStyle w:val="ListParagraph"/>
        <w:rPr>
          <w:rFonts w:ascii="Arial" w:hAnsi="Arial" w:cs="Arial"/>
          <w:sz w:val="24"/>
          <w:szCs w:val="24"/>
        </w:rPr>
      </w:pPr>
    </w:p>
    <w:p w14:paraId="1DF87812" w14:textId="77777777" w:rsidR="00B26D14" w:rsidRDefault="000D1B74" w:rsidP="00B26D14">
      <w:pPr>
        <w:pStyle w:val="ListParagraph"/>
        <w:numPr>
          <w:ilvl w:val="0"/>
          <w:numId w:val="21"/>
        </w:numPr>
        <w:spacing w:after="0" w:line="240" w:lineRule="auto"/>
        <w:rPr>
          <w:rFonts w:ascii="Arial" w:hAnsi="Arial" w:cs="Arial"/>
          <w:sz w:val="24"/>
          <w:szCs w:val="24"/>
        </w:rPr>
      </w:pPr>
      <w:r w:rsidRPr="000E5940">
        <w:rPr>
          <w:rFonts w:ascii="Arial" w:hAnsi="Arial" w:cs="Arial"/>
          <w:sz w:val="24"/>
          <w:szCs w:val="24"/>
        </w:rPr>
        <w:t>Grant Castle, for MSD, said that the 2</w:t>
      </w:r>
      <w:r w:rsidR="004525BE">
        <w:rPr>
          <w:rFonts w:ascii="Arial" w:hAnsi="Arial" w:cs="Arial"/>
          <w:sz w:val="24"/>
          <w:szCs w:val="24"/>
        </w:rPr>
        <w:t>-</w:t>
      </w:r>
      <w:r w:rsidRPr="000E5940">
        <w:rPr>
          <w:rFonts w:ascii="Arial" w:hAnsi="Arial" w:cs="Arial"/>
          <w:sz w:val="24"/>
          <w:szCs w:val="24"/>
        </w:rPr>
        <w:t>stage method i</w:t>
      </w:r>
      <w:r w:rsidR="008D3C29" w:rsidRPr="000E5940">
        <w:rPr>
          <w:rFonts w:ascii="Arial" w:hAnsi="Arial" w:cs="Arial"/>
          <w:sz w:val="24"/>
          <w:szCs w:val="24"/>
        </w:rPr>
        <w:t>s u</w:t>
      </w:r>
      <w:r w:rsidR="000E5940">
        <w:rPr>
          <w:rFonts w:ascii="Arial" w:hAnsi="Arial" w:cs="Arial"/>
          <w:sz w:val="24"/>
          <w:szCs w:val="24"/>
        </w:rPr>
        <w:t>n</w:t>
      </w:r>
      <w:r w:rsidR="008D3C29" w:rsidRPr="000E5940">
        <w:rPr>
          <w:rFonts w:ascii="Arial" w:hAnsi="Arial" w:cs="Arial"/>
          <w:sz w:val="24"/>
          <w:szCs w:val="24"/>
        </w:rPr>
        <w:t xml:space="preserve">controversial and well-established.  NICE agreed to this method when pembrolizumab entered the Cancer Drugs Fund.  </w:t>
      </w:r>
      <w:r w:rsidR="000E5940">
        <w:rPr>
          <w:rFonts w:ascii="Arial" w:hAnsi="Arial" w:cs="Arial"/>
          <w:sz w:val="24"/>
          <w:szCs w:val="24"/>
        </w:rPr>
        <w:t xml:space="preserve">The terms of engagement for this review suggested that this was a settled point.  </w:t>
      </w:r>
      <w:r w:rsidR="00012D2F" w:rsidRPr="000E5940">
        <w:rPr>
          <w:rFonts w:ascii="Arial" w:hAnsi="Arial" w:cs="Arial"/>
          <w:sz w:val="24"/>
          <w:szCs w:val="24"/>
        </w:rPr>
        <w:t xml:space="preserve">In this appraisal, </w:t>
      </w:r>
      <w:r w:rsidR="004525BE">
        <w:rPr>
          <w:rFonts w:ascii="Arial" w:hAnsi="Arial" w:cs="Arial"/>
          <w:sz w:val="24"/>
          <w:szCs w:val="24"/>
        </w:rPr>
        <w:t xml:space="preserve">he argued that </w:t>
      </w:r>
      <w:r w:rsidR="00012D2F" w:rsidRPr="000E5940">
        <w:rPr>
          <w:rFonts w:ascii="Arial" w:hAnsi="Arial" w:cs="Arial"/>
          <w:sz w:val="24"/>
          <w:szCs w:val="24"/>
        </w:rPr>
        <w:t xml:space="preserve">the committee has done an “about turn” by giving equal weight to unadjusted data, without a clear rationale.  </w:t>
      </w:r>
      <w:r w:rsidR="00220E75">
        <w:rPr>
          <w:rFonts w:ascii="Arial" w:hAnsi="Arial" w:cs="Arial"/>
          <w:sz w:val="24"/>
          <w:szCs w:val="24"/>
        </w:rPr>
        <w:t xml:space="preserve">This was one of the important factors that led the committee to conclude </w:t>
      </w:r>
      <w:r w:rsidR="007F0F18">
        <w:rPr>
          <w:rFonts w:ascii="Arial" w:hAnsi="Arial" w:cs="Arial"/>
          <w:sz w:val="24"/>
          <w:szCs w:val="24"/>
        </w:rPr>
        <w:t xml:space="preserve">that pembrolizumab could not be recommended.  </w:t>
      </w:r>
    </w:p>
    <w:p w14:paraId="602306C8" w14:textId="77777777" w:rsidR="007F0F18" w:rsidRPr="007F0F18" w:rsidRDefault="007F0F18" w:rsidP="007F0F18">
      <w:pPr>
        <w:pStyle w:val="ListParagraph"/>
        <w:rPr>
          <w:rFonts w:ascii="Arial" w:hAnsi="Arial" w:cs="Arial"/>
          <w:sz w:val="24"/>
          <w:szCs w:val="24"/>
        </w:rPr>
      </w:pPr>
    </w:p>
    <w:p w14:paraId="3AC801FF" w14:textId="77777777" w:rsidR="007F0F18" w:rsidRDefault="007F0F18"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Dr Lindsay Smith, for NICE, emphasised that the committee had not considered the 2</w:t>
      </w:r>
      <w:r w:rsidR="00175483">
        <w:rPr>
          <w:rFonts w:ascii="Arial" w:hAnsi="Arial" w:cs="Arial"/>
          <w:sz w:val="24"/>
          <w:szCs w:val="24"/>
        </w:rPr>
        <w:t>-</w:t>
      </w:r>
      <w:r>
        <w:rPr>
          <w:rFonts w:ascii="Arial" w:hAnsi="Arial" w:cs="Arial"/>
          <w:sz w:val="24"/>
          <w:szCs w:val="24"/>
        </w:rPr>
        <w:t xml:space="preserve">stage model to be unacceptable.  </w:t>
      </w:r>
      <w:r w:rsidR="00163A8E">
        <w:rPr>
          <w:rFonts w:ascii="Arial" w:hAnsi="Arial" w:cs="Arial"/>
          <w:sz w:val="24"/>
          <w:szCs w:val="24"/>
        </w:rPr>
        <w:t>Rather, they decided it was one of two models they would like to consider (the other being the unadjusted data)</w:t>
      </w:r>
      <w:r w:rsidR="006937CA">
        <w:rPr>
          <w:rFonts w:ascii="Arial" w:hAnsi="Arial" w:cs="Arial"/>
          <w:sz w:val="24"/>
          <w:szCs w:val="24"/>
        </w:rPr>
        <w:t>. The committee took the view that the 2</w:t>
      </w:r>
      <w:r w:rsidR="00175483">
        <w:rPr>
          <w:rFonts w:ascii="Arial" w:hAnsi="Arial" w:cs="Arial"/>
          <w:sz w:val="24"/>
          <w:szCs w:val="24"/>
        </w:rPr>
        <w:t>-</w:t>
      </w:r>
      <w:r w:rsidR="006937CA">
        <w:rPr>
          <w:rFonts w:ascii="Arial" w:hAnsi="Arial" w:cs="Arial"/>
          <w:sz w:val="24"/>
          <w:szCs w:val="24"/>
        </w:rPr>
        <w:t>stage model was over-</w:t>
      </w:r>
      <w:proofErr w:type="gramStart"/>
      <w:r w:rsidR="006937CA">
        <w:rPr>
          <w:rFonts w:ascii="Arial" w:hAnsi="Arial" w:cs="Arial"/>
          <w:sz w:val="24"/>
          <w:szCs w:val="24"/>
        </w:rPr>
        <w:t>optimistic</w:t>
      </w:r>
      <w:proofErr w:type="gramEnd"/>
      <w:r w:rsidR="006937CA">
        <w:rPr>
          <w:rFonts w:ascii="Arial" w:hAnsi="Arial" w:cs="Arial"/>
          <w:sz w:val="24"/>
          <w:szCs w:val="24"/>
        </w:rPr>
        <w:t xml:space="preserve"> and the unadjusted data was over-pessimistic, so both were useful in reaching their “best guess”</w:t>
      </w:r>
      <w:r w:rsidR="00AE24E4">
        <w:rPr>
          <w:rFonts w:ascii="Arial" w:hAnsi="Arial" w:cs="Arial"/>
          <w:sz w:val="24"/>
          <w:szCs w:val="24"/>
        </w:rPr>
        <w:t>.</w:t>
      </w:r>
    </w:p>
    <w:p w14:paraId="26015739" w14:textId="77777777" w:rsidR="005920A0" w:rsidRPr="005920A0" w:rsidRDefault="005920A0" w:rsidP="005920A0">
      <w:pPr>
        <w:pStyle w:val="ListParagraph"/>
        <w:rPr>
          <w:rFonts w:ascii="Arial" w:hAnsi="Arial" w:cs="Arial"/>
          <w:sz w:val="24"/>
          <w:szCs w:val="24"/>
        </w:rPr>
      </w:pPr>
    </w:p>
    <w:p w14:paraId="1C7BF968" w14:textId="7FB139ED" w:rsidR="005920A0" w:rsidRDefault="009D1693"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Daniel </w:t>
      </w:r>
      <w:proofErr w:type="spellStart"/>
      <w:r>
        <w:rPr>
          <w:rFonts w:ascii="Arial" w:hAnsi="Arial" w:cs="Arial"/>
          <w:sz w:val="24"/>
          <w:szCs w:val="24"/>
        </w:rPr>
        <w:t>Gall</w:t>
      </w:r>
      <w:r w:rsidR="00DC2ABD">
        <w:rPr>
          <w:rFonts w:ascii="Arial" w:hAnsi="Arial" w:cs="Arial"/>
          <w:sz w:val="24"/>
          <w:szCs w:val="24"/>
        </w:rPr>
        <w:t>a</w:t>
      </w:r>
      <w:r>
        <w:rPr>
          <w:rFonts w:ascii="Arial" w:hAnsi="Arial" w:cs="Arial"/>
          <w:sz w:val="24"/>
          <w:szCs w:val="24"/>
        </w:rPr>
        <w:t>cher</w:t>
      </w:r>
      <w:proofErr w:type="spellEnd"/>
      <w:r>
        <w:rPr>
          <w:rFonts w:ascii="Arial" w:hAnsi="Arial" w:cs="Arial"/>
          <w:sz w:val="24"/>
          <w:szCs w:val="24"/>
        </w:rPr>
        <w:t>, for NICE, gave a detailed account of the ERG</w:t>
      </w:r>
      <w:r w:rsidR="00944236">
        <w:rPr>
          <w:rFonts w:ascii="Arial" w:hAnsi="Arial" w:cs="Arial"/>
          <w:sz w:val="24"/>
          <w:szCs w:val="24"/>
        </w:rPr>
        <w:t>’</w:t>
      </w:r>
      <w:r>
        <w:rPr>
          <w:rFonts w:ascii="Arial" w:hAnsi="Arial" w:cs="Arial"/>
          <w:sz w:val="24"/>
          <w:szCs w:val="24"/>
        </w:rPr>
        <w:t>s concerns about the 2</w:t>
      </w:r>
      <w:r w:rsidR="00175483">
        <w:rPr>
          <w:rFonts w:ascii="Arial" w:hAnsi="Arial" w:cs="Arial"/>
          <w:sz w:val="24"/>
          <w:szCs w:val="24"/>
        </w:rPr>
        <w:t>-</w:t>
      </w:r>
      <w:r>
        <w:rPr>
          <w:rFonts w:ascii="Arial" w:hAnsi="Arial" w:cs="Arial"/>
          <w:sz w:val="24"/>
          <w:szCs w:val="24"/>
        </w:rPr>
        <w:t xml:space="preserve">stage model.  </w:t>
      </w:r>
      <w:r w:rsidR="001743C2">
        <w:rPr>
          <w:rFonts w:ascii="Arial" w:hAnsi="Arial" w:cs="Arial"/>
          <w:sz w:val="24"/>
          <w:szCs w:val="24"/>
        </w:rPr>
        <w:t>Firstly, it assumes a uniform effect (that all patients get the same benefit from switching</w:t>
      </w:r>
      <w:r w:rsidR="003E759E">
        <w:rPr>
          <w:rFonts w:ascii="Arial" w:hAnsi="Arial" w:cs="Arial"/>
          <w:sz w:val="24"/>
          <w:szCs w:val="24"/>
        </w:rPr>
        <w:t xml:space="preserve"> to five different treatments</w:t>
      </w:r>
      <w:r w:rsidR="001743C2">
        <w:rPr>
          <w:rFonts w:ascii="Arial" w:hAnsi="Arial" w:cs="Arial"/>
          <w:sz w:val="24"/>
          <w:szCs w:val="24"/>
        </w:rPr>
        <w:t xml:space="preserve">) which is unlikely to be correct.  Secondly, </w:t>
      </w:r>
      <w:r w:rsidR="003E759E">
        <w:rPr>
          <w:rFonts w:ascii="Arial" w:hAnsi="Arial" w:cs="Arial"/>
          <w:sz w:val="24"/>
          <w:szCs w:val="24"/>
        </w:rPr>
        <w:t xml:space="preserve">the evidence </w:t>
      </w:r>
      <w:r w:rsidR="00D74803">
        <w:rPr>
          <w:rFonts w:ascii="Arial" w:hAnsi="Arial" w:cs="Arial"/>
          <w:sz w:val="24"/>
          <w:szCs w:val="24"/>
        </w:rPr>
        <w:t>is that these treatments are not effective in the first 4-5 months (even when given to patients with less advanced disease).  The 2</w:t>
      </w:r>
      <w:r w:rsidR="00447487">
        <w:rPr>
          <w:rFonts w:ascii="Arial" w:hAnsi="Arial" w:cs="Arial"/>
          <w:sz w:val="24"/>
          <w:szCs w:val="24"/>
        </w:rPr>
        <w:t>-</w:t>
      </w:r>
      <w:r w:rsidR="00D74803">
        <w:rPr>
          <w:rFonts w:ascii="Arial" w:hAnsi="Arial" w:cs="Arial"/>
          <w:sz w:val="24"/>
          <w:szCs w:val="24"/>
        </w:rPr>
        <w:t>stage model assumes that all patients benefit, but</w:t>
      </w:r>
      <w:r w:rsidR="00003DE5">
        <w:rPr>
          <w:rFonts w:ascii="Arial" w:hAnsi="Arial" w:cs="Arial"/>
          <w:sz w:val="24"/>
          <w:szCs w:val="24"/>
        </w:rPr>
        <w:t xml:space="preserve"> the ERG think </w:t>
      </w:r>
      <w:r w:rsidR="00D74803">
        <w:rPr>
          <w:rFonts w:ascii="Arial" w:hAnsi="Arial" w:cs="Arial"/>
          <w:sz w:val="24"/>
          <w:szCs w:val="24"/>
        </w:rPr>
        <w:t xml:space="preserve">this is unlikely to be the case in advanced disease where life expectancy </w:t>
      </w:r>
      <w:r w:rsidR="00003DE5">
        <w:rPr>
          <w:rFonts w:ascii="Arial" w:hAnsi="Arial" w:cs="Arial"/>
          <w:sz w:val="24"/>
          <w:szCs w:val="24"/>
        </w:rPr>
        <w:t xml:space="preserve">can be </w:t>
      </w:r>
      <w:r w:rsidR="00D74803">
        <w:rPr>
          <w:rFonts w:ascii="Arial" w:hAnsi="Arial" w:cs="Arial"/>
          <w:sz w:val="24"/>
          <w:szCs w:val="24"/>
        </w:rPr>
        <w:t>short</w:t>
      </w:r>
      <w:r w:rsidR="00447487">
        <w:rPr>
          <w:rFonts w:ascii="Arial" w:hAnsi="Arial" w:cs="Arial"/>
          <w:sz w:val="24"/>
          <w:szCs w:val="24"/>
        </w:rPr>
        <w:t>, so patients may die before the treatment effect begins</w:t>
      </w:r>
      <w:r w:rsidR="00D74803">
        <w:rPr>
          <w:rFonts w:ascii="Arial" w:hAnsi="Arial" w:cs="Arial"/>
          <w:sz w:val="24"/>
          <w:szCs w:val="24"/>
        </w:rPr>
        <w:t xml:space="preserve">.  </w:t>
      </w:r>
      <w:r w:rsidR="005B3B2E">
        <w:rPr>
          <w:rFonts w:ascii="Arial" w:hAnsi="Arial" w:cs="Arial"/>
          <w:sz w:val="24"/>
          <w:szCs w:val="24"/>
        </w:rPr>
        <w:t xml:space="preserve">Thirdly, the ERG did not have detailed information on </w:t>
      </w:r>
      <w:r w:rsidR="0037792E">
        <w:rPr>
          <w:rFonts w:ascii="Arial" w:hAnsi="Arial" w:cs="Arial"/>
          <w:sz w:val="24"/>
          <w:szCs w:val="24"/>
        </w:rPr>
        <w:t>all</w:t>
      </w:r>
      <w:r w:rsidR="005B3B2E">
        <w:rPr>
          <w:rFonts w:ascii="Arial" w:hAnsi="Arial" w:cs="Arial"/>
          <w:sz w:val="24"/>
          <w:szCs w:val="24"/>
        </w:rPr>
        <w:t xml:space="preserve"> potential</w:t>
      </w:r>
      <w:r w:rsidR="0037792E">
        <w:rPr>
          <w:rFonts w:ascii="Arial" w:hAnsi="Arial" w:cs="Arial"/>
          <w:sz w:val="24"/>
          <w:szCs w:val="24"/>
        </w:rPr>
        <w:t>ly important</w:t>
      </w:r>
      <w:r w:rsidR="005B3B2E">
        <w:rPr>
          <w:rFonts w:ascii="Arial" w:hAnsi="Arial" w:cs="Arial"/>
          <w:sz w:val="24"/>
          <w:szCs w:val="24"/>
        </w:rPr>
        <w:t xml:space="preserve"> differences between </w:t>
      </w:r>
      <w:r w:rsidR="00F314C5">
        <w:rPr>
          <w:rFonts w:ascii="Arial" w:hAnsi="Arial" w:cs="Arial"/>
          <w:sz w:val="24"/>
          <w:szCs w:val="24"/>
        </w:rPr>
        <w:t xml:space="preserve">those </w:t>
      </w:r>
      <w:r w:rsidR="00F314C5">
        <w:rPr>
          <w:rFonts w:ascii="Arial" w:hAnsi="Arial" w:cs="Arial"/>
          <w:sz w:val="24"/>
          <w:szCs w:val="24"/>
        </w:rPr>
        <w:lastRenderedPageBreak/>
        <w:t xml:space="preserve">who switched when their disease progressed and those who did not.  This is a “red flag” that the acceleration factor may be capturing the benefit of other prognostic factors rather than the effect of treatment.  </w:t>
      </w:r>
      <w:r w:rsidR="00261C57">
        <w:rPr>
          <w:rFonts w:ascii="Arial" w:hAnsi="Arial" w:cs="Arial"/>
          <w:sz w:val="24"/>
          <w:szCs w:val="24"/>
        </w:rPr>
        <w:t xml:space="preserve">Fourthly, results were presented without re-censoring, which is not best practice.  </w:t>
      </w:r>
      <w:r w:rsidR="00086BE7">
        <w:rPr>
          <w:rFonts w:ascii="Arial" w:hAnsi="Arial" w:cs="Arial"/>
          <w:sz w:val="24"/>
          <w:szCs w:val="24"/>
        </w:rPr>
        <w:t>In addition</w:t>
      </w:r>
      <w:r w:rsidR="006C23BF">
        <w:rPr>
          <w:rFonts w:ascii="Arial" w:hAnsi="Arial" w:cs="Arial"/>
          <w:sz w:val="24"/>
          <w:szCs w:val="24"/>
        </w:rPr>
        <w:t xml:space="preserve">, there is a </w:t>
      </w:r>
      <w:r w:rsidR="003A1538">
        <w:rPr>
          <w:rFonts w:ascii="Arial" w:hAnsi="Arial" w:cs="Arial"/>
          <w:sz w:val="24"/>
          <w:szCs w:val="24"/>
        </w:rPr>
        <w:t>wide confidence interval around the acceleration factor</w:t>
      </w:r>
      <w:r w:rsidR="00086BE7">
        <w:rPr>
          <w:rFonts w:ascii="Arial" w:hAnsi="Arial" w:cs="Arial"/>
          <w:sz w:val="24"/>
          <w:szCs w:val="24"/>
        </w:rPr>
        <w:t>.</w:t>
      </w:r>
    </w:p>
    <w:p w14:paraId="5B1BBA22" w14:textId="77777777" w:rsidR="00163A8E" w:rsidRPr="00163A8E" w:rsidRDefault="00163A8E" w:rsidP="00163A8E">
      <w:pPr>
        <w:pStyle w:val="ListParagraph"/>
        <w:rPr>
          <w:rFonts w:ascii="Arial" w:hAnsi="Arial" w:cs="Arial"/>
          <w:sz w:val="24"/>
          <w:szCs w:val="24"/>
        </w:rPr>
      </w:pPr>
    </w:p>
    <w:p w14:paraId="51C0A2C3" w14:textId="77777777" w:rsidR="00163A8E" w:rsidRDefault="00DC2ABD" w:rsidP="00B26D14">
      <w:pPr>
        <w:pStyle w:val="ListParagraph"/>
        <w:numPr>
          <w:ilvl w:val="0"/>
          <w:numId w:val="21"/>
        </w:numPr>
        <w:spacing w:after="0" w:line="240" w:lineRule="auto"/>
        <w:rPr>
          <w:rFonts w:ascii="Arial" w:hAnsi="Arial" w:cs="Arial"/>
          <w:sz w:val="24"/>
          <w:szCs w:val="24"/>
        </w:rPr>
      </w:pPr>
      <w:proofErr w:type="gramStart"/>
      <w:r>
        <w:rPr>
          <w:rFonts w:ascii="Arial" w:hAnsi="Arial" w:cs="Arial"/>
          <w:sz w:val="24"/>
          <w:szCs w:val="24"/>
        </w:rPr>
        <w:t xml:space="preserve">Mr </w:t>
      </w:r>
      <w:proofErr w:type="spellStart"/>
      <w:r>
        <w:rPr>
          <w:rFonts w:ascii="Arial" w:hAnsi="Arial" w:cs="Arial"/>
          <w:sz w:val="24"/>
          <w:szCs w:val="24"/>
        </w:rPr>
        <w:t>Gallacher</w:t>
      </w:r>
      <w:proofErr w:type="spellEnd"/>
      <w:r>
        <w:rPr>
          <w:rFonts w:ascii="Arial" w:hAnsi="Arial" w:cs="Arial"/>
          <w:sz w:val="24"/>
          <w:szCs w:val="24"/>
        </w:rPr>
        <w:t>,</w:t>
      </w:r>
      <w:proofErr w:type="gramEnd"/>
      <w:r>
        <w:rPr>
          <w:rFonts w:ascii="Arial" w:hAnsi="Arial" w:cs="Arial"/>
          <w:sz w:val="24"/>
          <w:szCs w:val="24"/>
        </w:rPr>
        <w:t xml:space="preserve"> asked by the panel whether the ERG could not have</w:t>
      </w:r>
      <w:r w:rsidR="00AF193B">
        <w:rPr>
          <w:rFonts w:ascii="Arial" w:hAnsi="Arial" w:cs="Arial"/>
          <w:sz w:val="24"/>
          <w:szCs w:val="24"/>
        </w:rPr>
        <w:t xml:space="preserve"> modelled the confidence intervals around the acceleration factor (rather than using unadjusted data) </w:t>
      </w:r>
      <w:r w:rsidR="000A0F8C">
        <w:rPr>
          <w:rFonts w:ascii="Arial" w:hAnsi="Arial" w:cs="Arial"/>
          <w:sz w:val="24"/>
          <w:szCs w:val="24"/>
        </w:rPr>
        <w:t>said that this would have been difficult to do.</w:t>
      </w:r>
    </w:p>
    <w:p w14:paraId="6630E8B5" w14:textId="77777777" w:rsidR="00547910" w:rsidRPr="00547910" w:rsidRDefault="00547910" w:rsidP="00547910">
      <w:pPr>
        <w:pStyle w:val="ListParagraph"/>
        <w:rPr>
          <w:rFonts w:ascii="Arial" w:hAnsi="Arial" w:cs="Arial"/>
          <w:sz w:val="24"/>
          <w:szCs w:val="24"/>
        </w:rPr>
      </w:pPr>
    </w:p>
    <w:p w14:paraId="7D5C47BC" w14:textId="77777777" w:rsidR="00547910" w:rsidRDefault="009C604B"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In response to questions from the panel, Mr </w:t>
      </w:r>
      <w:proofErr w:type="spellStart"/>
      <w:r>
        <w:rPr>
          <w:rFonts w:ascii="Arial" w:hAnsi="Arial" w:cs="Arial"/>
          <w:sz w:val="24"/>
          <w:szCs w:val="24"/>
        </w:rPr>
        <w:t>Gallacher</w:t>
      </w:r>
      <w:proofErr w:type="spellEnd"/>
      <w:r>
        <w:rPr>
          <w:rFonts w:ascii="Arial" w:hAnsi="Arial" w:cs="Arial"/>
          <w:sz w:val="24"/>
          <w:szCs w:val="24"/>
        </w:rPr>
        <w:t xml:space="preserve"> </w:t>
      </w:r>
      <w:r w:rsidR="00547510">
        <w:rPr>
          <w:rFonts w:ascii="Arial" w:hAnsi="Arial" w:cs="Arial"/>
          <w:sz w:val="24"/>
          <w:szCs w:val="24"/>
        </w:rPr>
        <w:t xml:space="preserve">agreed that these issues can result in both “noise” and systematic bias in the estimation of the acceleration factor. </w:t>
      </w:r>
      <w:r w:rsidR="00C02C9E">
        <w:rPr>
          <w:rFonts w:ascii="Arial" w:hAnsi="Arial" w:cs="Arial"/>
          <w:sz w:val="24"/>
          <w:szCs w:val="24"/>
        </w:rPr>
        <w:t xml:space="preserve">He acknowledged that the “true” acceleration factor could be higher </w:t>
      </w:r>
      <w:r w:rsidR="00980EAD">
        <w:rPr>
          <w:rFonts w:ascii="Arial" w:hAnsi="Arial" w:cs="Arial"/>
          <w:sz w:val="24"/>
          <w:szCs w:val="24"/>
        </w:rPr>
        <w:t xml:space="preserve">as well as lower than the </w:t>
      </w:r>
      <w:r w:rsidR="00EC2C9A">
        <w:rPr>
          <w:rFonts w:ascii="Arial" w:hAnsi="Arial" w:cs="Arial"/>
          <w:sz w:val="24"/>
          <w:szCs w:val="24"/>
        </w:rPr>
        <w:t xml:space="preserve">estimate used.  </w:t>
      </w:r>
      <w:r w:rsidR="00C02C9E">
        <w:rPr>
          <w:rFonts w:ascii="Arial" w:hAnsi="Arial" w:cs="Arial"/>
          <w:sz w:val="24"/>
          <w:szCs w:val="24"/>
        </w:rPr>
        <w:t xml:space="preserve"> </w:t>
      </w:r>
    </w:p>
    <w:p w14:paraId="5838EB49" w14:textId="77777777" w:rsidR="005C107E" w:rsidRPr="005C107E" w:rsidRDefault="005C107E" w:rsidP="005C107E">
      <w:pPr>
        <w:pStyle w:val="ListParagraph"/>
        <w:rPr>
          <w:rFonts w:ascii="Arial" w:hAnsi="Arial" w:cs="Arial"/>
          <w:sz w:val="24"/>
          <w:szCs w:val="24"/>
        </w:rPr>
      </w:pPr>
    </w:p>
    <w:p w14:paraId="1AA73041" w14:textId="068A48A6" w:rsidR="00871ED4" w:rsidRDefault="00FE4FED"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Dr Smith was asked by the panel if it was unreasonable to give equal weight to the unadjusted data (which everyone </w:t>
      </w:r>
      <w:r w:rsidR="00D60690">
        <w:rPr>
          <w:rFonts w:ascii="Arial" w:hAnsi="Arial" w:cs="Arial"/>
          <w:sz w:val="24"/>
          <w:szCs w:val="24"/>
        </w:rPr>
        <w:t>agrees</w:t>
      </w:r>
      <w:r>
        <w:rPr>
          <w:rFonts w:ascii="Arial" w:hAnsi="Arial" w:cs="Arial"/>
          <w:sz w:val="24"/>
          <w:szCs w:val="24"/>
        </w:rPr>
        <w:t xml:space="preserve"> is problematic) and the 2</w:t>
      </w:r>
      <w:r w:rsidR="006707A6">
        <w:rPr>
          <w:rFonts w:ascii="Arial" w:hAnsi="Arial" w:cs="Arial"/>
          <w:sz w:val="24"/>
          <w:szCs w:val="24"/>
        </w:rPr>
        <w:t>-</w:t>
      </w:r>
      <w:r>
        <w:rPr>
          <w:rFonts w:ascii="Arial" w:hAnsi="Arial" w:cs="Arial"/>
          <w:sz w:val="24"/>
          <w:szCs w:val="24"/>
        </w:rPr>
        <w:t>stage model (</w:t>
      </w:r>
      <w:r w:rsidR="00726DC3">
        <w:rPr>
          <w:rFonts w:ascii="Arial" w:hAnsi="Arial" w:cs="Arial"/>
          <w:sz w:val="24"/>
          <w:szCs w:val="24"/>
        </w:rPr>
        <w:t>which is imperfect but an accepted method)</w:t>
      </w:r>
      <w:r w:rsidR="00D60690">
        <w:rPr>
          <w:rFonts w:ascii="Arial" w:hAnsi="Arial" w:cs="Arial"/>
          <w:sz w:val="24"/>
          <w:szCs w:val="24"/>
        </w:rPr>
        <w:t xml:space="preserve">.  Dr Smith replied that </w:t>
      </w:r>
      <w:r w:rsidR="00B75E4F">
        <w:rPr>
          <w:rFonts w:ascii="Arial" w:hAnsi="Arial" w:cs="Arial"/>
          <w:sz w:val="24"/>
          <w:szCs w:val="24"/>
        </w:rPr>
        <w:t>the committee were particularly concerned</w:t>
      </w:r>
      <w:r w:rsidR="00B86D02">
        <w:rPr>
          <w:rFonts w:ascii="Arial" w:hAnsi="Arial" w:cs="Arial"/>
          <w:sz w:val="24"/>
          <w:szCs w:val="24"/>
        </w:rPr>
        <w:t xml:space="preserve"> that two particular issues (the </w:t>
      </w:r>
      <w:r w:rsidR="0047368F">
        <w:rPr>
          <w:rFonts w:ascii="Arial" w:hAnsi="Arial" w:cs="Arial"/>
          <w:sz w:val="24"/>
          <w:szCs w:val="24"/>
        </w:rPr>
        <w:t>second</w:t>
      </w:r>
      <w:r w:rsidR="00B86D02">
        <w:rPr>
          <w:rFonts w:ascii="Arial" w:hAnsi="Arial" w:cs="Arial"/>
          <w:sz w:val="24"/>
          <w:szCs w:val="24"/>
        </w:rPr>
        <w:t xml:space="preserve"> and third</w:t>
      </w:r>
      <w:r w:rsidR="006707A6">
        <w:rPr>
          <w:rFonts w:ascii="Arial" w:hAnsi="Arial" w:cs="Arial"/>
          <w:sz w:val="24"/>
          <w:szCs w:val="24"/>
        </w:rPr>
        <w:t xml:space="preserve"> issues</w:t>
      </w:r>
      <w:r w:rsidR="00B86D02">
        <w:rPr>
          <w:rFonts w:ascii="Arial" w:hAnsi="Arial" w:cs="Arial"/>
          <w:sz w:val="24"/>
          <w:szCs w:val="24"/>
        </w:rPr>
        <w:t xml:space="preserve"> described by Mr </w:t>
      </w:r>
      <w:proofErr w:type="spellStart"/>
      <w:r w:rsidR="00B86D02">
        <w:rPr>
          <w:rFonts w:ascii="Arial" w:hAnsi="Arial" w:cs="Arial"/>
          <w:sz w:val="24"/>
          <w:szCs w:val="24"/>
        </w:rPr>
        <w:t>Gallacher</w:t>
      </w:r>
      <w:proofErr w:type="spellEnd"/>
      <w:r w:rsidR="00A6310A">
        <w:rPr>
          <w:rFonts w:ascii="Arial" w:hAnsi="Arial" w:cs="Arial"/>
          <w:sz w:val="24"/>
          <w:szCs w:val="24"/>
        </w:rPr>
        <w:t xml:space="preserve"> in paragraph102 above</w:t>
      </w:r>
      <w:r w:rsidR="00B86D02">
        <w:rPr>
          <w:rFonts w:ascii="Arial" w:hAnsi="Arial" w:cs="Arial"/>
          <w:sz w:val="24"/>
          <w:szCs w:val="24"/>
        </w:rPr>
        <w:t>)</w:t>
      </w:r>
      <w:r w:rsidR="0047368F">
        <w:rPr>
          <w:rFonts w:ascii="Arial" w:hAnsi="Arial" w:cs="Arial"/>
          <w:sz w:val="24"/>
          <w:szCs w:val="24"/>
        </w:rPr>
        <w:t xml:space="preserve"> would introduce systematic bias in the acceleration factor and therefore </w:t>
      </w:r>
      <w:r w:rsidR="004D4248">
        <w:rPr>
          <w:rFonts w:ascii="Arial" w:hAnsi="Arial" w:cs="Arial"/>
          <w:sz w:val="24"/>
          <w:szCs w:val="24"/>
        </w:rPr>
        <w:t>the 2</w:t>
      </w:r>
      <w:r w:rsidR="001D0181">
        <w:rPr>
          <w:rFonts w:ascii="Arial" w:hAnsi="Arial" w:cs="Arial"/>
          <w:sz w:val="24"/>
          <w:szCs w:val="24"/>
        </w:rPr>
        <w:t>-</w:t>
      </w:r>
      <w:r w:rsidR="004D4248">
        <w:rPr>
          <w:rFonts w:ascii="Arial" w:hAnsi="Arial" w:cs="Arial"/>
          <w:sz w:val="24"/>
          <w:szCs w:val="24"/>
        </w:rPr>
        <w:t>stage adjusted model was too optimistic.</w:t>
      </w:r>
    </w:p>
    <w:p w14:paraId="1AF2F433" w14:textId="77777777" w:rsidR="00871ED4" w:rsidRPr="00871ED4" w:rsidRDefault="00871ED4" w:rsidP="00871ED4">
      <w:pPr>
        <w:pStyle w:val="ListParagraph"/>
        <w:rPr>
          <w:rFonts w:ascii="Arial" w:hAnsi="Arial" w:cs="Arial"/>
          <w:sz w:val="24"/>
          <w:szCs w:val="24"/>
        </w:rPr>
      </w:pPr>
    </w:p>
    <w:p w14:paraId="758F000C" w14:textId="7E606DAF" w:rsidR="005C107E" w:rsidRPr="007506D1" w:rsidRDefault="00871ED4" w:rsidP="007506D1">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Daniel </w:t>
      </w:r>
      <w:proofErr w:type="spellStart"/>
      <w:r>
        <w:rPr>
          <w:rFonts w:ascii="Arial" w:hAnsi="Arial" w:cs="Arial"/>
          <w:sz w:val="24"/>
          <w:szCs w:val="24"/>
        </w:rPr>
        <w:t>Gallacher</w:t>
      </w:r>
      <w:proofErr w:type="spellEnd"/>
      <w:r>
        <w:rPr>
          <w:rFonts w:ascii="Arial" w:hAnsi="Arial" w:cs="Arial"/>
          <w:sz w:val="24"/>
          <w:szCs w:val="24"/>
        </w:rPr>
        <w:t xml:space="preserve">, for NICE, said that his view was that the unadjusted data could be </w:t>
      </w:r>
      <w:r w:rsidR="007D0B22">
        <w:rPr>
          <w:rFonts w:ascii="Arial" w:hAnsi="Arial" w:cs="Arial"/>
          <w:sz w:val="24"/>
          <w:szCs w:val="24"/>
        </w:rPr>
        <w:t>very</w:t>
      </w:r>
      <w:r>
        <w:rPr>
          <w:rFonts w:ascii="Arial" w:hAnsi="Arial" w:cs="Arial"/>
          <w:sz w:val="24"/>
          <w:szCs w:val="24"/>
        </w:rPr>
        <w:t xml:space="preserve"> plausible (if those who switched did not actually receive benefit f</w:t>
      </w:r>
      <w:r w:rsidR="000617CB">
        <w:rPr>
          <w:rFonts w:ascii="Arial" w:hAnsi="Arial" w:cs="Arial"/>
          <w:sz w:val="24"/>
          <w:szCs w:val="24"/>
        </w:rPr>
        <w:t>ro</w:t>
      </w:r>
      <w:r>
        <w:rPr>
          <w:rFonts w:ascii="Arial" w:hAnsi="Arial" w:cs="Arial"/>
          <w:sz w:val="24"/>
          <w:szCs w:val="24"/>
        </w:rPr>
        <w:t xml:space="preserve">m treatment, but survived longer because of other prognostic factors). </w:t>
      </w:r>
      <w:r w:rsidR="004D4248" w:rsidRPr="007506D1">
        <w:rPr>
          <w:rFonts w:ascii="Arial" w:hAnsi="Arial" w:cs="Arial"/>
          <w:sz w:val="24"/>
          <w:szCs w:val="24"/>
        </w:rPr>
        <w:t xml:space="preserve">  </w:t>
      </w:r>
    </w:p>
    <w:p w14:paraId="0A01BD0E" w14:textId="77777777" w:rsidR="00EC2C9A" w:rsidRPr="00EC2C9A" w:rsidRDefault="00EC2C9A" w:rsidP="00EC2C9A">
      <w:pPr>
        <w:pStyle w:val="ListParagraph"/>
        <w:rPr>
          <w:rFonts w:ascii="Arial" w:hAnsi="Arial" w:cs="Arial"/>
          <w:sz w:val="24"/>
          <w:szCs w:val="24"/>
        </w:rPr>
      </w:pPr>
    </w:p>
    <w:p w14:paraId="7FBE7CC0" w14:textId="27BC6BD3" w:rsidR="007D1900" w:rsidRDefault="00EC2C9A"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Kalpana D’Oca, for MSD stated </w:t>
      </w:r>
      <w:r w:rsidR="00FF0B3F">
        <w:rPr>
          <w:rFonts w:ascii="Arial" w:hAnsi="Arial" w:cs="Arial"/>
          <w:sz w:val="24"/>
          <w:szCs w:val="24"/>
        </w:rPr>
        <w:t xml:space="preserve">that the ERG report acknowledges that the unadjusted data are biased and </w:t>
      </w:r>
      <w:r w:rsidR="007506D1">
        <w:rPr>
          <w:rFonts w:ascii="Arial" w:hAnsi="Arial" w:cs="Arial"/>
          <w:sz w:val="24"/>
          <w:szCs w:val="24"/>
        </w:rPr>
        <w:t>acknowledges</w:t>
      </w:r>
      <w:r w:rsidR="00FF0B3F">
        <w:rPr>
          <w:rFonts w:ascii="Arial" w:hAnsi="Arial" w:cs="Arial"/>
          <w:sz w:val="24"/>
          <w:szCs w:val="24"/>
        </w:rPr>
        <w:t xml:space="preserve"> that this bias is likely to be greater than that in the 2</w:t>
      </w:r>
      <w:r w:rsidR="007506D1">
        <w:rPr>
          <w:rFonts w:ascii="Arial" w:hAnsi="Arial" w:cs="Arial"/>
          <w:sz w:val="24"/>
          <w:szCs w:val="24"/>
        </w:rPr>
        <w:t>-</w:t>
      </w:r>
      <w:r w:rsidR="00FF0B3F">
        <w:rPr>
          <w:rFonts w:ascii="Arial" w:hAnsi="Arial" w:cs="Arial"/>
          <w:sz w:val="24"/>
          <w:szCs w:val="24"/>
        </w:rPr>
        <w:t xml:space="preserve">stage model. </w:t>
      </w:r>
      <w:r w:rsidR="00802FC2">
        <w:rPr>
          <w:rFonts w:ascii="Arial" w:hAnsi="Arial" w:cs="Arial"/>
          <w:sz w:val="24"/>
          <w:szCs w:val="24"/>
        </w:rPr>
        <w:t xml:space="preserve">She also stated that there </w:t>
      </w:r>
      <w:r w:rsidR="002B1F0A">
        <w:rPr>
          <w:rFonts w:ascii="Arial" w:hAnsi="Arial" w:cs="Arial"/>
          <w:sz w:val="24"/>
          <w:szCs w:val="24"/>
        </w:rPr>
        <w:t>is still a source of bias in favour of the control arm when the 2</w:t>
      </w:r>
      <w:r w:rsidR="007506D1">
        <w:rPr>
          <w:rFonts w:ascii="Arial" w:hAnsi="Arial" w:cs="Arial"/>
          <w:sz w:val="24"/>
          <w:szCs w:val="24"/>
        </w:rPr>
        <w:t>-</w:t>
      </w:r>
      <w:r w:rsidR="002B1F0A">
        <w:rPr>
          <w:rFonts w:ascii="Arial" w:hAnsi="Arial" w:cs="Arial"/>
          <w:sz w:val="24"/>
          <w:szCs w:val="24"/>
        </w:rPr>
        <w:t xml:space="preserve">stage method is used (because </w:t>
      </w:r>
      <w:r w:rsidR="00893381">
        <w:rPr>
          <w:rFonts w:ascii="Arial" w:hAnsi="Arial" w:cs="Arial"/>
          <w:sz w:val="24"/>
          <w:szCs w:val="24"/>
        </w:rPr>
        <w:t xml:space="preserve">there are some patients who switched to whom the adjustment is not applied). </w:t>
      </w:r>
      <w:r w:rsidR="00386355">
        <w:rPr>
          <w:rFonts w:ascii="Arial" w:hAnsi="Arial" w:cs="Arial"/>
          <w:sz w:val="24"/>
          <w:szCs w:val="24"/>
        </w:rPr>
        <w:t xml:space="preserve"> She commented on the larger magnitude of the acceleration factor in this re-appraisal compared with </w:t>
      </w:r>
      <w:r w:rsidR="006840DB">
        <w:rPr>
          <w:rFonts w:ascii="Arial" w:hAnsi="Arial" w:cs="Arial"/>
          <w:sz w:val="24"/>
          <w:szCs w:val="24"/>
        </w:rPr>
        <w:t>the original appraisal of pembrolizuma</w:t>
      </w:r>
      <w:r w:rsidR="00B0179F">
        <w:rPr>
          <w:rFonts w:ascii="Arial" w:hAnsi="Arial" w:cs="Arial"/>
          <w:sz w:val="24"/>
          <w:szCs w:val="24"/>
        </w:rPr>
        <w:t>b: although the magnitude has increased, it falls within the range of the original confidence intervals, and the confidence intervals have now narrowed</w:t>
      </w:r>
      <w:r w:rsidR="00CB463D">
        <w:rPr>
          <w:rFonts w:ascii="Arial" w:hAnsi="Arial" w:cs="Arial"/>
          <w:sz w:val="24"/>
          <w:szCs w:val="24"/>
        </w:rPr>
        <w:t xml:space="preserve"> so it can be considered more reliable</w:t>
      </w:r>
      <w:r w:rsidR="007D1900">
        <w:rPr>
          <w:rFonts w:ascii="Arial" w:hAnsi="Arial" w:cs="Arial"/>
          <w:sz w:val="24"/>
          <w:szCs w:val="24"/>
        </w:rPr>
        <w:t>.</w:t>
      </w:r>
    </w:p>
    <w:p w14:paraId="49C4DA92" w14:textId="77777777" w:rsidR="007D1900" w:rsidRPr="007D1900" w:rsidRDefault="007D1900" w:rsidP="007D1900">
      <w:pPr>
        <w:pStyle w:val="ListParagraph"/>
        <w:rPr>
          <w:rFonts w:ascii="Arial" w:hAnsi="Arial" w:cs="Arial"/>
          <w:sz w:val="24"/>
          <w:szCs w:val="24"/>
        </w:rPr>
      </w:pPr>
    </w:p>
    <w:p w14:paraId="2001E098" w14:textId="77777777" w:rsidR="00EC2C9A" w:rsidRDefault="007D1900"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Ms D’Oca </w:t>
      </w:r>
      <w:r w:rsidR="005A40B5">
        <w:rPr>
          <w:rFonts w:ascii="Arial" w:hAnsi="Arial" w:cs="Arial"/>
          <w:sz w:val="24"/>
          <w:szCs w:val="24"/>
        </w:rPr>
        <w:t>stated that the committee’s support for the unadjusted data seemed to rely on comparison with data fr</w:t>
      </w:r>
      <w:r w:rsidR="003F3FCB">
        <w:rPr>
          <w:rFonts w:ascii="Arial" w:hAnsi="Arial" w:cs="Arial"/>
          <w:sz w:val="24"/>
          <w:szCs w:val="24"/>
        </w:rPr>
        <w:t>o</w:t>
      </w:r>
      <w:r w:rsidR="005A40B5">
        <w:rPr>
          <w:rFonts w:ascii="Arial" w:hAnsi="Arial" w:cs="Arial"/>
          <w:sz w:val="24"/>
          <w:szCs w:val="24"/>
        </w:rPr>
        <w:t xml:space="preserve">m </w:t>
      </w:r>
      <w:r w:rsidR="003F3FCB">
        <w:rPr>
          <w:rFonts w:ascii="Arial" w:hAnsi="Arial" w:cs="Arial"/>
          <w:sz w:val="24"/>
          <w:szCs w:val="24"/>
        </w:rPr>
        <w:t xml:space="preserve">a 2013 study by </w:t>
      </w:r>
      <w:proofErr w:type="spellStart"/>
      <w:r w:rsidR="003F3FCB">
        <w:rPr>
          <w:rFonts w:ascii="Arial" w:hAnsi="Arial" w:cs="Arial"/>
          <w:sz w:val="24"/>
          <w:szCs w:val="24"/>
        </w:rPr>
        <w:t>Bellmunt</w:t>
      </w:r>
      <w:proofErr w:type="spellEnd"/>
      <w:r w:rsidR="003F3FCB">
        <w:rPr>
          <w:rFonts w:ascii="Arial" w:hAnsi="Arial" w:cs="Arial"/>
          <w:sz w:val="24"/>
          <w:szCs w:val="24"/>
        </w:rPr>
        <w:t xml:space="preserve"> et al.  </w:t>
      </w:r>
      <w:r w:rsidR="00CB463D">
        <w:rPr>
          <w:rFonts w:ascii="Arial" w:hAnsi="Arial" w:cs="Arial"/>
          <w:sz w:val="24"/>
          <w:szCs w:val="24"/>
        </w:rPr>
        <w:t xml:space="preserve"> </w:t>
      </w:r>
      <w:r w:rsidR="003F3FCB">
        <w:rPr>
          <w:rFonts w:ascii="Arial" w:hAnsi="Arial" w:cs="Arial"/>
          <w:sz w:val="24"/>
          <w:szCs w:val="24"/>
        </w:rPr>
        <w:t xml:space="preserve">She argued that this comparison was inappropriate as vinflunine </w:t>
      </w:r>
      <w:r w:rsidR="00D6423C">
        <w:rPr>
          <w:rFonts w:ascii="Arial" w:hAnsi="Arial" w:cs="Arial"/>
          <w:sz w:val="24"/>
          <w:szCs w:val="24"/>
        </w:rPr>
        <w:t>is not established in UK clinical practice.</w:t>
      </w:r>
    </w:p>
    <w:p w14:paraId="0311DAA0" w14:textId="77777777" w:rsidR="00D6423C" w:rsidRPr="00D6423C" w:rsidRDefault="00D6423C" w:rsidP="00D6423C">
      <w:pPr>
        <w:pStyle w:val="ListParagraph"/>
        <w:rPr>
          <w:rFonts w:ascii="Arial" w:hAnsi="Arial" w:cs="Arial"/>
          <w:sz w:val="24"/>
          <w:szCs w:val="24"/>
        </w:rPr>
      </w:pPr>
    </w:p>
    <w:p w14:paraId="5EFCD077" w14:textId="77777777" w:rsidR="00D6423C" w:rsidRDefault="00D6423C" w:rsidP="00B26D14">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In response to this point, Dr Lindsay Smith, for NICE, said that </w:t>
      </w:r>
      <w:r w:rsidR="005E2739">
        <w:rPr>
          <w:rFonts w:ascii="Arial" w:hAnsi="Arial" w:cs="Arial"/>
          <w:sz w:val="24"/>
          <w:szCs w:val="24"/>
        </w:rPr>
        <w:t xml:space="preserve">the </w:t>
      </w:r>
      <w:proofErr w:type="spellStart"/>
      <w:r w:rsidR="005E2739">
        <w:rPr>
          <w:rFonts w:ascii="Arial" w:hAnsi="Arial" w:cs="Arial"/>
          <w:sz w:val="24"/>
          <w:szCs w:val="24"/>
        </w:rPr>
        <w:t>Bellmunt</w:t>
      </w:r>
      <w:proofErr w:type="spellEnd"/>
      <w:r w:rsidR="005E2739">
        <w:rPr>
          <w:rFonts w:ascii="Arial" w:hAnsi="Arial" w:cs="Arial"/>
          <w:sz w:val="24"/>
          <w:szCs w:val="24"/>
        </w:rPr>
        <w:t xml:space="preserve"> study was not relied upon in the final decision, and was not mentioned in the FAD.</w:t>
      </w:r>
    </w:p>
    <w:p w14:paraId="23D642BF" w14:textId="77777777" w:rsidR="00FB0B23" w:rsidRPr="00FB0B23" w:rsidRDefault="00FB0B23" w:rsidP="00FB0B23">
      <w:pPr>
        <w:pStyle w:val="ListParagraph"/>
        <w:rPr>
          <w:rFonts w:ascii="Arial" w:hAnsi="Arial" w:cs="Arial"/>
          <w:sz w:val="24"/>
          <w:szCs w:val="24"/>
        </w:rPr>
      </w:pPr>
    </w:p>
    <w:p w14:paraId="2CF718F3" w14:textId="685A447C" w:rsidR="00EE1112" w:rsidRPr="00EE1112" w:rsidRDefault="00D55FA9" w:rsidP="00EE1112">
      <w:pPr>
        <w:pStyle w:val="ListParagraph"/>
        <w:numPr>
          <w:ilvl w:val="0"/>
          <w:numId w:val="21"/>
        </w:numPr>
        <w:spacing w:after="0" w:line="240" w:lineRule="auto"/>
        <w:rPr>
          <w:rFonts w:ascii="Arial" w:hAnsi="Arial" w:cs="Arial"/>
          <w:sz w:val="24"/>
          <w:szCs w:val="24"/>
        </w:rPr>
      </w:pPr>
      <w:r w:rsidRPr="00EE1112">
        <w:rPr>
          <w:rFonts w:ascii="Arial" w:hAnsi="Arial" w:cs="Arial"/>
          <w:sz w:val="24"/>
          <w:szCs w:val="24"/>
        </w:rPr>
        <w:t xml:space="preserve">The appeal panel concluded as follows.  </w:t>
      </w:r>
      <w:r w:rsidR="00BE4B82" w:rsidRPr="00EE1112">
        <w:rPr>
          <w:rFonts w:ascii="Arial" w:hAnsi="Arial" w:cs="Arial"/>
          <w:sz w:val="24"/>
          <w:szCs w:val="24"/>
        </w:rPr>
        <w:t xml:space="preserve">There was general acceptance </w:t>
      </w:r>
      <w:r w:rsidR="009A0C22" w:rsidRPr="00EE1112">
        <w:rPr>
          <w:rFonts w:ascii="Arial" w:hAnsi="Arial" w:cs="Arial"/>
          <w:sz w:val="24"/>
          <w:szCs w:val="24"/>
        </w:rPr>
        <w:t xml:space="preserve">during the hearing </w:t>
      </w:r>
      <w:r w:rsidR="00BE4B82" w:rsidRPr="00EE1112">
        <w:rPr>
          <w:rFonts w:ascii="Arial" w:hAnsi="Arial" w:cs="Arial"/>
          <w:sz w:val="24"/>
          <w:szCs w:val="24"/>
        </w:rPr>
        <w:t>that the unadjusted data wa</w:t>
      </w:r>
      <w:r w:rsidR="00D50386" w:rsidRPr="00EE1112">
        <w:rPr>
          <w:rFonts w:ascii="Arial" w:hAnsi="Arial" w:cs="Arial"/>
          <w:sz w:val="24"/>
          <w:szCs w:val="24"/>
        </w:rPr>
        <w:t>s biased</w:t>
      </w:r>
      <w:r w:rsidR="009A0C22" w:rsidRPr="00EE1112">
        <w:rPr>
          <w:rFonts w:ascii="Arial" w:hAnsi="Arial" w:cs="Arial"/>
          <w:sz w:val="24"/>
          <w:szCs w:val="24"/>
        </w:rPr>
        <w:t xml:space="preserve">.  At the time of the </w:t>
      </w:r>
      <w:r w:rsidR="00337E84" w:rsidRPr="00EE1112">
        <w:rPr>
          <w:rFonts w:ascii="Arial" w:hAnsi="Arial" w:cs="Arial"/>
          <w:sz w:val="24"/>
          <w:szCs w:val="24"/>
        </w:rPr>
        <w:t xml:space="preserve">original appraisal of pembrolizumab in this indication (TA519) the ERG </w:t>
      </w:r>
      <w:r w:rsidR="000617CB">
        <w:rPr>
          <w:rFonts w:ascii="Arial" w:hAnsi="Arial" w:cs="Arial"/>
          <w:sz w:val="24"/>
          <w:szCs w:val="24"/>
        </w:rPr>
        <w:t xml:space="preserve">also </w:t>
      </w:r>
      <w:r w:rsidR="00337E84" w:rsidRPr="00EE1112">
        <w:rPr>
          <w:rFonts w:ascii="Arial" w:hAnsi="Arial" w:cs="Arial"/>
          <w:sz w:val="24"/>
          <w:szCs w:val="24"/>
        </w:rPr>
        <w:lastRenderedPageBreak/>
        <w:t xml:space="preserve">judged that the unadjusted model was the least appropriate.  </w:t>
      </w:r>
      <w:r w:rsidR="00AE2E8B" w:rsidRPr="00EE1112">
        <w:rPr>
          <w:rFonts w:ascii="Arial" w:hAnsi="Arial" w:cs="Arial"/>
          <w:sz w:val="24"/>
          <w:szCs w:val="24"/>
        </w:rPr>
        <w:t>The panel understood</w:t>
      </w:r>
      <w:r w:rsidR="00F07E73" w:rsidRPr="00EE1112">
        <w:rPr>
          <w:rFonts w:ascii="Arial" w:hAnsi="Arial" w:cs="Arial"/>
          <w:sz w:val="24"/>
          <w:szCs w:val="24"/>
        </w:rPr>
        <w:t xml:space="preserve"> the</w:t>
      </w:r>
      <w:r w:rsidR="00AE2E8B" w:rsidRPr="00EE1112">
        <w:rPr>
          <w:rFonts w:ascii="Arial" w:hAnsi="Arial" w:cs="Arial"/>
          <w:sz w:val="24"/>
          <w:szCs w:val="24"/>
        </w:rPr>
        <w:t xml:space="preserve"> limitations of the 2</w:t>
      </w:r>
      <w:r w:rsidR="00BE33BA">
        <w:rPr>
          <w:rFonts w:ascii="Arial" w:hAnsi="Arial" w:cs="Arial"/>
          <w:sz w:val="24"/>
          <w:szCs w:val="24"/>
        </w:rPr>
        <w:t>-</w:t>
      </w:r>
      <w:r w:rsidR="00AE2E8B" w:rsidRPr="00EE1112">
        <w:rPr>
          <w:rFonts w:ascii="Arial" w:hAnsi="Arial" w:cs="Arial"/>
          <w:sz w:val="24"/>
          <w:szCs w:val="24"/>
        </w:rPr>
        <w:t xml:space="preserve">stage model, as set out by Mr </w:t>
      </w:r>
      <w:proofErr w:type="spellStart"/>
      <w:r w:rsidR="00AE2E8B" w:rsidRPr="00EE1112">
        <w:rPr>
          <w:rFonts w:ascii="Arial" w:hAnsi="Arial" w:cs="Arial"/>
          <w:sz w:val="24"/>
          <w:szCs w:val="24"/>
        </w:rPr>
        <w:t>Gallacher</w:t>
      </w:r>
      <w:proofErr w:type="spellEnd"/>
      <w:r w:rsidR="00AE2E8B" w:rsidRPr="00EE1112">
        <w:rPr>
          <w:rFonts w:ascii="Arial" w:hAnsi="Arial" w:cs="Arial"/>
          <w:sz w:val="24"/>
          <w:szCs w:val="24"/>
        </w:rPr>
        <w:t>, and appreciated that the</w:t>
      </w:r>
      <w:r w:rsidR="00274702" w:rsidRPr="00EE1112">
        <w:rPr>
          <w:rFonts w:ascii="Arial" w:hAnsi="Arial" w:cs="Arial"/>
          <w:sz w:val="24"/>
          <w:szCs w:val="24"/>
        </w:rPr>
        <w:t>se</w:t>
      </w:r>
      <w:r w:rsidR="00AE2E8B" w:rsidRPr="00EE1112">
        <w:rPr>
          <w:rFonts w:ascii="Arial" w:hAnsi="Arial" w:cs="Arial"/>
          <w:sz w:val="24"/>
          <w:szCs w:val="24"/>
        </w:rPr>
        <w:t xml:space="preserve"> could cause bias as well as </w:t>
      </w:r>
      <w:r w:rsidR="00274702" w:rsidRPr="00EE1112">
        <w:rPr>
          <w:rFonts w:ascii="Arial" w:hAnsi="Arial" w:cs="Arial"/>
          <w:sz w:val="24"/>
          <w:szCs w:val="24"/>
        </w:rPr>
        <w:t>imprecision in estimating the acceleration factor.  Nevertheless, these same limitations were known at the time of TA519 and the 2</w:t>
      </w:r>
      <w:r w:rsidR="00BE33BA">
        <w:rPr>
          <w:rFonts w:ascii="Arial" w:hAnsi="Arial" w:cs="Arial"/>
          <w:sz w:val="24"/>
          <w:szCs w:val="24"/>
        </w:rPr>
        <w:t>-</w:t>
      </w:r>
      <w:r w:rsidR="00274702" w:rsidRPr="00EE1112">
        <w:rPr>
          <w:rFonts w:ascii="Arial" w:hAnsi="Arial" w:cs="Arial"/>
          <w:sz w:val="24"/>
          <w:szCs w:val="24"/>
        </w:rPr>
        <w:t xml:space="preserve">stage model was judged the most appropriate.  </w:t>
      </w:r>
      <w:r w:rsidR="00AF554E" w:rsidRPr="00EE1112">
        <w:rPr>
          <w:rFonts w:ascii="Arial" w:hAnsi="Arial" w:cs="Arial"/>
          <w:sz w:val="24"/>
          <w:szCs w:val="24"/>
        </w:rPr>
        <w:t>The committee did not seem to have considered other approaches to dealing with potential biases in the 2</w:t>
      </w:r>
      <w:r w:rsidR="00BE33BA">
        <w:rPr>
          <w:rFonts w:ascii="Arial" w:hAnsi="Arial" w:cs="Arial"/>
          <w:sz w:val="24"/>
          <w:szCs w:val="24"/>
        </w:rPr>
        <w:t>-</w:t>
      </w:r>
      <w:r w:rsidR="00AF554E" w:rsidRPr="00EE1112">
        <w:rPr>
          <w:rFonts w:ascii="Arial" w:hAnsi="Arial" w:cs="Arial"/>
          <w:sz w:val="24"/>
          <w:szCs w:val="24"/>
        </w:rPr>
        <w:t xml:space="preserve">stage model, such as </w:t>
      </w:r>
      <w:r w:rsidR="000D07CE" w:rsidRPr="00EE1112">
        <w:rPr>
          <w:rFonts w:ascii="Arial" w:hAnsi="Arial" w:cs="Arial"/>
          <w:sz w:val="24"/>
          <w:szCs w:val="24"/>
        </w:rPr>
        <w:t xml:space="preserve">modelling a range of acceleration factors.  </w:t>
      </w:r>
      <w:r w:rsidR="00673174" w:rsidRPr="00EE1112">
        <w:rPr>
          <w:rFonts w:ascii="Arial" w:hAnsi="Arial" w:cs="Arial"/>
          <w:sz w:val="24"/>
          <w:szCs w:val="24"/>
        </w:rPr>
        <w:t>The panel was not persuaded that it was</w:t>
      </w:r>
      <w:r w:rsidR="00E7476E" w:rsidRPr="00EE1112">
        <w:rPr>
          <w:rFonts w:ascii="Arial" w:hAnsi="Arial" w:cs="Arial"/>
          <w:sz w:val="24"/>
          <w:szCs w:val="24"/>
        </w:rPr>
        <w:t xml:space="preserve"> necessarily</w:t>
      </w:r>
      <w:r w:rsidR="00673174" w:rsidRPr="00EE1112">
        <w:rPr>
          <w:rFonts w:ascii="Arial" w:hAnsi="Arial" w:cs="Arial"/>
          <w:sz w:val="24"/>
          <w:szCs w:val="24"/>
        </w:rPr>
        <w:t xml:space="preserve"> u</w:t>
      </w:r>
      <w:r w:rsidR="00295B6C" w:rsidRPr="00EE1112">
        <w:rPr>
          <w:rFonts w:ascii="Arial" w:hAnsi="Arial" w:cs="Arial"/>
          <w:sz w:val="24"/>
          <w:szCs w:val="24"/>
        </w:rPr>
        <w:t>n</w:t>
      </w:r>
      <w:r w:rsidR="00673174" w:rsidRPr="00EE1112">
        <w:rPr>
          <w:rFonts w:ascii="Arial" w:hAnsi="Arial" w:cs="Arial"/>
          <w:sz w:val="24"/>
          <w:szCs w:val="24"/>
        </w:rPr>
        <w:t xml:space="preserve">reasonable to give </w:t>
      </w:r>
      <w:r w:rsidR="00673174" w:rsidRPr="005F4A47">
        <w:rPr>
          <w:rFonts w:ascii="Arial" w:hAnsi="Arial" w:cs="Arial"/>
          <w:sz w:val="24"/>
          <w:szCs w:val="24"/>
          <w:u w:val="single"/>
        </w:rPr>
        <w:t>any</w:t>
      </w:r>
      <w:r w:rsidR="00673174" w:rsidRPr="00EE1112">
        <w:rPr>
          <w:rFonts w:ascii="Arial" w:hAnsi="Arial" w:cs="Arial"/>
          <w:sz w:val="24"/>
          <w:szCs w:val="24"/>
        </w:rPr>
        <w:t xml:space="preserve"> consideration to the unadjusted data</w:t>
      </w:r>
      <w:r w:rsidR="00E7476E" w:rsidRPr="00EE1112">
        <w:rPr>
          <w:rFonts w:ascii="Arial" w:hAnsi="Arial" w:cs="Arial"/>
          <w:sz w:val="24"/>
          <w:szCs w:val="24"/>
        </w:rPr>
        <w:t>.</w:t>
      </w:r>
      <w:r w:rsidR="003716A3" w:rsidRPr="00EE1112">
        <w:rPr>
          <w:rFonts w:ascii="Arial" w:hAnsi="Arial" w:cs="Arial"/>
          <w:sz w:val="24"/>
          <w:szCs w:val="24"/>
        </w:rPr>
        <w:t xml:space="preserve">  However, the FAD </w:t>
      </w:r>
      <w:r w:rsidR="00565080" w:rsidRPr="00EE1112">
        <w:rPr>
          <w:rFonts w:ascii="Arial" w:hAnsi="Arial" w:cs="Arial"/>
          <w:sz w:val="24"/>
          <w:szCs w:val="24"/>
        </w:rPr>
        <w:t>suggests that the committee gave equal weight to the unadjusted data and the 2</w:t>
      </w:r>
      <w:r w:rsidR="00C973BE">
        <w:rPr>
          <w:rFonts w:ascii="Arial" w:hAnsi="Arial" w:cs="Arial"/>
          <w:sz w:val="24"/>
          <w:szCs w:val="24"/>
        </w:rPr>
        <w:t>-</w:t>
      </w:r>
      <w:r w:rsidR="00565080" w:rsidRPr="00EE1112">
        <w:rPr>
          <w:rFonts w:ascii="Arial" w:hAnsi="Arial" w:cs="Arial"/>
          <w:sz w:val="24"/>
          <w:szCs w:val="24"/>
        </w:rPr>
        <w:t xml:space="preserve">stage model </w:t>
      </w:r>
      <w:r w:rsidR="00C973BE">
        <w:rPr>
          <w:rFonts w:ascii="Arial" w:hAnsi="Arial" w:cs="Arial"/>
          <w:sz w:val="24"/>
          <w:szCs w:val="24"/>
        </w:rPr>
        <w:t>in their</w:t>
      </w:r>
      <w:r w:rsidR="00565080" w:rsidRPr="00EE1112">
        <w:rPr>
          <w:rFonts w:ascii="Arial" w:hAnsi="Arial" w:cs="Arial"/>
          <w:sz w:val="24"/>
          <w:szCs w:val="24"/>
        </w:rPr>
        <w:t xml:space="preserve"> decision-making.  The panel judged that it was not</w:t>
      </w:r>
      <w:r w:rsidR="00C973BE">
        <w:rPr>
          <w:rFonts w:ascii="Arial" w:hAnsi="Arial" w:cs="Arial"/>
          <w:sz w:val="24"/>
          <w:szCs w:val="24"/>
        </w:rPr>
        <w:t xml:space="preserve"> </w:t>
      </w:r>
      <w:r w:rsidR="00565080" w:rsidRPr="00EE1112">
        <w:rPr>
          <w:rFonts w:ascii="Arial" w:hAnsi="Arial" w:cs="Arial"/>
          <w:sz w:val="24"/>
          <w:szCs w:val="24"/>
        </w:rPr>
        <w:t xml:space="preserve">reasonable to give equal weight to a method that </w:t>
      </w:r>
      <w:r w:rsidR="00EE1112" w:rsidRPr="00EE1112">
        <w:rPr>
          <w:rFonts w:ascii="Arial" w:hAnsi="Arial" w:cs="Arial"/>
          <w:sz w:val="24"/>
          <w:szCs w:val="24"/>
        </w:rPr>
        <w:t xml:space="preserve">was </w:t>
      </w:r>
      <w:r w:rsidR="00C973BE">
        <w:rPr>
          <w:rFonts w:ascii="Arial" w:hAnsi="Arial" w:cs="Arial"/>
          <w:sz w:val="24"/>
          <w:szCs w:val="24"/>
        </w:rPr>
        <w:t xml:space="preserve">previously agreed </w:t>
      </w:r>
      <w:r w:rsidR="00EE1112" w:rsidRPr="00EE1112">
        <w:rPr>
          <w:rFonts w:ascii="Arial" w:hAnsi="Arial" w:cs="Arial"/>
          <w:sz w:val="24"/>
          <w:szCs w:val="24"/>
        </w:rPr>
        <w:t>to be the least appropriate</w:t>
      </w:r>
      <w:r w:rsidR="00D10A22">
        <w:rPr>
          <w:rFonts w:ascii="Arial" w:hAnsi="Arial" w:cs="Arial"/>
          <w:sz w:val="24"/>
          <w:szCs w:val="24"/>
        </w:rPr>
        <w:t>, without a clear reason based on new evidence.</w:t>
      </w:r>
    </w:p>
    <w:p w14:paraId="1E84DD66" w14:textId="77777777" w:rsidR="00EE1112" w:rsidRPr="00EE1112" w:rsidRDefault="00EE1112" w:rsidP="00EE1112">
      <w:pPr>
        <w:pStyle w:val="ListParagraph"/>
        <w:spacing w:after="0" w:line="240" w:lineRule="auto"/>
        <w:ind w:left="360"/>
        <w:rPr>
          <w:rFonts w:ascii="Arial" w:hAnsi="Arial" w:cs="Arial"/>
          <w:sz w:val="24"/>
          <w:szCs w:val="24"/>
        </w:rPr>
      </w:pPr>
    </w:p>
    <w:p w14:paraId="6A2E5197" w14:textId="77777777" w:rsidR="00EE1112" w:rsidRPr="00EE1112" w:rsidRDefault="00EE1112" w:rsidP="00EE1112">
      <w:pPr>
        <w:pStyle w:val="ListParagraph"/>
        <w:numPr>
          <w:ilvl w:val="0"/>
          <w:numId w:val="21"/>
        </w:numPr>
        <w:spacing w:after="0" w:line="240" w:lineRule="auto"/>
        <w:rPr>
          <w:rFonts w:ascii="Arial" w:hAnsi="Arial" w:cs="Arial"/>
          <w:sz w:val="24"/>
          <w:szCs w:val="24"/>
        </w:rPr>
      </w:pPr>
      <w:r w:rsidRPr="00EE1112">
        <w:rPr>
          <w:rFonts w:ascii="Arial" w:hAnsi="Arial" w:cs="Arial"/>
          <w:sz w:val="24"/>
          <w:szCs w:val="24"/>
        </w:rPr>
        <w:t>The appeal panel therefore upheld the appeal on this point.</w:t>
      </w:r>
    </w:p>
    <w:p w14:paraId="780247D8" w14:textId="77777777" w:rsidR="00D02918" w:rsidRPr="0053499F" w:rsidRDefault="00D02918" w:rsidP="00D02918">
      <w:pPr>
        <w:spacing w:after="0" w:line="240" w:lineRule="auto"/>
        <w:rPr>
          <w:rFonts w:ascii="Arial" w:hAnsi="Arial" w:cs="Arial"/>
          <w:sz w:val="24"/>
          <w:szCs w:val="24"/>
        </w:rPr>
      </w:pPr>
    </w:p>
    <w:p w14:paraId="0A8B2B66" w14:textId="77777777" w:rsidR="00D02918" w:rsidRPr="0053499F" w:rsidRDefault="00D02918" w:rsidP="00D02918">
      <w:pPr>
        <w:spacing w:after="0" w:line="240" w:lineRule="auto"/>
        <w:rPr>
          <w:rFonts w:ascii="Arial" w:hAnsi="Arial" w:cs="Arial"/>
          <w:sz w:val="24"/>
          <w:szCs w:val="24"/>
        </w:rPr>
      </w:pPr>
      <w:r w:rsidRPr="0053499F">
        <w:rPr>
          <w:rFonts w:ascii="Arial" w:hAnsi="Arial" w:cs="Arial"/>
          <w:b/>
          <w:sz w:val="24"/>
          <w:szCs w:val="24"/>
        </w:rPr>
        <w:t xml:space="preserve">Conclusion and effect of the </w:t>
      </w:r>
      <w:r w:rsidR="009B59C2" w:rsidRPr="0053499F">
        <w:rPr>
          <w:rFonts w:ascii="Arial" w:hAnsi="Arial" w:cs="Arial"/>
          <w:b/>
          <w:sz w:val="24"/>
          <w:szCs w:val="24"/>
        </w:rPr>
        <w:t>a</w:t>
      </w:r>
      <w:r w:rsidRPr="0053499F">
        <w:rPr>
          <w:rFonts w:ascii="Arial" w:hAnsi="Arial" w:cs="Arial"/>
          <w:b/>
          <w:sz w:val="24"/>
          <w:szCs w:val="24"/>
        </w:rPr>
        <w:t xml:space="preserve">ppeal </w:t>
      </w:r>
      <w:r w:rsidR="009B59C2" w:rsidRPr="0053499F">
        <w:rPr>
          <w:rFonts w:ascii="Arial" w:hAnsi="Arial" w:cs="Arial"/>
          <w:b/>
          <w:sz w:val="24"/>
          <w:szCs w:val="24"/>
        </w:rPr>
        <w:t>p</w:t>
      </w:r>
      <w:r w:rsidRPr="0053499F">
        <w:rPr>
          <w:rFonts w:ascii="Arial" w:hAnsi="Arial" w:cs="Arial"/>
          <w:b/>
          <w:sz w:val="24"/>
          <w:szCs w:val="24"/>
        </w:rPr>
        <w:t>anel’s decision</w:t>
      </w:r>
    </w:p>
    <w:p w14:paraId="180C9A56" w14:textId="77777777" w:rsidR="00D02918" w:rsidRPr="0053499F" w:rsidRDefault="00D02918" w:rsidP="00D02918">
      <w:pPr>
        <w:pStyle w:val="ListParagraph"/>
        <w:spacing w:after="0" w:line="240" w:lineRule="auto"/>
        <w:ind w:left="360"/>
        <w:rPr>
          <w:rFonts w:ascii="Arial" w:hAnsi="Arial" w:cs="Arial"/>
          <w:sz w:val="24"/>
          <w:szCs w:val="24"/>
        </w:rPr>
      </w:pPr>
    </w:p>
    <w:p w14:paraId="36898426" w14:textId="77777777" w:rsidR="00096D84" w:rsidRDefault="00D02918" w:rsidP="00D02918">
      <w:pPr>
        <w:pStyle w:val="ListParagraph"/>
        <w:numPr>
          <w:ilvl w:val="0"/>
          <w:numId w:val="21"/>
        </w:numPr>
        <w:spacing w:after="0" w:line="240" w:lineRule="auto"/>
        <w:rPr>
          <w:rFonts w:ascii="Arial" w:hAnsi="Arial" w:cs="Arial"/>
          <w:sz w:val="24"/>
          <w:szCs w:val="24"/>
        </w:rPr>
      </w:pPr>
      <w:r w:rsidRPr="0053499F">
        <w:rPr>
          <w:rFonts w:ascii="Arial" w:hAnsi="Arial" w:cs="Arial"/>
          <w:sz w:val="24"/>
          <w:szCs w:val="24"/>
        </w:rPr>
        <w:t xml:space="preserve">The </w:t>
      </w:r>
      <w:r w:rsidR="009B59C2" w:rsidRPr="0053499F">
        <w:rPr>
          <w:rFonts w:ascii="Arial" w:hAnsi="Arial" w:cs="Arial"/>
          <w:sz w:val="24"/>
          <w:szCs w:val="24"/>
        </w:rPr>
        <w:t>a</w:t>
      </w:r>
      <w:r w:rsidRPr="0053499F">
        <w:rPr>
          <w:rFonts w:ascii="Arial" w:hAnsi="Arial" w:cs="Arial"/>
          <w:sz w:val="24"/>
          <w:szCs w:val="24"/>
        </w:rPr>
        <w:t xml:space="preserve">ppeal </w:t>
      </w:r>
      <w:r w:rsidR="009B59C2" w:rsidRPr="0053499F">
        <w:rPr>
          <w:rFonts w:ascii="Arial" w:hAnsi="Arial" w:cs="Arial"/>
          <w:sz w:val="24"/>
          <w:szCs w:val="24"/>
        </w:rPr>
        <w:t>p</w:t>
      </w:r>
      <w:r w:rsidRPr="0053499F">
        <w:rPr>
          <w:rFonts w:ascii="Arial" w:hAnsi="Arial" w:cs="Arial"/>
          <w:sz w:val="24"/>
          <w:szCs w:val="24"/>
        </w:rPr>
        <w:t xml:space="preserve">anel therefore upholds the appeal on the grounds that </w:t>
      </w:r>
    </w:p>
    <w:p w14:paraId="549F7467" w14:textId="77777777" w:rsidR="00FA491F" w:rsidRPr="00B208AA" w:rsidRDefault="00FA491F" w:rsidP="00FA491F">
      <w:pPr>
        <w:pStyle w:val="Unnumberedboldheading"/>
        <w:numPr>
          <w:ilvl w:val="1"/>
          <w:numId w:val="34"/>
        </w:numPr>
        <w:rPr>
          <w:rFonts w:cs="Arial"/>
          <w:b w:val="0"/>
        </w:rPr>
      </w:pPr>
      <w:r w:rsidRPr="00B208AA">
        <w:rPr>
          <w:rFonts w:cs="Arial"/>
          <w:b w:val="0"/>
        </w:rPr>
        <w:t xml:space="preserve">Ground 1a.1 – Fundamental differences with the approach taken in TA525 evidence an inconsistent methodology, in breach of the Methods Guide and the principle of procedural fairness </w:t>
      </w:r>
    </w:p>
    <w:p w14:paraId="04418204" w14:textId="77777777" w:rsidR="00FA491F" w:rsidRDefault="00FA491F" w:rsidP="00FA491F">
      <w:pPr>
        <w:pStyle w:val="Unnumberedboldheading"/>
        <w:numPr>
          <w:ilvl w:val="1"/>
          <w:numId w:val="34"/>
        </w:numPr>
        <w:rPr>
          <w:rFonts w:cs="Arial"/>
          <w:b w:val="0"/>
        </w:rPr>
      </w:pPr>
      <w:r w:rsidRPr="00B208AA">
        <w:rPr>
          <w:rFonts w:cs="Arial"/>
          <w:b w:val="0"/>
        </w:rPr>
        <w:t xml:space="preserve">Ground 1a.2 – It is procedurally unfair to have introduced paragraph 3.19 (“The costs of pembrolizumab are likely underestimated in the model”) in the FAD at a very late stage, without explanation or any opportunity to respond </w:t>
      </w:r>
    </w:p>
    <w:p w14:paraId="60258AD3" w14:textId="77777777" w:rsidR="00FA491F" w:rsidRPr="00B208AA" w:rsidRDefault="00FA491F" w:rsidP="00FA491F">
      <w:pPr>
        <w:pStyle w:val="Unnumberedboldheading"/>
        <w:numPr>
          <w:ilvl w:val="1"/>
          <w:numId w:val="34"/>
        </w:numPr>
        <w:rPr>
          <w:rFonts w:cs="Arial"/>
          <w:b w:val="0"/>
        </w:rPr>
      </w:pPr>
      <w:r w:rsidRPr="00B208AA">
        <w:rPr>
          <w:rFonts w:cs="Arial"/>
          <w:b w:val="0"/>
        </w:rPr>
        <w:t xml:space="preserve">Ground 2.5 – The conclusion that new data from KEYNOTE-045 “shows the 2-stage method may not be appropriate, and the unadjusted method should also be taken into account” results from a flawed and unreasonable interpretation of the evidence </w:t>
      </w:r>
    </w:p>
    <w:p w14:paraId="1B4BA369" w14:textId="77777777" w:rsidR="00096D84" w:rsidRPr="00FA491F" w:rsidRDefault="00096D84" w:rsidP="00FA491F">
      <w:pPr>
        <w:spacing w:after="0" w:line="240" w:lineRule="auto"/>
        <w:rPr>
          <w:rFonts w:ascii="Arial" w:hAnsi="Arial" w:cs="Arial"/>
          <w:sz w:val="24"/>
          <w:szCs w:val="24"/>
        </w:rPr>
      </w:pPr>
    </w:p>
    <w:p w14:paraId="3FC8B60E" w14:textId="77777777" w:rsidR="00D02918" w:rsidRPr="0053499F" w:rsidRDefault="00D02918" w:rsidP="00D02918">
      <w:pPr>
        <w:pStyle w:val="ListParagraph"/>
        <w:numPr>
          <w:ilvl w:val="0"/>
          <w:numId w:val="21"/>
        </w:numPr>
        <w:spacing w:after="0" w:line="240" w:lineRule="auto"/>
        <w:rPr>
          <w:rFonts w:ascii="Arial" w:hAnsi="Arial" w:cs="Arial"/>
          <w:sz w:val="24"/>
          <w:szCs w:val="24"/>
        </w:rPr>
      </w:pPr>
      <w:r w:rsidRPr="0053499F">
        <w:rPr>
          <w:rFonts w:ascii="Arial" w:hAnsi="Arial" w:cs="Arial"/>
          <w:sz w:val="24"/>
          <w:szCs w:val="24"/>
        </w:rPr>
        <w:t>The appeal is dismissed on all other grounds.</w:t>
      </w:r>
    </w:p>
    <w:p w14:paraId="11FD18CC" w14:textId="77777777" w:rsidR="00396997" w:rsidRPr="0053499F" w:rsidRDefault="00396997" w:rsidP="00396997">
      <w:pPr>
        <w:pStyle w:val="ListParagraph"/>
        <w:spacing w:after="0" w:line="240" w:lineRule="auto"/>
        <w:ind w:left="360"/>
        <w:rPr>
          <w:rFonts w:ascii="Arial" w:hAnsi="Arial" w:cs="Arial"/>
          <w:sz w:val="24"/>
          <w:szCs w:val="24"/>
        </w:rPr>
      </w:pPr>
    </w:p>
    <w:p w14:paraId="35ACF831" w14:textId="6E4F4119" w:rsidR="007D0B22" w:rsidRDefault="00396997" w:rsidP="00F72E21">
      <w:pPr>
        <w:pStyle w:val="ListParagraph"/>
        <w:numPr>
          <w:ilvl w:val="0"/>
          <w:numId w:val="21"/>
        </w:numPr>
        <w:spacing w:after="0" w:line="240" w:lineRule="auto"/>
        <w:rPr>
          <w:rFonts w:ascii="Arial" w:hAnsi="Arial" w:cs="Arial"/>
          <w:sz w:val="24"/>
          <w:szCs w:val="24"/>
        </w:rPr>
      </w:pPr>
      <w:r w:rsidRPr="00916D8C">
        <w:rPr>
          <w:rFonts w:ascii="Arial" w:hAnsi="Arial" w:cs="Arial"/>
          <w:sz w:val="24"/>
          <w:szCs w:val="24"/>
        </w:rPr>
        <w:t xml:space="preserve">The appraisal is remitted to the </w:t>
      </w:r>
      <w:r w:rsidR="009B59C2" w:rsidRPr="00916D8C">
        <w:rPr>
          <w:rFonts w:ascii="Arial" w:hAnsi="Arial" w:cs="Arial"/>
          <w:sz w:val="24"/>
          <w:szCs w:val="24"/>
        </w:rPr>
        <w:t>a</w:t>
      </w:r>
      <w:r w:rsidRPr="00916D8C">
        <w:rPr>
          <w:rFonts w:ascii="Arial" w:hAnsi="Arial" w:cs="Arial"/>
          <w:sz w:val="24"/>
          <w:szCs w:val="24"/>
        </w:rPr>
        <w:t xml:space="preserve">ppraisal committee who must now take all reasonable steps to </w:t>
      </w:r>
      <w:r w:rsidR="00155951" w:rsidRPr="00916D8C">
        <w:rPr>
          <w:rFonts w:ascii="Arial" w:hAnsi="Arial" w:cs="Arial"/>
          <w:sz w:val="24"/>
          <w:szCs w:val="24"/>
        </w:rPr>
        <w:t xml:space="preserve">address these points.  </w:t>
      </w:r>
      <w:r w:rsidR="007A00F1" w:rsidRPr="00916D8C">
        <w:rPr>
          <w:rFonts w:ascii="Arial" w:hAnsi="Arial" w:cs="Arial"/>
          <w:sz w:val="24"/>
          <w:szCs w:val="24"/>
        </w:rPr>
        <w:t>In particular, the committee shou</w:t>
      </w:r>
      <w:r w:rsidR="00E968F5">
        <w:rPr>
          <w:rFonts w:ascii="Arial" w:hAnsi="Arial" w:cs="Arial"/>
          <w:sz w:val="24"/>
          <w:szCs w:val="24"/>
        </w:rPr>
        <w:t xml:space="preserve">ld </w:t>
      </w:r>
      <w:proofErr w:type="gramStart"/>
      <w:r w:rsidR="00E968F5">
        <w:rPr>
          <w:rFonts w:ascii="Arial" w:hAnsi="Arial" w:cs="Arial"/>
          <w:sz w:val="24"/>
          <w:szCs w:val="24"/>
        </w:rPr>
        <w:t>take into account</w:t>
      </w:r>
      <w:proofErr w:type="gramEnd"/>
      <w:r w:rsidR="007A00F1" w:rsidRPr="00916D8C">
        <w:rPr>
          <w:rFonts w:ascii="Arial" w:hAnsi="Arial" w:cs="Arial"/>
          <w:sz w:val="24"/>
          <w:szCs w:val="24"/>
        </w:rPr>
        <w:t xml:space="preserve"> the expectation of consistency with </w:t>
      </w:r>
      <w:r w:rsidR="001949FD" w:rsidRPr="00916D8C">
        <w:rPr>
          <w:rFonts w:ascii="Arial" w:hAnsi="Arial" w:cs="Arial"/>
          <w:sz w:val="24"/>
          <w:szCs w:val="24"/>
        </w:rPr>
        <w:t>previous appraisals</w:t>
      </w:r>
      <w:r w:rsidR="007A00F1" w:rsidRPr="00916D8C">
        <w:rPr>
          <w:rFonts w:ascii="Arial" w:hAnsi="Arial" w:cs="Arial"/>
          <w:sz w:val="24"/>
          <w:szCs w:val="24"/>
        </w:rPr>
        <w:t xml:space="preserve"> and whether this should influence their approach to estimating the treatment effect duration.  </w:t>
      </w:r>
      <w:r w:rsidR="007D0B22">
        <w:rPr>
          <w:rFonts w:ascii="Arial" w:hAnsi="Arial" w:cs="Arial"/>
          <w:sz w:val="24"/>
          <w:szCs w:val="24"/>
        </w:rPr>
        <w:t xml:space="preserve">To be clear, the panel does not consider that there is a tension between its conclusions on grounds 1a.1 and 2.1-2.  Notwithstanding that the Committee’s approach can be regarded as reasonable looked at in isolation, the fact that different approaches have been taken in past relevantly similar appraisals means that, if a different approach is now to be taken, </w:t>
      </w:r>
      <w:r w:rsidR="007D0B22" w:rsidRPr="005F4A47">
        <w:rPr>
          <w:rFonts w:ascii="Arial" w:hAnsi="Arial" w:cs="Arial"/>
          <w:sz w:val="24"/>
          <w:szCs w:val="24"/>
          <w:u w:val="single"/>
        </w:rPr>
        <w:t>that departure from past approach or practice</w:t>
      </w:r>
      <w:r w:rsidR="007D0B22">
        <w:rPr>
          <w:rFonts w:ascii="Arial" w:hAnsi="Arial" w:cs="Arial"/>
          <w:sz w:val="24"/>
          <w:szCs w:val="24"/>
        </w:rPr>
        <w:t xml:space="preserve"> must be explained, and not only the reasons for the decision in isolation. </w:t>
      </w:r>
      <w:r w:rsidR="00A51F9B">
        <w:rPr>
          <w:rFonts w:ascii="Arial" w:hAnsi="Arial" w:cs="Arial"/>
          <w:sz w:val="24"/>
          <w:szCs w:val="24"/>
        </w:rPr>
        <w:t xml:space="preserve"> This requires additional and specific discussion, at least in this case. </w:t>
      </w:r>
      <w:r w:rsidR="007D0B22">
        <w:rPr>
          <w:rFonts w:ascii="Arial" w:hAnsi="Arial" w:cs="Arial"/>
          <w:sz w:val="24"/>
          <w:szCs w:val="24"/>
        </w:rPr>
        <w:t xml:space="preserve"> The panel considers that the committee might be assisted by considering how its processes and its guidance would be seen by patient groups or clinicians, or other stakeholders, and what degree of additional reasoning they would expect to see so that they can understand and have confidence in the Institute’s work</w:t>
      </w:r>
      <w:r w:rsidR="001D0181">
        <w:rPr>
          <w:rFonts w:ascii="Arial" w:hAnsi="Arial" w:cs="Arial"/>
          <w:sz w:val="24"/>
          <w:szCs w:val="24"/>
        </w:rPr>
        <w:t>.</w:t>
      </w:r>
      <w:r w:rsidR="007D0B22">
        <w:rPr>
          <w:rFonts w:ascii="Arial" w:hAnsi="Arial" w:cs="Arial"/>
          <w:sz w:val="24"/>
          <w:szCs w:val="24"/>
        </w:rPr>
        <w:t xml:space="preserve"> </w:t>
      </w:r>
    </w:p>
    <w:p w14:paraId="47BA3E7A" w14:textId="77777777" w:rsidR="007D0B22" w:rsidRPr="005F4A47" w:rsidRDefault="007D0B22" w:rsidP="005F4A47">
      <w:pPr>
        <w:pStyle w:val="ListParagraph"/>
        <w:rPr>
          <w:rFonts w:ascii="Arial" w:hAnsi="Arial" w:cs="Arial"/>
          <w:sz w:val="24"/>
          <w:szCs w:val="24"/>
        </w:rPr>
      </w:pPr>
    </w:p>
    <w:p w14:paraId="4EFB9D85" w14:textId="6A022F2C" w:rsidR="00396997" w:rsidRDefault="00196932" w:rsidP="00F72E21">
      <w:pPr>
        <w:pStyle w:val="ListParagraph"/>
        <w:numPr>
          <w:ilvl w:val="0"/>
          <w:numId w:val="21"/>
        </w:numPr>
        <w:spacing w:after="0" w:line="240" w:lineRule="auto"/>
        <w:rPr>
          <w:rFonts w:ascii="Arial" w:hAnsi="Arial" w:cs="Arial"/>
          <w:sz w:val="24"/>
          <w:szCs w:val="24"/>
        </w:rPr>
      </w:pPr>
      <w:r w:rsidRPr="00916D8C">
        <w:rPr>
          <w:rFonts w:ascii="Arial" w:hAnsi="Arial" w:cs="Arial"/>
          <w:sz w:val="24"/>
          <w:szCs w:val="24"/>
        </w:rPr>
        <w:t>If the</w:t>
      </w:r>
      <w:r w:rsidR="007D0B22">
        <w:rPr>
          <w:rFonts w:ascii="Arial" w:hAnsi="Arial" w:cs="Arial"/>
          <w:sz w:val="24"/>
          <w:szCs w:val="24"/>
        </w:rPr>
        <w:t xml:space="preserve"> Committee</w:t>
      </w:r>
      <w:r w:rsidRPr="00916D8C">
        <w:rPr>
          <w:rFonts w:ascii="Arial" w:hAnsi="Arial" w:cs="Arial"/>
          <w:sz w:val="24"/>
          <w:szCs w:val="24"/>
        </w:rPr>
        <w:t xml:space="preserve"> conclude that a different approach is needed </w:t>
      </w:r>
      <w:r w:rsidR="001949FD" w:rsidRPr="00916D8C">
        <w:rPr>
          <w:rFonts w:ascii="Arial" w:hAnsi="Arial" w:cs="Arial"/>
          <w:sz w:val="24"/>
          <w:szCs w:val="24"/>
        </w:rPr>
        <w:t>from that taken in previous appraisals this should</w:t>
      </w:r>
      <w:r w:rsidR="00372250" w:rsidRPr="00916D8C">
        <w:rPr>
          <w:rFonts w:ascii="Arial" w:hAnsi="Arial" w:cs="Arial"/>
          <w:sz w:val="24"/>
          <w:szCs w:val="24"/>
        </w:rPr>
        <w:t xml:space="preserve"> be clearly justified.  The company should be given a chance to respond to the committee’s concern that the costs of pembrolizumab may have been under-estimated in the model. The company’s response </w:t>
      </w:r>
      <w:r w:rsidR="00916D8C" w:rsidRPr="00916D8C">
        <w:rPr>
          <w:rFonts w:ascii="Arial" w:hAnsi="Arial" w:cs="Arial"/>
          <w:sz w:val="24"/>
          <w:szCs w:val="24"/>
        </w:rPr>
        <w:t>should</w:t>
      </w:r>
      <w:r w:rsidR="00372250" w:rsidRPr="00916D8C">
        <w:rPr>
          <w:rFonts w:ascii="Arial" w:hAnsi="Arial" w:cs="Arial"/>
          <w:sz w:val="24"/>
          <w:szCs w:val="24"/>
        </w:rPr>
        <w:t xml:space="preserve"> be considered in </w:t>
      </w:r>
      <w:r w:rsidR="00C61910" w:rsidRPr="00916D8C">
        <w:rPr>
          <w:rFonts w:ascii="Arial" w:hAnsi="Arial" w:cs="Arial"/>
          <w:sz w:val="24"/>
          <w:szCs w:val="24"/>
        </w:rPr>
        <w:t xml:space="preserve">reaching a final decision.  The committee should re-consider how potential biases in the 2-stage method </w:t>
      </w:r>
      <w:r w:rsidR="00597E33">
        <w:rPr>
          <w:rFonts w:ascii="Arial" w:hAnsi="Arial" w:cs="Arial"/>
          <w:sz w:val="24"/>
          <w:szCs w:val="24"/>
        </w:rPr>
        <w:t xml:space="preserve">could </w:t>
      </w:r>
      <w:r w:rsidR="00C61910" w:rsidRPr="00916D8C">
        <w:rPr>
          <w:rFonts w:ascii="Arial" w:hAnsi="Arial" w:cs="Arial"/>
          <w:sz w:val="24"/>
          <w:szCs w:val="24"/>
        </w:rPr>
        <w:t>be addressed</w:t>
      </w:r>
      <w:r w:rsidR="00597E33">
        <w:rPr>
          <w:rFonts w:ascii="Arial" w:hAnsi="Arial" w:cs="Arial"/>
          <w:sz w:val="24"/>
          <w:szCs w:val="24"/>
        </w:rPr>
        <w:t xml:space="preserve"> </w:t>
      </w:r>
      <w:r w:rsidR="001F53E7">
        <w:rPr>
          <w:rFonts w:ascii="Arial" w:hAnsi="Arial" w:cs="Arial"/>
          <w:sz w:val="24"/>
          <w:szCs w:val="24"/>
        </w:rPr>
        <w:t xml:space="preserve">and </w:t>
      </w:r>
      <w:r w:rsidR="00597E33">
        <w:rPr>
          <w:rFonts w:ascii="Arial" w:hAnsi="Arial" w:cs="Arial"/>
          <w:sz w:val="24"/>
          <w:szCs w:val="24"/>
        </w:rPr>
        <w:t>re-</w:t>
      </w:r>
      <w:r w:rsidR="001F53E7">
        <w:rPr>
          <w:rFonts w:ascii="Arial" w:hAnsi="Arial" w:cs="Arial"/>
          <w:sz w:val="24"/>
          <w:szCs w:val="24"/>
        </w:rPr>
        <w:t>consider</w:t>
      </w:r>
      <w:r w:rsidR="00C61910" w:rsidRPr="00916D8C">
        <w:rPr>
          <w:rFonts w:ascii="Arial" w:hAnsi="Arial" w:cs="Arial"/>
          <w:sz w:val="24"/>
          <w:szCs w:val="24"/>
        </w:rPr>
        <w:t xml:space="preserve"> the </w:t>
      </w:r>
      <w:r w:rsidR="00916D8C" w:rsidRPr="00916D8C">
        <w:rPr>
          <w:rFonts w:ascii="Arial" w:hAnsi="Arial" w:cs="Arial"/>
          <w:sz w:val="24"/>
          <w:szCs w:val="24"/>
        </w:rPr>
        <w:t>relative</w:t>
      </w:r>
      <w:r w:rsidR="00C61910" w:rsidRPr="00916D8C">
        <w:rPr>
          <w:rFonts w:ascii="Arial" w:hAnsi="Arial" w:cs="Arial"/>
          <w:sz w:val="24"/>
          <w:szCs w:val="24"/>
        </w:rPr>
        <w:t xml:space="preserve"> weight given to the 2-stage </w:t>
      </w:r>
      <w:r w:rsidR="00916D8C" w:rsidRPr="00916D8C">
        <w:rPr>
          <w:rFonts w:ascii="Arial" w:hAnsi="Arial" w:cs="Arial"/>
          <w:sz w:val="24"/>
          <w:szCs w:val="24"/>
        </w:rPr>
        <w:t>method</w:t>
      </w:r>
      <w:r w:rsidR="00C61910" w:rsidRPr="00916D8C">
        <w:rPr>
          <w:rFonts w:ascii="Arial" w:hAnsi="Arial" w:cs="Arial"/>
          <w:sz w:val="24"/>
          <w:szCs w:val="24"/>
        </w:rPr>
        <w:t xml:space="preserve"> versus other</w:t>
      </w:r>
      <w:r w:rsidR="00916D8C" w:rsidRPr="00916D8C">
        <w:rPr>
          <w:rFonts w:ascii="Arial" w:hAnsi="Arial" w:cs="Arial"/>
          <w:sz w:val="24"/>
          <w:szCs w:val="24"/>
        </w:rPr>
        <w:t xml:space="preserve"> models in their decision-making. </w:t>
      </w:r>
      <w:r w:rsidR="00C61910" w:rsidRPr="00916D8C">
        <w:rPr>
          <w:rFonts w:ascii="Arial" w:hAnsi="Arial" w:cs="Arial"/>
          <w:sz w:val="24"/>
          <w:szCs w:val="24"/>
        </w:rPr>
        <w:t xml:space="preserve"> </w:t>
      </w:r>
    </w:p>
    <w:p w14:paraId="25D6D0EF" w14:textId="77777777" w:rsidR="00916D8C" w:rsidRPr="00916D8C" w:rsidRDefault="00916D8C" w:rsidP="00916D8C">
      <w:pPr>
        <w:spacing w:after="0" w:line="240" w:lineRule="auto"/>
        <w:rPr>
          <w:rFonts w:ascii="Arial" w:hAnsi="Arial" w:cs="Arial"/>
          <w:sz w:val="24"/>
          <w:szCs w:val="24"/>
        </w:rPr>
      </w:pPr>
    </w:p>
    <w:p w14:paraId="3D1A1D97" w14:textId="77777777" w:rsidR="00396997" w:rsidRPr="0053499F" w:rsidRDefault="00396997" w:rsidP="00D02918">
      <w:pPr>
        <w:pStyle w:val="ListParagraph"/>
        <w:numPr>
          <w:ilvl w:val="0"/>
          <w:numId w:val="21"/>
        </w:numPr>
        <w:spacing w:after="0" w:line="240" w:lineRule="auto"/>
        <w:rPr>
          <w:rFonts w:ascii="Arial" w:hAnsi="Arial" w:cs="Arial"/>
          <w:sz w:val="24"/>
          <w:szCs w:val="24"/>
        </w:rPr>
      </w:pPr>
      <w:r w:rsidRPr="0053499F">
        <w:rPr>
          <w:rFonts w:ascii="Arial" w:hAnsi="Arial" w:cs="Arial"/>
          <w:sz w:val="24"/>
          <w:szCs w:val="24"/>
        </w:rPr>
        <w:t xml:space="preserve">There is no possibility of further appeal against this decision of the </w:t>
      </w:r>
      <w:r w:rsidR="009B59C2" w:rsidRPr="0053499F">
        <w:rPr>
          <w:rFonts w:ascii="Arial" w:hAnsi="Arial" w:cs="Arial"/>
          <w:sz w:val="24"/>
          <w:szCs w:val="24"/>
        </w:rPr>
        <w:t>a</w:t>
      </w:r>
      <w:r w:rsidRPr="0053499F">
        <w:rPr>
          <w:rFonts w:ascii="Arial" w:hAnsi="Arial" w:cs="Arial"/>
          <w:sz w:val="24"/>
          <w:szCs w:val="24"/>
        </w:rPr>
        <w:t xml:space="preserve">ppeal </w:t>
      </w:r>
      <w:r w:rsidR="009B59C2" w:rsidRPr="0053499F">
        <w:rPr>
          <w:rFonts w:ascii="Arial" w:hAnsi="Arial" w:cs="Arial"/>
          <w:sz w:val="24"/>
          <w:szCs w:val="24"/>
        </w:rPr>
        <w:t>p</w:t>
      </w:r>
      <w:r w:rsidRPr="0053499F">
        <w:rPr>
          <w:rFonts w:ascii="Arial" w:hAnsi="Arial" w:cs="Arial"/>
          <w:sz w:val="24"/>
          <w:szCs w:val="24"/>
        </w:rPr>
        <w:t xml:space="preserve">anel. However, this decision and NICE’s decision to issue the final guidance may be challenged by applying to the High Court for permission to apply for a judicial review. Any such application must be made within three months of </w:t>
      </w:r>
      <w:r w:rsidR="00B30A03" w:rsidRPr="0053499F">
        <w:rPr>
          <w:rFonts w:ascii="Arial" w:hAnsi="Arial" w:cs="Arial"/>
          <w:sz w:val="24"/>
          <w:szCs w:val="24"/>
        </w:rPr>
        <w:t xml:space="preserve">NICE </w:t>
      </w:r>
      <w:r w:rsidRPr="0053499F">
        <w:rPr>
          <w:rFonts w:ascii="Arial" w:hAnsi="Arial" w:cs="Arial"/>
          <w:sz w:val="24"/>
          <w:szCs w:val="24"/>
        </w:rPr>
        <w:t>publishing the final guidance.</w:t>
      </w:r>
    </w:p>
    <w:p w14:paraId="20D9A0C6" w14:textId="77777777" w:rsidR="00396997" w:rsidRPr="005F4A47" w:rsidRDefault="00396997" w:rsidP="005F4A47">
      <w:pPr>
        <w:spacing w:after="0" w:line="240" w:lineRule="auto"/>
        <w:rPr>
          <w:rFonts w:ascii="Arial" w:hAnsi="Arial" w:cs="Arial"/>
          <w:sz w:val="24"/>
          <w:szCs w:val="24"/>
        </w:rPr>
      </w:pPr>
    </w:p>
    <w:sectPr w:rsidR="00396997" w:rsidRPr="005F4A47" w:rsidSect="001714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45597" w14:textId="77777777" w:rsidR="004C3B8A" w:rsidRDefault="004C3B8A" w:rsidP="00446BEE">
      <w:r>
        <w:separator/>
      </w:r>
    </w:p>
  </w:endnote>
  <w:endnote w:type="continuationSeparator" w:id="0">
    <w:p w14:paraId="234F353A" w14:textId="77777777" w:rsidR="004C3B8A" w:rsidRDefault="004C3B8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CF9B5" w14:textId="1B36F5E2" w:rsidR="00A17A15" w:rsidRDefault="00A17A15">
    <w:pPr>
      <w:pStyle w:val="Footer"/>
    </w:pPr>
    <w:r>
      <w:tab/>
    </w:r>
    <w:r>
      <w:tab/>
    </w:r>
    <w:r>
      <w:fldChar w:fldCharType="begin"/>
    </w:r>
    <w:r>
      <w:instrText xml:space="preserve"> PAGE </w:instrText>
    </w:r>
    <w:r>
      <w:fldChar w:fldCharType="separate"/>
    </w:r>
    <w:r w:rsidR="005F4A47">
      <w:rPr>
        <w:noProof/>
      </w:rPr>
      <w:t>19</w:t>
    </w:r>
    <w:r>
      <w:fldChar w:fldCharType="end"/>
    </w:r>
    <w:r>
      <w:t xml:space="preserve"> of </w:t>
    </w:r>
    <w:fldSimple w:instr=" NUMPAGES  ">
      <w:r w:rsidR="005F4A47">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A434E" w14:textId="77777777" w:rsidR="004C3B8A" w:rsidRDefault="004C3B8A" w:rsidP="00446BEE">
      <w:r>
        <w:separator/>
      </w:r>
    </w:p>
  </w:footnote>
  <w:footnote w:type="continuationSeparator" w:id="0">
    <w:p w14:paraId="7E7283E8" w14:textId="77777777" w:rsidR="004C3B8A" w:rsidRDefault="004C3B8A"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77F21"/>
    <w:multiLevelType w:val="hybridMultilevel"/>
    <w:tmpl w:val="FFC00188"/>
    <w:lvl w:ilvl="0" w:tplc="F9284020">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8E0743"/>
    <w:multiLevelType w:val="hybridMultilevel"/>
    <w:tmpl w:val="5EE4AA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503EB"/>
    <w:multiLevelType w:val="hybridMultilevel"/>
    <w:tmpl w:val="4BFC7ECC"/>
    <w:lvl w:ilvl="0" w:tplc="E9F63234">
      <w:start w:val="1"/>
      <w:numFmt w:val="decimal"/>
      <w:lvlText w:val="%1."/>
      <w:lvlJc w:val="left"/>
      <w:pPr>
        <w:ind w:left="360" w:hanging="360"/>
      </w:pPr>
      <w:rPr>
        <w:rFonts w:ascii="Arial" w:hAnsi="Arial" w:cs="Arial" w:hint="default"/>
        <w:b w:val="0"/>
        <w:i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F27B1D"/>
    <w:multiLevelType w:val="hybridMultilevel"/>
    <w:tmpl w:val="66C4DA22"/>
    <w:lvl w:ilvl="0" w:tplc="F9284020">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F63400"/>
    <w:multiLevelType w:val="hybridMultilevel"/>
    <w:tmpl w:val="BEC05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F07A5"/>
    <w:multiLevelType w:val="hybridMultilevel"/>
    <w:tmpl w:val="F1084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BD1EE9"/>
    <w:multiLevelType w:val="hybridMultilevel"/>
    <w:tmpl w:val="3346731C"/>
    <w:lvl w:ilvl="0" w:tplc="97A4165E">
      <w:start w:val="1"/>
      <w:numFmt w:val="lowerLetter"/>
      <w:lvlText w:val="%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49B2551"/>
    <w:multiLevelType w:val="hybridMultilevel"/>
    <w:tmpl w:val="8780C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7416B"/>
    <w:multiLevelType w:val="hybridMultilevel"/>
    <w:tmpl w:val="C31EDF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2A41B99"/>
    <w:multiLevelType w:val="hybridMultilevel"/>
    <w:tmpl w:val="8EAC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6076D3"/>
    <w:multiLevelType w:val="hybridMultilevel"/>
    <w:tmpl w:val="37A05FE8"/>
    <w:lvl w:ilvl="0" w:tplc="F9284020">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2E2B35"/>
    <w:multiLevelType w:val="hybridMultilevel"/>
    <w:tmpl w:val="66C4DA22"/>
    <w:lvl w:ilvl="0" w:tplc="F9284020">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D0A52"/>
    <w:multiLevelType w:val="hybridMultilevel"/>
    <w:tmpl w:val="1C14B29C"/>
    <w:lvl w:ilvl="0" w:tplc="8614146E">
      <w:start w:val="1"/>
      <w:numFmt w:val="decimal"/>
      <w:lvlText w:val="%1."/>
      <w:lvlJc w:val="left"/>
      <w:pPr>
        <w:ind w:left="36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7E339B"/>
    <w:multiLevelType w:val="hybridMultilevel"/>
    <w:tmpl w:val="1A8EFDF8"/>
    <w:lvl w:ilvl="0" w:tplc="E9F63234">
      <w:start w:val="1"/>
      <w:numFmt w:val="decimal"/>
      <w:lvlText w:val="%1."/>
      <w:lvlJc w:val="left"/>
      <w:pPr>
        <w:ind w:left="360" w:hanging="360"/>
      </w:pPr>
      <w:rPr>
        <w:rFonts w:ascii="Arial" w:hAnsi="Arial" w:cs="Arial" w:hint="default"/>
        <w:b w:val="0"/>
        <w:i w:val="0"/>
        <w:color w:val="auto"/>
        <w:sz w:val="24"/>
        <w:szCs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4"/>
  </w:num>
  <w:num w:numId="22">
    <w:abstractNumId w:val="18"/>
  </w:num>
  <w:num w:numId="23">
    <w:abstractNumId w:val="19"/>
  </w:num>
  <w:num w:numId="24">
    <w:abstractNumId w:val="16"/>
  </w:num>
  <w:num w:numId="25">
    <w:abstractNumId w:val="26"/>
  </w:num>
  <w:num w:numId="26">
    <w:abstractNumId w:val="10"/>
  </w:num>
  <w:num w:numId="27">
    <w:abstractNumId w:val="24"/>
  </w:num>
  <w:num w:numId="28">
    <w:abstractNumId w:val="22"/>
  </w:num>
  <w:num w:numId="29">
    <w:abstractNumId w:val="21"/>
  </w:num>
  <w:num w:numId="30">
    <w:abstractNumId w:val="12"/>
  </w:num>
  <w:num w:numId="31">
    <w:abstractNumId w:val="15"/>
  </w:num>
  <w:num w:numId="32">
    <w:abstractNumId w:val="17"/>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DF"/>
    <w:rsid w:val="000000AD"/>
    <w:rsid w:val="000001E6"/>
    <w:rsid w:val="00003DE5"/>
    <w:rsid w:val="00004EFA"/>
    <w:rsid w:val="000053F8"/>
    <w:rsid w:val="00010DCA"/>
    <w:rsid w:val="00012D2F"/>
    <w:rsid w:val="0001482E"/>
    <w:rsid w:val="00014856"/>
    <w:rsid w:val="000166A3"/>
    <w:rsid w:val="00016A19"/>
    <w:rsid w:val="000232F4"/>
    <w:rsid w:val="00023EA4"/>
    <w:rsid w:val="00024129"/>
    <w:rsid w:val="00024D0A"/>
    <w:rsid w:val="00025772"/>
    <w:rsid w:val="00026C21"/>
    <w:rsid w:val="00040179"/>
    <w:rsid w:val="00040A90"/>
    <w:rsid w:val="000433C0"/>
    <w:rsid w:val="00043A3C"/>
    <w:rsid w:val="00043FD9"/>
    <w:rsid w:val="000472DC"/>
    <w:rsid w:val="00051B35"/>
    <w:rsid w:val="00054BB9"/>
    <w:rsid w:val="00055A8B"/>
    <w:rsid w:val="000617CB"/>
    <w:rsid w:val="0006624F"/>
    <w:rsid w:val="00066E00"/>
    <w:rsid w:val="000674C2"/>
    <w:rsid w:val="00070065"/>
    <w:rsid w:val="0007088E"/>
    <w:rsid w:val="00074C6A"/>
    <w:rsid w:val="000765EF"/>
    <w:rsid w:val="00080B21"/>
    <w:rsid w:val="000846A8"/>
    <w:rsid w:val="00085A16"/>
    <w:rsid w:val="00086BE7"/>
    <w:rsid w:val="0009040E"/>
    <w:rsid w:val="00091FF5"/>
    <w:rsid w:val="00096D84"/>
    <w:rsid w:val="000A0F8C"/>
    <w:rsid w:val="000A332C"/>
    <w:rsid w:val="000A4FEE"/>
    <w:rsid w:val="000A5C80"/>
    <w:rsid w:val="000A7F8C"/>
    <w:rsid w:val="000B300A"/>
    <w:rsid w:val="000B351D"/>
    <w:rsid w:val="000B428B"/>
    <w:rsid w:val="000B5139"/>
    <w:rsid w:val="000B5527"/>
    <w:rsid w:val="000B5939"/>
    <w:rsid w:val="000B5C88"/>
    <w:rsid w:val="000B7630"/>
    <w:rsid w:val="000C2792"/>
    <w:rsid w:val="000C598B"/>
    <w:rsid w:val="000D07CE"/>
    <w:rsid w:val="000D1B74"/>
    <w:rsid w:val="000E5940"/>
    <w:rsid w:val="000F2248"/>
    <w:rsid w:val="000F2419"/>
    <w:rsid w:val="001005D4"/>
    <w:rsid w:val="00100FBF"/>
    <w:rsid w:val="00105CDF"/>
    <w:rsid w:val="00107078"/>
    <w:rsid w:val="00111ACF"/>
    <w:rsid w:val="00111CCE"/>
    <w:rsid w:val="00111F8E"/>
    <w:rsid w:val="001134E7"/>
    <w:rsid w:val="001202D4"/>
    <w:rsid w:val="001250F1"/>
    <w:rsid w:val="00130800"/>
    <w:rsid w:val="00134645"/>
    <w:rsid w:val="00140A6A"/>
    <w:rsid w:val="00141B1A"/>
    <w:rsid w:val="00142B39"/>
    <w:rsid w:val="00152003"/>
    <w:rsid w:val="001528CC"/>
    <w:rsid w:val="00155951"/>
    <w:rsid w:val="00157489"/>
    <w:rsid w:val="0016398C"/>
    <w:rsid w:val="001639CB"/>
    <w:rsid w:val="00163A8E"/>
    <w:rsid w:val="00166ADB"/>
    <w:rsid w:val="00167D23"/>
    <w:rsid w:val="0017149E"/>
    <w:rsid w:val="0017169E"/>
    <w:rsid w:val="001743C2"/>
    <w:rsid w:val="00175483"/>
    <w:rsid w:val="00175EE4"/>
    <w:rsid w:val="00181A4A"/>
    <w:rsid w:val="00184A72"/>
    <w:rsid w:val="00186AF5"/>
    <w:rsid w:val="001914E6"/>
    <w:rsid w:val="001949FD"/>
    <w:rsid w:val="00196932"/>
    <w:rsid w:val="001A35F7"/>
    <w:rsid w:val="001A4CA9"/>
    <w:rsid w:val="001A6117"/>
    <w:rsid w:val="001B0026"/>
    <w:rsid w:val="001B0EE9"/>
    <w:rsid w:val="001B4BDF"/>
    <w:rsid w:val="001B6255"/>
    <w:rsid w:val="001B65B3"/>
    <w:rsid w:val="001C169D"/>
    <w:rsid w:val="001C4E71"/>
    <w:rsid w:val="001C6F8D"/>
    <w:rsid w:val="001D0181"/>
    <w:rsid w:val="001D1D88"/>
    <w:rsid w:val="001D6C0E"/>
    <w:rsid w:val="001D6D7F"/>
    <w:rsid w:val="001F39B4"/>
    <w:rsid w:val="001F3E3E"/>
    <w:rsid w:val="001F53E7"/>
    <w:rsid w:val="001F5B2A"/>
    <w:rsid w:val="002029A6"/>
    <w:rsid w:val="00203AF5"/>
    <w:rsid w:val="0020656F"/>
    <w:rsid w:val="00210199"/>
    <w:rsid w:val="00220E75"/>
    <w:rsid w:val="00224BC0"/>
    <w:rsid w:val="0023190E"/>
    <w:rsid w:val="00231CF7"/>
    <w:rsid w:val="00234F59"/>
    <w:rsid w:val="00236315"/>
    <w:rsid w:val="00236569"/>
    <w:rsid w:val="002408EA"/>
    <w:rsid w:val="00240E60"/>
    <w:rsid w:val="00240F26"/>
    <w:rsid w:val="002473F7"/>
    <w:rsid w:val="00251812"/>
    <w:rsid w:val="00251E46"/>
    <w:rsid w:val="002534E7"/>
    <w:rsid w:val="00261C57"/>
    <w:rsid w:val="002623C4"/>
    <w:rsid w:val="00265914"/>
    <w:rsid w:val="00270536"/>
    <w:rsid w:val="002733D9"/>
    <w:rsid w:val="00274702"/>
    <w:rsid w:val="00280622"/>
    <w:rsid w:val="002806C1"/>
    <w:rsid w:val="002819D7"/>
    <w:rsid w:val="002829DD"/>
    <w:rsid w:val="002854CE"/>
    <w:rsid w:val="00291F01"/>
    <w:rsid w:val="00293F48"/>
    <w:rsid w:val="00294694"/>
    <w:rsid w:val="00295B6C"/>
    <w:rsid w:val="002A2C1C"/>
    <w:rsid w:val="002A6A62"/>
    <w:rsid w:val="002A6B02"/>
    <w:rsid w:val="002B1F0A"/>
    <w:rsid w:val="002B22A9"/>
    <w:rsid w:val="002B2F65"/>
    <w:rsid w:val="002B5C05"/>
    <w:rsid w:val="002B6A0F"/>
    <w:rsid w:val="002C0E15"/>
    <w:rsid w:val="002C0F4C"/>
    <w:rsid w:val="002C1A7E"/>
    <w:rsid w:val="002C4347"/>
    <w:rsid w:val="002D2039"/>
    <w:rsid w:val="002D3376"/>
    <w:rsid w:val="002D6C10"/>
    <w:rsid w:val="002D7BB4"/>
    <w:rsid w:val="002E3833"/>
    <w:rsid w:val="002E53E5"/>
    <w:rsid w:val="002F02E2"/>
    <w:rsid w:val="002F1FD6"/>
    <w:rsid w:val="002F284B"/>
    <w:rsid w:val="00301E6F"/>
    <w:rsid w:val="00301F7B"/>
    <w:rsid w:val="00304022"/>
    <w:rsid w:val="00311ED0"/>
    <w:rsid w:val="00314F29"/>
    <w:rsid w:val="0032314F"/>
    <w:rsid w:val="00331F9B"/>
    <w:rsid w:val="003331AB"/>
    <w:rsid w:val="00335854"/>
    <w:rsid w:val="00337E84"/>
    <w:rsid w:val="0034116F"/>
    <w:rsid w:val="00342F9E"/>
    <w:rsid w:val="00343A94"/>
    <w:rsid w:val="00345F94"/>
    <w:rsid w:val="00351E66"/>
    <w:rsid w:val="003569E2"/>
    <w:rsid w:val="0036028C"/>
    <w:rsid w:val="00361499"/>
    <w:rsid w:val="003630D7"/>
    <w:rsid w:val="003648C5"/>
    <w:rsid w:val="00367E49"/>
    <w:rsid w:val="003716A3"/>
    <w:rsid w:val="00372250"/>
    <w:rsid w:val="003722FA"/>
    <w:rsid w:val="0037619B"/>
    <w:rsid w:val="0037792E"/>
    <w:rsid w:val="00380369"/>
    <w:rsid w:val="00380406"/>
    <w:rsid w:val="003830ED"/>
    <w:rsid w:val="00386355"/>
    <w:rsid w:val="00391AD9"/>
    <w:rsid w:val="003960D0"/>
    <w:rsid w:val="00396997"/>
    <w:rsid w:val="003A1538"/>
    <w:rsid w:val="003A4F94"/>
    <w:rsid w:val="003A797C"/>
    <w:rsid w:val="003B1C3B"/>
    <w:rsid w:val="003B3416"/>
    <w:rsid w:val="003B45EF"/>
    <w:rsid w:val="003B4A63"/>
    <w:rsid w:val="003B52EE"/>
    <w:rsid w:val="003B59A0"/>
    <w:rsid w:val="003B6F60"/>
    <w:rsid w:val="003C3EFF"/>
    <w:rsid w:val="003C7AAF"/>
    <w:rsid w:val="003D2E6E"/>
    <w:rsid w:val="003D3A81"/>
    <w:rsid w:val="003E009D"/>
    <w:rsid w:val="003E413E"/>
    <w:rsid w:val="003E560E"/>
    <w:rsid w:val="003E6DA3"/>
    <w:rsid w:val="003E759E"/>
    <w:rsid w:val="003F0091"/>
    <w:rsid w:val="003F2229"/>
    <w:rsid w:val="003F3FCB"/>
    <w:rsid w:val="00401301"/>
    <w:rsid w:val="004022D2"/>
    <w:rsid w:val="00405927"/>
    <w:rsid w:val="004075B6"/>
    <w:rsid w:val="004132A0"/>
    <w:rsid w:val="00413EC0"/>
    <w:rsid w:val="00414076"/>
    <w:rsid w:val="004155A9"/>
    <w:rsid w:val="00416969"/>
    <w:rsid w:val="00417EDC"/>
    <w:rsid w:val="00420952"/>
    <w:rsid w:val="00423D5C"/>
    <w:rsid w:val="00430B9D"/>
    <w:rsid w:val="0043132C"/>
    <w:rsid w:val="00433CCD"/>
    <w:rsid w:val="00433EFF"/>
    <w:rsid w:val="00437B30"/>
    <w:rsid w:val="00441BE4"/>
    <w:rsid w:val="00443081"/>
    <w:rsid w:val="00444D6A"/>
    <w:rsid w:val="00445AB6"/>
    <w:rsid w:val="004465CD"/>
    <w:rsid w:val="00446BEE"/>
    <w:rsid w:val="00447487"/>
    <w:rsid w:val="00450C54"/>
    <w:rsid w:val="004525BE"/>
    <w:rsid w:val="00453B8F"/>
    <w:rsid w:val="00461836"/>
    <w:rsid w:val="00461C0E"/>
    <w:rsid w:val="004661E7"/>
    <w:rsid w:val="004720FF"/>
    <w:rsid w:val="00472376"/>
    <w:rsid w:val="00472605"/>
    <w:rsid w:val="0047368F"/>
    <w:rsid w:val="00481D29"/>
    <w:rsid w:val="0049037D"/>
    <w:rsid w:val="00497387"/>
    <w:rsid w:val="004A4E08"/>
    <w:rsid w:val="004B0097"/>
    <w:rsid w:val="004B4F8F"/>
    <w:rsid w:val="004C1240"/>
    <w:rsid w:val="004C1A6E"/>
    <w:rsid w:val="004C3B8A"/>
    <w:rsid w:val="004C4FD5"/>
    <w:rsid w:val="004C50FF"/>
    <w:rsid w:val="004C7A3C"/>
    <w:rsid w:val="004C7C9F"/>
    <w:rsid w:val="004D06C7"/>
    <w:rsid w:val="004D4248"/>
    <w:rsid w:val="004D49E4"/>
    <w:rsid w:val="004D6025"/>
    <w:rsid w:val="004E65AF"/>
    <w:rsid w:val="004F070A"/>
    <w:rsid w:val="004F1407"/>
    <w:rsid w:val="004F4338"/>
    <w:rsid w:val="004F606C"/>
    <w:rsid w:val="00500C26"/>
    <w:rsid w:val="00502552"/>
    <w:rsid w:val="005025A1"/>
    <w:rsid w:val="00502A3E"/>
    <w:rsid w:val="00504AAB"/>
    <w:rsid w:val="0051225E"/>
    <w:rsid w:val="00514924"/>
    <w:rsid w:val="00515C67"/>
    <w:rsid w:val="00520972"/>
    <w:rsid w:val="00520B1E"/>
    <w:rsid w:val="00521404"/>
    <w:rsid w:val="00522AA0"/>
    <w:rsid w:val="005241E2"/>
    <w:rsid w:val="00524528"/>
    <w:rsid w:val="005246B8"/>
    <w:rsid w:val="00524EB7"/>
    <w:rsid w:val="00526470"/>
    <w:rsid w:val="0053499F"/>
    <w:rsid w:val="00535CF8"/>
    <w:rsid w:val="005442AC"/>
    <w:rsid w:val="005448A4"/>
    <w:rsid w:val="00547510"/>
    <w:rsid w:val="00547910"/>
    <w:rsid w:val="00550B6D"/>
    <w:rsid w:val="00561B53"/>
    <w:rsid w:val="00565080"/>
    <w:rsid w:val="00570035"/>
    <w:rsid w:val="00570C77"/>
    <w:rsid w:val="005749F0"/>
    <w:rsid w:val="00580D8F"/>
    <w:rsid w:val="00582FE7"/>
    <w:rsid w:val="00590410"/>
    <w:rsid w:val="005920A0"/>
    <w:rsid w:val="005934C8"/>
    <w:rsid w:val="005937ED"/>
    <w:rsid w:val="00597CBF"/>
    <w:rsid w:val="00597E33"/>
    <w:rsid w:val="005A40B5"/>
    <w:rsid w:val="005A558B"/>
    <w:rsid w:val="005B256A"/>
    <w:rsid w:val="005B3394"/>
    <w:rsid w:val="005B3B2E"/>
    <w:rsid w:val="005C107E"/>
    <w:rsid w:val="005C37DE"/>
    <w:rsid w:val="005C66A1"/>
    <w:rsid w:val="005C6DA5"/>
    <w:rsid w:val="005C7DF2"/>
    <w:rsid w:val="005C7F87"/>
    <w:rsid w:val="005D0F5C"/>
    <w:rsid w:val="005D13A0"/>
    <w:rsid w:val="005D7053"/>
    <w:rsid w:val="005E2739"/>
    <w:rsid w:val="005F3CA0"/>
    <w:rsid w:val="005F4A47"/>
    <w:rsid w:val="005F4B7E"/>
    <w:rsid w:val="005F6D08"/>
    <w:rsid w:val="005F6F2D"/>
    <w:rsid w:val="00601A1C"/>
    <w:rsid w:val="006030CF"/>
    <w:rsid w:val="006101C5"/>
    <w:rsid w:val="00611BF5"/>
    <w:rsid w:val="00613293"/>
    <w:rsid w:val="006159A2"/>
    <w:rsid w:val="006211AC"/>
    <w:rsid w:val="00621738"/>
    <w:rsid w:val="00622AB2"/>
    <w:rsid w:val="00623C30"/>
    <w:rsid w:val="00626E5A"/>
    <w:rsid w:val="00627AE4"/>
    <w:rsid w:val="00653093"/>
    <w:rsid w:val="00653226"/>
    <w:rsid w:val="006549C3"/>
    <w:rsid w:val="00656018"/>
    <w:rsid w:val="00657CB5"/>
    <w:rsid w:val="00667178"/>
    <w:rsid w:val="006707A6"/>
    <w:rsid w:val="006712A6"/>
    <w:rsid w:val="00673174"/>
    <w:rsid w:val="00675BFA"/>
    <w:rsid w:val="0068290D"/>
    <w:rsid w:val="006840DB"/>
    <w:rsid w:val="00685341"/>
    <w:rsid w:val="006910FE"/>
    <w:rsid w:val="00691ACA"/>
    <w:rsid w:val="006921E1"/>
    <w:rsid w:val="006937CA"/>
    <w:rsid w:val="0069598E"/>
    <w:rsid w:val="006972A8"/>
    <w:rsid w:val="006B1EE4"/>
    <w:rsid w:val="006B5335"/>
    <w:rsid w:val="006B7515"/>
    <w:rsid w:val="006C23BF"/>
    <w:rsid w:val="006C6A68"/>
    <w:rsid w:val="006D02A8"/>
    <w:rsid w:val="006E6F93"/>
    <w:rsid w:val="006F19D4"/>
    <w:rsid w:val="006F35F4"/>
    <w:rsid w:val="006F3B86"/>
    <w:rsid w:val="006F4B25"/>
    <w:rsid w:val="006F6496"/>
    <w:rsid w:val="00712DE3"/>
    <w:rsid w:val="00712E98"/>
    <w:rsid w:val="00714D31"/>
    <w:rsid w:val="00726129"/>
    <w:rsid w:val="00726DC3"/>
    <w:rsid w:val="00736348"/>
    <w:rsid w:val="00741EE2"/>
    <w:rsid w:val="007506D1"/>
    <w:rsid w:val="00757AF3"/>
    <w:rsid w:val="00760908"/>
    <w:rsid w:val="00775E79"/>
    <w:rsid w:val="00781E61"/>
    <w:rsid w:val="0079183C"/>
    <w:rsid w:val="007A00F1"/>
    <w:rsid w:val="007B0B3F"/>
    <w:rsid w:val="007B183E"/>
    <w:rsid w:val="007B1A2B"/>
    <w:rsid w:val="007C6A52"/>
    <w:rsid w:val="007D0180"/>
    <w:rsid w:val="007D0B22"/>
    <w:rsid w:val="007D0E18"/>
    <w:rsid w:val="007D1900"/>
    <w:rsid w:val="007E6B0B"/>
    <w:rsid w:val="007F0F18"/>
    <w:rsid w:val="007F238D"/>
    <w:rsid w:val="007F727F"/>
    <w:rsid w:val="00802EA5"/>
    <w:rsid w:val="00802FC2"/>
    <w:rsid w:val="00803EE0"/>
    <w:rsid w:val="00812A33"/>
    <w:rsid w:val="00823B82"/>
    <w:rsid w:val="00830A81"/>
    <w:rsid w:val="008351A0"/>
    <w:rsid w:val="00836501"/>
    <w:rsid w:val="00840147"/>
    <w:rsid w:val="00843EED"/>
    <w:rsid w:val="00846DF6"/>
    <w:rsid w:val="00851703"/>
    <w:rsid w:val="0085209E"/>
    <w:rsid w:val="00861B92"/>
    <w:rsid w:val="00863A77"/>
    <w:rsid w:val="00864AC6"/>
    <w:rsid w:val="00866AA7"/>
    <w:rsid w:val="00871ED4"/>
    <w:rsid w:val="0087624D"/>
    <w:rsid w:val="00880E9A"/>
    <w:rsid w:val="008814FB"/>
    <w:rsid w:val="00883E5C"/>
    <w:rsid w:val="00893381"/>
    <w:rsid w:val="00893927"/>
    <w:rsid w:val="00894005"/>
    <w:rsid w:val="008A29BA"/>
    <w:rsid w:val="008A6204"/>
    <w:rsid w:val="008A781F"/>
    <w:rsid w:val="008A7DE9"/>
    <w:rsid w:val="008B3141"/>
    <w:rsid w:val="008B6F00"/>
    <w:rsid w:val="008B7CA6"/>
    <w:rsid w:val="008C0112"/>
    <w:rsid w:val="008D02DF"/>
    <w:rsid w:val="008D0D56"/>
    <w:rsid w:val="008D25E7"/>
    <w:rsid w:val="008D2854"/>
    <w:rsid w:val="008D3C29"/>
    <w:rsid w:val="008D4851"/>
    <w:rsid w:val="008D7085"/>
    <w:rsid w:val="008F5E30"/>
    <w:rsid w:val="008F7105"/>
    <w:rsid w:val="0090106D"/>
    <w:rsid w:val="00903414"/>
    <w:rsid w:val="0090497A"/>
    <w:rsid w:val="00913637"/>
    <w:rsid w:val="00914D7F"/>
    <w:rsid w:val="0091519B"/>
    <w:rsid w:val="009162EB"/>
    <w:rsid w:val="00916D8C"/>
    <w:rsid w:val="00921095"/>
    <w:rsid w:val="00923936"/>
    <w:rsid w:val="009265DC"/>
    <w:rsid w:val="00927244"/>
    <w:rsid w:val="0092757A"/>
    <w:rsid w:val="0093013E"/>
    <w:rsid w:val="00934AA0"/>
    <w:rsid w:val="00935C95"/>
    <w:rsid w:val="009406B1"/>
    <w:rsid w:val="00940711"/>
    <w:rsid w:val="00944236"/>
    <w:rsid w:val="00946782"/>
    <w:rsid w:val="00946A4E"/>
    <w:rsid w:val="00947052"/>
    <w:rsid w:val="0095127A"/>
    <w:rsid w:val="009536DE"/>
    <w:rsid w:val="00954C2D"/>
    <w:rsid w:val="0095504D"/>
    <w:rsid w:val="009636F1"/>
    <w:rsid w:val="00966DD3"/>
    <w:rsid w:val="0097091E"/>
    <w:rsid w:val="00980B9D"/>
    <w:rsid w:val="00980EAD"/>
    <w:rsid w:val="00983A07"/>
    <w:rsid w:val="0098471A"/>
    <w:rsid w:val="00985787"/>
    <w:rsid w:val="00990D26"/>
    <w:rsid w:val="00990D73"/>
    <w:rsid w:val="009965A6"/>
    <w:rsid w:val="00996600"/>
    <w:rsid w:val="009A0C22"/>
    <w:rsid w:val="009A1710"/>
    <w:rsid w:val="009A183D"/>
    <w:rsid w:val="009A5A86"/>
    <w:rsid w:val="009B3041"/>
    <w:rsid w:val="009B59C2"/>
    <w:rsid w:val="009C2BF3"/>
    <w:rsid w:val="009C604B"/>
    <w:rsid w:val="009D0F00"/>
    <w:rsid w:val="009D1693"/>
    <w:rsid w:val="009D46D5"/>
    <w:rsid w:val="009E680B"/>
    <w:rsid w:val="009F7F9B"/>
    <w:rsid w:val="00A038E5"/>
    <w:rsid w:val="00A11168"/>
    <w:rsid w:val="00A119AA"/>
    <w:rsid w:val="00A133DA"/>
    <w:rsid w:val="00A15A1F"/>
    <w:rsid w:val="00A17067"/>
    <w:rsid w:val="00A17A15"/>
    <w:rsid w:val="00A2228E"/>
    <w:rsid w:val="00A22B4B"/>
    <w:rsid w:val="00A27D23"/>
    <w:rsid w:val="00A32F9A"/>
    <w:rsid w:val="00A3325A"/>
    <w:rsid w:val="00A353B8"/>
    <w:rsid w:val="00A43013"/>
    <w:rsid w:val="00A4349E"/>
    <w:rsid w:val="00A43B20"/>
    <w:rsid w:val="00A51F9B"/>
    <w:rsid w:val="00A53659"/>
    <w:rsid w:val="00A57CEB"/>
    <w:rsid w:val="00A6310A"/>
    <w:rsid w:val="00A640B5"/>
    <w:rsid w:val="00A6599C"/>
    <w:rsid w:val="00A72DF1"/>
    <w:rsid w:val="00A764E4"/>
    <w:rsid w:val="00A84C4E"/>
    <w:rsid w:val="00A877C5"/>
    <w:rsid w:val="00A93F86"/>
    <w:rsid w:val="00AA22C5"/>
    <w:rsid w:val="00AA6A82"/>
    <w:rsid w:val="00AA7004"/>
    <w:rsid w:val="00AB2564"/>
    <w:rsid w:val="00AC2218"/>
    <w:rsid w:val="00AD4775"/>
    <w:rsid w:val="00AE24E4"/>
    <w:rsid w:val="00AE2E8B"/>
    <w:rsid w:val="00AE5974"/>
    <w:rsid w:val="00AE751F"/>
    <w:rsid w:val="00AE7F05"/>
    <w:rsid w:val="00AF108A"/>
    <w:rsid w:val="00AF193B"/>
    <w:rsid w:val="00AF1A86"/>
    <w:rsid w:val="00AF554E"/>
    <w:rsid w:val="00B0179F"/>
    <w:rsid w:val="00B01B87"/>
    <w:rsid w:val="00B02BC0"/>
    <w:rsid w:val="00B02E55"/>
    <w:rsid w:val="00B036C1"/>
    <w:rsid w:val="00B12F02"/>
    <w:rsid w:val="00B13413"/>
    <w:rsid w:val="00B208AA"/>
    <w:rsid w:val="00B26D14"/>
    <w:rsid w:val="00B30A03"/>
    <w:rsid w:val="00B3184C"/>
    <w:rsid w:val="00B33481"/>
    <w:rsid w:val="00B34C88"/>
    <w:rsid w:val="00B37FBB"/>
    <w:rsid w:val="00B41EC9"/>
    <w:rsid w:val="00B5431F"/>
    <w:rsid w:val="00B547F6"/>
    <w:rsid w:val="00B55E70"/>
    <w:rsid w:val="00B565D4"/>
    <w:rsid w:val="00B605A9"/>
    <w:rsid w:val="00B6453E"/>
    <w:rsid w:val="00B647F0"/>
    <w:rsid w:val="00B648C8"/>
    <w:rsid w:val="00B64CBD"/>
    <w:rsid w:val="00B660EE"/>
    <w:rsid w:val="00B67AD0"/>
    <w:rsid w:val="00B744E6"/>
    <w:rsid w:val="00B75E4F"/>
    <w:rsid w:val="00B80EC2"/>
    <w:rsid w:val="00B83C53"/>
    <w:rsid w:val="00B8490C"/>
    <w:rsid w:val="00B85186"/>
    <w:rsid w:val="00B85B64"/>
    <w:rsid w:val="00B86613"/>
    <w:rsid w:val="00B86D02"/>
    <w:rsid w:val="00B920A3"/>
    <w:rsid w:val="00B92840"/>
    <w:rsid w:val="00B928EE"/>
    <w:rsid w:val="00B96E3A"/>
    <w:rsid w:val="00BB073A"/>
    <w:rsid w:val="00BB2EFE"/>
    <w:rsid w:val="00BD1AD2"/>
    <w:rsid w:val="00BD44E5"/>
    <w:rsid w:val="00BD687D"/>
    <w:rsid w:val="00BD7ADE"/>
    <w:rsid w:val="00BE33BA"/>
    <w:rsid w:val="00BE4254"/>
    <w:rsid w:val="00BE4954"/>
    <w:rsid w:val="00BE4B82"/>
    <w:rsid w:val="00BF7FE0"/>
    <w:rsid w:val="00C02C9E"/>
    <w:rsid w:val="00C07CCF"/>
    <w:rsid w:val="00C11370"/>
    <w:rsid w:val="00C1188A"/>
    <w:rsid w:val="00C2687A"/>
    <w:rsid w:val="00C30EE6"/>
    <w:rsid w:val="00C37E06"/>
    <w:rsid w:val="00C43BD7"/>
    <w:rsid w:val="00C460B1"/>
    <w:rsid w:val="00C47CF4"/>
    <w:rsid w:val="00C53F7B"/>
    <w:rsid w:val="00C556A4"/>
    <w:rsid w:val="00C60873"/>
    <w:rsid w:val="00C61910"/>
    <w:rsid w:val="00C647C6"/>
    <w:rsid w:val="00C65C14"/>
    <w:rsid w:val="00C711DE"/>
    <w:rsid w:val="00C730EF"/>
    <w:rsid w:val="00C738E8"/>
    <w:rsid w:val="00C75B4D"/>
    <w:rsid w:val="00C80E32"/>
    <w:rsid w:val="00C81104"/>
    <w:rsid w:val="00C848C4"/>
    <w:rsid w:val="00C84A73"/>
    <w:rsid w:val="00C87D44"/>
    <w:rsid w:val="00C90F60"/>
    <w:rsid w:val="00C9606B"/>
    <w:rsid w:val="00C96411"/>
    <w:rsid w:val="00C973BE"/>
    <w:rsid w:val="00CA0C8B"/>
    <w:rsid w:val="00CB463D"/>
    <w:rsid w:val="00CB5671"/>
    <w:rsid w:val="00CC5352"/>
    <w:rsid w:val="00CC75FE"/>
    <w:rsid w:val="00CD3A00"/>
    <w:rsid w:val="00CD46D3"/>
    <w:rsid w:val="00CD7570"/>
    <w:rsid w:val="00CE5099"/>
    <w:rsid w:val="00CE7E8B"/>
    <w:rsid w:val="00CF42F1"/>
    <w:rsid w:val="00CF58B7"/>
    <w:rsid w:val="00D01AB8"/>
    <w:rsid w:val="00D02918"/>
    <w:rsid w:val="00D043A6"/>
    <w:rsid w:val="00D064C1"/>
    <w:rsid w:val="00D06C1C"/>
    <w:rsid w:val="00D10A22"/>
    <w:rsid w:val="00D131C0"/>
    <w:rsid w:val="00D1775B"/>
    <w:rsid w:val="00D17908"/>
    <w:rsid w:val="00D17B2B"/>
    <w:rsid w:val="00D2285A"/>
    <w:rsid w:val="00D239F6"/>
    <w:rsid w:val="00D3130E"/>
    <w:rsid w:val="00D351C1"/>
    <w:rsid w:val="00D35EFB"/>
    <w:rsid w:val="00D4215C"/>
    <w:rsid w:val="00D42820"/>
    <w:rsid w:val="00D4478A"/>
    <w:rsid w:val="00D47343"/>
    <w:rsid w:val="00D50386"/>
    <w:rsid w:val="00D504B3"/>
    <w:rsid w:val="00D51137"/>
    <w:rsid w:val="00D547C5"/>
    <w:rsid w:val="00D55FA9"/>
    <w:rsid w:val="00D60690"/>
    <w:rsid w:val="00D621D6"/>
    <w:rsid w:val="00D637A7"/>
    <w:rsid w:val="00D6423C"/>
    <w:rsid w:val="00D722FC"/>
    <w:rsid w:val="00D74803"/>
    <w:rsid w:val="00D76A3B"/>
    <w:rsid w:val="00D8556D"/>
    <w:rsid w:val="00D86BF0"/>
    <w:rsid w:val="00D9162D"/>
    <w:rsid w:val="00D92FBA"/>
    <w:rsid w:val="00DA3F05"/>
    <w:rsid w:val="00DA41E0"/>
    <w:rsid w:val="00DA5FF6"/>
    <w:rsid w:val="00DB0893"/>
    <w:rsid w:val="00DB4A5E"/>
    <w:rsid w:val="00DC0D56"/>
    <w:rsid w:val="00DC1A8A"/>
    <w:rsid w:val="00DC2ABD"/>
    <w:rsid w:val="00DD09F3"/>
    <w:rsid w:val="00DD68DF"/>
    <w:rsid w:val="00DE19FD"/>
    <w:rsid w:val="00DE6CBA"/>
    <w:rsid w:val="00DF219F"/>
    <w:rsid w:val="00DF537D"/>
    <w:rsid w:val="00DF5EA5"/>
    <w:rsid w:val="00DF63CD"/>
    <w:rsid w:val="00E0282F"/>
    <w:rsid w:val="00E10CED"/>
    <w:rsid w:val="00E10FAB"/>
    <w:rsid w:val="00E130A0"/>
    <w:rsid w:val="00E16324"/>
    <w:rsid w:val="00E23844"/>
    <w:rsid w:val="00E25A52"/>
    <w:rsid w:val="00E277F0"/>
    <w:rsid w:val="00E32CAD"/>
    <w:rsid w:val="00E3346B"/>
    <w:rsid w:val="00E35171"/>
    <w:rsid w:val="00E37498"/>
    <w:rsid w:val="00E37E1B"/>
    <w:rsid w:val="00E42132"/>
    <w:rsid w:val="00E51920"/>
    <w:rsid w:val="00E52C4E"/>
    <w:rsid w:val="00E54627"/>
    <w:rsid w:val="00E55939"/>
    <w:rsid w:val="00E60A90"/>
    <w:rsid w:val="00E6362F"/>
    <w:rsid w:val="00E64120"/>
    <w:rsid w:val="00E65A43"/>
    <w:rsid w:val="00E660A1"/>
    <w:rsid w:val="00E67BFB"/>
    <w:rsid w:val="00E702A5"/>
    <w:rsid w:val="00E7085F"/>
    <w:rsid w:val="00E70D1D"/>
    <w:rsid w:val="00E71212"/>
    <w:rsid w:val="00E713D7"/>
    <w:rsid w:val="00E71E2B"/>
    <w:rsid w:val="00E7476E"/>
    <w:rsid w:val="00E806E0"/>
    <w:rsid w:val="00E8283D"/>
    <w:rsid w:val="00E846AC"/>
    <w:rsid w:val="00E85C2D"/>
    <w:rsid w:val="00E91E30"/>
    <w:rsid w:val="00E929F3"/>
    <w:rsid w:val="00E94636"/>
    <w:rsid w:val="00E968F5"/>
    <w:rsid w:val="00E96980"/>
    <w:rsid w:val="00EA12E8"/>
    <w:rsid w:val="00EA16AC"/>
    <w:rsid w:val="00EA2EA3"/>
    <w:rsid w:val="00EA3CCF"/>
    <w:rsid w:val="00EB5F3F"/>
    <w:rsid w:val="00EC2C9A"/>
    <w:rsid w:val="00EC3692"/>
    <w:rsid w:val="00EC4D0F"/>
    <w:rsid w:val="00EC5CAB"/>
    <w:rsid w:val="00ED2968"/>
    <w:rsid w:val="00ED29E2"/>
    <w:rsid w:val="00ED504D"/>
    <w:rsid w:val="00ED52E6"/>
    <w:rsid w:val="00ED5987"/>
    <w:rsid w:val="00EE054F"/>
    <w:rsid w:val="00EE1112"/>
    <w:rsid w:val="00EE2FB0"/>
    <w:rsid w:val="00EE5923"/>
    <w:rsid w:val="00EE7CFE"/>
    <w:rsid w:val="00EE7EBE"/>
    <w:rsid w:val="00EF0A76"/>
    <w:rsid w:val="00F04A29"/>
    <w:rsid w:val="00F055F1"/>
    <w:rsid w:val="00F05E57"/>
    <w:rsid w:val="00F07E73"/>
    <w:rsid w:val="00F214D4"/>
    <w:rsid w:val="00F221A1"/>
    <w:rsid w:val="00F22707"/>
    <w:rsid w:val="00F2426E"/>
    <w:rsid w:val="00F314C5"/>
    <w:rsid w:val="00F31EE9"/>
    <w:rsid w:val="00F44CDE"/>
    <w:rsid w:val="00F51343"/>
    <w:rsid w:val="00F610AF"/>
    <w:rsid w:val="00F72E21"/>
    <w:rsid w:val="00F73B9E"/>
    <w:rsid w:val="00F73DA5"/>
    <w:rsid w:val="00F814EB"/>
    <w:rsid w:val="00F814FB"/>
    <w:rsid w:val="00F8280B"/>
    <w:rsid w:val="00F839BA"/>
    <w:rsid w:val="00F8536F"/>
    <w:rsid w:val="00F86060"/>
    <w:rsid w:val="00F87116"/>
    <w:rsid w:val="00F9147E"/>
    <w:rsid w:val="00FA2C5A"/>
    <w:rsid w:val="00FA491F"/>
    <w:rsid w:val="00FA5023"/>
    <w:rsid w:val="00FA62CA"/>
    <w:rsid w:val="00FA72D7"/>
    <w:rsid w:val="00FB0B23"/>
    <w:rsid w:val="00FB3702"/>
    <w:rsid w:val="00FC2D11"/>
    <w:rsid w:val="00FC2D23"/>
    <w:rsid w:val="00FC6230"/>
    <w:rsid w:val="00FC6F5C"/>
    <w:rsid w:val="00FE4FED"/>
    <w:rsid w:val="00FF0B3F"/>
    <w:rsid w:val="00FF0E7A"/>
    <w:rsid w:val="00FF1228"/>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51286"/>
  <w15:docId w15:val="{9E4F5082-2968-458D-B44E-C594C3C9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qFormat="1"/>
    <w:lsdException w:name="heading 3" w:semiHidden="1" w:qFormat="1"/>
    <w:lsdException w:name="heading 4" w:semiHidden="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BDF"/>
    <w:pPr>
      <w:spacing w:after="200" w:line="276" w:lineRule="auto"/>
    </w:pPr>
    <w:rPr>
      <w:rFonts w:ascii="Calibri" w:eastAsia="Calibr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ind w:left="1418" w:hanging="284"/>
    </w:pPr>
    <w:rPr>
      <w:rFonts w:ascii="Arial" w:hAnsi="Arial"/>
    </w:rPr>
  </w:style>
  <w:style w:type="paragraph" w:customStyle="1" w:styleId="Paragraphnonumbers">
    <w:name w:val="Paragraph no numbers"/>
    <w:basedOn w:val="Normal"/>
    <w:uiPriority w:val="99"/>
    <w:qFormat/>
    <w:rsid w:val="00CB5671"/>
    <w:pPr>
      <w:spacing w:after="240"/>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qFormat/>
    <w:rsid w:val="001B4BDF"/>
    <w:pPr>
      <w:ind w:left="720"/>
      <w:contextualSpacing/>
    </w:pPr>
  </w:style>
  <w:style w:type="paragraph" w:customStyle="1" w:styleId="Unnumberedboldheading">
    <w:name w:val="Unnumbered bold heading"/>
    <w:next w:val="Normal"/>
    <w:rsid w:val="00E71E2B"/>
    <w:pPr>
      <w:keepNext/>
      <w:widowControl w:val="0"/>
      <w:spacing w:after="120"/>
    </w:pPr>
    <w:rPr>
      <w:rFonts w:ascii="Arial" w:hAnsi="Arial"/>
      <w:b/>
      <w:sz w:val="24"/>
      <w:szCs w:val="24"/>
      <w:lang w:eastAsia="en-US"/>
    </w:rPr>
  </w:style>
  <w:style w:type="character" w:styleId="CommentReference">
    <w:name w:val="annotation reference"/>
    <w:basedOn w:val="DefaultParagraphFont"/>
    <w:semiHidden/>
    <w:unhideWhenUsed/>
    <w:rsid w:val="00D42820"/>
    <w:rPr>
      <w:sz w:val="16"/>
      <w:szCs w:val="16"/>
    </w:rPr>
  </w:style>
  <w:style w:type="paragraph" w:styleId="CommentText">
    <w:name w:val="annotation text"/>
    <w:basedOn w:val="Normal"/>
    <w:link w:val="CommentTextChar"/>
    <w:semiHidden/>
    <w:unhideWhenUsed/>
    <w:rsid w:val="00D42820"/>
    <w:pPr>
      <w:spacing w:line="240" w:lineRule="auto"/>
    </w:pPr>
    <w:rPr>
      <w:sz w:val="20"/>
      <w:szCs w:val="20"/>
    </w:rPr>
  </w:style>
  <w:style w:type="character" w:customStyle="1" w:styleId="CommentTextChar">
    <w:name w:val="Comment Text Char"/>
    <w:basedOn w:val="DefaultParagraphFont"/>
    <w:link w:val="CommentText"/>
    <w:semiHidden/>
    <w:rsid w:val="00D42820"/>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D42820"/>
    <w:rPr>
      <w:b/>
      <w:bCs/>
    </w:rPr>
  </w:style>
  <w:style w:type="character" w:customStyle="1" w:styleId="CommentSubjectChar">
    <w:name w:val="Comment Subject Char"/>
    <w:basedOn w:val="CommentTextChar"/>
    <w:link w:val="CommentSubject"/>
    <w:semiHidden/>
    <w:rsid w:val="00D42820"/>
    <w:rPr>
      <w:rFonts w:ascii="Calibri" w:eastAsia="Calibri" w:hAnsi="Calibri"/>
      <w:b/>
      <w:bCs/>
      <w:lang w:eastAsia="en-US"/>
    </w:rPr>
  </w:style>
  <w:style w:type="table" w:styleId="TableGrid">
    <w:name w:val="Table Grid"/>
    <w:basedOn w:val="TableNormal"/>
    <w:rsid w:val="0040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75F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132868">
      <w:bodyDiv w:val="1"/>
      <w:marLeft w:val="0"/>
      <w:marRight w:val="0"/>
      <w:marTop w:val="0"/>
      <w:marBottom w:val="0"/>
      <w:divBdr>
        <w:top w:val="none" w:sz="0" w:space="0" w:color="auto"/>
        <w:left w:val="none" w:sz="0" w:space="0" w:color="auto"/>
        <w:bottom w:val="none" w:sz="0" w:space="0" w:color="auto"/>
        <w:right w:val="none" w:sz="0" w:space="0" w:color="auto"/>
      </w:divBdr>
    </w:div>
    <w:div w:id="1797484747">
      <w:bodyDiv w:val="1"/>
      <w:marLeft w:val="0"/>
      <w:marRight w:val="0"/>
      <w:marTop w:val="0"/>
      <w:marBottom w:val="0"/>
      <w:divBdr>
        <w:top w:val="none" w:sz="0" w:space="0" w:color="auto"/>
        <w:left w:val="none" w:sz="0" w:space="0" w:color="auto"/>
        <w:bottom w:val="none" w:sz="0" w:space="0" w:color="auto"/>
        <w:right w:val="none" w:sz="0" w:space="0" w:color="auto"/>
      </w:divBdr>
    </w:div>
    <w:div w:id="18360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43C4F-8EA5-4B6F-80D7-A9882898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8592</Words>
  <Characters>44087</Characters>
  <Application>Microsoft Office Word</Application>
  <DocSecurity>0</DocSecurity>
  <Lines>367</Lines>
  <Paragraphs>105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52574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Pitan</dc:creator>
  <cp:lastModifiedBy>Maria Pitan</cp:lastModifiedBy>
  <cp:revision>2</cp:revision>
  <dcterms:created xsi:type="dcterms:W3CDTF">2020-07-20T08:05:00Z</dcterms:created>
  <dcterms:modified xsi:type="dcterms:W3CDTF">2020-07-20T08:05:00Z</dcterms:modified>
</cp:coreProperties>
</file>