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F733C" w14:textId="77777777" w:rsidR="007B62D6" w:rsidRDefault="007E469F">
      <w:pPr>
        <w:pStyle w:val="BodyText"/>
        <w:rPr>
          <w:rFonts w:ascii="Times New Roman"/>
          <w:sz w:val="20"/>
        </w:rPr>
      </w:pPr>
      <w:r>
        <w:rPr>
          <w:noProof/>
        </w:rPr>
        <w:drawing>
          <wp:anchor distT="0" distB="0" distL="0" distR="0" simplePos="0" relativeHeight="251575296" behindDoc="1" locked="0" layoutInCell="1" allowOverlap="1" wp14:anchorId="7DDF736E" wp14:editId="7DDF736F">
            <wp:simplePos x="0" y="0"/>
            <wp:positionH relativeFrom="page">
              <wp:posOffset>1002016</wp:posOffset>
            </wp:positionH>
            <wp:positionV relativeFrom="page">
              <wp:posOffset>536239</wp:posOffset>
            </wp:positionV>
            <wp:extent cx="6036465" cy="100178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36465" cy="10017893"/>
                    </a:xfrm>
                    <a:prstGeom prst="rect">
                      <a:avLst/>
                    </a:prstGeom>
                  </pic:spPr>
                </pic:pic>
              </a:graphicData>
            </a:graphic>
          </wp:anchor>
        </w:drawing>
      </w:r>
    </w:p>
    <w:p w14:paraId="7DDF733D" w14:textId="77777777" w:rsidR="007B62D6" w:rsidRDefault="007B62D6">
      <w:pPr>
        <w:pStyle w:val="BodyText"/>
        <w:spacing w:before="10"/>
        <w:rPr>
          <w:rFonts w:ascii="Times New Roman"/>
          <w:sz w:val="25"/>
        </w:rPr>
      </w:pPr>
    </w:p>
    <w:p w14:paraId="7DDF733E" w14:textId="52DCABE4" w:rsidR="007B62D6" w:rsidRDefault="007E469F">
      <w:pPr>
        <w:pStyle w:val="BodyText"/>
        <w:spacing w:before="56"/>
        <w:ind w:left="162"/>
      </w:pPr>
      <w:r>
        <w:t>2</w:t>
      </w:r>
      <w:r w:rsidR="002D274B">
        <w:t>6</w:t>
      </w:r>
      <w:r>
        <w:t xml:space="preserve"> March 2020</w:t>
      </w:r>
    </w:p>
    <w:p w14:paraId="7DDF733F" w14:textId="77777777" w:rsidR="007B62D6" w:rsidRDefault="007B62D6">
      <w:pPr>
        <w:pStyle w:val="BodyText"/>
        <w:spacing w:before="1"/>
      </w:pPr>
    </w:p>
    <w:p w14:paraId="7DDF7340" w14:textId="77777777" w:rsidR="007B62D6" w:rsidRDefault="007E469F">
      <w:pPr>
        <w:pStyle w:val="BodyText"/>
        <w:ind w:left="162" w:right="8456"/>
      </w:pPr>
      <w:r>
        <w:t>Mr Tim Irish Vice Chair</w:t>
      </w:r>
    </w:p>
    <w:p w14:paraId="7DDF7341" w14:textId="77777777" w:rsidR="007B62D6" w:rsidRDefault="007E469F">
      <w:pPr>
        <w:pStyle w:val="BodyText"/>
        <w:ind w:left="162" w:right="5196"/>
      </w:pPr>
      <w:r>
        <w:t>National Institute for Health and Care Excellence 10 Spring Gardens</w:t>
      </w:r>
    </w:p>
    <w:p w14:paraId="7DDF7342" w14:textId="77777777" w:rsidR="007B62D6" w:rsidRDefault="007E469F">
      <w:pPr>
        <w:pStyle w:val="BodyText"/>
        <w:spacing w:line="264" w:lineRule="exact"/>
        <w:ind w:left="162"/>
      </w:pPr>
      <w:r>
        <w:t>London SW1A 2BU</w:t>
      </w:r>
    </w:p>
    <w:p w14:paraId="7DDF7343" w14:textId="77777777" w:rsidR="007B62D6" w:rsidRDefault="007B62D6">
      <w:pPr>
        <w:pStyle w:val="BodyText"/>
      </w:pPr>
    </w:p>
    <w:p w14:paraId="7DDF7344" w14:textId="77777777" w:rsidR="007B62D6" w:rsidRDefault="007B62D6">
      <w:pPr>
        <w:pStyle w:val="BodyText"/>
      </w:pPr>
    </w:p>
    <w:p w14:paraId="7DDF7345" w14:textId="77777777" w:rsidR="007B62D6" w:rsidRDefault="007E469F">
      <w:pPr>
        <w:pStyle w:val="BodyText"/>
        <w:spacing w:before="150"/>
        <w:ind w:left="109"/>
      </w:pPr>
      <w:r>
        <w:t>Dear Mr Irish,</w:t>
      </w:r>
    </w:p>
    <w:p w14:paraId="7DDF7346" w14:textId="77777777" w:rsidR="007B62D6" w:rsidRDefault="007B62D6">
      <w:pPr>
        <w:pStyle w:val="BodyText"/>
      </w:pPr>
    </w:p>
    <w:p w14:paraId="7DDF7347" w14:textId="77777777" w:rsidR="007B62D6" w:rsidRDefault="007E469F">
      <w:pPr>
        <w:pStyle w:val="Heading1"/>
        <w:ind w:left="109" w:right="468"/>
      </w:pPr>
      <w:r>
        <w:t>Re: Final Appraisal Determination – Single technology appraisal (STA) Pembrolizumab for previously treated advanced or metastatic urothelial cancer (CDF review TA519) [ID1536]</w:t>
      </w:r>
    </w:p>
    <w:p w14:paraId="7DDF7348" w14:textId="77777777" w:rsidR="007B62D6" w:rsidRDefault="007B62D6">
      <w:pPr>
        <w:pStyle w:val="BodyText"/>
        <w:spacing w:before="6"/>
        <w:rPr>
          <w:b/>
        </w:rPr>
      </w:pPr>
    </w:p>
    <w:p w14:paraId="7DDF7349" w14:textId="77777777" w:rsidR="007B62D6" w:rsidRDefault="007E469F">
      <w:pPr>
        <w:pStyle w:val="BodyText"/>
        <w:ind w:left="109" w:right="169"/>
      </w:pPr>
      <w:r>
        <w:t xml:space="preserve">On behalf of the national Bladder Cancer patient advocacy charity, Action Bladder Cancer UK and </w:t>
      </w:r>
      <w:proofErr w:type="spellStart"/>
      <w:r>
        <w:rPr>
          <w:u w:val="single"/>
        </w:rPr>
        <w:t>all</w:t>
      </w:r>
      <w:proofErr w:type="spellEnd"/>
      <w:r>
        <w:t xml:space="preserve"> bladder cancer patients, I make this appeal to you with a small ’a’ rather than a formal Appeal under your strict procedure. In saying this, I recognise that we are experiencing the worst health emergency that the NHS has ever seen. Extraordinary times call for urgent and extraordinary measures, and it is in this context that I reach out to you to reconsider the decision to </w:t>
      </w:r>
      <w:r>
        <w:rPr>
          <w:b/>
        </w:rPr>
        <w:t xml:space="preserve">not </w:t>
      </w:r>
      <w:r>
        <w:t xml:space="preserve">recommend, the use of Pembrolizumab within its marketing </w:t>
      </w:r>
      <w:proofErr w:type="spellStart"/>
      <w:r>
        <w:t>authorisation</w:t>
      </w:r>
      <w:proofErr w:type="spellEnd"/>
      <w:r>
        <w:t>, for treating locally advanced or metastatic urothelial carcinoma (bladder cancer) in adults who have had platinum-containing chemotherapy.</w:t>
      </w:r>
    </w:p>
    <w:p w14:paraId="7DDF734A" w14:textId="77777777" w:rsidR="007B62D6" w:rsidRDefault="007B62D6">
      <w:pPr>
        <w:pStyle w:val="BodyText"/>
        <w:spacing w:before="2"/>
      </w:pPr>
    </w:p>
    <w:p w14:paraId="7DDF734B" w14:textId="77777777" w:rsidR="007B62D6" w:rsidRDefault="007E469F">
      <w:pPr>
        <w:pStyle w:val="BodyText"/>
        <w:ind w:left="109"/>
      </w:pPr>
      <w:r>
        <w:t>Please note that I am not appealing in terms of Grounds 1a, 1b or 2, but on compassionate grounds as a direct result of the current, Covid-19 health emergency. In brief, our arguments are as follows:</w:t>
      </w:r>
    </w:p>
    <w:p w14:paraId="7DDF734C" w14:textId="77777777" w:rsidR="007B62D6" w:rsidRDefault="007B62D6">
      <w:pPr>
        <w:pStyle w:val="BodyText"/>
        <w:rPr>
          <w:sz w:val="23"/>
        </w:rPr>
      </w:pPr>
    </w:p>
    <w:p w14:paraId="7DDF734D" w14:textId="77777777" w:rsidR="007B62D6" w:rsidRDefault="007E469F">
      <w:pPr>
        <w:pStyle w:val="ListParagraph"/>
        <w:numPr>
          <w:ilvl w:val="0"/>
          <w:numId w:val="1"/>
        </w:numPr>
        <w:tabs>
          <w:tab w:val="left" w:pos="829"/>
          <w:tab w:val="left" w:pos="830"/>
        </w:tabs>
        <w:spacing w:before="1" w:line="259" w:lineRule="auto"/>
        <w:ind w:right="302"/>
      </w:pPr>
      <w:r>
        <w:t>The vast majority of bladder cancer patients are typically over 70 years old and many have significant co-morbidities, thus this population is at very high risk of contracting and being made seriously ill by</w:t>
      </w:r>
      <w:r>
        <w:rPr>
          <w:spacing w:val="-4"/>
        </w:rPr>
        <w:t xml:space="preserve"> </w:t>
      </w:r>
      <w:r>
        <w:t>Covid-19.</w:t>
      </w:r>
    </w:p>
    <w:p w14:paraId="7DDF734E" w14:textId="77777777" w:rsidR="007B62D6" w:rsidRDefault="007E469F">
      <w:pPr>
        <w:pStyle w:val="ListParagraph"/>
        <w:numPr>
          <w:ilvl w:val="0"/>
          <w:numId w:val="1"/>
        </w:numPr>
        <w:tabs>
          <w:tab w:val="left" w:pos="829"/>
          <w:tab w:val="left" w:pos="830"/>
        </w:tabs>
        <w:spacing w:before="1"/>
        <w:ind w:right="587"/>
      </w:pPr>
      <w:r>
        <w:t xml:space="preserve">Covid-19 arrangements are denying many bladder </w:t>
      </w:r>
      <w:r>
        <w:rPr>
          <w:spacing w:val="-5"/>
        </w:rPr>
        <w:t xml:space="preserve">cancer </w:t>
      </w:r>
      <w:r>
        <w:t>patients their normal and expected Standards of Care (SOC), including: surgery, chemotherapy, surveillance and maintenance treatments.</w:t>
      </w:r>
    </w:p>
    <w:p w14:paraId="7DDF734F" w14:textId="77777777" w:rsidR="007B62D6" w:rsidRDefault="007E469F">
      <w:pPr>
        <w:pStyle w:val="ListParagraph"/>
        <w:numPr>
          <w:ilvl w:val="0"/>
          <w:numId w:val="1"/>
        </w:numPr>
        <w:tabs>
          <w:tab w:val="left" w:pos="829"/>
          <w:tab w:val="left" w:pos="830"/>
        </w:tabs>
        <w:spacing w:before="8" w:line="256" w:lineRule="auto"/>
        <w:ind w:right="141" w:hanging="360"/>
      </w:pPr>
      <w:r>
        <w:t>For this indication, patients are currently being denied their normal SOC including platinum-based chemotherapy. This will cause untold suffering and</w:t>
      </w:r>
      <w:r>
        <w:rPr>
          <w:spacing w:val="-27"/>
        </w:rPr>
        <w:t xml:space="preserve"> </w:t>
      </w:r>
      <w:r>
        <w:t>death.</w:t>
      </w:r>
    </w:p>
    <w:p w14:paraId="7DDF7350" w14:textId="77777777" w:rsidR="007B62D6" w:rsidRDefault="007E469F">
      <w:pPr>
        <w:pStyle w:val="ListParagraph"/>
        <w:numPr>
          <w:ilvl w:val="0"/>
          <w:numId w:val="1"/>
        </w:numPr>
        <w:tabs>
          <w:tab w:val="left" w:pos="829"/>
          <w:tab w:val="left" w:pos="830"/>
        </w:tabs>
        <w:spacing w:before="4" w:line="256" w:lineRule="auto"/>
        <w:ind w:right="232" w:hanging="360"/>
      </w:pPr>
      <w:r>
        <w:t>Many patients who have started their course of platinum-based chemotherapy are currently being told that they cannot continue to receive the remainder of their planned treatment. Again, this will cause suffering and</w:t>
      </w:r>
      <w:r>
        <w:rPr>
          <w:spacing w:val="-13"/>
        </w:rPr>
        <w:t xml:space="preserve"> </w:t>
      </w:r>
      <w:r>
        <w:t>death.</w:t>
      </w:r>
    </w:p>
    <w:p w14:paraId="7DDF7351" w14:textId="77777777" w:rsidR="007B62D6" w:rsidRDefault="007E469F">
      <w:pPr>
        <w:pStyle w:val="ListParagraph"/>
        <w:numPr>
          <w:ilvl w:val="0"/>
          <w:numId w:val="1"/>
        </w:numPr>
        <w:tabs>
          <w:tab w:val="left" w:pos="829"/>
          <w:tab w:val="left" w:pos="830"/>
        </w:tabs>
        <w:spacing w:before="9" w:line="252" w:lineRule="auto"/>
        <w:ind w:right="604"/>
      </w:pPr>
      <w:r>
        <w:t>So,</w:t>
      </w:r>
      <w:r>
        <w:rPr>
          <w:spacing w:val="-1"/>
        </w:rPr>
        <w:t xml:space="preserve"> </w:t>
      </w:r>
      <w:r>
        <w:t>the</w:t>
      </w:r>
      <w:r>
        <w:rPr>
          <w:spacing w:val="-3"/>
        </w:rPr>
        <w:t xml:space="preserve"> </w:t>
      </w:r>
      <w:r>
        <w:t>comparator</w:t>
      </w:r>
      <w:r>
        <w:rPr>
          <w:spacing w:val="1"/>
        </w:rPr>
        <w:t xml:space="preserve"> </w:t>
      </w:r>
      <w:r>
        <w:t>for</w:t>
      </w:r>
      <w:r>
        <w:rPr>
          <w:spacing w:val="-2"/>
        </w:rPr>
        <w:t xml:space="preserve"> </w:t>
      </w:r>
      <w:r>
        <w:t>your</w:t>
      </w:r>
      <w:r>
        <w:rPr>
          <w:spacing w:val="-3"/>
        </w:rPr>
        <w:t xml:space="preserve"> </w:t>
      </w:r>
      <w:r>
        <w:t>HTA</w:t>
      </w:r>
      <w:r>
        <w:rPr>
          <w:spacing w:val="-1"/>
        </w:rPr>
        <w:t xml:space="preserve"> </w:t>
      </w:r>
      <w:r>
        <w:t>is</w:t>
      </w:r>
      <w:r>
        <w:rPr>
          <w:spacing w:val="-2"/>
        </w:rPr>
        <w:t xml:space="preserve"> </w:t>
      </w:r>
      <w:r w:rsidRPr="00B833D4">
        <w:rPr>
          <w:b/>
          <w:bCs/>
        </w:rPr>
        <w:t>no longer</w:t>
      </w:r>
      <w:r w:rsidRPr="00B833D4">
        <w:rPr>
          <w:b/>
          <w:bCs/>
          <w:spacing w:val="-3"/>
        </w:rPr>
        <w:t xml:space="preserve"> </w:t>
      </w:r>
      <w:r w:rsidRPr="00B833D4">
        <w:rPr>
          <w:b/>
          <w:bCs/>
        </w:rPr>
        <w:t>valid</w:t>
      </w:r>
      <w:r>
        <w:rPr>
          <w:spacing w:val="-3"/>
        </w:rPr>
        <w:t xml:space="preserve"> </w:t>
      </w:r>
      <w:r>
        <w:t>as</w:t>
      </w:r>
      <w:r>
        <w:rPr>
          <w:spacing w:val="-3"/>
        </w:rPr>
        <w:t xml:space="preserve"> </w:t>
      </w:r>
      <w:r>
        <w:t>the</w:t>
      </w:r>
      <w:r>
        <w:rPr>
          <w:spacing w:val="-3"/>
        </w:rPr>
        <w:t xml:space="preserve"> </w:t>
      </w:r>
      <w:r>
        <w:t>SOC</w:t>
      </w:r>
      <w:r>
        <w:rPr>
          <w:spacing w:val="-1"/>
        </w:rPr>
        <w:t xml:space="preserve"> </w:t>
      </w:r>
      <w:r>
        <w:t>is</w:t>
      </w:r>
      <w:r>
        <w:rPr>
          <w:spacing w:val="-2"/>
        </w:rPr>
        <w:t xml:space="preserve"> </w:t>
      </w:r>
      <w:r>
        <w:t>not</w:t>
      </w:r>
      <w:r>
        <w:rPr>
          <w:spacing w:val="-5"/>
        </w:rPr>
        <w:t xml:space="preserve"> </w:t>
      </w:r>
      <w:r>
        <w:t>able</w:t>
      </w:r>
      <w:r>
        <w:rPr>
          <w:spacing w:val="-3"/>
        </w:rPr>
        <w:t xml:space="preserve"> </w:t>
      </w:r>
      <w:r>
        <w:t>to</w:t>
      </w:r>
      <w:r>
        <w:rPr>
          <w:spacing w:val="1"/>
        </w:rPr>
        <w:t xml:space="preserve"> </w:t>
      </w:r>
      <w:r>
        <w:t>be</w:t>
      </w:r>
      <w:r>
        <w:rPr>
          <w:spacing w:val="-3"/>
        </w:rPr>
        <w:t xml:space="preserve"> </w:t>
      </w:r>
      <w:r>
        <w:t>offered</w:t>
      </w:r>
      <w:r>
        <w:rPr>
          <w:spacing w:val="1"/>
        </w:rPr>
        <w:t xml:space="preserve"> </w:t>
      </w:r>
      <w:r>
        <w:t>to</w:t>
      </w:r>
      <w:r>
        <w:rPr>
          <w:spacing w:val="-4"/>
        </w:rPr>
        <w:t xml:space="preserve"> </w:t>
      </w:r>
      <w:r>
        <w:t>this patient</w:t>
      </w:r>
      <w:r>
        <w:rPr>
          <w:spacing w:val="-5"/>
        </w:rPr>
        <w:t xml:space="preserve"> </w:t>
      </w:r>
      <w:r>
        <w:t>population.</w:t>
      </w:r>
    </w:p>
    <w:p w14:paraId="7DDF7352" w14:textId="77777777" w:rsidR="007B62D6" w:rsidRDefault="007E469F">
      <w:pPr>
        <w:pStyle w:val="ListParagraph"/>
        <w:numPr>
          <w:ilvl w:val="0"/>
          <w:numId w:val="1"/>
        </w:numPr>
        <w:tabs>
          <w:tab w:val="left" w:pos="829"/>
          <w:tab w:val="left" w:pos="830"/>
        </w:tabs>
        <w:spacing w:before="10" w:line="244" w:lineRule="auto"/>
        <w:ind w:right="623"/>
      </w:pPr>
      <w:r>
        <w:t>Patients currently have only one viable alternative in the form of the similar immunotherapy treatment,</w:t>
      </w:r>
      <w:r>
        <w:rPr>
          <w:spacing w:val="-1"/>
        </w:rPr>
        <w:t xml:space="preserve"> </w:t>
      </w:r>
      <w:r>
        <w:t>Atezolizumab.</w:t>
      </w:r>
    </w:p>
    <w:p w14:paraId="7DDF7353" w14:textId="7D665EAB" w:rsidR="007B62D6" w:rsidRDefault="007E469F">
      <w:pPr>
        <w:pStyle w:val="ListParagraph"/>
        <w:numPr>
          <w:ilvl w:val="0"/>
          <w:numId w:val="1"/>
        </w:numPr>
        <w:tabs>
          <w:tab w:val="left" w:pos="829"/>
          <w:tab w:val="left" w:pos="830"/>
        </w:tabs>
        <w:spacing w:before="2" w:line="259" w:lineRule="auto"/>
        <w:ind w:right="220"/>
      </w:pPr>
      <w:r>
        <w:t xml:space="preserve">Although similar, it is different and acts in a subtly different way. The data for both Atezolizumab and Pembrolizumab is still immature, so we don’t know which treatment is best or for which specific patients. If you reverse the recommendation, data can quickly be generated and learning achieved, </w:t>
      </w:r>
      <w:r w:rsidR="00DF0097">
        <w:t xml:space="preserve">however </w:t>
      </w:r>
      <w:r>
        <w:t xml:space="preserve">if you maintain the recommendation, you will damage and delay the development of a potentially </w:t>
      </w:r>
      <w:proofErr w:type="spellStart"/>
      <w:r>
        <w:t>life saving</w:t>
      </w:r>
      <w:proofErr w:type="spellEnd"/>
      <w:r>
        <w:t xml:space="preserve"> treatment by restricting the wider gathering</w:t>
      </w:r>
      <w:r>
        <w:rPr>
          <w:spacing w:val="-16"/>
        </w:rPr>
        <w:t xml:space="preserve"> </w:t>
      </w:r>
      <w:r>
        <w:rPr>
          <w:spacing w:val="2"/>
        </w:rPr>
        <w:t>of</w:t>
      </w:r>
      <w:r w:rsidR="00B833D4">
        <w:rPr>
          <w:spacing w:val="2"/>
        </w:rPr>
        <w:t xml:space="preserve"> </w:t>
      </w:r>
      <w:r>
        <w:rPr>
          <w:spacing w:val="2"/>
        </w:rPr>
        <w:t>data.</w:t>
      </w:r>
    </w:p>
    <w:p w14:paraId="7DDF7354" w14:textId="05DB1735" w:rsidR="007B62D6" w:rsidRDefault="007E469F">
      <w:pPr>
        <w:pStyle w:val="ListParagraph"/>
        <w:numPr>
          <w:ilvl w:val="0"/>
          <w:numId w:val="1"/>
        </w:numPr>
        <w:tabs>
          <w:tab w:val="left" w:pos="829"/>
          <w:tab w:val="left" w:pos="831"/>
        </w:tabs>
        <w:spacing w:line="259" w:lineRule="auto"/>
        <w:ind w:left="830" w:right="404"/>
      </w:pPr>
      <w:r>
        <w:t xml:space="preserve">During this unprecedented time, I appeal to you to </w:t>
      </w:r>
      <w:r>
        <w:rPr>
          <w:b/>
        </w:rPr>
        <w:t xml:space="preserve">urgently </w:t>
      </w:r>
      <w:r>
        <w:t xml:space="preserve">reconsider your decision and take this opportunity to examine a forced experiment where </w:t>
      </w:r>
      <w:r w:rsidR="002D274B">
        <w:t>platinum-based</w:t>
      </w:r>
      <w:r>
        <w:t xml:space="preserve"> chemotherapy will not routinely be available to these</w:t>
      </w:r>
      <w:r>
        <w:rPr>
          <w:spacing w:val="-21"/>
        </w:rPr>
        <w:t xml:space="preserve"> </w:t>
      </w:r>
      <w:r>
        <w:t>patients.</w:t>
      </w:r>
    </w:p>
    <w:p w14:paraId="7DDF7355" w14:textId="77777777" w:rsidR="007B62D6" w:rsidRDefault="007E469F">
      <w:pPr>
        <w:pStyle w:val="Heading1"/>
        <w:spacing w:before="154"/>
        <w:ind w:right="101"/>
        <w:jc w:val="right"/>
      </w:pPr>
      <w:r>
        <w:t>Page 1 of 2</w:t>
      </w:r>
    </w:p>
    <w:p w14:paraId="7DDF7356" w14:textId="77777777" w:rsidR="007B62D6" w:rsidRDefault="007B62D6">
      <w:pPr>
        <w:jc w:val="right"/>
        <w:sectPr w:rsidR="007B62D6">
          <w:type w:val="continuous"/>
          <w:pgSz w:w="11900" w:h="16840"/>
          <w:pgMar w:top="820" w:right="960" w:bottom="0" w:left="1220" w:header="720" w:footer="720" w:gutter="0"/>
          <w:cols w:space="720"/>
        </w:sectPr>
      </w:pPr>
    </w:p>
    <w:p w14:paraId="7DDF7357" w14:textId="77777777" w:rsidR="007B62D6" w:rsidRDefault="007E469F">
      <w:pPr>
        <w:spacing w:before="40"/>
        <w:ind w:right="118"/>
        <w:jc w:val="right"/>
        <w:rPr>
          <w:b/>
        </w:rPr>
      </w:pPr>
      <w:bookmarkStart w:id="0" w:name="Blank_Page"/>
      <w:bookmarkEnd w:id="0"/>
      <w:r>
        <w:rPr>
          <w:b/>
        </w:rPr>
        <w:lastRenderedPageBreak/>
        <w:t>Page 2 of 2</w:t>
      </w:r>
    </w:p>
    <w:p w14:paraId="7DDF7358" w14:textId="77777777" w:rsidR="007B62D6" w:rsidRDefault="007B62D6">
      <w:pPr>
        <w:pStyle w:val="BodyText"/>
        <w:rPr>
          <w:b/>
        </w:rPr>
      </w:pPr>
    </w:p>
    <w:p w14:paraId="7DDF7359" w14:textId="77777777" w:rsidR="007B62D6" w:rsidRDefault="007B62D6">
      <w:pPr>
        <w:pStyle w:val="BodyText"/>
        <w:rPr>
          <w:b/>
        </w:rPr>
      </w:pPr>
    </w:p>
    <w:p w14:paraId="7DDF735A" w14:textId="77777777" w:rsidR="007B62D6" w:rsidRDefault="007B62D6">
      <w:pPr>
        <w:pStyle w:val="BodyText"/>
        <w:rPr>
          <w:b/>
        </w:rPr>
      </w:pPr>
    </w:p>
    <w:p w14:paraId="7DDF735B" w14:textId="77777777" w:rsidR="007B62D6" w:rsidRDefault="007B62D6">
      <w:pPr>
        <w:pStyle w:val="BodyText"/>
        <w:spacing w:before="6"/>
        <w:rPr>
          <w:b/>
          <w:sz w:val="20"/>
        </w:rPr>
      </w:pPr>
    </w:p>
    <w:p w14:paraId="7DDF735C" w14:textId="0AC3A6F3" w:rsidR="007B62D6" w:rsidRDefault="007E469F">
      <w:pPr>
        <w:pStyle w:val="BodyText"/>
        <w:spacing w:line="235" w:lineRule="auto"/>
        <w:ind w:left="596" w:right="222"/>
        <w:jc w:val="both"/>
      </w:pPr>
      <w:r>
        <w:t>Outside of our arguments listed above, we would also reiterate our initial arguments in the HTA consultation in the strongest possible terms:</w:t>
      </w:r>
    </w:p>
    <w:p w14:paraId="7DDF735D" w14:textId="77777777" w:rsidR="007B62D6" w:rsidRDefault="007B62D6">
      <w:pPr>
        <w:pStyle w:val="BodyText"/>
        <w:spacing w:before="5"/>
        <w:rPr>
          <w:sz w:val="20"/>
        </w:rPr>
      </w:pPr>
    </w:p>
    <w:p w14:paraId="7DDF735E" w14:textId="77777777" w:rsidR="007B62D6" w:rsidRDefault="007E469F">
      <w:pPr>
        <w:pStyle w:val="ListParagraph"/>
        <w:numPr>
          <w:ilvl w:val="1"/>
          <w:numId w:val="1"/>
        </w:numPr>
        <w:tabs>
          <w:tab w:val="left" w:pos="1090"/>
        </w:tabs>
        <w:spacing w:line="272" w:lineRule="exact"/>
      </w:pPr>
      <w:r>
        <w:t>We strongly believe the decision to not recommend the use of Pembrolizumab to be</w:t>
      </w:r>
      <w:r>
        <w:rPr>
          <w:spacing w:val="-23"/>
        </w:rPr>
        <w:t xml:space="preserve"> </w:t>
      </w:r>
      <w:r>
        <w:t>wrong.</w:t>
      </w:r>
    </w:p>
    <w:p w14:paraId="7DDF735F" w14:textId="77777777" w:rsidR="007B62D6" w:rsidRDefault="007E469F">
      <w:pPr>
        <w:pStyle w:val="ListParagraph"/>
        <w:numPr>
          <w:ilvl w:val="1"/>
          <w:numId w:val="1"/>
        </w:numPr>
        <w:tabs>
          <w:tab w:val="left" w:pos="1090"/>
        </w:tabs>
        <w:spacing w:line="235" w:lineRule="auto"/>
        <w:ind w:right="230"/>
      </w:pPr>
      <w:r>
        <w:t>The</w:t>
      </w:r>
      <w:r>
        <w:rPr>
          <w:spacing w:val="-3"/>
        </w:rPr>
        <w:t xml:space="preserve"> </w:t>
      </w:r>
      <w:r>
        <w:t>lack</w:t>
      </w:r>
      <w:r>
        <w:rPr>
          <w:spacing w:val="-3"/>
        </w:rPr>
        <w:t xml:space="preserve"> </w:t>
      </w:r>
      <w:r>
        <w:t>of</w:t>
      </w:r>
      <w:r>
        <w:rPr>
          <w:spacing w:val="-3"/>
        </w:rPr>
        <w:t xml:space="preserve"> </w:t>
      </w:r>
      <w:r>
        <w:t>treatments</w:t>
      </w:r>
      <w:r>
        <w:rPr>
          <w:spacing w:val="-1"/>
        </w:rPr>
        <w:t xml:space="preserve"> </w:t>
      </w:r>
      <w:r>
        <w:t>available</w:t>
      </w:r>
      <w:r>
        <w:rPr>
          <w:spacing w:val="-3"/>
        </w:rPr>
        <w:t xml:space="preserve"> </w:t>
      </w:r>
      <w:r>
        <w:t>for</w:t>
      </w:r>
      <w:r>
        <w:rPr>
          <w:spacing w:val="-3"/>
        </w:rPr>
        <w:t xml:space="preserve"> </w:t>
      </w:r>
      <w:r>
        <w:t>bladder</w:t>
      </w:r>
      <w:r>
        <w:rPr>
          <w:spacing w:val="-3"/>
        </w:rPr>
        <w:t xml:space="preserve"> </w:t>
      </w:r>
      <w:r>
        <w:t>cancer</w:t>
      </w:r>
      <w:r>
        <w:rPr>
          <w:spacing w:val="-1"/>
        </w:rPr>
        <w:t xml:space="preserve"> </w:t>
      </w:r>
      <w:r>
        <w:t>patients</w:t>
      </w:r>
      <w:r>
        <w:rPr>
          <w:spacing w:val="-3"/>
        </w:rPr>
        <w:t xml:space="preserve"> </w:t>
      </w:r>
      <w:r>
        <w:t>is,</w:t>
      </w:r>
      <w:r>
        <w:rPr>
          <w:spacing w:val="-3"/>
        </w:rPr>
        <w:t xml:space="preserve"> </w:t>
      </w:r>
      <w:r>
        <w:t>and</w:t>
      </w:r>
      <w:r>
        <w:rPr>
          <w:spacing w:val="-3"/>
        </w:rPr>
        <w:t xml:space="preserve"> </w:t>
      </w:r>
      <w:r>
        <w:t>has</w:t>
      </w:r>
      <w:r>
        <w:rPr>
          <w:spacing w:val="-2"/>
        </w:rPr>
        <w:t xml:space="preserve"> </w:t>
      </w:r>
      <w:r>
        <w:t>been</w:t>
      </w:r>
      <w:r>
        <w:rPr>
          <w:spacing w:val="-3"/>
        </w:rPr>
        <w:t xml:space="preserve"> </w:t>
      </w:r>
      <w:r>
        <w:t>for</w:t>
      </w:r>
      <w:r>
        <w:rPr>
          <w:spacing w:val="-3"/>
        </w:rPr>
        <w:t xml:space="preserve"> </w:t>
      </w:r>
      <w:r>
        <w:t>many</w:t>
      </w:r>
      <w:r>
        <w:rPr>
          <w:spacing w:val="-2"/>
        </w:rPr>
        <w:t xml:space="preserve"> </w:t>
      </w:r>
      <w:r>
        <w:t>years,</w:t>
      </w:r>
      <w:r>
        <w:rPr>
          <w:spacing w:val="-1"/>
        </w:rPr>
        <w:t xml:space="preserve"> </w:t>
      </w:r>
      <w:r>
        <w:t>a serious health inequality resulting in the exceptionally high mortality rate for</w:t>
      </w:r>
      <w:r>
        <w:rPr>
          <w:spacing w:val="-21"/>
        </w:rPr>
        <w:t xml:space="preserve"> </w:t>
      </w:r>
      <w:r>
        <w:t>patients.</w:t>
      </w:r>
    </w:p>
    <w:p w14:paraId="7DDF7360" w14:textId="02CB0FC9" w:rsidR="007B62D6" w:rsidRDefault="007E469F">
      <w:pPr>
        <w:pStyle w:val="ListParagraph"/>
        <w:numPr>
          <w:ilvl w:val="1"/>
          <w:numId w:val="1"/>
        </w:numPr>
        <w:tabs>
          <w:tab w:val="left" w:pos="1090"/>
        </w:tabs>
        <w:spacing w:line="235" w:lineRule="auto"/>
        <w:ind w:right="164"/>
      </w:pPr>
      <w:r>
        <w:t xml:space="preserve">Pembrolizumab is not </w:t>
      </w:r>
      <w:r w:rsidR="00B833D4">
        <w:t xml:space="preserve">directly </w:t>
      </w:r>
      <w:r>
        <w:t>replicated in any existing treatment available (see point above re comparison with Atezolizumab)</w:t>
      </w:r>
      <w:r w:rsidR="002D274B">
        <w:t>.  I</w:t>
      </w:r>
      <w:r>
        <w:t>t is a developing area of treatment and vital that wider use of these new treatments, and the related evidence generation, is not</w:t>
      </w:r>
      <w:r>
        <w:rPr>
          <w:spacing w:val="-6"/>
        </w:rPr>
        <w:t xml:space="preserve"> </w:t>
      </w:r>
      <w:r>
        <w:t>restricted.</w:t>
      </w:r>
    </w:p>
    <w:p w14:paraId="7DDF7361" w14:textId="77777777" w:rsidR="007B62D6" w:rsidRDefault="007B62D6">
      <w:pPr>
        <w:pStyle w:val="BodyText"/>
        <w:spacing w:before="9"/>
        <w:rPr>
          <w:sz w:val="20"/>
        </w:rPr>
      </w:pPr>
    </w:p>
    <w:p w14:paraId="7DDF7362" w14:textId="3180F993" w:rsidR="007B62D6" w:rsidRDefault="007E469F">
      <w:pPr>
        <w:pStyle w:val="BodyText"/>
        <w:spacing w:line="235" w:lineRule="auto"/>
        <w:ind w:left="596" w:right="180"/>
        <w:jc w:val="both"/>
      </w:pPr>
      <w:r>
        <w:t xml:space="preserve">Thank you for considering this appeal. </w:t>
      </w:r>
      <w:r w:rsidR="00B833D4">
        <w:t xml:space="preserve"> </w:t>
      </w:r>
      <w:r>
        <w:t xml:space="preserve">I, and Action Bladder Cancer UK, will do all we can to provide written or oral information and support should you be minded to progress our appeal </w:t>
      </w:r>
      <w:r w:rsidR="00B833D4">
        <w:t xml:space="preserve">- </w:t>
      </w:r>
      <w:r>
        <w:t>as we, and all bladder cancer patients</w:t>
      </w:r>
      <w:r w:rsidR="002D274B">
        <w:t xml:space="preserve"> including myself</w:t>
      </w:r>
      <w:r>
        <w:t>, sincerely hope you will.</w:t>
      </w:r>
    </w:p>
    <w:p w14:paraId="7DDF7363" w14:textId="77777777" w:rsidR="007B62D6" w:rsidRDefault="007B62D6">
      <w:pPr>
        <w:pStyle w:val="BodyText"/>
        <w:spacing w:before="6"/>
        <w:rPr>
          <w:sz w:val="21"/>
        </w:rPr>
      </w:pPr>
    </w:p>
    <w:p w14:paraId="7DDF7364" w14:textId="77777777" w:rsidR="007B62D6" w:rsidRDefault="007E469F">
      <w:pPr>
        <w:pStyle w:val="BodyText"/>
        <w:ind w:left="596" w:right="7104"/>
      </w:pPr>
      <w:r>
        <w:t>With very best wishes.</w:t>
      </w:r>
    </w:p>
    <w:p w14:paraId="7DDF7365" w14:textId="77777777" w:rsidR="007B62D6" w:rsidRDefault="007B62D6">
      <w:pPr>
        <w:pStyle w:val="BodyText"/>
        <w:spacing w:before="3"/>
        <w:rPr>
          <w:sz w:val="21"/>
        </w:rPr>
      </w:pPr>
    </w:p>
    <w:p w14:paraId="7DDF7366" w14:textId="77777777" w:rsidR="007B62D6" w:rsidRDefault="007E469F">
      <w:pPr>
        <w:pStyle w:val="BodyText"/>
        <w:ind w:left="596" w:right="7104"/>
      </w:pPr>
      <w:r>
        <w:t>Yours sincerely</w:t>
      </w:r>
    </w:p>
    <w:p w14:paraId="7DDF7368" w14:textId="77777777" w:rsidR="007B62D6" w:rsidRDefault="007B62D6">
      <w:pPr>
        <w:pStyle w:val="BodyText"/>
      </w:pPr>
    </w:p>
    <w:p w14:paraId="7DDF736B" w14:textId="4FE5F2D0" w:rsidR="007B62D6" w:rsidRPr="00A851D4" w:rsidRDefault="00C14613" w:rsidP="00C14613">
      <w:pPr>
        <w:pStyle w:val="BodyText"/>
        <w:rPr>
          <w:highlight w:val="black"/>
        </w:rPr>
      </w:pPr>
      <w:r>
        <w:t xml:space="preserve">          </w:t>
      </w:r>
    </w:p>
    <w:p w14:paraId="7DDF736C" w14:textId="2AEBE9A0" w:rsidR="007B62D6" w:rsidRPr="002A0418" w:rsidRDefault="002A0418">
      <w:pPr>
        <w:pStyle w:val="Heading1"/>
        <w:spacing w:line="266" w:lineRule="exact"/>
        <w:ind w:left="596"/>
      </w:pPr>
      <w:proofErr w:type="spellStart"/>
      <w:r w:rsidRPr="002A0418">
        <w:rPr>
          <w:highlight w:val="black"/>
        </w:rPr>
        <w:t>Xxxxx</w:t>
      </w:r>
      <w:proofErr w:type="spellEnd"/>
      <w:r>
        <w:t xml:space="preserve"> </w:t>
      </w:r>
      <w:proofErr w:type="spellStart"/>
      <w:r w:rsidRPr="002A0418">
        <w:rPr>
          <w:highlight w:val="black"/>
        </w:rPr>
        <w:t>xxxxxx</w:t>
      </w:r>
      <w:proofErr w:type="spellEnd"/>
      <w:r>
        <w:t xml:space="preserve"> </w:t>
      </w:r>
    </w:p>
    <w:p w14:paraId="7DDF736D" w14:textId="77777777" w:rsidR="007B62D6" w:rsidRDefault="007E469F">
      <w:pPr>
        <w:spacing w:line="266" w:lineRule="exact"/>
        <w:ind w:left="596"/>
        <w:rPr>
          <w:b/>
        </w:rPr>
      </w:pPr>
      <w:r w:rsidRPr="002A0418">
        <w:rPr>
          <w:b/>
        </w:rPr>
        <w:t>Chair,</w:t>
      </w:r>
      <w:r>
        <w:rPr>
          <w:b/>
        </w:rPr>
        <w:t xml:space="preserve"> Action Bladder Cancer UK</w:t>
      </w:r>
    </w:p>
    <w:sectPr w:rsidR="007B62D6">
      <w:pgSz w:w="11900" w:h="16840"/>
      <w:pgMar w:top="920" w:right="9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D04"/>
    <w:multiLevelType w:val="hybridMultilevel"/>
    <w:tmpl w:val="CC740052"/>
    <w:lvl w:ilvl="0" w:tplc="C54808E4">
      <w:numFmt w:val="bullet"/>
      <w:lvlText w:val=""/>
      <w:lvlJc w:val="left"/>
      <w:pPr>
        <w:ind w:left="829" w:hanging="361"/>
      </w:pPr>
      <w:rPr>
        <w:rFonts w:ascii="Symbol" w:eastAsia="Symbol" w:hAnsi="Symbol" w:cs="Symbol" w:hint="default"/>
        <w:w w:val="100"/>
        <w:sz w:val="22"/>
        <w:szCs w:val="22"/>
        <w:lang w:val="en-US" w:eastAsia="en-US" w:bidi="en-US"/>
      </w:rPr>
    </w:lvl>
    <w:lvl w:ilvl="1" w:tplc="6FC41892">
      <w:numFmt w:val="bullet"/>
      <w:lvlText w:val=""/>
      <w:lvlJc w:val="left"/>
      <w:pPr>
        <w:ind w:left="1089" w:hanging="294"/>
      </w:pPr>
      <w:rPr>
        <w:rFonts w:ascii="Symbol" w:eastAsia="Symbol" w:hAnsi="Symbol" w:cs="Symbol" w:hint="default"/>
        <w:w w:val="100"/>
        <w:sz w:val="22"/>
        <w:szCs w:val="22"/>
        <w:lang w:val="en-US" w:eastAsia="en-US" w:bidi="en-US"/>
      </w:rPr>
    </w:lvl>
    <w:lvl w:ilvl="2" w:tplc="E0BAFD4E">
      <w:numFmt w:val="bullet"/>
      <w:lvlText w:val="•"/>
      <w:lvlJc w:val="left"/>
      <w:pPr>
        <w:ind w:left="2039" w:hanging="294"/>
      </w:pPr>
      <w:rPr>
        <w:rFonts w:hint="default"/>
        <w:lang w:val="en-US" w:eastAsia="en-US" w:bidi="en-US"/>
      </w:rPr>
    </w:lvl>
    <w:lvl w:ilvl="3" w:tplc="537AFCBA">
      <w:numFmt w:val="bullet"/>
      <w:lvlText w:val="•"/>
      <w:lvlJc w:val="left"/>
      <w:pPr>
        <w:ind w:left="2999" w:hanging="294"/>
      </w:pPr>
      <w:rPr>
        <w:rFonts w:hint="default"/>
        <w:lang w:val="en-US" w:eastAsia="en-US" w:bidi="en-US"/>
      </w:rPr>
    </w:lvl>
    <w:lvl w:ilvl="4" w:tplc="1C98442C">
      <w:numFmt w:val="bullet"/>
      <w:lvlText w:val="•"/>
      <w:lvlJc w:val="left"/>
      <w:pPr>
        <w:ind w:left="3959" w:hanging="294"/>
      </w:pPr>
      <w:rPr>
        <w:rFonts w:hint="default"/>
        <w:lang w:val="en-US" w:eastAsia="en-US" w:bidi="en-US"/>
      </w:rPr>
    </w:lvl>
    <w:lvl w:ilvl="5" w:tplc="9AF2A9FA">
      <w:numFmt w:val="bullet"/>
      <w:lvlText w:val="•"/>
      <w:lvlJc w:val="left"/>
      <w:pPr>
        <w:ind w:left="4919" w:hanging="294"/>
      </w:pPr>
      <w:rPr>
        <w:rFonts w:hint="default"/>
        <w:lang w:val="en-US" w:eastAsia="en-US" w:bidi="en-US"/>
      </w:rPr>
    </w:lvl>
    <w:lvl w:ilvl="6" w:tplc="49AE2D6A">
      <w:numFmt w:val="bullet"/>
      <w:lvlText w:val="•"/>
      <w:lvlJc w:val="left"/>
      <w:pPr>
        <w:ind w:left="5879" w:hanging="294"/>
      </w:pPr>
      <w:rPr>
        <w:rFonts w:hint="default"/>
        <w:lang w:val="en-US" w:eastAsia="en-US" w:bidi="en-US"/>
      </w:rPr>
    </w:lvl>
    <w:lvl w:ilvl="7" w:tplc="91D29C62">
      <w:numFmt w:val="bullet"/>
      <w:lvlText w:val="•"/>
      <w:lvlJc w:val="left"/>
      <w:pPr>
        <w:ind w:left="6839" w:hanging="294"/>
      </w:pPr>
      <w:rPr>
        <w:rFonts w:hint="default"/>
        <w:lang w:val="en-US" w:eastAsia="en-US" w:bidi="en-US"/>
      </w:rPr>
    </w:lvl>
    <w:lvl w:ilvl="8" w:tplc="DE30874C">
      <w:numFmt w:val="bullet"/>
      <w:lvlText w:val="•"/>
      <w:lvlJc w:val="left"/>
      <w:pPr>
        <w:ind w:left="7799" w:hanging="29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D6"/>
    <w:rsid w:val="00263537"/>
    <w:rsid w:val="002A0418"/>
    <w:rsid w:val="002D274B"/>
    <w:rsid w:val="006763E2"/>
    <w:rsid w:val="007B62D6"/>
    <w:rsid w:val="007E469F"/>
    <w:rsid w:val="00A851D4"/>
    <w:rsid w:val="00B833D4"/>
    <w:rsid w:val="00C14613"/>
    <w:rsid w:val="00DF0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733C"/>
  <w15:docId w15:val="{D73DE710-5CD0-4EF8-9699-84024457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EVANS</dc:creator>
  <cp:lastModifiedBy>Maria Pitan</cp:lastModifiedBy>
  <cp:revision>4</cp:revision>
  <dcterms:created xsi:type="dcterms:W3CDTF">2020-06-15T14:34:00Z</dcterms:created>
  <dcterms:modified xsi:type="dcterms:W3CDTF">2020-06-23T10:04:00Z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Acrobat PDFMaker 20 for Word</vt:lpwstr>
  </property>
  <property fmtid="{D5CDD505-2E9C-101B-9397-08002B2CF9AE}" pid="4" name="LastSaved">
    <vt:filetime>2020-03-26T00:00:00Z</vt:filetime>
  </property>
</Properties>
</file>