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61241C" w14:textId="77777777" w:rsidR="0009043D" w:rsidRDefault="0009043D" w:rsidP="00F673BE">
      <w:pPr>
        <w:jc w:val="both"/>
        <w:rPr>
          <w:sz w:val="22"/>
          <w:szCs w:val="22"/>
        </w:rPr>
      </w:pPr>
    </w:p>
    <w:p w14:paraId="114F5854" w14:textId="77777777" w:rsidR="00A603FD" w:rsidRDefault="00A603FD" w:rsidP="00F673BE">
      <w:pPr>
        <w:jc w:val="both"/>
        <w:rPr>
          <w:sz w:val="22"/>
          <w:szCs w:val="22"/>
        </w:rPr>
      </w:pPr>
    </w:p>
    <w:p w14:paraId="07B5FC5D" w14:textId="77777777" w:rsidR="00A603FD" w:rsidRDefault="00A603FD" w:rsidP="00F673BE">
      <w:pPr>
        <w:jc w:val="both"/>
        <w:rPr>
          <w:sz w:val="22"/>
          <w:szCs w:val="22"/>
        </w:rPr>
      </w:pPr>
    </w:p>
    <w:p w14:paraId="53F9399E" w14:textId="77777777" w:rsidR="00A603FD" w:rsidRDefault="00A603FD" w:rsidP="00F673BE">
      <w:pPr>
        <w:jc w:val="both"/>
        <w:rPr>
          <w:sz w:val="22"/>
          <w:szCs w:val="22"/>
        </w:rPr>
      </w:pPr>
    </w:p>
    <w:p w14:paraId="56FCCF48" w14:textId="77777777" w:rsidR="00A603FD" w:rsidRDefault="00A603FD" w:rsidP="00F673BE">
      <w:pPr>
        <w:jc w:val="both"/>
        <w:rPr>
          <w:sz w:val="22"/>
          <w:szCs w:val="22"/>
        </w:rPr>
      </w:pPr>
    </w:p>
    <w:p w14:paraId="58387BB4" w14:textId="77777777" w:rsidR="00A603FD" w:rsidRDefault="00A603FD" w:rsidP="00F673BE">
      <w:pPr>
        <w:jc w:val="both"/>
        <w:rPr>
          <w:sz w:val="22"/>
          <w:szCs w:val="22"/>
        </w:rPr>
      </w:pPr>
    </w:p>
    <w:p w14:paraId="1F0F5736" w14:textId="77777777" w:rsidR="00A603FD" w:rsidRDefault="00A603FD" w:rsidP="00F673BE">
      <w:pPr>
        <w:jc w:val="both"/>
        <w:rPr>
          <w:sz w:val="22"/>
          <w:szCs w:val="22"/>
        </w:rPr>
      </w:pPr>
    </w:p>
    <w:p w14:paraId="27A1B169" w14:textId="77777777" w:rsidR="00A603FD" w:rsidRDefault="00A603FD" w:rsidP="00F673BE">
      <w:pPr>
        <w:jc w:val="both"/>
        <w:rPr>
          <w:sz w:val="22"/>
          <w:szCs w:val="22"/>
        </w:rPr>
      </w:pPr>
    </w:p>
    <w:p w14:paraId="3AA7E505" w14:textId="77777777" w:rsidR="00A603FD" w:rsidRDefault="00A603FD" w:rsidP="00F673BE">
      <w:pPr>
        <w:jc w:val="both"/>
        <w:rPr>
          <w:sz w:val="22"/>
          <w:szCs w:val="22"/>
        </w:rPr>
      </w:pPr>
    </w:p>
    <w:p w14:paraId="4ED341A2" w14:textId="77777777" w:rsidR="00A603FD" w:rsidRDefault="00A603FD" w:rsidP="00F673BE">
      <w:pPr>
        <w:jc w:val="both"/>
        <w:rPr>
          <w:sz w:val="22"/>
          <w:szCs w:val="22"/>
        </w:rPr>
      </w:pPr>
    </w:p>
    <w:p w14:paraId="5F70FB97" w14:textId="77777777" w:rsidR="00A603FD" w:rsidRPr="004D57C8" w:rsidRDefault="00A603FD" w:rsidP="00A603FD">
      <w:pPr>
        <w:rPr>
          <w:rFonts w:ascii="Times New Roman" w:hAnsi="Times New Roman" w:cs="Times New Roman"/>
          <w:sz w:val="21"/>
          <w:szCs w:val="21"/>
        </w:rPr>
      </w:pPr>
      <w:r w:rsidRPr="004D57C8">
        <w:rPr>
          <w:rFonts w:ascii="Times New Roman" w:hAnsi="Times New Roman" w:cs="Times New Roman"/>
          <w:sz w:val="21"/>
          <w:szCs w:val="21"/>
        </w:rPr>
        <w:t>Dr Rima Makarem</w:t>
      </w:r>
    </w:p>
    <w:p w14:paraId="57BAB22E" w14:textId="2B2FAF9E" w:rsidR="00A603FD" w:rsidRPr="004D57C8" w:rsidRDefault="00A603FD" w:rsidP="00A603FD">
      <w:pPr>
        <w:rPr>
          <w:rFonts w:ascii="Times New Roman" w:hAnsi="Times New Roman" w:cs="Times New Roman"/>
          <w:sz w:val="21"/>
          <w:szCs w:val="21"/>
        </w:rPr>
      </w:pPr>
      <w:r w:rsidRPr="004D57C8">
        <w:rPr>
          <w:rFonts w:ascii="Times New Roman" w:hAnsi="Times New Roman" w:cs="Times New Roman"/>
          <w:sz w:val="21"/>
          <w:szCs w:val="21"/>
        </w:rPr>
        <w:t xml:space="preserve">Interim Vice-Chair </w:t>
      </w:r>
    </w:p>
    <w:p w14:paraId="6A92E8ED" w14:textId="678E435A" w:rsidR="00A603FD" w:rsidRPr="004D57C8" w:rsidRDefault="00A603FD" w:rsidP="00A603FD">
      <w:pPr>
        <w:rPr>
          <w:rFonts w:ascii="Times New Roman" w:hAnsi="Times New Roman" w:cs="Times New Roman"/>
          <w:sz w:val="21"/>
          <w:szCs w:val="21"/>
        </w:rPr>
      </w:pPr>
      <w:r w:rsidRPr="004D57C8">
        <w:rPr>
          <w:rFonts w:ascii="Times New Roman" w:hAnsi="Times New Roman" w:cs="Times New Roman"/>
          <w:sz w:val="21"/>
          <w:szCs w:val="21"/>
        </w:rPr>
        <w:t>National Institute for Health and Care Excellence</w:t>
      </w:r>
    </w:p>
    <w:p w14:paraId="20FEAFFB" w14:textId="77777777" w:rsidR="00A603FD" w:rsidRPr="004D57C8" w:rsidRDefault="00A603FD" w:rsidP="00A603FD">
      <w:pPr>
        <w:rPr>
          <w:rFonts w:ascii="Times New Roman" w:hAnsi="Times New Roman" w:cs="Times New Roman"/>
          <w:sz w:val="21"/>
          <w:szCs w:val="21"/>
        </w:rPr>
      </w:pPr>
      <w:r w:rsidRPr="004D57C8">
        <w:rPr>
          <w:rFonts w:ascii="Times New Roman" w:hAnsi="Times New Roman" w:cs="Times New Roman"/>
          <w:sz w:val="21"/>
          <w:szCs w:val="21"/>
        </w:rPr>
        <w:t>10 Spring Gardens</w:t>
      </w:r>
    </w:p>
    <w:p w14:paraId="65B1E887" w14:textId="5C05027C" w:rsidR="00A603FD" w:rsidRPr="004D57C8" w:rsidRDefault="00A603FD" w:rsidP="00A603FD">
      <w:pPr>
        <w:rPr>
          <w:rFonts w:ascii="Times New Roman" w:hAnsi="Times New Roman" w:cs="Times New Roman"/>
          <w:sz w:val="21"/>
          <w:szCs w:val="21"/>
        </w:rPr>
      </w:pPr>
      <w:r w:rsidRPr="004D57C8">
        <w:rPr>
          <w:rFonts w:ascii="Times New Roman" w:hAnsi="Times New Roman" w:cs="Times New Roman"/>
          <w:sz w:val="21"/>
          <w:szCs w:val="21"/>
        </w:rPr>
        <w:t>London, SW1A 2BU</w:t>
      </w:r>
    </w:p>
    <w:p w14:paraId="753273A8" w14:textId="77777777" w:rsidR="00A603FD" w:rsidRPr="004D57C8" w:rsidRDefault="00A603FD" w:rsidP="00A603FD">
      <w:pPr>
        <w:rPr>
          <w:rFonts w:ascii="Times New Roman" w:hAnsi="Times New Roman" w:cs="Times New Roman"/>
          <w:sz w:val="21"/>
          <w:szCs w:val="21"/>
        </w:rPr>
      </w:pPr>
    </w:p>
    <w:p w14:paraId="71F0E53E" w14:textId="4DE6F9E8" w:rsidR="00A603FD" w:rsidRPr="004D57C8" w:rsidRDefault="00517845" w:rsidP="00A603FD">
      <w:pPr>
        <w:jc w:val="right"/>
        <w:rPr>
          <w:rFonts w:ascii="Times New Roman" w:hAnsi="Times New Roman" w:cs="Times New Roman"/>
          <w:sz w:val="21"/>
          <w:szCs w:val="21"/>
        </w:rPr>
      </w:pPr>
      <w:r w:rsidRPr="004D57C8">
        <w:rPr>
          <w:rFonts w:ascii="Times New Roman" w:hAnsi="Times New Roman" w:cs="Times New Roman"/>
          <w:sz w:val="21"/>
          <w:szCs w:val="21"/>
        </w:rPr>
        <w:t>01 May</w:t>
      </w:r>
      <w:r w:rsidR="00A603FD" w:rsidRPr="004D57C8">
        <w:rPr>
          <w:rFonts w:ascii="Times New Roman" w:hAnsi="Times New Roman" w:cs="Times New Roman"/>
          <w:sz w:val="21"/>
          <w:szCs w:val="21"/>
        </w:rPr>
        <w:t xml:space="preserve"> 2020</w:t>
      </w:r>
    </w:p>
    <w:p w14:paraId="69B7B43B" w14:textId="77777777" w:rsidR="00A603FD" w:rsidRPr="004D57C8" w:rsidRDefault="00A603FD" w:rsidP="00F673BE">
      <w:pPr>
        <w:jc w:val="both"/>
        <w:rPr>
          <w:sz w:val="21"/>
          <w:szCs w:val="21"/>
        </w:rPr>
      </w:pPr>
    </w:p>
    <w:p w14:paraId="3AB31D3D" w14:textId="41977030" w:rsidR="002A4F0E" w:rsidRPr="004D57C8" w:rsidRDefault="00636203" w:rsidP="00F673BE">
      <w:pPr>
        <w:jc w:val="both"/>
        <w:rPr>
          <w:sz w:val="21"/>
          <w:szCs w:val="21"/>
        </w:rPr>
      </w:pPr>
      <w:r w:rsidRPr="004D57C8">
        <w:rPr>
          <w:sz w:val="21"/>
          <w:szCs w:val="21"/>
        </w:rPr>
        <w:t>Dear Dr Makarem</w:t>
      </w:r>
    </w:p>
    <w:p w14:paraId="0475898D" w14:textId="016CBDDA" w:rsidR="00636203" w:rsidRPr="004D57C8" w:rsidRDefault="00636203" w:rsidP="00F673BE">
      <w:pPr>
        <w:jc w:val="both"/>
        <w:rPr>
          <w:sz w:val="21"/>
          <w:szCs w:val="21"/>
        </w:rPr>
      </w:pPr>
    </w:p>
    <w:p w14:paraId="43BC16BB" w14:textId="7AFE8219" w:rsidR="004D57C8" w:rsidRPr="004D57C8" w:rsidRDefault="004D57C8" w:rsidP="00F673BE">
      <w:pPr>
        <w:jc w:val="both"/>
        <w:rPr>
          <w:b/>
          <w:i/>
          <w:sz w:val="21"/>
          <w:szCs w:val="21"/>
        </w:rPr>
      </w:pPr>
      <w:r w:rsidRPr="004D57C8">
        <w:rPr>
          <w:b/>
          <w:i/>
          <w:sz w:val="21"/>
          <w:szCs w:val="21"/>
        </w:rPr>
        <w:t>Re: MSD Appeal of Final Appraisal Document - Pembrolizumab for treating locally advanced or metastatic urothelial carcinoma after platinum - containing chemotherapy [ID1536] (CDF guidance review of TA519)</w:t>
      </w:r>
    </w:p>
    <w:p w14:paraId="00BDBE6A" w14:textId="77777777" w:rsidR="004D57C8" w:rsidRPr="004D57C8" w:rsidRDefault="004D57C8" w:rsidP="00F673BE">
      <w:pPr>
        <w:jc w:val="both"/>
        <w:rPr>
          <w:sz w:val="21"/>
          <w:szCs w:val="21"/>
        </w:rPr>
      </w:pPr>
    </w:p>
    <w:p w14:paraId="65ABE676" w14:textId="5ACF6A1D" w:rsidR="00517845" w:rsidRPr="004D57C8" w:rsidRDefault="00392AD6" w:rsidP="00F673BE">
      <w:pPr>
        <w:jc w:val="both"/>
        <w:rPr>
          <w:sz w:val="21"/>
          <w:szCs w:val="21"/>
        </w:rPr>
      </w:pPr>
      <w:r w:rsidRPr="004D57C8">
        <w:rPr>
          <w:sz w:val="21"/>
          <w:szCs w:val="21"/>
        </w:rPr>
        <w:t>Thank you</w:t>
      </w:r>
      <w:r w:rsidR="00517845" w:rsidRPr="004D57C8">
        <w:rPr>
          <w:sz w:val="21"/>
          <w:szCs w:val="21"/>
        </w:rPr>
        <w:t xml:space="preserve"> very much</w:t>
      </w:r>
      <w:r w:rsidRPr="004D57C8">
        <w:rPr>
          <w:sz w:val="21"/>
          <w:szCs w:val="21"/>
        </w:rPr>
        <w:t xml:space="preserve"> for</w:t>
      </w:r>
      <w:r w:rsidR="00517845" w:rsidRPr="004D57C8">
        <w:rPr>
          <w:sz w:val="21"/>
          <w:szCs w:val="21"/>
        </w:rPr>
        <w:t xml:space="preserve"> your</w:t>
      </w:r>
      <w:r w:rsidRPr="004D57C8">
        <w:rPr>
          <w:sz w:val="21"/>
          <w:szCs w:val="21"/>
        </w:rPr>
        <w:t xml:space="preserve"> </w:t>
      </w:r>
      <w:r w:rsidR="004D57C8" w:rsidRPr="004D57C8">
        <w:rPr>
          <w:sz w:val="21"/>
          <w:szCs w:val="21"/>
        </w:rPr>
        <w:t xml:space="preserve">final scrutiny </w:t>
      </w:r>
      <w:r w:rsidR="00517845" w:rsidRPr="004D57C8">
        <w:rPr>
          <w:sz w:val="21"/>
          <w:szCs w:val="21"/>
        </w:rPr>
        <w:t>letter dated 29 April 2020.</w:t>
      </w:r>
    </w:p>
    <w:p w14:paraId="5DBE5A51" w14:textId="6A9BAD8A" w:rsidR="00517845" w:rsidRPr="004D57C8" w:rsidRDefault="00517845" w:rsidP="00F673BE">
      <w:pPr>
        <w:jc w:val="both"/>
        <w:rPr>
          <w:sz w:val="21"/>
          <w:szCs w:val="21"/>
        </w:rPr>
      </w:pPr>
    </w:p>
    <w:p w14:paraId="71FAB596" w14:textId="684F5498" w:rsidR="00517845" w:rsidRPr="004D57C8" w:rsidRDefault="00517845" w:rsidP="00F673BE">
      <w:pPr>
        <w:jc w:val="both"/>
        <w:rPr>
          <w:sz w:val="21"/>
          <w:szCs w:val="21"/>
        </w:rPr>
      </w:pPr>
      <w:r w:rsidRPr="004D57C8">
        <w:rPr>
          <w:sz w:val="21"/>
          <w:szCs w:val="21"/>
        </w:rPr>
        <w:t>As requested, please find enclosed the following</w:t>
      </w:r>
      <w:r w:rsidR="00170F2D" w:rsidRPr="004D57C8">
        <w:rPr>
          <w:sz w:val="21"/>
          <w:szCs w:val="21"/>
        </w:rPr>
        <w:t>:</w:t>
      </w:r>
      <w:r w:rsidRPr="004D57C8">
        <w:rPr>
          <w:sz w:val="21"/>
          <w:szCs w:val="21"/>
        </w:rPr>
        <w:t xml:space="preserve"> </w:t>
      </w:r>
    </w:p>
    <w:p w14:paraId="3776A0AB" w14:textId="77777777" w:rsidR="00517845" w:rsidRPr="004D57C8" w:rsidRDefault="00517845" w:rsidP="00F673BE">
      <w:pPr>
        <w:jc w:val="both"/>
        <w:rPr>
          <w:sz w:val="21"/>
          <w:szCs w:val="21"/>
        </w:rPr>
      </w:pPr>
    </w:p>
    <w:p w14:paraId="695FDC80" w14:textId="54893B98" w:rsidR="00170F2D" w:rsidRPr="004D57C8" w:rsidRDefault="00517845" w:rsidP="00517845">
      <w:pPr>
        <w:pStyle w:val="ListParagraph"/>
        <w:numPr>
          <w:ilvl w:val="0"/>
          <w:numId w:val="36"/>
        </w:numPr>
        <w:jc w:val="both"/>
        <w:rPr>
          <w:sz w:val="21"/>
          <w:szCs w:val="21"/>
        </w:rPr>
      </w:pPr>
      <w:r w:rsidRPr="004D57C8">
        <w:rPr>
          <w:sz w:val="21"/>
          <w:szCs w:val="21"/>
        </w:rPr>
        <w:t xml:space="preserve">A document containing extracts from </w:t>
      </w:r>
      <w:r w:rsidR="00170F2D" w:rsidRPr="004D57C8">
        <w:rPr>
          <w:sz w:val="21"/>
          <w:szCs w:val="21"/>
        </w:rPr>
        <w:t xml:space="preserve">the following </w:t>
      </w:r>
      <w:r w:rsidRPr="004D57C8">
        <w:rPr>
          <w:sz w:val="21"/>
          <w:szCs w:val="21"/>
        </w:rPr>
        <w:t xml:space="preserve">papers in TA525 </w:t>
      </w:r>
      <w:r w:rsidR="00867137" w:rsidRPr="004D57C8">
        <w:rPr>
          <w:sz w:val="21"/>
          <w:szCs w:val="21"/>
        </w:rPr>
        <w:t>and</w:t>
      </w:r>
      <w:r w:rsidRPr="004D57C8">
        <w:rPr>
          <w:sz w:val="21"/>
          <w:szCs w:val="21"/>
        </w:rPr>
        <w:t xml:space="preserve"> TA520</w:t>
      </w:r>
      <w:r w:rsidR="00A83558" w:rsidRPr="004D57C8">
        <w:rPr>
          <w:sz w:val="21"/>
          <w:szCs w:val="21"/>
        </w:rPr>
        <w:t xml:space="preserve"> which are of relevance to Ground 1a.1</w:t>
      </w:r>
      <w:r w:rsidR="00170F2D" w:rsidRPr="004D57C8">
        <w:rPr>
          <w:sz w:val="21"/>
          <w:szCs w:val="21"/>
        </w:rPr>
        <w:t xml:space="preserve"> in MSD’s appeal:</w:t>
      </w:r>
    </w:p>
    <w:p w14:paraId="63A56B72" w14:textId="77777777" w:rsidR="00170F2D" w:rsidRPr="004D57C8" w:rsidRDefault="00170F2D" w:rsidP="00170F2D">
      <w:pPr>
        <w:pStyle w:val="ListParagraph"/>
        <w:jc w:val="both"/>
        <w:rPr>
          <w:sz w:val="21"/>
          <w:szCs w:val="21"/>
        </w:rPr>
      </w:pPr>
    </w:p>
    <w:p w14:paraId="7D683E0A" w14:textId="73EE2A62" w:rsidR="00170F2D" w:rsidRPr="004D57C8" w:rsidRDefault="00170F2D" w:rsidP="00170F2D">
      <w:pPr>
        <w:pStyle w:val="ListParagraph"/>
        <w:numPr>
          <w:ilvl w:val="1"/>
          <w:numId w:val="36"/>
        </w:numPr>
        <w:jc w:val="both"/>
        <w:rPr>
          <w:sz w:val="21"/>
          <w:szCs w:val="21"/>
        </w:rPr>
      </w:pPr>
      <w:r w:rsidRPr="004D57C8">
        <w:rPr>
          <w:sz w:val="21"/>
          <w:szCs w:val="21"/>
        </w:rPr>
        <w:t>TA525 –3rd set of committee papers (specifically page</w:t>
      </w:r>
      <w:r w:rsidR="00273D41" w:rsidRPr="004D57C8">
        <w:rPr>
          <w:sz w:val="21"/>
          <w:szCs w:val="21"/>
        </w:rPr>
        <w:t>s</w:t>
      </w:r>
      <w:r w:rsidRPr="004D57C8">
        <w:rPr>
          <w:sz w:val="21"/>
          <w:szCs w:val="21"/>
        </w:rPr>
        <w:t xml:space="preserve"> 28</w:t>
      </w:r>
      <w:r w:rsidR="00273D41" w:rsidRPr="004D57C8">
        <w:rPr>
          <w:sz w:val="21"/>
          <w:szCs w:val="21"/>
        </w:rPr>
        <w:t>-29</w:t>
      </w:r>
      <w:r w:rsidRPr="004D57C8">
        <w:rPr>
          <w:sz w:val="21"/>
          <w:szCs w:val="21"/>
        </w:rPr>
        <w:t>, concerning the additional analyses submitted by the company [page</w:t>
      </w:r>
      <w:r w:rsidR="00273D41" w:rsidRPr="004D57C8">
        <w:rPr>
          <w:sz w:val="21"/>
          <w:szCs w:val="21"/>
        </w:rPr>
        <w:t>s</w:t>
      </w:r>
      <w:r w:rsidRPr="004D57C8">
        <w:rPr>
          <w:sz w:val="21"/>
          <w:szCs w:val="21"/>
        </w:rPr>
        <w:t xml:space="preserve"> 2</w:t>
      </w:r>
      <w:r w:rsidR="00273D41" w:rsidRPr="004D57C8">
        <w:rPr>
          <w:sz w:val="21"/>
          <w:szCs w:val="21"/>
        </w:rPr>
        <w:t>-3</w:t>
      </w:r>
      <w:r w:rsidRPr="004D57C8">
        <w:rPr>
          <w:sz w:val="21"/>
          <w:szCs w:val="21"/>
        </w:rPr>
        <w:t xml:space="preserve"> of the additional analyses submitted by Roche]</w:t>
      </w:r>
      <w:proofErr w:type="gramStart"/>
      <w:r w:rsidRPr="004D57C8">
        <w:rPr>
          <w:sz w:val="21"/>
          <w:szCs w:val="21"/>
        </w:rPr>
        <w:t>);</w:t>
      </w:r>
      <w:proofErr w:type="gramEnd"/>
      <w:r w:rsidRPr="004D57C8">
        <w:rPr>
          <w:sz w:val="21"/>
          <w:szCs w:val="21"/>
        </w:rPr>
        <w:t xml:space="preserve"> </w:t>
      </w:r>
    </w:p>
    <w:p w14:paraId="23210217" w14:textId="3D56F512" w:rsidR="00170F2D" w:rsidRPr="004D57C8" w:rsidRDefault="00170F2D" w:rsidP="00170F2D">
      <w:pPr>
        <w:pStyle w:val="ListParagraph"/>
        <w:ind w:left="1440"/>
        <w:jc w:val="both"/>
        <w:rPr>
          <w:sz w:val="21"/>
          <w:szCs w:val="21"/>
        </w:rPr>
      </w:pPr>
    </w:p>
    <w:p w14:paraId="430BA795" w14:textId="2396623E" w:rsidR="00170F2D" w:rsidRPr="004D57C8" w:rsidRDefault="00170F2D" w:rsidP="00170F2D">
      <w:pPr>
        <w:pStyle w:val="ListParagraph"/>
        <w:numPr>
          <w:ilvl w:val="1"/>
          <w:numId w:val="36"/>
        </w:numPr>
        <w:jc w:val="both"/>
        <w:rPr>
          <w:sz w:val="21"/>
          <w:szCs w:val="21"/>
        </w:rPr>
      </w:pPr>
      <w:r w:rsidRPr="004D57C8">
        <w:rPr>
          <w:sz w:val="21"/>
          <w:szCs w:val="21"/>
        </w:rPr>
        <w:t>TA520 – 1st set of committee papers (specifically pages 552-553 [pages 112-113 of the ERG report]</w:t>
      </w:r>
      <w:proofErr w:type="gramStart"/>
      <w:r w:rsidRPr="004D57C8">
        <w:rPr>
          <w:sz w:val="21"/>
          <w:szCs w:val="21"/>
        </w:rPr>
        <w:t>);</w:t>
      </w:r>
      <w:proofErr w:type="gramEnd"/>
    </w:p>
    <w:p w14:paraId="5F991CE0" w14:textId="77777777" w:rsidR="00170F2D" w:rsidRPr="004D57C8" w:rsidRDefault="00170F2D" w:rsidP="00170F2D">
      <w:pPr>
        <w:jc w:val="both"/>
        <w:rPr>
          <w:sz w:val="21"/>
          <w:szCs w:val="21"/>
        </w:rPr>
      </w:pPr>
    </w:p>
    <w:p w14:paraId="715D7859" w14:textId="43F0CB20" w:rsidR="00517845" w:rsidRPr="004D57C8" w:rsidRDefault="00170F2D" w:rsidP="00170F2D">
      <w:pPr>
        <w:jc w:val="both"/>
        <w:rPr>
          <w:sz w:val="21"/>
          <w:szCs w:val="21"/>
        </w:rPr>
      </w:pPr>
      <w:r w:rsidRPr="004D57C8">
        <w:rPr>
          <w:sz w:val="21"/>
          <w:szCs w:val="21"/>
        </w:rPr>
        <w:t xml:space="preserve">As requested, the extract document complies with the </w:t>
      </w:r>
      <w:r w:rsidR="00517845" w:rsidRPr="004D57C8">
        <w:rPr>
          <w:sz w:val="21"/>
          <w:szCs w:val="21"/>
        </w:rPr>
        <w:t>following specification</w:t>
      </w:r>
      <w:r w:rsidR="00A83558" w:rsidRPr="004D57C8">
        <w:rPr>
          <w:sz w:val="21"/>
          <w:szCs w:val="21"/>
        </w:rPr>
        <w:t>:</w:t>
      </w:r>
    </w:p>
    <w:p w14:paraId="0B0662AE" w14:textId="77777777" w:rsidR="00517845" w:rsidRPr="004D57C8" w:rsidRDefault="00517845" w:rsidP="00517845">
      <w:pPr>
        <w:pStyle w:val="ListParagraph"/>
        <w:jc w:val="both"/>
        <w:rPr>
          <w:sz w:val="21"/>
          <w:szCs w:val="21"/>
        </w:rPr>
      </w:pPr>
    </w:p>
    <w:p w14:paraId="73CAD749" w14:textId="7F4E7EB7" w:rsidR="00517845" w:rsidRPr="004D57C8" w:rsidRDefault="00517845" w:rsidP="00170F2D">
      <w:pPr>
        <w:pStyle w:val="ListParagraph"/>
        <w:numPr>
          <w:ilvl w:val="0"/>
          <w:numId w:val="36"/>
        </w:numPr>
        <w:jc w:val="both"/>
        <w:rPr>
          <w:sz w:val="21"/>
          <w:szCs w:val="21"/>
        </w:rPr>
      </w:pPr>
      <w:r w:rsidRPr="004D57C8">
        <w:rPr>
          <w:sz w:val="21"/>
          <w:szCs w:val="21"/>
        </w:rPr>
        <w:t xml:space="preserve">Less than 15 pages in length at </w:t>
      </w:r>
      <w:proofErr w:type="gramStart"/>
      <w:r w:rsidRPr="004D57C8">
        <w:rPr>
          <w:sz w:val="21"/>
          <w:szCs w:val="21"/>
        </w:rPr>
        <w:t>10 point</w:t>
      </w:r>
      <w:proofErr w:type="gramEnd"/>
      <w:r w:rsidRPr="004D57C8">
        <w:rPr>
          <w:sz w:val="21"/>
          <w:szCs w:val="21"/>
        </w:rPr>
        <w:t xml:space="preserve"> font</w:t>
      </w:r>
    </w:p>
    <w:p w14:paraId="768FB658" w14:textId="597345F3" w:rsidR="00517845" w:rsidRPr="004D57C8" w:rsidRDefault="00517845" w:rsidP="00170F2D">
      <w:pPr>
        <w:pStyle w:val="ListParagraph"/>
        <w:numPr>
          <w:ilvl w:val="0"/>
          <w:numId w:val="36"/>
        </w:numPr>
        <w:jc w:val="both"/>
        <w:rPr>
          <w:sz w:val="21"/>
          <w:szCs w:val="21"/>
        </w:rPr>
      </w:pPr>
      <w:r w:rsidRPr="004D57C8">
        <w:rPr>
          <w:sz w:val="21"/>
          <w:szCs w:val="21"/>
        </w:rPr>
        <w:t>Contains only verbatim extracts from documents that were before or generated by the committee in TA525 or 520 (and no summary or argument based on those extracts)</w:t>
      </w:r>
    </w:p>
    <w:p w14:paraId="5A78A7A5" w14:textId="364F5438" w:rsidR="00517845" w:rsidRPr="004D57C8" w:rsidRDefault="00517845" w:rsidP="00170F2D">
      <w:pPr>
        <w:pStyle w:val="ListParagraph"/>
        <w:numPr>
          <w:ilvl w:val="0"/>
          <w:numId w:val="36"/>
        </w:numPr>
        <w:jc w:val="both"/>
        <w:rPr>
          <w:sz w:val="21"/>
          <w:szCs w:val="21"/>
        </w:rPr>
      </w:pPr>
      <w:r w:rsidRPr="004D57C8">
        <w:rPr>
          <w:sz w:val="21"/>
          <w:szCs w:val="21"/>
        </w:rPr>
        <w:t>Ellipsis marked in the usual way, without change the meaning of any extract</w:t>
      </w:r>
    </w:p>
    <w:p w14:paraId="18620312" w14:textId="66B113FC" w:rsidR="00517845" w:rsidRPr="004D57C8" w:rsidRDefault="00517845" w:rsidP="00170F2D">
      <w:pPr>
        <w:pStyle w:val="ListParagraph"/>
        <w:numPr>
          <w:ilvl w:val="0"/>
          <w:numId w:val="36"/>
        </w:numPr>
        <w:jc w:val="both"/>
        <w:rPr>
          <w:sz w:val="21"/>
          <w:szCs w:val="21"/>
        </w:rPr>
      </w:pPr>
      <w:r w:rsidRPr="004D57C8">
        <w:rPr>
          <w:sz w:val="21"/>
          <w:szCs w:val="21"/>
        </w:rPr>
        <w:t>For each extract, states precisely where the extract is taken from, and includes a hyperlink to the relevant document on the NICE website (which is for the convenience of NICE staff in confirming the accuracy and context of the extract)</w:t>
      </w:r>
    </w:p>
    <w:p w14:paraId="79B51470" w14:textId="77777777" w:rsidR="00517845" w:rsidRPr="004D57C8" w:rsidRDefault="00517845" w:rsidP="00F673BE">
      <w:pPr>
        <w:jc w:val="both"/>
        <w:rPr>
          <w:sz w:val="21"/>
          <w:szCs w:val="21"/>
        </w:rPr>
      </w:pPr>
    </w:p>
    <w:p w14:paraId="102EAF38" w14:textId="4095D427" w:rsidR="00067B23" w:rsidRPr="004D57C8" w:rsidRDefault="00067B23" w:rsidP="00F673BE">
      <w:pPr>
        <w:jc w:val="both"/>
        <w:rPr>
          <w:sz w:val="21"/>
          <w:szCs w:val="21"/>
        </w:rPr>
      </w:pPr>
      <w:r w:rsidRPr="004D57C8">
        <w:rPr>
          <w:sz w:val="21"/>
          <w:szCs w:val="21"/>
        </w:rPr>
        <w:t xml:space="preserve">We thank </w:t>
      </w:r>
      <w:r w:rsidR="00867137" w:rsidRPr="004D57C8">
        <w:rPr>
          <w:sz w:val="21"/>
          <w:szCs w:val="21"/>
        </w:rPr>
        <w:t xml:space="preserve">you </w:t>
      </w:r>
      <w:r w:rsidR="00A83558" w:rsidRPr="004D57C8">
        <w:rPr>
          <w:sz w:val="21"/>
          <w:szCs w:val="21"/>
        </w:rPr>
        <w:t xml:space="preserve">for </w:t>
      </w:r>
      <w:r w:rsidR="00170F2D" w:rsidRPr="004D57C8">
        <w:rPr>
          <w:sz w:val="21"/>
          <w:szCs w:val="21"/>
        </w:rPr>
        <w:t>agree</w:t>
      </w:r>
      <w:r w:rsidR="00867137" w:rsidRPr="004D57C8">
        <w:rPr>
          <w:sz w:val="21"/>
          <w:szCs w:val="21"/>
        </w:rPr>
        <w:t>ing</w:t>
      </w:r>
      <w:r w:rsidR="00170F2D" w:rsidRPr="004D57C8">
        <w:rPr>
          <w:sz w:val="21"/>
          <w:szCs w:val="21"/>
        </w:rPr>
        <w:t xml:space="preserve"> </w:t>
      </w:r>
      <w:r w:rsidR="00A83558" w:rsidRPr="004D57C8">
        <w:rPr>
          <w:sz w:val="21"/>
          <w:szCs w:val="21"/>
        </w:rPr>
        <w:t>to ask that NICE</w:t>
      </w:r>
      <w:r w:rsidR="00170F2D" w:rsidRPr="004D57C8">
        <w:rPr>
          <w:sz w:val="21"/>
          <w:szCs w:val="21"/>
        </w:rPr>
        <w:t xml:space="preserve"> </w:t>
      </w:r>
      <w:r w:rsidR="00A83558" w:rsidRPr="004D57C8">
        <w:rPr>
          <w:sz w:val="21"/>
          <w:szCs w:val="21"/>
        </w:rPr>
        <w:t>include</w:t>
      </w:r>
      <w:r w:rsidR="00273D41" w:rsidRPr="004D57C8">
        <w:rPr>
          <w:sz w:val="21"/>
          <w:szCs w:val="21"/>
        </w:rPr>
        <w:t>s</w:t>
      </w:r>
      <w:r w:rsidR="00A83558" w:rsidRPr="004D57C8">
        <w:rPr>
          <w:sz w:val="21"/>
          <w:szCs w:val="21"/>
        </w:rPr>
        <w:t xml:space="preserve"> the enclosed document in the appeal papers</w:t>
      </w:r>
      <w:r w:rsidRPr="004D57C8">
        <w:rPr>
          <w:sz w:val="21"/>
          <w:szCs w:val="21"/>
        </w:rPr>
        <w:t>.</w:t>
      </w:r>
    </w:p>
    <w:p w14:paraId="79F8550D" w14:textId="77777777" w:rsidR="00DA01FD" w:rsidRPr="004D57C8" w:rsidRDefault="00DA01FD" w:rsidP="00F673BE">
      <w:pPr>
        <w:jc w:val="both"/>
        <w:rPr>
          <w:sz w:val="21"/>
          <w:szCs w:val="21"/>
        </w:rPr>
      </w:pPr>
    </w:p>
    <w:p w14:paraId="14AB23FD" w14:textId="2EFEA478" w:rsidR="00067B23" w:rsidRPr="004D57C8" w:rsidRDefault="00067B23" w:rsidP="00F673BE">
      <w:pPr>
        <w:jc w:val="both"/>
        <w:rPr>
          <w:sz w:val="21"/>
          <w:szCs w:val="21"/>
        </w:rPr>
      </w:pPr>
      <w:r w:rsidRPr="004D57C8">
        <w:rPr>
          <w:sz w:val="21"/>
          <w:szCs w:val="21"/>
        </w:rPr>
        <w:t>Yours sincerely</w:t>
      </w:r>
    </w:p>
    <w:p w14:paraId="12307D8F" w14:textId="694D98F5" w:rsidR="00FF65E0" w:rsidRPr="004D57C8" w:rsidRDefault="00FF65E0" w:rsidP="00F673BE">
      <w:pPr>
        <w:jc w:val="both"/>
        <w:rPr>
          <w:sz w:val="21"/>
          <w:szCs w:val="21"/>
        </w:rPr>
      </w:pPr>
    </w:p>
    <w:p w14:paraId="6D815C9E" w14:textId="79DE0051" w:rsidR="00753E7E" w:rsidRPr="004D57C8" w:rsidRDefault="00753E7E" w:rsidP="00753E7E">
      <w:pPr>
        <w:jc w:val="both"/>
        <w:rPr>
          <w:sz w:val="21"/>
          <w:szCs w:val="21"/>
        </w:rPr>
      </w:pPr>
    </w:p>
    <w:p w14:paraId="54276F52" w14:textId="78B75542" w:rsidR="00753E7E" w:rsidRPr="00F213E7" w:rsidRDefault="00DE574A" w:rsidP="00753E7E">
      <w:pPr>
        <w:jc w:val="both"/>
        <w:rPr>
          <w:sz w:val="21"/>
          <w:szCs w:val="21"/>
          <w:highlight w:val="black"/>
        </w:rPr>
      </w:pPr>
      <w:r w:rsidRPr="00F213E7">
        <w:rPr>
          <w:sz w:val="21"/>
          <w:szCs w:val="21"/>
          <w:highlight w:val="black"/>
        </w:rPr>
        <w:t>XXXXXXXXX</w:t>
      </w:r>
    </w:p>
    <w:p w14:paraId="774D27CB" w14:textId="77777777" w:rsidR="00753E7E" w:rsidRPr="00F213E7" w:rsidRDefault="00753E7E" w:rsidP="00753E7E">
      <w:pPr>
        <w:jc w:val="both"/>
        <w:rPr>
          <w:sz w:val="22"/>
          <w:szCs w:val="22"/>
          <w:highlight w:val="black"/>
        </w:rPr>
      </w:pPr>
    </w:p>
    <w:p w14:paraId="33E254D8" w14:textId="7185EF39" w:rsidR="00A83558" w:rsidRDefault="00DE574A" w:rsidP="00BB79F9">
      <w:pPr>
        <w:jc w:val="both"/>
        <w:rPr>
          <w:sz w:val="22"/>
          <w:szCs w:val="22"/>
        </w:rPr>
      </w:pPr>
      <w:r w:rsidRPr="00F213E7">
        <w:rPr>
          <w:sz w:val="22"/>
          <w:szCs w:val="22"/>
          <w:highlight w:val="black"/>
        </w:rPr>
        <w:t>XXXXXXXXXXXXX</w:t>
      </w:r>
    </w:p>
    <w:p w14:paraId="3009150D" w14:textId="67796FA8" w:rsidR="00E66DE1" w:rsidRDefault="00E66DE1" w:rsidP="00BB79F9">
      <w:pPr>
        <w:jc w:val="both"/>
        <w:rPr>
          <w:sz w:val="22"/>
          <w:szCs w:val="22"/>
        </w:rPr>
      </w:pPr>
    </w:p>
    <w:p w14:paraId="38BD7B5D" w14:textId="583277E0" w:rsidR="00E66DE1" w:rsidRDefault="00E66DE1">
      <w:pPr>
        <w:rPr>
          <w:sz w:val="22"/>
          <w:szCs w:val="22"/>
          <w:highlight w:val="black"/>
        </w:rPr>
      </w:pPr>
      <w:r>
        <w:rPr>
          <w:sz w:val="22"/>
          <w:szCs w:val="22"/>
          <w:highlight w:val="black"/>
        </w:rPr>
        <w:br w:type="page"/>
      </w:r>
    </w:p>
    <w:p w14:paraId="29233F98" w14:textId="77777777" w:rsidR="00E66DE1" w:rsidRDefault="00E66DE1" w:rsidP="00E66DE1">
      <w:pPr>
        <w:autoSpaceDE w:val="0"/>
        <w:autoSpaceDN w:val="0"/>
        <w:adjustRightInd w:val="0"/>
        <w:rPr>
          <w:rFonts w:ascii="Calibri-Bold" w:hAnsi="Calibri-Bold" w:cs="Calibri-Bold"/>
          <w:b/>
          <w:bCs/>
          <w:color w:val="000000"/>
          <w:sz w:val="28"/>
          <w:szCs w:val="28"/>
        </w:rPr>
      </w:pPr>
      <w:r>
        <w:rPr>
          <w:rFonts w:ascii="Calibri-Bold" w:hAnsi="Calibri-Bold" w:cs="Calibri-Bold"/>
          <w:b/>
          <w:bCs/>
          <w:color w:val="000000"/>
          <w:sz w:val="28"/>
          <w:szCs w:val="28"/>
        </w:rPr>
        <w:lastRenderedPageBreak/>
        <w:t>Extract document</w:t>
      </w:r>
    </w:p>
    <w:p w14:paraId="484B74B3" w14:textId="77777777" w:rsidR="00E66DE1" w:rsidRDefault="00E66DE1" w:rsidP="00E66DE1">
      <w:pPr>
        <w:autoSpaceDE w:val="0"/>
        <w:autoSpaceDN w:val="0"/>
        <w:adjustRightInd w:val="0"/>
        <w:rPr>
          <w:rFonts w:ascii="Calibri-BoldItalic" w:hAnsi="Calibri-BoldItalic" w:cs="Calibri-BoldItalic"/>
          <w:b/>
          <w:bCs/>
          <w:i/>
          <w:iCs/>
          <w:color w:val="000000"/>
        </w:rPr>
      </w:pPr>
    </w:p>
    <w:p w14:paraId="11C8BFA3" w14:textId="77777777" w:rsidR="00E66DE1" w:rsidRDefault="00E66DE1" w:rsidP="00E66DE1">
      <w:pPr>
        <w:autoSpaceDE w:val="0"/>
        <w:autoSpaceDN w:val="0"/>
        <w:adjustRightInd w:val="0"/>
        <w:rPr>
          <w:rFonts w:ascii="Calibri-BoldItalic" w:hAnsi="Calibri-BoldItalic" w:cs="Calibri-BoldItalic"/>
          <w:b/>
          <w:bCs/>
          <w:i/>
          <w:iCs/>
          <w:color w:val="000000"/>
        </w:rPr>
      </w:pPr>
    </w:p>
    <w:p w14:paraId="5D6C8410" w14:textId="77777777" w:rsidR="00E66DE1" w:rsidRDefault="00E66DE1" w:rsidP="00E66DE1">
      <w:pPr>
        <w:autoSpaceDE w:val="0"/>
        <w:autoSpaceDN w:val="0"/>
        <w:adjustRightInd w:val="0"/>
        <w:rPr>
          <w:rFonts w:ascii="Calibri-BoldItalic" w:hAnsi="Calibri-BoldItalic" w:cs="Calibri-BoldItalic"/>
          <w:b/>
          <w:bCs/>
          <w:i/>
          <w:iCs/>
          <w:color w:val="000000"/>
        </w:rPr>
      </w:pPr>
      <w:r>
        <w:rPr>
          <w:rFonts w:ascii="Calibri-BoldItalic" w:hAnsi="Calibri-BoldItalic" w:cs="Calibri-BoldItalic"/>
          <w:b/>
          <w:bCs/>
          <w:i/>
          <w:iCs/>
          <w:color w:val="000000"/>
        </w:rPr>
        <w:t>Extracts from papers in TA525 and TA520</w:t>
      </w:r>
    </w:p>
    <w:p w14:paraId="27134E54" w14:textId="77777777" w:rsidR="00E66DE1" w:rsidRDefault="00E66DE1" w:rsidP="00E66DE1">
      <w:pPr>
        <w:autoSpaceDE w:val="0"/>
        <w:autoSpaceDN w:val="0"/>
        <w:adjustRightInd w:val="0"/>
        <w:rPr>
          <w:rFonts w:ascii="Calibri-Bold" w:hAnsi="Calibri-Bold" w:cs="Calibri-Bold"/>
          <w:b/>
          <w:bCs/>
          <w:color w:val="000000"/>
          <w:sz w:val="20"/>
          <w:szCs w:val="20"/>
        </w:rPr>
      </w:pPr>
    </w:p>
    <w:p w14:paraId="2AB0B14D" w14:textId="77777777" w:rsidR="00E66DE1" w:rsidRDefault="00E66DE1" w:rsidP="00E66DE1">
      <w:pPr>
        <w:autoSpaceDE w:val="0"/>
        <w:autoSpaceDN w:val="0"/>
        <w:adjustRightInd w:val="0"/>
        <w:rPr>
          <w:rFonts w:ascii="Calibri-Bold" w:hAnsi="Calibri-Bold" w:cs="Calibri-Bold"/>
          <w:b/>
          <w:bCs/>
          <w:color w:val="000000"/>
          <w:sz w:val="20"/>
          <w:szCs w:val="20"/>
        </w:rPr>
      </w:pPr>
    </w:p>
    <w:p w14:paraId="578EA712" w14:textId="77777777" w:rsidR="00E66DE1" w:rsidRDefault="00E66DE1" w:rsidP="00E66DE1">
      <w:pPr>
        <w:autoSpaceDE w:val="0"/>
        <w:autoSpaceDN w:val="0"/>
        <w:adjustRightInd w:val="0"/>
        <w:rPr>
          <w:rFonts w:ascii="Calibri-Bold" w:hAnsi="Calibri-Bold" w:cs="Calibri-Bold"/>
          <w:b/>
          <w:bCs/>
          <w:color w:val="000000"/>
          <w:sz w:val="20"/>
          <w:szCs w:val="20"/>
        </w:rPr>
      </w:pPr>
    </w:p>
    <w:p w14:paraId="16AC3E0D" w14:textId="77777777" w:rsidR="00E66DE1" w:rsidRDefault="00E66DE1" w:rsidP="00E66DE1">
      <w:pPr>
        <w:autoSpaceDE w:val="0"/>
        <w:autoSpaceDN w:val="0"/>
        <w:adjustRightInd w:val="0"/>
        <w:rPr>
          <w:rFonts w:ascii="Calibri-Bold" w:hAnsi="Calibri-Bold" w:cs="Calibri-Bold"/>
          <w:b/>
          <w:bCs/>
          <w:color w:val="000000"/>
          <w:sz w:val="20"/>
          <w:szCs w:val="20"/>
        </w:rPr>
      </w:pPr>
      <w:r>
        <w:rPr>
          <w:rFonts w:ascii="Calibri-Bold" w:hAnsi="Calibri-Bold" w:cs="Calibri-Bold"/>
          <w:b/>
          <w:bCs/>
          <w:color w:val="000000"/>
          <w:sz w:val="20"/>
          <w:szCs w:val="20"/>
        </w:rPr>
        <w:t>TA525: Atezolizumab for treating locally advanced or metastatic urothelial carcinoma after platinum containing chemotherapy</w:t>
      </w:r>
    </w:p>
    <w:p w14:paraId="68D52A66" w14:textId="77777777" w:rsidR="00E66DE1" w:rsidRDefault="00E66DE1" w:rsidP="00E66DE1">
      <w:pPr>
        <w:autoSpaceDE w:val="0"/>
        <w:autoSpaceDN w:val="0"/>
        <w:adjustRightInd w:val="0"/>
        <w:rPr>
          <w:rFonts w:ascii="Calibri" w:hAnsi="Calibri" w:cs="Calibri"/>
          <w:color w:val="000000"/>
          <w:sz w:val="20"/>
          <w:szCs w:val="20"/>
        </w:rPr>
      </w:pPr>
    </w:p>
    <w:p w14:paraId="54C8754D" w14:textId="77777777" w:rsidR="00E66DE1" w:rsidRDefault="00E66DE1" w:rsidP="00E66DE1">
      <w:pPr>
        <w:autoSpaceDE w:val="0"/>
        <w:autoSpaceDN w:val="0"/>
        <w:adjustRightInd w:val="0"/>
        <w:rPr>
          <w:rFonts w:ascii="Calibri" w:hAnsi="Calibri" w:cs="Calibri"/>
          <w:color w:val="000000"/>
          <w:sz w:val="20"/>
          <w:szCs w:val="20"/>
        </w:rPr>
      </w:pPr>
      <w:r>
        <w:rPr>
          <w:rFonts w:ascii="Calibri" w:hAnsi="Calibri" w:cs="Calibri"/>
          <w:color w:val="000000"/>
          <w:sz w:val="20"/>
          <w:szCs w:val="20"/>
        </w:rPr>
        <w:t>3</w:t>
      </w:r>
      <w:r>
        <w:rPr>
          <w:rFonts w:ascii="Calibri" w:hAnsi="Calibri" w:cs="Calibri"/>
          <w:color w:val="000000"/>
          <w:sz w:val="13"/>
          <w:szCs w:val="13"/>
        </w:rPr>
        <w:t xml:space="preserve">rd </w:t>
      </w:r>
      <w:r>
        <w:rPr>
          <w:rFonts w:ascii="Calibri" w:hAnsi="Calibri" w:cs="Calibri"/>
          <w:color w:val="000000"/>
          <w:sz w:val="20"/>
          <w:szCs w:val="20"/>
        </w:rPr>
        <w:t>set of Committee Papers [ID1327], published on NICE website on 17</w:t>
      </w:r>
      <w:r>
        <w:rPr>
          <w:rFonts w:ascii="Calibri" w:hAnsi="Calibri" w:cs="Calibri"/>
          <w:color w:val="000000"/>
          <w:sz w:val="13"/>
          <w:szCs w:val="13"/>
        </w:rPr>
        <w:t xml:space="preserve">th </w:t>
      </w:r>
      <w:r>
        <w:rPr>
          <w:rFonts w:ascii="Calibri" w:hAnsi="Calibri" w:cs="Calibri"/>
          <w:color w:val="000000"/>
          <w:sz w:val="20"/>
          <w:szCs w:val="20"/>
        </w:rPr>
        <w:t>May 2018</w:t>
      </w:r>
    </w:p>
    <w:p w14:paraId="2948FA8B" w14:textId="77777777" w:rsidR="00E66DE1" w:rsidRDefault="00E66DE1" w:rsidP="00E66DE1">
      <w:pPr>
        <w:autoSpaceDE w:val="0"/>
        <w:autoSpaceDN w:val="0"/>
        <w:adjustRightInd w:val="0"/>
        <w:rPr>
          <w:rFonts w:ascii="Calibri" w:hAnsi="Calibri" w:cs="Calibri"/>
          <w:color w:val="000000"/>
          <w:sz w:val="20"/>
          <w:szCs w:val="20"/>
        </w:rPr>
      </w:pPr>
      <w:r>
        <w:rPr>
          <w:rFonts w:ascii="Calibri" w:hAnsi="Calibri" w:cs="Calibri"/>
          <w:color w:val="000000"/>
          <w:sz w:val="20"/>
          <w:szCs w:val="20"/>
        </w:rPr>
        <w:t>(</w:t>
      </w:r>
      <w:r>
        <w:rPr>
          <w:rFonts w:ascii="Calibri" w:hAnsi="Calibri" w:cs="Calibri"/>
          <w:color w:val="0000FF"/>
          <w:sz w:val="20"/>
          <w:szCs w:val="20"/>
        </w:rPr>
        <w:t>https://www.nice.org.uk/guidance/ta525/documents/committee-papers-3</w:t>
      </w:r>
      <w:r>
        <w:rPr>
          <w:rFonts w:ascii="Calibri" w:hAnsi="Calibri" w:cs="Calibri"/>
          <w:color w:val="000000"/>
          <w:sz w:val="20"/>
          <w:szCs w:val="20"/>
        </w:rPr>
        <w:t>)</w:t>
      </w:r>
    </w:p>
    <w:p w14:paraId="6FC06BBA" w14:textId="77777777" w:rsidR="00E66DE1" w:rsidRDefault="00E66DE1" w:rsidP="00E66DE1">
      <w:pPr>
        <w:autoSpaceDE w:val="0"/>
        <w:autoSpaceDN w:val="0"/>
        <w:adjustRightInd w:val="0"/>
        <w:rPr>
          <w:rFonts w:ascii="Calibri" w:hAnsi="Calibri" w:cs="Calibri"/>
          <w:color w:val="000000"/>
          <w:sz w:val="20"/>
          <w:szCs w:val="20"/>
        </w:rPr>
      </w:pPr>
    </w:p>
    <w:p w14:paraId="43F1B87B" w14:textId="77777777" w:rsidR="00E66DE1" w:rsidRDefault="00E66DE1" w:rsidP="00E66DE1">
      <w:pPr>
        <w:autoSpaceDE w:val="0"/>
        <w:autoSpaceDN w:val="0"/>
        <w:adjustRightInd w:val="0"/>
        <w:rPr>
          <w:rFonts w:ascii="Calibri" w:hAnsi="Calibri" w:cs="Calibri"/>
          <w:color w:val="000000"/>
          <w:sz w:val="20"/>
          <w:szCs w:val="20"/>
        </w:rPr>
      </w:pPr>
      <w:r>
        <w:rPr>
          <w:rFonts w:ascii="Calibri" w:hAnsi="Calibri" w:cs="Calibri"/>
          <w:color w:val="000000"/>
          <w:sz w:val="20"/>
          <w:szCs w:val="20"/>
        </w:rPr>
        <w:t>Pages 28-29 of the 3</w:t>
      </w:r>
      <w:r>
        <w:rPr>
          <w:rFonts w:ascii="Calibri" w:hAnsi="Calibri" w:cs="Calibri"/>
          <w:color w:val="000000"/>
          <w:sz w:val="13"/>
          <w:szCs w:val="13"/>
        </w:rPr>
        <w:t xml:space="preserve">rd </w:t>
      </w:r>
      <w:r>
        <w:rPr>
          <w:rFonts w:ascii="Calibri" w:hAnsi="Calibri" w:cs="Calibri"/>
          <w:color w:val="000000"/>
          <w:sz w:val="20"/>
          <w:szCs w:val="20"/>
        </w:rPr>
        <w:t>set of Committee Papers (Pages 2-3 of the Additional analyses submitted by Roche)</w:t>
      </w:r>
    </w:p>
    <w:p w14:paraId="2B3F0E8B" w14:textId="77777777" w:rsidR="00E66DE1" w:rsidRDefault="00E66DE1" w:rsidP="00E66DE1">
      <w:pPr>
        <w:autoSpaceDE w:val="0"/>
        <w:autoSpaceDN w:val="0"/>
        <w:adjustRightInd w:val="0"/>
        <w:rPr>
          <w:rFonts w:ascii="Calibri-BoldItalic" w:hAnsi="Calibri-BoldItalic" w:cs="Calibri-BoldItalic"/>
          <w:b/>
          <w:bCs/>
          <w:i/>
          <w:iCs/>
          <w:color w:val="000000"/>
          <w:sz w:val="20"/>
          <w:szCs w:val="20"/>
        </w:rPr>
      </w:pPr>
    </w:p>
    <w:p w14:paraId="2D1DA564" w14:textId="77777777" w:rsidR="00E66DE1" w:rsidRDefault="00E66DE1" w:rsidP="00E66DE1">
      <w:pPr>
        <w:autoSpaceDE w:val="0"/>
        <w:autoSpaceDN w:val="0"/>
        <w:adjustRightInd w:val="0"/>
        <w:rPr>
          <w:rFonts w:ascii="Calibri-BoldItalic" w:hAnsi="Calibri-BoldItalic" w:cs="Calibri-BoldItalic"/>
          <w:b/>
          <w:bCs/>
          <w:i/>
          <w:iCs/>
          <w:color w:val="000000"/>
          <w:sz w:val="20"/>
          <w:szCs w:val="20"/>
        </w:rPr>
      </w:pPr>
      <w:r>
        <w:rPr>
          <w:rFonts w:ascii="Calibri-BoldItalic" w:hAnsi="Calibri-BoldItalic" w:cs="Calibri-BoldItalic"/>
          <w:b/>
          <w:bCs/>
          <w:i/>
          <w:iCs/>
          <w:color w:val="000000"/>
          <w:sz w:val="20"/>
          <w:szCs w:val="20"/>
        </w:rPr>
        <w:t>“Additional analyses</w:t>
      </w:r>
    </w:p>
    <w:p w14:paraId="655EBE53" w14:textId="77777777" w:rsidR="00E66DE1" w:rsidRDefault="00E66DE1" w:rsidP="00E66DE1">
      <w:pPr>
        <w:autoSpaceDE w:val="0"/>
        <w:autoSpaceDN w:val="0"/>
        <w:adjustRightInd w:val="0"/>
        <w:rPr>
          <w:rFonts w:ascii="Calibri-Italic" w:hAnsi="Calibri-Italic" w:cs="Calibri-Italic"/>
          <w:i/>
          <w:iCs/>
          <w:color w:val="000000"/>
          <w:sz w:val="20"/>
          <w:szCs w:val="20"/>
        </w:rPr>
      </w:pPr>
    </w:p>
    <w:p w14:paraId="7EB85D8D" w14:textId="77777777" w:rsidR="00E66DE1" w:rsidRDefault="00E66DE1" w:rsidP="00E66DE1">
      <w:pPr>
        <w:autoSpaceDE w:val="0"/>
        <w:autoSpaceDN w:val="0"/>
        <w:adjustRightInd w:val="0"/>
        <w:rPr>
          <w:rFonts w:ascii="Calibri-Italic" w:hAnsi="Calibri-Italic" w:cs="Calibri-Italic"/>
          <w:i/>
          <w:iCs/>
          <w:color w:val="000000"/>
          <w:sz w:val="20"/>
          <w:szCs w:val="20"/>
        </w:rPr>
      </w:pPr>
      <w:r>
        <w:rPr>
          <w:rFonts w:ascii="Calibri-Italic" w:hAnsi="Calibri-Italic" w:cs="Calibri-Italic"/>
          <w:i/>
          <w:iCs/>
          <w:color w:val="000000"/>
          <w:sz w:val="20"/>
          <w:szCs w:val="20"/>
        </w:rPr>
        <w:t>Consistent with the appraisal atezolizumab in second-line NSCLC in [ID970], we provide additional analyses</w:t>
      </w:r>
    </w:p>
    <w:p w14:paraId="01E9DD8B" w14:textId="77777777" w:rsidR="00E66DE1" w:rsidRDefault="00E66DE1" w:rsidP="00E66DE1">
      <w:pPr>
        <w:autoSpaceDE w:val="0"/>
        <w:autoSpaceDN w:val="0"/>
        <w:adjustRightInd w:val="0"/>
        <w:rPr>
          <w:rFonts w:ascii="Calibri-Italic" w:hAnsi="Calibri-Italic" w:cs="Calibri-Italic"/>
          <w:i/>
          <w:iCs/>
          <w:color w:val="000000"/>
          <w:sz w:val="20"/>
          <w:szCs w:val="20"/>
        </w:rPr>
      </w:pPr>
      <w:r>
        <w:rPr>
          <w:rFonts w:ascii="Calibri-Italic" w:hAnsi="Calibri-Italic" w:cs="Calibri-Italic"/>
          <w:i/>
          <w:iCs/>
          <w:color w:val="000000"/>
          <w:sz w:val="20"/>
          <w:szCs w:val="20"/>
        </w:rPr>
        <w:t>incorporating a 2-year treatment stopping rule and a range of treatment benefit duration scenarios; either with</w:t>
      </w:r>
    </w:p>
    <w:p w14:paraId="03E4BF98" w14:textId="77777777" w:rsidR="00E66DE1" w:rsidRDefault="00E66DE1" w:rsidP="00E66DE1">
      <w:pPr>
        <w:autoSpaceDE w:val="0"/>
        <w:autoSpaceDN w:val="0"/>
        <w:adjustRightInd w:val="0"/>
        <w:rPr>
          <w:rFonts w:ascii="Calibri-Italic" w:hAnsi="Calibri-Italic" w:cs="Calibri-Italic"/>
          <w:i/>
          <w:iCs/>
          <w:color w:val="000000"/>
          <w:sz w:val="20"/>
          <w:szCs w:val="20"/>
        </w:rPr>
      </w:pPr>
      <w:r>
        <w:rPr>
          <w:rFonts w:ascii="Calibri-Italic" w:hAnsi="Calibri-Italic" w:cs="Calibri-Italic"/>
          <w:i/>
          <w:iCs/>
          <w:color w:val="000000"/>
          <w:sz w:val="20"/>
          <w:szCs w:val="20"/>
        </w:rPr>
        <w:t xml:space="preserve">a lifetime treatment effect (Table 2) or a treatment effect duration cap (at </w:t>
      </w:r>
      <w:proofErr w:type="gramStart"/>
      <w:r>
        <w:rPr>
          <w:rFonts w:ascii="Calibri-Italic" w:hAnsi="Calibri-Italic" w:cs="Calibri-Italic"/>
          <w:i/>
          <w:iCs/>
          <w:color w:val="000000"/>
          <w:sz w:val="20"/>
          <w:szCs w:val="20"/>
        </w:rPr>
        <w:t>3 or 5 years</w:t>
      </w:r>
      <w:proofErr w:type="gramEnd"/>
      <w:r>
        <w:rPr>
          <w:rFonts w:ascii="Calibri-Italic" w:hAnsi="Calibri-Italic" w:cs="Calibri-Italic"/>
          <w:i/>
          <w:iCs/>
          <w:color w:val="000000"/>
          <w:sz w:val="20"/>
          <w:szCs w:val="20"/>
        </w:rPr>
        <w:t xml:space="preserve"> following treatment</w:t>
      </w:r>
    </w:p>
    <w:p w14:paraId="7996D022" w14:textId="77777777" w:rsidR="00E66DE1" w:rsidRDefault="00E66DE1" w:rsidP="00E66DE1">
      <w:pPr>
        <w:autoSpaceDE w:val="0"/>
        <w:autoSpaceDN w:val="0"/>
        <w:adjustRightInd w:val="0"/>
        <w:rPr>
          <w:rFonts w:ascii="Calibri-Italic" w:hAnsi="Calibri-Italic" w:cs="Calibri-Italic"/>
          <w:i/>
          <w:iCs/>
          <w:color w:val="000000"/>
          <w:sz w:val="20"/>
          <w:szCs w:val="20"/>
        </w:rPr>
      </w:pPr>
      <w:proofErr w:type="gramStart"/>
      <w:r>
        <w:rPr>
          <w:rFonts w:ascii="Calibri-Italic" w:hAnsi="Calibri-Italic" w:cs="Calibri-Italic"/>
          <w:i/>
          <w:iCs/>
          <w:color w:val="000000"/>
          <w:sz w:val="20"/>
          <w:szCs w:val="20"/>
        </w:rPr>
        <w:t>discontinuation;</w:t>
      </w:r>
      <w:proofErr w:type="gramEnd"/>
      <w:r>
        <w:rPr>
          <w:rFonts w:ascii="Calibri-Italic" w:hAnsi="Calibri-Italic" w:cs="Calibri-Italic"/>
          <w:i/>
          <w:iCs/>
          <w:color w:val="000000"/>
          <w:sz w:val="20"/>
          <w:szCs w:val="20"/>
        </w:rPr>
        <w:t xml:space="preserve"> Table 3 - Table 4) for atezolizumab, to reflect the committee-preferred assumptions in [ID970].</w:t>
      </w:r>
    </w:p>
    <w:p w14:paraId="29BB95BD" w14:textId="77777777" w:rsidR="00E66DE1" w:rsidRDefault="00E66DE1" w:rsidP="00E66DE1">
      <w:pPr>
        <w:autoSpaceDE w:val="0"/>
        <w:autoSpaceDN w:val="0"/>
        <w:adjustRightInd w:val="0"/>
        <w:rPr>
          <w:rFonts w:ascii="Calibri-Italic" w:hAnsi="Calibri-Italic" w:cs="Calibri-Italic"/>
          <w:i/>
          <w:iCs/>
          <w:color w:val="000000"/>
          <w:sz w:val="20"/>
          <w:szCs w:val="20"/>
        </w:rPr>
      </w:pPr>
      <w:r>
        <w:rPr>
          <w:rFonts w:ascii="Calibri-Italic" w:hAnsi="Calibri-Italic" w:cs="Calibri-Italic"/>
          <w:i/>
          <w:iCs/>
          <w:color w:val="000000"/>
          <w:sz w:val="20"/>
          <w:szCs w:val="20"/>
        </w:rPr>
        <w:t xml:space="preserve">In all scenarios presented, atezolizumab is cost-effective compared to </w:t>
      </w:r>
      <w:proofErr w:type="spellStart"/>
      <w:r>
        <w:rPr>
          <w:rFonts w:ascii="Calibri-Italic" w:hAnsi="Calibri-Italic" w:cs="Calibri-Italic"/>
          <w:i/>
          <w:iCs/>
          <w:color w:val="000000"/>
          <w:sz w:val="20"/>
          <w:szCs w:val="20"/>
        </w:rPr>
        <w:t>taxane</w:t>
      </w:r>
      <w:proofErr w:type="spellEnd"/>
      <w:r>
        <w:rPr>
          <w:rFonts w:ascii="Calibri-Italic" w:hAnsi="Calibri-Italic" w:cs="Calibri-Italic"/>
          <w:i/>
          <w:iCs/>
          <w:color w:val="000000"/>
          <w:sz w:val="20"/>
          <w:szCs w:val="20"/>
        </w:rPr>
        <w:t xml:space="preserve"> therapies. Table 3 reflects the set</w:t>
      </w:r>
    </w:p>
    <w:p w14:paraId="1C6C45DC" w14:textId="77777777" w:rsidR="00E66DE1" w:rsidRDefault="00E66DE1" w:rsidP="00E66DE1">
      <w:pPr>
        <w:autoSpaceDE w:val="0"/>
        <w:autoSpaceDN w:val="0"/>
        <w:adjustRightInd w:val="0"/>
        <w:rPr>
          <w:rFonts w:ascii="Calibri-Italic" w:hAnsi="Calibri-Italic" w:cs="Calibri-Italic"/>
          <w:i/>
          <w:iCs/>
          <w:color w:val="000000"/>
          <w:sz w:val="20"/>
          <w:szCs w:val="20"/>
        </w:rPr>
      </w:pPr>
      <w:r>
        <w:rPr>
          <w:rFonts w:ascii="Calibri-Italic" w:hAnsi="Calibri-Italic" w:cs="Calibri-Italic"/>
          <w:i/>
          <w:iCs/>
          <w:color w:val="000000"/>
          <w:sz w:val="20"/>
          <w:szCs w:val="20"/>
        </w:rPr>
        <w:t>of committee-preferred assumptions for atezolizumab in second-line NSCLC in [ID970], i.e. 2-year treatment</w:t>
      </w:r>
    </w:p>
    <w:p w14:paraId="00C0C65E" w14:textId="77777777" w:rsidR="00E66DE1" w:rsidRDefault="00E66DE1" w:rsidP="00E66DE1">
      <w:pPr>
        <w:autoSpaceDE w:val="0"/>
        <w:autoSpaceDN w:val="0"/>
        <w:adjustRightInd w:val="0"/>
        <w:rPr>
          <w:rFonts w:ascii="Calibri-Italic" w:hAnsi="Calibri-Italic" w:cs="Calibri-Italic"/>
          <w:i/>
          <w:iCs/>
          <w:color w:val="000000"/>
          <w:sz w:val="20"/>
          <w:szCs w:val="20"/>
        </w:rPr>
      </w:pPr>
      <w:r>
        <w:rPr>
          <w:rFonts w:ascii="Calibri-Italic" w:hAnsi="Calibri-Italic" w:cs="Calibri-Italic"/>
          <w:i/>
          <w:iCs/>
          <w:color w:val="000000"/>
          <w:sz w:val="20"/>
          <w:szCs w:val="20"/>
        </w:rPr>
        <w:t>stopping rule and 3-year treatment effect duration cap.</w:t>
      </w:r>
    </w:p>
    <w:p w14:paraId="7E86B586" w14:textId="77777777" w:rsidR="00E66DE1" w:rsidRDefault="00E66DE1" w:rsidP="00E66DE1">
      <w:pPr>
        <w:autoSpaceDE w:val="0"/>
        <w:autoSpaceDN w:val="0"/>
        <w:adjustRightInd w:val="0"/>
        <w:rPr>
          <w:rFonts w:ascii="Calibri-Italic" w:hAnsi="Calibri-Italic" w:cs="Calibri-Italic"/>
          <w:i/>
          <w:iCs/>
          <w:color w:val="000000"/>
          <w:sz w:val="20"/>
          <w:szCs w:val="20"/>
        </w:rPr>
      </w:pPr>
    </w:p>
    <w:p w14:paraId="10EECA6C" w14:textId="77777777" w:rsidR="00E66DE1" w:rsidRDefault="00E66DE1" w:rsidP="00E66DE1">
      <w:pPr>
        <w:autoSpaceDE w:val="0"/>
        <w:autoSpaceDN w:val="0"/>
        <w:adjustRightInd w:val="0"/>
        <w:rPr>
          <w:rFonts w:ascii="Calibri-Italic" w:hAnsi="Calibri-Italic" w:cs="Calibri-Italic"/>
          <w:i/>
          <w:iCs/>
          <w:color w:val="000000"/>
          <w:sz w:val="20"/>
          <w:szCs w:val="20"/>
        </w:rPr>
      </w:pPr>
      <w:r>
        <w:rPr>
          <w:rFonts w:ascii="Calibri-Italic" w:hAnsi="Calibri-Italic" w:cs="Calibri-Italic"/>
          <w:i/>
          <w:iCs/>
          <w:color w:val="000000"/>
          <w:sz w:val="20"/>
          <w:szCs w:val="20"/>
        </w:rPr>
        <w:t>…</w:t>
      </w:r>
    </w:p>
    <w:p w14:paraId="33D8501A" w14:textId="77777777" w:rsidR="00E66DE1" w:rsidRDefault="00E66DE1" w:rsidP="00E66DE1">
      <w:pPr>
        <w:autoSpaceDE w:val="0"/>
        <w:autoSpaceDN w:val="0"/>
        <w:adjustRightInd w:val="0"/>
        <w:rPr>
          <w:rFonts w:ascii="Calibri-BoldItalic" w:hAnsi="Calibri-BoldItalic" w:cs="Calibri-BoldItalic"/>
          <w:b/>
          <w:bCs/>
          <w:i/>
          <w:iCs/>
          <w:color w:val="000000"/>
          <w:sz w:val="20"/>
          <w:szCs w:val="20"/>
        </w:rPr>
      </w:pPr>
    </w:p>
    <w:p w14:paraId="0C85B823" w14:textId="77777777" w:rsidR="00E66DE1" w:rsidRDefault="00E66DE1" w:rsidP="00E66DE1">
      <w:pPr>
        <w:autoSpaceDE w:val="0"/>
        <w:autoSpaceDN w:val="0"/>
        <w:adjustRightInd w:val="0"/>
        <w:rPr>
          <w:rFonts w:ascii="Calibri-BoldItalic" w:hAnsi="Calibri-BoldItalic" w:cs="Calibri-BoldItalic"/>
          <w:b/>
          <w:bCs/>
          <w:i/>
          <w:iCs/>
          <w:color w:val="000000"/>
          <w:sz w:val="20"/>
          <w:szCs w:val="20"/>
        </w:rPr>
      </w:pPr>
      <w:r>
        <w:rPr>
          <w:rFonts w:ascii="Calibri-BoldItalic" w:hAnsi="Calibri-BoldItalic" w:cs="Calibri-BoldItalic"/>
          <w:b/>
          <w:bCs/>
          <w:i/>
          <w:iCs/>
          <w:color w:val="000000"/>
          <w:sz w:val="20"/>
          <w:szCs w:val="20"/>
        </w:rPr>
        <w:t>New company base case</w:t>
      </w:r>
    </w:p>
    <w:p w14:paraId="0BE753E1" w14:textId="77777777" w:rsidR="00E66DE1" w:rsidRDefault="00E66DE1" w:rsidP="00E66DE1">
      <w:pPr>
        <w:autoSpaceDE w:val="0"/>
        <w:autoSpaceDN w:val="0"/>
        <w:adjustRightInd w:val="0"/>
        <w:rPr>
          <w:rFonts w:ascii="Calibri-Italic" w:hAnsi="Calibri-Italic" w:cs="Calibri-Italic"/>
          <w:i/>
          <w:iCs/>
          <w:color w:val="000000"/>
          <w:sz w:val="20"/>
          <w:szCs w:val="20"/>
        </w:rPr>
      </w:pPr>
    </w:p>
    <w:p w14:paraId="00F5BD28" w14:textId="1941C9CC" w:rsidR="00E66DE1" w:rsidRDefault="00E66DE1" w:rsidP="00E66DE1">
      <w:pPr>
        <w:autoSpaceDE w:val="0"/>
        <w:autoSpaceDN w:val="0"/>
        <w:adjustRightInd w:val="0"/>
        <w:rPr>
          <w:rFonts w:ascii="Calibri-Italic" w:hAnsi="Calibri-Italic" w:cs="Calibri-Italic"/>
          <w:i/>
          <w:iCs/>
          <w:color w:val="000000"/>
          <w:sz w:val="20"/>
          <w:szCs w:val="20"/>
        </w:rPr>
      </w:pPr>
      <w:r>
        <w:rPr>
          <w:rFonts w:ascii="Calibri-Italic" w:hAnsi="Calibri-Italic" w:cs="Calibri-Italic"/>
          <w:i/>
          <w:iCs/>
          <w:color w:val="000000"/>
          <w:sz w:val="20"/>
          <w:szCs w:val="20"/>
        </w:rPr>
        <w:t>Whilst we consider that there is a lack of clinical evidence to demonstrate that imposing a treatment stopping</w:t>
      </w:r>
    </w:p>
    <w:p w14:paraId="6E6661F9" w14:textId="77777777" w:rsidR="00E66DE1" w:rsidRDefault="00E66DE1" w:rsidP="00E66DE1">
      <w:pPr>
        <w:autoSpaceDE w:val="0"/>
        <w:autoSpaceDN w:val="0"/>
        <w:adjustRightInd w:val="0"/>
        <w:rPr>
          <w:rFonts w:ascii="Calibri-Italic" w:hAnsi="Calibri-Italic" w:cs="Calibri-Italic"/>
          <w:i/>
          <w:iCs/>
          <w:color w:val="000000"/>
          <w:sz w:val="20"/>
          <w:szCs w:val="20"/>
        </w:rPr>
      </w:pPr>
      <w:r>
        <w:rPr>
          <w:rFonts w:ascii="Calibri-Italic" w:hAnsi="Calibri-Italic" w:cs="Calibri-Italic"/>
          <w:i/>
          <w:iCs/>
          <w:color w:val="000000"/>
          <w:sz w:val="20"/>
          <w:szCs w:val="20"/>
        </w:rPr>
        <w:t>rule is of benefit to patients in the long-term, we acknowledge that existing recommendations from NICE for</w:t>
      </w:r>
    </w:p>
    <w:p w14:paraId="68C9815F" w14:textId="77777777" w:rsidR="00E66DE1" w:rsidRDefault="00E66DE1" w:rsidP="00E66DE1">
      <w:pPr>
        <w:autoSpaceDE w:val="0"/>
        <w:autoSpaceDN w:val="0"/>
        <w:adjustRightInd w:val="0"/>
        <w:rPr>
          <w:rFonts w:ascii="Calibri-Italic" w:hAnsi="Calibri-Italic" w:cs="Calibri-Italic"/>
          <w:i/>
          <w:iCs/>
          <w:color w:val="000000"/>
          <w:sz w:val="20"/>
          <w:szCs w:val="20"/>
        </w:rPr>
      </w:pPr>
      <w:r>
        <w:rPr>
          <w:rFonts w:ascii="Calibri-Italic" w:hAnsi="Calibri-Italic" w:cs="Calibri-Italic"/>
          <w:i/>
          <w:iCs/>
          <w:color w:val="000000"/>
          <w:sz w:val="20"/>
          <w:szCs w:val="20"/>
        </w:rPr>
        <w:t>other immunotherapies have incorporated a treatment stopping rule, and so has the committee-preferred</w:t>
      </w:r>
    </w:p>
    <w:p w14:paraId="1574FEE5" w14:textId="77777777" w:rsidR="00E66DE1" w:rsidRDefault="00E66DE1" w:rsidP="00E66DE1">
      <w:pPr>
        <w:autoSpaceDE w:val="0"/>
        <w:autoSpaceDN w:val="0"/>
        <w:adjustRightInd w:val="0"/>
        <w:rPr>
          <w:rFonts w:ascii="Calibri-Italic" w:hAnsi="Calibri-Italic" w:cs="Calibri-Italic"/>
          <w:i/>
          <w:iCs/>
          <w:color w:val="000000"/>
          <w:sz w:val="20"/>
          <w:szCs w:val="20"/>
        </w:rPr>
      </w:pPr>
      <w:r>
        <w:rPr>
          <w:rFonts w:ascii="Calibri-Italic" w:hAnsi="Calibri-Italic" w:cs="Calibri-Italic"/>
          <w:i/>
          <w:iCs/>
          <w:color w:val="000000"/>
          <w:sz w:val="20"/>
          <w:szCs w:val="20"/>
        </w:rPr>
        <w:t>analysis for atezolizumab in second-line NSCLC in [ID970]. The inclusion of such a stopping rule in this appraisal,</w:t>
      </w:r>
    </w:p>
    <w:p w14:paraId="44634173" w14:textId="77777777" w:rsidR="00E66DE1" w:rsidRDefault="00E66DE1" w:rsidP="00E66DE1">
      <w:pPr>
        <w:autoSpaceDE w:val="0"/>
        <w:autoSpaceDN w:val="0"/>
        <w:adjustRightInd w:val="0"/>
        <w:rPr>
          <w:rFonts w:ascii="Calibri-Italic" w:hAnsi="Calibri-Italic" w:cs="Calibri-Italic"/>
          <w:i/>
          <w:iCs/>
          <w:color w:val="000000"/>
          <w:sz w:val="20"/>
          <w:szCs w:val="20"/>
        </w:rPr>
      </w:pPr>
      <w:r>
        <w:rPr>
          <w:rFonts w:ascii="Calibri-Italic" w:hAnsi="Calibri-Italic" w:cs="Calibri-Italic"/>
          <w:i/>
          <w:iCs/>
          <w:color w:val="000000"/>
          <w:sz w:val="20"/>
          <w:szCs w:val="20"/>
        </w:rPr>
        <w:t>together with the new PAS, would enable patients with metastatic urothelial cancer after platinum-based</w:t>
      </w:r>
    </w:p>
    <w:p w14:paraId="2ED2C3B4" w14:textId="77777777" w:rsidR="00E66DE1" w:rsidRDefault="00E66DE1" w:rsidP="00E66DE1">
      <w:pPr>
        <w:autoSpaceDE w:val="0"/>
        <w:autoSpaceDN w:val="0"/>
        <w:adjustRightInd w:val="0"/>
        <w:rPr>
          <w:rFonts w:ascii="Calibri-Italic" w:hAnsi="Calibri-Italic" w:cs="Calibri-Italic"/>
          <w:i/>
          <w:iCs/>
          <w:color w:val="000000"/>
          <w:sz w:val="20"/>
          <w:szCs w:val="20"/>
        </w:rPr>
      </w:pPr>
      <w:r>
        <w:rPr>
          <w:rFonts w:ascii="Calibri-Italic" w:hAnsi="Calibri-Italic" w:cs="Calibri-Italic"/>
          <w:i/>
          <w:iCs/>
          <w:color w:val="000000"/>
          <w:sz w:val="20"/>
          <w:szCs w:val="20"/>
        </w:rPr>
        <w:t>chemotherapy [ID1327] with access to atezolizumab. Given the inadequacy of current treatment options in this</w:t>
      </w:r>
    </w:p>
    <w:p w14:paraId="66AA8B95" w14:textId="77777777" w:rsidR="00E66DE1" w:rsidRPr="00370792" w:rsidRDefault="00E66DE1" w:rsidP="00E66DE1">
      <w:pPr>
        <w:autoSpaceDE w:val="0"/>
        <w:autoSpaceDN w:val="0"/>
        <w:adjustRightInd w:val="0"/>
        <w:rPr>
          <w:rFonts w:ascii="Calibri-Italic" w:hAnsi="Calibri-Italic" w:cs="Calibri-Italic"/>
          <w:i/>
          <w:iCs/>
          <w:color w:val="000000"/>
          <w:sz w:val="20"/>
          <w:szCs w:val="20"/>
        </w:rPr>
      </w:pPr>
      <w:r>
        <w:rPr>
          <w:rFonts w:ascii="Calibri-Italic" w:hAnsi="Calibri-Italic" w:cs="Calibri-Italic"/>
          <w:i/>
          <w:iCs/>
          <w:color w:val="000000"/>
          <w:sz w:val="20"/>
          <w:szCs w:val="20"/>
        </w:rPr>
        <w:t xml:space="preserve">indication, access to atezolizumab, even with the implementation of a 2-year stopping rule, would represent a </w:t>
      </w:r>
      <w:r w:rsidRPr="00370792">
        <w:rPr>
          <w:rFonts w:ascii="Calibri-Italic" w:hAnsi="Calibri-Italic" w:cs="Calibri-Italic"/>
          <w:i/>
          <w:iCs/>
          <w:color w:val="000000"/>
          <w:sz w:val="20"/>
          <w:szCs w:val="20"/>
        </w:rPr>
        <w:t xml:space="preserve">valuable and radically different treatment option compared to </w:t>
      </w:r>
      <w:proofErr w:type="spellStart"/>
      <w:r w:rsidRPr="00370792">
        <w:rPr>
          <w:rFonts w:ascii="Calibri-Italic" w:hAnsi="Calibri-Italic" w:cs="Calibri-Italic"/>
          <w:i/>
          <w:iCs/>
          <w:color w:val="000000"/>
          <w:sz w:val="20"/>
          <w:szCs w:val="20"/>
        </w:rPr>
        <w:t>taxane</w:t>
      </w:r>
      <w:proofErr w:type="spellEnd"/>
      <w:r w:rsidRPr="00370792">
        <w:rPr>
          <w:rFonts w:ascii="Calibri-Italic" w:hAnsi="Calibri-Italic" w:cs="Calibri-Italic"/>
          <w:i/>
          <w:iCs/>
          <w:color w:val="000000"/>
          <w:sz w:val="20"/>
          <w:szCs w:val="20"/>
        </w:rPr>
        <w:t xml:space="preserve"> chemotherapy.”</w:t>
      </w:r>
    </w:p>
    <w:p w14:paraId="37B9C000" w14:textId="77777777" w:rsidR="00E66DE1" w:rsidRPr="00370792" w:rsidRDefault="00E66DE1" w:rsidP="00E66DE1">
      <w:pPr>
        <w:pStyle w:val="Heading1"/>
        <w:numPr>
          <w:ilvl w:val="0"/>
          <w:numId w:val="0"/>
        </w:numPr>
        <w:ind w:left="720"/>
        <w:rPr>
          <w:rFonts w:ascii="Calibri-Italic" w:hAnsi="Calibri-Italic" w:cs="Calibri-Italic"/>
          <w:b/>
          <w:bCs w:val="0"/>
          <w:i/>
          <w:iCs/>
          <w:color w:val="000000"/>
          <w:sz w:val="20"/>
          <w:szCs w:val="20"/>
        </w:rPr>
      </w:pPr>
    </w:p>
    <w:p w14:paraId="6C0796EA" w14:textId="77777777" w:rsidR="00E66DE1" w:rsidRDefault="00E66DE1" w:rsidP="00E66DE1">
      <w:pPr>
        <w:rPr>
          <w:rFonts w:ascii="Arial" w:hAnsi="Arial"/>
        </w:rPr>
      </w:pPr>
      <w:r>
        <w:br w:type="page"/>
      </w:r>
    </w:p>
    <w:p w14:paraId="7A3583D1" w14:textId="77777777" w:rsidR="00E66DE1" w:rsidRDefault="00E66DE1" w:rsidP="00E66DE1">
      <w:pPr>
        <w:autoSpaceDE w:val="0"/>
        <w:autoSpaceDN w:val="0"/>
        <w:adjustRightInd w:val="0"/>
        <w:rPr>
          <w:rFonts w:ascii="Calibri-Bold" w:hAnsi="Calibri-Bold" w:cs="Calibri-Bold"/>
          <w:b/>
          <w:bCs/>
          <w:color w:val="000000"/>
          <w:sz w:val="20"/>
          <w:szCs w:val="20"/>
        </w:rPr>
      </w:pPr>
      <w:r>
        <w:rPr>
          <w:rFonts w:ascii="Calibri-Bold" w:hAnsi="Calibri-Bold" w:cs="Calibri-Bold"/>
          <w:b/>
          <w:bCs/>
          <w:color w:val="000000"/>
          <w:sz w:val="20"/>
          <w:szCs w:val="20"/>
        </w:rPr>
        <w:lastRenderedPageBreak/>
        <w:t>TA520: Atezolizumab for treating locally advanced or metastatic non-small-cell lung cancer after</w:t>
      </w:r>
    </w:p>
    <w:p w14:paraId="720EF005" w14:textId="77777777" w:rsidR="00E66DE1" w:rsidRDefault="00E66DE1" w:rsidP="00E66DE1">
      <w:pPr>
        <w:autoSpaceDE w:val="0"/>
        <w:autoSpaceDN w:val="0"/>
        <w:adjustRightInd w:val="0"/>
        <w:rPr>
          <w:rFonts w:ascii="Calibri-Bold" w:hAnsi="Calibri-Bold" w:cs="Calibri-Bold"/>
          <w:b/>
          <w:bCs/>
          <w:color w:val="000000"/>
          <w:sz w:val="20"/>
          <w:szCs w:val="20"/>
        </w:rPr>
      </w:pPr>
      <w:r>
        <w:rPr>
          <w:rFonts w:ascii="Calibri-Bold" w:hAnsi="Calibri-Bold" w:cs="Calibri-Bold"/>
          <w:b/>
          <w:bCs/>
          <w:color w:val="000000"/>
          <w:sz w:val="20"/>
          <w:szCs w:val="20"/>
        </w:rPr>
        <w:t>chemotherapy</w:t>
      </w:r>
    </w:p>
    <w:p w14:paraId="421ADCD6" w14:textId="77777777" w:rsidR="00E66DE1" w:rsidRDefault="00E66DE1" w:rsidP="00E66DE1">
      <w:pPr>
        <w:autoSpaceDE w:val="0"/>
        <w:autoSpaceDN w:val="0"/>
        <w:adjustRightInd w:val="0"/>
        <w:rPr>
          <w:rFonts w:ascii="Calibri" w:hAnsi="Calibri" w:cs="Calibri"/>
          <w:color w:val="000000"/>
          <w:sz w:val="20"/>
          <w:szCs w:val="20"/>
        </w:rPr>
      </w:pPr>
    </w:p>
    <w:p w14:paraId="1B96E2AC" w14:textId="77777777" w:rsidR="00E66DE1" w:rsidRDefault="00E66DE1" w:rsidP="00E66DE1">
      <w:pPr>
        <w:autoSpaceDE w:val="0"/>
        <w:autoSpaceDN w:val="0"/>
        <w:adjustRightInd w:val="0"/>
        <w:rPr>
          <w:rFonts w:ascii="Calibri" w:hAnsi="Calibri" w:cs="Calibri"/>
          <w:color w:val="000000"/>
          <w:sz w:val="20"/>
          <w:szCs w:val="20"/>
        </w:rPr>
      </w:pPr>
      <w:r>
        <w:rPr>
          <w:rFonts w:ascii="Calibri" w:hAnsi="Calibri" w:cs="Calibri"/>
          <w:color w:val="000000"/>
          <w:sz w:val="20"/>
          <w:szCs w:val="20"/>
        </w:rPr>
        <w:t>1</w:t>
      </w:r>
      <w:r>
        <w:rPr>
          <w:rFonts w:ascii="Calibri" w:hAnsi="Calibri" w:cs="Calibri"/>
          <w:color w:val="000000"/>
          <w:sz w:val="13"/>
          <w:szCs w:val="13"/>
        </w:rPr>
        <w:t xml:space="preserve">st </w:t>
      </w:r>
      <w:r>
        <w:rPr>
          <w:rFonts w:ascii="Calibri" w:hAnsi="Calibri" w:cs="Calibri"/>
          <w:color w:val="000000"/>
          <w:sz w:val="20"/>
          <w:szCs w:val="20"/>
        </w:rPr>
        <w:t>set of Committee Papers [ID970], published on NICE website on 3</w:t>
      </w:r>
      <w:r>
        <w:rPr>
          <w:rFonts w:ascii="Calibri" w:hAnsi="Calibri" w:cs="Calibri"/>
          <w:color w:val="000000"/>
          <w:sz w:val="13"/>
          <w:szCs w:val="13"/>
        </w:rPr>
        <w:t xml:space="preserve">rd </w:t>
      </w:r>
      <w:r>
        <w:rPr>
          <w:rFonts w:ascii="Calibri" w:hAnsi="Calibri" w:cs="Calibri"/>
          <w:color w:val="000000"/>
          <w:sz w:val="20"/>
          <w:szCs w:val="20"/>
        </w:rPr>
        <w:t>August 2017</w:t>
      </w:r>
    </w:p>
    <w:p w14:paraId="0682ADAA" w14:textId="77777777" w:rsidR="00E66DE1" w:rsidRDefault="00E66DE1" w:rsidP="00E66DE1">
      <w:pPr>
        <w:autoSpaceDE w:val="0"/>
        <w:autoSpaceDN w:val="0"/>
        <w:adjustRightInd w:val="0"/>
        <w:rPr>
          <w:rFonts w:ascii="Calibri" w:hAnsi="Calibri" w:cs="Calibri"/>
          <w:color w:val="000000"/>
          <w:sz w:val="22"/>
          <w:szCs w:val="22"/>
        </w:rPr>
      </w:pPr>
      <w:r>
        <w:rPr>
          <w:rFonts w:ascii="Calibri" w:hAnsi="Calibri" w:cs="Calibri"/>
          <w:color w:val="000000"/>
          <w:sz w:val="20"/>
          <w:szCs w:val="20"/>
        </w:rPr>
        <w:t>(</w:t>
      </w:r>
      <w:r>
        <w:rPr>
          <w:rFonts w:ascii="Calibri" w:hAnsi="Calibri" w:cs="Calibri"/>
          <w:color w:val="0000FF"/>
          <w:sz w:val="22"/>
          <w:szCs w:val="22"/>
        </w:rPr>
        <w:t>https://www.nice.org.uk/guidance/ta520/documents/committee-papers</w:t>
      </w:r>
      <w:r>
        <w:rPr>
          <w:rFonts w:ascii="Calibri" w:hAnsi="Calibri" w:cs="Calibri"/>
          <w:color w:val="000000"/>
          <w:sz w:val="22"/>
          <w:szCs w:val="22"/>
        </w:rPr>
        <w:t>)</w:t>
      </w:r>
    </w:p>
    <w:p w14:paraId="5E4D09AE" w14:textId="77777777" w:rsidR="00E66DE1" w:rsidRDefault="00E66DE1" w:rsidP="00E66DE1">
      <w:pPr>
        <w:autoSpaceDE w:val="0"/>
        <w:autoSpaceDN w:val="0"/>
        <w:adjustRightInd w:val="0"/>
        <w:rPr>
          <w:rFonts w:ascii="Calibri" w:hAnsi="Calibri" w:cs="Calibri"/>
          <w:color w:val="000000"/>
          <w:sz w:val="20"/>
          <w:szCs w:val="20"/>
        </w:rPr>
      </w:pPr>
    </w:p>
    <w:p w14:paraId="4C793785" w14:textId="77777777" w:rsidR="00E66DE1" w:rsidRDefault="00E66DE1" w:rsidP="00E66DE1">
      <w:pPr>
        <w:autoSpaceDE w:val="0"/>
        <w:autoSpaceDN w:val="0"/>
        <w:adjustRightInd w:val="0"/>
        <w:rPr>
          <w:rFonts w:ascii="Calibri" w:hAnsi="Calibri" w:cs="Calibri"/>
          <w:color w:val="000000"/>
          <w:sz w:val="20"/>
          <w:szCs w:val="20"/>
        </w:rPr>
      </w:pPr>
      <w:r>
        <w:rPr>
          <w:rFonts w:ascii="Calibri" w:hAnsi="Calibri" w:cs="Calibri"/>
          <w:color w:val="000000"/>
          <w:sz w:val="20"/>
          <w:szCs w:val="20"/>
        </w:rPr>
        <w:t>Pages 552-553 of the 1st set of Committee Papers (Pages 112-113 of the ERG report)</w:t>
      </w:r>
    </w:p>
    <w:p w14:paraId="6153C4F4" w14:textId="77777777" w:rsidR="00E66DE1" w:rsidRDefault="00E66DE1" w:rsidP="00E66DE1">
      <w:pPr>
        <w:autoSpaceDE w:val="0"/>
        <w:autoSpaceDN w:val="0"/>
        <w:adjustRightInd w:val="0"/>
        <w:rPr>
          <w:rFonts w:ascii="Calibri-Italic" w:hAnsi="Calibri-Italic" w:cs="Calibri-Italic"/>
          <w:i/>
          <w:iCs/>
          <w:color w:val="000000"/>
          <w:sz w:val="20"/>
          <w:szCs w:val="20"/>
        </w:rPr>
      </w:pPr>
    </w:p>
    <w:p w14:paraId="65B7A419" w14:textId="77777777" w:rsidR="00E66DE1" w:rsidRDefault="00E66DE1" w:rsidP="00E66DE1">
      <w:pPr>
        <w:autoSpaceDE w:val="0"/>
        <w:autoSpaceDN w:val="0"/>
        <w:adjustRightInd w:val="0"/>
        <w:rPr>
          <w:rFonts w:ascii="Calibri-BoldItalic" w:hAnsi="Calibri-BoldItalic" w:cs="Calibri-BoldItalic"/>
          <w:b/>
          <w:bCs/>
          <w:i/>
          <w:iCs/>
          <w:color w:val="000000"/>
          <w:sz w:val="20"/>
          <w:szCs w:val="20"/>
        </w:rPr>
      </w:pPr>
      <w:r>
        <w:rPr>
          <w:rFonts w:ascii="Calibri-Italic" w:hAnsi="Calibri-Italic" w:cs="Calibri-Italic"/>
          <w:i/>
          <w:iCs/>
          <w:color w:val="000000"/>
          <w:sz w:val="20"/>
          <w:szCs w:val="20"/>
        </w:rPr>
        <w:t>“</w:t>
      </w:r>
      <w:r>
        <w:rPr>
          <w:rFonts w:ascii="Calibri-BoldItalic" w:hAnsi="Calibri-BoldItalic" w:cs="Calibri-BoldItalic"/>
          <w:b/>
          <w:bCs/>
          <w:i/>
          <w:iCs/>
          <w:color w:val="000000"/>
          <w:sz w:val="20"/>
          <w:szCs w:val="20"/>
        </w:rPr>
        <w:t>Duration of treatment effect</w:t>
      </w:r>
    </w:p>
    <w:p w14:paraId="511F3CA8" w14:textId="77777777" w:rsidR="00E66DE1" w:rsidRDefault="00E66DE1" w:rsidP="00E66DE1">
      <w:pPr>
        <w:autoSpaceDE w:val="0"/>
        <w:autoSpaceDN w:val="0"/>
        <w:adjustRightInd w:val="0"/>
        <w:rPr>
          <w:rFonts w:ascii="Calibri-Italic" w:hAnsi="Calibri-Italic" w:cs="Calibri-Italic"/>
          <w:i/>
          <w:iCs/>
          <w:color w:val="000000"/>
          <w:sz w:val="20"/>
          <w:szCs w:val="20"/>
        </w:rPr>
      </w:pPr>
    </w:p>
    <w:p w14:paraId="3666D040" w14:textId="77777777" w:rsidR="00E66DE1" w:rsidRDefault="00E66DE1" w:rsidP="00E66DE1">
      <w:pPr>
        <w:autoSpaceDE w:val="0"/>
        <w:autoSpaceDN w:val="0"/>
        <w:adjustRightInd w:val="0"/>
        <w:rPr>
          <w:rFonts w:ascii="Calibri-Italic" w:hAnsi="Calibri-Italic" w:cs="Calibri-Italic"/>
          <w:i/>
          <w:iCs/>
          <w:color w:val="000000"/>
          <w:sz w:val="20"/>
          <w:szCs w:val="20"/>
        </w:rPr>
      </w:pPr>
      <w:r>
        <w:rPr>
          <w:rFonts w:ascii="Calibri-Italic" w:hAnsi="Calibri-Italic" w:cs="Calibri-Italic"/>
          <w:i/>
          <w:iCs/>
          <w:color w:val="000000"/>
          <w:sz w:val="20"/>
          <w:szCs w:val="20"/>
        </w:rPr>
        <w:t>The company has assumed a lifetime duration of treatment effect for atezolizumab, this results in a lower</w:t>
      </w:r>
    </w:p>
    <w:p w14:paraId="214FEB36" w14:textId="77777777" w:rsidR="00E66DE1" w:rsidRDefault="00E66DE1" w:rsidP="00E66DE1">
      <w:pPr>
        <w:autoSpaceDE w:val="0"/>
        <w:autoSpaceDN w:val="0"/>
        <w:adjustRightInd w:val="0"/>
        <w:rPr>
          <w:rFonts w:ascii="Calibri-Italic" w:hAnsi="Calibri-Italic" w:cs="Calibri-Italic"/>
          <w:i/>
          <w:iCs/>
          <w:color w:val="000000"/>
          <w:sz w:val="20"/>
          <w:szCs w:val="20"/>
        </w:rPr>
      </w:pPr>
      <w:r>
        <w:rPr>
          <w:rFonts w:ascii="Calibri-Italic" w:hAnsi="Calibri-Italic" w:cs="Calibri-Italic"/>
          <w:i/>
          <w:iCs/>
          <w:color w:val="000000"/>
          <w:sz w:val="20"/>
          <w:szCs w:val="20"/>
        </w:rPr>
        <w:t xml:space="preserve">mortality rate for patients who received atezolizumab versus docetaxel or </w:t>
      </w:r>
      <w:proofErr w:type="spellStart"/>
      <w:r>
        <w:rPr>
          <w:rFonts w:ascii="Calibri-Italic" w:hAnsi="Calibri-Italic" w:cs="Calibri-Italic"/>
          <w:i/>
          <w:iCs/>
          <w:color w:val="000000"/>
          <w:sz w:val="20"/>
          <w:szCs w:val="20"/>
        </w:rPr>
        <w:t>nintedanib+docetaxel</w:t>
      </w:r>
      <w:proofErr w:type="spellEnd"/>
      <w:r>
        <w:rPr>
          <w:rFonts w:ascii="Calibri-Italic" w:hAnsi="Calibri-Italic" w:cs="Calibri-Italic"/>
          <w:i/>
          <w:iCs/>
          <w:color w:val="000000"/>
          <w:sz w:val="20"/>
          <w:szCs w:val="20"/>
        </w:rPr>
        <w:t xml:space="preserve"> for the duration of the model. The NICE Appraisal Committee raised concerns during TA428</w:t>
      </w:r>
      <w:r>
        <w:rPr>
          <w:rFonts w:ascii="Calibri-Italic" w:hAnsi="Calibri-Italic" w:cs="Calibri-Italic"/>
          <w:i/>
          <w:iCs/>
          <w:color w:val="000000"/>
          <w:sz w:val="13"/>
          <w:szCs w:val="13"/>
        </w:rPr>
        <w:t xml:space="preserve">15 </w:t>
      </w:r>
      <w:r>
        <w:rPr>
          <w:rFonts w:ascii="Calibri-Italic" w:hAnsi="Calibri-Italic" w:cs="Calibri-Italic"/>
          <w:i/>
          <w:iCs/>
          <w:color w:val="000000"/>
          <w:sz w:val="20"/>
          <w:szCs w:val="20"/>
        </w:rPr>
        <w:t>(Pembrolizumab for treating PDL1positive NSCLC after chemotherapy) relating to the duration of treatment effect (after treatment had ended) associated with receiving an immunotherapy. Consequently, the ERG looked to cap the duration of treatment effect of atezolizumab at 3 years in line with the (TA428</w:t>
      </w:r>
      <w:r>
        <w:rPr>
          <w:rFonts w:ascii="Calibri-Italic" w:hAnsi="Calibri-Italic" w:cs="Calibri-Italic"/>
          <w:i/>
          <w:iCs/>
          <w:color w:val="000000"/>
          <w:sz w:val="13"/>
          <w:szCs w:val="13"/>
        </w:rPr>
        <w:t>15</w:t>
      </w:r>
      <w:r>
        <w:rPr>
          <w:rFonts w:ascii="Calibri-Italic" w:hAnsi="Calibri-Italic" w:cs="Calibri-Italic"/>
          <w:i/>
          <w:iCs/>
          <w:color w:val="000000"/>
          <w:sz w:val="20"/>
          <w:szCs w:val="20"/>
        </w:rPr>
        <w:t>) Committee’s view on what could be considered a reasonable duration of treatment effect.</w:t>
      </w:r>
    </w:p>
    <w:p w14:paraId="11FF46CB" w14:textId="77777777" w:rsidR="00E66DE1" w:rsidRDefault="00E66DE1" w:rsidP="00E66DE1">
      <w:pPr>
        <w:autoSpaceDE w:val="0"/>
        <w:autoSpaceDN w:val="0"/>
        <w:adjustRightInd w:val="0"/>
        <w:rPr>
          <w:rFonts w:ascii="Calibri-Italic" w:hAnsi="Calibri-Italic" w:cs="Calibri-Italic"/>
          <w:i/>
          <w:iCs/>
          <w:color w:val="000000"/>
          <w:sz w:val="20"/>
          <w:szCs w:val="20"/>
        </w:rPr>
      </w:pPr>
    </w:p>
    <w:p w14:paraId="094B9ADD" w14:textId="77777777" w:rsidR="00E66DE1" w:rsidRDefault="00E66DE1" w:rsidP="00E66DE1">
      <w:pPr>
        <w:autoSpaceDE w:val="0"/>
        <w:autoSpaceDN w:val="0"/>
        <w:adjustRightInd w:val="0"/>
        <w:rPr>
          <w:rFonts w:ascii="Calibri-Italic" w:hAnsi="Calibri-Italic" w:cs="Calibri-Italic"/>
          <w:i/>
          <w:iCs/>
          <w:color w:val="000000"/>
          <w:sz w:val="20"/>
          <w:szCs w:val="20"/>
        </w:rPr>
      </w:pPr>
      <w:r>
        <w:rPr>
          <w:rFonts w:ascii="Calibri-Italic" w:hAnsi="Calibri-Italic" w:cs="Calibri-Italic"/>
          <w:i/>
          <w:iCs/>
          <w:color w:val="000000"/>
          <w:sz w:val="20"/>
          <w:szCs w:val="20"/>
        </w:rPr>
        <w:t>Whilst the company model allows the duration of treatment effect to be fixed, the approach that is used to stop</w:t>
      </w:r>
    </w:p>
    <w:p w14:paraId="3480BDD8" w14:textId="77777777" w:rsidR="00E66DE1" w:rsidRDefault="00E66DE1" w:rsidP="00E66DE1">
      <w:pPr>
        <w:autoSpaceDE w:val="0"/>
        <w:autoSpaceDN w:val="0"/>
        <w:adjustRightInd w:val="0"/>
        <w:rPr>
          <w:rFonts w:ascii="Calibri-Italic" w:hAnsi="Calibri-Italic" w:cs="Calibri-Italic"/>
          <w:i/>
          <w:iCs/>
          <w:color w:val="000000"/>
          <w:sz w:val="20"/>
          <w:szCs w:val="20"/>
        </w:rPr>
      </w:pPr>
      <w:r>
        <w:rPr>
          <w:rFonts w:ascii="Calibri-Italic" w:hAnsi="Calibri-Italic" w:cs="Calibri-Italic"/>
          <w:i/>
          <w:iCs/>
          <w:color w:val="000000"/>
          <w:sz w:val="20"/>
          <w:szCs w:val="20"/>
        </w:rPr>
        <w:t>the treatment effect in the model is simplistic. If the duration of treatment effect is set to be ‘x’ months in the</w:t>
      </w:r>
    </w:p>
    <w:p w14:paraId="49FFCBBA" w14:textId="77777777" w:rsidR="00E66DE1" w:rsidRDefault="00E66DE1" w:rsidP="00E66DE1">
      <w:pPr>
        <w:autoSpaceDE w:val="0"/>
        <w:autoSpaceDN w:val="0"/>
        <w:adjustRightInd w:val="0"/>
        <w:rPr>
          <w:rFonts w:ascii="Calibri-Italic" w:hAnsi="Calibri-Italic" w:cs="Calibri-Italic"/>
          <w:i/>
          <w:iCs/>
          <w:color w:val="000000"/>
          <w:sz w:val="20"/>
          <w:szCs w:val="20"/>
        </w:rPr>
      </w:pPr>
      <w:r>
        <w:rPr>
          <w:rFonts w:ascii="Calibri-Italic" w:hAnsi="Calibri-Italic" w:cs="Calibri-Italic"/>
          <w:i/>
          <w:iCs/>
          <w:color w:val="000000"/>
          <w:sz w:val="20"/>
          <w:szCs w:val="20"/>
        </w:rPr>
        <w:t>model, then the hazard rate for atezolizumab is set to be equal to docetaxel at ‘x’ months after the start of the</w:t>
      </w:r>
    </w:p>
    <w:p w14:paraId="75378A9D" w14:textId="77777777" w:rsidR="00E66DE1" w:rsidRDefault="00E66DE1" w:rsidP="00E66DE1">
      <w:pPr>
        <w:autoSpaceDE w:val="0"/>
        <w:autoSpaceDN w:val="0"/>
        <w:adjustRightInd w:val="0"/>
        <w:rPr>
          <w:rFonts w:ascii="Calibri-Italic" w:hAnsi="Calibri-Italic" w:cs="Calibri-Italic"/>
          <w:i/>
          <w:iCs/>
          <w:color w:val="000000"/>
          <w:sz w:val="20"/>
          <w:szCs w:val="20"/>
        </w:rPr>
      </w:pPr>
      <w:r>
        <w:rPr>
          <w:rFonts w:ascii="Calibri-Italic" w:hAnsi="Calibri-Italic" w:cs="Calibri-Italic"/>
          <w:i/>
          <w:iCs/>
          <w:color w:val="000000"/>
          <w:sz w:val="20"/>
          <w:szCs w:val="20"/>
        </w:rPr>
        <w:t xml:space="preserve">model. Any patients that stop atezolizumab in month ‘t’ will have a duration of treatment effect for atezolizumab of x-t. This means the duration of treatment effect of atezolizumab in the model varies for patients and is not fixed and underestimates the true duration of treatment effect for atezolizumab of ‘x’ months if this is believed to </w:t>
      </w:r>
      <w:proofErr w:type="gramStart"/>
      <w:r>
        <w:rPr>
          <w:rFonts w:ascii="Calibri-Italic" w:hAnsi="Calibri-Italic" w:cs="Calibri-Italic"/>
          <w:i/>
          <w:iCs/>
          <w:color w:val="000000"/>
          <w:sz w:val="20"/>
          <w:szCs w:val="20"/>
        </w:rPr>
        <w:t>exist in reality</w:t>
      </w:r>
      <w:proofErr w:type="gramEnd"/>
      <w:r>
        <w:rPr>
          <w:rFonts w:ascii="Calibri-Italic" w:hAnsi="Calibri-Italic" w:cs="Calibri-Italic"/>
          <w:i/>
          <w:iCs/>
          <w:color w:val="000000"/>
          <w:sz w:val="20"/>
          <w:szCs w:val="20"/>
        </w:rPr>
        <w:t>.</w:t>
      </w:r>
    </w:p>
    <w:p w14:paraId="6ECDA663" w14:textId="77777777" w:rsidR="00E66DE1" w:rsidRDefault="00E66DE1" w:rsidP="00E66DE1">
      <w:pPr>
        <w:autoSpaceDE w:val="0"/>
        <w:autoSpaceDN w:val="0"/>
        <w:adjustRightInd w:val="0"/>
        <w:rPr>
          <w:rFonts w:ascii="Calibri-Italic" w:hAnsi="Calibri-Italic" w:cs="Calibri-Italic"/>
          <w:i/>
          <w:iCs/>
          <w:color w:val="000000"/>
          <w:sz w:val="20"/>
          <w:szCs w:val="20"/>
        </w:rPr>
      </w:pPr>
    </w:p>
    <w:p w14:paraId="62751FD2" w14:textId="77777777" w:rsidR="00E66DE1" w:rsidRDefault="00E66DE1" w:rsidP="00E66DE1">
      <w:pPr>
        <w:autoSpaceDE w:val="0"/>
        <w:autoSpaceDN w:val="0"/>
        <w:adjustRightInd w:val="0"/>
        <w:rPr>
          <w:rFonts w:ascii="Calibri-Italic" w:hAnsi="Calibri-Italic" w:cs="Calibri-Italic"/>
          <w:i/>
          <w:iCs/>
          <w:color w:val="000000"/>
          <w:sz w:val="20"/>
          <w:szCs w:val="20"/>
        </w:rPr>
      </w:pPr>
      <w:r>
        <w:rPr>
          <w:rFonts w:ascii="Calibri-Italic" w:hAnsi="Calibri-Italic" w:cs="Calibri-Italic"/>
          <w:i/>
          <w:iCs/>
          <w:color w:val="000000"/>
          <w:sz w:val="20"/>
          <w:szCs w:val="20"/>
        </w:rPr>
        <w:t xml:space="preserve">For example, if duration of treatment effect for atezolizumab is </w:t>
      </w:r>
      <w:proofErr w:type="gramStart"/>
      <w:r>
        <w:rPr>
          <w:rFonts w:ascii="Calibri-Italic" w:hAnsi="Calibri-Italic" w:cs="Calibri-Italic"/>
          <w:i/>
          <w:iCs/>
          <w:color w:val="000000"/>
          <w:sz w:val="20"/>
          <w:szCs w:val="20"/>
        </w:rPr>
        <w:t>actually 3</w:t>
      </w:r>
      <w:proofErr w:type="gramEnd"/>
      <w:r>
        <w:rPr>
          <w:rFonts w:ascii="Calibri-Italic" w:hAnsi="Calibri-Italic" w:cs="Calibri-Italic"/>
          <w:i/>
          <w:iCs/>
          <w:color w:val="000000"/>
          <w:sz w:val="20"/>
          <w:szCs w:val="20"/>
        </w:rPr>
        <w:t xml:space="preserve"> years, then, in the model, setting the</w:t>
      </w:r>
    </w:p>
    <w:p w14:paraId="42529EDE" w14:textId="77777777" w:rsidR="00E66DE1" w:rsidRDefault="00E66DE1" w:rsidP="00E66DE1">
      <w:pPr>
        <w:autoSpaceDE w:val="0"/>
        <w:autoSpaceDN w:val="0"/>
        <w:adjustRightInd w:val="0"/>
        <w:rPr>
          <w:rFonts w:ascii="Calibri-Italic" w:hAnsi="Calibri-Italic" w:cs="Calibri-Italic"/>
          <w:i/>
          <w:iCs/>
          <w:color w:val="000000"/>
          <w:sz w:val="20"/>
          <w:szCs w:val="20"/>
        </w:rPr>
      </w:pPr>
      <w:r>
        <w:rPr>
          <w:rFonts w:ascii="Calibri-Italic" w:hAnsi="Calibri-Italic" w:cs="Calibri-Italic"/>
          <w:i/>
          <w:iCs/>
          <w:color w:val="000000"/>
          <w:sz w:val="20"/>
          <w:szCs w:val="20"/>
        </w:rPr>
        <w:t>duration of treatment effect to 3 years would mean the duration of treatment effect of atezolizumab would be</w:t>
      </w:r>
    </w:p>
    <w:p w14:paraId="76A593D8" w14:textId="77777777" w:rsidR="00E66DE1" w:rsidRDefault="00E66DE1" w:rsidP="00E66DE1">
      <w:pPr>
        <w:autoSpaceDE w:val="0"/>
        <w:autoSpaceDN w:val="0"/>
        <w:adjustRightInd w:val="0"/>
        <w:rPr>
          <w:rFonts w:ascii="Calibri-Italic" w:hAnsi="Calibri-Italic" w:cs="Calibri-Italic"/>
          <w:i/>
          <w:iCs/>
          <w:color w:val="000000"/>
          <w:sz w:val="20"/>
          <w:szCs w:val="20"/>
        </w:rPr>
      </w:pPr>
      <w:r>
        <w:rPr>
          <w:rFonts w:ascii="Calibri-Italic" w:hAnsi="Calibri-Italic" w:cs="Calibri-Italic"/>
          <w:i/>
          <w:iCs/>
          <w:color w:val="000000"/>
          <w:sz w:val="20"/>
          <w:szCs w:val="20"/>
        </w:rPr>
        <w:t>2.5 years for a patient who stopped treatment after 6 months, but zero for a patient who is still on treatment at 3 years. The method used in the model for dealing with duration of treatment effect for atezolizumab</w:t>
      </w:r>
    </w:p>
    <w:p w14:paraId="4925C692" w14:textId="77777777" w:rsidR="00E66DE1" w:rsidRDefault="00E66DE1" w:rsidP="00E66DE1">
      <w:pPr>
        <w:autoSpaceDE w:val="0"/>
        <w:autoSpaceDN w:val="0"/>
        <w:adjustRightInd w:val="0"/>
        <w:rPr>
          <w:rFonts w:ascii="Calibri-Italic" w:hAnsi="Calibri-Italic" w:cs="Calibri-Italic"/>
          <w:i/>
          <w:iCs/>
          <w:color w:val="000000"/>
          <w:sz w:val="20"/>
          <w:szCs w:val="20"/>
        </w:rPr>
      </w:pPr>
      <w:r>
        <w:rPr>
          <w:rFonts w:ascii="Calibri-Italic" w:hAnsi="Calibri-Italic" w:cs="Calibri-Italic"/>
          <w:i/>
          <w:iCs/>
          <w:color w:val="000000"/>
          <w:sz w:val="20"/>
          <w:szCs w:val="20"/>
        </w:rPr>
        <w:t xml:space="preserve">underestimates OS for atezolizumab if a treatment effect of 3 years </w:t>
      </w:r>
      <w:proofErr w:type="gramStart"/>
      <w:r>
        <w:rPr>
          <w:rFonts w:ascii="Calibri-Italic" w:hAnsi="Calibri-Italic" w:cs="Calibri-Italic"/>
          <w:i/>
          <w:iCs/>
          <w:color w:val="000000"/>
          <w:sz w:val="20"/>
          <w:szCs w:val="20"/>
        </w:rPr>
        <w:t>actually exists</w:t>
      </w:r>
      <w:proofErr w:type="gramEnd"/>
      <w:r>
        <w:rPr>
          <w:rFonts w:ascii="Calibri-Italic" w:hAnsi="Calibri-Italic" w:cs="Calibri-Italic"/>
          <w:i/>
          <w:iCs/>
          <w:color w:val="000000"/>
          <w:sz w:val="20"/>
          <w:szCs w:val="20"/>
        </w:rPr>
        <w:t xml:space="preserve"> and 36 months is entered into the model as the duration of treatment effect. Without restructuring the model, which is beyond the remit of the ERG, it is not possible to implement a more sophisticated approach to modelling the duration of treatment effect.</w:t>
      </w:r>
    </w:p>
    <w:p w14:paraId="493FA7AE" w14:textId="77777777" w:rsidR="00E66DE1" w:rsidRDefault="00E66DE1" w:rsidP="00E66DE1">
      <w:pPr>
        <w:autoSpaceDE w:val="0"/>
        <w:autoSpaceDN w:val="0"/>
        <w:adjustRightInd w:val="0"/>
        <w:rPr>
          <w:rFonts w:ascii="Calibri-Italic" w:hAnsi="Calibri-Italic" w:cs="Calibri-Italic"/>
          <w:i/>
          <w:iCs/>
          <w:color w:val="000000"/>
          <w:sz w:val="20"/>
          <w:szCs w:val="20"/>
        </w:rPr>
      </w:pPr>
    </w:p>
    <w:p w14:paraId="2A10937B" w14:textId="77777777" w:rsidR="00E66DE1" w:rsidRDefault="00E66DE1" w:rsidP="00E66DE1">
      <w:pPr>
        <w:autoSpaceDE w:val="0"/>
        <w:autoSpaceDN w:val="0"/>
        <w:adjustRightInd w:val="0"/>
        <w:rPr>
          <w:rFonts w:ascii="Calibri-Italic" w:hAnsi="Calibri-Italic" w:cs="Calibri-Italic"/>
          <w:i/>
          <w:iCs/>
          <w:color w:val="000000"/>
          <w:sz w:val="20"/>
          <w:szCs w:val="20"/>
        </w:rPr>
      </w:pPr>
      <w:r>
        <w:rPr>
          <w:rFonts w:ascii="Calibri-Italic" w:hAnsi="Calibri-Italic" w:cs="Calibri-Italic"/>
          <w:i/>
          <w:iCs/>
          <w:color w:val="000000"/>
          <w:sz w:val="20"/>
          <w:szCs w:val="20"/>
        </w:rPr>
        <w:t>Taking the company model limitations into account but still attempting to implement a 3-year duration of</w:t>
      </w:r>
    </w:p>
    <w:p w14:paraId="58F6A448" w14:textId="77777777" w:rsidR="00E66DE1" w:rsidRDefault="00E66DE1" w:rsidP="00E66DE1">
      <w:pPr>
        <w:autoSpaceDE w:val="0"/>
        <w:autoSpaceDN w:val="0"/>
        <w:adjustRightInd w:val="0"/>
        <w:rPr>
          <w:rFonts w:ascii="Calibri-Italic" w:hAnsi="Calibri-Italic" w:cs="Calibri-Italic"/>
          <w:i/>
          <w:iCs/>
          <w:color w:val="000000"/>
          <w:sz w:val="20"/>
          <w:szCs w:val="20"/>
        </w:rPr>
      </w:pPr>
      <w:r>
        <w:rPr>
          <w:rFonts w:ascii="Calibri-Italic" w:hAnsi="Calibri-Italic" w:cs="Calibri-Italic"/>
          <w:i/>
          <w:iCs/>
          <w:color w:val="000000"/>
          <w:sz w:val="20"/>
          <w:szCs w:val="20"/>
        </w:rPr>
        <w:t>treatment effect, the ERG set the company model duration of treatment effect to 5 years. As 8.5% of patients are predicted by the company’s TTD extrapolation to be receiving atezolizumab at 2 years, this means that for those patients, if they are alive at 5 years, the duration of treatment effect will still be less than 3 years even though the duration of treatment effect is set to 5 years in the company model. However, patients who stopped</w:t>
      </w:r>
    </w:p>
    <w:p w14:paraId="09094CC1" w14:textId="77777777" w:rsidR="00E66DE1" w:rsidRDefault="00E66DE1" w:rsidP="00E66DE1">
      <w:pPr>
        <w:autoSpaceDE w:val="0"/>
        <w:autoSpaceDN w:val="0"/>
        <w:adjustRightInd w:val="0"/>
        <w:rPr>
          <w:rFonts w:ascii="Calibri-Italic" w:hAnsi="Calibri-Italic" w:cs="Calibri-Italic"/>
          <w:i/>
          <w:iCs/>
          <w:color w:val="000000"/>
          <w:sz w:val="20"/>
          <w:szCs w:val="20"/>
        </w:rPr>
      </w:pPr>
      <w:r>
        <w:rPr>
          <w:rFonts w:ascii="Calibri-Italic" w:hAnsi="Calibri-Italic" w:cs="Calibri-Italic"/>
          <w:i/>
          <w:iCs/>
          <w:color w:val="000000"/>
          <w:sz w:val="20"/>
          <w:szCs w:val="20"/>
        </w:rPr>
        <w:t xml:space="preserve">treatment before 2 years and are still alive at 5 years will have a greater than </w:t>
      </w:r>
      <w:proofErr w:type="gramStart"/>
      <w:r>
        <w:rPr>
          <w:rFonts w:ascii="Calibri-Italic" w:hAnsi="Calibri-Italic" w:cs="Calibri-Italic"/>
          <w:i/>
          <w:iCs/>
          <w:color w:val="000000"/>
          <w:sz w:val="20"/>
          <w:szCs w:val="20"/>
        </w:rPr>
        <w:t>3 year</w:t>
      </w:r>
      <w:proofErr w:type="gramEnd"/>
      <w:r>
        <w:rPr>
          <w:rFonts w:ascii="Calibri-Italic" w:hAnsi="Calibri-Italic" w:cs="Calibri-Italic"/>
          <w:i/>
          <w:iCs/>
          <w:color w:val="000000"/>
          <w:sz w:val="20"/>
          <w:szCs w:val="20"/>
        </w:rPr>
        <w:t xml:space="preserve"> treatment effect.</w:t>
      </w:r>
    </w:p>
    <w:p w14:paraId="44D23F7C" w14:textId="77777777" w:rsidR="00E66DE1" w:rsidRDefault="00E66DE1" w:rsidP="00E66DE1">
      <w:pPr>
        <w:autoSpaceDE w:val="0"/>
        <w:autoSpaceDN w:val="0"/>
        <w:adjustRightInd w:val="0"/>
        <w:rPr>
          <w:rFonts w:ascii="Calibri-Italic" w:hAnsi="Calibri-Italic" w:cs="Calibri-Italic"/>
          <w:i/>
          <w:iCs/>
          <w:color w:val="000000"/>
          <w:sz w:val="20"/>
          <w:szCs w:val="20"/>
        </w:rPr>
      </w:pPr>
    </w:p>
    <w:p w14:paraId="50DA5ACD" w14:textId="77777777" w:rsidR="00E66DE1" w:rsidRDefault="00E66DE1" w:rsidP="00E66DE1">
      <w:pPr>
        <w:autoSpaceDE w:val="0"/>
        <w:autoSpaceDN w:val="0"/>
        <w:adjustRightInd w:val="0"/>
        <w:rPr>
          <w:rFonts w:ascii="Calibri-Italic" w:hAnsi="Calibri-Italic" w:cs="Calibri-Italic"/>
          <w:i/>
          <w:iCs/>
          <w:color w:val="000000"/>
          <w:sz w:val="20"/>
          <w:szCs w:val="20"/>
        </w:rPr>
      </w:pPr>
      <w:r>
        <w:rPr>
          <w:rFonts w:ascii="Calibri-Italic" w:hAnsi="Calibri-Italic" w:cs="Calibri-Italic"/>
          <w:i/>
          <w:iCs/>
          <w:color w:val="000000"/>
          <w:sz w:val="20"/>
          <w:szCs w:val="20"/>
        </w:rPr>
        <w:t>On balance, whilst there is no accurate way within the company model to set the duration of treatment effect</w:t>
      </w:r>
    </w:p>
    <w:p w14:paraId="63DA53BF" w14:textId="77777777" w:rsidR="00E66DE1" w:rsidRDefault="00E66DE1" w:rsidP="00E66DE1">
      <w:pPr>
        <w:autoSpaceDE w:val="0"/>
        <w:autoSpaceDN w:val="0"/>
        <w:adjustRightInd w:val="0"/>
        <w:rPr>
          <w:rFonts w:ascii="Calibri-Bold" w:hAnsi="Calibri-Bold" w:cs="Calibri-Bold"/>
          <w:b/>
          <w:bCs/>
          <w:color w:val="000000"/>
          <w:sz w:val="20"/>
          <w:szCs w:val="20"/>
        </w:rPr>
      </w:pPr>
      <w:r>
        <w:rPr>
          <w:rFonts w:ascii="Calibri-Italic" w:hAnsi="Calibri-Italic" w:cs="Calibri-Italic"/>
          <w:i/>
          <w:iCs/>
          <w:color w:val="000000"/>
          <w:sz w:val="20"/>
          <w:szCs w:val="20"/>
        </w:rPr>
        <w:t>for atezolizumab to 3 years, the ERG, therefore, considers that setting the company model duration of treatment effect to 5 years rather than 3 years probably produces more accurate ICERs per QALY gained if the real duration of treatment effect for atezolizumab is actually 3 years.”</w:t>
      </w:r>
      <w:r w:rsidRPr="00370792">
        <w:rPr>
          <w:rFonts w:ascii="Calibri-Bold" w:hAnsi="Calibri-Bold" w:cs="Calibri-Bold"/>
          <w:b/>
          <w:bCs/>
          <w:color w:val="000000"/>
          <w:sz w:val="20"/>
          <w:szCs w:val="20"/>
        </w:rPr>
        <w:t xml:space="preserve"> </w:t>
      </w:r>
    </w:p>
    <w:p w14:paraId="49CBA818" w14:textId="77777777" w:rsidR="00E66DE1" w:rsidRDefault="00E66DE1" w:rsidP="00E66DE1">
      <w:pPr>
        <w:autoSpaceDE w:val="0"/>
        <w:autoSpaceDN w:val="0"/>
        <w:adjustRightInd w:val="0"/>
        <w:rPr>
          <w:rFonts w:ascii="Calibri-Bold" w:hAnsi="Calibri-Bold" w:cs="Calibri-Bold"/>
          <w:b/>
          <w:bCs/>
          <w:color w:val="000000"/>
          <w:sz w:val="20"/>
          <w:szCs w:val="20"/>
        </w:rPr>
      </w:pPr>
    </w:p>
    <w:p w14:paraId="24FC752A" w14:textId="77777777" w:rsidR="00E66DE1" w:rsidRDefault="00E66DE1" w:rsidP="00E66DE1">
      <w:pPr>
        <w:rPr>
          <w:rFonts w:ascii="Calibri-Bold" w:hAnsi="Calibri-Bold" w:cs="Calibri-Bold"/>
          <w:b/>
          <w:bCs/>
          <w:color w:val="000000"/>
          <w:sz w:val="20"/>
          <w:szCs w:val="20"/>
        </w:rPr>
      </w:pPr>
    </w:p>
    <w:p w14:paraId="232DA518" w14:textId="77777777" w:rsidR="00E66DE1" w:rsidRPr="00BB79F9" w:rsidRDefault="00E66DE1" w:rsidP="00BB79F9">
      <w:pPr>
        <w:jc w:val="both"/>
        <w:rPr>
          <w:sz w:val="22"/>
          <w:szCs w:val="22"/>
        </w:rPr>
      </w:pPr>
    </w:p>
    <w:sectPr w:rsidR="00E66DE1" w:rsidRPr="00BB79F9" w:rsidSect="00170F2D">
      <w:headerReference w:type="first" r:id="rId11"/>
      <w:footerReference w:type="first" r:id="rId12"/>
      <w:pgSz w:w="11909" w:h="16834" w:code="9"/>
      <w:pgMar w:top="1440" w:right="1440" w:bottom="567"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DCA05A" w14:textId="77777777" w:rsidR="008E7297" w:rsidRDefault="008E7297" w:rsidP="00BF44A2">
      <w:r>
        <w:separator/>
      </w:r>
    </w:p>
  </w:endnote>
  <w:endnote w:type="continuationSeparator" w:id="0">
    <w:p w14:paraId="7A76EFF0" w14:textId="77777777" w:rsidR="008E7297" w:rsidRDefault="008E7297" w:rsidP="00BF4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 w:name="Calibri-BoldItalic">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Italic">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7E244" w14:textId="4D9D98E1" w:rsidR="00783494" w:rsidRDefault="00FF35DF">
    <w:pPr>
      <w:pStyle w:val="Footer"/>
    </w:pPr>
    <w:r>
      <w:rPr>
        <w:noProof/>
        <w:sz w:val="20"/>
        <w:lang w:eastAsia="en-GB"/>
      </w:rPr>
      <mc:AlternateContent>
        <mc:Choice Requires="wps">
          <w:drawing>
            <wp:anchor distT="0" distB="0" distL="114300" distR="114300" simplePos="0" relativeHeight="251663360" behindDoc="0" locked="0" layoutInCell="1" allowOverlap="1" wp14:anchorId="4D4CC682" wp14:editId="5D3D8533">
              <wp:simplePos x="0" y="0"/>
              <wp:positionH relativeFrom="column">
                <wp:posOffset>0</wp:posOffset>
              </wp:positionH>
              <wp:positionV relativeFrom="paragraph">
                <wp:posOffset>0</wp:posOffset>
              </wp:positionV>
              <wp:extent cx="2743200" cy="457200"/>
              <wp:effectExtent l="0" t="0" r="0" b="0"/>
              <wp:wrapNone/>
              <wp:docPr id="3" name="IMFooterFirst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18D0E" w14:textId="7F595DA0" w:rsidR="00FF35DF" w:rsidRDefault="00FF35DF" w:rsidP="00FF35DF">
                          <w:pPr>
                            <w:pStyle w:val="Imanage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CC682" id="_x0000_t202" coordsize="21600,21600" o:spt="202" path="m,l,21600r21600,l21600,xe">
              <v:stroke joinstyle="miter"/>
              <v:path gradientshapeok="t" o:connecttype="rect"/>
            </v:shapetype>
            <v:shape id="IMFooterFirst1" o:spid="_x0000_s1027" type="#_x0000_t202" style="position:absolute;margin-left:0;margin-top:0;width:3in;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" filled="f" stroked="f">
              <v:textbox inset="0,0,0,0">
                <w:txbxContent>
                  <w:p w14:paraId="2FF18D0E" w14:textId="7F595DA0" w:rsidR="00FF35DF" w:rsidRDefault="00FF35DF" w:rsidP="00FF35DF">
                    <w:pPr>
                      <w:pStyle w:val="ImanageFoote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0CF5A3" w14:textId="77777777" w:rsidR="008E7297" w:rsidRDefault="008E7297" w:rsidP="00BF44A2">
      <w:r>
        <w:separator/>
      </w:r>
    </w:p>
  </w:footnote>
  <w:footnote w:type="continuationSeparator" w:id="0">
    <w:p w14:paraId="13DD8B00" w14:textId="77777777" w:rsidR="008E7297" w:rsidRPr="00BF44A2" w:rsidRDefault="008E7297" w:rsidP="00BF44A2">
      <w:r>
        <w:separator/>
      </w:r>
    </w:p>
  </w:footnote>
  <w:footnote w:type="continuationNotice" w:id="1">
    <w:p w14:paraId="31FE600A" w14:textId="77777777" w:rsidR="008E7297" w:rsidRDefault="008E7297">
      <w: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F311B" w14:textId="77777777" w:rsidR="00A603FD" w:rsidRPr="0060014B" w:rsidRDefault="00A603FD" w:rsidP="00A603FD">
    <w:pPr>
      <w:rPr>
        <w:sz w:val="8"/>
      </w:rPr>
    </w:pPr>
    <w:r>
      <w:rPr>
        <w:noProof/>
        <w:sz w:val="8"/>
        <w:lang w:eastAsia="en-GB"/>
      </w:rPr>
      <mc:AlternateContent>
        <mc:Choice Requires="wps">
          <w:drawing>
            <wp:anchor distT="0" distB="0" distL="114300" distR="114300" simplePos="0" relativeHeight="251666432" behindDoc="0" locked="0" layoutInCell="1" allowOverlap="1" wp14:anchorId="350B84A5" wp14:editId="15EC6B63">
              <wp:simplePos x="0" y="0"/>
              <wp:positionH relativeFrom="column">
                <wp:posOffset>3921125</wp:posOffset>
              </wp:positionH>
              <wp:positionV relativeFrom="paragraph">
                <wp:posOffset>1134110</wp:posOffset>
              </wp:positionV>
              <wp:extent cx="1847850" cy="932815"/>
              <wp:effectExtent l="0" t="0" r="6350" b="6985"/>
              <wp:wrapTight wrapText="bothSides">
                <wp:wrapPolygon edited="0">
                  <wp:start x="0" y="0"/>
                  <wp:lineTo x="0" y="21174"/>
                  <wp:lineTo x="21377" y="21174"/>
                  <wp:lineTo x="21377" y="0"/>
                  <wp:lineTo x="0" y="0"/>
                </wp:wrapPolygon>
              </wp:wrapTight>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7850" cy="9328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4EFB896" w14:textId="77777777" w:rsidR="00A603FD" w:rsidRDefault="00A603FD" w:rsidP="00A603FD">
                          <w:pPr>
                            <w:pStyle w:val="Merckbodycopy"/>
                          </w:pPr>
                          <w:r>
                            <w:t xml:space="preserve">Hertford Road, Hoddesdon, </w:t>
                          </w:r>
                        </w:p>
                        <w:p w14:paraId="3B893805" w14:textId="77777777" w:rsidR="00A603FD" w:rsidRDefault="00A603FD" w:rsidP="00A603FD">
                          <w:pPr>
                            <w:pStyle w:val="Merckbodycopy"/>
                          </w:pPr>
                          <w:r>
                            <w:t>Herts EN11 9BU</w:t>
                          </w:r>
                        </w:p>
                        <w:p w14:paraId="1A36F661" w14:textId="77777777" w:rsidR="00A603FD" w:rsidRPr="00717891" w:rsidRDefault="00A603FD" w:rsidP="00A603FD">
                          <w:pPr>
                            <w:pStyle w:val="Merckbodycopy"/>
                          </w:pPr>
                          <w:r>
                            <w:t>T: 01992 467272</w:t>
                          </w:r>
                        </w:p>
                        <w:p w14:paraId="4996A38E" w14:textId="77777777" w:rsidR="00A603FD" w:rsidRPr="00717891" w:rsidRDefault="00A603FD" w:rsidP="00A603FD">
                          <w:pPr>
                            <w:rPr>
                              <w:color w:val="000000" w:themeColor="text1"/>
                              <w:szCs w:val="20"/>
                            </w:rPr>
                          </w:pPr>
                        </w:p>
                        <w:p w14:paraId="330D60E5" w14:textId="77777777" w:rsidR="00A603FD" w:rsidRPr="00717891" w:rsidRDefault="00A603FD" w:rsidP="00A603FD">
                          <w:pPr>
                            <w:rPr>
                              <w:color w:val="00877C"/>
                              <w:szCs w:val="20"/>
                            </w:rPr>
                          </w:pPr>
                          <w:r>
                            <w:rPr>
                              <w:color w:val="00877C"/>
                              <w:szCs w:val="20"/>
                            </w:rPr>
                            <w:t>msd</w:t>
                          </w:r>
                          <w:r w:rsidRPr="00717891">
                            <w:rPr>
                              <w:color w:val="00877C"/>
                              <w:szCs w:val="20"/>
                            </w:rPr>
                            <w:t>.com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50B84A5" id="_x0000_t202" coordsize="21600,21600" o:spt="202" path="m,l,21600r21600,l21600,xe">
              <v:stroke joinstyle="miter"/>
              <v:path gradientshapeok="t" o:connecttype="rect"/>
            </v:shapetype>
            <v:shape id="Text Box 14" o:spid="_x0000_s1026" type="#_x0000_t202" style="position:absolute;margin-left:308.75pt;margin-top:89.3pt;width:145.5pt;height:7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" filled="f" stroked="f">
              <v:textbox inset="0,0,0,0">
                <w:txbxContent>
                  <w:p w14:paraId="44EFB896" w14:textId="77777777" w:rsidR="00A603FD" w:rsidRDefault="00A603FD" w:rsidP="00A603FD">
                    <w:pPr>
                      <w:pStyle w:val="Merckbodycopy"/>
                    </w:pPr>
                    <w:r>
                      <w:t xml:space="preserve">Hertford Road, Hoddesdon, </w:t>
                    </w:r>
                  </w:p>
                  <w:p w14:paraId="3B893805" w14:textId="77777777" w:rsidR="00A603FD" w:rsidRDefault="00A603FD" w:rsidP="00A603FD">
                    <w:pPr>
                      <w:pStyle w:val="Merckbodycopy"/>
                    </w:pPr>
                    <w:r>
                      <w:t>Herts EN11 9BU</w:t>
                    </w:r>
                  </w:p>
                  <w:p w14:paraId="1A36F661" w14:textId="77777777" w:rsidR="00A603FD" w:rsidRPr="00717891" w:rsidRDefault="00A603FD" w:rsidP="00A603FD">
                    <w:pPr>
                      <w:pStyle w:val="Merckbodycopy"/>
                    </w:pPr>
                    <w:r>
                      <w:t>T: 01992 467272</w:t>
                    </w:r>
                  </w:p>
                  <w:p w14:paraId="4996A38E" w14:textId="77777777" w:rsidR="00A603FD" w:rsidRPr="00717891" w:rsidRDefault="00A603FD" w:rsidP="00A603FD">
                    <w:pPr>
                      <w:rPr>
                        <w:color w:val="000000" w:themeColor="text1"/>
                        <w:szCs w:val="20"/>
                      </w:rPr>
                    </w:pPr>
                  </w:p>
                  <w:p w14:paraId="330D60E5" w14:textId="77777777" w:rsidR="00A603FD" w:rsidRPr="00717891" w:rsidRDefault="00A603FD" w:rsidP="00A603FD">
                    <w:pPr>
                      <w:rPr>
                        <w:color w:val="00877C"/>
                        <w:szCs w:val="20"/>
                      </w:rPr>
                    </w:pPr>
                    <w:r>
                      <w:rPr>
                        <w:color w:val="00877C"/>
                        <w:szCs w:val="20"/>
                      </w:rPr>
                      <w:t>msd</w:t>
                    </w:r>
                    <w:r w:rsidRPr="00717891">
                      <w:rPr>
                        <w:color w:val="00877C"/>
                        <w:szCs w:val="20"/>
                      </w:rPr>
                      <w:t>.com</w:t>
                    </w:r>
                  </w:p>
                </w:txbxContent>
              </v:textbox>
              <w10:wrap type="tight"/>
            </v:shape>
          </w:pict>
        </mc:Fallback>
      </mc:AlternateContent>
    </w:r>
    <w:r w:rsidRPr="00196DB9">
      <w:rPr>
        <w:noProof/>
        <w:sz w:val="8"/>
        <w:lang w:eastAsia="en-GB"/>
      </w:rPr>
      <w:drawing>
        <wp:anchor distT="0" distB="0" distL="114300" distR="114300" simplePos="0" relativeHeight="251665408" behindDoc="0" locked="0" layoutInCell="1" allowOverlap="1" wp14:anchorId="29E06658" wp14:editId="20C30C59">
          <wp:simplePos x="0" y="0"/>
          <wp:positionH relativeFrom="column">
            <wp:posOffset>3049954</wp:posOffset>
          </wp:positionH>
          <wp:positionV relativeFrom="paragraph">
            <wp:posOffset>35169</wp:posOffset>
          </wp:positionV>
          <wp:extent cx="2902438" cy="817685"/>
          <wp:effectExtent l="25400" t="0" r="0" b="0"/>
          <wp:wrapNone/>
          <wp:docPr id="18" name="Picture 18" descr=":::MSD IF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D IFL.png"/>
                  <pic:cNvPicPr>
                    <a:picLocks noChangeAspect="1" noChangeArrowheads="1"/>
                  </pic:cNvPicPr>
                </pic:nvPicPr>
                <pic:blipFill>
                  <a:blip r:embed="rId1"/>
                  <a:srcRect/>
                  <a:stretch>
                    <a:fillRect/>
                  </a:stretch>
                </pic:blipFill>
                <pic:spPr bwMode="auto">
                  <a:xfrm>
                    <a:off x="0" y="0"/>
                    <a:ext cx="2903220" cy="817880"/>
                  </a:xfrm>
                  <a:prstGeom prst="rect">
                    <a:avLst/>
                  </a:prstGeom>
                  <a:noFill/>
                  <a:ln w="9525">
                    <a:noFill/>
                    <a:miter lim="800000"/>
                    <a:headEnd/>
                    <a:tailEnd/>
                  </a:ln>
                </pic:spPr>
              </pic:pic>
            </a:graphicData>
          </a:graphic>
        </wp:anchor>
      </w:drawing>
    </w:r>
  </w:p>
  <w:p w14:paraId="09B3772D" w14:textId="77777777" w:rsidR="00A603FD" w:rsidRDefault="00A603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19882E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96A111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1C306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D0956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76E1D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6B624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F22A8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ECDC4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B8C14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C039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2A653B"/>
    <w:multiLevelType w:val="hybridMultilevel"/>
    <w:tmpl w:val="5FFCCEC0"/>
    <w:lvl w:ilvl="0" w:tplc="F476E19A">
      <w:start w:val="1"/>
      <w:numFmt w:val="decimal"/>
      <w:pStyle w:val="NumberedParagraphSingle"/>
      <w:lvlText w:val="%1."/>
      <w:lvlJc w:val="left"/>
      <w:pPr>
        <w:ind w:left="0" w:firstLine="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55679B"/>
    <w:multiLevelType w:val="multilevel"/>
    <w:tmpl w:val="E7541A2A"/>
    <w:numStyleLink w:val="ListNumbers"/>
  </w:abstractNum>
  <w:abstractNum w:abstractNumId="12" w15:restartNumberingAfterBreak="0">
    <w:nsid w:val="0A4811F7"/>
    <w:multiLevelType w:val="hybridMultilevel"/>
    <w:tmpl w:val="DF205194"/>
    <w:lvl w:ilvl="0" w:tplc="9C085498">
      <w:start w:val="1"/>
      <w:numFmt w:val="upperLetter"/>
      <w:pStyle w:val="LetteredParagraphSingle"/>
      <w:lvlText w:val="%1."/>
      <w:lvlJc w:val="left"/>
      <w:pPr>
        <w:ind w:left="0" w:firstLine="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D718F2"/>
    <w:multiLevelType w:val="hybridMultilevel"/>
    <w:tmpl w:val="515A5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DC0369"/>
    <w:multiLevelType w:val="hybridMultilevel"/>
    <w:tmpl w:val="1EF2A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960B76"/>
    <w:multiLevelType w:val="hybridMultilevel"/>
    <w:tmpl w:val="DCD2F0EA"/>
    <w:lvl w:ilvl="0" w:tplc="55062CD8">
      <w:start w:val="1"/>
      <w:numFmt w:val="upperLetter"/>
      <w:pStyle w:val="LetteredParagraphDouble"/>
      <w:lvlText w:val="%1."/>
      <w:lvlJc w:val="left"/>
      <w:pPr>
        <w:ind w:left="0" w:firstLine="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FF0437"/>
    <w:multiLevelType w:val="multilevel"/>
    <w:tmpl w:val="E7541A2A"/>
    <w:styleLink w:val="ListNumbers"/>
    <w:lvl w:ilvl="0">
      <w:start w:val="1"/>
      <w:numFmt w:val="decimal"/>
      <w:pStyle w:val="ListNumber"/>
      <w:lvlText w:val="%1."/>
      <w:lvlJc w:val="left"/>
      <w:pPr>
        <w:tabs>
          <w:tab w:val="num" w:pos="360"/>
        </w:tabs>
        <w:ind w:left="360" w:hanging="360"/>
      </w:pPr>
      <w:rPr>
        <w:rFonts w:hint="default"/>
      </w:rPr>
    </w:lvl>
    <w:lvl w:ilvl="1">
      <w:start w:val="1"/>
      <w:numFmt w:val="decimal"/>
      <w:pStyle w:val="ListNumber2"/>
      <w:lvlText w:val="%2."/>
      <w:lvlJc w:val="left"/>
      <w:pPr>
        <w:tabs>
          <w:tab w:val="num" w:pos="720"/>
        </w:tabs>
        <w:ind w:left="720" w:hanging="360"/>
      </w:pPr>
      <w:rPr>
        <w:rFonts w:hint="default"/>
      </w:rPr>
    </w:lvl>
    <w:lvl w:ilvl="2">
      <w:start w:val="1"/>
      <w:numFmt w:val="decimal"/>
      <w:pStyle w:val="ListNumber3"/>
      <w:lvlText w:val="%3."/>
      <w:lvlJc w:val="left"/>
      <w:pPr>
        <w:tabs>
          <w:tab w:val="num" w:pos="1080"/>
        </w:tabs>
        <w:ind w:left="1080" w:hanging="360"/>
      </w:pPr>
      <w:rPr>
        <w:rFonts w:hint="default"/>
      </w:rPr>
    </w:lvl>
    <w:lvl w:ilvl="3">
      <w:start w:val="1"/>
      <w:numFmt w:val="decimal"/>
      <w:pStyle w:val="ListNumber4"/>
      <w:lvlText w:val="%4."/>
      <w:lvlJc w:val="left"/>
      <w:pPr>
        <w:tabs>
          <w:tab w:val="num" w:pos="1440"/>
        </w:tabs>
        <w:ind w:left="1440" w:hanging="360"/>
      </w:pPr>
      <w:rPr>
        <w:rFonts w:hint="default"/>
      </w:rPr>
    </w:lvl>
    <w:lvl w:ilvl="4">
      <w:start w:val="1"/>
      <w:numFmt w:val="decimal"/>
      <w:pStyle w:val="ListNumber5"/>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15:restartNumberingAfterBreak="0">
    <w:nsid w:val="2E0F3282"/>
    <w:multiLevelType w:val="multilevel"/>
    <w:tmpl w:val="371826C2"/>
    <w:styleLink w:val="CovingtonHeadings"/>
    <w:lvl w:ilvl="0">
      <w:start w:val="1"/>
      <w:numFmt w:val="upperRoman"/>
      <w:pStyle w:val="Heading1"/>
      <w:lvlText w:val="%1."/>
      <w:lvlJc w:val="left"/>
      <w:pPr>
        <w:tabs>
          <w:tab w:val="num" w:pos="720"/>
        </w:tabs>
        <w:ind w:left="720" w:hanging="720"/>
      </w:pPr>
      <w:rPr>
        <w:rFonts w:asciiTheme="majorHAnsi" w:hAnsiTheme="majorHAnsi" w:hint="default"/>
        <w:sz w:val="24"/>
      </w:rPr>
    </w:lvl>
    <w:lvl w:ilvl="1">
      <w:start w:val="1"/>
      <w:numFmt w:val="upperLetter"/>
      <w:pStyle w:val="Heading2"/>
      <w:lvlText w:val="%2."/>
      <w:lvlJc w:val="left"/>
      <w:pPr>
        <w:tabs>
          <w:tab w:val="num" w:pos="1440"/>
        </w:tabs>
        <w:ind w:left="1440" w:hanging="720"/>
      </w:pPr>
      <w:rPr>
        <w:rFonts w:hint="default"/>
      </w:rPr>
    </w:lvl>
    <w:lvl w:ilvl="2">
      <w:start w:val="1"/>
      <w:numFmt w:val="decimal"/>
      <w:pStyle w:val="Heading3"/>
      <w:lvlText w:val="%3."/>
      <w:lvlJc w:val="left"/>
      <w:pPr>
        <w:tabs>
          <w:tab w:val="num" w:pos="2160"/>
        </w:tabs>
        <w:ind w:left="2160" w:hanging="720"/>
      </w:pPr>
      <w:rPr>
        <w:rFonts w:hint="default"/>
      </w:rPr>
    </w:lvl>
    <w:lvl w:ilvl="3">
      <w:start w:val="1"/>
      <w:numFmt w:val="lowerLetter"/>
      <w:pStyle w:val="Heading4"/>
      <w:lvlText w:val="%4)"/>
      <w:lvlJc w:val="left"/>
      <w:pPr>
        <w:tabs>
          <w:tab w:val="num" w:pos="2880"/>
        </w:tabs>
        <w:ind w:left="2880" w:hanging="720"/>
      </w:pPr>
      <w:rPr>
        <w:rFonts w:hint="default"/>
      </w:rPr>
    </w:lvl>
    <w:lvl w:ilvl="4">
      <w:start w:val="1"/>
      <w:numFmt w:val="decimal"/>
      <w:pStyle w:val="Heading5"/>
      <w:lvlText w:val="(%5)"/>
      <w:lvlJc w:val="left"/>
      <w:pPr>
        <w:tabs>
          <w:tab w:val="num" w:pos="3600"/>
        </w:tabs>
        <w:ind w:left="3600" w:hanging="720"/>
      </w:pPr>
      <w:rPr>
        <w:rFonts w:hint="default"/>
      </w:rPr>
    </w:lvl>
    <w:lvl w:ilvl="5">
      <w:start w:val="1"/>
      <w:numFmt w:val="lowerLetter"/>
      <w:pStyle w:val="Heading6"/>
      <w:lvlText w:val="(%6)"/>
      <w:lvlJc w:val="left"/>
      <w:pPr>
        <w:tabs>
          <w:tab w:val="num" w:pos="4320"/>
        </w:tabs>
        <w:ind w:left="4320" w:hanging="720"/>
      </w:pPr>
      <w:rPr>
        <w:rFonts w:hint="default"/>
      </w:rPr>
    </w:lvl>
    <w:lvl w:ilvl="6">
      <w:start w:val="1"/>
      <w:numFmt w:val="lowerRoman"/>
      <w:pStyle w:val="Heading7"/>
      <w:lvlText w:val="(%7)"/>
      <w:lvlJc w:val="left"/>
      <w:pPr>
        <w:tabs>
          <w:tab w:val="num" w:pos="5040"/>
        </w:tabs>
        <w:ind w:left="5040" w:hanging="720"/>
      </w:pPr>
      <w:rPr>
        <w:rFonts w:hint="default"/>
      </w:rPr>
    </w:lvl>
    <w:lvl w:ilvl="7">
      <w:start w:val="1"/>
      <w:numFmt w:val="lowerLetter"/>
      <w:pStyle w:val="Heading8"/>
      <w:lvlText w:val="(%8)"/>
      <w:lvlJc w:val="left"/>
      <w:pPr>
        <w:tabs>
          <w:tab w:val="num" w:pos="5760"/>
        </w:tabs>
        <w:ind w:left="5760" w:hanging="720"/>
      </w:pPr>
      <w:rPr>
        <w:rFonts w:hint="default"/>
      </w:rPr>
    </w:lvl>
    <w:lvl w:ilvl="8">
      <w:start w:val="1"/>
      <w:numFmt w:val="lowerRoman"/>
      <w:pStyle w:val="Heading9"/>
      <w:lvlText w:val="(%9)"/>
      <w:lvlJc w:val="left"/>
      <w:pPr>
        <w:tabs>
          <w:tab w:val="num" w:pos="6480"/>
        </w:tabs>
        <w:ind w:left="6480" w:hanging="720"/>
      </w:pPr>
      <w:rPr>
        <w:rFonts w:hint="default"/>
      </w:rPr>
    </w:lvl>
  </w:abstractNum>
  <w:abstractNum w:abstractNumId="18" w15:restartNumberingAfterBreak="0">
    <w:nsid w:val="37267B4C"/>
    <w:multiLevelType w:val="hybridMultilevel"/>
    <w:tmpl w:val="585C2AAC"/>
    <w:lvl w:ilvl="0" w:tplc="FC82C2EC">
      <w:start w:val="1"/>
      <w:numFmt w:val="decimal"/>
      <w:pStyle w:val="NumberedParagraphDouble"/>
      <w:lvlText w:val="%1."/>
      <w:lvlJc w:val="left"/>
      <w:pPr>
        <w:ind w:left="0" w:firstLine="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145AEA"/>
    <w:multiLevelType w:val="hybridMultilevel"/>
    <w:tmpl w:val="828818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D0352A"/>
    <w:multiLevelType w:val="multilevel"/>
    <w:tmpl w:val="1C28AD60"/>
    <w:styleLink w:val="ListBullets"/>
    <w:lvl w:ilvl="0">
      <w:start w:val="1"/>
      <w:numFmt w:val="bullet"/>
      <w:pStyle w:val="ListBullet"/>
      <w:lvlText w:val=""/>
      <w:lvlJc w:val="left"/>
      <w:pPr>
        <w:tabs>
          <w:tab w:val="num" w:pos="360"/>
        </w:tabs>
        <w:ind w:left="360" w:hanging="360"/>
      </w:pPr>
      <w:rPr>
        <w:rFonts w:ascii="Symbol" w:hAnsi="Symbol" w:hint="default"/>
        <w:color w:val="auto"/>
      </w:rPr>
    </w:lvl>
    <w:lvl w:ilvl="1">
      <w:start w:val="1"/>
      <w:numFmt w:val="bullet"/>
      <w:pStyle w:val="ListBullet2"/>
      <w:lvlText w:val=""/>
      <w:lvlJc w:val="left"/>
      <w:pPr>
        <w:tabs>
          <w:tab w:val="num" w:pos="720"/>
        </w:tabs>
        <w:ind w:left="720" w:hanging="360"/>
      </w:pPr>
      <w:rPr>
        <w:rFonts w:ascii="Symbol" w:hAnsi="Symbol" w:hint="default"/>
        <w:color w:val="auto"/>
      </w:rPr>
    </w:lvl>
    <w:lvl w:ilvl="2">
      <w:start w:val="1"/>
      <w:numFmt w:val="bullet"/>
      <w:pStyle w:val="ListBullet3"/>
      <w:lvlText w:val=""/>
      <w:lvlJc w:val="left"/>
      <w:pPr>
        <w:tabs>
          <w:tab w:val="num" w:pos="1080"/>
        </w:tabs>
        <w:ind w:left="1080" w:hanging="360"/>
      </w:pPr>
      <w:rPr>
        <w:rFonts w:ascii="Symbol" w:hAnsi="Symbol" w:hint="default"/>
        <w:color w:val="auto"/>
      </w:rPr>
    </w:lvl>
    <w:lvl w:ilvl="3">
      <w:start w:val="1"/>
      <w:numFmt w:val="bullet"/>
      <w:pStyle w:val="ListBullet4"/>
      <w:lvlText w:val=""/>
      <w:lvlJc w:val="left"/>
      <w:pPr>
        <w:tabs>
          <w:tab w:val="num" w:pos="1440"/>
        </w:tabs>
        <w:ind w:left="1440" w:hanging="360"/>
      </w:pPr>
      <w:rPr>
        <w:rFonts w:ascii="Symbol" w:hAnsi="Symbol" w:hint="default"/>
        <w:color w:val="auto"/>
      </w:rPr>
    </w:lvl>
    <w:lvl w:ilvl="4">
      <w:start w:val="1"/>
      <w:numFmt w:val="bullet"/>
      <w:pStyle w:val="ListBullet5"/>
      <w:lvlText w:val=""/>
      <w:lvlJc w:val="left"/>
      <w:pPr>
        <w:tabs>
          <w:tab w:val="num" w:pos="1800"/>
        </w:tabs>
        <w:ind w:left="1800" w:hanging="360"/>
      </w:pPr>
      <w:rPr>
        <w:rFonts w:ascii="Symbol" w:hAnsi="Symbol" w:hint="default"/>
        <w:color w:val="auto"/>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1" w15:restartNumberingAfterBreak="0">
    <w:nsid w:val="431D7889"/>
    <w:multiLevelType w:val="hybridMultilevel"/>
    <w:tmpl w:val="F0269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0778AC"/>
    <w:multiLevelType w:val="hybridMultilevel"/>
    <w:tmpl w:val="4074FB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FB247CE"/>
    <w:multiLevelType w:val="hybridMultilevel"/>
    <w:tmpl w:val="C6705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1D1689"/>
    <w:multiLevelType w:val="hybridMultilevel"/>
    <w:tmpl w:val="8746E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531461"/>
    <w:multiLevelType w:val="multilevel"/>
    <w:tmpl w:val="1C28AD60"/>
    <w:numStyleLink w:val="ListBullets"/>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17"/>
  </w:num>
  <w:num w:numId="18">
    <w:abstractNumId w:val="17"/>
  </w:num>
  <w:num w:numId="19">
    <w:abstractNumId w:val="17"/>
  </w:num>
  <w:num w:numId="20">
    <w:abstractNumId w:val="17"/>
  </w:num>
  <w:num w:numId="21">
    <w:abstractNumId w:val="17"/>
  </w:num>
  <w:num w:numId="22">
    <w:abstractNumId w:val="20"/>
  </w:num>
  <w:num w:numId="23">
    <w:abstractNumId w:val="16"/>
  </w:num>
  <w:num w:numId="24">
    <w:abstractNumId w:val="15"/>
  </w:num>
  <w:num w:numId="25">
    <w:abstractNumId w:val="12"/>
  </w:num>
  <w:num w:numId="26">
    <w:abstractNumId w:val="18"/>
  </w:num>
  <w:num w:numId="27">
    <w:abstractNumId w:val="10"/>
  </w:num>
  <w:num w:numId="28">
    <w:abstractNumId w:val="25"/>
  </w:num>
  <w:num w:numId="29">
    <w:abstractNumId w:val="11"/>
  </w:num>
  <w:num w:numId="30">
    <w:abstractNumId w:val="24"/>
  </w:num>
  <w:num w:numId="31">
    <w:abstractNumId w:val="22"/>
  </w:num>
  <w:num w:numId="32">
    <w:abstractNumId w:val="14"/>
  </w:num>
  <w:num w:numId="33">
    <w:abstractNumId w:val="21"/>
  </w:num>
  <w:num w:numId="34">
    <w:abstractNumId w:val="13"/>
  </w:num>
  <w:num w:numId="35">
    <w:abstractNumId w:val="23"/>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proofState w:spelling="clean" w:grammar="clean"/>
  <w:stylePaneSortMethod w:val="0000"/>
  <w:defaultTabStop w:val="720"/>
  <w:characterSpacingControl w:val="doNotCompress"/>
  <w:hdrShapeDefaults>
    <o:shapedefaults v:ext="edit" spidmax="69633"/>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lientMatter" w:val="False"/>
    <w:docVar w:name="Database" w:val="True"/>
    <w:docVar w:name="Date" w:val="False"/>
    <w:docVar w:name="DocName" w:val="False"/>
    <w:docVar w:name="DocNumber" w:val="True"/>
    <w:docVar w:name="Time" w:val="False"/>
    <w:docVar w:name="Typist" w:val="False"/>
    <w:docVar w:name="Version" w:val="True"/>
  </w:docVars>
  <w:rsids>
    <w:rsidRoot w:val="008E7297"/>
    <w:rsid w:val="00011BBC"/>
    <w:rsid w:val="00011C08"/>
    <w:rsid w:val="00012A30"/>
    <w:rsid w:val="00025B61"/>
    <w:rsid w:val="0005148D"/>
    <w:rsid w:val="000534DA"/>
    <w:rsid w:val="00054791"/>
    <w:rsid w:val="00056389"/>
    <w:rsid w:val="000613B6"/>
    <w:rsid w:val="00067B23"/>
    <w:rsid w:val="00074B40"/>
    <w:rsid w:val="00074FA5"/>
    <w:rsid w:val="00075074"/>
    <w:rsid w:val="00080627"/>
    <w:rsid w:val="0008312A"/>
    <w:rsid w:val="0008622C"/>
    <w:rsid w:val="000875F1"/>
    <w:rsid w:val="0009043D"/>
    <w:rsid w:val="000A3C03"/>
    <w:rsid w:val="000A5537"/>
    <w:rsid w:val="000B5BD7"/>
    <w:rsid w:val="000C1F4A"/>
    <w:rsid w:val="000C2F77"/>
    <w:rsid w:val="000D343D"/>
    <w:rsid w:val="000D5082"/>
    <w:rsid w:val="000E017F"/>
    <w:rsid w:val="000E51B6"/>
    <w:rsid w:val="000E72A7"/>
    <w:rsid w:val="000E75B0"/>
    <w:rsid w:val="000F3357"/>
    <w:rsid w:val="00112509"/>
    <w:rsid w:val="00113B6E"/>
    <w:rsid w:val="00113DEB"/>
    <w:rsid w:val="00114538"/>
    <w:rsid w:val="00117124"/>
    <w:rsid w:val="001255EA"/>
    <w:rsid w:val="00126230"/>
    <w:rsid w:val="00132623"/>
    <w:rsid w:val="00132C1A"/>
    <w:rsid w:val="00143BC1"/>
    <w:rsid w:val="001643DF"/>
    <w:rsid w:val="0016545C"/>
    <w:rsid w:val="00170F2D"/>
    <w:rsid w:val="00173690"/>
    <w:rsid w:val="001754E0"/>
    <w:rsid w:val="001761C2"/>
    <w:rsid w:val="00177EB4"/>
    <w:rsid w:val="001813BA"/>
    <w:rsid w:val="00182ED3"/>
    <w:rsid w:val="00184F65"/>
    <w:rsid w:val="00186815"/>
    <w:rsid w:val="0018682D"/>
    <w:rsid w:val="00186BDF"/>
    <w:rsid w:val="00194352"/>
    <w:rsid w:val="00194C63"/>
    <w:rsid w:val="00195786"/>
    <w:rsid w:val="001A12A3"/>
    <w:rsid w:val="001A4D50"/>
    <w:rsid w:val="001A69CD"/>
    <w:rsid w:val="001A79E6"/>
    <w:rsid w:val="001B364F"/>
    <w:rsid w:val="001C09B7"/>
    <w:rsid w:val="001C3DA1"/>
    <w:rsid w:val="001C4AD6"/>
    <w:rsid w:val="001C5B73"/>
    <w:rsid w:val="001D1677"/>
    <w:rsid w:val="001D18FC"/>
    <w:rsid w:val="001D196C"/>
    <w:rsid w:val="001D52F3"/>
    <w:rsid w:val="001D7271"/>
    <w:rsid w:val="001D75BA"/>
    <w:rsid w:val="001E0028"/>
    <w:rsid w:val="001E1C67"/>
    <w:rsid w:val="001F6FE3"/>
    <w:rsid w:val="00201BD5"/>
    <w:rsid w:val="00202AA5"/>
    <w:rsid w:val="002034F9"/>
    <w:rsid w:val="0020626B"/>
    <w:rsid w:val="002063DC"/>
    <w:rsid w:val="002066D3"/>
    <w:rsid w:val="002105DB"/>
    <w:rsid w:val="002222FC"/>
    <w:rsid w:val="00225A68"/>
    <w:rsid w:val="00233E7F"/>
    <w:rsid w:val="002409B6"/>
    <w:rsid w:val="0024496F"/>
    <w:rsid w:val="00245A1C"/>
    <w:rsid w:val="002603AE"/>
    <w:rsid w:val="00261CE4"/>
    <w:rsid w:val="002620EE"/>
    <w:rsid w:val="0026752C"/>
    <w:rsid w:val="00273D41"/>
    <w:rsid w:val="00275F6A"/>
    <w:rsid w:val="00277CE4"/>
    <w:rsid w:val="00280B97"/>
    <w:rsid w:val="00282BC4"/>
    <w:rsid w:val="00294B5B"/>
    <w:rsid w:val="00295D71"/>
    <w:rsid w:val="002A4F0E"/>
    <w:rsid w:val="002B1C9E"/>
    <w:rsid w:val="002B3D3B"/>
    <w:rsid w:val="002B450D"/>
    <w:rsid w:val="002B790B"/>
    <w:rsid w:val="002C675D"/>
    <w:rsid w:val="002D347A"/>
    <w:rsid w:val="002D5226"/>
    <w:rsid w:val="002F1F0E"/>
    <w:rsid w:val="00317C01"/>
    <w:rsid w:val="003227B4"/>
    <w:rsid w:val="00324277"/>
    <w:rsid w:val="00324864"/>
    <w:rsid w:val="00326CCC"/>
    <w:rsid w:val="00332471"/>
    <w:rsid w:val="00334029"/>
    <w:rsid w:val="00341226"/>
    <w:rsid w:val="003458DF"/>
    <w:rsid w:val="003458E7"/>
    <w:rsid w:val="00364CDC"/>
    <w:rsid w:val="0038121A"/>
    <w:rsid w:val="00392AD6"/>
    <w:rsid w:val="00393D62"/>
    <w:rsid w:val="003A719B"/>
    <w:rsid w:val="003A7E9A"/>
    <w:rsid w:val="003B06AB"/>
    <w:rsid w:val="003B49FC"/>
    <w:rsid w:val="003B6BD5"/>
    <w:rsid w:val="003B6EF3"/>
    <w:rsid w:val="003D05CE"/>
    <w:rsid w:val="003D6389"/>
    <w:rsid w:val="003D6A90"/>
    <w:rsid w:val="003E019C"/>
    <w:rsid w:val="003E19F9"/>
    <w:rsid w:val="003E2D35"/>
    <w:rsid w:val="003E425E"/>
    <w:rsid w:val="003E5EE1"/>
    <w:rsid w:val="003E6F0E"/>
    <w:rsid w:val="003E701C"/>
    <w:rsid w:val="003E7D1E"/>
    <w:rsid w:val="003F605C"/>
    <w:rsid w:val="0040353B"/>
    <w:rsid w:val="004038F0"/>
    <w:rsid w:val="00403A09"/>
    <w:rsid w:val="004067CC"/>
    <w:rsid w:val="0041522A"/>
    <w:rsid w:val="00424B7A"/>
    <w:rsid w:val="00425F8F"/>
    <w:rsid w:val="004317DF"/>
    <w:rsid w:val="0044590D"/>
    <w:rsid w:val="00447780"/>
    <w:rsid w:val="0045199D"/>
    <w:rsid w:val="0045580D"/>
    <w:rsid w:val="004576F8"/>
    <w:rsid w:val="00463DF8"/>
    <w:rsid w:val="004757AA"/>
    <w:rsid w:val="00477584"/>
    <w:rsid w:val="0048205C"/>
    <w:rsid w:val="004833A0"/>
    <w:rsid w:val="004874DE"/>
    <w:rsid w:val="004942D2"/>
    <w:rsid w:val="004A47A0"/>
    <w:rsid w:val="004B6C0C"/>
    <w:rsid w:val="004C18F9"/>
    <w:rsid w:val="004C2E4B"/>
    <w:rsid w:val="004D1A22"/>
    <w:rsid w:val="004D1B0E"/>
    <w:rsid w:val="004D3CFB"/>
    <w:rsid w:val="004D57C8"/>
    <w:rsid w:val="004D78B0"/>
    <w:rsid w:val="004E3C5B"/>
    <w:rsid w:val="004F15D1"/>
    <w:rsid w:val="004F1EA6"/>
    <w:rsid w:val="004F7950"/>
    <w:rsid w:val="00502CF9"/>
    <w:rsid w:val="005059CA"/>
    <w:rsid w:val="00506244"/>
    <w:rsid w:val="00511FF3"/>
    <w:rsid w:val="005148BF"/>
    <w:rsid w:val="00517845"/>
    <w:rsid w:val="00521327"/>
    <w:rsid w:val="00526B24"/>
    <w:rsid w:val="0053471A"/>
    <w:rsid w:val="00535DFD"/>
    <w:rsid w:val="00547904"/>
    <w:rsid w:val="00552020"/>
    <w:rsid w:val="00552648"/>
    <w:rsid w:val="00562C54"/>
    <w:rsid w:val="00567094"/>
    <w:rsid w:val="005733DA"/>
    <w:rsid w:val="00575050"/>
    <w:rsid w:val="00577A14"/>
    <w:rsid w:val="00585238"/>
    <w:rsid w:val="00587727"/>
    <w:rsid w:val="00590E64"/>
    <w:rsid w:val="005923B2"/>
    <w:rsid w:val="00595D47"/>
    <w:rsid w:val="005A3E65"/>
    <w:rsid w:val="005A4CE9"/>
    <w:rsid w:val="005A79B2"/>
    <w:rsid w:val="005B6043"/>
    <w:rsid w:val="005C493A"/>
    <w:rsid w:val="005D506D"/>
    <w:rsid w:val="005D547F"/>
    <w:rsid w:val="005E02ED"/>
    <w:rsid w:val="005E4AE0"/>
    <w:rsid w:val="005E6D62"/>
    <w:rsid w:val="005F1212"/>
    <w:rsid w:val="005F2D9B"/>
    <w:rsid w:val="005F649D"/>
    <w:rsid w:val="00600394"/>
    <w:rsid w:val="006057CC"/>
    <w:rsid w:val="00613996"/>
    <w:rsid w:val="00613C7D"/>
    <w:rsid w:val="00625EDE"/>
    <w:rsid w:val="00626DA9"/>
    <w:rsid w:val="006277E0"/>
    <w:rsid w:val="00634049"/>
    <w:rsid w:val="00636203"/>
    <w:rsid w:val="00640E70"/>
    <w:rsid w:val="006437D7"/>
    <w:rsid w:val="00654647"/>
    <w:rsid w:val="00664705"/>
    <w:rsid w:val="00667D7B"/>
    <w:rsid w:val="00672D50"/>
    <w:rsid w:val="0067584B"/>
    <w:rsid w:val="006842B0"/>
    <w:rsid w:val="00693EDA"/>
    <w:rsid w:val="00693F7A"/>
    <w:rsid w:val="00696796"/>
    <w:rsid w:val="006A46F1"/>
    <w:rsid w:val="006A5EF8"/>
    <w:rsid w:val="006A6FE3"/>
    <w:rsid w:val="006B3917"/>
    <w:rsid w:val="006D63F3"/>
    <w:rsid w:val="006E56FD"/>
    <w:rsid w:val="006E72C2"/>
    <w:rsid w:val="006E7560"/>
    <w:rsid w:val="006F0542"/>
    <w:rsid w:val="006F2F40"/>
    <w:rsid w:val="006F78C2"/>
    <w:rsid w:val="00703244"/>
    <w:rsid w:val="00711CA8"/>
    <w:rsid w:val="00713375"/>
    <w:rsid w:val="00714125"/>
    <w:rsid w:val="00715686"/>
    <w:rsid w:val="00724CA2"/>
    <w:rsid w:val="00727E49"/>
    <w:rsid w:val="00730FD8"/>
    <w:rsid w:val="007465C3"/>
    <w:rsid w:val="00750127"/>
    <w:rsid w:val="00750331"/>
    <w:rsid w:val="00753E7E"/>
    <w:rsid w:val="00755789"/>
    <w:rsid w:val="00756002"/>
    <w:rsid w:val="00756561"/>
    <w:rsid w:val="00766B40"/>
    <w:rsid w:val="00766D45"/>
    <w:rsid w:val="007679C5"/>
    <w:rsid w:val="00781410"/>
    <w:rsid w:val="00783494"/>
    <w:rsid w:val="00791FC5"/>
    <w:rsid w:val="00792282"/>
    <w:rsid w:val="007A45B5"/>
    <w:rsid w:val="007A5CD0"/>
    <w:rsid w:val="007A7997"/>
    <w:rsid w:val="007B08FC"/>
    <w:rsid w:val="007B6427"/>
    <w:rsid w:val="007B6F59"/>
    <w:rsid w:val="007B7F23"/>
    <w:rsid w:val="007C6F7E"/>
    <w:rsid w:val="007D3530"/>
    <w:rsid w:val="007D609B"/>
    <w:rsid w:val="007E037A"/>
    <w:rsid w:val="007E144C"/>
    <w:rsid w:val="007E1829"/>
    <w:rsid w:val="007E2F84"/>
    <w:rsid w:val="007E5971"/>
    <w:rsid w:val="007F1735"/>
    <w:rsid w:val="007F3D02"/>
    <w:rsid w:val="0080124C"/>
    <w:rsid w:val="00802858"/>
    <w:rsid w:val="0080626A"/>
    <w:rsid w:val="00810A7A"/>
    <w:rsid w:val="00814556"/>
    <w:rsid w:val="008169CA"/>
    <w:rsid w:val="008201FD"/>
    <w:rsid w:val="00821D0F"/>
    <w:rsid w:val="00822577"/>
    <w:rsid w:val="00823DBD"/>
    <w:rsid w:val="008249DE"/>
    <w:rsid w:val="00825D63"/>
    <w:rsid w:val="0083056E"/>
    <w:rsid w:val="0083440F"/>
    <w:rsid w:val="0083594E"/>
    <w:rsid w:val="00836E91"/>
    <w:rsid w:val="00837330"/>
    <w:rsid w:val="008465EB"/>
    <w:rsid w:val="00867137"/>
    <w:rsid w:val="00871463"/>
    <w:rsid w:val="00871506"/>
    <w:rsid w:val="00874402"/>
    <w:rsid w:val="00875635"/>
    <w:rsid w:val="00875EF5"/>
    <w:rsid w:val="0087786D"/>
    <w:rsid w:val="008825F5"/>
    <w:rsid w:val="00892063"/>
    <w:rsid w:val="0089322B"/>
    <w:rsid w:val="00893735"/>
    <w:rsid w:val="00894455"/>
    <w:rsid w:val="008946DB"/>
    <w:rsid w:val="0089559F"/>
    <w:rsid w:val="008A1193"/>
    <w:rsid w:val="008A20B1"/>
    <w:rsid w:val="008A2DCE"/>
    <w:rsid w:val="008B040B"/>
    <w:rsid w:val="008C0376"/>
    <w:rsid w:val="008C1E98"/>
    <w:rsid w:val="008C285D"/>
    <w:rsid w:val="008C2CC6"/>
    <w:rsid w:val="008C7D5D"/>
    <w:rsid w:val="008D3861"/>
    <w:rsid w:val="008D4B7D"/>
    <w:rsid w:val="008E7297"/>
    <w:rsid w:val="008F05A8"/>
    <w:rsid w:val="008F234F"/>
    <w:rsid w:val="00903C57"/>
    <w:rsid w:val="00904E85"/>
    <w:rsid w:val="00910936"/>
    <w:rsid w:val="00911801"/>
    <w:rsid w:val="0091416D"/>
    <w:rsid w:val="00915100"/>
    <w:rsid w:val="00915FAF"/>
    <w:rsid w:val="009266ED"/>
    <w:rsid w:val="00941591"/>
    <w:rsid w:val="00941CC8"/>
    <w:rsid w:val="00946BD7"/>
    <w:rsid w:val="0096006B"/>
    <w:rsid w:val="009600DC"/>
    <w:rsid w:val="00965133"/>
    <w:rsid w:val="0098062C"/>
    <w:rsid w:val="00991E72"/>
    <w:rsid w:val="00991FB3"/>
    <w:rsid w:val="00996ED5"/>
    <w:rsid w:val="00997374"/>
    <w:rsid w:val="009A2FA0"/>
    <w:rsid w:val="009A5184"/>
    <w:rsid w:val="009B0634"/>
    <w:rsid w:val="009B36FE"/>
    <w:rsid w:val="009C1B46"/>
    <w:rsid w:val="009C1E32"/>
    <w:rsid w:val="009D1F69"/>
    <w:rsid w:val="009D6B7C"/>
    <w:rsid w:val="009E13FF"/>
    <w:rsid w:val="009E3DAD"/>
    <w:rsid w:val="009E6A50"/>
    <w:rsid w:val="009F13D0"/>
    <w:rsid w:val="009F674A"/>
    <w:rsid w:val="009F71E2"/>
    <w:rsid w:val="00A056D5"/>
    <w:rsid w:val="00A069D6"/>
    <w:rsid w:val="00A1451A"/>
    <w:rsid w:val="00A14E64"/>
    <w:rsid w:val="00A20034"/>
    <w:rsid w:val="00A311F3"/>
    <w:rsid w:val="00A3705B"/>
    <w:rsid w:val="00A44B95"/>
    <w:rsid w:val="00A46D2D"/>
    <w:rsid w:val="00A50A9D"/>
    <w:rsid w:val="00A51836"/>
    <w:rsid w:val="00A52C1B"/>
    <w:rsid w:val="00A5721C"/>
    <w:rsid w:val="00A603FD"/>
    <w:rsid w:val="00A63E1D"/>
    <w:rsid w:val="00A6599C"/>
    <w:rsid w:val="00A70D93"/>
    <w:rsid w:val="00A71EFE"/>
    <w:rsid w:val="00A81CB2"/>
    <w:rsid w:val="00A83558"/>
    <w:rsid w:val="00A906FC"/>
    <w:rsid w:val="00AA1FDE"/>
    <w:rsid w:val="00AA6CF0"/>
    <w:rsid w:val="00AB4BD1"/>
    <w:rsid w:val="00AB5C95"/>
    <w:rsid w:val="00AC782C"/>
    <w:rsid w:val="00AD2274"/>
    <w:rsid w:val="00AE3C2F"/>
    <w:rsid w:val="00AF0D68"/>
    <w:rsid w:val="00B05D9B"/>
    <w:rsid w:val="00B12C8D"/>
    <w:rsid w:val="00B14367"/>
    <w:rsid w:val="00B160B0"/>
    <w:rsid w:val="00B25AEE"/>
    <w:rsid w:val="00B32A8A"/>
    <w:rsid w:val="00B358C8"/>
    <w:rsid w:val="00B4558F"/>
    <w:rsid w:val="00B513C5"/>
    <w:rsid w:val="00B52263"/>
    <w:rsid w:val="00B53A6E"/>
    <w:rsid w:val="00B63344"/>
    <w:rsid w:val="00B84B19"/>
    <w:rsid w:val="00B860E6"/>
    <w:rsid w:val="00B93557"/>
    <w:rsid w:val="00B942E9"/>
    <w:rsid w:val="00B943FB"/>
    <w:rsid w:val="00BA3F32"/>
    <w:rsid w:val="00BA6ACD"/>
    <w:rsid w:val="00BA7F65"/>
    <w:rsid w:val="00BB05AC"/>
    <w:rsid w:val="00BB79F9"/>
    <w:rsid w:val="00BD7502"/>
    <w:rsid w:val="00BE12AB"/>
    <w:rsid w:val="00BE6564"/>
    <w:rsid w:val="00BE7532"/>
    <w:rsid w:val="00BF05C5"/>
    <w:rsid w:val="00BF44A2"/>
    <w:rsid w:val="00BF50FE"/>
    <w:rsid w:val="00BF6E35"/>
    <w:rsid w:val="00C04387"/>
    <w:rsid w:val="00C119CB"/>
    <w:rsid w:val="00C157A5"/>
    <w:rsid w:val="00C213D5"/>
    <w:rsid w:val="00C23ED9"/>
    <w:rsid w:val="00C24FE8"/>
    <w:rsid w:val="00C33EF3"/>
    <w:rsid w:val="00C36849"/>
    <w:rsid w:val="00C40963"/>
    <w:rsid w:val="00C650CE"/>
    <w:rsid w:val="00C66659"/>
    <w:rsid w:val="00C66891"/>
    <w:rsid w:val="00C70B0D"/>
    <w:rsid w:val="00C73B42"/>
    <w:rsid w:val="00C75AD7"/>
    <w:rsid w:val="00C840DD"/>
    <w:rsid w:val="00C84710"/>
    <w:rsid w:val="00C85906"/>
    <w:rsid w:val="00C92387"/>
    <w:rsid w:val="00CA02D0"/>
    <w:rsid w:val="00CA0673"/>
    <w:rsid w:val="00CA163F"/>
    <w:rsid w:val="00CB029D"/>
    <w:rsid w:val="00CB295B"/>
    <w:rsid w:val="00CB752F"/>
    <w:rsid w:val="00CC089E"/>
    <w:rsid w:val="00CC750B"/>
    <w:rsid w:val="00CD71B8"/>
    <w:rsid w:val="00CE7437"/>
    <w:rsid w:val="00D022EA"/>
    <w:rsid w:val="00D12C97"/>
    <w:rsid w:val="00D140CB"/>
    <w:rsid w:val="00D16105"/>
    <w:rsid w:val="00D16305"/>
    <w:rsid w:val="00D1701D"/>
    <w:rsid w:val="00D21FCC"/>
    <w:rsid w:val="00D24FC4"/>
    <w:rsid w:val="00D253E6"/>
    <w:rsid w:val="00D31382"/>
    <w:rsid w:val="00D32A0F"/>
    <w:rsid w:val="00D337D6"/>
    <w:rsid w:val="00D342DD"/>
    <w:rsid w:val="00D349A1"/>
    <w:rsid w:val="00D37164"/>
    <w:rsid w:val="00D37C47"/>
    <w:rsid w:val="00D54CCB"/>
    <w:rsid w:val="00D55430"/>
    <w:rsid w:val="00D60661"/>
    <w:rsid w:val="00D62804"/>
    <w:rsid w:val="00D6461C"/>
    <w:rsid w:val="00D65572"/>
    <w:rsid w:val="00D65CD6"/>
    <w:rsid w:val="00D66EC5"/>
    <w:rsid w:val="00D71515"/>
    <w:rsid w:val="00D766AE"/>
    <w:rsid w:val="00D82F82"/>
    <w:rsid w:val="00D84E16"/>
    <w:rsid w:val="00D87DCD"/>
    <w:rsid w:val="00D92067"/>
    <w:rsid w:val="00D96EC7"/>
    <w:rsid w:val="00DA01FD"/>
    <w:rsid w:val="00DA3DEE"/>
    <w:rsid w:val="00DA7A93"/>
    <w:rsid w:val="00DB33C1"/>
    <w:rsid w:val="00DC5AC3"/>
    <w:rsid w:val="00DE42BF"/>
    <w:rsid w:val="00DE574A"/>
    <w:rsid w:val="00DE5B6F"/>
    <w:rsid w:val="00DF17C2"/>
    <w:rsid w:val="00DF2A4F"/>
    <w:rsid w:val="00E053CA"/>
    <w:rsid w:val="00E10E46"/>
    <w:rsid w:val="00E142AF"/>
    <w:rsid w:val="00E22CFF"/>
    <w:rsid w:val="00E239D0"/>
    <w:rsid w:val="00E328F9"/>
    <w:rsid w:val="00E34CDC"/>
    <w:rsid w:val="00E44E29"/>
    <w:rsid w:val="00E46619"/>
    <w:rsid w:val="00E470F0"/>
    <w:rsid w:val="00E63319"/>
    <w:rsid w:val="00E66DE1"/>
    <w:rsid w:val="00E762EA"/>
    <w:rsid w:val="00E8038B"/>
    <w:rsid w:val="00EA0F08"/>
    <w:rsid w:val="00EB3F9A"/>
    <w:rsid w:val="00EB6996"/>
    <w:rsid w:val="00EC2817"/>
    <w:rsid w:val="00EC7DB3"/>
    <w:rsid w:val="00ED1B21"/>
    <w:rsid w:val="00ED2BA5"/>
    <w:rsid w:val="00EE485B"/>
    <w:rsid w:val="00EE55CD"/>
    <w:rsid w:val="00EE5DCA"/>
    <w:rsid w:val="00EE76B4"/>
    <w:rsid w:val="00EF3916"/>
    <w:rsid w:val="00EF78DF"/>
    <w:rsid w:val="00F06D64"/>
    <w:rsid w:val="00F13F65"/>
    <w:rsid w:val="00F14577"/>
    <w:rsid w:val="00F213E7"/>
    <w:rsid w:val="00F21E19"/>
    <w:rsid w:val="00F25D55"/>
    <w:rsid w:val="00F32CB8"/>
    <w:rsid w:val="00F34344"/>
    <w:rsid w:val="00F41D71"/>
    <w:rsid w:val="00F42213"/>
    <w:rsid w:val="00F47B06"/>
    <w:rsid w:val="00F541C2"/>
    <w:rsid w:val="00F608D7"/>
    <w:rsid w:val="00F673BE"/>
    <w:rsid w:val="00F72867"/>
    <w:rsid w:val="00F81615"/>
    <w:rsid w:val="00F86254"/>
    <w:rsid w:val="00F9165B"/>
    <w:rsid w:val="00F97E4F"/>
    <w:rsid w:val="00FA2C60"/>
    <w:rsid w:val="00FA4760"/>
    <w:rsid w:val="00FA72DD"/>
    <w:rsid w:val="00FB1C9B"/>
    <w:rsid w:val="00FB2AA7"/>
    <w:rsid w:val="00FB68DE"/>
    <w:rsid w:val="00FB6BCA"/>
    <w:rsid w:val="00FC01A2"/>
    <w:rsid w:val="00FC06CF"/>
    <w:rsid w:val="00FC3CC0"/>
    <w:rsid w:val="00FC5914"/>
    <w:rsid w:val="00FC5C11"/>
    <w:rsid w:val="00FC5C79"/>
    <w:rsid w:val="00FC5FA1"/>
    <w:rsid w:val="00FC6FF4"/>
    <w:rsid w:val="00FC75FF"/>
    <w:rsid w:val="00FD7A20"/>
    <w:rsid w:val="00FE15EA"/>
    <w:rsid w:val="00FE1FA9"/>
    <w:rsid w:val="00FE6882"/>
    <w:rsid w:val="00FF35DF"/>
    <w:rsid w:val="00FF65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2C842D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9"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unhideWhenUsed="1" w:qFormat="1"/>
    <w:lsdException w:name="List Bullet" w:uiPriority="6" w:unhideWhenUsed="1" w:qFormat="1"/>
    <w:lsdException w:name="List Number" w:uiPriority="7" w:qFormat="1"/>
    <w:lsdException w:name="List 2" w:uiPriority="5" w:unhideWhenUsed="1" w:qFormat="1"/>
    <w:lsdException w:name="List 3" w:uiPriority="5" w:unhideWhenUsed="1"/>
    <w:lsdException w:name="List 4" w:uiPriority="5"/>
    <w:lsdException w:name="List 5" w:uiPriority="5"/>
    <w:lsdException w:name="List Bullet 2" w:uiPriority="6" w:unhideWhenUsed="1" w:qFormat="1"/>
    <w:lsdException w:name="List Bullet 3" w:uiPriority="6" w:unhideWhenUsed="1"/>
    <w:lsdException w:name="List Bullet 4" w:uiPriority="6" w:unhideWhenUsed="1"/>
    <w:lsdException w:name="List Bullet 5" w:uiPriority="6" w:unhideWhenUsed="1"/>
    <w:lsdException w:name="List Number 2" w:uiPriority="7" w:unhideWhenUsed="1" w:qFormat="1"/>
    <w:lsdException w:name="List Number 3" w:uiPriority="7" w:unhideWhenUsed="1"/>
    <w:lsdException w:name="List Number 4" w:uiPriority="7" w:unhideWhenUsed="1"/>
    <w:lsdException w:name="List Number 5" w:uiPriority="7" w:unhideWhenUsed="1"/>
    <w:lsdException w:name="Title" w:uiPriority="10" w:qFormat="1"/>
    <w:lsdException w:name="Closing" w:semiHidden="1" w:unhideWhenUsed="1"/>
    <w:lsdException w:name="Signature"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uiPriority="8" w:unhideWhenUsed="1" w:qFormat="1"/>
    <w:lsdException w:name="List Continue 2" w:uiPriority="8" w:unhideWhenUsed="1" w:qFormat="1"/>
    <w:lsdException w:name="List Continue 3" w:uiPriority="8" w:unhideWhenUsed="1"/>
    <w:lsdException w:name="List Continue 4" w:uiPriority="8" w:unhideWhenUsed="1"/>
    <w:lsdException w:name="List Continue 5" w:uiPriority="8"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9"/>
    <w:qFormat/>
    <w:rsid w:val="003B6EF3"/>
    <w:rPr>
      <w:lang w:val="en-GB"/>
    </w:rPr>
  </w:style>
  <w:style w:type="paragraph" w:styleId="Heading1">
    <w:name w:val="heading 1"/>
    <w:basedOn w:val="Normal"/>
    <w:link w:val="Heading1Char"/>
    <w:uiPriority w:val="4"/>
    <w:qFormat/>
    <w:rsid w:val="00A6599C"/>
    <w:pPr>
      <w:numPr>
        <w:numId w:val="21"/>
      </w:numPr>
      <w:spacing w:after="240"/>
      <w:outlineLvl w:val="0"/>
    </w:pPr>
    <w:rPr>
      <w:rFonts w:asciiTheme="majorHAnsi" w:eastAsiaTheme="majorEastAsia" w:hAnsiTheme="majorHAnsi" w:cstheme="majorBidi"/>
      <w:bCs/>
      <w:szCs w:val="28"/>
    </w:rPr>
  </w:style>
  <w:style w:type="paragraph" w:styleId="Heading2">
    <w:name w:val="heading 2"/>
    <w:basedOn w:val="Normal"/>
    <w:link w:val="Heading2Char"/>
    <w:uiPriority w:val="4"/>
    <w:qFormat/>
    <w:rsid w:val="00A6599C"/>
    <w:pPr>
      <w:numPr>
        <w:ilvl w:val="1"/>
        <w:numId w:val="21"/>
      </w:numPr>
      <w:spacing w:after="240"/>
      <w:outlineLvl w:val="1"/>
    </w:pPr>
    <w:rPr>
      <w:rFonts w:asciiTheme="majorHAnsi" w:eastAsiaTheme="majorEastAsia" w:hAnsiTheme="majorHAnsi" w:cstheme="majorBidi"/>
      <w:bCs/>
      <w:szCs w:val="26"/>
    </w:rPr>
  </w:style>
  <w:style w:type="paragraph" w:styleId="Heading3">
    <w:name w:val="heading 3"/>
    <w:basedOn w:val="Normal"/>
    <w:link w:val="Heading3Char"/>
    <w:uiPriority w:val="4"/>
    <w:qFormat/>
    <w:rsid w:val="00A6599C"/>
    <w:pPr>
      <w:numPr>
        <w:ilvl w:val="2"/>
        <w:numId w:val="21"/>
      </w:numPr>
      <w:spacing w:after="240"/>
      <w:outlineLvl w:val="2"/>
    </w:pPr>
    <w:rPr>
      <w:rFonts w:asciiTheme="majorHAnsi" w:eastAsiaTheme="majorEastAsia" w:hAnsiTheme="majorHAnsi" w:cstheme="majorBidi"/>
      <w:bCs/>
    </w:rPr>
  </w:style>
  <w:style w:type="paragraph" w:styleId="Heading4">
    <w:name w:val="heading 4"/>
    <w:basedOn w:val="Normal"/>
    <w:link w:val="Heading4Char"/>
    <w:uiPriority w:val="4"/>
    <w:qFormat/>
    <w:rsid w:val="00A6599C"/>
    <w:pPr>
      <w:numPr>
        <w:ilvl w:val="3"/>
        <w:numId w:val="21"/>
      </w:numPr>
      <w:spacing w:after="240"/>
      <w:outlineLvl w:val="3"/>
    </w:pPr>
    <w:rPr>
      <w:rFonts w:asciiTheme="majorHAnsi" w:eastAsiaTheme="majorEastAsia" w:hAnsiTheme="majorHAnsi" w:cstheme="majorBidi"/>
      <w:bCs/>
      <w:iCs/>
    </w:rPr>
  </w:style>
  <w:style w:type="paragraph" w:styleId="Heading5">
    <w:name w:val="heading 5"/>
    <w:basedOn w:val="Normal"/>
    <w:link w:val="Heading5Char"/>
    <w:uiPriority w:val="4"/>
    <w:qFormat/>
    <w:rsid w:val="00A6599C"/>
    <w:pPr>
      <w:numPr>
        <w:ilvl w:val="4"/>
        <w:numId w:val="21"/>
      </w:numPr>
      <w:spacing w:after="240"/>
      <w:outlineLvl w:val="4"/>
    </w:pPr>
    <w:rPr>
      <w:rFonts w:asciiTheme="majorHAnsi" w:eastAsiaTheme="majorEastAsia" w:hAnsiTheme="majorHAnsi" w:cstheme="majorBidi"/>
    </w:rPr>
  </w:style>
  <w:style w:type="paragraph" w:styleId="Heading6">
    <w:name w:val="heading 6"/>
    <w:basedOn w:val="Normal"/>
    <w:link w:val="Heading6Char"/>
    <w:uiPriority w:val="4"/>
    <w:qFormat/>
    <w:rsid w:val="00A6599C"/>
    <w:pPr>
      <w:numPr>
        <w:ilvl w:val="5"/>
        <w:numId w:val="21"/>
      </w:numPr>
      <w:spacing w:after="240"/>
      <w:outlineLvl w:val="5"/>
    </w:pPr>
    <w:rPr>
      <w:rFonts w:asciiTheme="majorHAnsi" w:eastAsiaTheme="majorEastAsia" w:hAnsiTheme="majorHAnsi" w:cstheme="majorBidi"/>
      <w:iCs/>
    </w:rPr>
  </w:style>
  <w:style w:type="paragraph" w:styleId="Heading7">
    <w:name w:val="heading 7"/>
    <w:basedOn w:val="Normal"/>
    <w:link w:val="Heading7Char"/>
    <w:uiPriority w:val="4"/>
    <w:qFormat/>
    <w:rsid w:val="00A6599C"/>
    <w:pPr>
      <w:numPr>
        <w:ilvl w:val="6"/>
        <w:numId w:val="21"/>
      </w:numPr>
      <w:spacing w:after="240"/>
      <w:outlineLvl w:val="6"/>
    </w:pPr>
    <w:rPr>
      <w:rFonts w:asciiTheme="majorHAnsi" w:eastAsiaTheme="majorEastAsia" w:hAnsiTheme="majorHAnsi" w:cstheme="majorBidi"/>
      <w:iCs/>
    </w:rPr>
  </w:style>
  <w:style w:type="paragraph" w:styleId="Heading8">
    <w:name w:val="heading 8"/>
    <w:basedOn w:val="Normal"/>
    <w:link w:val="Heading8Char"/>
    <w:uiPriority w:val="4"/>
    <w:qFormat/>
    <w:rsid w:val="00A6599C"/>
    <w:pPr>
      <w:numPr>
        <w:ilvl w:val="7"/>
        <w:numId w:val="21"/>
      </w:numPr>
      <w:spacing w:after="240"/>
      <w:outlineLvl w:val="7"/>
    </w:pPr>
    <w:rPr>
      <w:rFonts w:asciiTheme="majorHAnsi" w:eastAsiaTheme="majorEastAsia" w:hAnsiTheme="majorHAnsi" w:cstheme="majorBidi"/>
      <w:szCs w:val="20"/>
    </w:rPr>
  </w:style>
  <w:style w:type="paragraph" w:styleId="Heading9">
    <w:name w:val="heading 9"/>
    <w:basedOn w:val="Normal"/>
    <w:link w:val="Heading9Char"/>
    <w:uiPriority w:val="4"/>
    <w:qFormat/>
    <w:rsid w:val="00A6599C"/>
    <w:pPr>
      <w:numPr>
        <w:ilvl w:val="8"/>
        <w:numId w:val="21"/>
      </w:numPr>
      <w:spacing w:after="240"/>
      <w:outlineLvl w:val="8"/>
    </w:pPr>
    <w:rPr>
      <w:rFonts w:asciiTheme="majorHAnsi" w:eastAsiaTheme="majorEastAsia" w:hAnsiTheme="maj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C66891"/>
    <w:pPr>
      <w:spacing w:after="240"/>
    </w:pPr>
  </w:style>
  <w:style w:type="character" w:customStyle="1" w:styleId="BodyTextChar">
    <w:name w:val="Body Text Char"/>
    <w:basedOn w:val="DefaultParagraphFont"/>
    <w:link w:val="BodyText"/>
    <w:rsid w:val="00C66891"/>
  </w:style>
  <w:style w:type="paragraph" w:styleId="BodyText2">
    <w:name w:val="Body Text 2"/>
    <w:basedOn w:val="BodyText"/>
    <w:link w:val="BodyText2Char"/>
    <w:uiPriority w:val="99"/>
    <w:rsid w:val="00C66891"/>
    <w:pPr>
      <w:spacing w:after="0" w:line="480" w:lineRule="auto"/>
    </w:pPr>
  </w:style>
  <w:style w:type="character" w:customStyle="1" w:styleId="BodyText2Char">
    <w:name w:val="Body Text 2 Char"/>
    <w:basedOn w:val="DefaultParagraphFont"/>
    <w:link w:val="BodyText2"/>
    <w:uiPriority w:val="99"/>
    <w:rsid w:val="00C66891"/>
  </w:style>
  <w:style w:type="paragraph" w:styleId="BodyTextFirstIndent">
    <w:name w:val="Body Text First Indent"/>
    <w:basedOn w:val="BodyText"/>
    <w:link w:val="BodyTextFirstIndentChar"/>
    <w:qFormat/>
    <w:rsid w:val="00C66891"/>
    <w:pPr>
      <w:ind w:firstLine="1440"/>
    </w:pPr>
  </w:style>
  <w:style w:type="character" w:customStyle="1" w:styleId="BodyTextFirstIndentChar">
    <w:name w:val="Body Text First Indent Char"/>
    <w:basedOn w:val="BodyTextChar"/>
    <w:link w:val="BodyTextFirstIndent"/>
    <w:rsid w:val="00C66891"/>
  </w:style>
  <w:style w:type="paragraph" w:styleId="BodyTextIndent">
    <w:name w:val="Body Text Indent"/>
    <w:basedOn w:val="BodyText"/>
    <w:link w:val="BodyTextIndentChar"/>
    <w:rsid w:val="00C66891"/>
    <w:pPr>
      <w:ind w:left="1440"/>
    </w:pPr>
  </w:style>
  <w:style w:type="character" w:customStyle="1" w:styleId="BodyTextIndentChar">
    <w:name w:val="Body Text Indent Char"/>
    <w:basedOn w:val="DefaultParagraphFont"/>
    <w:link w:val="BodyTextIndent"/>
    <w:rsid w:val="00C66891"/>
  </w:style>
  <w:style w:type="paragraph" w:styleId="BodyTextFirstIndent2">
    <w:name w:val="Body Text First Indent 2"/>
    <w:basedOn w:val="BodyTextFirstIndent"/>
    <w:link w:val="BodyTextFirstIndent2Char"/>
    <w:rsid w:val="00C66891"/>
    <w:pPr>
      <w:spacing w:after="0" w:line="480" w:lineRule="auto"/>
    </w:pPr>
  </w:style>
  <w:style w:type="character" w:customStyle="1" w:styleId="BodyTextFirstIndent2Char">
    <w:name w:val="Body Text First Indent 2 Char"/>
    <w:basedOn w:val="BodyTextIndentChar"/>
    <w:link w:val="BodyTextFirstIndent2"/>
    <w:rsid w:val="00C66891"/>
  </w:style>
  <w:style w:type="paragraph" w:styleId="BodyTextIndent2">
    <w:name w:val="Body Text Indent 2"/>
    <w:basedOn w:val="BodyTextIndent"/>
    <w:link w:val="BodyTextIndent2Char"/>
    <w:rsid w:val="00C66891"/>
    <w:pPr>
      <w:spacing w:after="0" w:line="480" w:lineRule="auto"/>
    </w:pPr>
  </w:style>
  <w:style w:type="character" w:customStyle="1" w:styleId="BodyTextIndent2Char">
    <w:name w:val="Body Text Indent 2 Char"/>
    <w:basedOn w:val="DefaultParagraphFont"/>
    <w:link w:val="BodyTextIndent2"/>
    <w:rsid w:val="00C66891"/>
  </w:style>
  <w:style w:type="paragraph" w:customStyle="1" w:styleId="BodyTextHalfIndent">
    <w:name w:val="Body Text Half Indent"/>
    <w:basedOn w:val="BodyText"/>
    <w:link w:val="BodyTextHalfIndentChar"/>
    <w:rsid w:val="00C66891"/>
    <w:pPr>
      <w:ind w:left="720"/>
    </w:pPr>
  </w:style>
  <w:style w:type="paragraph" w:customStyle="1" w:styleId="BodyTextHalfIndent2">
    <w:name w:val="Body Text Half Indent 2"/>
    <w:basedOn w:val="BodyTextHalfIndent"/>
    <w:link w:val="BodyTextHalfIndent2Char"/>
    <w:rsid w:val="00C66891"/>
    <w:pPr>
      <w:spacing w:after="0" w:line="480" w:lineRule="auto"/>
    </w:pPr>
  </w:style>
  <w:style w:type="character" w:customStyle="1" w:styleId="BodyTextHalfIndentChar">
    <w:name w:val="Body Text Half Indent Char"/>
    <w:basedOn w:val="BodyTextChar"/>
    <w:link w:val="BodyTextHalfIndent"/>
    <w:rsid w:val="00C66891"/>
  </w:style>
  <w:style w:type="paragraph" w:customStyle="1" w:styleId="BodyTextFirstHalfIndent">
    <w:name w:val="Body Text First Half Indent"/>
    <w:basedOn w:val="BodyText"/>
    <w:link w:val="BodyTextFirstHalfIndentChar"/>
    <w:rsid w:val="00C66891"/>
    <w:pPr>
      <w:ind w:firstLine="720"/>
    </w:pPr>
  </w:style>
  <w:style w:type="character" w:customStyle="1" w:styleId="BodyTextHalfIndent2Char">
    <w:name w:val="Body Text Half Indent 2 Char"/>
    <w:basedOn w:val="BodyTextHalfIndentChar"/>
    <w:link w:val="BodyTextHalfIndent2"/>
    <w:rsid w:val="00C66891"/>
  </w:style>
  <w:style w:type="paragraph" w:customStyle="1" w:styleId="BodyTextFirstHalfIndent2">
    <w:name w:val="Body Text First Half Indent 2"/>
    <w:basedOn w:val="BodyTextFirstHalfIndent"/>
    <w:link w:val="BodyTextFirstHalfIndent2Char"/>
    <w:rsid w:val="00C66891"/>
    <w:pPr>
      <w:spacing w:after="0" w:line="480" w:lineRule="auto"/>
    </w:pPr>
  </w:style>
  <w:style w:type="character" w:customStyle="1" w:styleId="BodyTextFirstHalfIndentChar">
    <w:name w:val="Body Text First Half Indent Char"/>
    <w:basedOn w:val="BodyTextChar"/>
    <w:link w:val="BodyTextFirstHalfIndent"/>
    <w:rsid w:val="00C66891"/>
  </w:style>
  <w:style w:type="paragraph" w:styleId="EnvelopeAddress">
    <w:name w:val="envelope address"/>
    <w:basedOn w:val="Normal"/>
    <w:uiPriority w:val="99"/>
    <w:semiHidden/>
    <w:unhideWhenUsed/>
    <w:rsid w:val="00C66891"/>
    <w:pPr>
      <w:framePr w:w="7920" w:h="1987" w:hRule="exact" w:hSpace="187" w:wrap="around" w:hAnchor="page" w:xAlign="center" w:yAlign="bottom"/>
      <w:ind w:left="2880"/>
    </w:pPr>
    <w:rPr>
      <w:rFonts w:eastAsiaTheme="majorEastAsia" w:cstheme="majorBidi"/>
    </w:rPr>
  </w:style>
  <w:style w:type="character" w:customStyle="1" w:styleId="BodyTextFirstHalfIndent2Char">
    <w:name w:val="Body Text First Half Indent 2 Char"/>
    <w:basedOn w:val="BodyTextFirstHalfIndentChar"/>
    <w:link w:val="BodyTextFirstHalfIndent2"/>
    <w:rsid w:val="00C66891"/>
  </w:style>
  <w:style w:type="paragraph" w:styleId="EnvelopeReturn">
    <w:name w:val="envelope return"/>
    <w:basedOn w:val="Normal"/>
    <w:uiPriority w:val="99"/>
    <w:semiHidden/>
    <w:unhideWhenUsed/>
    <w:rsid w:val="00C66891"/>
    <w:rPr>
      <w:rFonts w:eastAsiaTheme="majorEastAsia" w:cstheme="majorBidi"/>
      <w:sz w:val="20"/>
      <w:szCs w:val="20"/>
    </w:rPr>
  </w:style>
  <w:style w:type="paragraph" w:styleId="Footer">
    <w:name w:val="footer"/>
    <w:basedOn w:val="Normal"/>
    <w:link w:val="FooterChar"/>
    <w:uiPriority w:val="99"/>
    <w:semiHidden/>
    <w:rsid w:val="00C66891"/>
    <w:pPr>
      <w:tabs>
        <w:tab w:val="center" w:pos="4680"/>
        <w:tab w:val="right" w:pos="9360"/>
      </w:tabs>
    </w:pPr>
  </w:style>
  <w:style w:type="character" w:customStyle="1" w:styleId="FooterChar">
    <w:name w:val="Footer Char"/>
    <w:basedOn w:val="DefaultParagraphFont"/>
    <w:link w:val="Footer"/>
    <w:uiPriority w:val="99"/>
    <w:semiHidden/>
    <w:rsid w:val="000A3C03"/>
  </w:style>
  <w:style w:type="paragraph" w:styleId="Header">
    <w:name w:val="header"/>
    <w:basedOn w:val="Normal"/>
    <w:link w:val="HeaderChar"/>
    <w:uiPriority w:val="99"/>
    <w:semiHidden/>
    <w:rsid w:val="00C66891"/>
    <w:pPr>
      <w:tabs>
        <w:tab w:val="center" w:pos="4680"/>
        <w:tab w:val="right" w:pos="9360"/>
      </w:tabs>
    </w:pPr>
  </w:style>
  <w:style w:type="character" w:customStyle="1" w:styleId="HeaderChar">
    <w:name w:val="Header Char"/>
    <w:basedOn w:val="DefaultParagraphFont"/>
    <w:link w:val="Header"/>
    <w:uiPriority w:val="99"/>
    <w:semiHidden/>
    <w:rsid w:val="000A3C03"/>
  </w:style>
  <w:style w:type="paragraph" w:styleId="NormalIndent">
    <w:name w:val="Normal Indent"/>
    <w:basedOn w:val="Normal"/>
    <w:uiPriority w:val="99"/>
    <w:semiHidden/>
    <w:unhideWhenUsed/>
    <w:rsid w:val="00C66891"/>
    <w:pPr>
      <w:ind w:left="1440"/>
    </w:pPr>
  </w:style>
  <w:style w:type="paragraph" w:customStyle="1" w:styleId="NormalHalfIndent">
    <w:name w:val="Normal Half Indent"/>
    <w:basedOn w:val="Normal"/>
    <w:semiHidden/>
    <w:rsid w:val="00C66891"/>
    <w:pPr>
      <w:ind w:left="720"/>
    </w:pPr>
  </w:style>
  <w:style w:type="paragraph" w:styleId="Salutation">
    <w:name w:val="Salutation"/>
    <w:basedOn w:val="Normal"/>
    <w:next w:val="Normal"/>
    <w:link w:val="SalutationChar"/>
    <w:uiPriority w:val="99"/>
    <w:rsid w:val="00B160B0"/>
    <w:pPr>
      <w:spacing w:after="240"/>
    </w:pPr>
  </w:style>
  <w:style w:type="character" w:customStyle="1" w:styleId="SalutationChar">
    <w:name w:val="Salutation Char"/>
    <w:basedOn w:val="DefaultParagraphFont"/>
    <w:link w:val="Salutation"/>
    <w:uiPriority w:val="99"/>
    <w:rsid w:val="00585238"/>
  </w:style>
  <w:style w:type="paragraph" w:styleId="Title">
    <w:name w:val="Title"/>
    <w:basedOn w:val="Normal"/>
    <w:next w:val="Normal"/>
    <w:link w:val="TitleChar"/>
    <w:uiPriority w:val="10"/>
    <w:qFormat/>
    <w:rsid w:val="00A6599C"/>
    <w:pPr>
      <w:spacing w:after="240"/>
      <w:contextualSpacing/>
      <w:jc w:val="center"/>
      <w:outlineLvl w:val="0"/>
    </w:pPr>
    <w:rPr>
      <w:rFonts w:asciiTheme="majorHAnsi" w:eastAsiaTheme="majorEastAsia" w:hAnsiTheme="majorHAnsi" w:cstheme="majorBidi"/>
      <w:b/>
      <w:szCs w:val="52"/>
    </w:rPr>
  </w:style>
  <w:style w:type="character" w:customStyle="1" w:styleId="TitleChar">
    <w:name w:val="Title Char"/>
    <w:basedOn w:val="DefaultParagraphFont"/>
    <w:link w:val="Title"/>
    <w:uiPriority w:val="10"/>
    <w:rsid w:val="00A6599C"/>
    <w:rPr>
      <w:rFonts w:asciiTheme="majorHAnsi" w:eastAsiaTheme="majorEastAsia" w:hAnsiTheme="majorHAnsi" w:cstheme="majorBidi"/>
      <w:b/>
      <w:szCs w:val="52"/>
    </w:rPr>
  </w:style>
  <w:style w:type="paragraph" w:styleId="FootnoteText">
    <w:name w:val="footnote text"/>
    <w:basedOn w:val="Normal"/>
    <w:link w:val="FootnoteTextChar"/>
    <w:uiPriority w:val="99"/>
    <w:semiHidden/>
    <w:unhideWhenUsed/>
    <w:rsid w:val="00C66891"/>
    <w:pPr>
      <w:spacing w:after="120" w:line="260" w:lineRule="exact"/>
    </w:pPr>
    <w:rPr>
      <w:szCs w:val="20"/>
    </w:rPr>
  </w:style>
  <w:style w:type="character" w:customStyle="1" w:styleId="FootnoteTextChar">
    <w:name w:val="Footnote Text Char"/>
    <w:basedOn w:val="DefaultParagraphFont"/>
    <w:link w:val="FootnoteText"/>
    <w:uiPriority w:val="99"/>
    <w:semiHidden/>
    <w:rsid w:val="00C66891"/>
    <w:rPr>
      <w:szCs w:val="20"/>
    </w:rPr>
  </w:style>
  <w:style w:type="character" w:styleId="FootnoteReference">
    <w:name w:val="footnote reference"/>
    <w:basedOn w:val="DefaultParagraphFont"/>
    <w:uiPriority w:val="99"/>
    <w:semiHidden/>
    <w:unhideWhenUsed/>
    <w:rsid w:val="00C66891"/>
    <w:rPr>
      <w:vertAlign w:val="superscript"/>
    </w:rPr>
  </w:style>
  <w:style w:type="paragraph" w:styleId="BlockText">
    <w:name w:val="Block Text"/>
    <w:basedOn w:val="Normal"/>
    <w:link w:val="BlockTextChar"/>
    <w:uiPriority w:val="2"/>
    <w:qFormat/>
    <w:rsid w:val="00C66891"/>
    <w:pPr>
      <w:spacing w:after="240"/>
      <w:ind w:left="1440" w:right="1440"/>
    </w:pPr>
    <w:rPr>
      <w:rFonts w:eastAsiaTheme="minorEastAsia"/>
      <w:iCs/>
    </w:rPr>
  </w:style>
  <w:style w:type="paragraph" w:styleId="EndnoteText">
    <w:name w:val="endnote text"/>
    <w:basedOn w:val="Normal"/>
    <w:link w:val="EndnoteTextChar"/>
    <w:uiPriority w:val="99"/>
    <w:semiHidden/>
    <w:unhideWhenUsed/>
    <w:rsid w:val="00C66891"/>
    <w:rPr>
      <w:szCs w:val="20"/>
    </w:rPr>
  </w:style>
  <w:style w:type="character" w:customStyle="1" w:styleId="EndnoteTextChar">
    <w:name w:val="Endnote Text Char"/>
    <w:basedOn w:val="DefaultParagraphFont"/>
    <w:link w:val="EndnoteText"/>
    <w:uiPriority w:val="99"/>
    <w:semiHidden/>
    <w:rsid w:val="00C66891"/>
    <w:rPr>
      <w:szCs w:val="20"/>
    </w:rPr>
  </w:style>
  <w:style w:type="numbering" w:customStyle="1" w:styleId="CovingtonHeadings">
    <w:name w:val="Covington Headings"/>
    <w:uiPriority w:val="99"/>
    <w:rsid w:val="00C66891"/>
    <w:pPr>
      <w:numPr>
        <w:numId w:val="11"/>
      </w:numPr>
    </w:pPr>
  </w:style>
  <w:style w:type="paragraph" w:styleId="Subtitle">
    <w:name w:val="Subtitle"/>
    <w:basedOn w:val="Normal"/>
    <w:next w:val="Normal"/>
    <w:link w:val="SubtitleChar"/>
    <w:uiPriority w:val="11"/>
    <w:qFormat/>
    <w:rsid w:val="00A6599C"/>
    <w:pPr>
      <w:numPr>
        <w:ilvl w:val="1"/>
      </w:numPr>
      <w:spacing w:after="240"/>
      <w:outlineLvl w:val="1"/>
    </w:pPr>
    <w:rPr>
      <w:rFonts w:asciiTheme="majorHAnsi" w:eastAsiaTheme="majorEastAsia" w:hAnsiTheme="majorHAnsi" w:cstheme="majorBidi"/>
      <w:iCs/>
      <w:u w:val="single"/>
    </w:rPr>
  </w:style>
  <w:style w:type="character" w:customStyle="1" w:styleId="Heading1Char">
    <w:name w:val="Heading 1 Char"/>
    <w:basedOn w:val="DefaultParagraphFont"/>
    <w:link w:val="Heading1"/>
    <w:uiPriority w:val="4"/>
    <w:rsid w:val="00A6599C"/>
    <w:rPr>
      <w:rFonts w:asciiTheme="majorHAnsi" w:eastAsiaTheme="majorEastAsia" w:hAnsiTheme="majorHAnsi" w:cstheme="majorBidi"/>
      <w:bCs/>
      <w:szCs w:val="28"/>
    </w:rPr>
  </w:style>
  <w:style w:type="character" w:customStyle="1" w:styleId="Heading2Char">
    <w:name w:val="Heading 2 Char"/>
    <w:basedOn w:val="DefaultParagraphFont"/>
    <w:link w:val="Heading2"/>
    <w:uiPriority w:val="4"/>
    <w:rsid w:val="00A6599C"/>
    <w:rPr>
      <w:rFonts w:asciiTheme="majorHAnsi" w:eastAsiaTheme="majorEastAsia" w:hAnsiTheme="majorHAnsi" w:cstheme="majorBidi"/>
      <w:bCs/>
      <w:szCs w:val="26"/>
    </w:rPr>
  </w:style>
  <w:style w:type="character" w:customStyle="1" w:styleId="Heading3Char">
    <w:name w:val="Heading 3 Char"/>
    <w:basedOn w:val="DefaultParagraphFont"/>
    <w:link w:val="Heading3"/>
    <w:uiPriority w:val="4"/>
    <w:rsid w:val="00A6599C"/>
    <w:rPr>
      <w:rFonts w:asciiTheme="majorHAnsi" w:eastAsiaTheme="majorEastAsia" w:hAnsiTheme="majorHAnsi" w:cstheme="majorBidi"/>
      <w:bCs/>
    </w:rPr>
  </w:style>
  <w:style w:type="character" w:customStyle="1" w:styleId="Heading4Char">
    <w:name w:val="Heading 4 Char"/>
    <w:basedOn w:val="DefaultParagraphFont"/>
    <w:link w:val="Heading4"/>
    <w:uiPriority w:val="4"/>
    <w:rsid w:val="00A6599C"/>
    <w:rPr>
      <w:rFonts w:asciiTheme="majorHAnsi" w:eastAsiaTheme="majorEastAsia" w:hAnsiTheme="majorHAnsi" w:cstheme="majorBidi"/>
      <w:bCs/>
      <w:iCs/>
    </w:rPr>
  </w:style>
  <w:style w:type="character" w:customStyle="1" w:styleId="Heading5Char">
    <w:name w:val="Heading 5 Char"/>
    <w:basedOn w:val="DefaultParagraphFont"/>
    <w:link w:val="Heading5"/>
    <w:uiPriority w:val="4"/>
    <w:rsid w:val="00A6599C"/>
    <w:rPr>
      <w:rFonts w:asciiTheme="majorHAnsi" w:eastAsiaTheme="majorEastAsia" w:hAnsiTheme="majorHAnsi" w:cstheme="majorBidi"/>
    </w:rPr>
  </w:style>
  <w:style w:type="character" w:customStyle="1" w:styleId="Heading6Char">
    <w:name w:val="Heading 6 Char"/>
    <w:basedOn w:val="DefaultParagraphFont"/>
    <w:link w:val="Heading6"/>
    <w:uiPriority w:val="4"/>
    <w:rsid w:val="00A6599C"/>
    <w:rPr>
      <w:rFonts w:asciiTheme="majorHAnsi" w:eastAsiaTheme="majorEastAsia" w:hAnsiTheme="majorHAnsi" w:cstheme="majorBidi"/>
      <w:iCs/>
    </w:rPr>
  </w:style>
  <w:style w:type="character" w:customStyle="1" w:styleId="Heading7Char">
    <w:name w:val="Heading 7 Char"/>
    <w:basedOn w:val="DefaultParagraphFont"/>
    <w:link w:val="Heading7"/>
    <w:uiPriority w:val="4"/>
    <w:rsid w:val="00A6599C"/>
    <w:rPr>
      <w:rFonts w:asciiTheme="majorHAnsi" w:eastAsiaTheme="majorEastAsia" w:hAnsiTheme="majorHAnsi" w:cstheme="majorBidi"/>
      <w:iCs/>
    </w:rPr>
  </w:style>
  <w:style w:type="character" w:customStyle="1" w:styleId="Heading8Char">
    <w:name w:val="Heading 8 Char"/>
    <w:basedOn w:val="DefaultParagraphFont"/>
    <w:link w:val="Heading8"/>
    <w:uiPriority w:val="4"/>
    <w:rsid w:val="00A6599C"/>
    <w:rPr>
      <w:rFonts w:asciiTheme="majorHAnsi" w:eastAsiaTheme="majorEastAsia" w:hAnsiTheme="majorHAnsi" w:cstheme="majorBidi"/>
      <w:szCs w:val="20"/>
    </w:rPr>
  </w:style>
  <w:style w:type="character" w:customStyle="1" w:styleId="Heading9Char">
    <w:name w:val="Heading 9 Char"/>
    <w:basedOn w:val="DefaultParagraphFont"/>
    <w:link w:val="Heading9"/>
    <w:uiPriority w:val="4"/>
    <w:rsid w:val="00A6599C"/>
    <w:rPr>
      <w:rFonts w:asciiTheme="majorHAnsi" w:eastAsiaTheme="majorEastAsia" w:hAnsiTheme="majorHAnsi" w:cstheme="majorBidi"/>
      <w:iCs/>
      <w:szCs w:val="20"/>
    </w:rPr>
  </w:style>
  <w:style w:type="character" w:customStyle="1" w:styleId="SubtitleChar">
    <w:name w:val="Subtitle Char"/>
    <w:basedOn w:val="DefaultParagraphFont"/>
    <w:link w:val="Subtitle"/>
    <w:uiPriority w:val="11"/>
    <w:rsid w:val="00A6599C"/>
    <w:rPr>
      <w:rFonts w:asciiTheme="majorHAnsi" w:eastAsiaTheme="majorEastAsia" w:hAnsiTheme="majorHAnsi" w:cstheme="majorBidi"/>
      <w:iCs/>
      <w:u w:val="single"/>
    </w:rPr>
  </w:style>
  <w:style w:type="paragraph" w:customStyle="1" w:styleId="SubtitleCentered">
    <w:name w:val="Subtitle Centered"/>
    <w:basedOn w:val="Subtitle"/>
    <w:link w:val="SubtitleCenteredChar"/>
    <w:uiPriority w:val="11"/>
    <w:qFormat/>
    <w:rsid w:val="00A6599C"/>
    <w:pPr>
      <w:jc w:val="center"/>
    </w:pPr>
  </w:style>
  <w:style w:type="numbering" w:customStyle="1" w:styleId="ListBullets">
    <w:name w:val="ListBullets"/>
    <w:uiPriority w:val="99"/>
    <w:rsid w:val="00D71515"/>
    <w:pPr>
      <w:numPr>
        <w:numId w:val="22"/>
      </w:numPr>
    </w:pPr>
  </w:style>
  <w:style w:type="numbering" w:customStyle="1" w:styleId="ListNumbers">
    <w:name w:val="ListNumbers"/>
    <w:uiPriority w:val="99"/>
    <w:rsid w:val="00D71515"/>
    <w:pPr>
      <w:numPr>
        <w:numId w:val="23"/>
      </w:numPr>
    </w:pPr>
  </w:style>
  <w:style w:type="paragraph" w:styleId="ListBullet">
    <w:name w:val="List Bullet"/>
    <w:basedOn w:val="Normal"/>
    <w:uiPriority w:val="6"/>
    <w:qFormat/>
    <w:rsid w:val="00477584"/>
    <w:pPr>
      <w:numPr>
        <w:numId w:val="28"/>
      </w:numPr>
      <w:spacing w:after="240"/>
    </w:pPr>
  </w:style>
  <w:style w:type="paragraph" w:styleId="ListBullet2">
    <w:name w:val="List Bullet 2"/>
    <w:basedOn w:val="Normal"/>
    <w:uiPriority w:val="6"/>
    <w:qFormat/>
    <w:rsid w:val="00477584"/>
    <w:pPr>
      <w:numPr>
        <w:ilvl w:val="1"/>
        <w:numId w:val="28"/>
      </w:numPr>
      <w:spacing w:after="240"/>
    </w:pPr>
  </w:style>
  <w:style w:type="paragraph" w:styleId="ListBullet3">
    <w:name w:val="List Bullet 3"/>
    <w:basedOn w:val="Normal"/>
    <w:uiPriority w:val="6"/>
    <w:rsid w:val="00477584"/>
    <w:pPr>
      <w:numPr>
        <w:ilvl w:val="2"/>
        <w:numId w:val="28"/>
      </w:numPr>
      <w:spacing w:after="240"/>
    </w:pPr>
  </w:style>
  <w:style w:type="paragraph" w:styleId="ListBullet4">
    <w:name w:val="List Bullet 4"/>
    <w:basedOn w:val="Normal"/>
    <w:uiPriority w:val="6"/>
    <w:rsid w:val="00477584"/>
    <w:pPr>
      <w:numPr>
        <w:ilvl w:val="3"/>
        <w:numId w:val="28"/>
      </w:numPr>
      <w:spacing w:after="240"/>
    </w:pPr>
  </w:style>
  <w:style w:type="paragraph" w:styleId="ListBullet5">
    <w:name w:val="List Bullet 5"/>
    <w:basedOn w:val="Normal"/>
    <w:uiPriority w:val="6"/>
    <w:rsid w:val="00477584"/>
    <w:pPr>
      <w:numPr>
        <w:ilvl w:val="4"/>
        <w:numId w:val="28"/>
      </w:numPr>
      <w:spacing w:after="240"/>
    </w:pPr>
  </w:style>
  <w:style w:type="paragraph" w:styleId="List">
    <w:name w:val="List"/>
    <w:basedOn w:val="Normal"/>
    <w:uiPriority w:val="5"/>
    <w:semiHidden/>
    <w:qFormat/>
    <w:rsid w:val="00477584"/>
    <w:pPr>
      <w:spacing w:after="240"/>
      <w:ind w:left="360" w:hanging="360"/>
    </w:pPr>
  </w:style>
  <w:style w:type="paragraph" w:styleId="ListNumber">
    <w:name w:val="List Number"/>
    <w:basedOn w:val="Normal"/>
    <w:uiPriority w:val="7"/>
    <w:qFormat/>
    <w:rsid w:val="00477584"/>
    <w:pPr>
      <w:numPr>
        <w:numId w:val="29"/>
      </w:numPr>
      <w:spacing w:after="240"/>
    </w:pPr>
  </w:style>
  <w:style w:type="paragraph" w:styleId="ListNumber2">
    <w:name w:val="List Number 2"/>
    <w:basedOn w:val="Normal"/>
    <w:uiPriority w:val="7"/>
    <w:qFormat/>
    <w:rsid w:val="00477584"/>
    <w:pPr>
      <w:numPr>
        <w:ilvl w:val="1"/>
        <w:numId w:val="29"/>
      </w:numPr>
      <w:spacing w:after="240"/>
    </w:pPr>
  </w:style>
  <w:style w:type="paragraph" w:styleId="ListNumber3">
    <w:name w:val="List Number 3"/>
    <w:basedOn w:val="Normal"/>
    <w:uiPriority w:val="7"/>
    <w:rsid w:val="00477584"/>
    <w:pPr>
      <w:numPr>
        <w:ilvl w:val="2"/>
        <w:numId w:val="29"/>
      </w:numPr>
      <w:spacing w:after="240"/>
    </w:pPr>
  </w:style>
  <w:style w:type="paragraph" w:styleId="ListNumber4">
    <w:name w:val="List Number 4"/>
    <w:basedOn w:val="Normal"/>
    <w:uiPriority w:val="7"/>
    <w:rsid w:val="00477584"/>
    <w:pPr>
      <w:numPr>
        <w:ilvl w:val="3"/>
        <w:numId w:val="29"/>
      </w:numPr>
      <w:spacing w:after="240"/>
    </w:pPr>
  </w:style>
  <w:style w:type="paragraph" w:styleId="List2">
    <w:name w:val="List 2"/>
    <w:basedOn w:val="Normal"/>
    <w:uiPriority w:val="5"/>
    <w:semiHidden/>
    <w:qFormat/>
    <w:rsid w:val="00477584"/>
    <w:pPr>
      <w:spacing w:after="240"/>
      <w:ind w:left="720" w:hanging="360"/>
    </w:pPr>
  </w:style>
  <w:style w:type="paragraph" w:styleId="List3">
    <w:name w:val="List 3"/>
    <w:basedOn w:val="Normal"/>
    <w:uiPriority w:val="5"/>
    <w:semiHidden/>
    <w:rsid w:val="00477584"/>
    <w:pPr>
      <w:spacing w:after="240"/>
      <w:ind w:left="1080" w:hanging="360"/>
    </w:pPr>
  </w:style>
  <w:style w:type="paragraph" w:styleId="List4">
    <w:name w:val="List 4"/>
    <w:basedOn w:val="Normal"/>
    <w:uiPriority w:val="5"/>
    <w:semiHidden/>
    <w:rsid w:val="00477584"/>
    <w:pPr>
      <w:spacing w:after="240"/>
      <w:ind w:left="1440" w:hanging="360"/>
    </w:pPr>
  </w:style>
  <w:style w:type="paragraph" w:styleId="List5">
    <w:name w:val="List 5"/>
    <w:basedOn w:val="Normal"/>
    <w:uiPriority w:val="5"/>
    <w:semiHidden/>
    <w:rsid w:val="00477584"/>
    <w:pPr>
      <w:spacing w:after="240"/>
      <w:ind w:left="1800" w:hanging="360"/>
    </w:pPr>
  </w:style>
  <w:style w:type="paragraph" w:styleId="ListContinue">
    <w:name w:val="List Continue"/>
    <w:basedOn w:val="Normal"/>
    <w:uiPriority w:val="8"/>
    <w:qFormat/>
    <w:rsid w:val="00477584"/>
    <w:pPr>
      <w:spacing w:after="240"/>
      <w:ind w:left="360"/>
    </w:pPr>
  </w:style>
  <w:style w:type="paragraph" w:styleId="ListContinue2">
    <w:name w:val="List Continue 2"/>
    <w:basedOn w:val="Normal"/>
    <w:uiPriority w:val="8"/>
    <w:qFormat/>
    <w:rsid w:val="00477584"/>
    <w:pPr>
      <w:spacing w:after="240"/>
      <w:ind w:left="720"/>
    </w:pPr>
  </w:style>
  <w:style w:type="paragraph" w:styleId="ListContinue3">
    <w:name w:val="List Continue 3"/>
    <w:basedOn w:val="Normal"/>
    <w:uiPriority w:val="8"/>
    <w:rsid w:val="00477584"/>
    <w:pPr>
      <w:spacing w:after="240"/>
      <w:ind w:left="1080"/>
    </w:pPr>
  </w:style>
  <w:style w:type="paragraph" w:styleId="ListContinue4">
    <w:name w:val="List Continue 4"/>
    <w:basedOn w:val="Normal"/>
    <w:uiPriority w:val="8"/>
    <w:rsid w:val="00477584"/>
    <w:pPr>
      <w:spacing w:after="240"/>
      <w:ind w:left="1440"/>
    </w:pPr>
  </w:style>
  <w:style w:type="paragraph" w:styleId="ListContinue5">
    <w:name w:val="List Continue 5"/>
    <w:basedOn w:val="Normal"/>
    <w:uiPriority w:val="8"/>
    <w:rsid w:val="00477584"/>
    <w:pPr>
      <w:spacing w:after="240"/>
      <w:ind w:left="1800"/>
    </w:pPr>
  </w:style>
  <w:style w:type="paragraph" w:styleId="ListNumber5">
    <w:name w:val="List Number 5"/>
    <w:basedOn w:val="Normal"/>
    <w:uiPriority w:val="7"/>
    <w:rsid w:val="00477584"/>
    <w:pPr>
      <w:numPr>
        <w:ilvl w:val="4"/>
        <w:numId w:val="29"/>
      </w:numPr>
      <w:spacing w:after="240"/>
    </w:pPr>
  </w:style>
  <w:style w:type="character" w:customStyle="1" w:styleId="SubtitleCenteredChar">
    <w:name w:val="Subtitle Centered Char"/>
    <w:basedOn w:val="SubtitleChar"/>
    <w:link w:val="SubtitleCentered"/>
    <w:uiPriority w:val="11"/>
    <w:rsid w:val="00A6599C"/>
    <w:rPr>
      <w:rFonts w:asciiTheme="majorHAnsi" w:eastAsiaTheme="majorEastAsia" w:hAnsiTheme="majorHAnsi" w:cstheme="majorBidi"/>
      <w:iCs/>
      <w:u w:val="single"/>
    </w:rPr>
  </w:style>
  <w:style w:type="character" w:customStyle="1" w:styleId="BlockTextChar">
    <w:name w:val="Block Text Char"/>
    <w:basedOn w:val="DefaultParagraphFont"/>
    <w:link w:val="BlockText"/>
    <w:uiPriority w:val="2"/>
    <w:rsid w:val="007A7997"/>
    <w:rPr>
      <w:rFonts w:eastAsiaTheme="minorEastAsia"/>
      <w:iCs/>
    </w:rPr>
  </w:style>
  <w:style w:type="paragraph" w:customStyle="1" w:styleId="LetteredParagraphDouble">
    <w:name w:val="Lettered Paragraph Double"/>
    <w:basedOn w:val="Normal"/>
    <w:link w:val="LetteredParagraphDoubleChar"/>
    <w:unhideWhenUsed/>
    <w:rsid w:val="000E72A7"/>
    <w:pPr>
      <w:numPr>
        <w:numId w:val="24"/>
      </w:numPr>
      <w:tabs>
        <w:tab w:val="left" w:pos="1800"/>
      </w:tabs>
      <w:spacing w:line="480" w:lineRule="auto"/>
    </w:pPr>
  </w:style>
  <w:style w:type="paragraph" w:customStyle="1" w:styleId="LetteredParagraphSingle">
    <w:name w:val="Lettered Paragraph Single"/>
    <w:basedOn w:val="Normal"/>
    <w:link w:val="LetteredParagraphSingleChar"/>
    <w:unhideWhenUsed/>
    <w:rsid w:val="000E72A7"/>
    <w:pPr>
      <w:numPr>
        <w:numId w:val="25"/>
      </w:numPr>
      <w:tabs>
        <w:tab w:val="left" w:pos="1800"/>
      </w:tabs>
      <w:spacing w:after="240"/>
    </w:pPr>
  </w:style>
  <w:style w:type="character" w:customStyle="1" w:styleId="LetteredParagraphDoubleChar">
    <w:name w:val="Lettered Paragraph Double Char"/>
    <w:basedOn w:val="DefaultParagraphFont"/>
    <w:link w:val="LetteredParagraphDouble"/>
    <w:rsid w:val="000E72A7"/>
  </w:style>
  <w:style w:type="paragraph" w:customStyle="1" w:styleId="NumberedParagraphDouble">
    <w:name w:val="Numbered Paragraph Double"/>
    <w:basedOn w:val="Normal"/>
    <w:link w:val="NumberedParagraphDoubleChar"/>
    <w:rsid w:val="000E72A7"/>
    <w:pPr>
      <w:numPr>
        <w:numId w:val="26"/>
      </w:numPr>
      <w:tabs>
        <w:tab w:val="left" w:pos="720"/>
      </w:tabs>
      <w:spacing w:line="480" w:lineRule="auto"/>
    </w:pPr>
  </w:style>
  <w:style w:type="character" w:customStyle="1" w:styleId="LetteredParagraphSingleChar">
    <w:name w:val="Lettered Paragraph Single Char"/>
    <w:basedOn w:val="DefaultParagraphFont"/>
    <w:link w:val="LetteredParagraphSingle"/>
    <w:rsid w:val="000E72A7"/>
  </w:style>
  <w:style w:type="paragraph" w:customStyle="1" w:styleId="NumberedParagraphSingle">
    <w:name w:val="Numbered Paragraph Single"/>
    <w:basedOn w:val="Normal"/>
    <w:link w:val="NumberedParagraphSingleChar"/>
    <w:rsid w:val="000E72A7"/>
    <w:pPr>
      <w:numPr>
        <w:numId w:val="27"/>
      </w:numPr>
      <w:tabs>
        <w:tab w:val="left" w:pos="1800"/>
      </w:tabs>
      <w:spacing w:after="240"/>
    </w:pPr>
  </w:style>
  <w:style w:type="character" w:customStyle="1" w:styleId="NumberedParagraphDoubleChar">
    <w:name w:val="Numbered Paragraph Double Char"/>
    <w:basedOn w:val="DefaultParagraphFont"/>
    <w:link w:val="NumberedParagraphDouble"/>
    <w:rsid w:val="000E72A7"/>
  </w:style>
  <w:style w:type="paragraph" w:customStyle="1" w:styleId="Re">
    <w:name w:val="Re"/>
    <w:basedOn w:val="Normal"/>
    <w:next w:val="Salutation"/>
    <w:uiPriority w:val="19"/>
    <w:rsid w:val="00B160B0"/>
    <w:pPr>
      <w:tabs>
        <w:tab w:val="left" w:pos="2160"/>
      </w:tabs>
      <w:spacing w:before="240" w:after="240"/>
      <w:ind w:left="2160" w:right="1440" w:hanging="720"/>
      <w:contextualSpacing/>
    </w:pPr>
  </w:style>
  <w:style w:type="character" w:customStyle="1" w:styleId="NumberedParagraphSingleChar">
    <w:name w:val="Numbered Paragraph Single Char"/>
    <w:basedOn w:val="DefaultParagraphFont"/>
    <w:link w:val="NumberedParagraphSingle"/>
    <w:rsid w:val="000E72A7"/>
  </w:style>
  <w:style w:type="paragraph" w:customStyle="1" w:styleId="TableEnd">
    <w:name w:val="Table End"/>
    <w:basedOn w:val="Normal"/>
    <w:uiPriority w:val="19"/>
    <w:rsid w:val="003B49FC"/>
    <w:pPr>
      <w:spacing w:before="60" w:after="180"/>
    </w:pPr>
  </w:style>
  <w:style w:type="paragraph" w:customStyle="1" w:styleId="TableHeading">
    <w:name w:val="Table Heading"/>
    <w:basedOn w:val="Normal"/>
    <w:uiPriority w:val="19"/>
    <w:rsid w:val="003B49FC"/>
    <w:pPr>
      <w:keepNext/>
      <w:spacing w:before="240" w:after="60"/>
      <w:jc w:val="center"/>
    </w:pPr>
    <w:rPr>
      <w:b/>
    </w:rPr>
  </w:style>
  <w:style w:type="paragraph" w:customStyle="1" w:styleId="TableText">
    <w:name w:val="Table Text"/>
    <w:basedOn w:val="Normal"/>
    <w:uiPriority w:val="19"/>
    <w:rsid w:val="003B49FC"/>
    <w:pPr>
      <w:spacing w:before="60" w:after="60"/>
    </w:pPr>
  </w:style>
  <w:style w:type="paragraph" w:styleId="TOCHeading">
    <w:name w:val="TOC Heading"/>
    <w:basedOn w:val="Normal"/>
    <w:next w:val="Normal"/>
    <w:uiPriority w:val="39"/>
    <w:semiHidden/>
    <w:unhideWhenUsed/>
    <w:rsid w:val="001B364F"/>
    <w:pPr>
      <w:spacing w:after="240"/>
      <w:contextualSpacing/>
      <w:jc w:val="center"/>
    </w:pPr>
    <w:rPr>
      <w:b/>
    </w:rPr>
  </w:style>
  <w:style w:type="paragraph" w:styleId="TOC1">
    <w:name w:val="toc 1"/>
    <w:basedOn w:val="Normal"/>
    <w:next w:val="Normal"/>
    <w:uiPriority w:val="39"/>
    <w:semiHidden/>
    <w:rsid w:val="001E0028"/>
    <w:pPr>
      <w:tabs>
        <w:tab w:val="right" w:leader="dot" w:pos="9346"/>
      </w:tabs>
      <w:spacing w:after="240"/>
      <w:ind w:left="720" w:right="720" w:hanging="720"/>
    </w:pPr>
    <w:rPr>
      <w:noProof/>
    </w:rPr>
  </w:style>
  <w:style w:type="paragraph" w:styleId="TOC2">
    <w:name w:val="toc 2"/>
    <w:basedOn w:val="Normal"/>
    <w:next w:val="Normal"/>
    <w:uiPriority w:val="39"/>
    <w:semiHidden/>
    <w:rsid w:val="001E0028"/>
    <w:pPr>
      <w:tabs>
        <w:tab w:val="right" w:leader="dot" w:pos="9346"/>
      </w:tabs>
      <w:spacing w:after="240"/>
      <w:ind w:left="1440" w:right="720" w:hanging="720"/>
    </w:pPr>
    <w:rPr>
      <w:noProof/>
    </w:rPr>
  </w:style>
  <w:style w:type="paragraph" w:styleId="TOC3">
    <w:name w:val="toc 3"/>
    <w:basedOn w:val="Normal"/>
    <w:next w:val="Normal"/>
    <w:uiPriority w:val="39"/>
    <w:semiHidden/>
    <w:rsid w:val="001E0028"/>
    <w:pPr>
      <w:tabs>
        <w:tab w:val="right" w:leader="dot" w:pos="9346"/>
      </w:tabs>
      <w:spacing w:after="240"/>
      <w:ind w:left="2160" w:right="720" w:hanging="720"/>
    </w:pPr>
    <w:rPr>
      <w:noProof/>
    </w:rPr>
  </w:style>
  <w:style w:type="paragraph" w:styleId="TOC4">
    <w:name w:val="toc 4"/>
    <w:basedOn w:val="Normal"/>
    <w:next w:val="Normal"/>
    <w:uiPriority w:val="39"/>
    <w:semiHidden/>
    <w:rsid w:val="001E0028"/>
    <w:pPr>
      <w:tabs>
        <w:tab w:val="right" w:leader="dot" w:pos="9346"/>
      </w:tabs>
      <w:spacing w:after="240"/>
      <w:ind w:left="2880" w:right="720" w:hanging="720"/>
    </w:pPr>
    <w:rPr>
      <w:noProof/>
    </w:rPr>
  </w:style>
  <w:style w:type="paragraph" w:styleId="TOC5">
    <w:name w:val="toc 5"/>
    <w:basedOn w:val="Normal"/>
    <w:next w:val="Normal"/>
    <w:uiPriority w:val="39"/>
    <w:semiHidden/>
    <w:rsid w:val="001E0028"/>
    <w:pPr>
      <w:tabs>
        <w:tab w:val="right" w:leader="dot" w:pos="9346"/>
      </w:tabs>
      <w:spacing w:after="240"/>
      <w:ind w:left="3600" w:right="720" w:hanging="720"/>
    </w:pPr>
    <w:rPr>
      <w:noProof/>
    </w:rPr>
  </w:style>
  <w:style w:type="paragraph" w:styleId="TOC6">
    <w:name w:val="toc 6"/>
    <w:basedOn w:val="Normal"/>
    <w:next w:val="Normal"/>
    <w:uiPriority w:val="39"/>
    <w:semiHidden/>
    <w:rsid w:val="001E0028"/>
    <w:pPr>
      <w:tabs>
        <w:tab w:val="right" w:leader="dot" w:pos="9346"/>
      </w:tabs>
      <w:spacing w:after="240"/>
      <w:ind w:left="4320" w:right="720" w:hanging="720"/>
    </w:pPr>
    <w:rPr>
      <w:noProof/>
    </w:rPr>
  </w:style>
  <w:style w:type="paragraph" w:styleId="TOC7">
    <w:name w:val="toc 7"/>
    <w:basedOn w:val="Normal"/>
    <w:next w:val="Normal"/>
    <w:uiPriority w:val="39"/>
    <w:semiHidden/>
    <w:rsid w:val="001E0028"/>
    <w:pPr>
      <w:tabs>
        <w:tab w:val="right" w:leader="dot" w:pos="9346"/>
      </w:tabs>
      <w:spacing w:after="240"/>
      <w:ind w:left="5040" w:right="720" w:hanging="720"/>
    </w:pPr>
    <w:rPr>
      <w:noProof/>
    </w:rPr>
  </w:style>
  <w:style w:type="paragraph" w:styleId="TOC8">
    <w:name w:val="toc 8"/>
    <w:basedOn w:val="Normal"/>
    <w:next w:val="Normal"/>
    <w:uiPriority w:val="39"/>
    <w:semiHidden/>
    <w:rsid w:val="001E0028"/>
    <w:pPr>
      <w:tabs>
        <w:tab w:val="right" w:leader="dot" w:pos="9346"/>
      </w:tabs>
      <w:spacing w:after="240"/>
      <w:ind w:left="5760" w:right="720" w:hanging="720"/>
    </w:pPr>
    <w:rPr>
      <w:noProof/>
    </w:rPr>
  </w:style>
  <w:style w:type="paragraph" w:styleId="TOC9">
    <w:name w:val="toc 9"/>
    <w:basedOn w:val="Normal"/>
    <w:next w:val="Normal"/>
    <w:uiPriority w:val="39"/>
    <w:semiHidden/>
    <w:rsid w:val="008201FD"/>
    <w:pPr>
      <w:tabs>
        <w:tab w:val="right" w:leader="dot" w:pos="9346"/>
      </w:tabs>
      <w:spacing w:after="240"/>
      <w:ind w:left="6480" w:right="720" w:hanging="720"/>
    </w:pPr>
    <w:rPr>
      <w:noProof/>
    </w:rPr>
  </w:style>
  <w:style w:type="paragraph" w:styleId="ListParagraph">
    <w:name w:val="List Paragraph"/>
    <w:basedOn w:val="Normal"/>
    <w:uiPriority w:val="9"/>
    <w:rsid w:val="00D60661"/>
    <w:pPr>
      <w:ind w:left="720"/>
      <w:contextualSpacing/>
    </w:pPr>
  </w:style>
  <w:style w:type="character" w:styleId="Hyperlink">
    <w:name w:val="Hyperlink"/>
    <w:basedOn w:val="DefaultParagraphFont"/>
    <w:uiPriority w:val="99"/>
    <w:unhideWhenUsed/>
    <w:rsid w:val="00011C08"/>
    <w:rPr>
      <w:color w:val="0000FF" w:themeColor="hyperlink"/>
      <w:u w:val="single"/>
    </w:rPr>
  </w:style>
  <w:style w:type="paragraph" w:customStyle="1" w:styleId="ImanageFooter">
    <w:name w:val="Imanage Footer"/>
    <w:basedOn w:val="Normal"/>
    <w:rsid w:val="00783494"/>
    <w:rPr>
      <w:rFonts w:ascii="Times New Roman" w:eastAsia="Times New Roman" w:hAnsi="Times New Roman" w:cs="Times New Roman"/>
      <w:sz w:val="16"/>
      <w:lang w:val="en-US"/>
    </w:rPr>
  </w:style>
  <w:style w:type="character" w:styleId="CommentReference">
    <w:name w:val="annotation reference"/>
    <w:basedOn w:val="DefaultParagraphFont"/>
    <w:uiPriority w:val="99"/>
    <w:semiHidden/>
    <w:unhideWhenUsed/>
    <w:rsid w:val="006E7560"/>
    <w:rPr>
      <w:sz w:val="16"/>
      <w:szCs w:val="16"/>
    </w:rPr>
  </w:style>
  <w:style w:type="paragraph" w:styleId="CommentText">
    <w:name w:val="annotation text"/>
    <w:basedOn w:val="Normal"/>
    <w:link w:val="CommentTextChar"/>
    <w:uiPriority w:val="99"/>
    <w:unhideWhenUsed/>
    <w:rsid w:val="006E7560"/>
    <w:rPr>
      <w:sz w:val="20"/>
      <w:szCs w:val="20"/>
    </w:rPr>
  </w:style>
  <w:style w:type="character" w:customStyle="1" w:styleId="CommentTextChar">
    <w:name w:val="Comment Text Char"/>
    <w:basedOn w:val="DefaultParagraphFont"/>
    <w:link w:val="CommentText"/>
    <w:uiPriority w:val="99"/>
    <w:rsid w:val="006E7560"/>
    <w:rPr>
      <w:sz w:val="20"/>
      <w:szCs w:val="20"/>
      <w:lang w:val="en-GB"/>
    </w:rPr>
  </w:style>
  <w:style w:type="paragraph" w:styleId="CommentSubject">
    <w:name w:val="annotation subject"/>
    <w:basedOn w:val="CommentText"/>
    <w:next w:val="CommentText"/>
    <w:link w:val="CommentSubjectChar"/>
    <w:uiPriority w:val="99"/>
    <w:semiHidden/>
    <w:unhideWhenUsed/>
    <w:rsid w:val="006E7560"/>
    <w:rPr>
      <w:b/>
      <w:bCs/>
    </w:rPr>
  </w:style>
  <w:style w:type="character" w:customStyle="1" w:styleId="CommentSubjectChar">
    <w:name w:val="Comment Subject Char"/>
    <w:basedOn w:val="CommentTextChar"/>
    <w:link w:val="CommentSubject"/>
    <w:uiPriority w:val="99"/>
    <w:semiHidden/>
    <w:rsid w:val="006E7560"/>
    <w:rPr>
      <w:b/>
      <w:bCs/>
      <w:sz w:val="20"/>
      <w:szCs w:val="20"/>
      <w:lang w:val="en-GB"/>
    </w:rPr>
  </w:style>
  <w:style w:type="paragraph" w:styleId="BalloonText">
    <w:name w:val="Balloon Text"/>
    <w:basedOn w:val="Normal"/>
    <w:link w:val="BalloonTextChar"/>
    <w:uiPriority w:val="99"/>
    <w:semiHidden/>
    <w:unhideWhenUsed/>
    <w:rsid w:val="006E75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560"/>
    <w:rPr>
      <w:rFonts w:ascii="Segoe UI" w:hAnsi="Segoe UI" w:cs="Segoe UI"/>
      <w:sz w:val="18"/>
      <w:szCs w:val="18"/>
      <w:lang w:val="en-GB"/>
    </w:rPr>
  </w:style>
  <w:style w:type="paragraph" w:styleId="Revision">
    <w:name w:val="Revision"/>
    <w:hidden/>
    <w:uiPriority w:val="99"/>
    <w:semiHidden/>
    <w:rsid w:val="003B6BD5"/>
    <w:rPr>
      <w:lang w:val="en-GB"/>
    </w:rPr>
  </w:style>
  <w:style w:type="paragraph" w:customStyle="1" w:styleId="Merckbodycopy">
    <w:name w:val="Merck body copy"/>
    <w:basedOn w:val="Normal"/>
    <w:qFormat/>
    <w:rsid w:val="00A603FD"/>
    <w:rPr>
      <w:rFonts w:ascii="Arial Narrow" w:eastAsiaTheme="minorEastAsia" w:hAnsi="Arial Narro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576079">
      <w:bodyDiv w:val="1"/>
      <w:marLeft w:val="0"/>
      <w:marRight w:val="0"/>
      <w:marTop w:val="0"/>
      <w:marBottom w:val="0"/>
      <w:divBdr>
        <w:top w:val="none" w:sz="0" w:space="0" w:color="auto"/>
        <w:left w:val="none" w:sz="0" w:space="0" w:color="auto"/>
        <w:bottom w:val="none" w:sz="0" w:space="0" w:color="auto"/>
        <w:right w:val="none" w:sz="0" w:space="0" w:color="auto"/>
      </w:divBdr>
    </w:div>
    <w:div w:id="1085230405">
      <w:bodyDiv w:val="1"/>
      <w:marLeft w:val="0"/>
      <w:marRight w:val="0"/>
      <w:marTop w:val="0"/>
      <w:marBottom w:val="0"/>
      <w:divBdr>
        <w:top w:val="none" w:sz="0" w:space="0" w:color="auto"/>
        <w:left w:val="none" w:sz="0" w:space="0" w:color="auto"/>
        <w:bottom w:val="none" w:sz="0" w:space="0" w:color="auto"/>
        <w:right w:val="none" w:sz="0" w:space="0" w:color="auto"/>
      </w:divBdr>
      <w:divsChild>
        <w:div w:id="1536189205">
          <w:marLeft w:val="0"/>
          <w:marRight w:val="0"/>
          <w:marTop w:val="0"/>
          <w:marBottom w:val="0"/>
          <w:divBdr>
            <w:top w:val="none" w:sz="0" w:space="0" w:color="auto"/>
            <w:left w:val="none" w:sz="0" w:space="0" w:color="auto"/>
            <w:bottom w:val="none" w:sz="0" w:space="0" w:color="auto"/>
            <w:right w:val="none" w:sz="0" w:space="0" w:color="auto"/>
          </w:divBdr>
          <w:divsChild>
            <w:div w:id="132743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96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ack Text">
      <a:dk1>
        <a:srgbClr val="000000"/>
      </a:dk1>
      <a:lt1>
        <a:srgbClr val="FFFFFF"/>
      </a:lt1>
      <a:dk2>
        <a:srgbClr val="003366"/>
      </a:dk2>
      <a:lt2>
        <a:srgbClr val="EEECE1"/>
      </a:lt2>
      <a:accent1>
        <a:srgbClr val="000000"/>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vington]">
      <a:majorFont>
        <a:latin typeface="Times New Roman"/>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imes New Roman"/>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2">
            <a:lumMod val="60000"/>
            <a:lumOff val="40000"/>
          </a:schemeClr>
        </a:solidFill>
        <a:ln>
          <a:solidFill>
            <a:schemeClr val="tx2">
              <a:lumMod val="60000"/>
              <a:lumOff val="40000"/>
            </a:schemeClr>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3BFEA11DE75F42966B72E7B4FD6313" ma:contentTypeVersion="13" ma:contentTypeDescription="Create a new document." ma:contentTypeScope="" ma:versionID="6c30094dd7ca933463e4325ed7e9db44">
  <xsd:schema xmlns:xsd="http://www.w3.org/2001/XMLSchema" xmlns:xs="http://www.w3.org/2001/XMLSchema" xmlns:p="http://schemas.microsoft.com/office/2006/metadata/properties" xmlns:ns3="074b18b9-1f78-4d95-8399-05f0c0cf82b4" xmlns:ns4="9b14d111-6203-420a-bb6b-3625a23339b4" targetNamespace="http://schemas.microsoft.com/office/2006/metadata/properties" ma:root="true" ma:fieldsID="1b05ac256c1b78db9dbc9febfde1cffd" ns3:_="" ns4:_="">
    <xsd:import namespace="074b18b9-1f78-4d95-8399-05f0c0cf82b4"/>
    <xsd:import namespace="9b14d111-6203-420a-bb6b-3625a23339b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DateTaken" minOccurs="0"/>
                <xsd:element ref="ns4:MediaServiceLocation" minOccurs="0"/>
                <xsd:element ref="ns4:MediaServiceAutoTags"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4b18b9-1f78-4d95-8399-05f0c0cf82b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14d111-6203-420a-bb6b-3625a23339b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isl xmlns:xsi="http://www.w3.org/2001/XMLSchema-instance" xmlns:xsd="http://www.w3.org/2001/XMLSchema" xmlns="http://www.boldonjames.com/2008/01/sie/internal/label" sislVersion="0" policy="a10f9ac0-5937-4b4f-b459-96aedd9ed2c5" origin="userSelected">
  <element uid="9920fcc9-9f43-4d43-9e3e-b98a219cfd55" value=""/>
</sisl>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953F35-C406-46F0-AD5F-15DF159998D5}">
  <ds:schemaRefs>
    <ds:schemaRef ds:uri="http://schemas.microsoft.com/sharepoint/v3/contenttype/forms"/>
  </ds:schemaRefs>
</ds:datastoreItem>
</file>

<file path=customXml/itemProps2.xml><?xml version="1.0" encoding="utf-8"?>
<ds:datastoreItem xmlns:ds="http://schemas.openxmlformats.org/officeDocument/2006/customXml" ds:itemID="{A2393BB0-F563-4712-8B52-8B749A868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4b18b9-1f78-4d95-8399-05f0c0cf82b4"/>
    <ds:schemaRef ds:uri="9b14d111-6203-420a-bb6b-3625a2333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44E0D1-70D8-46CC-878E-0EFEA4BF5303}">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32BE394A-AC23-4386-B9DC-B309B9FB78CF}">
  <ds:schemaRefs>
    <ds:schemaRef ds:uri="http://purl.org/dc/terms/"/>
    <ds:schemaRef ds:uri="http://schemas.openxmlformats.org/package/2006/metadata/core-properties"/>
    <ds:schemaRef ds:uri="http://schemas.microsoft.com/office/2006/documentManagement/types"/>
    <ds:schemaRef ds:uri="074b18b9-1f78-4d95-8399-05f0c0cf82b4"/>
    <ds:schemaRef ds:uri="http://purl.org/dc/elements/1.1/"/>
    <ds:schemaRef ds:uri="http://schemas.microsoft.com/office/2006/metadata/properties"/>
    <ds:schemaRef ds:uri="http://schemas.microsoft.com/office/infopath/2007/PartnerControls"/>
    <ds:schemaRef ds:uri="9b14d111-6203-420a-bb6b-3625a23339b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1092</Words>
  <Characters>6227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2020-06-17T09:42:00Z</dcterms:created>
  <dcterms:modified xsi:type="dcterms:W3CDTF">2020-06-23T10:17:00Z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b7322dbc-ba6d-4f4b-93b0-12f3e0b09253</vt:lpwstr>
  </property>
  <property fmtid="{D5CDD505-2E9C-101B-9397-08002B2CF9AE}" pid="3" name="bjSaver">
    <vt:lpwstr>aPhk5nVJ6KqZHovHSflw+qDvVuagFal5</vt:lpwstr>
  </property>
  <property fmtid="{D5CDD505-2E9C-101B-9397-08002B2CF9AE}" pid="4"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5" name="bjDocumentLabelXML-0">
    <vt:lpwstr>ames.com/2008/01/sie/internal/label"&gt;&lt;element uid="9920fcc9-9f43-4d43-9e3e-b98a219cfd55" value="" /&gt;&lt;/sisl&gt;</vt:lpwstr>
  </property>
  <property fmtid="{D5CDD505-2E9C-101B-9397-08002B2CF9AE}" pid="6" name="bjDocumentSecurityLabel">
    <vt:lpwstr>Not Classified</vt:lpwstr>
  </property>
  <property fmtid="{D5CDD505-2E9C-101B-9397-08002B2CF9AE}" pid="7" name="_AdHocReviewCycleID">
    <vt:i4>-514993926</vt:i4>
  </property>
  <property fmtid="{D5CDD505-2E9C-101B-9397-08002B2CF9AE}" pid="8" name="_NewReviewCycle">
    <vt:lpwstr/>
  </property>
  <property fmtid="{D5CDD505-2E9C-101B-9397-08002B2CF9AE}" pid="9" name="ContentTypeId">
    <vt:lpwstr>0x0101007E3BFEA11DE75F42966B72E7B4FD6313</vt:lpwstr>
  </property>
  <property fmtid="{D5CDD505-2E9C-101B-9397-08002B2CF9AE}" pid="10" name="_PreviousAdHocReviewCycleID">
    <vt:i4>-276167772</vt:i4>
  </property>
  <property fmtid="{D5CDD505-2E9C-101B-9397-08002B2CF9AE}" pid="11" name="_ReviewingToolsShownOnce">
    <vt:lpwstr/>
  </property>
</Properties>
</file>